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p>
    <w:p>
      <w:pPr>
        <w:pStyle w:val="2"/>
        <w:spacing w:before="240" w:beforeLines="100" w:after="240" w:afterLines="100"/>
        <w:ind w:right="0"/>
        <w:rPr>
          <w:rFonts w:asciiTheme="minorEastAsia" w:hAnsiTheme="minorEastAsia" w:eastAsiaTheme="minorEastAsia"/>
          <w:sz w:val="36"/>
          <w:szCs w:val="36"/>
        </w:rPr>
      </w:pPr>
      <w:bookmarkStart w:id="0" w:name="第三章__采购需求"/>
      <w:bookmarkEnd w:id="0"/>
      <w:bookmarkStart w:id="1" w:name="_Toc98168031"/>
      <w:r>
        <w:rPr>
          <w:rFonts w:asciiTheme="minorEastAsia" w:hAnsiTheme="minorEastAsia" w:eastAsiaTheme="minorEastAsia"/>
          <w:sz w:val="36"/>
          <w:szCs w:val="36"/>
        </w:rPr>
        <w:t>第三章</w:t>
      </w:r>
      <w:r>
        <w:rPr>
          <w:rFonts w:asciiTheme="minorEastAsia" w:hAnsiTheme="minorEastAsia" w:eastAsiaTheme="minorEastAsia"/>
          <w:sz w:val="36"/>
          <w:szCs w:val="36"/>
        </w:rPr>
        <w:tab/>
      </w:r>
      <w:r>
        <w:rPr>
          <w:rFonts w:asciiTheme="minorEastAsia" w:hAnsiTheme="minorEastAsia" w:eastAsiaTheme="minorEastAsia"/>
          <w:sz w:val="36"/>
          <w:szCs w:val="36"/>
        </w:rPr>
        <w:t>采购需求</w:t>
      </w:r>
      <w:bookmarkEnd w:id="1"/>
    </w:p>
    <w:p>
      <w:pPr>
        <w:spacing w:line="360" w:lineRule="auto"/>
        <w:rPr>
          <w:rFonts w:ascii="宋体" w:hAnsi="宋体" w:eastAsia="宋体"/>
          <w:b/>
          <w:bCs/>
          <w:sz w:val="28"/>
          <w:szCs w:val="28"/>
        </w:rPr>
      </w:pPr>
      <w:r>
        <w:rPr>
          <w:rFonts w:ascii="宋体" w:hAnsi="宋体" w:eastAsia="宋体"/>
          <w:b/>
          <w:bCs/>
          <w:sz w:val="28"/>
          <w:szCs w:val="28"/>
        </w:rPr>
        <w:t>前注：</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.根据《</w:t>
      </w:r>
      <w:r>
        <w:rPr>
          <w:rFonts w:hint="eastAsia" w:ascii="宋体" w:hAnsi="宋体" w:eastAsia="宋体"/>
          <w:sz w:val="28"/>
          <w:szCs w:val="28"/>
        </w:rPr>
        <w:t>关于规范政府采购进口产品有关工作的通知》及</w:t>
      </w:r>
      <w:r>
        <w:rPr>
          <w:rFonts w:ascii="宋体" w:hAnsi="宋体" w:eastAsia="宋体"/>
          <w:sz w:val="28"/>
          <w:szCs w:val="28"/>
        </w:rPr>
        <w:t>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.下列采购需求中：标注▲的产品（核心产品），投标人在投标文件《主要中标标的承诺函》中填写名称、品牌、规格、型号、数量、单价等信息。</w:t>
      </w:r>
    </w:p>
    <w:p>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4</w:t>
      </w:r>
      <w:r>
        <w:rPr>
          <w:rFonts w:ascii="宋体" w:hAnsi="宋体" w:eastAsia="宋体"/>
          <w:b/>
          <w:bCs/>
          <w:sz w:val="28"/>
          <w:szCs w:val="28"/>
        </w:rPr>
        <w:t>.</w:t>
      </w:r>
      <w:r>
        <w:rPr>
          <w:rFonts w:hint="eastAsia" w:ascii="宋体" w:hAnsi="宋体" w:eastAsia="宋体"/>
          <w:b/>
          <w:bCs/>
          <w:sz w:val="28"/>
          <w:szCs w:val="28"/>
        </w:rPr>
        <w:t>下述“二、货物要求”中标注“提供证明材料”字样的条款，投标文件中提供能反映该条款要求的相关证明材料扫描件（证明材料包括：第三方有权机构出具的检验或检测报告、技术彩页、技术白皮书、官网截图等，提供其中之一即可），否则视为负偏离。投标人可对证明内容进行逐一标注，以便评标委员会评审。</w:t>
      </w:r>
    </w:p>
    <w:p>
      <w:pPr>
        <w:spacing w:line="360" w:lineRule="auto"/>
        <w:rPr>
          <w:rFonts w:ascii="宋体" w:hAnsi="宋体" w:eastAsia="宋体"/>
          <w:b/>
          <w:bCs/>
          <w:sz w:val="28"/>
          <w:szCs w:val="28"/>
        </w:rPr>
      </w:pPr>
      <w:r>
        <w:rPr>
          <w:rFonts w:ascii="宋体" w:hAnsi="宋体" w:eastAsia="宋体"/>
          <w:b/>
          <w:bCs/>
          <w:sz w:val="28"/>
          <w:szCs w:val="28"/>
        </w:rPr>
        <w:t>一、采购需求前附表</w:t>
      </w:r>
    </w:p>
    <w:tbl>
      <w:tblPr>
        <w:tblStyle w:val="22"/>
        <w:tblW w:w="0" w:type="auto"/>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2032"/>
        <w:gridCol w:w="5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07" w:type="dxa"/>
            <w:vAlign w:val="center"/>
          </w:tcPr>
          <w:p>
            <w:pPr>
              <w:jc w:val="center"/>
              <w:rPr>
                <w:rFonts w:ascii="宋体" w:hAnsi="宋体" w:eastAsia="宋体"/>
                <w:b/>
                <w:bCs/>
                <w:sz w:val="28"/>
                <w:szCs w:val="28"/>
              </w:rPr>
            </w:pPr>
            <w:r>
              <w:rPr>
                <w:rFonts w:hint="eastAsia" w:ascii="宋体" w:hAnsi="宋体" w:eastAsia="宋体"/>
                <w:b/>
                <w:bCs/>
                <w:sz w:val="28"/>
                <w:szCs w:val="28"/>
              </w:rPr>
              <w:t>序号</w:t>
            </w:r>
          </w:p>
        </w:tc>
        <w:tc>
          <w:tcPr>
            <w:tcW w:w="2032" w:type="dxa"/>
            <w:vAlign w:val="center"/>
          </w:tcPr>
          <w:p>
            <w:pPr>
              <w:jc w:val="center"/>
              <w:rPr>
                <w:rFonts w:ascii="宋体" w:hAnsi="宋体" w:eastAsia="宋体"/>
                <w:b/>
                <w:bCs/>
                <w:sz w:val="28"/>
                <w:szCs w:val="28"/>
              </w:rPr>
            </w:pPr>
            <w:r>
              <w:rPr>
                <w:rFonts w:hint="eastAsia" w:ascii="宋体" w:hAnsi="宋体" w:eastAsia="宋体"/>
                <w:b/>
                <w:bCs/>
                <w:sz w:val="28"/>
                <w:szCs w:val="28"/>
              </w:rPr>
              <w:t>条款名称</w:t>
            </w:r>
          </w:p>
        </w:tc>
        <w:tc>
          <w:tcPr>
            <w:tcW w:w="5483" w:type="dxa"/>
            <w:vAlign w:val="center"/>
          </w:tcPr>
          <w:p>
            <w:pPr>
              <w:jc w:val="center"/>
              <w:rPr>
                <w:rFonts w:ascii="宋体" w:hAnsi="宋体" w:eastAsia="宋体"/>
                <w:b/>
                <w:bCs/>
                <w:sz w:val="28"/>
                <w:szCs w:val="28"/>
              </w:rPr>
            </w:pPr>
            <w:r>
              <w:rPr>
                <w:rFonts w:hint="eastAsia" w:ascii="宋体" w:hAnsi="宋体" w:eastAsia="宋体"/>
                <w:b/>
                <w:bCs/>
                <w:sz w:val="28"/>
                <w:szCs w:val="28"/>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7" w:type="dxa"/>
            <w:vAlign w:val="center"/>
          </w:tcPr>
          <w:p>
            <w:pPr>
              <w:jc w:val="center"/>
              <w:rPr>
                <w:rFonts w:ascii="宋体" w:hAnsi="宋体" w:eastAsia="宋体"/>
                <w:sz w:val="28"/>
                <w:szCs w:val="28"/>
              </w:rPr>
            </w:pPr>
            <w:r>
              <w:rPr>
                <w:rFonts w:ascii="宋体" w:hAnsi="宋体" w:eastAsia="宋体"/>
                <w:sz w:val="28"/>
                <w:szCs w:val="28"/>
              </w:rPr>
              <w:t>1</w:t>
            </w:r>
          </w:p>
        </w:tc>
        <w:tc>
          <w:tcPr>
            <w:tcW w:w="2032" w:type="dxa"/>
            <w:vAlign w:val="center"/>
          </w:tcPr>
          <w:p>
            <w:pPr>
              <w:jc w:val="center"/>
              <w:rPr>
                <w:rFonts w:ascii="宋体" w:hAnsi="宋体" w:eastAsia="宋体"/>
                <w:sz w:val="28"/>
                <w:szCs w:val="28"/>
              </w:rPr>
            </w:pPr>
            <w:r>
              <w:rPr>
                <w:rFonts w:ascii="宋体" w:hAnsi="宋体" w:eastAsia="宋体"/>
                <w:sz w:val="28"/>
                <w:szCs w:val="28"/>
              </w:rPr>
              <w:t>付款方式</w:t>
            </w:r>
          </w:p>
        </w:tc>
        <w:tc>
          <w:tcPr>
            <w:tcW w:w="5483" w:type="dxa"/>
            <w:vAlign w:val="center"/>
          </w:tcPr>
          <w:p>
            <w:pPr>
              <w:rPr>
                <w:rFonts w:ascii="宋体" w:hAnsi="宋体" w:eastAsia="宋体"/>
                <w:sz w:val="28"/>
                <w:szCs w:val="28"/>
              </w:rPr>
            </w:pPr>
            <w:r>
              <w:rPr>
                <w:rFonts w:hint="eastAsia" w:ascii="宋体" w:hAnsi="宋体" w:eastAsia="宋体"/>
                <w:sz w:val="28"/>
                <w:szCs w:val="28"/>
              </w:rPr>
              <w:t>全部货物供货完毕并验收合格后，一次性无息付清</w:t>
            </w:r>
            <w:r>
              <w:rPr>
                <w:rFonts w:ascii="宋体" w:hAnsi="宋体" w:eastAsia="宋体"/>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07" w:type="dxa"/>
            <w:vAlign w:val="center"/>
          </w:tcPr>
          <w:p>
            <w:pPr>
              <w:jc w:val="center"/>
              <w:rPr>
                <w:rFonts w:ascii="宋体" w:hAnsi="宋体" w:eastAsia="宋体"/>
                <w:sz w:val="28"/>
                <w:szCs w:val="28"/>
              </w:rPr>
            </w:pPr>
            <w:r>
              <w:rPr>
                <w:rFonts w:ascii="宋体" w:hAnsi="宋体" w:eastAsia="宋体"/>
                <w:sz w:val="28"/>
                <w:szCs w:val="28"/>
              </w:rPr>
              <w:t>2</w:t>
            </w:r>
          </w:p>
        </w:tc>
        <w:tc>
          <w:tcPr>
            <w:tcW w:w="2032" w:type="dxa"/>
            <w:vAlign w:val="center"/>
          </w:tcPr>
          <w:p>
            <w:pPr>
              <w:jc w:val="center"/>
              <w:rPr>
                <w:rFonts w:ascii="宋体" w:hAnsi="宋体" w:eastAsia="宋体"/>
                <w:sz w:val="28"/>
                <w:szCs w:val="28"/>
              </w:rPr>
            </w:pPr>
            <w:r>
              <w:rPr>
                <w:rFonts w:ascii="宋体" w:hAnsi="宋体" w:eastAsia="宋体"/>
                <w:sz w:val="28"/>
                <w:szCs w:val="28"/>
              </w:rPr>
              <w:t>供货及安装地点</w:t>
            </w:r>
          </w:p>
        </w:tc>
        <w:tc>
          <w:tcPr>
            <w:tcW w:w="5483" w:type="dxa"/>
            <w:vAlign w:val="center"/>
          </w:tcPr>
          <w:p>
            <w:pPr>
              <w:rPr>
                <w:rFonts w:ascii="宋体" w:hAnsi="宋体" w:eastAsia="宋体"/>
                <w:sz w:val="28"/>
                <w:szCs w:val="28"/>
              </w:rPr>
            </w:pPr>
            <w:r>
              <w:rPr>
                <w:rFonts w:hint="eastAsia" w:ascii="宋体" w:hAnsi="宋体" w:eastAsia="宋体"/>
                <w:sz w:val="28"/>
                <w:szCs w:val="28"/>
              </w:rPr>
              <w:t>安徽省合肥市，采购人指定地点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07" w:type="dxa"/>
            <w:vAlign w:val="center"/>
          </w:tcPr>
          <w:p>
            <w:pPr>
              <w:jc w:val="center"/>
              <w:rPr>
                <w:rFonts w:ascii="宋体" w:hAnsi="宋体" w:eastAsia="宋体"/>
                <w:sz w:val="28"/>
                <w:szCs w:val="28"/>
              </w:rPr>
            </w:pPr>
            <w:r>
              <w:rPr>
                <w:rFonts w:ascii="宋体" w:hAnsi="宋体" w:eastAsia="宋体"/>
                <w:sz w:val="28"/>
                <w:szCs w:val="28"/>
              </w:rPr>
              <w:t>3</w:t>
            </w:r>
          </w:p>
        </w:tc>
        <w:tc>
          <w:tcPr>
            <w:tcW w:w="2032" w:type="dxa"/>
            <w:vAlign w:val="center"/>
          </w:tcPr>
          <w:p>
            <w:pPr>
              <w:jc w:val="center"/>
              <w:rPr>
                <w:rFonts w:ascii="宋体" w:hAnsi="宋体" w:eastAsia="宋体"/>
                <w:sz w:val="28"/>
                <w:szCs w:val="28"/>
              </w:rPr>
            </w:pPr>
            <w:r>
              <w:rPr>
                <w:rFonts w:ascii="宋体" w:hAnsi="宋体" w:eastAsia="宋体"/>
                <w:sz w:val="28"/>
                <w:szCs w:val="28"/>
              </w:rPr>
              <w:t>供货及安装期限</w:t>
            </w:r>
          </w:p>
        </w:tc>
        <w:tc>
          <w:tcPr>
            <w:tcW w:w="5483" w:type="dxa"/>
            <w:vAlign w:val="center"/>
          </w:tcPr>
          <w:p>
            <w:pPr>
              <w:rPr>
                <w:rFonts w:ascii="宋体" w:hAnsi="宋体" w:eastAsia="宋体"/>
                <w:sz w:val="28"/>
                <w:szCs w:val="28"/>
              </w:rPr>
            </w:pPr>
            <w:r>
              <w:rPr>
                <w:rFonts w:ascii="宋体" w:hAnsi="宋体" w:eastAsia="宋体"/>
                <w:sz w:val="28"/>
                <w:szCs w:val="28"/>
              </w:rPr>
              <w:t>合同生效后 30 个</w:t>
            </w:r>
            <w:r>
              <w:rPr>
                <w:rFonts w:hint="eastAsia" w:ascii="宋体" w:hAnsi="宋体" w:eastAsia="宋体"/>
                <w:sz w:val="28"/>
                <w:szCs w:val="28"/>
              </w:rPr>
              <w:t>工作日完成供货、安装及调试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07" w:type="dxa"/>
            <w:vAlign w:val="center"/>
          </w:tcPr>
          <w:p>
            <w:pPr>
              <w:jc w:val="center"/>
              <w:rPr>
                <w:rFonts w:ascii="宋体" w:hAnsi="宋体" w:eastAsia="宋体"/>
                <w:sz w:val="28"/>
                <w:szCs w:val="28"/>
              </w:rPr>
            </w:pPr>
            <w:r>
              <w:rPr>
                <w:rFonts w:ascii="宋体" w:hAnsi="宋体" w:eastAsia="宋体"/>
                <w:sz w:val="28"/>
                <w:szCs w:val="28"/>
              </w:rPr>
              <w:t>4</w:t>
            </w:r>
          </w:p>
        </w:tc>
        <w:tc>
          <w:tcPr>
            <w:tcW w:w="2032" w:type="dxa"/>
            <w:vAlign w:val="center"/>
          </w:tcPr>
          <w:p>
            <w:pPr>
              <w:jc w:val="center"/>
              <w:rPr>
                <w:rFonts w:ascii="宋体" w:hAnsi="宋体" w:eastAsia="宋体"/>
                <w:sz w:val="28"/>
                <w:szCs w:val="28"/>
              </w:rPr>
            </w:pPr>
            <w:r>
              <w:rPr>
                <w:rFonts w:ascii="宋体" w:hAnsi="宋体" w:eastAsia="宋体"/>
                <w:sz w:val="28"/>
                <w:szCs w:val="28"/>
              </w:rPr>
              <w:t>免费质保期</w:t>
            </w:r>
          </w:p>
        </w:tc>
        <w:tc>
          <w:tcPr>
            <w:tcW w:w="5483" w:type="dxa"/>
            <w:vAlign w:val="center"/>
          </w:tcPr>
          <w:p>
            <w:pPr>
              <w:rPr>
                <w:rFonts w:ascii="宋体" w:hAnsi="宋体" w:eastAsia="宋体"/>
                <w:sz w:val="28"/>
                <w:szCs w:val="28"/>
              </w:rPr>
            </w:pPr>
            <w:r>
              <w:rPr>
                <w:rFonts w:ascii="宋体" w:hAnsi="宋体" w:eastAsia="宋体"/>
                <w:sz w:val="28"/>
                <w:szCs w:val="28"/>
              </w:rPr>
              <w:t>验收合格之日起 3 年</w:t>
            </w:r>
          </w:p>
        </w:tc>
      </w:tr>
    </w:tbl>
    <w:p>
      <w:pPr>
        <w:spacing w:line="360" w:lineRule="auto"/>
        <w:rPr>
          <w:rFonts w:ascii="宋体" w:hAnsi="宋体" w:eastAsia="宋体"/>
          <w:b/>
          <w:bCs/>
          <w:sz w:val="28"/>
          <w:szCs w:val="28"/>
        </w:rPr>
      </w:pPr>
      <w:r>
        <w:rPr>
          <w:rFonts w:ascii="宋体" w:hAnsi="宋体" w:eastAsia="宋体"/>
          <w:b/>
          <w:bCs/>
          <w:sz w:val="28"/>
          <w:szCs w:val="28"/>
        </w:rPr>
        <w:t>二、项目概况</w:t>
      </w:r>
    </w:p>
    <w:p>
      <w:pPr>
        <w:spacing w:line="360" w:lineRule="auto"/>
        <w:ind w:firstLine="560" w:firstLineChars="200"/>
        <w:rPr>
          <w:rFonts w:ascii="宋体" w:hAnsi="宋体" w:eastAsia="宋体"/>
          <w:sz w:val="28"/>
          <w:szCs w:val="28"/>
        </w:rPr>
      </w:pPr>
      <w:r>
        <w:rPr>
          <w:rFonts w:ascii="宋体" w:hAnsi="宋体" w:eastAsia="宋体"/>
          <w:sz w:val="28"/>
          <w:szCs w:val="28"/>
        </w:rPr>
        <w:t>为了贯彻国家对电子政务信息系统安全保障工作的要求以及等级化保护“坚持积极防御、综合防范”的方针，依据最高人民法院2008年曾发布《人民法院非涉密重要网络安全等级保护定级指导意见》（法【2008】159号）要求各级人民法院开展信息安全等级保护定级工作；最高人民法院为了进一步推进各级人民法院信息安全等级保护工作，并于2012年3月2日发布《关于进一步推进人民法院信息安全等级保护工作的通知》（法（办）明传（2012）14号），要求落实国家信息安全等级保护管理制度和159号文；最高人民法院2012年3月2日发布的法（办）明传（2012）14号文，明确了本次工作的工作目标、组织机构、工作内容和工作要求。最高人民法院2018年11月19日发布法〔2018〕295号文要求重点开展各方面的安全隐患和防护措施的梳理、排查工作，切实加强网络安全防护能力，确保法院专网安全稳定运行。全面提高信息安全防护能力，并适应自身业务发展对安全保障的需要，包河区人民法院需要按照等级保护的要求进行整体安全防护设计，全面提高信息安全防护能力，并支撑包河区人民法院信息化以及未来业务的发展。</w:t>
      </w:r>
    </w:p>
    <w:p>
      <w:pPr>
        <w:spacing w:line="360" w:lineRule="auto"/>
        <w:ind w:firstLine="560" w:firstLineChars="200"/>
        <w:rPr>
          <w:rFonts w:ascii="宋体" w:hAnsi="宋体" w:eastAsia="宋体"/>
          <w:sz w:val="28"/>
          <w:szCs w:val="28"/>
        </w:rPr>
      </w:pPr>
      <w:r>
        <w:rPr>
          <w:rFonts w:ascii="宋体" w:hAnsi="宋体" w:eastAsia="宋体"/>
          <w:sz w:val="28"/>
          <w:szCs w:val="28"/>
        </w:rPr>
        <w:t>目前包河区人民法院已经建设完成了数字法院业务应用系统、电子卷宗、法院档案管理等重要业务系统的建设，这些系统涉及包河区人民法院各方面的数据， 从国家要求方面，为进一步落实“等级保护”，夯实等级保护作为国家信息安全国策的成果，要求各单位对现有系统进行定级工作，而且已经要求开展进行整改工作。同时由全国人民代表大会常务委员会于2016年11月7日发布，自2017年6月1日起施行《中华人民共和国网络安全法》中第二十一条“国家实行网络安全等级保护制度。网络运营者应当按照网络安全你等级保护制度的要求，履行下列安全保护义务，保障网络免受干扰、破坏或者未经授权的访问，防止网络数据泄露或者被窃取、篡改”的规定，明确要求信息安全建设要符合等级保护的要求。</w:t>
      </w:r>
    </w:p>
    <w:p>
      <w:pPr>
        <w:spacing w:line="360" w:lineRule="auto"/>
        <w:ind w:firstLine="560" w:firstLineChars="200"/>
        <w:rPr>
          <w:rFonts w:ascii="宋体" w:hAnsi="宋体" w:eastAsia="宋体"/>
          <w:sz w:val="28"/>
          <w:szCs w:val="28"/>
        </w:rPr>
      </w:pPr>
      <w:r>
        <w:rPr>
          <w:rFonts w:ascii="宋体" w:hAnsi="宋体" w:eastAsia="宋体"/>
          <w:sz w:val="28"/>
          <w:szCs w:val="28"/>
        </w:rPr>
        <w:t>从网络安全角度来说，近年“勒索加密软件”攻击频繁，各行各业的用户遭受NSA“永恒之蓝”和“暗云Ⅲ”黑客武器的远程攻击，导致文档被加密，需支付比特币解锁的事件，反映出网络安全防护的重要性，同时更加反映出我们多数人“信息安全意识”的薄弱，随意点击莫名邮件、恶意链接等。</w:t>
      </w:r>
    </w:p>
    <w:p>
      <w:pPr>
        <w:spacing w:line="360" w:lineRule="auto"/>
        <w:ind w:firstLine="560" w:firstLineChars="200"/>
        <w:rPr>
          <w:rFonts w:ascii="宋体" w:hAnsi="宋体" w:eastAsia="宋体"/>
          <w:sz w:val="28"/>
          <w:szCs w:val="28"/>
        </w:rPr>
      </w:pPr>
      <w:r>
        <w:rPr>
          <w:rFonts w:ascii="宋体" w:hAnsi="宋体" w:eastAsia="宋体"/>
          <w:sz w:val="28"/>
          <w:szCs w:val="28"/>
        </w:rPr>
        <w:t>因此，紧迫需要依据国家和最高院的网络安全工作要求落实本次包河区人民法院网络安全更新升级服务，同时加强使用人员的安全意识，注重安全知识的分享。</w:t>
      </w:r>
    </w:p>
    <w:p>
      <w:pPr>
        <w:spacing w:line="360" w:lineRule="auto"/>
        <w:rPr>
          <w:rFonts w:ascii="宋体" w:hAnsi="宋体" w:eastAsia="宋体"/>
          <w:b/>
          <w:bCs/>
          <w:sz w:val="28"/>
          <w:szCs w:val="28"/>
        </w:rPr>
      </w:pPr>
      <w:r>
        <w:rPr>
          <w:rFonts w:ascii="宋体" w:hAnsi="宋体" w:eastAsia="宋体"/>
          <w:b/>
          <w:bCs/>
          <w:sz w:val="28"/>
          <w:szCs w:val="28"/>
        </w:rPr>
        <w:t>三、货物需求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9"/>
        <w:gridCol w:w="5245"/>
        <w:gridCol w:w="992"/>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b/>
                <w:bCs/>
                <w:sz w:val="28"/>
                <w:szCs w:val="28"/>
              </w:rPr>
            </w:pPr>
            <w:r>
              <w:rPr>
                <w:rFonts w:hint="eastAsia" w:ascii="宋体" w:hAnsi="宋体" w:eastAsia="宋体"/>
                <w:b/>
                <w:bCs/>
                <w:sz w:val="28"/>
                <w:szCs w:val="28"/>
              </w:rPr>
              <w:t>序号</w:t>
            </w:r>
          </w:p>
        </w:tc>
        <w:tc>
          <w:tcPr>
            <w:tcW w:w="1559" w:type="dxa"/>
            <w:vAlign w:val="center"/>
          </w:tcPr>
          <w:p>
            <w:pPr>
              <w:jc w:val="center"/>
              <w:rPr>
                <w:rFonts w:ascii="宋体" w:hAnsi="宋体" w:eastAsia="宋体"/>
                <w:b/>
                <w:bCs/>
                <w:sz w:val="28"/>
                <w:szCs w:val="28"/>
              </w:rPr>
            </w:pPr>
            <w:r>
              <w:rPr>
                <w:rFonts w:hint="eastAsia" w:ascii="宋体" w:hAnsi="宋体" w:eastAsia="宋体"/>
                <w:b/>
                <w:bCs/>
                <w:sz w:val="28"/>
                <w:szCs w:val="28"/>
              </w:rPr>
              <w:t>货物名称</w:t>
            </w:r>
          </w:p>
        </w:tc>
        <w:tc>
          <w:tcPr>
            <w:tcW w:w="5245" w:type="dxa"/>
            <w:vAlign w:val="center"/>
          </w:tcPr>
          <w:p>
            <w:pPr>
              <w:jc w:val="center"/>
              <w:rPr>
                <w:rFonts w:ascii="宋体" w:hAnsi="宋体" w:eastAsia="宋体"/>
                <w:b/>
                <w:bCs/>
                <w:sz w:val="28"/>
                <w:szCs w:val="28"/>
              </w:rPr>
            </w:pPr>
            <w:r>
              <w:rPr>
                <w:rFonts w:hint="eastAsia" w:ascii="宋体" w:hAnsi="宋体" w:eastAsia="宋体"/>
                <w:b/>
                <w:bCs/>
                <w:sz w:val="28"/>
                <w:szCs w:val="28"/>
              </w:rPr>
              <w:t>技术参数及要求</w:t>
            </w:r>
          </w:p>
        </w:tc>
        <w:tc>
          <w:tcPr>
            <w:tcW w:w="992" w:type="dxa"/>
            <w:vAlign w:val="center"/>
          </w:tcPr>
          <w:p>
            <w:pPr>
              <w:jc w:val="center"/>
              <w:rPr>
                <w:rFonts w:ascii="宋体" w:hAnsi="宋体" w:eastAsia="宋体"/>
                <w:b/>
                <w:bCs/>
                <w:sz w:val="28"/>
                <w:szCs w:val="28"/>
              </w:rPr>
            </w:pPr>
            <w:r>
              <w:rPr>
                <w:rFonts w:hint="eastAsia" w:ascii="宋体" w:hAnsi="宋体" w:eastAsia="宋体"/>
                <w:b/>
                <w:bCs/>
                <w:sz w:val="28"/>
                <w:szCs w:val="28"/>
              </w:rPr>
              <w:t>数量</w:t>
            </w:r>
          </w:p>
        </w:tc>
        <w:tc>
          <w:tcPr>
            <w:tcW w:w="1351" w:type="dxa"/>
            <w:vAlign w:val="center"/>
          </w:tcPr>
          <w:p>
            <w:pPr>
              <w:jc w:val="center"/>
              <w:rPr>
                <w:rFonts w:ascii="宋体" w:hAnsi="宋体" w:eastAsia="宋体"/>
                <w:b/>
                <w:bCs/>
                <w:sz w:val="28"/>
                <w:szCs w:val="28"/>
              </w:rPr>
            </w:pPr>
            <w:r>
              <w:rPr>
                <w:rFonts w:hint="eastAsia" w:ascii="宋体" w:hAnsi="宋体" w:eastAsia="宋体"/>
                <w:b/>
                <w:bCs/>
                <w:sz w:val="28"/>
                <w:szCs w:val="28"/>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sz w:val="28"/>
                <w:szCs w:val="28"/>
              </w:rPr>
            </w:pPr>
            <w:r>
              <w:rPr>
                <w:rFonts w:hint="eastAsia" w:ascii="宋体" w:hAnsi="宋体" w:eastAsia="宋体"/>
                <w:sz w:val="28"/>
                <w:szCs w:val="28"/>
              </w:rPr>
              <w:t>1</w:t>
            </w:r>
          </w:p>
        </w:tc>
        <w:tc>
          <w:tcPr>
            <w:tcW w:w="1559" w:type="dxa"/>
            <w:vAlign w:val="center"/>
          </w:tcPr>
          <w:p>
            <w:pPr>
              <w:jc w:val="center"/>
              <w:rPr>
                <w:rFonts w:ascii="宋体" w:hAnsi="宋体" w:eastAsia="宋体"/>
                <w:sz w:val="28"/>
                <w:szCs w:val="28"/>
              </w:rPr>
            </w:pPr>
            <w:r>
              <w:rPr>
                <w:rFonts w:hint="eastAsia" w:ascii="宋体" w:hAnsi="宋体" w:eastAsia="宋体"/>
                <w:sz w:val="28"/>
                <w:szCs w:val="28"/>
              </w:rPr>
              <w:t>下一代防火墙</w:t>
            </w:r>
          </w:p>
        </w:tc>
        <w:tc>
          <w:tcPr>
            <w:tcW w:w="5245" w:type="dxa"/>
          </w:tcPr>
          <w:p>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要求设备</w:t>
            </w:r>
            <w:r>
              <w:rPr>
                <w:rFonts w:ascii="宋体" w:hAnsi="宋体" w:eastAsia="宋体"/>
                <w:sz w:val="24"/>
                <w:szCs w:val="24"/>
              </w:rPr>
              <w:t>采用多核处理器硬件构架，</w:t>
            </w:r>
            <w:r>
              <w:rPr>
                <w:rFonts w:hint="eastAsia" w:ascii="宋体" w:hAnsi="宋体" w:eastAsia="宋体"/>
                <w:sz w:val="24"/>
                <w:szCs w:val="24"/>
              </w:rPr>
              <w:t>设备</w:t>
            </w:r>
            <w:r>
              <w:rPr>
                <w:rFonts w:ascii="宋体" w:hAnsi="宋体" w:eastAsia="宋体"/>
                <w:sz w:val="24"/>
                <w:szCs w:val="24"/>
              </w:rPr>
              <w:t>标准1U机架设备，≥8个千兆电口,≥2个千兆光口，≥2个万兆光口，≥1个接口扩展插槽，配置冗余双电源；吞吐量≥20Gbps，最大并发连接数≥200万，每秒新建连接数≥12万</w:t>
            </w:r>
            <w:r>
              <w:rPr>
                <w:rFonts w:hint="eastAsia" w:ascii="宋体" w:hAnsi="宋体" w:eastAsia="宋体"/>
                <w:sz w:val="24"/>
                <w:szCs w:val="24"/>
              </w:rPr>
              <w:t>。为保证网络接口的扩展性，要求提供第三方外部接口扩展器，具备</w:t>
            </w:r>
            <w:r>
              <w:rPr>
                <w:rFonts w:ascii="宋体" w:hAnsi="宋体" w:eastAsia="宋体"/>
                <w:sz w:val="24"/>
                <w:szCs w:val="24"/>
              </w:rPr>
              <w:t>≥</w:t>
            </w: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sz w:val="24"/>
                <w:szCs w:val="24"/>
              </w:rPr>
              <w:t>千兆电口，4个千兆光口。要求提供3年软硬件质保，并要求开通防火墙所有功能模块，并要求提供一年模块升级服务，要求至少包含</w:t>
            </w:r>
            <w:r>
              <w:rPr>
                <w:rFonts w:ascii="宋体" w:hAnsi="宋体" w:eastAsia="宋体"/>
                <w:sz w:val="24"/>
                <w:szCs w:val="24"/>
              </w:rPr>
              <w:t>应用识别库、URL分类特征库、病毒防护特征库、入侵防御特征库升级服务及威胁情报订阅服务</w:t>
            </w:r>
            <w:r>
              <w:rPr>
                <w:rFonts w:hint="eastAsia" w:ascii="宋体" w:hAnsi="宋体" w:eastAsia="宋体"/>
                <w:sz w:val="24"/>
                <w:szCs w:val="24"/>
              </w:rPr>
              <w:t>，要求提供原厂商售后服务承诺函。</w:t>
            </w:r>
          </w:p>
          <w:p>
            <w:pPr>
              <w:rPr>
                <w:rFonts w:ascii="宋体" w:hAnsi="宋体" w:eastAsia="宋体"/>
                <w:sz w:val="24"/>
                <w:szCs w:val="24"/>
              </w:rPr>
            </w:pPr>
            <w:r>
              <w:rPr>
                <w:rFonts w:ascii="宋体" w:hAnsi="宋体" w:eastAsia="宋体"/>
                <w:sz w:val="24"/>
                <w:szCs w:val="24"/>
              </w:rPr>
              <w:t>2、支持基于IP、应用、服务的策略路由进行智能选路，支持源地址目的地址哈希、源地址哈希、时延负载、最优链路带宽负载、最优链路带宽备份、跳数等不少于12种路由负载均衡方式；支持HDLC-</w:t>
            </w:r>
            <w:r>
              <w:rPr>
                <w:rFonts w:hint="eastAsia" w:ascii="宋体" w:hAnsi="宋体" w:eastAsia="宋体"/>
                <w:sz w:val="24"/>
                <w:szCs w:val="24"/>
              </w:rPr>
              <w:t>S</w:t>
            </w:r>
            <w:r>
              <w:rPr>
                <w:rFonts w:ascii="宋体" w:hAnsi="宋体" w:eastAsia="宋体"/>
                <w:sz w:val="24"/>
                <w:szCs w:val="24"/>
              </w:rPr>
              <w:t>K</w:t>
            </w:r>
            <w:r>
              <w:rPr>
                <w:rFonts w:hint="eastAsia" w:ascii="宋体" w:hAnsi="宋体" w:eastAsia="宋体"/>
                <w:sz w:val="24"/>
                <w:szCs w:val="24"/>
              </w:rPr>
              <w:t>MA协议</w:t>
            </w:r>
            <w:r>
              <w:rPr>
                <w:rFonts w:ascii="宋体" w:hAnsi="宋体" w:eastAsia="宋体"/>
                <w:sz w:val="24"/>
                <w:szCs w:val="24"/>
              </w:rPr>
              <w:t>；支持MPLS流量透传，支持MTU≥9000 byte的巨型帧通过设备传输时不分段，且MTU值可调；</w:t>
            </w:r>
          </w:p>
          <w:p>
            <w:pPr>
              <w:rPr>
                <w:rFonts w:ascii="宋体" w:hAnsi="宋体" w:eastAsia="宋体"/>
                <w:sz w:val="24"/>
                <w:szCs w:val="24"/>
              </w:rPr>
            </w:pPr>
            <w:r>
              <w:rPr>
                <w:rFonts w:ascii="宋体" w:hAnsi="宋体" w:eastAsia="宋体"/>
                <w:sz w:val="24"/>
                <w:szCs w:val="24"/>
              </w:rPr>
              <w:t>★3、支持基于源目的IP地址、源目的安全域、VLAN ID、MA风险感知能力地址、时间、用户、地理区域、服务协议及应用等多种方式进行访问控制；要求支持IPv6安全策略及IPV6下的IPS、AV、URL、内容过滤、QoS及行为管控功能，需提供高性能IPV6防火墙著作权证书；</w:t>
            </w:r>
          </w:p>
          <w:p>
            <w:pP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、支持本地、云端双擎查杀能力，必须能够对HTTP/FTP/POP3/SMTP/IMAP/SMB六种协议进行病毒查杀，以及对至少6级压缩文件进行解压查杀，需提供私有云病毒查杀引擎软件著作权证书；</w:t>
            </w:r>
          </w:p>
          <w:p>
            <w:pPr>
              <w:rPr>
                <w:rFonts w:ascii="宋体" w:hAnsi="宋体" w:eastAsia="宋体"/>
                <w:sz w:val="24"/>
                <w:szCs w:val="24"/>
              </w:rPr>
            </w:pPr>
            <w:r>
              <w:rPr>
                <w:rFonts w:ascii="宋体" w:hAnsi="宋体" w:eastAsia="宋体"/>
                <w:sz w:val="24"/>
                <w:szCs w:val="24"/>
              </w:rPr>
              <w:t>5、风险感知能力：支持统计网络中确认失陷的主机及有风险但不能完全确认为失陷的主机数量及风险等级状态，并支持查看失陷时间、威胁类别、情报来源、威胁简介、失陷主机IP、用户名、资产等信息，并支持一键跳转处置；采用语境关联分析技术，自动将用户网络中产生威胁事件的连接经过防病毒、防漏洞、防间谍软件、URL过滤、文件过滤等安全模块检查的日志集中显示，需提供语境关联分析著作权证书；</w:t>
            </w:r>
          </w:p>
          <w:p>
            <w:pPr>
              <w:rPr>
                <w:rFonts w:ascii="宋体" w:hAnsi="宋体" w:eastAsia="宋体"/>
                <w:sz w:val="24"/>
                <w:szCs w:val="24"/>
              </w:rPr>
            </w:pPr>
            <w:r>
              <w:rPr>
                <w:rFonts w:ascii="宋体" w:hAnsi="宋体" w:eastAsia="宋体"/>
                <w:sz w:val="24"/>
                <w:szCs w:val="24"/>
              </w:rPr>
              <w:t>6、支持威胁情报联动，可基于主机或威胁情报维度统计网络中确认被入侵的主机数量，同时可记录主机被入侵、攻破的时间、威胁类别、情报来源、威胁简介、被入侵、攻破的主机IP、用户名、资产等信息；并对威胁情报发现的恶意主机执行自动阻断；并可在产品本地显示威胁情报详情；</w:t>
            </w:r>
          </w:p>
          <w:p>
            <w:pPr>
              <w:rPr>
                <w:rFonts w:ascii="宋体" w:hAnsi="宋体" w:eastAsia="宋体"/>
                <w:sz w:val="24"/>
                <w:szCs w:val="24"/>
              </w:rPr>
            </w:pPr>
            <w:r>
              <w:rPr>
                <w:rFonts w:ascii="宋体" w:hAnsi="宋体" w:eastAsia="宋体"/>
                <w:sz w:val="24"/>
                <w:szCs w:val="24"/>
              </w:rPr>
              <w:t>7、应内置高质量漏洞攻击特征，应能够防御“永恒之蓝”、“震网三代”、“暗云3”、“Struts”、“Struts2”、“Xshell后门代码”等高危流行漏洞；漏洞特征应具备丰富的描述信息，至少包括对应的攻击的名称、CVEID、CNNVDID、严重性、影响的平台、类型、描述等详细信息，提供漏洞截图证明；</w:t>
            </w:r>
          </w:p>
          <w:p>
            <w:pPr>
              <w:rPr>
                <w:rFonts w:ascii="宋体" w:hAnsi="宋体" w:eastAsia="宋体"/>
                <w:sz w:val="24"/>
                <w:szCs w:val="24"/>
              </w:rPr>
            </w:pPr>
            <w:r>
              <w:rPr>
                <w:rFonts w:ascii="宋体" w:hAnsi="宋体" w:eastAsia="宋体"/>
                <w:sz w:val="24"/>
                <w:szCs w:val="24"/>
              </w:rPr>
              <w:t>★8、资质：设备须具备公安部销售许可证（增强级）、EAL4+证书；设备须具备高性能一体化安全处理引擎著作权证书，厂商为信息安全等级保护关键技术国家工程实验室单位共建协议（提供协议）；</w:t>
            </w:r>
          </w:p>
        </w:tc>
        <w:tc>
          <w:tcPr>
            <w:tcW w:w="992" w:type="dxa"/>
            <w:vAlign w:val="center"/>
          </w:tcPr>
          <w:p>
            <w:pPr>
              <w:jc w:val="center"/>
              <w:rPr>
                <w:rFonts w:ascii="宋体" w:hAnsi="宋体" w:eastAsia="宋体"/>
                <w:sz w:val="28"/>
                <w:szCs w:val="28"/>
              </w:rPr>
            </w:pPr>
            <w:r>
              <w:rPr>
                <w:rFonts w:hint="eastAsia" w:ascii="宋体" w:hAnsi="宋体" w:eastAsia="宋体"/>
                <w:sz w:val="28"/>
                <w:szCs w:val="28"/>
              </w:rPr>
              <w:t>1台</w:t>
            </w:r>
          </w:p>
        </w:tc>
        <w:tc>
          <w:tcPr>
            <w:tcW w:w="1351" w:type="dxa"/>
            <w:vAlign w:val="center"/>
          </w:tcPr>
          <w:p>
            <w:pPr>
              <w:jc w:val="center"/>
              <w:rPr>
                <w:rFonts w:ascii="宋体" w:hAnsi="宋体" w:eastAsia="宋体"/>
                <w:sz w:val="24"/>
                <w:szCs w:val="24"/>
              </w:rPr>
            </w:pPr>
            <w:r>
              <w:rPr>
                <w:rFonts w:ascii="宋体" w:hAnsi="宋体" w:eastAsia="宋体"/>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sz w:val="28"/>
                <w:szCs w:val="28"/>
              </w:rPr>
            </w:pPr>
            <w:r>
              <w:rPr>
                <w:rFonts w:hint="eastAsia" w:ascii="宋体" w:hAnsi="宋体" w:eastAsia="宋体"/>
                <w:sz w:val="28"/>
                <w:szCs w:val="28"/>
              </w:rPr>
              <w:t>2</w:t>
            </w:r>
          </w:p>
        </w:tc>
        <w:tc>
          <w:tcPr>
            <w:tcW w:w="1559" w:type="dxa"/>
            <w:vAlign w:val="center"/>
          </w:tcPr>
          <w:p>
            <w:pPr>
              <w:jc w:val="center"/>
              <w:rPr>
                <w:rFonts w:ascii="宋体" w:hAnsi="宋体" w:eastAsia="宋体"/>
                <w:sz w:val="28"/>
                <w:szCs w:val="28"/>
              </w:rPr>
            </w:pPr>
            <w:r>
              <w:rPr>
                <w:rFonts w:hint="eastAsia" w:ascii="宋体" w:hAnsi="宋体" w:eastAsia="宋体"/>
                <w:sz w:val="28"/>
                <w:szCs w:val="28"/>
              </w:rPr>
              <w:t>入侵防御设备</w:t>
            </w:r>
          </w:p>
        </w:tc>
        <w:tc>
          <w:tcPr>
            <w:tcW w:w="5245" w:type="dxa"/>
          </w:tcPr>
          <w:p>
            <w:pPr>
              <w:rPr>
                <w:rFonts w:ascii="宋体" w:hAnsi="宋体" w:eastAsia="宋体"/>
                <w:sz w:val="24"/>
                <w:szCs w:val="24"/>
              </w:rPr>
            </w:pPr>
            <w:r>
              <w:rPr>
                <w:rFonts w:ascii="宋体" w:hAnsi="宋体" w:eastAsia="宋体"/>
                <w:sz w:val="24"/>
                <w:szCs w:val="24"/>
              </w:rPr>
              <w:t>1、采用多核硬件平台和安全操作系统，提供多核多平台并行安全操作系统计算机软件著作权登记证书，标准机架式设备，网络层吞吐≥3Gbps，IPS吞吐≥1Gbps，并发链接≥80万，新建速率≥3万/秒；≥6个千兆电口 ，≥2个接口扩展槽，2个USB接口，1T机械硬盘，包含一年IPS特征库升级服务，三年硬件质保服务，投标时提供厂商售后服务承诺函。</w:t>
            </w:r>
          </w:p>
          <w:p>
            <w:pPr>
              <w:rPr>
                <w:rFonts w:ascii="宋体" w:hAnsi="宋体" w:eastAsia="宋体"/>
                <w:sz w:val="24"/>
                <w:szCs w:val="24"/>
              </w:rPr>
            </w:pPr>
            <w:r>
              <w:rPr>
                <w:rFonts w:ascii="宋体" w:hAnsi="宋体" w:eastAsia="宋体"/>
                <w:sz w:val="24"/>
                <w:szCs w:val="24"/>
              </w:rPr>
              <w:t>2、支持基于IP、接口、应用的安全检查模式。支持AV病毒检测引擎，内置病毒特征不少于10万条。内置IDS、AV、应用特征库，在此传统特征库基础之上，增加了木马库，webmail等特征库。支持HDLC-MSK；</w:t>
            </w:r>
          </w:p>
          <w:p>
            <w:pPr>
              <w:rPr>
                <w:rFonts w:ascii="宋体" w:hAnsi="宋体" w:eastAsia="宋体"/>
                <w:sz w:val="24"/>
                <w:szCs w:val="24"/>
              </w:rPr>
            </w:pPr>
            <w:r>
              <w:rPr>
                <w:rFonts w:ascii="宋体" w:hAnsi="宋体" w:eastAsia="宋体"/>
                <w:sz w:val="24"/>
                <w:szCs w:val="24"/>
              </w:rPr>
              <w:t xml:space="preserve">★3、内置4000种以上的攻击特征，能够检测包括溢出攻击类、RPC攻击类、WEBCGI攻击类、拒绝服务类、木马类、蠕虫类、扫描类、网络访问类、HTTP攻击类、系统漏洞类等攻击；支持AV病毒检测引擎，提供私有云病毒查杀引擎软件著作权证书，内置病毒特征不少于10万条；内置URL分类库，具有不少于 1万条URL地址库； </w:t>
            </w:r>
          </w:p>
          <w:p>
            <w:pPr>
              <w:rPr>
                <w:rFonts w:ascii="宋体" w:hAnsi="宋体" w:eastAsia="宋体"/>
                <w:sz w:val="24"/>
                <w:szCs w:val="24"/>
              </w:rPr>
            </w:pPr>
            <w:r>
              <w:rPr>
                <w:rFonts w:ascii="宋体" w:hAnsi="宋体" w:eastAsia="宋体"/>
                <w:sz w:val="24"/>
                <w:szCs w:val="24"/>
              </w:rPr>
              <w:t>4、安全防护：支持4种安全防护模式，基于网络、用户、应用以及云租户；支持基于租户的NAT、IP地址配置、IP_MAC绑定、病毒过滤和防挂马、入侵防护、攻击防护、应用识别、文件控制、ARP防护、内容安全特性（邮件、网页的内容过滤）、策略/静态/多出口路由，采用语境关联分析技术实现准确的攻击及应用威胁识别，提供语境关联分析软件著作权；</w:t>
            </w:r>
          </w:p>
          <w:p>
            <w:pPr>
              <w:rPr>
                <w:rFonts w:ascii="宋体" w:hAnsi="宋体" w:eastAsia="宋体"/>
                <w:sz w:val="24"/>
                <w:szCs w:val="24"/>
              </w:rPr>
            </w:pPr>
            <w:r>
              <w:rPr>
                <w:rFonts w:ascii="宋体" w:hAnsi="宋体" w:eastAsia="宋体"/>
                <w:sz w:val="24"/>
                <w:szCs w:val="24"/>
              </w:rPr>
              <w:t>5、安全审计：支持将日志存储在本地，支持全部日志按天和统一格式存储，可以通过web页面查看历史日志列表，且可以针对列表日志进行删除、导出等操作；支持历史日志，保证设备掉电后仍然可以保留上次运行的日志记录；</w:t>
            </w:r>
          </w:p>
          <w:p>
            <w:pPr>
              <w:rPr>
                <w:rFonts w:ascii="宋体" w:hAnsi="宋体" w:eastAsia="宋体"/>
                <w:sz w:val="24"/>
                <w:szCs w:val="24"/>
              </w:rPr>
            </w:pPr>
            <w:r>
              <w:rPr>
                <w:rFonts w:ascii="宋体" w:hAnsi="宋体" w:eastAsia="宋体"/>
                <w:sz w:val="24"/>
                <w:szCs w:val="24"/>
              </w:rPr>
              <w:t>6、安全审计：支持全部日志按天和统一格式存储，可以通过web页面查看历史日志列表，且可以针对列表日志进行删除、导出等操作；</w:t>
            </w:r>
          </w:p>
          <w:p>
            <w:pPr>
              <w:rPr>
                <w:rFonts w:ascii="宋体" w:hAnsi="宋体" w:eastAsia="宋体"/>
                <w:sz w:val="24"/>
                <w:szCs w:val="24"/>
              </w:rPr>
            </w:pPr>
            <w:r>
              <w:rPr>
                <w:rFonts w:ascii="宋体" w:hAnsi="宋体" w:eastAsia="宋体"/>
                <w:sz w:val="24"/>
                <w:szCs w:val="24"/>
              </w:rPr>
              <w:t>7、应用识别：支持基于安卓开发的多种社交软件和应用，如，微信、飞信、新浪微博、网易新闻、百度新闻等；</w:t>
            </w:r>
          </w:p>
          <w:p>
            <w:pPr>
              <w:rPr>
                <w:rFonts w:ascii="宋体" w:hAnsi="宋体" w:eastAsia="宋体"/>
                <w:sz w:val="24"/>
                <w:szCs w:val="24"/>
              </w:rPr>
            </w:pPr>
            <w:r>
              <w:rPr>
                <w:rFonts w:ascii="宋体" w:hAnsi="宋体" w:eastAsia="宋体"/>
                <w:sz w:val="24"/>
                <w:szCs w:val="24"/>
              </w:rPr>
              <w:t>8、安全可视：设备可以图形化展示应用风险指数、网络风险指数便于用户整体了解网络风险等级；</w:t>
            </w:r>
          </w:p>
          <w:p>
            <w:pPr>
              <w:rPr>
                <w:rFonts w:ascii="宋体" w:hAnsi="宋体" w:eastAsia="宋体"/>
                <w:sz w:val="24"/>
                <w:szCs w:val="24"/>
              </w:rPr>
            </w:pPr>
            <w:r>
              <w:rPr>
                <w:rFonts w:ascii="宋体" w:hAnsi="宋体" w:eastAsia="宋体"/>
                <w:sz w:val="24"/>
                <w:szCs w:val="24"/>
              </w:rPr>
              <w:t xml:space="preserve">9、系统管理：支持通过web方式调用设备命令行窗口功能，无需登录串口就可对设备进行命令行操作； </w:t>
            </w:r>
          </w:p>
          <w:p>
            <w:pPr>
              <w:rPr>
                <w:rFonts w:ascii="宋体" w:hAnsi="宋体" w:eastAsia="宋体"/>
                <w:sz w:val="24"/>
                <w:szCs w:val="24"/>
              </w:rPr>
            </w:pPr>
            <w:r>
              <w:rPr>
                <w:rFonts w:ascii="宋体" w:hAnsi="宋体" w:eastAsia="宋体"/>
                <w:sz w:val="24"/>
                <w:szCs w:val="24"/>
              </w:rPr>
              <w:t>10、资质：提供公安部销售许可证</w:t>
            </w:r>
          </w:p>
        </w:tc>
        <w:tc>
          <w:tcPr>
            <w:tcW w:w="992" w:type="dxa"/>
            <w:vAlign w:val="center"/>
          </w:tcPr>
          <w:p>
            <w:pPr>
              <w:jc w:val="center"/>
              <w:rPr>
                <w:rFonts w:ascii="宋体" w:hAnsi="宋体" w:eastAsia="宋体"/>
                <w:sz w:val="28"/>
                <w:szCs w:val="28"/>
              </w:rPr>
            </w:pPr>
            <w:r>
              <w:rPr>
                <w:rFonts w:hint="eastAsia" w:ascii="宋体" w:hAnsi="宋体" w:eastAsia="宋体"/>
                <w:sz w:val="28"/>
                <w:szCs w:val="28"/>
              </w:rPr>
              <w:t>1台</w:t>
            </w:r>
          </w:p>
        </w:tc>
        <w:tc>
          <w:tcPr>
            <w:tcW w:w="1351" w:type="dxa"/>
            <w:vAlign w:val="center"/>
          </w:tcPr>
          <w:p>
            <w:pPr>
              <w:jc w:val="center"/>
              <w:rPr>
                <w:rFonts w:ascii="宋体" w:hAnsi="宋体" w:eastAsia="宋体"/>
                <w:sz w:val="24"/>
                <w:szCs w:val="24"/>
              </w:rPr>
            </w:pPr>
            <w:r>
              <w:rPr>
                <w:rFonts w:ascii="宋体" w:hAnsi="宋体" w:eastAsia="宋体"/>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sz w:val="28"/>
                <w:szCs w:val="28"/>
              </w:rPr>
            </w:pPr>
            <w:r>
              <w:rPr>
                <w:rFonts w:hint="eastAsia" w:ascii="宋体" w:hAnsi="宋体" w:eastAsia="宋体"/>
                <w:sz w:val="28"/>
                <w:szCs w:val="28"/>
              </w:rPr>
              <w:t>3</w:t>
            </w:r>
          </w:p>
        </w:tc>
        <w:tc>
          <w:tcPr>
            <w:tcW w:w="1559" w:type="dxa"/>
            <w:vAlign w:val="center"/>
          </w:tcPr>
          <w:p>
            <w:pPr>
              <w:jc w:val="center"/>
              <w:rPr>
                <w:rFonts w:ascii="宋体" w:hAnsi="宋体" w:eastAsia="宋体"/>
                <w:sz w:val="28"/>
                <w:szCs w:val="28"/>
              </w:rPr>
            </w:pPr>
            <w:r>
              <w:rPr>
                <w:rFonts w:hint="eastAsia" w:ascii="宋体" w:hAnsi="宋体" w:eastAsia="宋体"/>
                <w:sz w:val="28"/>
                <w:szCs w:val="28"/>
              </w:rPr>
              <w:t>日志审计</w:t>
            </w:r>
          </w:p>
          <w:p>
            <w:pPr>
              <w:jc w:val="center"/>
              <w:rPr>
                <w:rFonts w:ascii="宋体" w:hAnsi="宋体" w:eastAsia="宋体"/>
                <w:sz w:val="28"/>
                <w:szCs w:val="28"/>
              </w:rPr>
            </w:pPr>
            <w:r>
              <w:rPr>
                <w:rFonts w:hint="eastAsia" w:ascii="宋体" w:hAnsi="宋体" w:eastAsia="宋体"/>
                <w:sz w:val="28"/>
                <w:szCs w:val="28"/>
              </w:rPr>
              <w:t>▲</w:t>
            </w:r>
          </w:p>
        </w:tc>
        <w:tc>
          <w:tcPr>
            <w:tcW w:w="5245" w:type="dxa"/>
          </w:tcPr>
          <w:p>
            <w:pPr>
              <w:rPr>
                <w:rFonts w:ascii="宋体" w:hAnsi="宋体" w:eastAsia="宋体"/>
                <w:sz w:val="24"/>
                <w:szCs w:val="24"/>
              </w:rPr>
            </w:pPr>
            <w:r>
              <w:rPr>
                <w:rFonts w:ascii="宋体" w:hAnsi="宋体" w:eastAsia="宋体"/>
                <w:sz w:val="24"/>
                <w:szCs w:val="24"/>
              </w:rPr>
              <w:t>1、专用硬件平台和安全操作系统，标准机架式设备，事件采集2000EPS，≥6个千兆电口，≥2个扩展插槽，1个Console接口，≥2T硬盘。此次配置25授权节点，含三年硬件质保服务，投标时提供厂商售后服务承诺函。</w:t>
            </w:r>
          </w:p>
          <w:p>
            <w:pPr>
              <w:rPr>
                <w:rFonts w:ascii="宋体" w:hAnsi="宋体" w:eastAsia="宋体"/>
                <w:sz w:val="24"/>
                <w:szCs w:val="24"/>
              </w:rPr>
            </w:pPr>
            <w:r>
              <w:rPr>
                <w:rFonts w:ascii="宋体" w:hAnsi="宋体" w:eastAsia="宋体"/>
                <w:sz w:val="24"/>
                <w:szCs w:val="24"/>
              </w:rPr>
              <w:t>2、支持审计范围：支持安全设备、路由器、交换机、BRAS设备、网络设备，各类主机、数据库、web服务器，标准Syslog设备日志。对所有日志进行统一集中收集、归并、存储管理和磁盘阵列存储。支持HDLC-MSK；</w:t>
            </w:r>
          </w:p>
          <w:p>
            <w:pPr>
              <w:rPr>
                <w:rFonts w:ascii="宋体" w:hAnsi="宋体" w:eastAsia="宋体"/>
                <w:sz w:val="24"/>
                <w:szCs w:val="24"/>
              </w:rPr>
            </w:pPr>
            <w:r>
              <w:rPr>
                <w:rFonts w:ascii="宋体" w:hAnsi="宋体" w:eastAsia="宋体"/>
                <w:sz w:val="24"/>
                <w:szCs w:val="24"/>
              </w:rPr>
              <w:t>3、支持审计对象：通过旁路部署探测设备，支持对FTP/Telnet/Http应用层协议的解析、行为监控、还原，对高危操作实时告警，及时发现和制止异常行为，有效的用户行为监管；支持DB2、Oracle、Informix、Sybase、SQL server数据库的操作审计，使管理员实时掌握数据库动态，保障数据安全；</w:t>
            </w:r>
          </w:p>
          <w:p>
            <w:pPr>
              <w:rPr>
                <w:rFonts w:ascii="宋体" w:hAnsi="宋体" w:eastAsia="宋体"/>
                <w:sz w:val="24"/>
                <w:szCs w:val="24"/>
              </w:rPr>
            </w:pPr>
            <w:r>
              <w:rPr>
                <w:rFonts w:ascii="宋体" w:hAnsi="宋体" w:eastAsia="宋体"/>
                <w:sz w:val="24"/>
                <w:szCs w:val="24"/>
              </w:rPr>
              <w:t>4、支持资产管理：可按照设备资产重要程度和管理域的方式组织设备资产，提供便捷的添加、修改、删除、查询与统计功能，支持资产信息的批量导入，便于安全管理和系统管理人员能方便地查找所需设备资产的信息，并对资产进行关键度赋值。支持对资产日志进行过滤，设置允许接收和拒绝接收日志，并可以对资产设置一定时间范围内未收到事件后进行主动告警；</w:t>
            </w:r>
          </w:p>
          <w:p>
            <w:pPr>
              <w:rPr>
                <w:rFonts w:ascii="宋体" w:hAnsi="宋体" w:eastAsia="宋体"/>
                <w:sz w:val="24"/>
                <w:szCs w:val="24"/>
              </w:rPr>
            </w:pPr>
            <w:r>
              <w:rPr>
                <w:rFonts w:ascii="宋体" w:hAnsi="宋体" w:eastAsia="宋体"/>
                <w:sz w:val="24"/>
                <w:szCs w:val="24"/>
              </w:rPr>
              <w:t>5、支持日志采集方式：支持syslog、snmp trap、netflow、netscreem、jdbc、odbc、opensec lea、agent代理、wmi等多种方式完成各种日志的收集功能，具备高性能syslog日志处理和存储能力满足高性能的日志的处理需求；</w:t>
            </w:r>
          </w:p>
          <w:p>
            <w:pPr>
              <w:rPr>
                <w:rFonts w:ascii="宋体" w:hAnsi="宋体" w:eastAsia="宋体"/>
                <w:sz w:val="24"/>
                <w:szCs w:val="24"/>
              </w:rPr>
            </w:pPr>
            <w:r>
              <w:rPr>
                <w:rFonts w:ascii="宋体" w:hAnsi="宋体" w:eastAsia="宋体"/>
                <w:sz w:val="24"/>
                <w:szCs w:val="24"/>
              </w:rPr>
              <w:t>6、支持日志实时监视：提供实时的日志滚动显示和查询，可查看实时日志详细信息，可通过图示等直观显示目前日志量，可以控制日志对管理员账号的可见性管理。支持自定义实时监视场景，提供可视化规则编辑视图，对关注的事件进行实时展示，支持对于事件进行关联分析，提供语境关联分析引擎软件著作权证书；</w:t>
            </w:r>
          </w:p>
          <w:p>
            <w:pPr>
              <w:rPr>
                <w:rFonts w:ascii="宋体" w:hAnsi="宋体" w:eastAsia="宋体"/>
                <w:sz w:val="24"/>
                <w:szCs w:val="24"/>
              </w:rPr>
            </w:pPr>
            <w:r>
              <w:rPr>
                <w:rFonts w:ascii="宋体" w:hAnsi="宋体" w:eastAsia="宋体"/>
                <w:sz w:val="24"/>
                <w:szCs w:val="24"/>
              </w:rPr>
              <w:t>7、支持事件可视化展现：支持通过世界地图定位IP地址，通过事件攻击图展示网络安全态势，通过行为分析图展示一段时间内的用户访问行为；</w:t>
            </w:r>
          </w:p>
          <w:p>
            <w:pPr>
              <w:rPr>
                <w:rFonts w:ascii="宋体" w:hAnsi="宋体" w:eastAsia="宋体"/>
                <w:sz w:val="24"/>
                <w:szCs w:val="24"/>
              </w:rPr>
            </w:pPr>
            <w:r>
              <w:rPr>
                <w:rFonts w:ascii="宋体" w:hAnsi="宋体" w:eastAsia="宋体"/>
                <w:sz w:val="24"/>
                <w:szCs w:val="24"/>
              </w:rPr>
              <w:t>8、支持日志在线挖掘：系统具备事件挖掘能力可通过事件调查工具对某条日志中的源IP地址、目的IP地址、或者目的端口进行相关性日志检索；</w:t>
            </w:r>
          </w:p>
          <w:p>
            <w:pPr>
              <w:rPr>
                <w:rFonts w:ascii="宋体" w:hAnsi="宋体" w:eastAsia="宋体"/>
                <w:sz w:val="24"/>
                <w:szCs w:val="24"/>
              </w:rPr>
            </w:pPr>
            <w:r>
              <w:rPr>
                <w:rFonts w:ascii="宋体" w:hAnsi="宋体" w:eastAsia="宋体"/>
                <w:sz w:val="24"/>
                <w:szCs w:val="24"/>
              </w:rPr>
              <w:t>★9、要求支持趋势分析：在实时监视的过程中如果发现某条事件的相关属性需要持续予以关注，可以将该事件分配到黑白名单中；支持对于关联事件进行追溯，提供相关追踪溯源系统软件著作权证书；</w:t>
            </w:r>
          </w:p>
          <w:p>
            <w:pPr>
              <w:rPr>
                <w:rFonts w:ascii="宋体" w:hAnsi="宋体" w:eastAsia="宋体"/>
                <w:sz w:val="24"/>
                <w:szCs w:val="24"/>
              </w:rPr>
            </w:pPr>
            <w:r>
              <w:rPr>
                <w:rFonts w:ascii="宋体" w:hAnsi="宋体" w:eastAsia="宋体"/>
                <w:sz w:val="24"/>
                <w:szCs w:val="24"/>
              </w:rPr>
              <w:t>★10、产品资质：提供公安部信息系统安全专用产品销售许可证，厂商资质：具备国家级网络安全应急服务支撑单位，APT领域网络安全应急服务支撑单位，反网络诈骗领域网络安全应急服务支撑单位，提供相关证书复印件；</w:t>
            </w:r>
          </w:p>
        </w:tc>
        <w:tc>
          <w:tcPr>
            <w:tcW w:w="992" w:type="dxa"/>
            <w:vAlign w:val="center"/>
          </w:tcPr>
          <w:p>
            <w:pPr>
              <w:jc w:val="center"/>
              <w:rPr>
                <w:rFonts w:ascii="宋体" w:hAnsi="宋体" w:eastAsia="宋体"/>
                <w:sz w:val="28"/>
                <w:szCs w:val="28"/>
              </w:rPr>
            </w:pPr>
            <w:r>
              <w:rPr>
                <w:rFonts w:hint="eastAsia" w:ascii="宋体" w:hAnsi="宋体" w:eastAsia="宋体"/>
                <w:sz w:val="28"/>
                <w:szCs w:val="28"/>
              </w:rPr>
              <w:t>1台</w:t>
            </w:r>
          </w:p>
        </w:tc>
        <w:tc>
          <w:tcPr>
            <w:tcW w:w="1351" w:type="dxa"/>
            <w:vAlign w:val="center"/>
          </w:tcPr>
          <w:p>
            <w:pPr>
              <w:jc w:val="center"/>
              <w:rPr>
                <w:rFonts w:ascii="宋体" w:hAnsi="宋体" w:eastAsia="宋体"/>
                <w:sz w:val="24"/>
                <w:szCs w:val="24"/>
              </w:rPr>
            </w:pPr>
            <w:r>
              <w:rPr>
                <w:rFonts w:ascii="宋体" w:hAnsi="宋体" w:eastAsia="宋体"/>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sz w:val="28"/>
                <w:szCs w:val="28"/>
              </w:rPr>
            </w:pPr>
            <w:r>
              <w:rPr>
                <w:rFonts w:ascii="宋体" w:hAnsi="宋体" w:eastAsia="宋体"/>
                <w:sz w:val="28"/>
                <w:szCs w:val="28"/>
              </w:rPr>
              <w:t>4</w:t>
            </w:r>
          </w:p>
        </w:tc>
        <w:tc>
          <w:tcPr>
            <w:tcW w:w="1559" w:type="dxa"/>
            <w:vAlign w:val="center"/>
          </w:tcPr>
          <w:p>
            <w:pPr>
              <w:jc w:val="center"/>
              <w:rPr>
                <w:rFonts w:ascii="宋体" w:hAnsi="宋体" w:eastAsia="宋体"/>
                <w:sz w:val="28"/>
                <w:szCs w:val="28"/>
              </w:rPr>
            </w:pPr>
            <w:r>
              <w:rPr>
                <w:rFonts w:ascii="宋体" w:hAnsi="宋体" w:eastAsia="宋体"/>
                <w:sz w:val="28"/>
                <w:szCs w:val="28"/>
              </w:rPr>
              <w:t>系统集成服务</w:t>
            </w:r>
          </w:p>
        </w:tc>
        <w:tc>
          <w:tcPr>
            <w:tcW w:w="5245" w:type="dxa"/>
          </w:tcPr>
          <w:p>
            <w:pPr>
              <w:rPr>
                <w:rFonts w:ascii="宋体" w:hAnsi="宋体" w:eastAsia="宋体"/>
                <w:sz w:val="24"/>
                <w:szCs w:val="24"/>
              </w:rPr>
            </w:pPr>
            <w:r>
              <w:rPr>
                <w:rFonts w:ascii="宋体" w:hAnsi="宋体" w:eastAsia="宋体"/>
                <w:sz w:val="24"/>
                <w:szCs w:val="24"/>
              </w:rPr>
              <w:t>上述所有产品安装及配套服务等。包含但不限于机房线路整理；服务器手工检查：检查服务器操作系统的开放服务及端口、账户设置、文件权限设置、审计、共享资源、补丁更新和病毒防护等情况；网络设备手工检查：检测交换机或路由器的 Vlan 划分、路由表配置、访问控制列表 ACL、IP 和 MAC 地址绑定情况、设备登录认证方式、口令设置等配置项目；全设备策略优化。信息系统等保定级备案、规划设计、整改实施、测评对接等服务。</w:t>
            </w:r>
          </w:p>
        </w:tc>
        <w:tc>
          <w:tcPr>
            <w:tcW w:w="992" w:type="dxa"/>
            <w:vAlign w:val="center"/>
          </w:tcPr>
          <w:p>
            <w:pPr>
              <w:jc w:val="center"/>
              <w:rPr>
                <w:rFonts w:ascii="宋体" w:hAnsi="宋体" w:eastAsia="宋体"/>
                <w:sz w:val="28"/>
                <w:szCs w:val="28"/>
              </w:rPr>
            </w:pPr>
            <w:r>
              <w:rPr>
                <w:rFonts w:hint="eastAsia" w:ascii="宋体" w:hAnsi="宋体" w:eastAsia="宋体"/>
                <w:sz w:val="28"/>
                <w:szCs w:val="28"/>
              </w:rPr>
              <w:t>1套</w:t>
            </w:r>
          </w:p>
        </w:tc>
        <w:tc>
          <w:tcPr>
            <w:tcW w:w="1351" w:type="dxa"/>
            <w:vAlign w:val="center"/>
          </w:tcPr>
          <w:p>
            <w:pPr>
              <w:jc w:val="center"/>
              <w:rPr>
                <w:rFonts w:ascii="宋体" w:hAnsi="宋体" w:eastAsia="宋体"/>
                <w:sz w:val="24"/>
                <w:szCs w:val="24"/>
              </w:rPr>
            </w:pPr>
            <w:r>
              <w:rPr>
                <w:rFonts w:ascii="宋体" w:hAnsi="宋体" w:eastAsia="宋体"/>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sz w:val="28"/>
                <w:szCs w:val="28"/>
              </w:rPr>
            </w:pPr>
            <w:r>
              <w:rPr>
                <w:rFonts w:hint="eastAsia" w:ascii="宋体" w:hAnsi="宋体" w:eastAsia="宋体"/>
                <w:sz w:val="28"/>
                <w:szCs w:val="28"/>
              </w:rPr>
              <w:t>5</w:t>
            </w:r>
          </w:p>
        </w:tc>
        <w:tc>
          <w:tcPr>
            <w:tcW w:w="1559" w:type="dxa"/>
            <w:vAlign w:val="center"/>
          </w:tcPr>
          <w:p>
            <w:pPr>
              <w:jc w:val="center"/>
              <w:rPr>
                <w:rFonts w:ascii="宋体" w:hAnsi="宋体" w:eastAsia="宋体"/>
                <w:sz w:val="28"/>
                <w:szCs w:val="28"/>
              </w:rPr>
            </w:pPr>
            <w:r>
              <w:rPr>
                <w:rFonts w:ascii="宋体" w:hAnsi="宋体" w:eastAsia="宋体"/>
                <w:sz w:val="28"/>
                <w:szCs w:val="28"/>
              </w:rPr>
              <w:t>网络安全等级保护测评服务</w:t>
            </w:r>
          </w:p>
        </w:tc>
        <w:tc>
          <w:tcPr>
            <w:tcW w:w="5245" w:type="dxa"/>
          </w:tcPr>
          <w:p>
            <w:pPr>
              <w:rPr>
                <w:rFonts w:ascii="宋体" w:hAnsi="宋体" w:eastAsia="宋体"/>
                <w:sz w:val="24"/>
                <w:szCs w:val="24"/>
              </w:rPr>
            </w:pPr>
            <w:r>
              <w:rPr>
                <w:rFonts w:ascii="宋体" w:hAnsi="宋体" w:eastAsia="宋体"/>
                <w:sz w:val="24"/>
                <w:szCs w:val="24"/>
              </w:rPr>
              <w:t>根据公安部《关于开展信息安全等级保护安全建设整改工作的指导意见》（公信安〔2009〕1429号）和GB/T 22239-2019《信息安全技术 网络安全等级保护基本要求》等国家相关标准要求。工作内容：</w:t>
            </w:r>
          </w:p>
          <w:p>
            <w:pPr>
              <w:rPr>
                <w:rFonts w:ascii="宋体" w:hAnsi="宋体" w:eastAsia="宋体"/>
                <w:sz w:val="24"/>
                <w:szCs w:val="24"/>
              </w:rPr>
            </w:pPr>
            <w:r>
              <w:rPr>
                <w:rFonts w:ascii="宋体" w:hAnsi="宋体" w:eastAsia="宋体"/>
                <w:sz w:val="24"/>
                <w:szCs w:val="24"/>
              </w:rPr>
              <w:t>（1）安全技术测评。包括安全物理环境、安全区域边界、安全通信网络、安全计算环境、安全管理中心、等五个方面的安全测评。</w:t>
            </w:r>
          </w:p>
          <w:p>
            <w:pPr>
              <w:rPr>
                <w:rFonts w:ascii="宋体" w:hAnsi="宋体" w:eastAsia="宋体"/>
                <w:sz w:val="24"/>
                <w:szCs w:val="24"/>
              </w:rPr>
            </w:pPr>
            <w:r>
              <w:rPr>
                <w:rFonts w:ascii="宋体" w:hAnsi="宋体" w:eastAsia="宋体"/>
                <w:sz w:val="24"/>
                <w:szCs w:val="24"/>
              </w:rPr>
              <w:t>（2）安全管理测评。包括安全管理制度、安全管理机构、安全管理人员、安全建设管理、安全运维管理等五个方面的安全测评。</w:t>
            </w:r>
          </w:p>
          <w:p>
            <w:pPr>
              <w:rPr>
                <w:rFonts w:ascii="宋体" w:hAnsi="宋体" w:eastAsia="宋体"/>
                <w:sz w:val="24"/>
                <w:szCs w:val="24"/>
              </w:rPr>
            </w:pPr>
            <w:r>
              <w:rPr>
                <w:rFonts w:ascii="宋体" w:hAnsi="宋体" w:eastAsia="宋体"/>
                <w:sz w:val="24"/>
                <w:szCs w:val="24"/>
              </w:rPr>
              <w:t>（3）安全问题和整改建议书。依据测评结果和《信息安全技术 网络安全等级保护基本要求》（GB /T 22239-2019），对相关系统进行安全现状分析，形成《安全问题和整改建议书》。</w:t>
            </w:r>
          </w:p>
          <w:p>
            <w:pPr>
              <w:rPr>
                <w:rFonts w:ascii="宋体" w:hAnsi="宋体" w:eastAsia="宋体"/>
                <w:sz w:val="24"/>
                <w:szCs w:val="24"/>
              </w:rPr>
            </w:pPr>
            <w:r>
              <w:rPr>
                <w:rFonts w:ascii="宋体" w:hAnsi="宋体" w:eastAsia="宋体"/>
                <w:sz w:val="24"/>
                <w:szCs w:val="24"/>
              </w:rPr>
              <w:t>（4）编制测评报告。完成上述测评工作和实施整改复测后，出具符合公安机关要求的（年度）信息系统安全保护等级测评报告。</w:t>
            </w:r>
          </w:p>
          <w:p>
            <w:pPr>
              <w:rPr>
                <w:rFonts w:ascii="宋体" w:hAnsi="宋体" w:eastAsia="宋体"/>
                <w:sz w:val="24"/>
                <w:szCs w:val="24"/>
              </w:rPr>
            </w:pPr>
            <w:r>
              <w:rPr>
                <w:rFonts w:ascii="宋体" w:hAnsi="宋体" w:eastAsia="宋体"/>
                <w:sz w:val="24"/>
                <w:szCs w:val="24"/>
              </w:rPr>
              <w:t>（5）协助到公安机关办理定级、备案等手续。</w:t>
            </w:r>
          </w:p>
        </w:tc>
        <w:tc>
          <w:tcPr>
            <w:tcW w:w="992" w:type="dxa"/>
            <w:vAlign w:val="center"/>
          </w:tcPr>
          <w:p>
            <w:pPr>
              <w:jc w:val="center"/>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套</w:t>
            </w:r>
          </w:p>
        </w:tc>
        <w:tc>
          <w:tcPr>
            <w:tcW w:w="1351" w:type="dxa"/>
            <w:vAlign w:val="center"/>
          </w:tcPr>
          <w:p>
            <w:pPr>
              <w:jc w:val="center"/>
              <w:rPr>
                <w:rFonts w:ascii="宋体" w:hAnsi="宋体" w:eastAsia="宋体"/>
                <w:sz w:val="24"/>
                <w:szCs w:val="24"/>
              </w:rPr>
            </w:pPr>
            <w:r>
              <w:rPr>
                <w:rFonts w:ascii="宋体" w:hAnsi="宋体" w:eastAsia="宋体"/>
                <w:sz w:val="24"/>
                <w:szCs w:val="24"/>
              </w:rPr>
              <w:t>服务</w:t>
            </w:r>
          </w:p>
        </w:tc>
      </w:tr>
    </w:tbl>
    <w:p>
      <w:pPr>
        <w:spacing w:line="360" w:lineRule="auto"/>
        <w:rPr>
          <w:rFonts w:ascii="宋体" w:hAnsi="宋体" w:eastAsia="宋体"/>
          <w:b/>
          <w:bCs/>
          <w:sz w:val="28"/>
          <w:szCs w:val="28"/>
        </w:rPr>
      </w:pPr>
    </w:p>
    <w:p>
      <w:pPr>
        <w:spacing w:line="360" w:lineRule="auto"/>
        <w:rPr>
          <w:rFonts w:ascii="宋体" w:hAnsi="宋体" w:eastAsia="宋体"/>
          <w:b/>
          <w:bCs/>
          <w:sz w:val="28"/>
          <w:szCs w:val="28"/>
        </w:rPr>
      </w:pPr>
      <w:r>
        <w:rPr>
          <w:rFonts w:hint="eastAsia" w:ascii="宋体" w:hAnsi="宋体" w:eastAsia="宋体"/>
          <w:b/>
          <w:bCs/>
          <w:sz w:val="28"/>
          <w:szCs w:val="28"/>
        </w:rPr>
        <w:t>三</w:t>
      </w:r>
      <w:r>
        <w:rPr>
          <w:rFonts w:ascii="宋体" w:hAnsi="宋体" w:eastAsia="宋体"/>
          <w:b/>
          <w:bCs/>
          <w:sz w:val="28"/>
          <w:szCs w:val="28"/>
        </w:rPr>
        <w:t>、</w:t>
      </w:r>
      <w:r>
        <w:rPr>
          <w:rFonts w:hint="eastAsia" w:ascii="宋体" w:hAnsi="宋体" w:eastAsia="宋体"/>
          <w:b/>
          <w:bCs/>
          <w:sz w:val="28"/>
          <w:szCs w:val="28"/>
        </w:rPr>
        <w:t>报价要求</w:t>
      </w:r>
    </w:p>
    <w:p>
      <w:pPr>
        <w:spacing w:line="360" w:lineRule="auto"/>
        <w:ind w:firstLine="560" w:firstLineChars="200"/>
        <w:rPr>
          <w:rFonts w:ascii="宋体" w:hAnsi="宋体" w:eastAsia="宋体"/>
          <w:sz w:val="28"/>
          <w:szCs w:val="28"/>
        </w:rPr>
      </w:pPr>
      <w:r>
        <w:rPr>
          <w:rFonts w:ascii="宋体" w:hAnsi="宋体" w:eastAsia="宋体"/>
          <w:sz w:val="28"/>
          <w:szCs w:val="28"/>
        </w:rPr>
        <w:t>本项目报投标总价，投标总价包含采购的全部设备、软件及其供货、安装、 调试过程中产生的各项费用，投标人应根据系统建设需要综合测算安装施工过程 中必要的辅材及配件等，最终交付的系统功能及应用须满足采购人要求，采购人 后期不再追加任何其他费用，请投标人谨慎报价。</w:t>
      </w:r>
    </w:p>
    <w:p>
      <w:pPr>
        <w:spacing w:line="360" w:lineRule="auto"/>
        <w:rPr>
          <w:rFonts w:ascii="宋体" w:hAnsi="宋体" w:eastAsia="宋体"/>
          <w:b/>
          <w:bCs/>
          <w:sz w:val="28"/>
          <w:szCs w:val="28"/>
        </w:rPr>
      </w:pPr>
      <w:r>
        <w:rPr>
          <w:rFonts w:ascii="宋体" w:hAnsi="宋体" w:eastAsia="宋体"/>
          <w:b/>
          <w:bCs/>
          <w:sz w:val="28"/>
          <w:szCs w:val="28"/>
        </w:rPr>
        <w:t>四、</w:t>
      </w:r>
      <w:r>
        <w:rPr>
          <w:rFonts w:hint="eastAsia" w:ascii="宋体" w:hAnsi="宋体" w:eastAsia="宋体"/>
          <w:b/>
          <w:bCs/>
          <w:sz w:val="28"/>
          <w:szCs w:val="28"/>
        </w:rPr>
        <w:t>售后服务及其他要求</w:t>
      </w:r>
    </w:p>
    <w:p>
      <w:pPr>
        <w:spacing w:line="360" w:lineRule="auto"/>
        <w:ind w:firstLine="560" w:firstLineChars="200"/>
        <w:rPr>
          <w:rFonts w:ascii="宋体" w:hAnsi="宋体" w:eastAsia="宋体"/>
        </w:rPr>
        <w:sectPr>
          <w:headerReference r:id="rId3" w:type="default"/>
          <w:footerReference r:id="rId4" w:type="default"/>
          <w:pgSz w:w="11910" w:h="16840"/>
          <w:pgMar w:top="1380" w:right="1000" w:bottom="1220" w:left="1020" w:header="878" w:footer="1034" w:gutter="0"/>
          <w:pgNumType w:fmt="decimal"/>
          <w:cols w:space="720" w:num="1"/>
        </w:sectPr>
      </w:pPr>
      <w:r>
        <w:rPr>
          <w:rFonts w:hint="eastAsia" w:ascii="宋体" w:hAnsi="宋体" w:eastAsia="宋体"/>
          <w:sz w:val="28"/>
          <w:szCs w:val="28"/>
        </w:rPr>
        <w:t>中标人须为本项目所供产品提供原厂3年质保服务。</w:t>
      </w:r>
    </w:p>
    <w:p>
      <w:pPr>
        <w:pStyle w:val="2"/>
        <w:spacing w:before="240" w:beforeLines="100" w:after="240" w:afterLines="100"/>
        <w:ind w:right="0"/>
        <w:rPr>
          <w:rFonts w:asciiTheme="minorEastAsia" w:hAnsiTheme="minorEastAsia" w:eastAsiaTheme="minorEastAsia"/>
          <w:sz w:val="36"/>
          <w:szCs w:val="36"/>
        </w:rPr>
      </w:pPr>
      <w:bookmarkStart w:id="2" w:name="第四章__评标方法和标准（综合评分法）"/>
      <w:bookmarkEnd w:id="2"/>
      <w:bookmarkStart w:id="3" w:name="_Toc98168032"/>
      <w:r>
        <w:rPr>
          <w:rFonts w:asciiTheme="minorEastAsia" w:hAnsiTheme="minorEastAsia" w:eastAsiaTheme="minorEastAsia"/>
          <w:sz w:val="36"/>
          <w:szCs w:val="36"/>
        </w:rPr>
        <w:t>第四章</w:t>
      </w:r>
      <w:r>
        <w:rPr>
          <w:rFonts w:asciiTheme="minorEastAsia" w:hAnsiTheme="minorEastAsia" w:eastAsiaTheme="minorEastAsia"/>
          <w:sz w:val="36"/>
          <w:szCs w:val="36"/>
        </w:rPr>
        <w:tab/>
      </w:r>
      <w:r>
        <w:rPr>
          <w:rFonts w:asciiTheme="minorEastAsia" w:hAnsiTheme="minorEastAsia" w:eastAsiaTheme="minorEastAsia"/>
          <w:sz w:val="36"/>
          <w:szCs w:val="36"/>
        </w:rPr>
        <w:t>评标方法和标准（综合评分法）</w:t>
      </w:r>
      <w:bookmarkEnd w:id="3"/>
    </w:p>
    <w:p>
      <w:pPr>
        <w:spacing w:line="360" w:lineRule="auto"/>
        <w:ind w:firstLine="560" w:firstLineChars="200"/>
        <w:rPr>
          <w:rFonts w:ascii="宋体" w:hAnsi="宋体" w:eastAsia="宋体"/>
          <w:sz w:val="28"/>
          <w:szCs w:val="28"/>
        </w:rPr>
      </w:pPr>
      <w:bookmarkStart w:id="4" w:name="一、总则"/>
      <w:bookmarkEnd w:id="4"/>
      <w:r>
        <w:rPr>
          <w:rFonts w:ascii="宋体" w:hAnsi="宋体" w:eastAsia="宋体"/>
          <w:sz w:val="28"/>
          <w:szCs w:val="28"/>
        </w:rPr>
        <w:t>2.3.2 本项目综合评分满分为 100 分，其中：技术资信分值占总分值的权重为</w:t>
      </w:r>
      <w:r>
        <w:rPr>
          <w:rFonts w:ascii="宋体" w:hAnsi="宋体" w:eastAsia="宋体"/>
          <w:sz w:val="28"/>
          <w:szCs w:val="28"/>
          <w:u w:val="single"/>
        </w:rPr>
        <w:t>70</w:t>
      </w:r>
      <w:r>
        <w:rPr>
          <w:rFonts w:ascii="宋体" w:hAnsi="宋体" w:eastAsia="宋体"/>
          <w:sz w:val="28"/>
          <w:szCs w:val="28"/>
        </w:rPr>
        <w:t>%，价格分值占总分值的权重为</w:t>
      </w:r>
      <w:r>
        <w:rPr>
          <w:rFonts w:ascii="宋体" w:hAnsi="宋体" w:eastAsia="宋体"/>
          <w:sz w:val="28"/>
          <w:szCs w:val="28"/>
          <w:u w:val="single"/>
        </w:rPr>
        <w:t>30</w:t>
      </w:r>
      <w:r>
        <w:rPr>
          <w:rFonts w:ascii="宋体" w:hAnsi="宋体" w:eastAsia="宋体"/>
          <w:sz w:val="28"/>
          <w:szCs w:val="28"/>
        </w:rPr>
        <w:t>%。具体评分细则如下</w:t>
      </w:r>
      <w:r>
        <w:rPr>
          <w:rFonts w:hint="eastAsia" w:ascii="宋体" w:hAnsi="宋体" w:eastAsia="宋体"/>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68"/>
        <w:gridCol w:w="4819"/>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rPr>
                <w:rFonts w:ascii="宋体" w:hAnsi="宋体" w:eastAsia="宋体"/>
                <w:sz w:val="28"/>
                <w:szCs w:val="28"/>
              </w:rPr>
            </w:pPr>
            <w:r>
              <w:rPr>
                <w:rFonts w:hint="eastAsia" w:ascii="宋体" w:hAnsi="宋体" w:eastAsia="宋体"/>
                <w:sz w:val="28"/>
                <w:szCs w:val="28"/>
              </w:rPr>
              <w:t>类别</w:t>
            </w:r>
          </w:p>
        </w:tc>
        <w:tc>
          <w:tcPr>
            <w:tcW w:w="2268" w:type="dxa"/>
          </w:tcPr>
          <w:p>
            <w:pPr>
              <w:spacing w:line="360" w:lineRule="auto"/>
              <w:rPr>
                <w:rFonts w:ascii="宋体" w:hAnsi="宋体" w:eastAsia="宋体"/>
                <w:sz w:val="28"/>
                <w:szCs w:val="28"/>
              </w:rPr>
            </w:pPr>
            <w:r>
              <w:rPr>
                <w:rFonts w:hint="eastAsia" w:ascii="宋体" w:hAnsi="宋体" w:eastAsia="宋体"/>
                <w:sz w:val="28"/>
                <w:szCs w:val="28"/>
              </w:rPr>
              <w:t>评分内容</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评分标准</w:t>
            </w:r>
          </w:p>
        </w:tc>
        <w:tc>
          <w:tcPr>
            <w:tcW w:w="1351" w:type="dxa"/>
          </w:tcPr>
          <w:p>
            <w:pPr>
              <w:spacing w:line="360" w:lineRule="auto"/>
              <w:rPr>
                <w:rFonts w:ascii="宋体" w:hAnsi="宋体" w:eastAsia="宋体"/>
                <w:sz w:val="28"/>
                <w:szCs w:val="28"/>
              </w:rPr>
            </w:pPr>
            <w:r>
              <w:rPr>
                <w:rFonts w:hint="eastAsia" w:ascii="宋体" w:hAnsi="宋体" w:eastAsia="宋体"/>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60" w:lineRule="auto"/>
              <w:jc w:val="center"/>
              <w:rPr>
                <w:rFonts w:ascii="宋体" w:hAnsi="宋体" w:eastAsia="宋体"/>
                <w:sz w:val="28"/>
                <w:szCs w:val="28"/>
              </w:rPr>
            </w:pPr>
            <w:r>
              <w:rPr>
                <w:rFonts w:hint="eastAsia" w:ascii="宋体" w:hAnsi="宋体" w:eastAsia="宋体"/>
                <w:sz w:val="28"/>
                <w:szCs w:val="28"/>
              </w:rPr>
              <w:t>技术资信分</w:t>
            </w:r>
          </w:p>
          <w:p>
            <w:pPr>
              <w:spacing w:line="360" w:lineRule="auto"/>
              <w:jc w:val="center"/>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u w:val="single"/>
              </w:rPr>
              <w:t>7</w:t>
            </w:r>
            <w:r>
              <w:rPr>
                <w:rFonts w:ascii="宋体" w:hAnsi="宋体" w:eastAsia="宋体"/>
                <w:sz w:val="28"/>
                <w:szCs w:val="28"/>
                <w:u w:val="single"/>
              </w:rPr>
              <w:t>0</w:t>
            </w:r>
            <w:r>
              <w:rPr>
                <w:rFonts w:hint="eastAsia" w:ascii="宋体" w:hAnsi="宋体" w:eastAsia="宋体"/>
                <w:sz w:val="28"/>
                <w:szCs w:val="28"/>
              </w:rPr>
              <w:t>分）</w:t>
            </w: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技术参数及要求</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根据投标人所投产品技术参数及要求满足招标文件的情况进行评分：</w:t>
            </w:r>
          </w:p>
          <w:p>
            <w:pPr>
              <w:spacing w:line="360" w:lineRule="auto"/>
              <w:rPr>
                <w:rFonts w:ascii="宋体" w:hAnsi="宋体" w:eastAsia="宋体"/>
                <w:sz w:val="28"/>
                <w:szCs w:val="28"/>
              </w:rPr>
            </w:pPr>
            <w:r>
              <w:rPr>
                <w:rFonts w:hint="eastAsia" w:ascii="宋体" w:hAnsi="宋体" w:eastAsia="宋体"/>
                <w:sz w:val="28"/>
                <w:szCs w:val="28"/>
              </w:rPr>
              <w:t>1、未标注“</w:t>
            </w:r>
            <w:r>
              <w:rPr>
                <w:rFonts w:asciiTheme="majorEastAsia" w:hAnsiTheme="majorEastAsia" w:eastAsiaTheme="majorEastAsia"/>
                <w:sz w:val="28"/>
                <w:szCs w:val="28"/>
              </w:rPr>
              <w:t>★</w:t>
            </w:r>
            <w:r>
              <w:rPr>
                <w:rFonts w:hint="eastAsia" w:ascii="宋体" w:hAnsi="宋体" w:eastAsia="宋体"/>
                <w:sz w:val="28"/>
                <w:szCs w:val="28"/>
              </w:rPr>
              <w:t>”的条款，每不满足一条扣2分</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、标注“</w:t>
            </w:r>
            <w:r>
              <w:rPr>
                <w:rFonts w:asciiTheme="majorEastAsia" w:hAnsiTheme="majorEastAsia" w:eastAsiaTheme="majorEastAsia"/>
                <w:sz w:val="28"/>
                <w:szCs w:val="28"/>
              </w:rPr>
              <w:t>★</w:t>
            </w:r>
            <w:r>
              <w:rPr>
                <w:rFonts w:hint="eastAsia" w:ascii="宋体" w:hAnsi="宋体" w:eastAsia="宋体"/>
                <w:sz w:val="28"/>
                <w:szCs w:val="28"/>
              </w:rPr>
              <w:t>”的条款，每不满足一条扣5分</w:t>
            </w:r>
          </w:p>
          <w:p>
            <w:pPr>
              <w:spacing w:line="360" w:lineRule="auto"/>
              <w:rPr>
                <w:rFonts w:ascii="宋体" w:hAnsi="宋体" w:eastAsia="宋体"/>
                <w:sz w:val="28"/>
                <w:szCs w:val="28"/>
              </w:rPr>
            </w:pPr>
            <w:r>
              <w:rPr>
                <w:rFonts w:hint="eastAsia" w:ascii="宋体" w:hAnsi="宋体" w:eastAsia="宋体"/>
                <w:sz w:val="28"/>
                <w:szCs w:val="28"/>
              </w:rPr>
              <w:t>注：以投标文件中提供的投标响应表及招标文件采购需求中要求提供的相应证明材料作为评审依据。</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30</w:t>
            </w:r>
            <w:r>
              <w:rPr>
                <w:rFonts w:hint="eastAsia" w:ascii="宋体" w:hAnsi="宋体" w:eastAsia="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现场勘查</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现场勘探：投标人应在投标之前安排工程师到现场进行勘查并给出用户确认的勘察报告，列入投标文件中，勘查报告需包括：1）详细调研报告与准确现状分析报告；2）结合需求分析，给予合理化建议。根据勘察报告质量进行评审；</w:t>
            </w:r>
          </w:p>
          <w:p>
            <w:pPr>
              <w:spacing w:line="360" w:lineRule="auto"/>
              <w:rPr>
                <w:rFonts w:ascii="宋体" w:hAnsi="宋体" w:eastAsia="宋体"/>
                <w:sz w:val="28"/>
                <w:szCs w:val="28"/>
              </w:rPr>
            </w:pPr>
            <w:r>
              <w:rPr>
                <w:rFonts w:hint="eastAsia" w:ascii="宋体" w:hAnsi="宋体" w:eastAsia="宋体"/>
                <w:sz w:val="28"/>
                <w:szCs w:val="28"/>
              </w:rPr>
              <w:t>以上工作开展较好的得2分；以上工作开展待进一步完善的得1分。</w:t>
            </w:r>
          </w:p>
          <w:p>
            <w:pPr>
              <w:spacing w:line="360" w:lineRule="auto"/>
              <w:rPr>
                <w:rFonts w:ascii="宋体" w:hAnsi="宋体" w:eastAsia="宋体"/>
                <w:sz w:val="28"/>
                <w:szCs w:val="28"/>
              </w:rPr>
            </w:pPr>
            <w:r>
              <w:rPr>
                <w:rFonts w:hint="eastAsia" w:ascii="宋体" w:hAnsi="宋体" w:eastAsia="宋体"/>
                <w:sz w:val="28"/>
                <w:szCs w:val="28"/>
              </w:rPr>
              <w:t>注：较差或未提供的不得分。</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2</w:t>
            </w:r>
            <w:r>
              <w:rPr>
                <w:rFonts w:hint="eastAsia" w:ascii="宋体" w:hAnsi="宋体" w:eastAsia="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技术实施方案</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根据投标人投标文件中提供的技术实施方案进行综合评审：</w:t>
            </w:r>
          </w:p>
          <w:p>
            <w:pPr>
              <w:spacing w:line="360" w:lineRule="auto"/>
              <w:rPr>
                <w:rFonts w:ascii="宋体" w:hAnsi="宋体" w:eastAsia="宋体"/>
                <w:sz w:val="28"/>
                <w:szCs w:val="28"/>
              </w:rPr>
            </w:pPr>
            <w:r>
              <w:rPr>
                <w:rFonts w:hint="eastAsia" w:ascii="宋体" w:hAnsi="宋体" w:eastAsia="宋体"/>
                <w:sz w:val="28"/>
                <w:szCs w:val="28"/>
              </w:rPr>
              <w:t>1、对本项目建设目标调研充分、应用特点理解恰当、需求分析深入的，得8分；</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、对本项目建设目标有一定的调研、对应用特点理解基本符合要求、需求分析满足实际使用的，得6分；</w:t>
            </w:r>
          </w:p>
          <w:p>
            <w:pPr>
              <w:spacing w:line="360" w:lineRule="auto"/>
              <w:rPr>
                <w:rFonts w:ascii="宋体" w:hAnsi="宋体" w:eastAsia="宋体"/>
                <w:sz w:val="28"/>
                <w:szCs w:val="28"/>
              </w:rPr>
            </w:pPr>
            <w:r>
              <w:rPr>
                <w:rFonts w:hint="eastAsia" w:ascii="宋体" w:hAnsi="宋体" w:eastAsia="宋体"/>
                <w:sz w:val="28"/>
                <w:szCs w:val="28"/>
              </w:rPr>
              <w:t>3、对本项目建设目标调研、应用特点理解、需求分析待深入的，得2分。</w:t>
            </w:r>
          </w:p>
          <w:p>
            <w:pPr>
              <w:spacing w:line="360" w:lineRule="auto"/>
              <w:rPr>
                <w:rFonts w:ascii="宋体" w:hAnsi="宋体" w:eastAsia="宋体"/>
                <w:sz w:val="28"/>
                <w:szCs w:val="28"/>
              </w:rPr>
            </w:pPr>
            <w:r>
              <w:rPr>
                <w:rFonts w:hint="eastAsia" w:ascii="宋体" w:hAnsi="宋体" w:eastAsia="宋体"/>
                <w:sz w:val="28"/>
                <w:szCs w:val="28"/>
              </w:rPr>
              <w:t>注：较差或未提供的不得分。</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厂商资质</w:t>
            </w:r>
          </w:p>
        </w:tc>
        <w:tc>
          <w:tcPr>
            <w:tcW w:w="4819" w:type="dxa"/>
          </w:tcPr>
          <w:p>
            <w:pPr>
              <w:spacing w:line="360" w:lineRule="auto"/>
              <w:rPr>
                <w:rFonts w:ascii="宋体" w:hAnsi="宋体" w:eastAsia="宋体"/>
                <w:sz w:val="28"/>
                <w:szCs w:val="28"/>
              </w:rPr>
            </w:pPr>
            <w:r>
              <w:rPr>
                <w:rFonts w:ascii="宋体" w:hAnsi="宋体" w:eastAsia="宋体"/>
                <w:sz w:val="28"/>
                <w:szCs w:val="28"/>
              </w:rPr>
              <w:t>1、投标人所投产品厂商具有国测信息安全服务资质-安全开发类（一级）</w:t>
            </w:r>
            <w:r>
              <w:rPr>
                <w:rFonts w:hint="eastAsia" w:ascii="宋体" w:hAnsi="宋体" w:eastAsia="宋体"/>
                <w:sz w:val="28"/>
                <w:szCs w:val="28"/>
              </w:rPr>
              <w:t>，提供证书复印件得3分；</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投标人所投产品具有国家版权局颁发的令牌服务平台软件著作权</w:t>
            </w:r>
            <w:r>
              <w:rPr>
                <w:rFonts w:hint="eastAsia" w:ascii="宋体" w:hAnsi="宋体" w:eastAsia="宋体"/>
                <w:sz w:val="28"/>
                <w:szCs w:val="28"/>
              </w:rPr>
              <w:t>，提供证书复印件的3分；</w:t>
            </w:r>
          </w:p>
          <w:p>
            <w:pPr>
              <w:spacing w:line="360" w:lineRule="auto"/>
              <w:rPr>
                <w:rFonts w:ascii="宋体" w:hAnsi="宋体" w:eastAsia="宋体"/>
                <w:sz w:val="28"/>
                <w:szCs w:val="28"/>
              </w:rPr>
            </w:pPr>
            <w:r>
              <w:rPr>
                <w:rFonts w:hint="eastAsia" w:ascii="宋体" w:hAnsi="宋体" w:eastAsia="宋体"/>
                <w:sz w:val="28"/>
                <w:szCs w:val="28"/>
              </w:rPr>
              <w:t>3、投标人所投产品</w:t>
            </w:r>
            <w:r>
              <w:rPr>
                <w:rFonts w:ascii="宋体" w:hAnsi="宋体" w:eastAsia="宋体"/>
                <w:sz w:val="28"/>
                <w:szCs w:val="28"/>
              </w:rPr>
              <w:t>厂商</w:t>
            </w:r>
            <w:r>
              <w:rPr>
                <w:rFonts w:hint="eastAsia" w:ascii="宋体" w:hAnsi="宋体" w:eastAsia="宋体"/>
                <w:sz w:val="28"/>
                <w:szCs w:val="28"/>
              </w:rPr>
              <w:t>是反</w:t>
            </w:r>
            <w:r>
              <w:rPr>
                <w:rFonts w:ascii="宋体" w:hAnsi="宋体" w:eastAsia="宋体"/>
                <w:sz w:val="28"/>
                <w:szCs w:val="28"/>
              </w:rPr>
              <w:t>诈骗领域网络安全应急服务支持单位</w:t>
            </w:r>
            <w:r>
              <w:rPr>
                <w:rFonts w:hint="eastAsia" w:ascii="宋体" w:hAnsi="宋体" w:eastAsia="宋体"/>
                <w:sz w:val="28"/>
                <w:szCs w:val="28"/>
              </w:rPr>
              <w:t>，提供证书复印件得2分；</w:t>
            </w:r>
          </w:p>
          <w:p>
            <w:pPr>
              <w:spacing w:line="360" w:lineRule="auto"/>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投标人所投</w:t>
            </w:r>
            <w:r>
              <w:rPr>
                <w:rFonts w:hint="eastAsia" w:ascii="宋体" w:hAnsi="宋体" w:eastAsia="宋体"/>
                <w:sz w:val="28"/>
                <w:szCs w:val="28"/>
              </w:rPr>
              <w:t>产品</w:t>
            </w:r>
            <w:r>
              <w:rPr>
                <w:rFonts w:ascii="宋体" w:hAnsi="宋体" w:eastAsia="宋体"/>
                <w:sz w:val="28"/>
                <w:szCs w:val="28"/>
              </w:rPr>
              <w:t>厂商为等级保护国家工程实验室共建单位</w:t>
            </w:r>
            <w:r>
              <w:rPr>
                <w:rFonts w:hint="eastAsia" w:ascii="宋体" w:hAnsi="宋体" w:eastAsia="宋体"/>
                <w:sz w:val="28"/>
                <w:szCs w:val="28"/>
              </w:rPr>
              <w:t>，提供共建单位协议得2分；</w:t>
            </w:r>
          </w:p>
          <w:p>
            <w:pPr>
              <w:spacing w:line="360" w:lineRule="auto"/>
              <w:rPr>
                <w:rFonts w:ascii="宋体" w:hAnsi="宋体" w:eastAsia="宋体"/>
                <w:sz w:val="28"/>
                <w:szCs w:val="28"/>
              </w:rPr>
            </w:pPr>
            <w:r>
              <w:rPr>
                <w:rFonts w:hint="eastAsia" w:ascii="宋体" w:hAnsi="宋体" w:eastAsia="宋体"/>
                <w:sz w:val="28"/>
                <w:szCs w:val="28"/>
              </w:rPr>
              <w:t>注：该项最高得分10分，投标文件中须同时提供以上认证证书的扫描件，否则不得分。</w:t>
            </w:r>
          </w:p>
        </w:tc>
        <w:tc>
          <w:tcPr>
            <w:tcW w:w="1351" w:type="dxa"/>
            <w:vAlign w:val="center"/>
          </w:tcPr>
          <w:p>
            <w:pPr>
              <w:spacing w:line="360" w:lineRule="auto"/>
              <w:jc w:val="center"/>
              <w:rPr>
                <w:rFonts w:ascii="宋体" w:hAnsi="宋体" w:eastAsia="宋体"/>
                <w:sz w:val="28"/>
                <w:szCs w:val="28"/>
              </w:rPr>
            </w:pPr>
            <w:r>
              <w:rPr>
                <w:rFonts w:ascii="宋体" w:hAnsi="宋体" w:eastAsia="宋体"/>
                <w:sz w:val="28"/>
                <w:szCs w:val="28"/>
              </w:rPr>
              <w:t>0-</w:t>
            </w:r>
            <w:r>
              <w:rPr>
                <w:rFonts w:hint="eastAsia" w:ascii="宋体" w:hAnsi="宋体" w:eastAsia="宋体"/>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体系认证</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投标人具有经中国国家认证认可监督委员会认证机构颁发有效的下列认证：</w:t>
            </w:r>
          </w:p>
          <w:p>
            <w:pPr>
              <w:spacing w:line="360" w:lineRule="auto"/>
              <w:rPr>
                <w:rFonts w:ascii="宋体" w:hAnsi="宋体" w:eastAsia="宋体"/>
                <w:sz w:val="28"/>
                <w:szCs w:val="28"/>
              </w:rPr>
            </w:pPr>
            <w:r>
              <w:rPr>
                <w:rFonts w:hint="eastAsia" w:ascii="宋体" w:hAnsi="宋体" w:eastAsia="宋体"/>
                <w:sz w:val="28"/>
                <w:szCs w:val="28"/>
              </w:rPr>
              <w:t>1、质量管理体系认证，得3分；</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、五星级售后服务认证，得3分；</w:t>
            </w:r>
          </w:p>
          <w:p>
            <w:pPr>
              <w:spacing w:line="360" w:lineRule="auto"/>
              <w:rPr>
                <w:rFonts w:ascii="宋体" w:hAnsi="宋体" w:eastAsia="宋体"/>
                <w:sz w:val="28"/>
                <w:szCs w:val="28"/>
              </w:rPr>
            </w:pPr>
            <w:r>
              <w:rPr>
                <w:rFonts w:hint="eastAsia" w:ascii="宋体" w:hAnsi="宋体" w:eastAsia="宋体"/>
                <w:sz w:val="28"/>
                <w:szCs w:val="28"/>
              </w:rPr>
              <w:t>注：该项最高得分6分，投标文件中须同时提供以上认证证书的扫描件以及全国认证认可信息公共服务平台官网证书信息查询截图，否则不得分。</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售后服务与维保方案</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根据投标人投标文件中提供的售后服务与维保方案进行综合评审；</w:t>
            </w:r>
          </w:p>
          <w:p>
            <w:pPr>
              <w:spacing w:line="360" w:lineRule="auto"/>
              <w:rPr>
                <w:rFonts w:ascii="宋体" w:hAnsi="宋体" w:eastAsia="宋体"/>
                <w:sz w:val="28"/>
                <w:szCs w:val="28"/>
              </w:rPr>
            </w:pPr>
            <w:r>
              <w:rPr>
                <w:rFonts w:hint="eastAsia" w:ascii="宋体" w:hAnsi="宋体" w:eastAsia="宋体"/>
                <w:sz w:val="28"/>
                <w:szCs w:val="28"/>
              </w:rPr>
              <w:t>1、售后服务保障体系健全，应急技术支持措施完善，服务响应时间迅速，免费质保期外维保价格优惠、措施全面的，得8分；</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、售后服务保障体系基本完整，采取一定应急技术支持措施，服务响应时间基本满足需求的，免费质保期外维保价格与市场价格持平、措施基本满足需求的，得6分；</w:t>
            </w:r>
          </w:p>
          <w:p>
            <w:pPr>
              <w:spacing w:line="360" w:lineRule="auto"/>
              <w:rPr>
                <w:rFonts w:ascii="宋体" w:hAnsi="宋体" w:eastAsia="宋体"/>
                <w:sz w:val="28"/>
                <w:szCs w:val="28"/>
              </w:rPr>
            </w:pPr>
            <w:r>
              <w:rPr>
                <w:rFonts w:hint="eastAsia" w:ascii="宋体" w:hAnsi="宋体" w:eastAsia="宋体"/>
                <w:sz w:val="28"/>
                <w:szCs w:val="28"/>
              </w:rPr>
              <w:t>3、售后服务保障体系完善，应急技术支持措施待细化，服务响应时间待提升的，免费质保期外维保价格待进一步优惠、措施待完善的，得2分。</w:t>
            </w:r>
          </w:p>
          <w:p>
            <w:pPr>
              <w:spacing w:line="360" w:lineRule="auto"/>
              <w:rPr>
                <w:rFonts w:ascii="宋体" w:hAnsi="宋体" w:eastAsia="宋体"/>
                <w:sz w:val="28"/>
                <w:szCs w:val="28"/>
              </w:rPr>
            </w:pPr>
            <w:r>
              <w:rPr>
                <w:rFonts w:hint="eastAsia" w:ascii="宋体" w:hAnsi="宋体" w:eastAsia="宋体"/>
                <w:sz w:val="28"/>
                <w:szCs w:val="28"/>
              </w:rPr>
              <w:t>注：较差或未提供的不得分。</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60" w:lineRule="auto"/>
              <w:jc w:val="center"/>
              <w:rPr>
                <w:rFonts w:ascii="宋体" w:hAnsi="宋体" w:eastAsia="宋体"/>
                <w:sz w:val="28"/>
                <w:szCs w:val="28"/>
              </w:rPr>
            </w:pPr>
          </w:p>
        </w:tc>
        <w:tc>
          <w:tcPr>
            <w:tcW w:w="22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投标人业绩</w:t>
            </w:r>
          </w:p>
        </w:tc>
        <w:tc>
          <w:tcPr>
            <w:tcW w:w="4819" w:type="dxa"/>
          </w:tcPr>
          <w:p>
            <w:pPr>
              <w:spacing w:line="360" w:lineRule="auto"/>
              <w:rPr>
                <w:rFonts w:ascii="宋体" w:hAnsi="宋体" w:eastAsia="宋体"/>
                <w:sz w:val="28"/>
                <w:szCs w:val="28"/>
              </w:rPr>
            </w:pPr>
            <w:r>
              <w:rPr>
                <w:rFonts w:hint="eastAsia" w:ascii="宋体" w:hAnsi="宋体" w:eastAsia="宋体"/>
                <w:sz w:val="28"/>
                <w:szCs w:val="28"/>
              </w:rPr>
              <w:t>自2</w:t>
            </w:r>
            <w:r>
              <w:rPr>
                <w:rFonts w:ascii="宋体" w:hAnsi="宋体" w:eastAsia="宋体"/>
                <w:sz w:val="28"/>
                <w:szCs w:val="28"/>
              </w:rPr>
              <w:t>01</w:t>
            </w:r>
            <w:r>
              <w:rPr>
                <w:rFonts w:hint="eastAsia" w:ascii="宋体" w:hAnsi="宋体" w:eastAsia="宋体"/>
                <w:sz w:val="28"/>
                <w:szCs w:val="28"/>
              </w:rPr>
              <w:t>9年1月1日以来（以合同签订时间为准），投标人具有信息化系统集成类业绩的，每提供一个业绩得</w:t>
            </w:r>
            <w:r>
              <w:rPr>
                <w:rFonts w:ascii="宋体" w:hAnsi="宋体" w:eastAsia="宋体"/>
                <w:sz w:val="28"/>
                <w:szCs w:val="28"/>
              </w:rPr>
              <w:t>2</w:t>
            </w:r>
            <w:r>
              <w:rPr>
                <w:rFonts w:hint="eastAsia" w:ascii="宋体" w:hAnsi="宋体" w:eastAsia="宋体"/>
                <w:sz w:val="28"/>
                <w:szCs w:val="28"/>
              </w:rPr>
              <w:t>分，满分</w:t>
            </w:r>
            <w:r>
              <w:rPr>
                <w:rFonts w:ascii="宋体" w:hAnsi="宋体" w:eastAsia="宋体"/>
                <w:sz w:val="28"/>
                <w:szCs w:val="28"/>
              </w:rPr>
              <w:t>6</w:t>
            </w:r>
            <w:r>
              <w:rPr>
                <w:rFonts w:hint="eastAsia" w:ascii="宋体" w:hAnsi="宋体" w:eastAsia="宋体"/>
                <w:sz w:val="28"/>
                <w:szCs w:val="28"/>
              </w:rPr>
              <w:t>分。</w:t>
            </w:r>
          </w:p>
          <w:p>
            <w:pPr>
              <w:spacing w:line="360" w:lineRule="auto"/>
              <w:rPr>
                <w:rFonts w:ascii="宋体" w:hAnsi="宋体" w:eastAsia="宋体"/>
                <w:sz w:val="28"/>
                <w:szCs w:val="28"/>
              </w:rPr>
            </w:pPr>
            <w:r>
              <w:rPr>
                <w:rFonts w:hint="eastAsia" w:ascii="宋体" w:hAnsi="宋体" w:eastAsia="宋体"/>
                <w:sz w:val="28"/>
                <w:szCs w:val="28"/>
              </w:rPr>
              <w:t>注：</w:t>
            </w:r>
          </w:p>
          <w:p>
            <w:pPr>
              <w:spacing w:line="360" w:lineRule="auto"/>
              <w:rPr>
                <w:rFonts w:ascii="宋体" w:hAnsi="宋体" w:eastAsia="宋体"/>
                <w:sz w:val="28"/>
                <w:szCs w:val="28"/>
              </w:rPr>
            </w:pPr>
            <w:r>
              <w:rPr>
                <w:rFonts w:hint="eastAsia" w:ascii="宋体" w:hAnsi="宋体" w:eastAsia="宋体"/>
                <w:sz w:val="28"/>
                <w:szCs w:val="28"/>
              </w:rPr>
              <w:t>1）投标文件中提供业绩合同扫描件。如合同中无法体现签订时间、业绩内容等评审要素的，须另附业主单位（合同甲方）加盖公章的证明材料扫描件。</w:t>
            </w:r>
          </w:p>
          <w:p>
            <w:pPr>
              <w:spacing w:line="360" w:lineRule="auto"/>
              <w:rPr>
                <w:rFonts w:ascii="宋体" w:hAnsi="宋体" w:eastAsia="宋体"/>
                <w:sz w:val="28"/>
                <w:szCs w:val="28"/>
              </w:rPr>
            </w:pPr>
            <w:r>
              <w:rPr>
                <w:rFonts w:hint="eastAsia" w:ascii="宋体" w:hAnsi="宋体" w:eastAsia="宋体"/>
                <w:sz w:val="28"/>
                <w:szCs w:val="28"/>
              </w:rPr>
              <w:t>2）正在履约的业绩或已完成的业绩均予以认可。</w:t>
            </w:r>
          </w:p>
        </w:tc>
        <w:tc>
          <w:tcPr>
            <w:tcW w:w="1351"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6</w:t>
            </w:r>
            <w:r>
              <w:rPr>
                <w:rFonts w:hint="eastAsia" w:ascii="宋体" w:hAnsi="宋体" w:eastAsia="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价格分</w:t>
            </w:r>
          </w:p>
          <w:p>
            <w:pPr>
              <w:spacing w:line="360" w:lineRule="auto"/>
              <w:jc w:val="center"/>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u w:val="single"/>
              </w:rPr>
              <w:t>3</w:t>
            </w:r>
            <w:r>
              <w:rPr>
                <w:rFonts w:ascii="宋体" w:hAnsi="宋体" w:eastAsia="宋体"/>
                <w:sz w:val="28"/>
                <w:szCs w:val="28"/>
                <w:u w:val="single"/>
              </w:rPr>
              <w:t>0</w:t>
            </w:r>
            <w:r>
              <w:rPr>
                <w:rFonts w:hint="eastAsia" w:ascii="宋体" w:hAnsi="宋体" w:eastAsia="宋体"/>
                <w:sz w:val="28"/>
                <w:szCs w:val="28"/>
              </w:rPr>
              <w:t>分）</w:t>
            </w:r>
          </w:p>
        </w:tc>
        <w:tc>
          <w:tcPr>
            <w:tcW w:w="8438" w:type="dxa"/>
            <w:gridSpan w:val="3"/>
          </w:tcPr>
          <w:p>
            <w:pPr>
              <w:spacing w:line="360" w:lineRule="auto"/>
              <w:rPr>
                <w:rFonts w:ascii="宋体" w:hAnsi="宋体" w:eastAsia="宋体"/>
                <w:sz w:val="28"/>
                <w:szCs w:val="28"/>
              </w:rPr>
            </w:pPr>
            <w:r>
              <w:rPr>
                <w:rFonts w:hint="eastAsia" w:ascii="宋体" w:hAnsi="宋体" w:eastAsia="宋体"/>
                <w:sz w:val="28"/>
                <w:szCs w:val="28"/>
              </w:rPr>
              <w:t>价格分统一采用低价优先法，即满足招标文件要求且投标价格最低的投标报价为评标基准价，其价格分为满足</w:t>
            </w:r>
            <w:r>
              <w:rPr>
                <w:rFonts w:hint="eastAsia" w:ascii="宋体" w:hAnsi="宋体" w:eastAsia="宋体"/>
                <w:sz w:val="28"/>
                <w:szCs w:val="28"/>
                <w:u w:val="single"/>
              </w:rPr>
              <w:t>3</w:t>
            </w:r>
            <w:r>
              <w:rPr>
                <w:rFonts w:ascii="宋体" w:hAnsi="宋体" w:eastAsia="宋体"/>
                <w:sz w:val="28"/>
                <w:szCs w:val="28"/>
                <w:u w:val="single"/>
              </w:rPr>
              <w:t>0</w:t>
            </w:r>
            <w:r>
              <w:rPr>
                <w:rFonts w:hint="eastAsia" w:ascii="宋体" w:hAnsi="宋体" w:eastAsia="宋体"/>
                <w:sz w:val="28"/>
                <w:szCs w:val="28"/>
              </w:rPr>
              <w:t>分。其他投标人的价格分统一按照下列公式计算：</w:t>
            </w:r>
          </w:p>
          <w:p>
            <w:pPr>
              <w:spacing w:line="360" w:lineRule="auto"/>
              <w:rPr>
                <w:rFonts w:ascii="宋体" w:hAnsi="宋体" w:eastAsia="宋体"/>
                <w:sz w:val="28"/>
                <w:szCs w:val="28"/>
              </w:rPr>
            </w:pPr>
            <w:r>
              <w:rPr>
                <w:rFonts w:hint="eastAsia" w:ascii="宋体" w:hAnsi="宋体" w:eastAsia="宋体"/>
                <w:sz w:val="28"/>
                <w:szCs w:val="28"/>
              </w:rPr>
              <w:t>投标报价得分=（评标基准价/投标报价）×</w:t>
            </w:r>
            <w:r>
              <w:rPr>
                <w:rFonts w:ascii="宋体" w:hAnsi="宋体" w:eastAsia="宋体"/>
                <w:sz w:val="28"/>
                <w:szCs w:val="28"/>
              </w:rPr>
              <w:t>30</w:t>
            </w:r>
            <w:r>
              <w:rPr>
                <w:rFonts w:hint="eastAsia" w:ascii="宋体" w:hAnsi="宋体" w:eastAsia="宋体"/>
                <w:sz w:val="28"/>
                <w:szCs w:val="28"/>
              </w:rPr>
              <w:t>%×</w:t>
            </w:r>
            <w:r>
              <w:rPr>
                <w:rFonts w:ascii="宋体" w:hAnsi="宋体" w:eastAsia="宋体"/>
                <w:sz w:val="28"/>
                <w:szCs w:val="28"/>
              </w:rPr>
              <w:t>100</w:t>
            </w:r>
          </w:p>
        </w:tc>
      </w:tr>
    </w:tbl>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.3.3 分值汇总</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评标委员会各成员应当独立对每个有效投标人的投标文件进行评分， 并汇总每个投标人的得分。取各位评委评分之平均值，四舍五入保留至小数点后两位数，得到该投标人的技术资信分。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将投标人的技术资信分加上根据上述标准计算出的价格分，即为该投标人的综合总得分。</w:t>
      </w:r>
      <w:bookmarkStart w:id="5" w:name="第五章__政府采购合同"/>
      <w:bookmarkEnd w:id="5"/>
    </w:p>
    <w:sectPr>
      <w:pgSz w:w="11910" w:h="16840"/>
      <w:pgMar w:top="1380" w:right="1000" w:bottom="1220" w:left="1020" w:header="878" w:footer="10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Kaiti SC">
    <w:altName w:val="宋体"/>
    <w:panose1 w:val="00000000000000000000"/>
    <w:charset w:val="86"/>
    <w:family w:val="auto"/>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9510" cy="160020"/>
              <wp:effectExtent l="0" t="0" r="8890" b="5080"/>
              <wp:wrapNone/>
              <wp:docPr id="1" name="docshape9"/>
              <wp:cNvGraphicFramePr/>
              <a:graphic xmlns:a="http://schemas.openxmlformats.org/drawingml/2006/main">
                <a:graphicData uri="http://schemas.microsoft.com/office/word/2010/wordprocessingShape">
                  <wps:wsp>
                    <wps:cNvSpPr txBox="1"/>
                    <wps:spPr bwMode="auto">
                      <a:xfrm>
                        <a:off x="0" y="0"/>
                        <a:ext cx="1159510" cy="160020"/>
                      </a:xfrm>
                      <a:prstGeom prst="rect">
                        <a:avLst/>
                      </a:prstGeom>
                      <a:noFill/>
                      <a:ln>
                        <a:noFill/>
                      </a:ln>
                    </wps:spPr>
                    <wps:txbx>
                      <w:txbxContent>
                        <w:p>
                          <w:pPr>
                            <w:spacing w:line="251" w:lineRule="exact"/>
                            <w:ind w:left="20"/>
                            <w:rPr>
                              <w:sz w:val="21"/>
                            </w:rPr>
                          </w:pPr>
                          <w:r>
                            <w:rPr>
                              <w:spacing w:val="10"/>
                              <w:w w:val="110"/>
                              <w:sz w:val="21"/>
                            </w:rPr>
                            <w:t xml:space="preserve">第 </w:t>
                          </w:r>
                          <w:r>
                            <w:fldChar w:fldCharType="begin"/>
                          </w:r>
                          <w:r>
                            <w:rPr>
                              <w:rFonts w:hint="eastAsia" w:ascii="Kaiti SC" w:eastAsia="Kaiti SC"/>
                              <w:b/>
                              <w:w w:val="110"/>
                              <w:sz w:val="21"/>
                            </w:rPr>
                            <w:instrText xml:space="preserve"> PAGE </w:instrText>
                          </w:r>
                          <w:r>
                            <w:fldChar w:fldCharType="separate"/>
                          </w:r>
                          <w:r>
                            <w:rPr>
                              <w:rFonts w:ascii="Kaiti SC" w:eastAsia="Kaiti SC"/>
                              <w:b/>
                              <w:w w:val="110"/>
                              <w:sz w:val="21"/>
                            </w:rPr>
                            <w:t>11</w:t>
                          </w:r>
                          <w:r>
                            <w:fldChar w:fldCharType="end"/>
                          </w:r>
                          <w:r>
                            <w:rPr>
                              <w:rFonts w:hint="eastAsia" w:ascii="Kaiti SC" w:eastAsia="Kaiti SC"/>
                              <w:b/>
                              <w:spacing w:val="26"/>
                              <w:w w:val="110"/>
                              <w:sz w:val="21"/>
                            </w:rPr>
                            <w:t xml:space="preserve"> </w:t>
                          </w:r>
                          <w:r>
                            <w:rPr>
                              <w:w w:val="110"/>
                              <w:sz w:val="21"/>
                            </w:rPr>
                            <w:t>页</w:t>
                          </w:r>
                          <w:r>
                            <w:rPr>
                              <w:w w:val="155"/>
                              <w:sz w:val="21"/>
                            </w:rPr>
                            <w:t>/</w:t>
                          </w:r>
                          <w:r>
                            <w:rPr>
                              <w:spacing w:val="10"/>
                              <w:w w:val="110"/>
                              <w:sz w:val="21"/>
                            </w:rPr>
                            <w:t xml:space="preserve">共 </w:t>
                          </w:r>
                          <w:r>
                            <w:rPr>
                              <w:rFonts w:hint="eastAsia" w:ascii="Kaiti SC" w:eastAsia="Kaiti SC"/>
                              <w:b/>
                              <w:w w:val="110"/>
                              <w:sz w:val="21"/>
                              <w:lang w:val="en-US" w:eastAsia="zh-CN"/>
                            </w:rPr>
                            <w:t>11</w:t>
                          </w:r>
                          <w:r>
                            <w:rPr>
                              <w:w w:val="110"/>
                              <w:sz w:val="21"/>
                            </w:rPr>
                            <w:t>页</w:t>
                          </w:r>
                        </w:p>
                      </w:txbxContent>
                    </wps:txbx>
                    <wps:bodyPr rot="0" vert="horz" wrap="square" lIns="0" tIns="0" rIns="0" bIns="0" anchor="t" anchorCtr="0" upright="1">
                      <a:noAutofit/>
                    </wps:bodyPr>
                  </wps:wsp>
                </a:graphicData>
              </a:graphic>
            </wp:anchor>
          </w:drawing>
        </mc:Choice>
        <mc:Fallback>
          <w:pict>
            <v:shape id="docshape9" o:spid="_x0000_s1026" o:spt="202" type="#_x0000_t202" style="position:absolute;left:0pt;margin-top:0pt;height:12.6pt;width:91.3pt;mso-position-horizontal:center;mso-position-horizontal-relative:margin;z-index:251660288;mso-width-relative:page;mso-height-relative:page;" filled="f" stroked="f" coordsize="21600,21600" o:gfxdata="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4CBLn1wAAAAcBAAAP&#10;AAAAAAAAAAEAIAAAACIAAABkcnMvZG93bnJldi54bWxQSwECFAAUAAAACACHTuJATogGNOABAADT&#10;AwAADgAAAAAAAAABACAAAAAmAQAAZHJzL2Uyb0RvYy54bWxQSwUGAAAAAAYABgBZAQAAeAUAAAAA&#10;">
              <v:fill on="f" focussize="0,0"/>
              <v:stroke on="f"/>
              <v:imagedata o:title=""/>
              <o:lock v:ext="edit" aspectratio="f"/>
              <v:textbox inset="0mm,0mm,0mm,0mm">
                <w:txbxContent>
                  <w:p>
                    <w:pPr>
                      <w:spacing w:line="251" w:lineRule="exact"/>
                      <w:ind w:left="20"/>
                      <w:rPr>
                        <w:sz w:val="21"/>
                      </w:rPr>
                    </w:pPr>
                    <w:r>
                      <w:rPr>
                        <w:spacing w:val="10"/>
                        <w:w w:val="110"/>
                        <w:sz w:val="21"/>
                      </w:rPr>
                      <w:t xml:space="preserve">第 </w:t>
                    </w:r>
                    <w:r>
                      <w:fldChar w:fldCharType="begin"/>
                    </w:r>
                    <w:r>
                      <w:rPr>
                        <w:rFonts w:hint="eastAsia" w:ascii="Kaiti SC" w:eastAsia="Kaiti SC"/>
                        <w:b/>
                        <w:w w:val="110"/>
                        <w:sz w:val="21"/>
                      </w:rPr>
                      <w:instrText xml:space="preserve"> PAGE </w:instrText>
                    </w:r>
                    <w:r>
                      <w:fldChar w:fldCharType="separate"/>
                    </w:r>
                    <w:r>
                      <w:rPr>
                        <w:rFonts w:ascii="Kaiti SC" w:eastAsia="Kaiti SC"/>
                        <w:b/>
                        <w:w w:val="110"/>
                        <w:sz w:val="21"/>
                      </w:rPr>
                      <w:t>11</w:t>
                    </w:r>
                    <w:r>
                      <w:fldChar w:fldCharType="end"/>
                    </w:r>
                    <w:r>
                      <w:rPr>
                        <w:rFonts w:hint="eastAsia" w:ascii="Kaiti SC" w:eastAsia="Kaiti SC"/>
                        <w:b/>
                        <w:spacing w:val="26"/>
                        <w:w w:val="110"/>
                        <w:sz w:val="21"/>
                      </w:rPr>
                      <w:t xml:space="preserve"> </w:t>
                    </w:r>
                    <w:r>
                      <w:rPr>
                        <w:w w:val="110"/>
                        <w:sz w:val="21"/>
                      </w:rPr>
                      <w:t>页</w:t>
                    </w:r>
                    <w:r>
                      <w:rPr>
                        <w:w w:val="155"/>
                        <w:sz w:val="21"/>
                      </w:rPr>
                      <w:t>/</w:t>
                    </w:r>
                    <w:r>
                      <w:rPr>
                        <w:spacing w:val="10"/>
                        <w:w w:val="110"/>
                        <w:sz w:val="21"/>
                      </w:rPr>
                      <w:t xml:space="preserve">共 </w:t>
                    </w:r>
                    <w:r>
                      <w:rPr>
                        <w:rFonts w:hint="eastAsia" w:ascii="Kaiti SC" w:eastAsia="Kaiti SC"/>
                        <w:b/>
                        <w:w w:val="110"/>
                        <w:sz w:val="21"/>
                        <w:lang w:val="en-US" w:eastAsia="zh-CN"/>
                      </w:rPr>
                      <w:t>11</w:t>
                    </w:r>
                    <w:r>
                      <w:rPr>
                        <w:w w:val="110"/>
                        <w:sz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bookmarkStart w:id="6" w:name="_GoBack"/>
    <w:bookmarkEnd w:id="6"/>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701040</wp:posOffset>
              </wp:positionV>
              <wp:extent cx="5274310" cy="8890"/>
              <wp:effectExtent l="0" t="0" r="0" b="3810"/>
              <wp:wrapNone/>
              <wp:docPr id="3" name="docshape7"/>
              <wp:cNvGraphicFramePr/>
              <a:graphic xmlns:a="http://schemas.openxmlformats.org/drawingml/2006/main">
                <a:graphicData uri="http://schemas.microsoft.com/office/word/2010/wordprocessingShape">
                  <wps:wsp>
                    <wps:cNvSpPr/>
                    <wps:spPr bwMode="auto">
                      <a:xfrm>
                        <a:off x="0" y="0"/>
                        <a:ext cx="527431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docshape7" o:spid="_x0000_s1026" o:spt="1" style="position:absolute;left:0pt;margin-left:90pt;margin-top:55.2pt;height:0.7pt;width:415.3pt;mso-position-horizontal-relative:page;mso-position-vertical-relative:page;z-index:-251657216;mso-width-relative:page;mso-height-relative:page;" fillcolor="#000000" filled="t" stroked="f" coordsize="21600,21600" o:gfxdata="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YZVL2AAAAAwBAAAPAAAAAAAAAAEAIAAAACIAAABkcnMvZG93bnJldi54bWxQSwEC&#10;FAAUAAAACACHTuJArTkIRPQBAAD1AwAADgAAAAAAAAABACAAAAAnAQAAZHJzL2Uyb0RvYy54bWxQ&#10;SwUGAAAAAAYABgBZAQAAjQU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544830</wp:posOffset>
              </wp:positionV>
              <wp:extent cx="1739900" cy="139700"/>
              <wp:effectExtent l="0" t="0" r="0" b="0"/>
              <wp:wrapNone/>
              <wp:docPr id="2" name="docshape8"/>
              <wp:cNvGraphicFramePr/>
              <a:graphic xmlns:a="http://schemas.openxmlformats.org/drawingml/2006/main">
                <a:graphicData uri="http://schemas.microsoft.com/office/word/2010/wordprocessingShape">
                  <wps:wsp>
                    <wps:cNvSpPr txBox="1"/>
                    <wps:spPr bwMode="auto">
                      <a:xfrm>
                        <a:off x="0" y="0"/>
                        <a:ext cx="1739900" cy="139700"/>
                      </a:xfrm>
                      <a:prstGeom prst="rect">
                        <a:avLst/>
                      </a:prstGeom>
                      <a:noFill/>
                      <a:ln>
                        <a:noFill/>
                      </a:ln>
                    </wps:spPr>
                    <wps:txbx>
                      <w:txbxContent>
                        <w:p>
                          <w:pPr>
                            <w:spacing w:line="220" w:lineRule="exact"/>
                            <w:ind w:left="20"/>
                            <w:rPr>
                              <w:sz w:val="18"/>
                            </w:rPr>
                          </w:pPr>
                          <w:r>
                            <w:rPr>
                              <w:sz w:val="18"/>
                            </w:rPr>
                            <w:t>政府采购招标文件范本——货物类</w:t>
                          </w:r>
                        </w:p>
                      </w:txbxContent>
                    </wps:txbx>
                    <wps:bodyPr rot="0" vert="horz" wrap="square" lIns="0" tIns="0" rIns="0" bIns="0" anchor="t" anchorCtr="0" upright="1">
                      <a:noAutofit/>
                    </wps:bodyPr>
                  </wps:wsp>
                </a:graphicData>
              </a:graphic>
            </wp:anchor>
          </w:drawing>
        </mc:Choice>
        <mc:Fallback>
          <w:pict>
            <v:shape id="docshape8" o:spid="_x0000_s1026" o:spt="202" type="#_x0000_t202" style="position:absolute;left:0pt;margin-left:89pt;margin-top:42.9pt;height:11pt;width:137pt;mso-position-horizontal-relative:page;mso-position-vertical-relative:page;z-index:-251656192;mso-width-relative:page;mso-height-relative:page;" filled="f" stroked="f" coordsize="21600,21600" o:gfxdata="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dIiudgAAAAKAQAA&#10;DwAAAAAAAAABACAAAAAiAAAAZHJzL2Rvd25yZXYueG1sUEsBAhQAFAAAAAgAh07iQD2GnhTgAQAA&#10;0wMAAA4AAAAAAAAAAQAgAAAAJwEAAGRycy9lMm9Eb2MueG1sUEsFBgAAAAAGAAYAWQEAAHkFAAAA&#10;AA==&#10;">
              <v:fill on="f" focussize="0,0"/>
              <v:stroke on="f"/>
              <v:imagedata o:title=""/>
              <o:lock v:ext="edit" aspectratio="f"/>
              <v:textbox inset="0mm,0mm,0mm,0mm">
                <w:txbxContent>
                  <w:p>
                    <w:pPr>
                      <w:spacing w:line="220" w:lineRule="exact"/>
                      <w:ind w:left="20"/>
                      <w:rPr>
                        <w:sz w:val="18"/>
                      </w:rPr>
                    </w:pPr>
                    <w:r>
                      <w:rPr>
                        <w:sz w:val="18"/>
                      </w:rPr>
                      <w:t>政府采购招标文件范本——货物类</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0"/>
    <w:rsid w:val="00013AF9"/>
    <w:rsid w:val="00020C9B"/>
    <w:rsid w:val="00023D16"/>
    <w:rsid w:val="00034601"/>
    <w:rsid w:val="00041C2C"/>
    <w:rsid w:val="00043174"/>
    <w:rsid w:val="00046062"/>
    <w:rsid w:val="00046FFA"/>
    <w:rsid w:val="00071725"/>
    <w:rsid w:val="00075F57"/>
    <w:rsid w:val="0007647C"/>
    <w:rsid w:val="000832B8"/>
    <w:rsid w:val="00085202"/>
    <w:rsid w:val="00085CF2"/>
    <w:rsid w:val="000876FE"/>
    <w:rsid w:val="00095582"/>
    <w:rsid w:val="00097CF8"/>
    <w:rsid w:val="000A5118"/>
    <w:rsid w:val="000A5D0A"/>
    <w:rsid w:val="000C4CFD"/>
    <w:rsid w:val="000D038E"/>
    <w:rsid w:val="000D0817"/>
    <w:rsid w:val="000E58D2"/>
    <w:rsid w:val="000F005B"/>
    <w:rsid w:val="000F5FF2"/>
    <w:rsid w:val="0010171D"/>
    <w:rsid w:val="00113368"/>
    <w:rsid w:val="0011340B"/>
    <w:rsid w:val="00123193"/>
    <w:rsid w:val="0014219D"/>
    <w:rsid w:val="00143CA1"/>
    <w:rsid w:val="001543BE"/>
    <w:rsid w:val="00166CEA"/>
    <w:rsid w:val="001677A6"/>
    <w:rsid w:val="00167C0C"/>
    <w:rsid w:val="001A1999"/>
    <w:rsid w:val="001A662D"/>
    <w:rsid w:val="001B298A"/>
    <w:rsid w:val="001B3F55"/>
    <w:rsid w:val="001B4FBA"/>
    <w:rsid w:val="001D4C9D"/>
    <w:rsid w:val="001D4EC7"/>
    <w:rsid w:val="001D58B7"/>
    <w:rsid w:val="001E0101"/>
    <w:rsid w:val="001E75B5"/>
    <w:rsid w:val="001E790A"/>
    <w:rsid w:val="001F2CAA"/>
    <w:rsid w:val="002032A7"/>
    <w:rsid w:val="0020399A"/>
    <w:rsid w:val="0021213F"/>
    <w:rsid w:val="002448CE"/>
    <w:rsid w:val="00256A20"/>
    <w:rsid w:val="00257CAF"/>
    <w:rsid w:val="0026617D"/>
    <w:rsid w:val="002665A0"/>
    <w:rsid w:val="002A63B9"/>
    <w:rsid w:val="003050A4"/>
    <w:rsid w:val="00326B22"/>
    <w:rsid w:val="00332FDC"/>
    <w:rsid w:val="00336C98"/>
    <w:rsid w:val="00392643"/>
    <w:rsid w:val="003A7A7F"/>
    <w:rsid w:val="003B5DF1"/>
    <w:rsid w:val="003C5BF0"/>
    <w:rsid w:val="003D124A"/>
    <w:rsid w:val="004003CF"/>
    <w:rsid w:val="00407F6F"/>
    <w:rsid w:val="00410CE7"/>
    <w:rsid w:val="00414707"/>
    <w:rsid w:val="00414A6D"/>
    <w:rsid w:val="004163EF"/>
    <w:rsid w:val="004373B0"/>
    <w:rsid w:val="00437EC0"/>
    <w:rsid w:val="00442650"/>
    <w:rsid w:val="00445515"/>
    <w:rsid w:val="00474300"/>
    <w:rsid w:val="004A5F1C"/>
    <w:rsid w:val="004B460E"/>
    <w:rsid w:val="004C277F"/>
    <w:rsid w:val="005013C7"/>
    <w:rsid w:val="00504721"/>
    <w:rsid w:val="00517392"/>
    <w:rsid w:val="00517D57"/>
    <w:rsid w:val="00525424"/>
    <w:rsid w:val="00540538"/>
    <w:rsid w:val="00541C0C"/>
    <w:rsid w:val="00543E6D"/>
    <w:rsid w:val="00563304"/>
    <w:rsid w:val="005639BB"/>
    <w:rsid w:val="005818AB"/>
    <w:rsid w:val="00581CD7"/>
    <w:rsid w:val="005A51E0"/>
    <w:rsid w:val="005A6DC4"/>
    <w:rsid w:val="005C4164"/>
    <w:rsid w:val="005C461C"/>
    <w:rsid w:val="005F0ACB"/>
    <w:rsid w:val="00603EA2"/>
    <w:rsid w:val="00612BE0"/>
    <w:rsid w:val="006156F7"/>
    <w:rsid w:val="00623140"/>
    <w:rsid w:val="0063717E"/>
    <w:rsid w:val="00645A10"/>
    <w:rsid w:val="00655058"/>
    <w:rsid w:val="00670FE5"/>
    <w:rsid w:val="006A146B"/>
    <w:rsid w:val="006D1425"/>
    <w:rsid w:val="006E5422"/>
    <w:rsid w:val="006F65C1"/>
    <w:rsid w:val="00703E4B"/>
    <w:rsid w:val="00707EFB"/>
    <w:rsid w:val="007210C2"/>
    <w:rsid w:val="00780B1F"/>
    <w:rsid w:val="00786492"/>
    <w:rsid w:val="007C1D88"/>
    <w:rsid w:val="007C7D9D"/>
    <w:rsid w:val="00815003"/>
    <w:rsid w:val="00815C09"/>
    <w:rsid w:val="008217CD"/>
    <w:rsid w:val="00822375"/>
    <w:rsid w:val="00836848"/>
    <w:rsid w:val="00844EC0"/>
    <w:rsid w:val="008647E5"/>
    <w:rsid w:val="00866547"/>
    <w:rsid w:val="00873A03"/>
    <w:rsid w:val="008A2CDA"/>
    <w:rsid w:val="008A2E7F"/>
    <w:rsid w:val="008C103F"/>
    <w:rsid w:val="008D2A40"/>
    <w:rsid w:val="008D5A62"/>
    <w:rsid w:val="008F2BAD"/>
    <w:rsid w:val="008F4C17"/>
    <w:rsid w:val="00913902"/>
    <w:rsid w:val="00920FDC"/>
    <w:rsid w:val="00954FA8"/>
    <w:rsid w:val="00973D81"/>
    <w:rsid w:val="009759FD"/>
    <w:rsid w:val="00985C49"/>
    <w:rsid w:val="00994F3B"/>
    <w:rsid w:val="00996659"/>
    <w:rsid w:val="009A255D"/>
    <w:rsid w:val="009A32C1"/>
    <w:rsid w:val="009A55F3"/>
    <w:rsid w:val="009A569B"/>
    <w:rsid w:val="009D47B7"/>
    <w:rsid w:val="009E2926"/>
    <w:rsid w:val="009E2987"/>
    <w:rsid w:val="009E3CD9"/>
    <w:rsid w:val="009F6170"/>
    <w:rsid w:val="00A176F2"/>
    <w:rsid w:val="00A40652"/>
    <w:rsid w:val="00A4360F"/>
    <w:rsid w:val="00A44907"/>
    <w:rsid w:val="00A45678"/>
    <w:rsid w:val="00A64567"/>
    <w:rsid w:val="00A90339"/>
    <w:rsid w:val="00AC4EAE"/>
    <w:rsid w:val="00AC61CE"/>
    <w:rsid w:val="00B25860"/>
    <w:rsid w:val="00B33591"/>
    <w:rsid w:val="00B73E59"/>
    <w:rsid w:val="00B75FFA"/>
    <w:rsid w:val="00B7775C"/>
    <w:rsid w:val="00B81BD0"/>
    <w:rsid w:val="00B91AF5"/>
    <w:rsid w:val="00B92EE1"/>
    <w:rsid w:val="00B97727"/>
    <w:rsid w:val="00BD1E0D"/>
    <w:rsid w:val="00BD3AC9"/>
    <w:rsid w:val="00BE3995"/>
    <w:rsid w:val="00BE5274"/>
    <w:rsid w:val="00C000BF"/>
    <w:rsid w:val="00C242C3"/>
    <w:rsid w:val="00C427F9"/>
    <w:rsid w:val="00C50374"/>
    <w:rsid w:val="00C50AAA"/>
    <w:rsid w:val="00C659EC"/>
    <w:rsid w:val="00C87401"/>
    <w:rsid w:val="00CA0D02"/>
    <w:rsid w:val="00CA4C02"/>
    <w:rsid w:val="00CA4C70"/>
    <w:rsid w:val="00CA762E"/>
    <w:rsid w:val="00CB2B5E"/>
    <w:rsid w:val="00CC41A7"/>
    <w:rsid w:val="00CC4562"/>
    <w:rsid w:val="00CC7F59"/>
    <w:rsid w:val="00CD5EA7"/>
    <w:rsid w:val="00CE718B"/>
    <w:rsid w:val="00CF2C3C"/>
    <w:rsid w:val="00D22C29"/>
    <w:rsid w:val="00D26F29"/>
    <w:rsid w:val="00D27F80"/>
    <w:rsid w:val="00D356CC"/>
    <w:rsid w:val="00D3614F"/>
    <w:rsid w:val="00D426B4"/>
    <w:rsid w:val="00D42F77"/>
    <w:rsid w:val="00D53AF5"/>
    <w:rsid w:val="00D56F73"/>
    <w:rsid w:val="00D73E18"/>
    <w:rsid w:val="00DB2266"/>
    <w:rsid w:val="00DB4D78"/>
    <w:rsid w:val="00DB507E"/>
    <w:rsid w:val="00DC5684"/>
    <w:rsid w:val="00DC6EC5"/>
    <w:rsid w:val="00DD0CF9"/>
    <w:rsid w:val="00DE740E"/>
    <w:rsid w:val="00E10B9C"/>
    <w:rsid w:val="00E21036"/>
    <w:rsid w:val="00E243C5"/>
    <w:rsid w:val="00E31C98"/>
    <w:rsid w:val="00E34296"/>
    <w:rsid w:val="00E434DB"/>
    <w:rsid w:val="00E605B7"/>
    <w:rsid w:val="00E65ADE"/>
    <w:rsid w:val="00E818F1"/>
    <w:rsid w:val="00E84040"/>
    <w:rsid w:val="00EB0C2E"/>
    <w:rsid w:val="00EB64F6"/>
    <w:rsid w:val="00EE008E"/>
    <w:rsid w:val="00EF475C"/>
    <w:rsid w:val="00EF6FC1"/>
    <w:rsid w:val="00F0294D"/>
    <w:rsid w:val="00F02D86"/>
    <w:rsid w:val="00F1501E"/>
    <w:rsid w:val="00F31556"/>
    <w:rsid w:val="00F604D9"/>
    <w:rsid w:val="00F7302E"/>
    <w:rsid w:val="00F81EDF"/>
    <w:rsid w:val="00F96EB0"/>
    <w:rsid w:val="00FA1F84"/>
    <w:rsid w:val="00FA3313"/>
    <w:rsid w:val="00FD7B70"/>
    <w:rsid w:val="2E2C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Unicode MS" w:hAnsi="Arial Unicode MS" w:eastAsia="Arial Unicode MS" w:cs="Arial Unicode MS"/>
      <w:sz w:val="22"/>
      <w:szCs w:val="22"/>
      <w:lang w:val="en-US" w:eastAsia="zh-CN" w:bidi="ar-SA"/>
    </w:rPr>
  </w:style>
  <w:style w:type="paragraph" w:styleId="2">
    <w:name w:val="heading 1"/>
    <w:basedOn w:val="1"/>
    <w:next w:val="1"/>
    <w:qFormat/>
    <w:uiPriority w:val="9"/>
    <w:pPr>
      <w:spacing w:before="41"/>
      <w:ind w:right="17"/>
      <w:jc w:val="center"/>
      <w:outlineLvl w:val="0"/>
    </w:pPr>
    <w:rPr>
      <w:rFonts w:ascii="Kaiti SC" w:hAnsi="Kaiti SC" w:eastAsia="Kaiti SC" w:cs="Kaiti SC"/>
      <w:b/>
      <w:bCs/>
      <w:sz w:val="28"/>
      <w:szCs w:val="28"/>
    </w:rPr>
  </w:style>
  <w:style w:type="paragraph" w:styleId="3">
    <w:name w:val="heading 2"/>
    <w:basedOn w:val="1"/>
    <w:next w:val="1"/>
    <w:unhideWhenUsed/>
    <w:qFormat/>
    <w:uiPriority w:val="9"/>
    <w:pPr>
      <w:spacing w:before="167"/>
      <w:ind w:left="769" w:right="735" w:firstLine="460"/>
      <w:outlineLvl w:val="1"/>
    </w:pPr>
    <w:rPr>
      <w:rFonts w:ascii="Kaiti SC" w:hAnsi="Kaiti SC" w:eastAsia="Kaiti SC" w:cs="Kaiti SC"/>
      <w:b/>
      <w:bCs/>
      <w:sz w:val="25"/>
      <w:szCs w:val="25"/>
    </w:rPr>
  </w:style>
  <w:style w:type="paragraph" w:styleId="4">
    <w:name w:val="heading 3"/>
    <w:basedOn w:val="1"/>
    <w:next w:val="1"/>
    <w:unhideWhenUsed/>
    <w:qFormat/>
    <w:uiPriority w:val="9"/>
    <w:pPr>
      <w:spacing w:before="167"/>
      <w:ind w:left="472" w:right="439"/>
      <w:jc w:val="center"/>
      <w:outlineLvl w:val="2"/>
    </w:pPr>
    <w:rPr>
      <w:sz w:val="25"/>
      <w:szCs w:val="25"/>
    </w:rPr>
  </w:style>
  <w:style w:type="paragraph" w:styleId="5">
    <w:name w:val="heading 4"/>
    <w:basedOn w:val="1"/>
    <w:next w:val="1"/>
    <w:unhideWhenUsed/>
    <w:qFormat/>
    <w:uiPriority w:val="9"/>
    <w:pPr>
      <w:outlineLvl w:val="3"/>
    </w:pPr>
    <w:rPr>
      <w:rFonts w:ascii="Kaiti SC" w:hAnsi="Kaiti SC" w:eastAsia="Kaiti SC" w:cs="Kaiti SC"/>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320"/>
    </w:pPr>
    <w:rPr>
      <w:rFonts w:asciiTheme="minorHAnsi" w:hAnsiTheme="minorHAnsi" w:cstheme="minorHAnsi"/>
      <w:sz w:val="18"/>
      <w:szCs w:val="18"/>
    </w:rPr>
  </w:style>
  <w:style w:type="paragraph" w:styleId="7">
    <w:name w:val="Body Text"/>
    <w:basedOn w:val="1"/>
    <w:qFormat/>
    <w:uiPriority w:val="1"/>
    <w:pPr>
      <w:ind w:left="780"/>
    </w:pPr>
    <w:rPr>
      <w:sz w:val="24"/>
      <w:szCs w:val="24"/>
    </w:rPr>
  </w:style>
  <w:style w:type="paragraph" w:styleId="8">
    <w:name w:val="toc 5"/>
    <w:basedOn w:val="1"/>
    <w:next w:val="1"/>
    <w:semiHidden/>
    <w:unhideWhenUsed/>
    <w:qFormat/>
    <w:uiPriority w:val="39"/>
    <w:pPr>
      <w:ind w:left="880"/>
    </w:pPr>
    <w:rPr>
      <w:rFonts w:asciiTheme="minorHAnsi" w:hAnsiTheme="minorHAnsi" w:cstheme="minorHAnsi"/>
      <w:sz w:val="18"/>
      <w:szCs w:val="18"/>
    </w:rPr>
  </w:style>
  <w:style w:type="paragraph" w:styleId="9">
    <w:name w:val="toc 3"/>
    <w:basedOn w:val="1"/>
    <w:next w:val="1"/>
    <w:semiHidden/>
    <w:unhideWhenUsed/>
    <w:qFormat/>
    <w:uiPriority w:val="39"/>
    <w:pPr>
      <w:ind w:left="440"/>
    </w:pPr>
    <w:rPr>
      <w:rFonts w:asciiTheme="minorHAnsi" w:hAnsiTheme="minorHAnsi" w:cstheme="minorHAnsi"/>
      <w:i/>
      <w:iCs/>
      <w:sz w:val="20"/>
      <w:szCs w:val="20"/>
    </w:rPr>
  </w:style>
  <w:style w:type="paragraph" w:styleId="10">
    <w:name w:val="toc 8"/>
    <w:basedOn w:val="1"/>
    <w:next w:val="1"/>
    <w:semiHidden/>
    <w:unhideWhenUsed/>
    <w:qFormat/>
    <w:uiPriority w:val="39"/>
    <w:pPr>
      <w:ind w:left="1540"/>
    </w:pPr>
    <w:rPr>
      <w:rFonts w:asciiTheme="minorHAnsi" w:hAnsiTheme="minorHAnsi" w:cstheme="minorHAnsi"/>
      <w:sz w:val="18"/>
      <w:szCs w:val="18"/>
    </w:rPr>
  </w:style>
  <w:style w:type="paragraph" w:styleId="11">
    <w:name w:val="footer"/>
    <w:basedOn w:val="1"/>
    <w:link w:val="26"/>
    <w:unhideWhenUsed/>
    <w:qFormat/>
    <w:uiPriority w:val="99"/>
    <w:pPr>
      <w:tabs>
        <w:tab w:val="center" w:pos="4153"/>
        <w:tab w:val="right" w:pos="8306"/>
      </w:tabs>
      <w:snapToGrid w:val="0"/>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pPr>
    <w:rPr>
      <w:rFonts w:asciiTheme="minorHAnsi" w:hAnsiTheme="minorHAnsi" w:cstheme="minorHAnsi"/>
      <w:b/>
      <w:bCs/>
      <w:caps/>
      <w:sz w:val="20"/>
      <w:szCs w:val="20"/>
    </w:rPr>
  </w:style>
  <w:style w:type="paragraph" w:styleId="14">
    <w:name w:val="toc 4"/>
    <w:basedOn w:val="1"/>
    <w:next w:val="1"/>
    <w:semiHidden/>
    <w:unhideWhenUsed/>
    <w:qFormat/>
    <w:uiPriority w:val="39"/>
    <w:pPr>
      <w:ind w:left="660"/>
    </w:pPr>
    <w:rPr>
      <w:rFonts w:asciiTheme="minorHAnsi" w:hAnsiTheme="minorHAnsi" w:cstheme="minorHAnsi"/>
      <w:sz w:val="18"/>
      <w:szCs w:val="18"/>
    </w:rPr>
  </w:style>
  <w:style w:type="paragraph" w:styleId="15">
    <w:name w:val="toc 6"/>
    <w:basedOn w:val="1"/>
    <w:next w:val="1"/>
    <w:semiHidden/>
    <w:unhideWhenUsed/>
    <w:qFormat/>
    <w:uiPriority w:val="39"/>
    <w:pPr>
      <w:ind w:left="1100"/>
    </w:pPr>
    <w:rPr>
      <w:rFonts w:asciiTheme="minorHAnsi" w:hAnsiTheme="minorHAnsi" w:cstheme="minorHAnsi"/>
      <w:sz w:val="18"/>
      <w:szCs w:val="18"/>
    </w:rPr>
  </w:style>
  <w:style w:type="paragraph" w:styleId="16">
    <w:name w:val="toc 2"/>
    <w:basedOn w:val="1"/>
    <w:next w:val="1"/>
    <w:semiHidden/>
    <w:unhideWhenUsed/>
    <w:qFormat/>
    <w:uiPriority w:val="39"/>
    <w:pPr>
      <w:ind w:left="220"/>
    </w:pPr>
    <w:rPr>
      <w:rFonts w:asciiTheme="minorHAnsi" w:hAnsiTheme="minorHAnsi" w:cstheme="minorHAnsi"/>
      <w:smallCaps/>
      <w:sz w:val="20"/>
      <w:szCs w:val="20"/>
    </w:rPr>
  </w:style>
  <w:style w:type="paragraph" w:styleId="17">
    <w:name w:val="toc 9"/>
    <w:basedOn w:val="1"/>
    <w:next w:val="1"/>
    <w:semiHidden/>
    <w:unhideWhenUsed/>
    <w:qFormat/>
    <w:uiPriority w:val="39"/>
    <w:pPr>
      <w:ind w:left="1760"/>
    </w:pPr>
    <w:rPr>
      <w:rFonts w:asciiTheme="minorHAnsi" w:hAnsiTheme="minorHAnsi" w:cstheme="minorHAnsi"/>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780" w:firstLine="434"/>
    </w:pPr>
  </w:style>
  <w:style w:type="paragraph" w:customStyle="1" w:styleId="24">
    <w:name w:val="Table Paragraph"/>
    <w:basedOn w:val="1"/>
    <w:qFormat/>
    <w:uiPriority w:val="1"/>
  </w:style>
  <w:style w:type="character" w:customStyle="1" w:styleId="25">
    <w:name w:val="页眉 Char"/>
    <w:basedOn w:val="20"/>
    <w:link w:val="12"/>
    <w:qFormat/>
    <w:uiPriority w:val="99"/>
    <w:rPr>
      <w:rFonts w:ascii="Arial Unicode MS" w:hAnsi="Arial Unicode MS" w:eastAsia="Arial Unicode MS" w:cs="Arial Unicode MS"/>
      <w:sz w:val="18"/>
      <w:szCs w:val="18"/>
      <w:lang w:eastAsia="zh-CN"/>
    </w:rPr>
  </w:style>
  <w:style w:type="character" w:customStyle="1" w:styleId="26">
    <w:name w:val="页脚 Char"/>
    <w:basedOn w:val="20"/>
    <w:link w:val="11"/>
    <w:qFormat/>
    <w:uiPriority w:val="99"/>
    <w:rPr>
      <w:rFonts w:ascii="Arial Unicode MS" w:hAnsi="Arial Unicode MS" w:eastAsia="Arial Unicode MS" w:cs="Arial Unicode MS"/>
      <w:sz w:val="18"/>
      <w:szCs w:val="18"/>
      <w:lang w:eastAsia="zh-C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TOC Heading"/>
    <w:basedOn w:val="2"/>
    <w:next w:val="1"/>
    <w:unhideWhenUsed/>
    <w:qFormat/>
    <w:uiPriority w:val="39"/>
    <w:pPr>
      <w:keepNext/>
      <w:keepLines/>
      <w:widowControl/>
      <w:autoSpaceDE/>
      <w:autoSpaceDN/>
      <w:spacing w:before="480" w:line="276" w:lineRule="auto"/>
      <w:ind w:right="0"/>
      <w:jc w:val="left"/>
      <w:outlineLvl w:val="9"/>
    </w:pPr>
    <w:rPr>
      <w:rFonts w:asciiTheme="majorHAnsi" w:hAnsiTheme="majorHAnsi" w:eastAsiaTheme="majorEastAsia" w:cstheme="majorBidi"/>
      <w:color w:val="376092"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9E41F-8AAE-4984-946E-8A58EF901F6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6735</Words>
  <Characters>7176</Characters>
  <Lines>52</Lines>
  <Paragraphs>14</Paragraphs>
  <TotalTime>27</TotalTime>
  <ScaleCrop>false</ScaleCrop>
  <LinksUpToDate>false</LinksUpToDate>
  <CharactersWithSpaces>7211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2022-03-28T01:21:00Z</dcterms:created>
  <dc:creator>Anakin</dc:creator>
  <cp:lastModifiedBy>Administrator</cp:lastModifiedBy>
  <dcterms:modified xsi:type="dcterms:W3CDTF">2022-03-31T01:19:57Z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WPS 文字</vt:lpwstr>
  </property>
  <property fmtid="{D5CDD505-2E9C-101B-9397-08002B2CF9AE}" pid="4" name="LastSaved">
    <vt:filetime>2022-03-10T00:00:00Z</vt:filetime>
  </property>
  <property fmtid="{D5CDD505-2E9C-101B-9397-08002B2CF9AE}" pid="5" name="KSOProductBuildVer">
    <vt:lpwstr>2052-11.1.0.11365</vt:lpwstr>
  </property>
  <property fmtid="{D5CDD505-2E9C-101B-9397-08002B2CF9AE}" pid="6" name="ICV">
    <vt:lpwstr>11CCE008B72B4382A640997EEE7DF482</vt:lpwstr>
  </property>
</Properties>
</file>