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072" w:type="dxa"/>
        <w:jc w:val="center"/>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7807"/>
        <w:gridCol w:w="963"/>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618" w:type="dxa"/>
            <w:vAlign w:val="center"/>
          </w:tcPr>
          <w:p>
            <w:pPr>
              <w:jc w:val="center"/>
              <w:rPr>
                <w:rFonts w:hint="eastAsia"/>
                <w:lang w:val="en-US" w:eastAsia="zh-CN"/>
              </w:rPr>
            </w:pPr>
            <w:r>
              <w:rPr>
                <w:rFonts w:hint="eastAsia"/>
                <w:lang w:val="en-US" w:eastAsia="zh-CN"/>
              </w:rPr>
              <w:t>序号</w:t>
            </w:r>
          </w:p>
        </w:tc>
        <w:tc>
          <w:tcPr>
            <w:tcW w:w="7807" w:type="dxa"/>
            <w:vAlign w:val="center"/>
          </w:tcPr>
          <w:p>
            <w:pPr>
              <w:jc w:val="center"/>
              <w:rPr>
                <w:rFonts w:hint="eastAsia"/>
                <w:lang w:val="en-US" w:eastAsia="zh-CN"/>
              </w:rPr>
            </w:pPr>
            <w:r>
              <w:rPr>
                <w:rFonts w:hint="eastAsia"/>
                <w:lang w:val="en-US" w:eastAsia="zh-CN"/>
              </w:rPr>
              <w:t>参数需求</w:t>
            </w:r>
          </w:p>
        </w:tc>
        <w:tc>
          <w:tcPr>
            <w:tcW w:w="963" w:type="dxa"/>
            <w:vAlign w:val="center"/>
          </w:tcPr>
          <w:p>
            <w:pPr>
              <w:jc w:val="center"/>
              <w:rPr>
                <w:rFonts w:hint="eastAsia"/>
                <w:lang w:val="en-US" w:eastAsia="zh-CN"/>
              </w:rPr>
            </w:pPr>
            <w:r>
              <w:rPr>
                <w:rFonts w:hint="eastAsia"/>
                <w:lang w:val="en-US" w:eastAsia="zh-CN"/>
              </w:rPr>
              <w:t>数量</w:t>
            </w:r>
          </w:p>
        </w:tc>
        <w:tc>
          <w:tcPr>
            <w:tcW w:w="684" w:type="dxa"/>
            <w:vAlign w:val="center"/>
          </w:tcPr>
          <w:p>
            <w:pPr>
              <w:jc w:val="center"/>
              <w:rPr>
                <w:rFonts w:hint="eastAsia"/>
                <w:lang w:val="en-US" w:eastAsia="zh-CN"/>
              </w:rPr>
            </w:pPr>
            <w:r>
              <w:rPr>
                <w:rFonts w:hint="eastAsia"/>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jc w:val="center"/>
              <w:rPr>
                <w:rFonts w:hint="eastAsia"/>
                <w:lang w:val="en-US" w:eastAsia="zh-CN"/>
              </w:rPr>
            </w:pPr>
            <w:r>
              <w:rPr>
                <w:rFonts w:hint="eastAsia"/>
                <w:lang w:val="en-US" w:eastAsia="zh-CN"/>
              </w:rPr>
              <w:t>1</w:t>
            </w:r>
          </w:p>
        </w:tc>
        <w:tc>
          <w:tcPr>
            <w:tcW w:w="7807" w:type="dxa"/>
            <w:vAlign w:val="center"/>
          </w:tcPr>
          <w:p>
            <w:pPr>
              <w:rPr>
                <w:rFonts w:hint="eastAsia"/>
              </w:rPr>
            </w:pPr>
            <w:r>
              <w:rPr>
                <w:rFonts w:hint="eastAsia"/>
              </w:rPr>
              <w:t>一、 设计依据:</w:t>
            </w:r>
          </w:p>
          <w:p>
            <w:pPr>
              <w:rPr>
                <w:rFonts w:hint="eastAsia"/>
              </w:rPr>
            </w:pPr>
            <w:r>
              <w:rPr>
                <w:rFonts w:hint="eastAsia"/>
              </w:rPr>
              <w:t>1. 本工程甲方认可的建筑造型和初扩设计图纸。</w:t>
            </w:r>
          </w:p>
          <w:p>
            <w:pPr>
              <w:rPr>
                <w:rFonts w:hint="eastAsia"/>
              </w:rPr>
            </w:pPr>
            <w:r>
              <w:rPr>
                <w:rFonts w:hint="eastAsia"/>
              </w:rPr>
              <w:t>2. 膜设计执行《膜结构技术规程》（CECS158:2015）</w:t>
            </w:r>
          </w:p>
          <w:p>
            <w:pPr>
              <w:rPr>
                <w:rFonts w:hint="eastAsia"/>
              </w:rPr>
            </w:pPr>
            <w:r>
              <w:rPr>
                <w:rFonts w:hint="eastAsia"/>
              </w:rPr>
              <w:t>3. 《钢结构设计规范》（GB50017-2017）.</w:t>
            </w:r>
          </w:p>
          <w:p>
            <w:pPr>
              <w:rPr>
                <w:rFonts w:hint="eastAsia"/>
              </w:rPr>
            </w:pPr>
            <w:r>
              <w:rPr>
                <w:rFonts w:hint="eastAsia"/>
              </w:rPr>
              <w:t>4. 《建筑结构荷载规范》（GB50009-2012） .</w:t>
            </w:r>
          </w:p>
          <w:p>
            <w:pPr>
              <w:rPr>
                <w:rFonts w:hint="eastAsia"/>
              </w:rPr>
            </w:pPr>
            <w:r>
              <w:rPr>
                <w:rFonts w:hint="eastAsia"/>
              </w:rPr>
              <w:t>5. 《冷弯薄壁型钢结构技术规范》（GB50018-2002）.</w:t>
            </w:r>
          </w:p>
          <w:p>
            <w:pPr>
              <w:rPr>
                <w:rFonts w:hint="eastAsia"/>
              </w:rPr>
            </w:pPr>
            <w:r>
              <w:rPr>
                <w:rFonts w:hint="eastAsia"/>
              </w:rPr>
              <w:t>6. 《建筑抗震设计规范》（GB50011-2010）(2016版)</w:t>
            </w:r>
          </w:p>
          <w:p>
            <w:pPr>
              <w:rPr>
                <w:rFonts w:hint="eastAsia"/>
              </w:rPr>
            </w:pPr>
            <w:r>
              <w:rPr>
                <w:rFonts w:hint="eastAsia"/>
              </w:rPr>
              <w:t>7. 《钢结构工程施工质量验收规范》（GB50205-2001）.</w:t>
            </w:r>
          </w:p>
          <w:p>
            <w:pPr>
              <w:rPr>
                <w:rFonts w:hint="eastAsia"/>
              </w:rPr>
            </w:pPr>
            <w:r>
              <w:rPr>
                <w:rFonts w:hint="eastAsia"/>
              </w:rPr>
              <w:t>8. 《建筑钢结构焊接技术规程》（JGJ18-2012）.</w:t>
            </w:r>
          </w:p>
          <w:p>
            <w:pPr>
              <w:rPr>
                <w:rFonts w:hint="eastAsia"/>
              </w:rPr>
            </w:pPr>
            <w:r>
              <w:rPr>
                <w:rFonts w:hint="eastAsia"/>
              </w:rPr>
              <w:t>9. 《碳素结构钢》（GB/T700-2006）.</w:t>
            </w:r>
          </w:p>
          <w:p>
            <w:pPr>
              <w:rPr>
                <w:rFonts w:hint="eastAsia"/>
              </w:rPr>
            </w:pPr>
            <w:r>
              <w:rPr>
                <w:rFonts w:hint="eastAsia"/>
              </w:rPr>
              <w:t>二、设计荷载:</w:t>
            </w:r>
          </w:p>
          <w:p>
            <w:pPr>
              <w:rPr>
                <w:rFonts w:hint="eastAsia"/>
              </w:rPr>
            </w:pPr>
            <w:r>
              <w:rPr>
                <w:rFonts w:hint="eastAsia"/>
              </w:rPr>
              <w:t>活荷载：0.30kn/m^2；基本雪压：0.6kn/m^2；</w:t>
            </w:r>
          </w:p>
          <w:p>
            <w:pPr>
              <w:rPr>
                <w:rFonts w:hint="eastAsia"/>
              </w:rPr>
            </w:pPr>
            <w:r>
              <w:rPr>
                <w:rFonts w:hint="eastAsia"/>
              </w:rPr>
              <w:t>基本风压：0.4kn/m^2；膜材预张力warp/weft=2.0/2.0kn/m。</w:t>
            </w:r>
          </w:p>
          <w:p>
            <w:pPr>
              <w:rPr>
                <w:rFonts w:hint="eastAsia"/>
              </w:rPr>
            </w:pPr>
            <w:r>
              <w:rPr>
                <w:rFonts w:hint="eastAsia"/>
              </w:rPr>
              <w:t>三、所用材料</w:t>
            </w:r>
          </w:p>
          <w:p>
            <w:pPr>
              <w:rPr>
                <w:rFonts w:hint="eastAsia"/>
              </w:rPr>
            </w:pPr>
            <w:r>
              <w:rPr>
                <w:rFonts w:hint="eastAsia"/>
              </w:rPr>
              <w:t>1. 所用钢管皆为高频焊管，所有构件材质为Q235，符合GB/T700-2006。</w:t>
            </w:r>
          </w:p>
          <w:p>
            <w:pPr>
              <w:rPr>
                <w:rFonts w:hint="eastAsia"/>
              </w:rPr>
            </w:pPr>
            <w:r>
              <w:rPr>
                <w:rFonts w:hint="eastAsia"/>
              </w:rPr>
              <w:t>2. 管与管的相贯连接和管与连接件的连接可采用对接焊缝，或全周角焊缝，当采用全周角焊缝时焊脚h和钢管壁厚t的关系为：t≤4mm,h≥t+2,4mm＜t≤8mm,h≥t+3</w:t>
            </w:r>
          </w:p>
          <w:p>
            <w:pPr>
              <w:rPr>
                <w:rFonts w:hint="eastAsia"/>
              </w:rPr>
            </w:pPr>
            <w:r>
              <w:rPr>
                <w:rFonts w:hint="eastAsia"/>
              </w:rPr>
              <w:t>3. 所有对接焊缝必须剖口熔透焊接，此类焊缝未特殊说明等级为三级。</w:t>
            </w:r>
          </w:p>
          <w:p>
            <w:pPr>
              <w:rPr>
                <w:rFonts w:hint="eastAsia"/>
              </w:rPr>
            </w:pPr>
            <w:r>
              <w:rPr>
                <w:rFonts w:hint="eastAsia"/>
              </w:rPr>
              <w:t>4. 未注焊缝为角焊缝，焊脚不小于6mm，</w:t>
            </w:r>
          </w:p>
          <w:p>
            <w:pPr>
              <w:rPr>
                <w:rFonts w:hint="eastAsia"/>
              </w:rPr>
            </w:pPr>
            <w:r>
              <w:rPr>
                <w:rFonts w:hint="eastAsia"/>
              </w:rPr>
              <w:t>5. 角焊缝厚度根据较薄焊件厚度参见下表选用：</w:t>
            </w:r>
          </w:p>
          <w:tbl>
            <w:tblPr>
              <w:tblStyle w:val="10"/>
              <w:tblW w:w="5729" w:type="dxa"/>
              <w:jc w:val="center"/>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863"/>
              <w:gridCol w:w="612"/>
              <w:gridCol w:w="968"/>
              <w:gridCol w:w="111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5" w:type="dxa"/>
                </w:tcPr>
                <w:p>
                  <w:pPr>
                    <w:rPr>
                      <w:rFonts w:hint="eastAsia"/>
                      <w:sz w:val="18"/>
                      <w:szCs w:val="18"/>
                    </w:rPr>
                  </w:pPr>
                  <w:r>
                    <w:rPr>
                      <w:rFonts w:hint="eastAsia"/>
                      <w:sz w:val="18"/>
                      <w:szCs w:val="18"/>
                    </w:rPr>
                    <w:t>较薄焊件厚度</w:t>
                  </w:r>
                </w:p>
              </w:tc>
              <w:tc>
                <w:tcPr>
                  <w:tcW w:w="863" w:type="dxa"/>
                </w:tcPr>
                <w:p>
                  <w:pPr>
                    <w:rPr>
                      <w:rFonts w:hint="eastAsia"/>
                      <w:sz w:val="18"/>
                      <w:szCs w:val="18"/>
                    </w:rPr>
                  </w:pPr>
                  <w:r>
                    <w:rPr>
                      <w:rFonts w:hint="eastAsia"/>
                      <w:sz w:val="18"/>
                      <w:szCs w:val="18"/>
                    </w:rPr>
                    <w:t>t (mm)</w:t>
                  </w:r>
                </w:p>
              </w:tc>
              <w:tc>
                <w:tcPr>
                  <w:tcW w:w="612" w:type="dxa"/>
                </w:tcPr>
                <w:p>
                  <w:pPr>
                    <w:rPr>
                      <w:rFonts w:hint="eastAsia"/>
                      <w:sz w:val="18"/>
                      <w:szCs w:val="18"/>
                    </w:rPr>
                  </w:pPr>
                  <w:r>
                    <w:rPr>
                      <w:rFonts w:hint="eastAsia"/>
                      <w:sz w:val="18"/>
                      <w:szCs w:val="18"/>
                    </w:rPr>
                    <w:t>t≤7</w:t>
                  </w:r>
                </w:p>
              </w:tc>
              <w:tc>
                <w:tcPr>
                  <w:tcW w:w="968" w:type="dxa"/>
                </w:tcPr>
                <w:p>
                  <w:pPr>
                    <w:rPr>
                      <w:rFonts w:hint="eastAsia"/>
                      <w:sz w:val="18"/>
                      <w:szCs w:val="18"/>
                    </w:rPr>
                  </w:pPr>
                  <w:r>
                    <w:rPr>
                      <w:rFonts w:hint="eastAsia"/>
                      <w:sz w:val="18"/>
                      <w:szCs w:val="18"/>
                    </w:rPr>
                    <w:t>8≤t≤10</w:t>
                  </w:r>
                </w:p>
              </w:tc>
              <w:tc>
                <w:tcPr>
                  <w:tcW w:w="1110" w:type="dxa"/>
                </w:tcPr>
                <w:p>
                  <w:pPr>
                    <w:rPr>
                      <w:rFonts w:hint="eastAsia"/>
                      <w:sz w:val="18"/>
                      <w:szCs w:val="18"/>
                    </w:rPr>
                  </w:pPr>
                  <w:r>
                    <w:rPr>
                      <w:rFonts w:hint="eastAsia"/>
                      <w:sz w:val="18"/>
                      <w:szCs w:val="18"/>
                    </w:rPr>
                    <w:t>11≤t≤13</w:t>
                  </w:r>
                </w:p>
              </w:tc>
              <w:tc>
                <w:tcPr>
                  <w:tcW w:w="681" w:type="dxa"/>
                </w:tcPr>
                <w:p>
                  <w:pPr>
                    <w:rPr>
                      <w:rFonts w:hint="eastAsia"/>
                      <w:sz w:val="18"/>
                      <w:szCs w:val="18"/>
                    </w:rPr>
                  </w:pPr>
                  <w:r>
                    <w:rPr>
                      <w:rFonts w:hint="eastAsia"/>
                      <w:sz w:val="18"/>
                      <w:szCs w:val="18"/>
                    </w:rPr>
                    <w:t>14≤t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5" w:type="dxa"/>
                </w:tcPr>
                <w:p>
                  <w:pPr>
                    <w:rPr>
                      <w:rFonts w:hint="eastAsia"/>
                      <w:sz w:val="18"/>
                      <w:szCs w:val="18"/>
                    </w:rPr>
                  </w:pPr>
                  <w:r>
                    <w:rPr>
                      <w:rFonts w:hint="eastAsia"/>
                      <w:sz w:val="18"/>
                      <w:szCs w:val="18"/>
                    </w:rPr>
                    <w:t>焊角尺寸</w:t>
                  </w:r>
                </w:p>
              </w:tc>
              <w:tc>
                <w:tcPr>
                  <w:tcW w:w="863" w:type="dxa"/>
                </w:tcPr>
                <w:p>
                  <w:pPr>
                    <w:rPr>
                      <w:rFonts w:hint="eastAsia"/>
                      <w:sz w:val="18"/>
                      <w:szCs w:val="18"/>
                    </w:rPr>
                  </w:pPr>
                  <w:r>
                    <w:rPr>
                      <w:rFonts w:hint="eastAsia"/>
                      <w:sz w:val="18"/>
                      <w:szCs w:val="18"/>
                    </w:rPr>
                    <w:t>hf (mm)</w:t>
                  </w:r>
                </w:p>
              </w:tc>
              <w:tc>
                <w:tcPr>
                  <w:tcW w:w="612" w:type="dxa"/>
                </w:tcPr>
                <w:p>
                  <w:pPr>
                    <w:rPr>
                      <w:rFonts w:hint="eastAsia"/>
                      <w:sz w:val="18"/>
                      <w:szCs w:val="18"/>
                    </w:rPr>
                  </w:pPr>
                  <w:r>
                    <w:rPr>
                      <w:rFonts w:hint="eastAsia"/>
                      <w:sz w:val="18"/>
                      <w:szCs w:val="18"/>
                    </w:rPr>
                    <w:t>1.2t</w:t>
                  </w:r>
                </w:p>
              </w:tc>
              <w:tc>
                <w:tcPr>
                  <w:tcW w:w="968" w:type="dxa"/>
                </w:tcPr>
                <w:p>
                  <w:pPr>
                    <w:rPr>
                      <w:rFonts w:hint="eastAsia"/>
                      <w:sz w:val="18"/>
                      <w:szCs w:val="18"/>
                    </w:rPr>
                  </w:pPr>
                  <w:r>
                    <w:rPr>
                      <w:rFonts w:hint="eastAsia"/>
                      <w:sz w:val="18"/>
                      <w:szCs w:val="18"/>
                    </w:rPr>
                    <w:t>9</w:t>
                  </w:r>
                </w:p>
              </w:tc>
              <w:tc>
                <w:tcPr>
                  <w:tcW w:w="1110" w:type="dxa"/>
                </w:tcPr>
                <w:p>
                  <w:pPr>
                    <w:rPr>
                      <w:rFonts w:hint="eastAsia"/>
                      <w:sz w:val="18"/>
                      <w:szCs w:val="18"/>
                    </w:rPr>
                  </w:pPr>
                  <w:r>
                    <w:rPr>
                      <w:rFonts w:hint="eastAsia"/>
                      <w:sz w:val="18"/>
                      <w:szCs w:val="18"/>
                    </w:rPr>
                    <w:t>12</w:t>
                  </w:r>
                </w:p>
              </w:tc>
              <w:tc>
                <w:tcPr>
                  <w:tcW w:w="681" w:type="dxa"/>
                </w:tcPr>
                <w:p>
                  <w:pPr>
                    <w:rPr>
                      <w:rFonts w:hint="eastAsia"/>
                      <w:sz w:val="18"/>
                      <w:szCs w:val="18"/>
                    </w:rPr>
                  </w:pPr>
                  <w:r>
                    <w:rPr>
                      <w:rFonts w:hint="eastAsia"/>
                      <w:sz w:val="18"/>
                      <w:szCs w:val="18"/>
                    </w:rPr>
                    <w:t>14</w:t>
                  </w:r>
                </w:p>
              </w:tc>
            </w:tr>
          </w:tbl>
          <w:p>
            <w:pPr>
              <w:rPr>
                <w:rFonts w:hint="eastAsia"/>
              </w:rPr>
            </w:pPr>
            <w:r>
              <w:rPr>
                <w:rFonts w:hint="eastAsia"/>
              </w:rPr>
              <w:t>6. 图中未特殊说明螺栓为镀锌普通大六角头螺栓，符合GB5780-86；螺母符合GB41-86。</w:t>
            </w:r>
          </w:p>
          <w:p>
            <w:pPr>
              <w:rPr>
                <w:rFonts w:hint="eastAsia"/>
              </w:rPr>
            </w:pPr>
            <w:r>
              <w:rPr>
                <w:rFonts w:hint="eastAsia"/>
              </w:rPr>
              <w:t>7. 手工焊采用E43xx型焊条，自动焊和半自动焊所采用的焊丝和焊剂，应保证其熔敷金属抗拉强度不低于相应手工焊焊条的数值。</w:t>
            </w:r>
          </w:p>
          <w:p>
            <w:pPr>
              <w:rPr>
                <w:rFonts w:hint="eastAsia"/>
              </w:rPr>
            </w:pPr>
            <w:r>
              <w:rPr>
                <w:rFonts w:hint="eastAsia"/>
              </w:rPr>
              <w:t xml:space="preserve">8. 膜布采用国产英邦1250g白色建筑膜材。    </w:t>
            </w:r>
          </w:p>
          <w:p>
            <w:pPr>
              <w:rPr>
                <w:rFonts w:hint="eastAsia"/>
              </w:rPr>
            </w:pPr>
            <w:r>
              <w:rPr>
                <w:rFonts w:hint="eastAsia"/>
              </w:rPr>
              <w:t>9. 钢丝绳其材料符合通用钢丝绳标准《GB/T8918-1996》，本工程如采用，则为公称抗拉强度为1570MPa的麻芯钢丝绳，表面镀锌，外附PE涂层。</w:t>
            </w:r>
          </w:p>
          <w:p>
            <w:pPr>
              <w:rPr>
                <w:rFonts w:hint="eastAsia"/>
              </w:rPr>
            </w:pPr>
            <w:r>
              <w:rPr>
                <w:rFonts w:hint="eastAsia"/>
              </w:rPr>
              <w:t>四、制作安装</w:t>
            </w:r>
          </w:p>
          <w:p>
            <w:pPr>
              <w:rPr>
                <w:rFonts w:hint="eastAsia"/>
              </w:rPr>
            </w:pPr>
            <w:r>
              <w:rPr>
                <w:rFonts w:hint="eastAsia"/>
              </w:rPr>
              <w:t>1. 所有焊缝都必须进行外观检查，外观检查的等级为B级。</w:t>
            </w:r>
          </w:p>
          <w:p>
            <w:pPr>
              <w:rPr>
                <w:rFonts w:hint="eastAsia"/>
              </w:rPr>
            </w:pPr>
            <w:r>
              <w:rPr>
                <w:rFonts w:hint="eastAsia"/>
              </w:rPr>
              <w:t xml:space="preserve">2. 所有构件表面必须除锈，等级为St3级，油漆采用底漆二道，面漆二道。 </w:t>
            </w:r>
          </w:p>
          <w:p>
            <w:pPr>
              <w:rPr>
                <w:rFonts w:hint="eastAsia"/>
              </w:rPr>
            </w:pPr>
            <w:r>
              <w:rPr>
                <w:rFonts w:hint="eastAsia"/>
              </w:rPr>
              <w:t>3. 所有钢构件去尖角、毛刺和飞边，焊缝焊完后，去熔渣、飞溅物。</w:t>
            </w:r>
          </w:p>
          <w:p>
            <w:pPr>
              <w:rPr>
                <w:rFonts w:hint="eastAsia"/>
              </w:rPr>
            </w:pPr>
            <w:r>
              <w:rPr>
                <w:rFonts w:hint="eastAsia"/>
              </w:rPr>
              <w:t>4. 超长钢结构部件在工厂加工时要视运输能力合理分段，运至现场拼装焊接，并要求能够保证拼装焊缝强度等强于原钢构件。</w:t>
            </w:r>
          </w:p>
          <w:p>
            <w:pPr>
              <w:rPr>
                <w:rFonts w:hint="eastAsia"/>
              </w:rPr>
            </w:pPr>
            <w:r>
              <w:rPr>
                <w:rFonts w:hint="eastAsia"/>
              </w:rPr>
              <w:t>5. 钢结构安装施工前，要提前校核测量予埋件埋设精度。</w:t>
            </w:r>
          </w:p>
          <w:p>
            <w:pPr>
              <w:rPr>
                <w:rFonts w:hint="eastAsia"/>
              </w:rPr>
            </w:pPr>
            <w:r>
              <w:rPr>
                <w:rFonts w:hint="eastAsia"/>
              </w:rPr>
              <w:t>6. 合理安排钢结构与膜结构安装顺序。</w:t>
            </w:r>
          </w:p>
          <w:p>
            <w:pPr>
              <w:rPr>
                <w:rFonts w:hint="eastAsia"/>
              </w:rPr>
            </w:pPr>
            <w:r>
              <w:rPr>
                <w:rFonts w:hint="eastAsia"/>
              </w:rPr>
              <w:t>五、未尽事宜见国家现行的有关规范或规程</w:t>
            </w:r>
          </w:p>
          <w:p>
            <w:pPr>
              <w:rPr>
                <w:rFonts w:hint="eastAsia"/>
              </w:rPr>
            </w:pPr>
            <w:r>
              <w:rPr>
                <w:rFonts w:hint="eastAsia"/>
              </w:rPr>
              <w:t>六、</w:t>
            </w:r>
            <w:r>
              <w:rPr>
                <w:rFonts w:hint="eastAsia"/>
                <w:lang w:val="en-US" w:eastAsia="zh-CN"/>
              </w:rPr>
              <w:t>相关检测要求</w:t>
            </w:r>
            <w:r>
              <w:rPr>
                <w:rFonts w:hint="eastAsia"/>
              </w:rPr>
              <w:t>：</w:t>
            </w:r>
          </w:p>
          <w:p>
            <w:pPr>
              <w:rPr>
                <w:rFonts w:hint="eastAsia"/>
                <w:lang w:val="en-US" w:eastAsia="zh-CN"/>
              </w:rPr>
            </w:pPr>
            <w:r>
              <w:rPr>
                <w:rFonts w:hint="eastAsia" w:ascii="宋体" w:hAnsi="宋体" w:eastAsia="宋体" w:cs="宋体"/>
                <w:lang w:val="en-US" w:eastAsia="zh-CN"/>
              </w:rPr>
              <w:t>▲</w:t>
            </w:r>
            <w:r>
              <w:rPr>
                <w:rFonts w:hint="eastAsia"/>
                <w:lang w:val="en-US" w:eastAsia="zh-CN"/>
              </w:rPr>
              <w:t>1、投标人或生产厂家须提供第三方检测机构出具的管材表面涂层检测评定报告，且评定结果按照GBT 23987-2009《色漆和清漆 涂层的人工气候老化曝露 曝露于荧光紫外线和水》里的耐老化实验方法进行实验，结果综合等级为“0”级的报告复印件或扫描件加盖生产厂商公章。</w:t>
            </w:r>
          </w:p>
          <w:p>
            <w:pPr>
              <w:rPr>
                <w:rFonts w:hint="eastAsia"/>
                <w:lang w:val="en-US" w:eastAsia="zh-CN"/>
              </w:rPr>
            </w:pPr>
          </w:p>
        </w:tc>
        <w:tc>
          <w:tcPr>
            <w:tcW w:w="963" w:type="dxa"/>
            <w:vAlign w:val="center"/>
          </w:tcPr>
          <w:p>
            <w:pPr>
              <w:rPr>
                <w:rFonts w:hint="eastAsia"/>
                <w:lang w:val="en-US" w:eastAsia="zh-CN"/>
              </w:rPr>
            </w:pPr>
            <w:r>
              <w:rPr>
                <w:rFonts w:hint="eastAsia"/>
                <w:lang w:val="en-US" w:eastAsia="zh-CN"/>
              </w:rPr>
              <w:t>约1300</w:t>
            </w:r>
          </w:p>
        </w:tc>
        <w:tc>
          <w:tcPr>
            <w:tcW w:w="684" w:type="dxa"/>
            <w:vAlign w:val="center"/>
          </w:tcPr>
          <w:p>
            <w:pPr>
              <w:rPr>
                <w:rFonts w:hint="eastAsia"/>
                <w:lang w:val="en-US" w:eastAsia="zh-CN"/>
              </w:rPr>
            </w:pPr>
            <w:r>
              <w:rPr>
                <w:rFonts w:hint="eastAsia"/>
                <w:lang w:val="en-US" w:eastAsia="zh-CN"/>
              </w:rPr>
              <w:t>平方</w:t>
            </w:r>
          </w:p>
        </w:tc>
      </w:tr>
    </w:tbl>
    <w:p>
      <w:pPr>
        <w:pStyle w:val="7"/>
        <w:ind w:left="0" w:leftChars="0" w:firstLine="0" w:firstLineChars="0"/>
        <w:rPr>
          <w:rFonts w:hint="eastAsia" w:ascii="宋体" w:hAnsi="宋体" w:eastAsia="宋体" w:cs="宋体"/>
          <w:color w:val="000000"/>
          <w:kern w:val="2"/>
          <w:sz w:val="24"/>
          <w:szCs w:val="24"/>
          <w:lang w:val="en-US" w:eastAsia="zh-CN" w:bidi="ar-SA"/>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备注：标有“</w:t>
      </w:r>
      <w:r>
        <w:rPr>
          <w:rFonts w:hint="eastAsia" w:ascii="宋体" w:hAnsi="宋体" w:eastAsia="宋体" w:cs="宋体"/>
          <w:lang w:val="en-US" w:eastAsia="zh-CN"/>
        </w:rPr>
        <w:t>▲</w:t>
      </w:r>
      <w:bookmarkStart w:id="0" w:name="_GoBack"/>
      <w:bookmarkEnd w:id="0"/>
      <w:r>
        <w:rPr>
          <w:rFonts w:hint="eastAsia" w:ascii="宋体" w:hAnsi="宋体" w:eastAsia="宋体" w:cs="宋体"/>
          <w:lang w:val="en-US" w:eastAsia="zh-CN"/>
        </w:rPr>
        <w:t>”条款必须满足。中标后三个工作日提供原件供查验，否则，取消中标资格。</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B1A84"/>
    <w:rsid w:val="29D201E5"/>
    <w:rsid w:val="34252916"/>
    <w:rsid w:val="39A7571C"/>
    <w:rsid w:val="528564C5"/>
    <w:rsid w:val="53D243DF"/>
    <w:rsid w:val="644B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First Indent"/>
    <w:basedOn w:val="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4">
    <w:name w:val="Body Text"/>
    <w:basedOn w:val="1"/>
    <w:next w:val="1"/>
    <w:qFormat/>
    <w:uiPriority w:val="0"/>
    <w:pPr>
      <w:spacing w:after="120"/>
    </w:pPr>
    <w:rPr>
      <w:rFonts w:ascii="黑体" w:hAnsi="黑体"/>
      <w:szCs w:val="24"/>
    </w:rPr>
  </w:style>
  <w:style w:type="paragraph" w:styleId="5">
    <w:name w:val="Body Text Indent"/>
    <w:basedOn w:val="1"/>
    <w:next w:val="6"/>
    <w:qFormat/>
    <w:uiPriority w:val="0"/>
    <w:pPr>
      <w:ind w:firstLine="660"/>
    </w:pPr>
    <w:rPr>
      <w:rFonts w:ascii="Arial" w:hAnsi="Arial"/>
      <w:color w:val="000000"/>
      <w:sz w:val="24"/>
      <w:szCs w:val="20"/>
    </w:r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3"/>
    <w:qFormat/>
    <w:uiPriority w:val="0"/>
    <w:pPr>
      <w:spacing w:after="120" w:afterLines="0"/>
      <w:ind w:left="420" w:leftChars="200" w:firstLine="420" w:firstLineChars="200"/>
    </w:pPr>
    <w:rPr>
      <w:rFonts w:ascii="Times New Roman" w:hAnsi="Times New Roman" w:eastAsia="宋体" w:cs="Times New Roman"/>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2022-03-25T07:20:54Z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