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E2B619">
      <w:pPr>
        <w:wordWrap w:val="0"/>
        <w:ind w:firstLine="3393" w:firstLineChars="650"/>
        <w:rPr>
          <w:rFonts w:cs="宋体" w:asciiTheme="minorEastAsia" w:hAnsiTheme="minorEastAsia" w:eastAsiaTheme="minorEastAsia"/>
          <w:b/>
          <w:color w:val="000000" w:themeColor="text1"/>
          <w:sz w:val="52"/>
          <w:szCs w:val="52"/>
        </w:rPr>
      </w:pPr>
      <w:r>
        <w:rPr>
          <w:rFonts w:hint="eastAsia" w:cs="宋体" w:asciiTheme="minorEastAsia" w:hAnsiTheme="minorEastAsia" w:eastAsiaTheme="minorEastAsia"/>
          <w:b/>
          <w:color w:val="000000" w:themeColor="text1"/>
          <w:sz w:val="52"/>
          <w:szCs w:val="52"/>
        </w:rPr>
        <w:t>征集文件</w:t>
      </w:r>
    </w:p>
    <w:p w14:paraId="1685C017">
      <w:pPr>
        <w:wordWrap w:val="0"/>
        <w:ind w:firstLine="2349" w:firstLineChars="450"/>
        <w:rPr>
          <w:rFonts w:cs="宋体" w:asciiTheme="minorEastAsia" w:hAnsiTheme="minorEastAsia" w:eastAsiaTheme="minorEastAsia"/>
          <w:b/>
          <w:color w:val="000000" w:themeColor="text1"/>
          <w:sz w:val="52"/>
          <w:szCs w:val="52"/>
        </w:rPr>
      </w:pPr>
      <w:r>
        <w:rPr>
          <w:rFonts w:hint="eastAsia" w:cs="宋体" w:asciiTheme="minorEastAsia" w:hAnsiTheme="minorEastAsia" w:eastAsiaTheme="minorEastAsia"/>
          <w:b/>
          <w:color w:val="000000" w:themeColor="text1"/>
          <w:sz w:val="52"/>
          <w:szCs w:val="52"/>
        </w:rPr>
        <w:t>（封闭式框架协议）</w:t>
      </w:r>
    </w:p>
    <w:p w14:paraId="4DF3DEF9">
      <w:pPr>
        <w:pStyle w:val="22"/>
        <w:wordWrap w:val="0"/>
        <w:jc w:val="center"/>
        <w:rPr>
          <w:rFonts w:cs="宋体" w:asciiTheme="minorEastAsia" w:hAnsiTheme="minorEastAsia" w:eastAsiaTheme="minorEastAsia"/>
          <w:b/>
          <w:color w:val="000000" w:themeColor="text1"/>
          <w:sz w:val="52"/>
          <w:szCs w:val="52"/>
        </w:rPr>
      </w:pPr>
      <w:r>
        <w:rPr>
          <w:rFonts w:hint="eastAsia" w:cs="宋体" w:asciiTheme="minorEastAsia" w:hAnsiTheme="minorEastAsia" w:eastAsiaTheme="minorEastAsia"/>
          <w:b/>
          <w:color w:val="000000" w:themeColor="text1"/>
          <w:sz w:val="52"/>
          <w:szCs w:val="52"/>
        </w:rPr>
        <w:t xml:space="preserve"> </w:t>
      </w:r>
    </w:p>
    <w:p w14:paraId="4AC89707">
      <w:pPr>
        <w:spacing w:line="360" w:lineRule="auto"/>
        <w:rPr>
          <w:rFonts w:cs="宋体" w:asciiTheme="minorEastAsia" w:hAnsiTheme="minorEastAsia" w:eastAsiaTheme="minorEastAsia"/>
          <w:b/>
          <w:color w:val="000000" w:themeColor="text1"/>
          <w:sz w:val="28"/>
          <w:szCs w:val="28"/>
        </w:rPr>
      </w:pPr>
      <w:r>
        <w:rPr>
          <w:rFonts w:hint="eastAsia" w:cs="宋体" w:asciiTheme="minorEastAsia" w:hAnsiTheme="minorEastAsia" w:eastAsiaTheme="minorEastAsia"/>
          <w:b/>
          <w:color w:val="000000" w:themeColor="text1"/>
          <w:sz w:val="28"/>
          <w:szCs w:val="28"/>
        </w:rPr>
        <w:t>项目名称：2025-2027年度铜陵市公务用车维修保养服务框架协议采购</w:t>
      </w:r>
    </w:p>
    <w:p w14:paraId="5971ADD2">
      <w:pPr>
        <w:pStyle w:val="22"/>
        <w:wordWrap w:val="0"/>
        <w:rPr>
          <w:rFonts w:cs="宋体" w:asciiTheme="minorEastAsia" w:hAnsiTheme="minorEastAsia" w:eastAsiaTheme="minorEastAsia"/>
          <w:b/>
          <w:color w:val="000000" w:themeColor="text1"/>
          <w:sz w:val="28"/>
          <w:szCs w:val="28"/>
        </w:rPr>
      </w:pPr>
    </w:p>
    <w:p w14:paraId="0FE30698">
      <w:pPr>
        <w:wordWrap w:val="0"/>
        <w:rPr>
          <w:rFonts w:cs="宋体" w:asciiTheme="minorEastAsia" w:hAnsiTheme="minorEastAsia" w:eastAsiaTheme="minorEastAsia"/>
          <w:b/>
          <w:color w:val="000000" w:themeColor="text1"/>
          <w:sz w:val="28"/>
          <w:szCs w:val="28"/>
        </w:rPr>
      </w:pPr>
      <w:r>
        <w:rPr>
          <w:rFonts w:hint="eastAsia" w:cs="宋体" w:asciiTheme="minorEastAsia" w:hAnsiTheme="minorEastAsia" w:eastAsiaTheme="minorEastAsia"/>
          <w:b/>
          <w:color w:val="000000" w:themeColor="text1"/>
          <w:sz w:val="28"/>
          <w:szCs w:val="28"/>
        </w:rPr>
        <w:t xml:space="preserve">项目编号： </w:t>
      </w:r>
      <w:r>
        <w:fldChar w:fldCharType="begin"/>
      </w:r>
      <w:r>
        <w:instrText xml:space="preserve"> HYPERLINK "https://www.anhui.zcygov.cn/project-center/_kjxy_/purchasePlanManage/planDetail?planId=1107&amp;utm=web-delegation-order-front.765f5c1e.0.0.60c25970d4c911f0b09d9985f7342f71" \t "_blank" </w:instrText>
      </w:r>
      <w:r>
        <w:fldChar w:fldCharType="separate"/>
      </w:r>
      <w:r>
        <w:rPr>
          <w:rFonts w:hint="eastAsia" w:cs="宋体" w:asciiTheme="minorEastAsia" w:hAnsiTheme="minorEastAsia" w:eastAsiaTheme="minorEastAsia"/>
          <w:b/>
          <w:color w:val="000000" w:themeColor="text1"/>
          <w:sz w:val="28"/>
          <w:szCs w:val="28"/>
        </w:rPr>
        <w:t>KJXY202512090557</w:t>
      </w:r>
      <w:r>
        <w:rPr>
          <w:rFonts w:hint="eastAsia" w:cs="宋体" w:asciiTheme="minorEastAsia" w:hAnsiTheme="minorEastAsia" w:eastAsiaTheme="minorEastAsia"/>
          <w:b/>
          <w:color w:val="000000" w:themeColor="text1"/>
          <w:sz w:val="28"/>
          <w:szCs w:val="28"/>
        </w:rPr>
        <w:fldChar w:fldCharType="end"/>
      </w:r>
    </w:p>
    <w:p w14:paraId="5494905A">
      <w:pPr>
        <w:wordWrap w:val="0"/>
        <w:rPr>
          <w:rFonts w:cs="黑体" w:asciiTheme="minorEastAsia" w:hAnsiTheme="minorEastAsia" w:eastAsiaTheme="minorEastAsia"/>
          <w:b/>
          <w:color w:val="000000" w:themeColor="text1"/>
          <w:sz w:val="52"/>
          <w:szCs w:val="52"/>
        </w:rPr>
      </w:pPr>
    </w:p>
    <w:p w14:paraId="08D58503">
      <w:pPr>
        <w:pStyle w:val="22"/>
        <w:wordWrap w:val="0"/>
        <w:rPr>
          <w:rFonts w:cs="宋体" w:asciiTheme="minorEastAsia" w:hAnsiTheme="minorEastAsia" w:eastAsiaTheme="minorEastAsia"/>
          <w:b/>
          <w:bCs/>
          <w:color w:val="000000" w:themeColor="text1"/>
          <w:w w:val="90"/>
          <w:sz w:val="52"/>
          <w:szCs w:val="52"/>
        </w:rPr>
      </w:pPr>
    </w:p>
    <w:p w14:paraId="5045289B">
      <w:pPr>
        <w:pStyle w:val="22"/>
        <w:wordWrap w:val="0"/>
        <w:rPr>
          <w:rFonts w:cs="宋体" w:asciiTheme="majorEastAsia" w:hAnsiTheme="majorEastAsia" w:eastAsiaTheme="majorEastAsia"/>
          <w:b/>
          <w:color w:val="000000" w:themeColor="text1"/>
          <w:sz w:val="52"/>
          <w:szCs w:val="52"/>
        </w:rPr>
      </w:pPr>
    </w:p>
    <w:tbl>
      <w:tblPr>
        <w:tblStyle w:val="43"/>
        <w:tblW w:w="0" w:type="auto"/>
        <w:tblInd w:w="0" w:type="dxa"/>
        <w:tblLayout w:type="fixed"/>
        <w:tblCellMar>
          <w:top w:w="0" w:type="dxa"/>
          <w:left w:w="108" w:type="dxa"/>
          <w:bottom w:w="0" w:type="dxa"/>
          <w:right w:w="108" w:type="dxa"/>
        </w:tblCellMar>
      </w:tblPr>
      <w:tblGrid>
        <w:gridCol w:w="2864"/>
        <w:gridCol w:w="484"/>
        <w:gridCol w:w="5834"/>
      </w:tblGrid>
      <w:tr w14:paraId="55ADE1D8">
        <w:tblPrEx>
          <w:tblCellMar>
            <w:top w:w="0" w:type="dxa"/>
            <w:left w:w="108" w:type="dxa"/>
            <w:bottom w:w="0" w:type="dxa"/>
            <w:right w:w="108" w:type="dxa"/>
          </w:tblCellMar>
        </w:tblPrEx>
        <w:trPr>
          <w:trHeight w:val="1080" w:hRule="atLeast"/>
        </w:trPr>
        <w:tc>
          <w:tcPr>
            <w:tcW w:w="2864" w:type="dxa"/>
            <w:vAlign w:val="center"/>
          </w:tcPr>
          <w:p w14:paraId="18412BCE">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征集人</w:t>
            </w:r>
          </w:p>
        </w:tc>
        <w:tc>
          <w:tcPr>
            <w:tcW w:w="484" w:type="dxa"/>
            <w:vAlign w:val="center"/>
          </w:tcPr>
          <w:p w14:paraId="6951608E">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w:t>
            </w:r>
          </w:p>
        </w:tc>
        <w:tc>
          <w:tcPr>
            <w:tcW w:w="5834" w:type="dxa"/>
            <w:vAlign w:val="center"/>
          </w:tcPr>
          <w:p w14:paraId="26FDA389">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铜陵市机关事务管理服务中心（盖章）</w:t>
            </w:r>
          </w:p>
          <w:p w14:paraId="5CFC1147">
            <w:pPr>
              <w:pStyle w:val="22"/>
              <w:wordWrap w:val="0"/>
              <w:rPr>
                <w:rFonts w:cs="宋体" w:asciiTheme="majorEastAsia" w:hAnsiTheme="majorEastAsia" w:eastAsiaTheme="majorEastAsia"/>
                <w:b/>
                <w:color w:val="000000" w:themeColor="text1"/>
                <w:sz w:val="28"/>
                <w:szCs w:val="28"/>
              </w:rPr>
            </w:pPr>
          </w:p>
        </w:tc>
      </w:tr>
      <w:tr w14:paraId="1356D139">
        <w:tblPrEx>
          <w:tblCellMar>
            <w:top w:w="0" w:type="dxa"/>
            <w:left w:w="108" w:type="dxa"/>
            <w:bottom w:w="0" w:type="dxa"/>
            <w:right w:w="108" w:type="dxa"/>
          </w:tblCellMar>
        </w:tblPrEx>
        <w:trPr>
          <w:trHeight w:val="87" w:hRule="atLeast"/>
        </w:trPr>
        <w:tc>
          <w:tcPr>
            <w:tcW w:w="2864" w:type="dxa"/>
            <w:vAlign w:val="center"/>
          </w:tcPr>
          <w:p w14:paraId="6F34FA10">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集中采购</w:t>
            </w:r>
          </w:p>
          <w:p w14:paraId="191B4871">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机构</w:t>
            </w:r>
          </w:p>
        </w:tc>
        <w:tc>
          <w:tcPr>
            <w:tcW w:w="484" w:type="dxa"/>
            <w:vAlign w:val="center"/>
          </w:tcPr>
          <w:p w14:paraId="797BEAF7">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w:t>
            </w:r>
          </w:p>
        </w:tc>
        <w:tc>
          <w:tcPr>
            <w:tcW w:w="5834" w:type="dxa"/>
            <w:vAlign w:val="center"/>
          </w:tcPr>
          <w:p w14:paraId="36F3D132">
            <w:pPr>
              <w:pStyle w:val="22"/>
              <w:wordWrap w:val="0"/>
              <w:rPr>
                <w:rFonts w:cs="宋体" w:asciiTheme="majorEastAsia" w:hAnsiTheme="majorEastAsia" w:eastAsiaTheme="majorEastAsia"/>
                <w:b/>
                <w:color w:val="000000" w:themeColor="text1"/>
                <w:sz w:val="28"/>
                <w:szCs w:val="28"/>
              </w:rPr>
            </w:pPr>
            <w:r>
              <w:rPr>
                <w:rFonts w:hint="eastAsia" w:cs="宋体" w:asciiTheme="majorEastAsia" w:hAnsiTheme="majorEastAsia" w:eastAsiaTheme="majorEastAsia"/>
                <w:b/>
                <w:color w:val="000000" w:themeColor="text1"/>
                <w:sz w:val="28"/>
                <w:szCs w:val="28"/>
              </w:rPr>
              <w:t>铜陵市公共资源交易中心</w:t>
            </w:r>
          </w:p>
        </w:tc>
      </w:tr>
    </w:tbl>
    <w:p w14:paraId="0ABDB3F9">
      <w:pPr>
        <w:pStyle w:val="63"/>
        <w:ind w:firstLine="0"/>
        <w:jc w:val="both"/>
        <w:rPr>
          <w:rFonts w:eastAsia="黑体"/>
          <w:b/>
          <w:bCs/>
          <w:color w:val="000000" w:themeColor="text1"/>
          <w:sz w:val="84"/>
        </w:rPr>
      </w:pPr>
      <w:r>
        <w:rPr>
          <w:rFonts w:hint="eastAsia" w:eastAsia="黑体"/>
          <w:b/>
          <w:bCs/>
          <w:color w:val="000000" w:themeColor="text1"/>
          <w:sz w:val="84"/>
        </w:rPr>
        <w:t xml:space="preserve"> </w:t>
      </w:r>
    </w:p>
    <w:p w14:paraId="522C43B1">
      <w:pPr>
        <w:pStyle w:val="63"/>
        <w:ind w:firstLine="0"/>
        <w:jc w:val="both"/>
        <w:rPr>
          <w:rFonts w:eastAsia="黑体"/>
          <w:b/>
          <w:bCs/>
          <w:color w:val="000000" w:themeColor="text1"/>
          <w:sz w:val="84"/>
        </w:rPr>
      </w:pPr>
    </w:p>
    <w:p w14:paraId="64576DBB">
      <w:pPr>
        <w:pStyle w:val="63"/>
        <w:ind w:firstLine="0"/>
        <w:jc w:val="both"/>
        <w:rPr>
          <w:rFonts w:eastAsia="黑体"/>
          <w:b/>
          <w:bCs/>
          <w:color w:val="000000" w:themeColor="text1"/>
          <w:sz w:val="84"/>
        </w:rPr>
      </w:pPr>
    </w:p>
    <w:p w14:paraId="5129CAA3">
      <w:pPr>
        <w:pStyle w:val="63"/>
        <w:ind w:firstLine="0"/>
        <w:jc w:val="both"/>
        <w:rPr>
          <w:rFonts w:eastAsia="黑体"/>
          <w:b/>
          <w:bCs/>
          <w:color w:val="000000" w:themeColor="text1"/>
          <w:sz w:val="84"/>
        </w:rPr>
      </w:pPr>
    </w:p>
    <w:p w14:paraId="558C0D08">
      <w:pPr>
        <w:pStyle w:val="63"/>
        <w:ind w:firstLine="0"/>
        <w:jc w:val="both"/>
        <w:rPr>
          <w:rFonts w:eastAsia="黑体"/>
          <w:b/>
          <w:bCs/>
          <w:color w:val="000000" w:themeColor="text1"/>
          <w:sz w:val="84"/>
        </w:rPr>
      </w:pPr>
    </w:p>
    <w:p w14:paraId="27037706">
      <w:pPr>
        <w:spacing w:line="480" w:lineRule="auto"/>
        <w:ind w:firstLine="442" w:firstLineChars="100"/>
        <w:outlineLvl w:val="0"/>
        <w:rPr>
          <w:rFonts w:ascii="黑体" w:hAnsi="Arial" w:eastAsia="黑体"/>
          <w:b/>
          <w:color w:val="000000" w:themeColor="text1"/>
          <w:sz w:val="44"/>
        </w:rPr>
      </w:pPr>
      <w:bookmarkStart w:id="0" w:name="_Toc120614210"/>
      <w:bookmarkStart w:id="1" w:name="_Toc513029200"/>
      <w:bookmarkStart w:id="2" w:name="_Toc20823272"/>
      <w:bookmarkStart w:id="3" w:name="_Toc523127445"/>
      <w:bookmarkStart w:id="4" w:name="_Toc479757206"/>
      <w:bookmarkStart w:id="5" w:name="_Toc16938516"/>
      <w:r>
        <w:rPr>
          <w:rFonts w:hint="eastAsia" w:ascii="黑体" w:hAnsi="Arial" w:eastAsia="黑体"/>
          <w:b/>
          <w:color w:val="000000" w:themeColor="text1"/>
          <w:sz w:val="44"/>
        </w:rPr>
        <w:t>目  录</w:t>
      </w:r>
    </w:p>
    <w:p w14:paraId="7FD8EB70">
      <w:pPr>
        <w:spacing w:line="480" w:lineRule="auto"/>
        <w:rPr>
          <w:rFonts w:ascii="仿宋_GB2312" w:hAnsi="Arial" w:eastAsia="仿宋_GB2312"/>
          <w:b/>
          <w:color w:val="000000" w:themeColor="text1"/>
          <w:sz w:val="28"/>
        </w:rPr>
      </w:pPr>
    </w:p>
    <w:p w14:paraId="2CFC4436">
      <w:pPr>
        <w:numPr>
          <w:ilvl w:val="0"/>
          <w:numId w:val="1"/>
        </w:numPr>
        <w:tabs>
          <w:tab w:val="left" w:pos="1440"/>
        </w:tabs>
        <w:spacing w:line="480" w:lineRule="auto"/>
        <w:outlineLvl w:val="0"/>
        <w:rPr>
          <w:rFonts w:ascii="黑体" w:hAnsi="Showcard Gothic" w:eastAsia="黑体"/>
          <w:color w:val="000000" w:themeColor="text1"/>
          <w:sz w:val="32"/>
        </w:rPr>
      </w:pPr>
      <w:r>
        <w:rPr>
          <w:rFonts w:hint="eastAsia" w:ascii="黑体" w:hAnsi="宋体" w:eastAsia="黑体"/>
          <w:color w:val="000000" w:themeColor="text1"/>
          <w:sz w:val="36"/>
        </w:rPr>
        <w:t>框架协议征集邀请</w:t>
      </w:r>
    </w:p>
    <w:p w14:paraId="5911ACD1">
      <w:pPr>
        <w:numPr>
          <w:ilvl w:val="0"/>
          <w:numId w:val="1"/>
        </w:numPr>
        <w:tabs>
          <w:tab w:val="left" w:pos="1440"/>
        </w:tabs>
        <w:spacing w:line="480" w:lineRule="auto"/>
        <w:outlineLvl w:val="0"/>
        <w:rPr>
          <w:rFonts w:ascii="黑体" w:hAnsi="Showcard Gothic" w:eastAsia="黑体"/>
          <w:color w:val="000000" w:themeColor="text1"/>
          <w:sz w:val="36"/>
        </w:rPr>
      </w:pPr>
      <w:r>
        <w:rPr>
          <w:rFonts w:hint="eastAsia" w:ascii="黑体" w:hAnsi="宋体" w:eastAsia="黑体"/>
          <w:bCs/>
          <w:color w:val="000000" w:themeColor="text1"/>
          <w:sz w:val="36"/>
          <w:szCs w:val="36"/>
        </w:rPr>
        <w:t>供应商前附表及须知</w:t>
      </w:r>
    </w:p>
    <w:p w14:paraId="12672025">
      <w:pPr>
        <w:numPr>
          <w:ilvl w:val="0"/>
          <w:numId w:val="1"/>
        </w:numPr>
        <w:tabs>
          <w:tab w:val="left" w:pos="1440"/>
        </w:tabs>
        <w:spacing w:line="480" w:lineRule="auto"/>
        <w:outlineLvl w:val="0"/>
        <w:rPr>
          <w:rFonts w:ascii="黑体" w:hAnsi="Showcard Gothic" w:eastAsia="黑体"/>
          <w:color w:val="000000" w:themeColor="text1"/>
          <w:sz w:val="36"/>
        </w:rPr>
      </w:pPr>
      <w:r>
        <w:rPr>
          <w:rFonts w:hint="eastAsia" w:ascii="黑体" w:hAnsi="宋体" w:eastAsia="黑体"/>
          <w:color w:val="000000" w:themeColor="text1"/>
          <w:sz w:val="36"/>
        </w:rPr>
        <w:t>采购需求</w:t>
      </w:r>
    </w:p>
    <w:p w14:paraId="3A6E93B3">
      <w:pPr>
        <w:numPr>
          <w:ilvl w:val="0"/>
          <w:numId w:val="1"/>
        </w:numPr>
        <w:tabs>
          <w:tab w:val="left" w:pos="1440"/>
        </w:tabs>
        <w:spacing w:line="480" w:lineRule="auto"/>
        <w:jc w:val="left"/>
        <w:outlineLvl w:val="0"/>
        <w:rPr>
          <w:rFonts w:ascii="黑体" w:hAnsi="宋体" w:eastAsia="黑体"/>
          <w:color w:val="000000" w:themeColor="text1"/>
          <w:sz w:val="36"/>
        </w:rPr>
      </w:pPr>
      <w:r>
        <w:rPr>
          <w:rFonts w:hint="eastAsia" w:ascii="黑体" w:hAnsi="宋体" w:eastAsia="黑体"/>
          <w:color w:val="000000" w:themeColor="text1"/>
          <w:sz w:val="36"/>
        </w:rPr>
        <w:t>拟定的框架协议文本</w:t>
      </w:r>
    </w:p>
    <w:p w14:paraId="20836D17">
      <w:pPr>
        <w:numPr>
          <w:ilvl w:val="0"/>
          <w:numId w:val="1"/>
        </w:numPr>
        <w:tabs>
          <w:tab w:val="left" w:pos="1440"/>
        </w:tabs>
        <w:spacing w:line="480" w:lineRule="auto"/>
        <w:jc w:val="left"/>
        <w:outlineLvl w:val="0"/>
        <w:rPr>
          <w:rFonts w:ascii="黑体" w:hAnsi="宋体" w:eastAsia="黑体"/>
          <w:color w:val="000000" w:themeColor="text1"/>
          <w:sz w:val="36"/>
        </w:rPr>
      </w:pPr>
      <w:r>
        <w:rPr>
          <w:rFonts w:hint="eastAsia" w:ascii="黑体" w:hAnsi="宋体" w:eastAsia="黑体"/>
          <w:color w:val="000000" w:themeColor="text1"/>
          <w:sz w:val="36"/>
        </w:rPr>
        <w:t>采购合同文本</w:t>
      </w:r>
    </w:p>
    <w:p w14:paraId="016D7C74">
      <w:pPr>
        <w:numPr>
          <w:ilvl w:val="0"/>
          <w:numId w:val="1"/>
        </w:numPr>
        <w:tabs>
          <w:tab w:val="left" w:pos="1440"/>
        </w:tabs>
        <w:spacing w:line="480" w:lineRule="auto"/>
        <w:jc w:val="left"/>
        <w:outlineLvl w:val="0"/>
        <w:rPr>
          <w:rFonts w:ascii="黑体" w:hAnsi="宋体" w:eastAsia="黑体"/>
          <w:color w:val="000000" w:themeColor="text1"/>
          <w:sz w:val="36"/>
        </w:rPr>
      </w:pPr>
      <w:r>
        <w:rPr>
          <w:rFonts w:hint="eastAsia" w:ascii="黑体" w:hAnsi="宋体" w:eastAsia="黑体"/>
          <w:color w:val="000000" w:themeColor="text1"/>
          <w:sz w:val="36"/>
        </w:rPr>
        <w:t>响应文件格</w:t>
      </w:r>
      <w:r>
        <w:rPr>
          <w:rFonts w:hint="eastAsia" w:ascii="黑体" w:hAnsi="Showcard Gothic" w:eastAsia="黑体"/>
          <w:color w:val="000000" w:themeColor="text1"/>
          <w:sz w:val="36"/>
        </w:rPr>
        <w:t>式</w:t>
      </w:r>
    </w:p>
    <w:p w14:paraId="213CCC15">
      <w:pPr>
        <w:spacing w:line="480" w:lineRule="auto"/>
        <w:outlineLvl w:val="0"/>
        <w:rPr>
          <w:rFonts w:ascii="黑体" w:hAnsi="Showcard Gothic" w:eastAsia="黑体"/>
          <w:color w:val="000000" w:themeColor="text1"/>
          <w:sz w:val="36"/>
        </w:rPr>
      </w:pPr>
    </w:p>
    <w:p w14:paraId="3944632B">
      <w:pPr>
        <w:rPr>
          <w:color w:val="000000" w:themeColor="text1"/>
        </w:rPr>
      </w:pPr>
    </w:p>
    <w:p w14:paraId="6B12CEA1">
      <w:pPr>
        <w:rPr>
          <w:color w:val="000000" w:themeColor="text1"/>
        </w:rPr>
      </w:pPr>
    </w:p>
    <w:p w14:paraId="002C4D2F">
      <w:pPr>
        <w:rPr>
          <w:color w:val="000000" w:themeColor="text1"/>
        </w:rPr>
      </w:pPr>
    </w:p>
    <w:p w14:paraId="7BF4BD63">
      <w:pPr>
        <w:rPr>
          <w:color w:val="000000" w:themeColor="text1"/>
        </w:rPr>
      </w:pPr>
    </w:p>
    <w:p w14:paraId="435FFE6F">
      <w:pPr>
        <w:rPr>
          <w:color w:val="000000" w:themeColor="text1"/>
        </w:rPr>
      </w:pPr>
    </w:p>
    <w:p w14:paraId="36169B15">
      <w:pPr>
        <w:rPr>
          <w:color w:val="000000" w:themeColor="text1"/>
        </w:rPr>
      </w:pPr>
    </w:p>
    <w:p w14:paraId="6D8BAB02">
      <w:pPr>
        <w:rPr>
          <w:color w:val="000000" w:themeColor="text1"/>
        </w:rPr>
      </w:pPr>
    </w:p>
    <w:p w14:paraId="53EEDA65">
      <w:pPr>
        <w:rPr>
          <w:color w:val="000000" w:themeColor="text1"/>
        </w:rPr>
      </w:pPr>
    </w:p>
    <w:p w14:paraId="5E11C709">
      <w:pPr>
        <w:rPr>
          <w:color w:val="000000" w:themeColor="text1"/>
        </w:rPr>
      </w:pPr>
    </w:p>
    <w:p w14:paraId="14AF2FC8">
      <w:pPr>
        <w:rPr>
          <w:color w:val="000000" w:themeColor="text1"/>
        </w:rPr>
      </w:pPr>
    </w:p>
    <w:p w14:paraId="4136A3E2">
      <w:pPr>
        <w:rPr>
          <w:color w:val="000000" w:themeColor="text1"/>
        </w:rPr>
      </w:pPr>
    </w:p>
    <w:p w14:paraId="42A54D12">
      <w:pPr>
        <w:rPr>
          <w:color w:val="000000" w:themeColor="text1"/>
        </w:rPr>
      </w:pPr>
    </w:p>
    <w:p w14:paraId="44BCDA5D">
      <w:pPr>
        <w:rPr>
          <w:color w:val="000000" w:themeColor="text1"/>
        </w:rPr>
      </w:pPr>
    </w:p>
    <w:p w14:paraId="17F9567A">
      <w:pPr>
        <w:rPr>
          <w:color w:val="000000" w:themeColor="text1"/>
        </w:rPr>
      </w:pPr>
    </w:p>
    <w:p w14:paraId="6A343651">
      <w:pPr>
        <w:rPr>
          <w:color w:val="000000" w:themeColor="text1"/>
        </w:rPr>
      </w:pPr>
    </w:p>
    <w:p w14:paraId="641FFCEF">
      <w:pPr>
        <w:rPr>
          <w:color w:val="000000" w:themeColor="text1"/>
        </w:rPr>
      </w:pPr>
    </w:p>
    <w:p w14:paraId="0AEB4238">
      <w:pPr>
        <w:rPr>
          <w:color w:val="000000" w:themeColor="text1"/>
        </w:rPr>
      </w:pPr>
    </w:p>
    <w:p w14:paraId="4EBE2BED">
      <w:pPr>
        <w:rPr>
          <w:color w:val="000000" w:themeColor="text1"/>
        </w:rPr>
      </w:pPr>
    </w:p>
    <w:p w14:paraId="0E21A6D5">
      <w:pPr>
        <w:rPr>
          <w:color w:val="000000" w:themeColor="text1"/>
        </w:rPr>
      </w:pPr>
    </w:p>
    <w:p w14:paraId="6DE3500E">
      <w:pPr>
        <w:rPr>
          <w:color w:val="000000" w:themeColor="text1"/>
        </w:rPr>
      </w:pPr>
    </w:p>
    <w:p w14:paraId="07938BF1">
      <w:pPr>
        <w:rPr>
          <w:color w:val="000000" w:themeColor="text1"/>
        </w:rPr>
      </w:pPr>
    </w:p>
    <w:p w14:paraId="12629B0F">
      <w:pPr>
        <w:rPr>
          <w:color w:val="000000" w:themeColor="text1"/>
        </w:rPr>
      </w:pPr>
    </w:p>
    <w:p w14:paraId="1D4F8DF3">
      <w:pPr>
        <w:rPr>
          <w:color w:val="000000" w:themeColor="text1"/>
        </w:rPr>
      </w:pPr>
    </w:p>
    <w:p w14:paraId="45402C8E">
      <w:pPr>
        <w:rPr>
          <w:color w:val="000000" w:themeColor="text1"/>
        </w:rPr>
      </w:pPr>
    </w:p>
    <w:p w14:paraId="36AE9B85">
      <w:pPr>
        <w:rPr>
          <w:color w:val="000000" w:themeColor="text1"/>
        </w:rPr>
      </w:pPr>
    </w:p>
    <w:p w14:paraId="30D7F20F">
      <w:pPr>
        <w:pStyle w:val="2"/>
        <w:tabs>
          <w:tab w:val="left" w:pos="0"/>
          <w:tab w:val="left" w:pos="3165"/>
          <w:tab w:val="center" w:pos="4153"/>
        </w:tabs>
        <w:autoSpaceDE w:val="0"/>
        <w:autoSpaceDN w:val="0"/>
        <w:adjustRightInd w:val="0"/>
        <w:spacing w:line="360" w:lineRule="auto"/>
        <w:jc w:val="both"/>
        <w:rPr>
          <w:rFonts w:ascii="宋体" w:hAnsi="宋体"/>
          <w:color w:val="000000" w:themeColor="text1"/>
        </w:rPr>
      </w:pPr>
      <w:r>
        <w:rPr>
          <w:rFonts w:hint="eastAsia" w:ascii="宋体" w:hAnsi="宋体"/>
          <w:color w:val="000000" w:themeColor="text1"/>
        </w:rPr>
        <w:t xml:space="preserve">第一章 </w:t>
      </w:r>
      <w:bookmarkStart w:id="6" w:name="_Toc28359001"/>
      <w:bookmarkStart w:id="7" w:name="_Toc35393789"/>
      <w:r>
        <w:rPr>
          <w:rFonts w:hint="eastAsia" w:ascii="宋体" w:hAnsi="宋体"/>
          <w:color w:val="000000" w:themeColor="text1"/>
        </w:rPr>
        <w:t>征集邀请</w:t>
      </w:r>
    </w:p>
    <w:p w14:paraId="040FB78B">
      <w:pPr>
        <w:rPr>
          <w:color w:val="000000" w:themeColor="text1"/>
        </w:rPr>
      </w:pPr>
    </w:p>
    <w:p w14:paraId="448EC484">
      <w:pPr>
        <w:pStyle w:val="97"/>
        <w:shd w:val="clear" w:color="auto" w:fill="auto"/>
        <w:spacing w:before="0" w:after="3" w:line="240" w:lineRule="exact"/>
        <w:rPr>
          <w:rFonts w:ascii="仿宋" w:hAnsi="仿宋" w:eastAsia="仿宋"/>
          <w:color w:val="000000" w:themeColor="text1"/>
          <w:sz w:val="28"/>
          <w:szCs w:val="28"/>
        </w:rPr>
      </w:pPr>
      <w:r>
        <w:rPr>
          <w:rFonts w:ascii="仿宋" w:hAnsi="仿宋" w:eastAsia="仿宋"/>
          <w:color w:val="000000" w:themeColor="text1"/>
          <w:sz w:val="28"/>
          <w:szCs w:val="28"/>
          <w:lang w:val="zh-CN" w:bidi="zh-CN"/>
        </w:rPr>
        <w:t>各潜在供应商：</w:t>
      </w:r>
    </w:p>
    <w:p w14:paraId="110A36E0">
      <w:pPr>
        <w:spacing w:line="360" w:lineRule="auto"/>
        <w:ind w:firstLine="560" w:firstLineChars="200"/>
        <w:rPr>
          <w:rFonts w:ascii="仿宋" w:hAnsi="仿宋" w:eastAsia="仿宋"/>
          <w:color w:val="000000" w:themeColor="text1"/>
          <w:sz w:val="28"/>
          <w:szCs w:val="28"/>
          <w:lang w:val="zh-CN" w:bidi="zh-CN"/>
        </w:rPr>
      </w:pPr>
      <w:r>
        <w:rPr>
          <w:rFonts w:hint="eastAsia" w:ascii="仿宋" w:hAnsi="仿宋" w:eastAsia="仿宋"/>
          <w:color w:val="000000" w:themeColor="text1"/>
          <w:sz w:val="28"/>
          <w:szCs w:val="28"/>
          <w:lang w:val="zh-CN" w:bidi="zh-CN"/>
        </w:rPr>
        <w:t>2025-2027年度铜陵市公务用车维修保养服务框架协议采购项目</w:t>
      </w:r>
      <w:r>
        <w:rPr>
          <w:rFonts w:ascii="仿宋" w:hAnsi="仿宋" w:eastAsia="仿宋"/>
          <w:color w:val="000000" w:themeColor="text1"/>
          <w:sz w:val="28"/>
          <w:szCs w:val="28"/>
          <w:lang w:val="zh-CN" w:bidi="zh-CN"/>
        </w:rPr>
        <w:t>（订立封闭式框架协议）征集公告已发布，现邀请符合条件的潜在供应商，于本项目征集公告发布之日起至响应文件提交截止时间前，按照征集公告要求，提交响应文件。</w:t>
      </w:r>
    </w:p>
    <w:p w14:paraId="3ABF1E14">
      <w:pPr>
        <w:spacing w:line="360" w:lineRule="auto"/>
        <w:ind w:firstLine="560" w:firstLineChars="200"/>
        <w:rPr>
          <w:rFonts w:ascii="仿宋" w:hAnsi="仿宋" w:eastAsia="仿宋"/>
          <w:color w:val="000000" w:themeColor="text1"/>
          <w:sz w:val="28"/>
          <w:szCs w:val="28"/>
        </w:rPr>
      </w:pPr>
    </w:p>
    <w:p w14:paraId="5496BE3F">
      <w:pPr>
        <w:spacing w:line="360" w:lineRule="auto"/>
        <w:ind w:firstLine="560" w:firstLineChars="200"/>
        <w:rPr>
          <w:rFonts w:ascii="仿宋" w:hAnsi="仿宋" w:eastAsia="仿宋"/>
          <w:color w:val="000000" w:themeColor="text1"/>
          <w:sz w:val="28"/>
          <w:szCs w:val="28"/>
          <w:lang w:val="zh-CN" w:bidi="zh-CN"/>
        </w:rPr>
      </w:pPr>
    </w:p>
    <w:p w14:paraId="77318BC6">
      <w:pPr>
        <w:pStyle w:val="99"/>
        <w:shd w:val="clear" w:color="auto" w:fill="auto"/>
        <w:spacing w:before="0" w:after="555"/>
        <w:ind w:firstLine="4158" w:firstLineChars="1485"/>
        <w:jc w:val="both"/>
        <w:rPr>
          <w:rFonts w:ascii="仿宋" w:hAnsi="仿宋" w:eastAsia="仿宋"/>
          <w:color w:val="000000" w:themeColor="text1"/>
          <w:sz w:val="28"/>
          <w:szCs w:val="28"/>
          <w:lang w:val="zh-CN" w:bidi="zh-CN"/>
        </w:rPr>
      </w:pPr>
      <w:r>
        <w:rPr>
          <w:rFonts w:hint="eastAsia" w:ascii="仿宋" w:hAnsi="仿宋" w:eastAsia="仿宋"/>
          <w:color w:val="000000" w:themeColor="text1"/>
          <w:sz w:val="28"/>
          <w:szCs w:val="28"/>
          <w:lang w:val="zh-CN" w:bidi="zh-CN"/>
        </w:rPr>
        <w:t>铜陵市机关事务管理服务中心</w:t>
      </w:r>
    </w:p>
    <w:p w14:paraId="0440A433">
      <w:pPr>
        <w:pStyle w:val="99"/>
        <w:shd w:val="clear" w:color="auto" w:fill="auto"/>
        <w:spacing w:before="0" w:after="555"/>
        <w:ind w:firstLine="5460" w:firstLineChars="1950"/>
        <w:jc w:val="both"/>
        <w:rPr>
          <w:rFonts w:ascii="仿宋" w:hAnsi="仿宋" w:eastAsia="仿宋"/>
          <w:color w:val="000000" w:themeColor="text1"/>
          <w:sz w:val="28"/>
          <w:szCs w:val="28"/>
          <w:lang w:val="zh-CN" w:bidi="zh-CN"/>
        </w:rPr>
      </w:pPr>
      <w:r>
        <w:rPr>
          <w:rFonts w:hint="eastAsia" w:ascii="仿宋" w:hAnsi="仿宋" w:eastAsia="仿宋"/>
          <w:color w:val="000000" w:themeColor="text1"/>
          <w:sz w:val="28"/>
          <w:szCs w:val="28"/>
          <w:lang w:val="zh-CN" w:bidi="zh-CN"/>
        </w:rPr>
        <w:t xml:space="preserve">2025年12月 </w:t>
      </w:r>
    </w:p>
    <w:p w14:paraId="601D2F91">
      <w:pPr>
        <w:rPr>
          <w:color w:val="000000" w:themeColor="text1"/>
        </w:rPr>
      </w:pPr>
    </w:p>
    <w:p w14:paraId="23596386">
      <w:pPr>
        <w:rPr>
          <w:color w:val="000000" w:themeColor="text1"/>
        </w:rPr>
      </w:pPr>
    </w:p>
    <w:p w14:paraId="51561D5E">
      <w:pPr>
        <w:rPr>
          <w:color w:val="000000" w:themeColor="text1"/>
        </w:rPr>
      </w:pPr>
    </w:p>
    <w:p w14:paraId="57EACD7F">
      <w:pPr>
        <w:rPr>
          <w:color w:val="000000" w:themeColor="text1"/>
        </w:rPr>
      </w:pPr>
    </w:p>
    <w:p w14:paraId="06126FF6">
      <w:pPr>
        <w:rPr>
          <w:color w:val="000000" w:themeColor="text1"/>
        </w:rPr>
      </w:pPr>
    </w:p>
    <w:p w14:paraId="44F7FB70">
      <w:pPr>
        <w:rPr>
          <w:color w:val="000000" w:themeColor="text1"/>
        </w:rPr>
      </w:pPr>
    </w:p>
    <w:p w14:paraId="69076D60">
      <w:pPr>
        <w:rPr>
          <w:color w:val="000000" w:themeColor="text1"/>
        </w:rPr>
      </w:pPr>
    </w:p>
    <w:p w14:paraId="7129D1CD">
      <w:pPr>
        <w:rPr>
          <w:color w:val="000000" w:themeColor="text1"/>
        </w:rPr>
      </w:pPr>
    </w:p>
    <w:p w14:paraId="3111A2BF">
      <w:pPr>
        <w:rPr>
          <w:color w:val="000000" w:themeColor="text1"/>
        </w:rPr>
      </w:pPr>
    </w:p>
    <w:p w14:paraId="61E26B47">
      <w:pPr>
        <w:rPr>
          <w:color w:val="000000" w:themeColor="text1"/>
        </w:rPr>
      </w:pPr>
    </w:p>
    <w:p w14:paraId="3EFBCC13">
      <w:pPr>
        <w:rPr>
          <w:color w:val="000000" w:themeColor="text1"/>
        </w:rPr>
      </w:pPr>
    </w:p>
    <w:p w14:paraId="63B3A4F8">
      <w:pPr>
        <w:rPr>
          <w:color w:val="000000" w:themeColor="text1"/>
        </w:rPr>
      </w:pPr>
    </w:p>
    <w:p w14:paraId="543A4812">
      <w:pPr>
        <w:rPr>
          <w:color w:val="000000" w:themeColor="text1"/>
        </w:rPr>
      </w:pPr>
    </w:p>
    <w:p w14:paraId="3BAC9249">
      <w:pPr>
        <w:rPr>
          <w:color w:val="000000" w:themeColor="text1"/>
        </w:rPr>
      </w:pPr>
    </w:p>
    <w:p w14:paraId="602A1709">
      <w:pPr>
        <w:rPr>
          <w:color w:val="000000" w:themeColor="text1"/>
        </w:rPr>
      </w:pPr>
    </w:p>
    <w:p w14:paraId="29D82F50">
      <w:pPr>
        <w:rPr>
          <w:color w:val="000000" w:themeColor="text1"/>
        </w:rPr>
      </w:pPr>
    </w:p>
    <w:p w14:paraId="3288E224">
      <w:pPr>
        <w:rPr>
          <w:color w:val="000000" w:themeColor="text1"/>
        </w:rPr>
      </w:pPr>
    </w:p>
    <w:p w14:paraId="7D29D3BB">
      <w:pPr>
        <w:rPr>
          <w:color w:val="000000" w:themeColor="text1"/>
        </w:rPr>
      </w:pPr>
    </w:p>
    <w:p w14:paraId="59874D9F">
      <w:pPr>
        <w:rPr>
          <w:color w:val="000000" w:themeColor="text1"/>
        </w:rPr>
      </w:pPr>
    </w:p>
    <w:p w14:paraId="30B536F0">
      <w:pPr>
        <w:rPr>
          <w:color w:val="000000" w:themeColor="text1"/>
        </w:rPr>
      </w:pPr>
    </w:p>
    <w:p w14:paraId="17F92414">
      <w:pPr>
        <w:rPr>
          <w:color w:val="000000" w:themeColor="text1"/>
        </w:rPr>
      </w:pPr>
    </w:p>
    <w:p w14:paraId="7B8CCDD8">
      <w:pPr>
        <w:rPr>
          <w:color w:val="000000" w:themeColor="text1"/>
        </w:rPr>
      </w:pPr>
    </w:p>
    <w:p w14:paraId="1EED5AEE">
      <w:pPr>
        <w:rPr>
          <w:color w:val="000000" w:themeColor="text1"/>
        </w:rPr>
      </w:pPr>
    </w:p>
    <w:bookmarkEnd w:id="0"/>
    <w:bookmarkEnd w:id="6"/>
    <w:bookmarkEnd w:id="7"/>
    <w:p w14:paraId="76DD96BC">
      <w:pPr>
        <w:pStyle w:val="2"/>
        <w:tabs>
          <w:tab w:val="left" w:pos="0"/>
          <w:tab w:val="left" w:pos="3165"/>
          <w:tab w:val="center" w:pos="4153"/>
        </w:tabs>
        <w:autoSpaceDE w:val="0"/>
        <w:autoSpaceDN w:val="0"/>
        <w:adjustRightInd w:val="0"/>
        <w:spacing w:line="360" w:lineRule="auto"/>
        <w:jc w:val="both"/>
        <w:rPr>
          <w:rFonts w:ascii="宋体" w:hAnsi="宋体"/>
          <w:color w:val="000000" w:themeColor="text1"/>
        </w:rPr>
      </w:pPr>
      <w:bookmarkStart w:id="8" w:name="_Toc120614211"/>
      <w:r>
        <w:rPr>
          <w:rFonts w:hint="eastAsia" w:ascii="宋体" w:hAnsi="宋体"/>
          <w:color w:val="000000" w:themeColor="text1"/>
        </w:rPr>
        <w:t xml:space="preserve">第二章  </w:t>
      </w:r>
      <w:bookmarkEnd w:id="1"/>
      <w:bookmarkEnd w:id="2"/>
      <w:bookmarkEnd w:id="3"/>
      <w:bookmarkEnd w:id="4"/>
      <w:bookmarkEnd w:id="5"/>
      <w:bookmarkEnd w:id="8"/>
      <w:bookmarkStart w:id="9" w:name="_Toc20823274"/>
      <w:bookmarkStart w:id="10" w:name="_Toc120614213"/>
      <w:bookmarkStart w:id="11" w:name="_Toc16938518"/>
      <w:bookmarkStart w:id="12" w:name="_Toc513029202"/>
      <w:r>
        <w:rPr>
          <w:rFonts w:hint="eastAsia" w:ascii="宋体" w:hAnsi="宋体"/>
          <w:color w:val="000000" w:themeColor="text1"/>
        </w:rPr>
        <w:t>供应商须知</w:t>
      </w:r>
      <w:bookmarkEnd w:id="9"/>
      <w:bookmarkEnd w:id="10"/>
      <w:bookmarkEnd w:id="11"/>
      <w:bookmarkEnd w:id="12"/>
      <w:r>
        <w:rPr>
          <w:rFonts w:hint="eastAsia" w:ascii="宋体" w:hAnsi="宋体"/>
          <w:color w:val="000000" w:themeColor="text1"/>
        </w:rPr>
        <w:t>及前附表</w:t>
      </w:r>
    </w:p>
    <w:p w14:paraId="34029007">
      <w:pPr>
        <w:pStyle w:val="3"/>
        <w:jc w:val="both"/>
        <w:rPr>
          <w:rFonts w:ascii="宋体" w:hAnsi="宋体" w:eastAsia="楷体_GB2312" w:cs="Times New Roman"/>
          <w:b w:val="0"/>
          <w:bCs w:val="0"/>
          <w:color w:val="000000" w:themeColor="text1"/>
          <w:sz w:val="28"/>
          <w:szCs w:val="28"/>
        </w:rPr>
      </w:pPr>
      <w:r>
        <w:rPr>
          <w:rFonts w:hint="eastAsia" w:ascii="宋体" w:hAnsi="宋体" w:eastAsia="楷体_GB2312" w:cs="Times New Roman"/>
          <w:b w:val="0"/>
          <w:bCs w:val="0"/>
          <w:color w:val="000000" w:themeColor="text1"/>
          <w:sz w:val="28"/>
          <w:szCs w:val="28"/>
        </w:rPr>
        <w:t>一、前附表</w:t>
      </w:r>
    </w:p>
    <w:tbl>
      <w:tblPr>
        <w:tblStyle w:val="4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04"/>
        <w:gridCol w:w="2792"/>
        <w:gridCol w:w="5461"/>
      </w:tblGrid>
      <w:tr w14:paraId="1F18B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jc w:val="center"/>
        </w:trPr>
        <w:tc>
          <w:tcPr>
            <w:tcW w:w="804" w:type="dxa"/>
            <w:tcMar>
              <w:left w:w="113" w:type="dxa"/>
              <w:right w:w="113" w:type="dxa"/>
            </w:tcMar>
            <w:vAlign w:val="center"/>
          </w:tcPr>
          <w:p w14:paraId="4534F12F">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序号</w:t>
            </w:r>
          </w:p>
        </w:tc>
        <w:tc>
          <w:tcPr>
            <w:tcW w:w="2792" w:type="dxa"/>
            <w:tcMar>
              <w:left w:w="113" w:type="dxa"/>
              <w:right w:w="113" w:type="dxa"/>
            </w:tcMar>
            <w:vAlign w:val="center"/>
          </w:tcPr>
          <w:p w14:paraId="4C9DE496">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条款名称</w:t>
            </w:r>
          </w:p>
        </w:tc>
        <w:tc>
          <w:tcPr>
            <w:tcW w:w="5461" w:type="dxa"/>
            <w:tcMar>
              <w:left w:w="113" w:type="dxa"/>
              <w:right w:w="113" w:type="dxa"/>
            </w:tcMar>
            <w:vAlign w:val="center"/>
          </w:tcPr>
          <w:p w14:paraId="22A242DA">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说明和要求</w:t>
            </w:r>
          </w:p>
        </w:tc>
      </w:tr>
      <w:tr w14:paraId="78707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679D2F54">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rPr>
              <w:t>1</w:t>
            </w:r>
          </w:p>
        </w:tc>
        <w:tc>
          <w:tcPr>
            <w:tcW w:w="2792" w:type="dxa"/>
            <w:tcMar>
              <w:left w:w="113" w:type="dxa"/>
              <w:right w:w="113" w:type="dxa"/>
            </w:tcMar>
            <w:vAlign w:val="center"/>
          </w:tcPr>
          <w:p w14:paraId="6E815B12">
            <w:pPr>
              <w:pStyle w:val="90"/>
              <w:wordWrap w:val="0"/>
              <w:adjustRightInd/>
              <w:snapToGrid w:val="0"/>
              <w:jc w:val="both"/>
              <w:rPr>
                <w:color w:val="000000" w:themeColor="text1"/>
                <w:sz w:val="28"/>
                <w:szCs w:val="28"/>
                <w:lang w:val="zh-CN"/>
              </w:rPr>
            </w:pPr>
            <w:r>
              <w:rPr>
                <w:rFonts w:hint="eastAsia"/>
                <w:color w:val="000000" w:themeColor="text1"/>
                <w:sz w:val="28"/>
                <w:szCs w:val="28"/>
              </w:rPr>
              <w:t>最高限制单价</w:t>
            </w:r>
          </w:p>
        </w:tc>
        <w:tc>
          <w:tcPr>
            <w:tcW w:w="5461" w:type="dxa"/>
            <w:tcMar>
              <w:left w:w="113" w:type="dxa"/>
              <w:right w:w="113" w:type="dxa"/>
            </w:tcMar>
            <w:vAlign w:val="center"/>
          </w:tcPr>
          <w:p w14:paraId="12F6AC84">
            <w:pPr>
              <w:pStyle w:val="90"/>
              <w:wordWrap w:val="0"/>
              <w:adjustRightInd/>
              <w:snapToGrid w:val="0"/>
              <w:jc w:val="both"/>
              <w:rPr>
                <w:color w:val="000000" w:themeColor="text1"/>
                <w:sz w:val="28"/>
                <w:szCs w:val="28"/>
                <w:lang w:val="zh-CN"/>
              </w:rPr>
            </w:pPr>
            <w:r>
              <w:rPr>
                <w:rFonts w:hint="eastAsia"/>
                <w:color w:val="000000" w:themeColor="text1"/>
                <w:sz w:val="28"/>
                <w:szCs w:val="28"/>
              </w:rPr>
              <w:t>维修工时单价为5元</w:t>
            </w:r>
          </w:p>
        </w:tc>
      </w:tr>
      <w:tr w14:paraId="735B0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3D123BE3">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rPr>
              <w:t>2</w:t>
            </w:r>
          </w:p>
        </w:tc>
        <w:tc>
          <w:tcPr>
            <w:tcW w:w="2792" w:type="dxa"/>
            <w:tcMar>
              <w:left w:w="113" w:type="dxa"/>
              <w:right w:w="113" w:type="dxa"/>
            </w:tcMar>
            <w:vAlign w:val="center"/>
          </w:tcPr>
          <w:p w14:paraId="6B252CA8">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供应商资格要求</w:t>
            </w:r>
          </w:p>
        </w:tc>
        <w:tc>
          <w:tcPr>
            <w:tcW w:w="5461" w:type="dxa"/>
            <w:tcMar>
              <w:left w:w="113" w:type="dxa"/>
              <w:right w:w="113" w:type="dxa"/>
            </w:tcMar>
            <w:vAlign w:val="center"/>
          </w:tcPr>
          <w:p w14:paraId="78FD3099">
            <w:pPr>
              <w:pStyle w:val="90"/>
              <w:wordWrap w:val="0"/>
              <w:adjustRightInd/>
              <w:snapToGrid w:val="0"/>
              <w:jc w:val="both"/>
              <w:rPr>
                <w:color w:val="000000" w:themeColor="text1"/>
                <w:sz w:val="28"/>
                <w:szCs w:val="28"/>
                <w:lang w:val="zh-CN"/>
              </w:rPr>
            </w:pPr>
            <w:r>
              <w:rPr>
                <w:rFonts w:hint="eastAsia"/>
                <w:color w:val="000000" w:themeColor="text1"/>
                <w:sz w:val="28"/>
                <w:szCs w:val="28"/>
              </w:rPr>
              <w:t>见征集公告</w:t>
            </w:r>
          </w:p>
        </w:tc>
      </w:tr>
      <w:tr w14:paraId="05631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42DF81EC">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rPr>
              <w:t>3</w:t>
            </w:r>
          </w:p>
        </w:tc>
        <w:tc>
          <w:tcPr>
            <w:tcW w:w="2792" w:type="dxa"/>
            <w:tcMar>
              <w:left w:w="113" w:type="dxa"/>
              <w:right w:w="113" w:type="dxa"/>
            </w:tcMar>
            <w:vAlign w:val="center"/>
          </w:tcPr>
          <w:p w14:paraId="7EE037AB">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采购方式</w:t>
            </w:r>
          </w:p>
        </w:tc>
        <w:tc>
          <w:tcPr>
            <w:tcW w:w="5461" w:type="dxa"/>
            <w:tcMar>
              <w:left w:w="113" w:type="dxa"/>
              <w:right w:w="113" w:type="dxa"/>
            </w:tcMar>
            <w:vAlign w:val="center"/>
          </w:tcPr>
          <w:p w14:paraId="1CEF83F5">
            <w:pPr>
              <w:pStyle w:val="90"/>
              <w:wordWrap w:val="0"/>
              <w:adjustRightInd/>
              <w:snapToGrid w:val="0"/>
              <w:jc w:val="both"/>
              <w:rPr>
                <w:color w:val="000000" w:themeColor="text1"/>
                <w:sz w:val="28"/>
                <w:szCs w:val="28"/>
              </w:rPr>
            </w:pPr>
            <w:r>
              <w:rPr>
                <w:rFonts w:hint="eastAsia"/>
                <w:color w:val="000000" w:themeColor="text1"/>
                <w:sz w:val="28"/>
                <w:szCs w:val="28"/>
              </w:rPr>
              <w:t>封闭式框架协议</w:t>
            </w:r>
          </w:p>
        </w:tc>
      </w:tr>
      <w:tr w14:paraId="568A1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6CCF80A2">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lang w:val="zh-CN"/>
              </w:rPr>
              <w:t>4</w:t>
            </w:r>
          </w:p>
        </w:tc>
        <w:tc>
          <w:tcPr>
            <w:tcW w:w="2792" w:type="dxa"/>
            <w:tcMar>
              <w:left w:w="113" w:type="dxa"/>
              <w:right w:w="113" w:type="dxa"/>
            </w:tcMar>
            <w:vAlign w:val="center"/>
          </w:tcPr>
          <w:p w14:paraId="2748782E">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确定第一阶段入围供应商的评审办法</w:t>
            </w:r>
          </w:p>
        </w:tc>
        <w:tc>
          <w:tcPr>
            <w:tcW w:w="5461" w:type="dxa"/>
            <w:tcMar>
              <w:left w:w="113" w:type="dxa"/>
              <w:right w:w="113" w:type="dxa"/>
            </w:tcMar>
            <w:vAlign w:val="center"/>
          </w:tcPr>
          <w:p w14:paraId="6DB8B84B">
            <w:pPr>
              <w:pStyle w:val="100"/>
              <w:spacing w:line="240" w:lineRule="auto"/>
              <w:ind w:firstLine="0" w:firstLineChars="0"/>
              <w:rPr>
                <w:rFonts w:cs="宋体"/>
                <w:color w:val="000000" w:themeColor="text1"/>
                <w:sz w:val="28"/>
                <w:szCs w:val="28"/>
              </w:rPr>
            </w:pPr>
            <w:r>
              <w:rPr>
                <w:rFonts w:hint="eastAsia" w:cs="宋体"/>
                <w:color w:val="000000" w:themeColor="text1"/>
                <w:sz w:val="28"/>
                <w:szCs w:val="28"/>
              </w:rPr>
              <w:t>质量优先法</w:t>
            </w:r>
          </w:p>
        </w:tc>
      </w:tr>
      <w:tr w14:paraId="1F603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3772E83E">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rPr>
              <w:t>5</w:t>
            </w:r>
          </w:p>
        </w:tc>
        <w:tc>
          <w:tcPr>
            <w:tcW w:w="2792" w:type="dxa"/>
            <w:tcMar>
              <w:left w:w="113" w:type="dxa"/>
              <w:right w:w="113" w:type="dxa"/>
            </w:tcMar>
            <w:vAlign w:val="center"/>
          </w:tcPr>
          <w:p w14:paraId="21743090">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确定第二阶段成交供应商的方式</w:t>
            </w:r>
          </w:p>
        </w:tc>
        <w:tc>
          <w:tcPr>
            <w:tcW w:w="5461" w:type="dxa"/>
            <w:tcMar>
              <w:left w:w="113" w:type="dxa"/>
              <w:right w:w="113" w:type="dxa"/>
            </w:tcMar>
            <w:vAlign w:val="center"/>
          </w:tcPr>
          <w:p w14:paraId="45E65755">
            <w:pPr>
              <w:pStyle w:val="90"/>
              <w:wordWrap w:val="0"/>
              <w:adjustRightInd/>
              <w:snapToGrid w:val="0"/>
              <w:jc w:val="both"/>
              <w:rPr>
                <w:color w:val="000000" w:themeColor="text1"/>
                <w:sz w:val="28"/>
                <w:szCs w:val="28"/>
                <w:lang w:val="zh-CN"/>
              </w:rPr>
            </w:pPr>
            <w:r>
              <w:rPr>
                <w:rFonts w:hint="eastAsia"/>
                <w:color w:val="000000" w:themeColor="text1"/>
                <w:sz w:val="28"/>
                <w:szCs w:val="28"/>
              </w:rPr>
              <w:t>直接选定</w:t>
            </w:r>
          </w:p>
        </w:tc>
      </w:tr>
      <w:tr w14:paraId="5A8EC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542EFE45">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rPr>
              <w:t>6</w:t>
            </w:r>
          </w:p>
        </w:tc>
        <w:tc>
          <w:tcPr>
            <w:tcW w:w="2792" w:type="dxa"/>
            <w:tcMar>
              <w:left w:w="113" w:type="dxa"/>
              <w:right w:w="113" w:type="dxa"/>
            </w:tcMar>
            <w:vAlign w:val="center"/>
          </w:tcPr>
          <w:p w14:paraId="0213763E">
            <w:pPr>
              <w:pStyle w:val="90"/>
              <w:wordWrap w:val="0"/>
              <w:snapToGrid w:val="0"/>
              <w:rPr>
                <w:color w:val="000000" w:themeColor="text1"/>
                <w:sz w:val="28"/>
                <w:szCs w:val="28"/>
              </w:rPr>
            </w:pPr>
            <w:r>
              <w:rPr>
                <w:rFonts w:hint="eastAsia"/>
                <w:color w:val="000000" w:themeColor="text1"/>
                <w:sz w:val="28"/>
                <w:szCs w:val="28"/>
              </w:rPr>
              <w:t>框架协议的期限</w:t>
            </w:r>
          </w:p>
        </w:tc>
        <w:tc>
          <w:tcPr>
            <w:tcW w:w="5461" w:type="dxa"/>
            <w:tcMar>
              <w:left w:w="113" w:type="dxa"/>
              <w:right w:w="113" w:type="dxa"/>
            </w:tcMar>
            <w:vAlign w:val="center"/>
          </w:tcPr>
          <w:p w14:paraId="28CD2250">
            <w:pPr>
              <w:pStyle w:val="38"/>
              <w:spacing w:before="0" w:beforeAutospacing="0" w:after="0" w:afterAutospacing="0"/>
              <w:rPr>
                <w:rFonts w:cs="华文仿宋"/>
                <w:color w:val="000000" w:themeColor="text1"/>
                <w:sz w:val="28"/>
                <w:szCs w:val="28"/>
              </w:rPr>
            </w:pPr>
            <w:r>
              <w:rPr>
                <w:rFonts w:cs="华文仿宋"/>
                <w:color w:val="000000" w:themeColor="text1"/>
                <w:sz w:val="28"/>
                <w:szCs w:val="28"/>
              </w:rPr>
              <w:t>本</w:t>
            </w:r>
            <w:r>
              <w:rPr>
                <w:rFonts w:hint="eastAsia" w:cs="华文仿宋"/>
                <w:color w:val="000000" w:themeColor="text1"/>
                <w:sz w:val="28"/>
                <w:szCs w:val="28"/>
              </w:rPr>
              <w:t>项目服务期自</w:t>
            </w:r>
            <w:r>
              <w:rPr>
                <w:rFonts w:cs="华文仿宋"/>
                <w:color w:val="000000" w:themeColor="text1"/>
                <w:sz w:val="28"/>
                <w:szCs w:val="28"/>
              </w:rPr>
              <w:t>框架协议入围结果公告发布之日起</w:t>
            </w:r>
            <w:r>
              <w:rPr>
                <w:rFonts w:hint="eastAsia" w:cs="华文仿宋"/>
                <w:color w:val="000000" w:themeColor="text1"/>
                <w:sz w:val="28"/>
                <w:szCs w:val="28"/>
              </w:rPr>
              <w:t>2年，采用1+1模式，合同一年一签，期满经考核合格后方能续签后续合同。</w:t>
            </w:r>
          </w:p>
        </w:tc>
      </w:tr>
      <w:tr w14:paraId="6DC9B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33E4A580">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7</w:t>
            </w:r>
          </w:p>
        </w:tc>
        <w:tc>
          <w:tcPr>
            <w:tcW w:w="2792" w:type="dxa"/>
            <w:tcMar>
              <w:left w:w="113" w:type="dxa"/>
              <w:right w:w="113" w:type="dxa"/>
            </w:tcMar>
            <w:vAlign w:val="center"/>
          </w:tcPr>
          <w:p w14:paraId="1C68C795">
            <w:pPr>
              <w:pStyle w:val="90"/>
              <w:wordWrap w:val="0"/>
              <w:adjustRightInd/>
              <w:snapToGrid w:val="0"/>
              <w:jc w:val="both"/>
              <w:rPr>
                <w:color w:val="000000" w:themeColor="text1"/>
                <w:sz w:val="28"/>
                <w:szCs w:val="28"/>
              </w:rPr>
            </w:pPr>
            <w:r>
              <w:rPr>
                <w:rFonts w:hint="eastAsia"/>
                <w:color w:val="000000" w:themeColor="text1"/>
                <w:sz w:val="28"/>
                <w:szCs w:val="28"/>
              </w:rPr>
              <w:t>入围供应商数量</w:t>
            </w:r>
          </w:p>
        </w:tc>
        <w:tc>
          <w:tcPr>
            <w:tcW w:w="5461" w:type="dxa"/>
            <w:tcMar>
              <w:left w:w="113" w:type="dxa"/>
              <w:right w:w="113" w:type="dxa"/>
            </w:tcMar>
            <w:vAlign w:val="center"/>
          </w:tcPr>
          <w:p w14:paraId="6E11FC15">
            <w:pPr>
              <w:pStyle w:val="90"/>
              <w:adjustRightInd/>
              <w:snapToGrid w:val="0"/>
              <w:jc w:val="both"/>
              <w:rPr>
                <w:color w:val="000000" w:themeColor="text1"/>
                <w:sz w:val="28"/>
                <w:szCs w:val="28"/>
              </w:rPr>
            </w:pPr>
            <w:r>
              <w:rPr>
                <w:rFonts w:hint="eastAsia" w:cs="华文仿宋"/>
                <w:color w:val="000000" w:themeColor="text1"/>
                <w:sz w:val="28"/>
                <w:szCs w:val="28"/>
              </w:rPr>
              <w:t>第一阶段入围供应商提交响应文件并符合资格审查与符合性审查要求的供应商应当不少于2家，淘汰比例为20%且至少淘汰一家供应商。淘汰时，</w:t>
            </w:r>
            <w:r>
              <w:rPr>
                <w:rFonts w:cs="华文仿宋"/>
                <w:color w:val="000000" w:themeColor="text1"/>
                <w:sz w:val="28"/>
                <w:szCs w:val="28"/>
              </w:rPr>
              <w:t>如出现得分相同或并列的，由评审小组采用随机抽取的方式确定淘汰供应商。</w:t>
            </w:r>
          </w:p>
        </w:tc>
      </w:tr>
      <w:tr w14:paraId="2CB68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68CAA39C">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lang w:val="zh-CN"/>
              </w:rPr>
              <w:t>9</w:t>
            </w:r>
          </w:p>
        </w:tc>
        <w:tc>
          <w:tcPr>
            <w:tcW w:w="2792" w:type="dxa"/>
            <w:tcMar>
              <w:left w:w="113" w:type="dxa"/>
              <w:right w:w="113" w:type="dxa"/>
            </w:tcMar>
            <w:vAlign w:val="center"/>
          </w:tcPr>
          <w:p w14:paraId="6B4B28F3">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构成征集文件的其他文件</w:t>
            </w:r>
          </w:p>
        </w:tc>
        <w:tc>
          <w:tcPr>
            <w:tcW w:w="5461" w:type="dxa"/>
            <w:tcMar>
              <w:left w:w="113" w:type="dxa"/>
              <w:right w:w="113" w:type="dxa"/>
            </w:tcMar>
            <w:vAlign w:val="center"/>
          </w:tcPr>
          <w:p w14:paraId="07B4AB15">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征集文件的澄清</w:t>
            </w:r>
            <w:r>
              <w:rPr>
                <w:rFonts w:hint="eastAsia"/>
                <w:color w:val="000000" w:themeColor="text1"/>
                <w:sz w:val="28"/>
                <w:szCs w:val="28"/>
              </w:rPr>
              <w:t>、修改书及有关补充通知为征集文件的有效组成部分</w:t>
            </w:r>
          </w:p>
        </w:tc>
      </w:tr>
      <w:tr w14:paraId="460CC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48CE7103">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10</w:t>
            </w:r>
          </w:p>
        </w:tc>
        <w:tc>
          <w:tcPr>
            <w:tcW w:w="2792" w:type="dxa"/>
            <w:tcMar>
              <w:left w:w="113" w:type="dxa"/>
              <w:right w:w="113" w:type="dxa"/>
            </w:tcMar>
            <w:vAlign w:val="center"/>
          </w:tcPr>
          <w:p w14:paraId="170C636A">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响应有效期</w:t>
            </w:r>
          </w:p>
        </w:tc>
        <w:tc>
          <w:tcPr>
            <w:tcW w:w="5461" w:type="dxa"/>
            <w:tcMar>
              <w:left w:w="113" w:type="dxa"/>
              <w:right w:w="113" w:type="dxa"/>
            </w:tcMar>
            <w:vAlign w:val="center"/>
          </w:tcPr>
          <w:p w14:paraId="5FE90739">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开标后60天</w:t>
            </w:r>
          </w:p>
        </w:tc>
      </w:tr>
      <w:tr w14:paraId="1D44F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804" w:type="dxa"/>
            <w:tcMar>
              <w:left w:w="113" w:type="dxa"/>
              <w:right w:w="113" w:type="dxa"/>
            </w:tcMar>
            <w:vAlign w:val="center"/>
          </w:tcPr>
          <w:p w14:paraId="31F3A179">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lang w:val="zh-CN"/>
              </w:rPr>
              <w:t>11</w:t>
            </w:r>
          </w:p>
        </w:tc>
        <w:tc>
          <w:tcPr>
            <w:tcW w:w="2792" w:type="dxa"/>
            <w:tcMar>
              <w:left w:w="113" w:type="dxa"/>
              <w:right w:w="113" w:type="dxa"/>
            </w:tcMar>
            <w:vAlign w:val="center"/>
          </w:tcPr>
          <w:p w14:paraId="7CBB5362">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付款方式</w:t>
            </w:r>
          </w:p>
        </w:tc>
        <w:tc>
          <w:tcPr>
            <w:tcW w:w="5461" w:type="dxa"/>
            <w:tcMar>
              <w:left w:w="113" w:type="dxa"/>
              <w:right w:w="113" w:type="dxa"/>
            </w:tcMar>
            <w:vAlign w:val="center"/>
          </w:tcPr>
          <w:p w14:paraId="730FB2A1">
            <w:pPr>
              <w:pStyle w:val="90"/>
              <w:wordWrap w:val="0"/>
              <w:adjustRightInd/>
              <w:snapToGrid w:val="0"/>
              <w:jc w:val="both"/>
              <w:rPr>
                <w:color w:val="000000" w:themeColor="text1"/>
                <w:sz w:val="28"/>
                <w:szCs w:val="28"/>
              </w:rPr>
            </w:pPr>
            <w:r>
              <w:rPr>
                <w:rFonts w:hint="eastAsia"/>
                <w:color w:val="000000" w:themeColor="text1"/>
                <w:sz w:val="28"/>
                <w:szCs w:val="28"/>
                <w:lang w:val="zh-CN"/>
              </w:rPr>
              <w:t>使用单位据实支付</w:t>
            </w:r>
          </w:p>
        </w:tc>
      </w:tr>
      <w:tr w14:paraId="620D3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1CCD8C93">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12</w:t>
            </w:r>
          </w:p>
        </w:tc>
        <w:tc>
          <w:tcPr>
            <w:tcW w:w="2792" w:type="dxa"/>
            <w:tcMar>
              <w:left w:w="113" w:type="dxa"/>
              <w:right w:w="113" w:type="dxa"/>
            </w:tcMar>
            <w:vAlign w:val="center"/>
          </w:tcPr>
          <w:p w14:paraId="7BE67DB3">
            <w:pPr>
              <w:pStyle w:val="90"/>
              <w:wordWrap w:val="0"/>
              <w:adjustRightInd/>
              <w:snapToGrid w:val="0"/>
              <w:jc w:val="both"/>
              <w:rPr>
                <w:color w:val="000000" w:themeColor="text1"/>
                <w:sz w:val="28"/>
                <w:szCs w:val="28"/>
                <w:lang w:val="zh-CN"/>
              </w:rPr>
            </w:pPr>
            <w:r>
              <w:rPr>
                <w:rFonts w:hint="eastAsia"/>
                <w:color w:val="000000" w:themeColor="text1"/>
                <w:sz w:val="28"/>
                <w:szCs w:val="28"/>
              </w:rPr>
              <w:t>提交</w:t>
            </w:r>
            <w:r>
              <w:rPr>
                <w:rFonts w:hint="eastAsia"/>
                <w:color w:val="000000" w:themeColor="text1"/>
                <w:sz w:val="28"/>
                <w:szCs w:val="28"/>
                <w:lang w:val="zh-CN"/>
              </w:rPr>
              <w:t>响应文件</w:t>
            </w:r>
          </w:p>
        </w:tc>
        <w:tc>
          <w:tcPr>
            <w:tcW w:w="5461" w:type="dxa"/>
            <w:tcMar>
              <w:left w:w="113" w:type="dxa"/>
              <w:right w:w="113" w:type="dxa"/>
            </w:tcMar>
            <w:vAlign w:val="center"/>
          </w:tcPr>
          <w:p w14:paraId="674D7F99">
            <w:pPr>
              <w:pStyle w:val="90"/>
              <w:wordWrap w:val="0"/>
              <w:adjustRightInd/>
              <w:snapToGrid w:val="0"/>
              <w:jc w:val="both"/>
              <w:rPr>
                <w:sz w:val="28"/>
                <w:szCs w:val="28"/>
              </w:rPr>
            </w:pPr>
            <w:r>
              <w:rPr>
                <w:sz w:val="28"/>
                <w:szCs w:val="28"/>
              </w:rPr>
              <w:t>响应文件：加密的电子响应文件，应在响应截止时间前登录“徽采云”投标客户端</w:t>
            </w:r>
            <w:r>
              <w:rPr>
                <w:rFonts w:hint="eastAsia"/>
                <w:sz w:val="28"/>
                <w:szCs w:val="28"/>
              </w:rPr>
              <w:t>制作加密响应文件。（投标客户端下载地址：下载专区中的电子交易系统专区下的“徽采云客户端）</w:t>
            </w:r>
          </w:p>
          <w:p w14:paraId="56047303">
            <w:pPr>
              <w:pStyle w:val="90"/>
              <w:wordWrap w:val="0"/>
              <w:adjustRightInd/>
              <w:snapToGrid w:val="0"/>
              <w:jc w:val="both"/>
              <w:rPr>
                <w:color w:val="000000" w:themeColor="text1"/>
                <w:sz w:val="28"/>
                <w:szCs w:val="28"/>
              </w:rPr>
            </w:pPr>
            <w:r>
              <w:rPr>
                <w:sz w:val="28"/>
                <w:szCs w:val="28"/>
              </w:rPr>
              <w:t>在征集文件规定的响应时间截止前</w:t>
            </w:r>
            <w:r>
              <w:rPr>
                <w:rFonts w:hint="eastAsia"/>
                <w:sz w:val="28"/>
                <w:szCs w:val="28"/>
              </w:rPr>
              <w:t>未有效</w:t>
            </w:r>
            <w:r>
              <w:rPr>
                <w:sz w:val="28"/>
                <w:szCs w:val="28"/>
              </w:rPr>
              <w:t>提交网上加密电子响应文件的，响应无效。</w:t>
            </w:r>
          </w:p>
        </w:tc>
      </w:tr>
      <w:tr w14:paraId="23C4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2A74FAF3">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lang w:val="zh-CN"/>
              </w:rPr>
              <w:t>13</w:t>
            </w:r>
          </w:p>
        </w:tc>
        <w:tc>
          <w:tcPr>
            <w:tcW w:w="2792" w:type="dxa"/>
            <w:tcMar>
              <w:left w:w="113" w:type="dxa"/>
              <w:right w:w="113" w:type="dxa"/>
            </w:tcMar>
            <w:vAlign w:val="center"/>
          </w:tcPr>
          <w:p w14:paraId="74CD5ED3">
            <w:pPr>
              <w:pStyle w:val="90"/>
              <w:wordWrap w:val="0"/>
              <w:adjustRightInd/>
              <w:snapToGrid w:val="0"/>
              <w:jc w:val="both"/>
              <w:rPr>
                <w:rFonts w:cs="Arial"/>
                <w:color w:val="000000" w:themeColor="text1"/>
                <w:sz w:val="28"/>
                <w:szCs w:val="28"/>
                <w:lang w:val="zh-CN"/>
              </w:rPr>
            </w:pPr>
            <w:r>
              <w:rPr>
                <w:rFonts w:hint="eastAsia"/>
                <w:color w:val="000000" w:themeColor="text1"/>
                <w:sz w:val="28"/>
                <w:szCs w:val="28"/>
              </w:rPr>
              <w:t>开启解密</w:t>
            </w:r>
          </w:p>
        </w:tc>
        <w:tc>
          <w:tcPr>
            <w:tcW w:w="5461" w:type="dxa"/>
            <w:tcMar>
              <w:left w:w="113" w:type="dxa"/>
              <w:right w:w="113" w:type="dxa"/>
            </w:tcMar>
            <w:vAlign w:val="center"/>
          </w:tcPr>
          <w:p w14:paraId="4504B2E7">
            <w:pPr>
              <w:pStyle w:val="90"/>
              <w:wordWrap w:val="0"/>
              <w:adjustRightInd/>
              <w:snapToGrid w:val="0"/>
              <w:jc w:val="both"/>
              <w:rPr>
                <w:color w:val="000000" w:themeColor="text1"/>
                <w:sz w:val="28"/>
                <w:szCs w:val="28"/>
                <w:lang w:val="zh-CN"/>
              </w:rPr>
            </w:pPr>
            <w:r>
              <w:rPr>
                <w:color w:val="000000" w:themeColor="text1"/>
                <w:sz w:val="28"/>
                <w:szCs w:val="28"/>
              </w:rPr>
              <w:t>开</w:t>
            </w:r>
            <w:r>
              <w:rPr>
                <w:rFonts w:hint="eastAsia"/>
                <w:color w:val="000000" w:themeColor="text1"/>
                <w:sz w:val="28"/>
                <w:szCs w:val="28"/>
              </w:rPr>
              <w:t>启</w:t>
            </w:r>
            <w:r>
              <w:rPr>
                <w:color w:val="000000" w:themeColor="text1"/>
                <w:sz w:val="28"/>
                <w:szCs w:val="28"/>
              </w:rPr>
              <w:t xml:space="preserve">时各供应商应在解密程序开始后 </w:t>
            </w:r>
            <w:r>
              <w:rPr>
                <w:rFonts w:hint="eastAsia"/>
                <w:color w:val="000000" w:themeColor="text1"/>
                <w:sz w:val="28"/>
                <w:szCs w:val="28"/>
              </w:rPr>
              <w:t>60</w:t>
            </w:r>
            <w:r>
              <w:rPr>
                <w:color w:val="000000" w:themeColor="text1"/>
                <w:sz w:val="28"/>
                <w:szCs w:val="28"/>
              </w:rPr>
              <w:t xml:space="preserve"> 分钟内对本单位的响应文件现场或远程解密（以交易系统时间为准）</w:t>
            </w:r>
            <w:r>
              <w:rPr>
                <w:rFonts w:hint="eastAsia"/>
                <w:color w:val="000000" w:themeColor="text1"/>
                <w:sz w:val="28"/>
                <w:szCs w:val="28"/>
              </w:rPr>
              <w:t>。如供应商未在规定时间内完成响应文件的解密，该响应文件做无效标处理，</w:t>
            </w:r>
            <w:r>
              <w:rPr>
                <w:color w:val="000000" w:themeColor="text1"/>
                <w:sz w:val="28"/>
                <w:szCs w:val="28"/>
              </w:rPr>
              <w:t>责任由</w:t>
            </w:r>
            <w:r>
              <w:rPr>
                <w:rFonts w:hint="eastAsia"/>
                <w:color w:val="000000" w:themeColor="text1"/>
                <w:sz w:val="28"/>
                <w:szCs w:val="28"/>
              </w:rPr>
              <w:t>供应商</w:t>
            </w:r>
            <w:r>
              <w:rPr>
                <w:color w:val="000000" w:themeColor="text1"/>
                <w:sz w:val="28"/>
                <w:szCs w:val="28"/>
              </w:rPr>
              <w:t>自行承担。</w:t>
            </w:r>
          </w:p>
        </w:tc>
      </w:tr>
      <w:tr w14:paraId="4A516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59A170B8">
            <w:pPr>
              <w:pStyle w:val="90"/>
              <w:wordWrap w:val="0"/>
              <w:adjustRightInd/>
              <w:snapToGrid w:val="0"/>
              <w:jc w:val="both"/>
              <w:rPr>
                <w:rFonts w:cs="Courier New"/>
                <w:color w:val="000000" w:themeColor="text1"/>
                <w:sz w:val="28"/>
                <w:szCs w:val="28"/>
                <w:lang w:val="zh-CN"/>
              </w:rPr>
            </w:pPr>
            <w:r>
              <w:rPr>
                <w:rFonts w:hint="eastAsia" w:cs="Courier New"/>
                <w:color w:val="000000" w:themeColor="text1"/>
                <w:sz w:val="28"/>
                <w:szCs w:val="28"/>
                <w:lang w:val="zh-CN"/>
              </w:rPr>
              <w:t>14</w:t>
            </w:r>
          </w:p>
        </w:tc>
        <w:tc>
          <w:tcPr>
            <w:tcW w:w="2792" w:type="dxa"/>
            <w:tcMar>
              <w:left w:w="113" w:type="dxa"/>
              <w:right w:w="113" w:type="dxa"/>
            </w:tcMar>
            <w:vAlign w:val="center"/>
          </w:tcPr>
          <w:p w14:paraId="674641BE">
            <w:pPr>
              <w:pStyle w:val="90"/>
              <w:wordWrap w:val="0"/>
              <w:adjustRightInd/>
              <w:snapToGrid w:val="0"/>
              <w:jc w:val="both"/>
              <w:rPr>
                <w:color w:val="000000" w:themeColor="text1"/>
                <w:sz w:val="28"/>
                <w:szCs w:val="28"/>
                <w:lang w:val="zh-CN"/>
              </w:rPr>
            </w:pPr>
            <w:r>
              <w:rPr>
                <w:rFonts w:hint="eastAsia"/>
                <w:color w:val="000000" w:themeColor="text1"/>
                <w:sz w:val="28"/>
                <w:szCs w:val="28"/>
              </w:rPr>
              <w:t>文件澄清、客观分值公示、响应否决通知</w:t>
            </w:r>
          </w:p>
        </w:tc>
        <w:tc>
          <w:tcPr>
            <w:tcW w:w="5461" w:type="dxa"/>
            <w:tcMar>
              <w:left w:w="113" w:type="dxa"/>
              <w:right w:w="113" w:type="dxa"/>
            </w:tcMar>
            <w:vAlign w:val="center"/>
          </w:tcPr>
          <w:p w14:paraId="4F177A26">
            <w:pPr>
              <w:pStyle w:val="90"/>
              <w:wordWrap w:val="0"/>
              <w:adjustRightInd/>
              <w:snapToGrid w:val="0"/>
              <w:jc w:val="both"/>
              <w:rPr>
                <w:color w:val="000000" w:themeColor="text1"/>
                <w:sz w:val="28"/>
                <w:szCs w:val="28"/>
                <w:lang w:val="zh-CN"/>
              </w:rPr>
            </w:pPr>
            <w:r>
              <w:rPr>
                <w:rFonts w:hint="eastAsia"/>
                <w:color w:val="000000" w:themeColor="text1"/>
                <w:sz w:val="28"/>
                <w:szCs w:val="28"/>
              </w:rPr>
              <w:t>供应商应通过电脑及时刷新点击查看系统内的询标、客观分公示、响应否决等通知消息，并通过系统接受评审小组发起的询标和通知，在规定的时间内（从评审小组发起询标等要求起不超过30分钟，逾时视为放弃澄清权力）对该项内容进行回复、确认并加盖电子签章。逾期未回复的（以交易系统时间为准），评审小组将可能按不利于供应商的内容进行评审，责任由供应商自行承担。</w:t>
            </w:r>
          </w:p>
        </w:tc>
      </w:tr>
      <w:tr w14:paraId="5835D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7174C978">
            <w:pPr>
              <w:pStyle w:val="90"/>
              <w:wordWrap w:val="0"/>
              <w:adjustRightInd/>
              <w:snapToGrid w:val="0"/>
              <w:jc w:val="both"/>
              <w:rPr>
                <w:color w:val="000000" w:themeColor="text1"/>
                <w:sz w:val="28"/>
                <w:szCs w:val="28"/>
                <w:lang w:val="zh-CN"/>
              </w:rPr>
            </w:pPr>
            <w:r>
              <w:rPr>
                <w:rFonts w:hint="eastAsia"/>
                <w:color w:val="000000" w:themeColor="text1"/>
                <w:sz w:val="28"/>
                <w:szCs w:val="28"/>
                <w:lang w:val="zh-CN"/>
              </w:rPr>
              <w:t>15</w:t>
            </w:r>
          </w:p>
        </w:tc>
        <w:tc>
          <w:tcPr>
            <w:tcW w:w="2792" w:type="dxa"/>
            <w:tcMar>
              <w:left w:w="113" w:type="dxa"/>
              <w:right w:w="113" w:type="dxa"/>
            </w:tcMar>
            <w:vAlign w:val="center"/>
          </w:tcPr>
          <w:p w14:paraId="491DABF1">
            <w:pPr>
              <w:pStyle w:val="90"/>
              <w:wordWrap w:val="0"/>
              <w:adjustRightInd/>
              <w:snapToGrid w:val="0"/>
              <w:jc w:val="both"/>
              <w:rPr>
                <w:color w:val="000000" w:themeColor="text1"/>
                <w:sz w:val="28"/>
                <w:szCs w:val="28"/>
              </w:rPr>
            </w:pPr>
            <w:r>
              <w:rPr>
                <w:rFonts w:hint="eastAsia"/>
                <w:color w:val="000000" w:themeColor="text1"/>
                <w:sz w:val="28"/>
                <w:szCs w:val="28"/>
              </w:rPr>
              <w:t>费用承担</w:t>
            </w:r>
          </w:p>
        </w:tc>
        <w:tc>
          <w:tcPr>
            <w:tcW w:w="5461" w:type="dxa"/>
            <w:tcMar>
              <w:left w:w="113" w:type="dxa"/>
              <w:right w:w="113" w:type="dxa"/>
            </w:tcMar>
            <w:vAlign w:val="center"/>
          </w:tcPr>
          <w:p w14:paraId="1C3F159C">
            <w:pPr>
              <w:pStyle w:val="90"/>
              <w:wordWrap w:val="0"/>
              <w:adjustRightInd/>
              <w:snapToGrid w:val="0"/>
              <w:jc w:val="both"/>
              <w:rPr>
                <w:color w:val="000000" w:themeColor="text1"/>
                <w:sz w:val="28"/>
                <w:szCs w:val="28"/>
                <w:lang w:val="zh-CN"/>
              </w:rPr>
            </w:pPr>
            <w:r>
              <w:rPr>
                <w:rFonts w:hint="eastAsia"/>
                <w:color w:val="000000" w:themeColor="text1"/>
                <w:sz w:val="28"/>
                <w:szCs w:val="28"/>
              </w:rPr>
              <w:t>供应商参加响应活动发生的一切费用均自理</w:t>
            </w:r>
          </w:p>
        </w:tc>
      </w:tr>
      <w:tr w14:paraId="2FCC3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028F675E">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16</w:t>
            </w:r>
          </w:p>
        </w:tc>
        <w:tc>
          <w:tcPr>
            <w:tcW w:w="2792" w:type="dxa"/>
            <w:tcMar>
              <w:left w:w="113" w:type="dxa"/>
              <w:right w:w="113" w:type="dxa"/>
            </w:tcMar>
            <w:vAlign w:val="center"/>
          </w:tcPr>
          <w:p w14:paraId="07771628">
            <w:pPr>
              <w:pStyle w:val="90"/>
              <w:wordWrap w:val="0"/>
              <w:adjustRightInd/>
              <w:snapToGrid w:val="0"/>
              <w:jc w:val="both"/>
              <w:rPr>
                <w:color w:val="000000" w:themeColor="text1"/>
                <w:sz w:val="28"/>
                <w:szCs w:val="28"/>
              </w:rPr>
            </w:pPr>
            <w:r>
              <w:rPr>
                <w:rFonts w:hint="eastAsia"/>
                <w:color w:val="000000" w:themeColor="text1"/>
                <w:sz w:val="28"/>
                <w:szCs w:val="28"/>
              </w:rPr>
              <w:t>政府采购政策（第一阶段执行，第二阶段不作要求）</w:t>
            </w:r>
          </w:p>
        </w:tc>
        <w:tc>
          <w:tcPr>
            <w:tcW w:w="5461" w:type="dxa"/>
            <w:tcMar>
              <w:left w:w="113" w:type="dxa"/>
              <w:right w:w="113" w:type="dxa"/>
            </w:tcMar>
            <w:vAlign w:val="center"/>
          </w:tcPr>
          <w:p w14:paraId="23B09032">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一、中小企业</w:t>
            </w:r>
          </w:p>
          <w:p w14:paraId="25B70FC6">
            <w:pPr>
              <w:pStyle w:val="90"/>
              <w:ind w:firstLine="560" w:firstLineChars="200"/>
              <w:jc w:val="both"/>
              <w:rPr>
                <w:color w:val="000000" w:themeColor="text1"/>
                <w:sz w:val="28"/>
                <w:szCs w:val="28"/>
              </w:rPr>
            </w:pPr>
            <w:r>
              <w:rPr>
                <w:rFonts w:hint="eastAsia"/>
                <w:color w:val="000000" w:themeColor="text1"/>
                <w:sz w:val="28"/>
                <w:szCs w:val="28"/>
              </w:rPr>
              <w:t>依据《政府采购促进中小企业发展管理办法》（财库〔2020〕46号）、财政部《关于进一步加大政府采购支持中小企业力度的通知》（财库〔2022〕19号）、</w:t>
            </w:r>
            <w:r>
              <w:rPr>
                <w:color w:val="000000" w:themeColor="text1"/>
                <w:sz w:val="28"/>
                <w:szCs w:val="28"/>
              </w:rPr>
              <w:t>安徽省财政厅</w:t>
            </w:r>
            <w:r>
              <w:rPr>
                <w:rFonts w:hint="eastAsia"/>
                <w:color w:val="000000" w:themeColor="text1"/>
                <w:sz w:val="28"/>
                <w:szCs w:val="28"/>
              </w:rPr>
              <w:t>《</w:t>
            </w:r>
            <w:r>
              <w:rPr>
                <w:color w:val="000000" w:themeColor="text1"/>
                <w:sz w:val="28"/>
                <w:szCs w:val="28"/>
              </w:rPr>
              <w:t>关于进一步优化政府采购营商环境的通知</w:t>
            </w:r>
            <w:r>
              <w:rPr>
                <w:rFonts w:hint="eastAsia"/>
                <w:color w:val="000000" w:themeColor="text1"/>
                <w:sz w:val="28"/>
                <w:szCs w:val="28"/>
              </w:rPr>
              <w:t>》（</w:t>
            </w:r>
            <w:r>
              <w:rPr>
                <w:color w:val="000000" w:themeColor="text1"/>
                <w:sz w:val="28"/>
                <w:szCs w:val="28"/>
              </w:rPr>
              <w:t>皖财购〔2022〕556号</w:t>
            </w:r>
            <w:r>
              <w:rPr>
                <w:rFonts w:hint="eastAsia"/>
                <w:color w:val="000000" w:themeColor="text1"/>
                <w:sz w:val="28"/>
                <w:szCs w:val="28"/>
              </w:rPr>
              <w:t>）文件规定执行中小企业政策，参加本次采购活动的中小企业应当在投标文件中提供有效的《中小企业声明函》，并对其真实性负责。</w:t>
            </w:r>
          </w:p>
          <w:p w14:paraId="1CC0E981">
            <w:pPr>
              <w:pStyle w:val="90"/>
              <w:wordWrap w:val="0"/>
              <w:snapToGrid w:val="0"/>
              <w:jc w:val="both"/>
              <w:rPr>
                <w:color w:val="000000" w:themeColor="text1"/>
                <w:sz w:val="28"/>
                <w:szCs w:val="28"/>
              </w:rPr>
            </w:pPr>
            <w:r>
              <w:rPr>
                <w:rFonts w:hint="eastAsia"/>
                <w:color w:val="000000" w:themeColor="text1"/>
                <w:sz w:val="28"/>
                <w:szCs w:val="28"/>
              </w:rPr>
              <w:t>二、监狱企业。</w:t>
            </w:r>
          </w:p>
          <w:p w14:paraId="3EA577D0">
            <w:pPr>
              <w:pStyle w:val="90"/>
              <w:wordWrap w:val="0"/>
              <w:snapToGrid w:val="0"/>
              <w:ind w:firstLine="560" w:firstLineChars="200"/>
              <w:jc w:val="both"/>
              <w:rPr>
                <w:color w:val="000000" w:themeColor="text1"/>
                <w:sz w:val="28"/>
                <w:szCs w:val="28"/>
              </w:rPr>
            </w:pPr>
            <w:r>
              <w:rPr>
                <w:rFonts w:hint="eastAsia"/>
                <w:color w:val="000000" w:themeColor="text1"/>
                <w:sz w:val="28"/>
                <w:szCs w:val="28"/>
              </w:rPr>
              <w:t>依据财政部 司法部《关于政府采购支持监狱企业发展有关问题的通知》(财库〔2014〕68 号)，监狱企业视同小型、微型企业。监狱企业参加政府采购活动时，提供由省级以上监狱管理局、 戒毒管理局(含新疆生产建设兵团)出具的属于监狱企业的证明文件，不再提供《中小微企业声明函》。</w:t>
            </w:r>
          </w:p>
          <w:p w14:paraId="38A6C2F1">
            <w:pPr>
              <w:pStyle w:val="90"/>
              <w:wordWrap w:val="0"/>
              <w:snapToGrid w:val="0"/>
              <w:jc w:val="both"/>
              <w:rPr>
                <w:color w:val="000000" w:themeColor="text1"/>
                <w:sz w:val="28"/>
                <w:szCs w:val="28"/>
              </w:rPr>
            </w:pPr>
            <w:r>
              <w:rPr>
                <w:rFonts w:hint="eastAsia"/>
                <w:color w:val="000000" w:themeColor="text1"/>
                <w:sz w:val="28"/>
                <w:szCs w:val="28"/>
              </w:rPr>
              <w:t>三、残疾人福利性单位</w:t>
            </w:r>
          </w:p>
          <w:p w14:paraId="14DD5A93">
            <w:pPr>
              <w:pStyle w:val="90"/>
              <w:wordWrap w:val="0"/>
              <w:snapToGrid w:val="0"/>
              <w:ind w:firstLine="560" w:firstLineChars="200"/>
              <w:jc w:val="both"/>
              <w:rPr>
                <w:color w:val="000000" w:themeColor="text1"/>
                <w:sz w:val="28"/>
                <w:szCs w:val="28"/>
              </w:rPr>
            </w:pPr>
            <w:r>
              <w:rPr>
                <w:rFonts w:hint="eastAsia"/>
                <w:color w:val="000000" w:themeColor="text1"/>
                <w:sz w:val="28"/>
                <w:szCs w:val="28"/>
              </w:rPr>
              <w:t>依据财政部 民政部《中国残疾人联合会关于促进残疾人就业政府采购政策的通知》（财库〔2017〕141 号）的规定，残疾人福利性单位视同小型、微型企业，在参加政府采购活动时，提供《残疾人福利性单位声明函》。</w:t>
            </w:r>
          </w:p>
          <w:p w14:paraId="159D4415">
            <w:pPr>
              <w:pStyle w:val="90"/>
              <w:wordWrap w:val="0"/>
              <w:snapToGrid w:val="0"/>
              <w:jc w:val="both"/>
              <w:rPr>
                <w:color w:val="000000" w:themeColor="text1"/>
                <w:sz w:val="28"/>
                <w:szCs w:val="28"/>
              </w:rPr>
            </w:pPr>
            <w:r>
              <w:rPr>
                <w:rFonts w:hint="eastAsia"/>
                <w:color w:val="000000" w:themeColor="text1"/>
                <w:sz w:val="28"/>
                <w:szCs w:val="28"/>
              </w:rPr>
              <w:t>四、“三首”、创新产品</w:t>
            </w:r>
          </w:p>
          <w:p w14:paraId="21CE85C3">
            <w:pPr>
              <w:pStyle w:val="90"/>
              <w:wordWrap w:val="0"/>
              <w:snapToGrid w:val="0"/>
              <w:ind w:firstLine="560" w:firstLineChars="200"/>
              <w:jc w:val="both"/>
              <w:rPr>
                <w:color w:val="000000" w:themeColor="text1"/>
                <w:sz w:val="28"/>
                <w:szCs w:val="28"/>
              </w:rPr>
            </w:pPr>
            <w:r>
              <w:rPr>
                <w:rFonts w:hint="eastAsia"/>
                <w:color w:val="000000" w:themeColor="text1"/>
                <w:sz w:val="28"/>
                <w:szCs w:val="28"/>
              </w:rPr>
              <w:t>依据《铜陵市科技型小微企业创新产品首张订单和推广应用实施办法（试行）的通知）》（铜政办〔2021〕11 号）和《关于落实政府采购支持科技创新政策的通知》（财购〔2021〕12 号），规范支持“三首”、创新产品政策。具体为：</w:t>
            </w:r>
          </w:p>
          <w:p w14:paraId="7992F94F">
            <w:pPr>
              <w:pStyle w:val="90"/>
              <w:numPr>
                <w:ilvl w:val="0"/>
                <w:numId w:val="2"/>
              </w:numPr>
              <w:wordWrap w:val="0"/>
              <w:snapToGrid w:val="0"/>
              <w:ind w:firstLine="560" w:firstLineChars="200"/>
              <w:jc w:val="both"/>
              <w:rPr>
                <w:color w:val="000000" w:themeColor="text1"/>
                <w:sz w:val="28"/>
                <w:szCs w:val="28"/>
              </w:rPr>
            </w:pPr>
            <w:r>
              <w:rPr>
                <w:rFonts w:hint="eastAsia"/>
                <w:color w:val="000000" w:themeColor="text1"/>
                <w:sz w:val="28"/>
                <w:szCs w:val="28"/>
              </w:rPr>
              <w:t>“三首</w:t>
            </w:r>
            <w:r>
              <w:rPr>
                <w:color w:val="000000" w:themeColor="text1"/>
                <w:sz w:val="28"/>
                <w:szCs w:val="28"/>
              </w:rPr>
              <w:t>”</w:t>
            </w:r>
            <w:r>
              <w:rPr>
                <w:rFonts w:hint="eastAsia"/>
                <w:color w:val="000000" w:themeColor="text1"/>
                <w:sz w:val="28"/>
                <w:szCs w:val="28"/>
              </w:rPr>
              <w:t>产品应提供省经信厅公布首台套重大技术装备、首批次新材料、首版次软件产品名单相关文件或省经信厅网站公开的截图，未提供的不享受相关政策。二、“三首”产品和经市科技局认定的创新产品自认定之日起2年内，参加政府采购活动时业绩分值为满分。三、市科技局认定的创新产品应提供铜陵市科技型小微企业创新产品目录相关文件。</w:t>
            </w:r>
          </w:p>
          <w:p w14:paraId="56EF6561">
            <w:pPr>
              <w:pStyle w:val="90"/>
              <w:wordWrap w:val="0"/>
              <w:snapToGrid w:val="0"/>
              <w:jc w:val="both"/>
              <w:rPr>
                <w:color w:val="000000" w:themeColor="text1"/>
                <w:sz w:val="28"/>
                <w:szCs w:val="28"/>
              </w:rPr>
            </w:pPr>
            <w:r>
              <w:rPr>
                <w:rFonts w:hint="eastAsia"/>
                <w:color w:val="000000" w:themeColor="text1"/>
                <w:sz w:val="28"/>
                <w:szCs w:val="28"/>
              </w:rPr>
              <w:t xml:space="preserve"> 五、节能环保产品</w:t>
            </w:r>
          </w:p>
          <w:p w14:paraId="7027C133">
            <w:pPr>
              <w:rPr>
                <w:rFonts w:ascii="宋体" w:hAnsi="宋体" w:cs="宋体"/>
                <w:color w:val="000000" w:themeColor="text1"/>
                <w:kern w:val="0"/>
                <w:sz w:val="28"/>
                <w:szCs w:val="28"/>
              </w:rPr>
            </w:pPr>
            <w:r>
              <w:rPr>
                <w:rFonts w:hint="eastAsia"/>
                <w:color w:val="000000" w:themeColor="text1"/>
                <w:sz w:val="28"/>
                <w:szCs w:val="28"/>
              </w:rPr>
              <w:t>依据《关于调整优化节能产品、环境标志产品政府采购执行机制的通知》财库〔2019〕9号，采购的产品属于节能产品、环境标志产品品目清单范围的，供应商应提供国家确定的认证机构出具的、处于有效期之内的认证证书及国家市场监管总局或中国政府采购网发布的参与实施政府采购节能产品、环境标志产品认证机构的名单，未提供的不享受加分或作为未实质性响应。</w:t>
            </w:r>
          </w:p>
          <w:p w14:paraId="0172F3B4">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本项目将</w:t>
            </w:r>
            <w:r>
              <w:rPr>
                <w:rFonts w:ascii="宋体" w:hAnsi="宋体" w:cs="宋体"/>
                <w:color w:val="000000" w:themeColor="text1"/>
                <w:kern w:val="0"/>
                <w:sz w:val="28"/>
                <w:szCs w:val="28"/>
              </w:rPr>
              <w:t>对</w:t>
            </w:r>
            <w:r>
              <w:rPr>
                <w:rFonts w:hint="eastAsia" w:ascii="宋体" w:hAnsi="宋体" w:cs="宋体"/>
                <w:color w:val="000000" w:themeColor="text1"/>
                <w:kern w:val="0"/>
                <w:sz w:val="28"/>
                <w:szCs w:val="28"/>
              </w:rPr>
              <w:t>入围供应商</w:t>
            </w:r>
            <w:r>
              <w:rPr>
                <w:rFonts w:ascii="宋体" w:hAnsi="宋体" w:cs="宋体"/>
                <w:color w:val="000000" w:themeColor="text1"/>
                <w:kern w:val="0"/>
                <w:sz w:val="28"/>
                <w:szCs w:val="28"/>
              </w:rPr>
              <w:t>提供的</w:t>
            </w:r>
            <w:r>
              <w:rPr>
                <w:rFonts w:hint="eastAsia" w:ascii="宋体" w:hAnsi="宋体" w:cs="宋体"/>
                <w:color w:val="000000" w:themeColor="text1"/>
                <w:kern w:val="0"/>
                <w:sz w:val="28"/>
                <w:szCs w:val="28"/>
              </w:rPr>
              <w:t>《中小企业声明函》、《残疾人福利性单位声明函》、监狱企业证明材料</w:t>
            </w:r>
            <w:r>
              <w:rPr>
                <w:rFonts w:ascii="宋体" w:hAnsi="宋体" w:cs="宋体"/>
                <w:color w:val="000000" w:themeColor="text1"/>
                <w:kern w:val="0"/>
                <w:sz w:val="28"/>
                <w:szCs w:val="28"/>
              </w:rPr>
              <w:t>，随评审结果一并公示。</w:t>
            </w:r>
          </w:p>
        </w:tc>
      </w:tr>
      <w:tr w14:paraId="043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55E30DF8">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17</w:t>
            </w:r>
          </w:p>
        </w:tc>
        <w:tc>
          <w:tcPr>
            <w:tcW w:w="2792" w:type="dxa"/>
            <w:tcMar>
              <w:left w:w="113" w:type="dxa"/>
              <w:right w:w="113" w:type="dxa"/>
            </w:tcMar>
            <w:vAlign w:val="center"/>
          </w:tcPr>
          <w:p w14:paraId="2DDD2F04">
            <w:pPr>
              <w:pStyle w:val="90"/>
              <w:wordWrap w:val="0"/>
              <w:adjustRightInd/>
              <w:snapToGrid w:val="0"/>
              <w:jc w:val="both"/>
              <w:rPr>
                <w:color w:val="000000" w:themeColor="text1"/>
                <w:sz w:val="28"/>
                <w:szCs w:val="28"/>
              </w:rPr>
            </w:pPr>
            <w:r>
              <w:rPr>
                <w:rFonts w:hint="eastAsia"/>
                <w:color w:val="000000" w:themeColor="text1"/>
                <w:sz w:val="28"/>
                <w:szCs w:val="28"/>
              </w:rPr>
              <w:t>报价扣除</w:t>
            </w:r>
          </w:p>
        </w:tc>
        <w:tc>
          <w:tcPr>
            <w:tcW w:w="5461" w:type="dxa"/>
            <w:tcMar>
              <w:left w:w="113" w:type="dxa"/>
              <w:right w:w="113" w:type="dxa"/>
            </w:tcMar>
            <w:vAlign w:val="center"/>
          </w:tcPr>
          <w:p w14:paraId="28550722">
            <w:pPr>
              <w:pStyle w:val="90"/>
              <w:adjustRightInd/>
              <w:snapToGrid w:val="0"/>
              <w:jc w:val="both"/>
              <w:rPr>
                <w:color w:val="000000" w:themeColor="text1"/>
                <w:sz w:val="28"/>
                <w:szCs w:val="28"/>
              </w:rPr>
            </w:pPr>
            <w:r>
              <w:rPr>
                <w:rFonts w:hint="eastAsia"/>
                <w:color w:val="000000" w:themeColor="text1"/>
                <w:sz w:val="28"/>
                <w:szCs w:val="28"/>
              </w:rPr>
              <w:t>本项目符合下列条件的应按扣除后的价格参加评审：</w:t>
            </w:r>
          </w:p>
          <w:p w14:paraId="77CD67DE">
            <w:pPr>
              <w:pStyle w:val="90"/>
              <w:adjustRightInd/>
              <w:snapToGrid w:val="0"/>
              <w:jc w:val="both"/>
              <w:rPr>
                <w:color w:val="000000" w:themeColor="text1"/>
                <w:sz w:val="28"/>
                <w:szCs w:val="28"/>
              </w:rPr>
            </w:pPr>
            <w:r>
              <w:rPr>
                <w:color w:val="000000" w:themeColor="text1"/>
                <w:sz w:val="28"/>
                <w:szCs w:val="28"/>
              </w:rPr>
              <w:t>小型和微型企业价格扣除：/%</w:t>
            </w:r>
          </w:p>
          <w:p w14:paraId="71FCF246">
            <w:pPr>
              <w:pStyle w:val="90"/>
              <w:adjustRightInd/>
              <w:snapToGrid w:val="0"/>
              <w:jc w:val="both"/>
              <w:rPr>
                <w:color w:val="000000" w:themeColor="text1"/>
                <w:sz w:val="28"/>
                <w:szCs w:val="28"/>
              </w:rPr>
            </w:pPr>
            <w:r>
              <w:rPr>
                <w:color w:val="000000" w:themeColor="text1"/>
                <w:sz w:val="28"/>
                <w:szCs w:val="28"/>
              </w:rPr>
              <w:t>符合条件的联合体价格扣除：</w:t>
            </w:r>
            <w:bookmarkStart w:id="13" w:name="OLE_LINK2"/>
            <w:bookmarkStart w:id="14" w:name="OLE_LINK1"/>
            <w:r>
              <w:rPr>
                <w:color w:val="000000" w:themeColor="text1"/>
                <w:sz w:val="28"/>
                <w:szCs w:val="28"/>
              </w:rPr>
              <w:t>/</w:t>
            </w:r>
            <w:bookmarkEnd w:id="13"/>
            <w:bookmarkEnd w:id="14"/>
            <w:r>
              <w:rPr>
                <w:color w:val="000000" w:themeColor="text1"/>
                <w:sz w:val="28"/>
                <w:szCs w:val="28"/>
              </w:rPr>
              <w:t>%。</w:t>
            </w:r>
          </w:p>
          <w:p w14:paraId="64D4C478">
            <w:pPr>
              <w:pStyle w:val="90"/>
              <w:adjustRightInd/>
              <w:snapToGrid w:val="0"/>
              <w:jc w:val="both"/>
              <w:rPr>
                <w:color w:val="000000" w:themeColor="text1"/>
                <w:sz w:val="28"/>
                <w:szCs w:val="28"/>
              </w:rPr>
            </w:pPr>
            <w:r>
              <w:rPr>
                <w:color w:val="000000" w:themeColor="text1"/>
                <w:sz w:val="28"/>
                <w:szCs w:val="28"/>
              </w:rPr>
              <w:t>符合条件的向小微企业分包的大中型企业价格扣 除：/%。</w:t>
            </w:r>
          </w:p>
          <w:p w14:paraId="65F66035">
            <w:pPr>
              <w:pStyle w:val="90"/>
              <w:adjustRightInd/>
              <w:snapToGrid w:val="0"/>
              <w:jc w:val="both"/>
              <w:rPr>
                <w:color w:val="000000" w:themeColor="text1"/>
                <w:sz w:val="28"/>
                <w:szCs w:val="28"/>
              </w:rPr>
            </w:pPr>
            <w:r>
              <w:rPr>
                <w:rFonts w:hint="eastAsia"/>
                <w:color w:val="000000" w:themeColor="text1"/>
                <w:sz w:val="28"/>
                <w:szCs w:val="28"/>
              </w:rPr>
              <w:t>监狱企业</w:t>
            </w:r>
            <w:r>
              <w:rPr>
                <w:color w:val="000000" w:themeColor="text1"/>
                <w:sz w:val="28"/>
                <w:szCs w:val="28"/>
              </w:rPr>
              <w:t>价格扣除</w:t>
            </w:r>
            <w:r>
              <w:rPr>
                <w:rFonts w:hint="eastAsia"/>
                <w:color w:val="000000" w:themeColor="text1"/>
                <w:sz w:val="28"/>
                <w:szCs w:val="28"/>
              </w:rPr>
              <w:t>：同小型和微型企业。</w:t>
            </w:r>
          </w:p>
          <w:p w14:paraId="04D5D518">
            <w:pPr>
              <w:pStyle w:val="90"/>
              <w:adjustRightInd/>
              <w:snapToGrid w:val="0"/>
              <w:jc w:val="both"/>
              <w:rPr>
                <w:color w:val="000000" w:themeColor="text1"/>
                <w:sz w:val="28"/>
                <w:szCs w:val="28"/>
              </w:rPr>
            </w:pPr>
            <w:r>
              <w:rPr>
                <w:rFonts w:hint="eastAsia"/>
                <w:color w:val="000000" w:themeColor="text1"/>
                <w:sz w:val="28"/>
                <w:szCs w:val="28"/>
              </w:rPr>
              <w:t>残疾人福利性单位</w:t>
            </w:r>
            <w:r>
              <w:rPr>
                <w:color w:val="000000" w:themeColor="text1"/>
                <w:sz w:val="28"/>
                <w:szCs w:val="28"/>
              </w:rPr>
              <w:t>价格扣除</w:t>
            </w:r>
            <w:r>
              <w:rPr>
                <w:rFonts w:hint="eastAsia"/>
                <w:color w:val="000000" w:themeColor="text1"/>
                <w:sz w:val="28"/>
                <w:szCs w:val="28"/>
              </w:rPr>
              <w:t>：同小型和微型企业。</w:t>
            </w:r>
          </w:p>
          <w:p w14:paraId="5D2D9791">
            <w:pPr>
              <w:pStyle w:val="90"/>
              <w:adjustRightInd/>
              <w:snapToGrid w:val="0"/>
              <w:jc w:val="both"/>
              <w:rPr>
                <w:color w:val="000000" w:themeColor="text1"/>
                <w:sz w:val="28"/>
                <w:szCs w:val="28"/>
              </w:rPr>
            </w:pPr>
            <w:r>
              <w:rPr>
                <w:rFonts w:hint="eastAsia"/>
                <w:color w:val="000000" w:themeColor="text1"/>
                <w:sz w:val="28"/>
                <w:szCs w:val="28"/>
              </w:rPr>
              <w:t>三首、创新产品价格扣除：</w:t>
            </w:r>
            <w:r>
              <w:rPr>
                <w:color w:val="000000" w:themeColor="text1"/>
                <w:sz w:val="28"/>
                <w:szCs w:val="28"/>
              </w:rPr>
              <w:t>/%</w:t>
            </w:r>
          </w:p>
        </w:tc>
      </w:tr>
      <w:tr w14:paraId="15751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7A64FF0E">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18</w:t>
            </w:r>
          </w:p>
        </w:tc>
        <w:tc>
          <w:tcPr>
            <w:tcW w:w="2792" w:type="dxa"/>
            <w:tcMar>
              <w:left w:w="113" w:type="dxa"/>
              <w:right w:w="113" w:type="dxa"/>
            </w:tcMar>
            <w:vAlign w:val="center"/>
          </w:tcPr>
          <w:p w14:paraId="60DA3DD4">
            <w:pPr>
              <w:pStyle w:val="90"/>
              <w:wordWrap w:val="0"/>
              <w:snapToGrid w:val="0"/>
              <w:jc w:val="both"/>
              <w:rPr>
                <w:color w:val="000000" w:themeColor="text1"/>
                <w:sz w:val="28"/>
                <w:szCs w:val="28"/>
              </w:rPr>
            </w:pPr>
            <w:r>
              <w:rPr>
                <w:rFonts w:hint="eastAsia"/>
                <w:color w:val="000000" w:themeColor="text1"/>
                <w:sz w:val="28"/>
                <w:szCs w:val="28"/>
              </w:rPr>
              <w:t>采购标的及其对应的中小企业划分标准所属行业</w:t>
            </w:r>
          </w:p>
        </w:tc>
        <w:tc>
          <w:tcPr>
            <w:tcW w:w="5461" w:type="dxa"/>
            <w:tcMar>
              <w:left w:w="113" w:type="dxa"/>
              <w:right w:w="113" w:type="dxa"/>
            </w:tcMar>
            <w:vAlign w:val="center"/>
          </w:tcPr>
          <w:p w14:paraId="1CC1EFF4">
            <w:pPr>
              <w:spacing w:line="360" w:lineRule="auto"/>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（1）标的：2025-2027年度铜陵市公务用车维修保养服务框架协议采购。   </w:t>
            </w:r>
          </w:p>
          <w:p w14:paraId="3595585C">
            <w:pPr>
              <w:pStyle w:val="90"/>
              <w:snapToGrid w:val="0"/>
              <w:jc w:val="both"/>
              <w:rPr>
                <w:color w:val="000000" w:themeColor="text1"/>
                <w:sz w:val="28"/>
                <w:szCs w:val="28"/>
              </w:rPr>
            </w:pPr>
            <w:r>
              <w:rPr>
                <w:rFonts w:hint="eastAsia"/>
                <w:color w:val="000000" w:themeColor="text1"/>
                <w:sz w:val="28"/>
                <w:szCs w:val="28"/>
              </w:rPr>
              <w:t>（2）属于其他未列明行业。</w:t>
            </w:r>
          </w:p>
        </w:tc>
      </w:tr>
      <w:tr w14:paraId="4EBC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0B7C3858">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19</w:t>
            </w:r>
          </w:p>
        </w:tc>
        <w:tc>
          <w:tcPr>
            <w:tcW w:w="2792" w:type="dxa"/>
            <w:tcMar>
              <w:left w:w="113" w:type="dxa"/>
              <w:right w:w="113" w:type="dxa"/>
            </w:tcMar>
            <w:vAlign w:val="center"/>
          </w:tcPr>
          <w:p w14:paraId="6EB8E385">
            <w:pPr>
              <w:pStyle w:val="90"/>
              <w:wordWrap w:val="0"/>
              <w:snapToGrid w:val="0"/>
              <w:jc w:val="both"/>
              <w:rPr>
                <w:color w:val="000000" w:themeColor="text1"/>
                <w:sz w:val="28"/>
                <w:szCs w:val="28"/>
              </w:rPr>
            </w:pPr>
            <w:r>
              <w:rPr>
                <w:rFonts w:hint="eastAsia"/>
                <w:color w:val="000000" w:themeColor="text1"/>
                <w:sz w:val="28"/>
                <w:szCs w:val="28"/>
              </w:rPr>
              <w:t>主要成交标的服务范围、服务要求、服务时间、服务标准</w:t>
            </w:r>
          </w:p>
        </w:tc>
        <w:tc>
          <w:tcPr>
            <w:tcW w:w="5461" w:type="dxa"/>
            <w:tcMar>
              <w:left w:w="113" w:type="dxa"/>
              <w:right w:w="113" w:type="dxa"/>
            </w:tcMar>
            <w:vAlign w:val="center"/>
          </w:tcPr>
          <w:p w14:paraId="7085764F">
            <w:pPr>
              <w:pStyle w:val="90"/>
              <w:snapToGrid w:val="0"/>
              <w:jc w:val="both"/>
              <w:rPr>
                <w:color w:val="000000" w:themeColor="text1"/>
                <w:sz w:val="28"/>
                <w:szCs w:val="28"/>
              </w:rPr>
            </w:pPr>
            <w:r>
              <w:rPr>
                <w:rFonts w:hint="eastAsia"/>
                <w:color w:val="000000" w:themeColor="text1"/>
                <w:sz w:val="28"/>
                <w:szCs w:val="28"/>
              </w:rPr>
              <w:t>本项目将对入围候选人的主要成交标的服务范围、服务要求、服务时间、服务标准，经评审小组评审认可后随评审结果一并公示。</w:t>
            </w:r>
          </w:p>
        </w:tc>
      </w:tr>
      <w:tr w14:paraId="56CF3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7897403F">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20</w:t>
            </w:r>
          </w:p>
        </w:tc>
        <w:tc>
          <w:tcPr>
            <w:tcW w:w="2792" w:type="dxa"/>
            <w:tcMar>
              <w:left w:w="113" w:type="dxa"/>
              <w:right w:w="113" w:type="dxa"/>
            </w:tcMar>
          </w:tcPr>
          <w:p w14:paraId="6A1FFE56">
            <w:pPr>
              <w:widowControl/>
              <w:shd w:val="clear" w:color="auto" w:fill="FFFFFF"/>
              <w:rPr>
                <w:color w:val="000000" w:themeColor="text1"/>
                <w:sz w:val="28"/>
                <w:szCs w:val="28"/>
              </w:rPr>
            </w:pPr>
            <w:r>
              <w:rPr>
                <w:rFonts w:hint="eastAsia" w:ascii="宋体" w:hAnsi="宋体" w:cs="宋体"/>
                <w:color w:val="000000" w:themeColor="text1"/>
                <w:kern w:val="0"/>
                <w:sz w:val="28"/>
                <w:szCs w:val="28"/>
              </w:rPr>
              <w:t>信用查询</w:t>
            </w:r>
          </w:p>
        </w:tc>
        <w:tc>
          <w:tcPr>
            <w:tcW w:w="5461" w:type="dxa"/>
            <w:tcMar>
              <w:left w:w="113" w:type="dxa"/>
              <w:right w:w="113" w:type="dxa"/>
            </w:tcMar>
            <w:vAlign w:val="center"/>
          </w:tcPr>
          <w:p w14:paraId="374CB9DA">
            <w:pPr>
              <w:rPr>
                <w:color w:val="000000" w:themeColor="text1"/>
                <w:sz w:val="28"/>
                <w:szCs w:val="28"/>
              </w:rPr>
            </w:pPr>
            <w:r>
              <w:rPr>
                <w:rFonts w:hint="eastAsia" w:ascii="宋体" w:hAnsi="宋体" w:cs="宋体"/>
                <w:color w:val="000000" w:themeColor="text1"/>
                <w:kern w:val="0"/>
                <w:sz w:val="28"/>
                <w:szCs w:val="28"/>
              </w:rPr>
              <w:t>详见评审办法</w:t>
            </w:r>
          </w:p>
        </w:tc>
      </w:tr>
      <w:tr w14:paraId="1B61D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797B9BFA">
            <w:pPr>
              <w:pStyle w:val="90"/>
              <w:wordWrap w:val="0"/>
              <w:adjustRightInd/>
              <w:snapToGrid w:val="0"/>
              <w:jc w:val="both"/>
              <w:rPr>
                <w:rFonts w:cs="Courier New"/>
                <w:color w:val="000000" w:themeColor="text1"/>
                <w:sz w:val="28"/>
                <w:szCs w:val="28"/>
              </w:rPr>
            </w:pPr>
            <w:r>
              <w:rPr>
                <w:rFonts w:hint="eastAsia" w:cs="Courier New"/>
                <w:color w:val="000000" w:themeColor="text1"/>
                <w:sz w:val="28"/>
                <w:szCs w:val="28"/>
              </w:rPr>
              <w:t>21</w:t>
            </w:r>
          </w:p>
        </w:tc>
        <w:tc>
          <w:tcPr>
            <w:tcW w:w="2792" w:type="dxa"/>
            <w:tcMar>
              <w:left w:w="113" w:type="dxa"/>
              <w:right w:w="113" w:type="dxa"/>
            </w:tcMar>
            <w:vAlign w:val="center"/>
          </w:tcPr>
          <w:p w14:paraId="5A1449B7">
            <w:pPr>
              <w:pStyle w:val="90"/>
              <w:wordWrap w:val="0"/>
              <w:adjustRightInd/>
              <w:snapToGrid w:val="0"/>
              <w:jc w:val="both"/>
              <w:rPr>
                <w:color w:val="000000" w:themeColor="text1"/>
                <w:sz w:val="28"/>
                <w:szCs w:val="28"/>
              </w:rPr>
            </w:pPr>
            <w:r>
              <w:rPr>
                <w:rFonts w:hint="eastAsia"/>
                <w:color w:val="000000" w:themeColor="text1"/>
                <w:sz w:val="28"/>
                <w:szCs w:val="28"/>
              </w:rPr>
              <w:t>其它补充说明</w:t>
            </w:r>
          </w:p>
        </w:tc>
        <w:tc>
          <w:tcPr>
            <w:tcW w:w="5461" w:type="dxa"/>
            <w:tcMar>
              <w:left w:w="113" w:type="dxa"/>
              <w:right w:w="113" w:type="dxa"/>
            </w:tcMar>
            <w:vAlign w:val="center"/>
          </w:tcPr>
          <w:p w14:paraId="2AC73B22">
            <w:pPr>
              <w:pStyle w:val="90"/>
              <w:adjustRightInd/>
              <w:snapToGrid w:val="0"/>
              <w:jc w:val="both"/>
              <w:rPr>
                <w:color w:val="000000" w:themeColor="text1"/>
                <w:sz w:val="28"/>
                <w:szCs w:val="28"/>
              </w:rPr>
            </w:pPr>
            <w:r>
              <w:rPr>
                <w:rFonts w:hint="eastAsia"/>
                <w:color w:val="000000" w:themeColor="text1"/>
                <w:sz w:val="28"/>
                <w:szCs w:val="28"/>
              </w:rPr>
              <w:t>如交易系统中相关操作内容与征集文件正文不符的，以征集文件以准。</w:t>
            </w:r>
          </w:p>
        </w:tc>
      </w:tr>
      <w:tr w14:paraId="69A7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46BC1D5C">
            <w:pPr>
              <w:pStyle w:val="90"/>
              <w:wordWrap w:val="0"/>
              <w:adjustRightInd/>
              <w:snapToGrid w:val="0"/>
              <w:jc w:val="both"/>
              <w:rPr>
                <w:color w:val="000000" w:themeColor="text1"/>
                <w:sz w:val="28"/>
                <w:szCs w:val="28"/>
              </w:rPr>
            </w:pPr>
            <w:r>
              <w:rPr>
                <w:rFonts w:hint="eastAsia"/>
                <w:color w:val="000000" w:themeColor="text1"/>
                <w:sz w:val="28"/>
                <w:szCs w:val="28"/>
              </w:rPr>
              <w:t>22</w:t>
            </w:r>
          </w:p>
        </w:tc>
        <w:tc>
          <w:tcPr>
            <w:tcW w:w="2792" w:type="dxa"/>
            <w:tcMar>
              <w:left w:w="113" w:type="dxa"/>
              <w:right w:w="113" w:type="dxa"/>
            </w:tcMar>
            <w:vAlign w:val="center"/>
          </w:tcPr>
          <w:p w14:paraId="046A02B9">
            <w:pPr>
              <w:pStyle w:val="90"/>
              <w:wordWrap w:val="0"/>
              <w:adjustRightInd/>
              <w:snapToGrid w:val="0"/>
              <w:jc w:val="both"/>
              <w:rPr>
                <w:color w:val="000000" w:themeColor="text1"/>
                <w:sz w:val="28"/>
                <w:szCs w:val="28"/>
              </w:rPr>
            </w:pPr>
            <w:r>
              <w:rPr>
                <w:color w:val="000000" w:themeColor="text1"/>
                <w:sz w:val="28"/>
                <w:szCs w:val="28"/>
              </w:rPr>
              <w:t>接收询问和质疑的联系方式</w:t>
            </w:r>
          </w:p>
        </w:tc>
        <w:tc>
          <w:tcPr>
            <w:tcW w:w="5461" w:type="dxa"/>
            <w:tcMar>
              <w:left w:w="113" w:type="dxa"/>
              <w:right w:w="113" w:type="dxa"/>
            </w:tcMar>
            <w:vAlign w:val="center"/>
          </w:tcPr>
          <w:p w14:paraId="21FA79D3">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征集人名称：铜陵市机关事务管理服务中心　　　</w:t>
            </w:r>
          </w:p>
          <w:p w14:paraId="3C215AFC">
            <w:pPr>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联系电话：0562-5880556　 </w:t>
            </w:r>
            <w:bookmarkStart w:id="15" w:name="_Toc28359086"/>
            <w:bookmarkStart w:id="16" w:name="_Toc28359009"/>
          </w:p>
          <w:bookmarkEnd w:id="15"/>
          <w:bookmarkEnd w:id="16"/>
          <w:p w14:paraId="1D2ADD4A">
            <w:pPr>
              <w:rPr>
                <w:rFonts w:ascii="仿宋" w:hAnsi="仿宋" w:eastAsia="仿宋" w:cs="宋体"/>
                <w:kern w:val="0"/>
                <w:sz w:val="28"/>
                <w:szCs w:val="28"/>
              </w:rPr>
            </w:pPr>
            <w:r>
              <w:rPr>
                <w:rFonts w:hint="eastAsia" w:ascii="宋体" w:hAnsi="宋体" w:cs="宋体"/>
                <w:color w:val="000000" w:themeColor="text1"/>
                <w:kern w:val="0"/>
                <w:sz w:val="28"/>
                <w:szCs w:val="28"/>
              </w:rPr>
              <w:t>通讯地址：湖东路666号</w:t>
            </w:r>
          </w:p>
          <w:p w14:paraId="1D41A1C8">
            <w:pPr>
              <w:widowControl/>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代理机构名称：铜陵市公共资源交易中心</w:t>
            </w:r>
          </w:p>
          <w:p w14:paraId="46ADDA17">
            <w:pPr>
              <w:widowControl/>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联系电话：0562-5885869 </w:t>
            </w:r>
          </w:p>
          <w:p w14:paraId="07BD7F5C">
            <w:pPr>
              <w:pStyle w:val="90"/>
              <w:adjustRightInd/>
              <w:snapToGrid w:val="0"/>
              <w:jc w:val="both"/>
              <w:rPr>
                <w:color w:val="000000" w:themeColor="text1"/>
                <w:sz w:val="28"/>
                <w:szCs w:val="28"/>
              </w:rPr>
            </w:pPr>
            <w:r>
              <w:rPr>
                <w:rFonts w:hint="eastAsia"/>
                <w:color w:val="000000" w:themeColor="text1"/>
                <w:sz w:val="28"/>
                <w:szCs w:val="28"/>
              </w:rPr>
              <w:t>通讯地址：铜都大道3596号投资大厦</w:t>
            </w:r>
          </w:p>
        </w:tc>
      </w:tr>
      <w:tr w14:paraId="310C3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58A07FD4">
            <w:pPr>
              <w:pStyle w:val="90"/>
              <w:wordWrap w:val="0"/>
              <w:adjustRightInd/>
              <w:snapToGrid w:val="0"/>
              <w:jc w:val="both"/>
              <w:rPr>
                <w:color w:val="000000" w:themeColor="text1"/>
                <w:sz w:val="28"/>
                <w:szCs w:val="28"/>
              </w:rPr>
            </w:pPr>
            <w:r>
              <w:rPr>
                <w:rFonts w:hint="eastAsia"/>
                <w:color w:val="000000" w:themeColor="text1"/>
                <w:sz w:val="28"/>
                <w:szCs w:val="28"/>
              </w:rPr>
              <w:t>23</w:t>
            </w:r>
          </w:p>
        </w:tc>
        <w:tc>
          <w:tcPr>
            <w:tcW w:w="2792" w:type="dxa"/>
            <w:tcMar>
              <w:left w:w="113" w:type="dxa"/>
              <w:right w:w="113" w:type="dxa"/>
            </w:tcMar>
            <w:vAlign w:val="center"/>
          </w:tcPr>
          <w:p w14:paraId="6E50CBC6">
            <w:pPr>
              <w:pStyle w:val="90"/>
              <w:wordWrap w:val="0"/>
              <w:adjustRightInd/>
              <w:snapToGrid w:val="0"/>
              <w:jc w:val="both"/>
              <w:rPr>
                <w:color w:val="000000" w:themeColor="text1"/>
                <w:sz w:val="28"/>
                <w:szCs w:val="28"/>
              </w:rPr>
            </w:pPr>
            <w:r>
              <w:rPr>
                <w:rFonts w:hint="eastAsia"/>
                <w:color w:val="000000" w:themeColor="text1"/>
                <w:sz w:val="28"/>
                <w:szCs w:val="28"/>
              </w:rPr>
              <w:t>政府采购监管部门</w:t>
            </w:r>
          </w:p>
        </w:tc>
        <w:tc>
          <w:tcPr>
            <w:tcW w:w="5461" w:type="dxa"/>
            <w:tcMar>
              <w:left w:w="113" w:type="dxa"/>
              <w:right w:w="113" w:type="dxa"/>
            </w:tcMar>
            <w:vAlign w:val="center"/>
          </w:tcPr>
          <w:p w14:paraId="7A8991EF">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政府采购监管部门：</w:t>
            </w:r>
          </w:p>
          <w:p w14:paraId="0BEFFD8A">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铜陵市公共资源交易监督管理局</w:t>
            </w:r>
          </w:p>
          <w:p w14:paraId="73848534">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地址：铜陵市铜官区学士路与铜都大道交叉口投资大厦四楼</w:t>
            </w:r>
          </w:p>
          <w:p w14:paraId="762DAD3D">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联系人：章女士 联系方式：0562-5886095</w:t>
            </w:r>
          </w:p>
          <w:p w14:paraId="050FF452">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铜陵市财政局</w:t>
            </w:r>
          </w:p>
          <w:p w14:paraId="6C140D83">
            <w:pPr>
              <w:snapToGrid w:val="0"/>
              <w:rPr>
                <w:rFonts w:ascii="宋体" w:hAnsi="宋体" w:cs="宋体"/>
                <w:color w:val="000000" w:themeColor="text1"/>
                <w:kern w:val="0"/>
                <w:sz w:val="28"/>
                <w:szCs w:val="28"/>
              </w:rPr>
            </w:pPr>
            <w:r>
              <w:rPr>
                <w:rFonts w:hint="eastAsia" w:ascii="宋体" w:hAnsi="宋体" w:cs="宋体"/>
                <w:color w:val="000000" w:themeColor="text1"/>
                <w:kern w:val="0"/>
                <w:sz w:val="28"/>
                <w:szCs w:val="28"/>
              </w:rPr>
              <w:t>地址：铜陵市北京西路875号北斗星城C7栋11-15层</w:t>
            </w:r>
          </w:p>
          <w:p w14:paraId="1C5752F1">
            <w:pPr>
              <w:pStyle w:val="90"/>
              <w:adjustRightInd/>
              <w:snapToGrid w:val="0"/>
              <w:jc w:val="both"/>
              <w:rPr>
                <w:color w:val="000000" w:themeColor="text1"/>
                <w:sz w:val="28"/>
                <w:szCs w:val="28"/>
              </w:rPr>
            </w:pPr>
            <w:r>
              <w:rPr>
                <w:rFonts w:hint="eastAsia"/>
                <w:color w:val="000000" w:themeColor="text1"/>
                <w:sz w:val="28"/>
                <w:szCs w:val="28"/>
              </w:rPr>
              <w:t>联系人：杨先生  联系方式：0562-2629112</w:t>
            </w:r>
          </w:p>
        </w:tc>
      </w:tr>
    </w:tbl>
    <w:p w14:paraId="60AB3FF4">
      <w:pPr>
        <w:pStyle w:val="5"/>
        <w:spacing w:beforeLines="50" w:afterLines="50" w:line="360" w:lineRule="auto"/>
        <w:rPr>
          <w:color w:val="000000" w:themeColor="text1"/>
        </w:rPr>
      </w:pPr>
      <w:bookmarkStart w:id="17" w:name="_Toc20823275"/>
      <w:bookmarkStart w:id="18" w:name="_Toc120614214"/>
      <w:bookmarkStart w:id="19" w:name="_Toc513029203"/>
      <w:bookmarkStart w:id="20" w:name="_Toc16938519"/>
    </w:p>
    <w:p w14:paraId="757F1EA2">
      <w:pPr>
        <w:pStyle w:val="5"/>
        <w:spacing w:beforeLines="50" w:afterLines="50" w:line="360" w:lineRule="auto"/>
        <w:ind w:firstLine="321" w:firstLineChars="100"/>
        <w:rPr>
          <w:color w:val="000000" w:themeColor="text1"/>
        </w:rPr>
      </w:pPr>
      <w:r>
        <w:rPr>
          <w:rFonts w:hint="eastAsia"/>
          <w:color w:val="000000" w:themeColor="text1"/>
        </w:rPr>
        <w:t>二、总则</w:t>
      </w:r>
      <w:bookmarkEnd w:id="17"/>
      <w:bookmarkEnd w:id="18"/>
      <w:bookmarkEnd w:id="19"/>
      <w:bookmarkEnd w:id="20"/>
    </w:p>
    <w:p w14:paraId="17BBC452">
      <w:pPr>
        <w:tabs>
          <w:tab w:val="left" w:pos="1146"/>
        </w:tabs>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w:t>
      </w:r>
      <w:r>
        <w:rPr>
          <w:rFonts w:ascii="宋体" w:hAnsi="宋体" w:cs="宋体"/>
          <w:color w:val="000000" w:themeColor="text1"/>
          <w:kern w:val="0"/>
          <w:sz w:val="28"/>
          <w:szCs w:val="28"/>
        </w:rPr>
        <w:t>本</w:t>
      </w:r>
      <w:r>
        <w:rPr>
          <w:rFonts w:hint="eastAsia" w:ascii="宋体" w:hAnsi="宋体" w:cs="宋体"/>
          <w:color w:val="000000" w:themeColor="text1"/>
          <w:kern w:val="0"/>
          <w:sz w:val="28"/>
          <w:szCs w:val="28"/>
        </w:rPr>
        <w:t>征集</w:t>
      </w:r>
      <w:r>
        <w:rPr>
          <w:rFonts w:ascii="宋体" w:hAnsi="宋体" w:cs="宋体"/>
          <w:color w:val="000000" w:themeColor="text1"/>
          <w:kern w:val="0"/>
          <w:sz w:val="28"/>
          <w:szCs w:val="28"/>
        </w:rPr>
        <w:t>文件仅适用于本次封闭式框架协议</w:t>
      </w:r>
      <w:r>
        <w:rPr>
          <w:rFonts w:hint="eastAsia" w:ascii="宋体" w:hAnsi="宋体" w:cs="宋体"/>
          <w:color w:val="000000" w:themeColor="text1"/>
          <w:kern w:val="0"/>
          <w:sz w:val="28"/>
          <w:szCs w:val="28"/>
        </w:rPr>
        <w:t>的</w:t>
      </w:r>
      <w:r>
        <w:rPr>
          <w:rFonts w:ascii="宋体" w:hAnsi="宋体" w:cs="宋体"/>
          <w:color w:val="000000" w:themeColor="text1"/>
          <w:kern w:val="0"/>
          <w:sz w:val="28"/>
          <w:szCs w:val="28"/>
        </w:rPr>
        <w:t>服务项目。</w:t>
      </w:r>
      <w:r>
        <w:rPr>
          <w:rFonts w:hint="eastAsia" w:ascii="宋体" w:hAnsi="宋体" w:cs="宋体"/>
          <w:color w:val="000000" w:themeColor="text1"/>
          <w:kern w:val="0"/>
          <w:sz w:val="28"/>
          <w:szCs w:val="28"/>
        </w:rPr>
        <w:t>交易中心接受征集人委托，根据征集人提交的服务要求，对此项目进行集中代理，编制征集文件，组织开评审小组活动。</w:t>
      </w:r>
    </w:p>
    <w:p w14:paraId="41B34CFB">
      <w:pPr>
        <w:tabs>
          <w:tab w:val="left" w:pos="1146"/>
        </w:tabs>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2、本次采购的</w:t>
      </w:r>
      <w:r>
        <w:rPr>
          <w:rFonts w:ascii="宋体" w:hAnsi="宋体" w:cs="宋体"/>
          <w:color w:val="000000" w:themeColor="text1"/>
          <w:kern w:val="0"/>
          <w:sz w:val="28"/>
          <w:szCs w:val="28"/>
        </w:rPr>
        <w:t>服务</w:t>
      </w:r>
      <w:r>
        <w:rPr>
          <w:rFonts w:hint="eastAsia" w:ascii="宋体" w:hAnsi="宋体" w:cs="宋体"/>
          <w:color w:val="000000" w:themeColor="text1"/>
          <w:kern w:val="0"/>
          <w:sz w:val="28"/>
          <w:szCs w:val="28"/>
        </w:rPr>
        <w:t>系指除货物和工程以外的其他政府采购对象</w:t>
      </w:r>
      <w:r>
        <w:rPr>
          <w:rFonts w:ascii="宋体" w:hAnsi="宋体" w:cs="宋体"/>
          <w:color w:val="000000" w:themeColor="text1"/>
          <w:kern w:val="0"/>
          <w:sz w:val="28"/>
          <w:szCs w:val="28"/>
        </w:rPr>
        <w:t>。无论征集文件是否列明，供应商所提供的服务</w:t>
      </w:r>
      <w:r>
        <w:rPr>
          <w:rFonts w:hint="eastAsia" w:ascii="宋体" w:hAnsi="宋体" w:cs="宋体"/>
          <w:color w:val="000000" w:themeColor="text1"/>
          <w:kern w:val="0"/>
          <w:sz w:val="28"/>
          <w:szCs w:val="28"/>
        </w:rPr>
        <w:t>必</w:t>
      </w:r>
      <w:r>
        <w:rPr>
          <w:rFonts w:ascii="宋体" w:hAnsi="宋体" w:cs="宋体"/>
          <w:color w:val="000000" w:themeColor="text1"/>
          <w:kern w:val="0"/>
          <w:sz w:val="28"/>
          <w:szCs w:val="28"/>
        </w:rPr>
        <w:t>须符合国家</w:t>
      </w:r>
      <w:r>
        <w:rPr>
          <w:rFonts w:hint="eastAsia" w:ascii="宋体" w:hAnsi="宋体" w:cs="宋体"/>
          <w:color w:val="000000" w:themeColor="text1"/>
          <w:kern w:val="0"/>
          <w:sz w:val="28"/>
          <w:szCs w:val="28"/>
        </w:rPr>
        <w:t>相关</w:t>
      </w:r>
      <w:r>
        <w:rPr>
          <w:rFonts w:ascii="宋体" w:hAnsi="宋体" w:cs="宋体"/>
          <w:color w:val="000000" w:themeColor="text1"/>
          <w:kern w:val="0"/>
          <w:sz w:val="28"/>
          <w:szCs w:val="28"/>
        </w:rPr>
        <w:t>现行法律法规的规定，否则响应无效。本征集文件所要求的证书、认证、资质，均应当是</w:t>
      </w:r>
      <w:r>
        <w:rPr>
          <w:rFonts w:hint="eastAsia" w:ascii="宋体" w:hAnsi="宋体" w:cs="宋体"/>
          <w:color w:val="000000" w:themeColor="text1"/>
          <w:kern w:val="0"/>
          <w:sz w:val="28"/>
          <w:szCs w:val="28"/>
        </w:rPr>
        <w:t>由权威</w:t>
      </w:r>
      <w:r>
        <w:rPr>
          <w:rFonts w:ascii="宋体" w:hAnsi="宋体" w:cs="宋体"/>
          <w:color w:val="000000" w:themeColor="text1"/>
          <w:kern w:val="0"/>
          <w:sz w:val="28"/>
          <w:szCs w:val="28"/>
        </w:rPr>
        <w:t>机构颁发，且在有效期内的。</w:t>
      </w:r>
    </w:p>
    <w:p w14:paraId="2E79541D">
      <w:pPr>
        <w:pStyle w:val="5"/>
        <w:spacing w:beforeLines="50" w:afterLines="50" w:line="360" w:lineRule="auto"/>
        <w:ind w:firstLine="482" w:firstLineChars="150"/>
        <w:rPr>
          <w:color w:val="000000" w:themeColor="text1"/>
        </w:rPr>
      </w:pPr>
      <w:bookmarkStart w:id="21" w:name="_Hlt16619475"/>
      <w:bookmarkEnd w:id="21"/>
      <w:bookmarkStart w:id="22" w:name="_Toc20823281"/>
      <w:bookmarkStart w:id="23" w:name="_Toc120614215"/>
      <w:bookmarkStart w:id="24" w:name="_Toc513029209"/>
      <w:bookmarkStart w:id="25" w:name="_Toc16938525"/>
      <w:r>
        <w:rPr>
          <w:rFonts w:hint="eastAsia"/>
          <w:color w:val="000000" w:themeColor="text1"/>
        </w:rPr>
        <w:t>三、征集文件</w:t>
      </w:r>
      <w:bookmarkEnd w:id="22"/>
      <w:bookmarkEnd w:id="23"/>
      <w:bookmarkEnd w:id="24"/>
      <w:bookmarkEnd w:id="25"/>
    </w:p>
    <w:p w14:paraId="63A15D94">
      <w:pPr>
        <w:pStyle w:val="6"/>
        <w:spacing w:before="0" w:after="0" w:line="240" w:lineRule="auto"/>
        <w:ind w:firstLine="420" w:firstLineChars="150"/>
        <w:rPr>
          <w:b w:val="0"/>
          <w:bCs w:val="0"/>
          <w:color w:val="000000" w:themeColor="text1"/>
        </w:rPr>
      </w:pPr>
      <w:bookmarkStart w:id="26" w:name="_Toc513029210"/>
      <w:bookmarkStart w:id="27" w:name="_Toc20823282"/>
      <w:bookmarkStart w:id="28" w:name="_Toc16938526"/>
      <w:r>
        <w:rPr>
          <w:rFonts w:hint="eastAsia"/>
          <w:b w:val="0"/>
          <w:bCs w:val="0"/>
          <w:color w:val="000000" w:themeColor="text1"/>
        </w:rPr>
        <w:t>1、征集文件构成</w:t>
      </w:r>
      <w:bookmarkEnd w:id="26"/>
      <w:bookmarkEnd w:id="27"/>
      <w:bookmarkEnd w:id="28"/>
    </w:p>
    <w:p w14:paraId="3956A9BB">
      <w:pPr>
        <w:spacing w:line="5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1.1 征集文件由以下部分组成：</w:t>
      </w:r>
    </w:p>
    <w:p w14:paraId="141D8D26">
      <w:pPr>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w:t>
      </w:r>
      <w:r>
        <w:rPr>
          <w:rFonts w:ascii="宋体" w:hAnsi="宋体" w:cs="宋体"/>
          <w:color w:val="000000" w:themeColor="text1"/>
          <w:kern w:val="0"/>
          <w:sz w:val="28"/>
          <w:szCs w:val="28"/>
        </w:rPr>
        <w:t>.1.1</w:t>
      </w:r>
      <w:r>
        <w:rPr>
          <w:rFonts w:hint="eastAsia" w:ascii="宋体" w:hAnsi="宋体" w:cs="宋体"/>
          <w:color w:val="000000" w:themeColor="text1"/>
          <w:kern w:val="0"/>
          <w:sz w:val="28"/>
          <w:szCs w:val="28"/>
        </w:rPr>
        <w:t>框架协议征集公告</w:t>
      </w:r>
    </w:p>
    <w:p w14:paraId="076142C2">
      <w:pPr>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1.1.2供应商须知及前附表</w:t>
      </w:r>
    </w:p>
    <w:p w14:paraId="5FEA8124">
      <w:pPr>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w:t>
      </w:r>
      <w:r>
        <w:rPr>
          <w:rFonts w:ascii="宋体" w:hAnsi="宋体" w:cs="宋体"/>
          <w:color w:val="000000" w:themeColor="text1"/>
          <w:kern w:val="0"/>
          <w:sz w:val="28"/>
          <w:szCs w:val="28"/>
        </w:rPr>
        <w:t>.1.3</w:t>
      </w:r>
      <w:r>
        <w:rPr>
          <w:rFonts w:hint="eastAsia" w:ascii="宋体" w:hAnsi="宋体" w:cs="宋体"/>
          <w:color w:val="000000" w:themeColor="text1"/>
          <w:kern w:val="0"/>
          <w:sz w:val="28"/>
          <w:szCs w:val="28"/>
        </w:rPr>
        <w:t xml:space="preserve"> 采购需求</w:t>
      </w:r>
    </w:p>
    <w:p w14:paraId="7A5EA121">
      <w:pPr>
        <w:spacing w:line="4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1.1.4</w:t>
      </w:r>
      <w:r>
        <w:rPr>
          <w:rFonts w:ascii="宋体" w:hAnsi="宋体" w:cs="宋体"/>
          <w:color w:val="000000" w:themeColor="text1"/>
          <w:kern w:val="0"/>
          <w:sz w:val="28"/>
          <w:szCs w:val="28"/>
        </w:rPr>
        <w:t>拟定的</w:t>
      </w:r>
      <w:r>
        <w:rPr>
          <w:rFonts w:hint="eastAsia" w:ascii="宋体" w:hAnsi="宋体" w:cs="宋体"/>
          <w:color w:val="000000" w:themeColor="text1"/>
          <w:kern w:val="0"/>
          <w:sz w:val="28"/>
          <w:szCs w:val="28"/>
        </w:rPr>
        <w:t>框架协议</w:t>
      </w:r>
      <w:r>
        <w:rPr>
          <w:rFonts w:ascii="宋体" w:hAnsi="宋体" w:cs="宋体"/>
          <w:color w:val="000000" w:themeColor="text1"/>
          <w:kern w:val="0"/>
          <w:sz w:val="28"/>
          <w:szCs w:val="28"/>
        </w:rPr>
        <w:t>文本</w:t>
      </w:r>
    </w:p>
    <w:p w14:paraId="65A35F49">
      <w:pPr>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1.1.5采购合同文本</w:t>
      </w:r>
    </w:p>
    <w:p w14:paraId="1E9AA151">
      <w:pPr>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1.1.6响应文件格式</w:t>
      </w:r>
    </w:p>
    <w:p w14:paraId="637B546E">
      <w:pPr>
        <w:spacing w:line="5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1.2.供应商应当按照征集文件的要求编制响应文件。响应文件应对征集文件提出的要求和条件作出实质性响应。供应商</w:t>
      </w:r>
      <w:r>
        <w:rPr>
          <w:rFonts w:ascii="宋体" w:hAnsi="宋体" w:cs="宋体"/>
          <w:color w:val="000000" w:themeColor="text1"/>
          <w:kern w:val="0"/>
          <w:sz w:val="28"/>
          <w:szCs w:val="28"/>
        </w:rPr>
        <w:t>应认真阅读和充分理解</w:t>
      </w:r>
      <w:r>
        <w:rPr>
          <w:rFonts w:hint="eastAsia" w:ascii="宋体" w:hAnsi="宋体" w:cs="宋体"/>
          <w:color w:val="000000" w:themeColor="text1"/>
          <w:kern w:val="0"/>
          <w:sz w:val="28"/>
          <w:szCs w:val="28"/>
        </w:rPr>
        <w:t>征集</w:t>
      </w:r>
      <w:r>
        <w:rPr>
          <w:rFonts w:ascii="宋体" w:hAnsi="宋体" w:cs="宋体"/>
          <w:color w:val="000000" w:themeColor="text1"/>
          <w:kern w:val="0"/>
          <w:sz w:val="28"/>
          <w:szCs w:val="28"/>
        </w:rPr>
        <w:t>文件中所有内容。如果</w:t>
      </w:r>
      <w:r>
        <w:rPr>
          <w:rFonts w:hint="eastAsia" w:ascii="宋体" w:hAnsi="宋体" w:cs="宋体"/>
          <w:color w:val="000000" w:themeColor="text1"/>
          <w:kern w:val="0"/>
          <w:sz w:val="28"/>
          <w:szCs w:val="28"/>
        </w:rPr>
        <w:t>征集人</w:t>
      </w:r>
      <w:r>
        <w:rPr>
          <w:rFonts w:ascii="宋体" w:hAnsi="宋体" w:cs="宋体"/>
          <w:color w:val="000000" w:themeColor="text1"/>
          <w:kern w:val="0"/>
          <w:sz w:val="28"/>
          <w:szCs w:val="28"/>
        </w:rPr>
        <w:t>没有满足征集文件的有关要求，其风险由供应商自行承担。</w:t>
      </w:r>
    </w:p>
    <w:p w14:paraId="022F54CA">
      <w:pPr>
        <w:spacing w:line="500" w:lineRule="exact"/>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1.3供应商获取征集文件后，应仔细阅研文件的所有内容，如有残缺、疑问等问题应在规定的时间内向交易中心提出，否则，由此引起的损失由供应商自行承担。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72FCDBA1">
      <w:pPr>
        <w:pStyle w:val="6"/>
        <w:spacing w:before="0" w:after="0" w:line="240" w:lineRule="auto"/>
        <w:ind w:firstLine="560" w:firstLineChars="200"/>
        <w:rPr>
          <w:b w:val="0"/>
          <w:bCs w:val="0"/>
          <w:color w:val="000000" w:themeColor="text1"/>
        </w:rPr>
      </w:pPr>
      <w:bookmarkStart w:id="29" w:name="_Toc513029211"/>
      <w:bookmarkStart w:id="30" w:name="_Toc462564070"/>
      <w:bookmarkStart w:id="31" w:name="_Toc16938527"/>
      <w:bookmarkStart w:id="32" w:name="_Toc20823283"/>
      <w:r>
        <w:rPr>
          <w:rFonts w:hint="eastAsia"/>
          <w:b w:val="0"/>
          <w:bCs w:val="0"/>
          <w:color w:val="000000" w:themeColor="text1"/>
        </w:rPr>
        <w:t>2、征集文件的澄清</w:t>
      </w:r>
      <w:bookmarkEnd w:id="29"/>
      <w:bookmarkEnd w:id="30"/>
      <w:bookmarkEnd w:id="31"/>
      <w:bookmarkEnd w:id="32"/>
    </w:p>
    <w:p w14:paraId="14CBF825">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2.1供应商可以要求征集人对征集文件中的有关问题进行答疑、澄清。</w:t>
      </w:r>
    </w:p>
    <w:p w14:paraId="5FFA80D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2.2供应商对征集文件如有疑问，须在法律规定的时间前按征集公告中的联系方式，以书面形式通知征集人和交易中心。未在规定时间提出疑问的，将不予答复。在此规定时间以前收到的、且需要做出澄清的问题，将在响应截止前以公告的形式刊登在“安徽省政府采购网” “更正公告”一栏，告知所有供应商。因此，供应商无论是否提出过澄清的要求，均应上网查看是否有关本项目的澄清说明。</w:t>
      </w:r>
    </w:p>
    <w:p w14:paraId="10A0EFF4">
      <w:pPr>
        <w:pStyle w:val="6"/>
        <w:spacing w:before="0" w:after="0" w:line="240" w:lineRule="auto"/>
        <w:ind w:firstLine="420" w:firstLineChars="150"/>
        <w:rPr>
          <w:b w:val="0"/>
          <w:bCs w:val="0"/>
          <w:color w:val="000000" w:themeColor="text1"/>
        </w:rPr>
      </w:pPr>
      <w:bookmarkStart w:id="33" w:name="_Toc513029212"/>
      <w:bookmarkStart w:id="34" w:name="_Toc20823284"/>
      <w:bookmarkStart w:id="35" w:name="_Toc16938528"/>
      <w:bookmarkStart w:id="36" w:name="_Toc462564071"/>
      <w:r>
        <w:rPr>
          <w:rFonts w:hint="eastAsia"/>
          <w:b w:val="0"/>
          <w:bCs w:val="0"/>
          <w:color w:val="000000" w:themeColor="text1"/>
        </w:rPr>
        <w:t>3、征集文件的修改</w:t>
      </w:r>
      <w:bookmarkEnd w:id="33"/>
      <w:bookmarkEnd w:id="34"/>
      <w:bookmarkEnd w:id="35"/>
      <w:bookmarkEnd w:id="36"/>
    </w:p>
    <w:p w14:paraId="0ABB41B6">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3.1 在响应文件提交截止时间前，征集人可以对征集文件进行修改。</w:t>
      </w:r>
    </w:p>
    <w:p w14:paraId="3EE0CBE7">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3.2 征集人有权按照法定的要求推迟响应文件提交截止日期和开启日期。</w:t>
      </w:r>
    </w:p>
    <w:p w14:paraId="652BCA3B">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3.3 征集文件的修改将在“安徽省政府采购网”公布，补充文件将作为征集文件的组成部分，并对供应商具有约束力。</w:t>
      </w:r>
    </w:p>
    <w:p w14:paraId="4B01DD01">
      <w:pPr>
        <w:spacing w:line="500" w:lineRule="exact"/>
        <w:ind w:firstLine="420" w:firstLineChars="150"/>
        <w:rPr>
          <w:rFonts w:ascii="Arial" w:hAnsi="Arial" w:eastAsia="黑体" w:cs="Arial"/>
          <w:color w:val="000000" w:themeColor="text1"/>
          <w:sz w:val="28"/>
          <w:szCs w:val="28"/>
        </w:rPr>
      </w:pPr>
      <w:r>
        <w:rPr>
          <w:rFonts w:hint="eastAsia" w:ascii="Arial" w:hAnsi="Arial" w:eastAsia="黑体" w:cs="Arial"/>
          <w:color w:val="000000" w:themeColor="text1"/>
          <w:sz w:val="28"/>
          <w:szCs w:val="28"/>
        </w:rPr>
        <w:t>4</w:t>
      </w:r>
      <w:r>
        <w:rPr>
          <w:rFonts w:hint="eastAsia" w:ascii="宋体" w:hAnsi="宋体" w:cs="宋体"/>
          <w:color w:val="000000" w:themeColor="text1"/>
          <w:kern w:val="0"/>
          <w:sz w:val="28"/>
          <w:szCs w:val="28"/>
        </w:rPr>
        <w:t>、电子开评标相关要求</w:t>
      </w:r>
    </w:p>
    <w:p w14:paraId="35F4BC14">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4.1注册登记</w:t>
      </w:r>
    </w:p>
    <w:p w14:paraId="12C72D2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4.1.1本项目只接受安徽省公共资源交易市场主体库（以下简称市场主体库）已审核通过的企业参与响应，企业通过铜陵市公共资源交易系统（以下简称系统）完善响应信息，未入库的潜在供应商请及时办理入库手续（具体详见铜陵市公共资源交易中心网站发布《安徽合肥（铜陵）公共资源交易中心诚信库申报（投标人）操作手册_v2.0》。（注：企业机构名称等相关信息调整时，须及时变更市场主体库信息）</w:t>
      </w:r>
    </w:p>
    <w:p w14:paraId="4425FC06">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4.1.2上传企业证件扫描件与基本信息</w:t>
      </w:r>
    </w:p>
    <w:p w14:paraId="4B4A05DA">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供应商在响应前应根据征集文件要求自行在市场主体库中上传所有资质信息及原件扫描件，基本信息必须与扫描件完全一致，如因未正确上传或未及时更新企业基本信息及证件扫描件，被认定无效标的，由供应商自行承担责任。</w:t>
      </w:r>
    </w:p>
    <w:p w14:paraId="2A27EFC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4.2办理电子数字证书（CA证书）</w:t>
      </w:r>
    </w:p>
    <w:p w14:paraId="17AD60AF">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4.2.1供应商应当取得和正确使用数字证书及电子印章，其在系统中所有操作都具有法律效力，并承担法律责任。如未办理的，请及时联系铜陵市公共资源交易中心二楼企业登记入库窗口咨询，采取现场或线上办理（咨询电话0562-5885809，0562-5885810）。供应商需通过数字证书对响应文件相关内容进行加密并电子签章，并妥善保管数字证书。</w:t>
      </w:r>
    </w:p>
    <w:p w14:paraId="57572DD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4.2.2.1数字证书到期后供应商必须及时在证书颁发机构网站续期，并对响应文件重新加密和电子签章，且在响应截止时间之前上传至系统；(续期会使证书编号不一致导致之前加密的电子标书无法解密，请务必在响应前提前办理续期手续或重新加密上传文件。)</w:t>
      </w:r>
    </w:p>
    <w:p w14:paraId="208278E5">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4.2.2.2数字证书因遗失、损坏、企业信息变更等情况，供应商应提前办理新证书。供应商在开标前务必确认数字证书是否正常使用，由于数字证书遗失、损坏、更换、续期等情况导致响应文件无法解密，由供应商自行承担责任。</w:t>
      </w:r>
    </w:p>
    <w:p w14:paraId="619826AD">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4.3下载征集文件</w:t>
      </w:r>
    </w:p>
    <w:p w14:paraId="45ACCD6F">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4.3.1供应商在征集文件获取时间内登录“徽采云”平台完善响应信息、下载征集文件和其他相关资料。如有补疑、答疑、澄清和修改，征集人在网上更正公告栏发布相关内容，供应商应及时上网查阅，通过系统下载最新的征集文件，据此制作响应文件。</w:t>
      </w:r>
    </w:p>
    <w:p w14:paraId="757BA2CF">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4.4制作响应文件</w:t>
      </w:r>
    </w:p>
    <w:p w14:paraId="1F337B1B">
      <w:pPr>
        <w:ind w:firstLine="420" w:firstLineChars="150"/>
        <w:rPr>
          <w:rFonts w:ascii="宋体" w:hAnsi="宋体" w:cs="宋体"/>
          <w:color w:val="000000" w:themeColor="text1"/>
          <w:kern w:val="0"/>
          <w:sz w:val="28"/>
          <w:szCs w:val="28"/>
        </w:rPr>
      </w:pPr>
      <w:r>
        <w:rPr>
          <w:rFonts w:hint="eastAsia" w:ascii="宋体" w:hAnsi="宋体" w:cs="宋体"/>
          <w:color w:val="000000" w:themeColor="text1"/>
          <w:kern w:val="0"/>
          <w:sz w:val="28"/>
          <w:szCs w:val="28"/>
        </w:rPr>
        <w:t>4.4.1供应商在安徽省政府采购网下载专区中的电子交易系统专区下的“徽采云客户端下载“响应文件制作软件”，通过软件制作、生成响应文件。技术问题咨询电话：95763。</w:t>
      </w:r>
    </w:p>
    <w:p w14:paraId="387AED97">
      <w:pPr>
        <w:ind w:firstLine="420" w:firstLineChars="150"/>
        <w:rPr>
          <w:rFonts w:ascii="宋体" w:hAnsi="宋体" w:cs="宋体"/>
          <w:color w:val="000000" w:themeColor="text1"/>
          <w:kern w:val="0"/>
          <w:sz w:val="28"/>
          <w:szCs w:val="28"/>
        </w:rPr>
      </w:pPr>
      <w:r>
        <w:rPr>
          <w:rFonts w:hint="eastAsia" w:ascii="宋体" w:hAnsi="宋体" w:cs="宋体"/>
          <w:color w:val="000000" w:themeColor="text1"/>
          <w:kern w:val="0"/>
          <w:sz w:val="28"/>
          <w:szCs w:val="28"/>
        </w:rPr>
        <w:t>4.4.2制作电子响应文件时请插上数字证书、打开响应文件制作软件、导入电子征集文件，按要求制作响应文件。</w:t>
      </w:r>
    </w:p>
    <w:p w14:paraId="4DB6280D">
      <w:pPr>
        <w:ind w:firstLine="420" w:firstLineChars="150"/>
        <w:rPr>
          <w:rFonts w:ascii="宋体" w:hAnsi="宋体" w:cs="宋体"/>
          <w:color w:val="000000" w:themeColor="text1"/>
          <w:kern w:val="0"/>
          <w:sz w:val="28"/>
          <w:szCs w:val="28"/>
        </w:rPr>
      </w:pPr>
      <w:r>
        <w:rPr>
          <w:rFonts w:hint="eastAsia" w:ascii="宋体" w:hAnsi="宋体" w:cs="宋体"/>
          <w:color w:val="000000" w:themeColor="text1"/>
          <w:kern w:val="0"/>
          <w:sz w:val="28"/>
          <w:szCs w:val="28"/>
        </w:rPr>
        <w:t>4.4.3响应文件中相关资格审查资料根据征集文件要求可用附件形式上传至响应文件制作软件中。</w:t>
      </w:r>
    </w:p>
    <w:p w14:paraId="5FADC36B">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4.5上传响应文件</w:t>
      </w:r>
    </w:p>
    <w:p w14:paraId="620210D5">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4.5.1供应商应提前做好电子响应文件上传工作并在系统进行确认，因操作错误可在系统中进行撤回。</w:t>
      </w:r>
    </w:p>
    <w:p w14:paraId="6EE2BB1C">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4.5.2经数字证书加密的响应文件必须在响应截止时间前完成上传，加密和解密必须使用同一数字证书,主锁和副锁因证书号不一致不可混用，如因电子锁携带错误导致无法解密的供应商自行承担责任。</w:t>
      </w:r>
    </w:p>
    <w:p w14:paraId="0B81EF4D">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4.6开标时出现下列情形之一的，拒绝其响应。</w:t>
      </w:r>
    </w:p>
    <w:p w14:paraId="086ED3B3">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4.6.1未在响应截止时间前通过系统提交电子响应文件的；</w:t>
      </w:r>
    </w:p>
    <w:p w14:paraId="55E8223A">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4.6.2供应商无法使用CA锁解密标书，且排除交易系统或解密设备故障的或标书显示携带病毒的，则拒绝企业继续响应。</w:t>
      </w:r>
    </w:p>
    <w:p w14:paraId="11C6D567">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4.6.3不符合征集文件其他要求或对电子开标活动造成严重后果的其它情形。</w:t>
      </w:r>
    </w:p>
    <w:p w14:paraId="6DD70700">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4.7意外情况的处理</w:t>
      </w:r>
    </w:p>
    <w:p w14:paraId="6F9012AB">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4.7.1出现下列情形导致交易系统无法正常运行，或者无法保证响应过程的公平、公正和信息安全时，除供应商责任外，其余各方当事人免责：</w:t>
      </w:r>
    </w:p>
    <w:p w14:paraId="4C07CDE2">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4.7.1.1网络服务器发生故障而无法访问网站或无法使用网上招投标系统的； </w:t>
      </w:r>
    </w:p>
    <w:p w14:paraId="6F06968D">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4.7.1.2网上招投标系统的软件或网络数据库出现错误，不能进行正常操作的；</w:t>
      </w:r>
    </w:p>
    <w:p w14:paraId="7FB224A8">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4.7.1.3网上招投标系统发现有安全漏洞，有潜在泄密危险的；</w:t>
      </w:r>
    </w:p>
    <w:p w14:paraId="6CF626E4">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4.7.1.4计算机病毒发作导致系统无法正常运行的；</w:t>
      </w:r>
    </w:p>
    <w:p w14:paraId="1C926857">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4.7.1.5电力系统发生故障导致网上招投标系统无法运行的；</w:t>
      </w:r>
    </w:p>
    <w:p w14:paraId="5E23DC6E">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4.7.1.6如因征集人CA锁解密失败或交易系统问题，导致所有供应商均无法解密电子标书的；</w:t>
      </w:r>
    </w:p>
    <w:p w14:paraId="7424DC1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4.7.1.7其他无法保证采购过程公平、公正和信息安全的。</w:t>
      </w:r>
    </w:p>
    <w:p w14:paraId="158E0BB6">
      <w:pPr>
        <w:spacing w:line="360" w:lineRule="auto"/>
        <w:ind w:firstLine="549"/>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四、供应商</w:t>
      </w:r>
    </w:p>
    <w:p w14:paraId="53E9E7A3">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1、响应费用：</w:t>
      </w:r>
      <w:r>
        <w:rPr>
          <w:rFonts w:hint="eastAsia" w:ascii="宋体" w:hAnsi="宋体" w:cs="华文仿宋"/>
          <w:color w:val="000000" w:themeColor="text1"/>
          <w:sz w:val="28"/>
          <w:szCs w:val="28"/>
        </w:rPr>
        <w:t>免收代理费、工本费和响应保证金</w:t>
      </w:r>
      <w:r>
        <w:rPr>
          <w:rFonts w:hint="eastAsia" w:ascii="宋体" w:hAnsi="宋体" w:cs="宋体"/>
          <w:color w:val="000000" w:themeColor="text1"/>
          <w:kern w:val="0"/>
          <w:sz w:val="28"/>
          <w:szCs w:val="28"/>
        </w:rPr>
        <w:t>。</w:t>
      </w:r>
    </w:p>
    <w:p w14:paraId="7F5E85AC">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2、合格的供应商</w:t>
      </w:r>
    </w:p>
    <w:p w14:paraId="75E17858">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2.1合格的供应商应当满足本项目征集文件所载明须满足的最低条件。</w:t>
      </w:r>
    </w:p>
    <w:p w14:paraId="500B9742">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2.2供应商之间如果存在下列情形之一的，不得同时参加同一标段（包别）或者不分标段（包别）的同一项目响应，相关供应商均按无效标进行处理：</w:t>
      </w:r>
    </w:p>
    <w:p w14:paraId="734507B7">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2.2.1法定代表人为同一个人的两个及两个以上法人；</w:t>
      </w:r>
    </w:p>
    <w:p w14:paraId="1FEA1DE1">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2.2.2母公司、全资子公司及其控股公司；</w:t>
      </w:r>
    </w:p>
    <w:p w14:paraId="01DE2780">
      <w:pPr>
        <w:spacing w:line="360" w:lineRule="auto"/>
        <w:ind w:firstLine="549"/>
        <w:rPr>
          <w:rFonts w:ascii="宋体" w:hAnsi="宋体" w:cs="宋体"/>
          <w:color w:val="000000" w:themeColor="text1"/>
          <w:kern w:val="0"/>
          <w:sz w:val="28"/>
          <w:szCs w:val="28"/>
        </w:rPr>
      </w:pPr>
      <w:r>
        <w:rPr>
          <w:rFonts w:hint="eastAsia" w:ascii="宋体" w:hAnsi="宋体" w:cs="宋体"/>
          <w:color w:val="000000" w:themeColor="text1"/>
          <w:kern w:val="0"/>
          <w:sz w:val="28"/>
          <w:szCs w:val="28"/>
        </w:rPr>
        <w:t>2.2.3法律和行政法规规定的其他情形。</w:t>
      </w:r>
    </w:p>
    <w:p w14:paraId="720199F4">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3、勘察现场</w:t>
      </w:r>
    </w:p>
    <w:p w14:paraId="4F29946F">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3.1供应商应自行对服务场地和周围环境进行勘察，以获取编制响应文件和签署合同所需的资料。勘察现场的联系方式见征集公告。</w:t>
      </w:r>
    </w:p>
    <w:p w14:paraId="7D027E11">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3.2供应商未到现场实地踏勘的，入围后签订合同时和履约过程中，不得以不完全了解现场情况为由，提出任何形式的增加合同价款或索赔的要求。</w:t>
      </w:r>
    </w:p>
    <w:p w14:paraId="3A63F743">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3.3除非有特殊要求，征集文件不单独提供现场的自然环境、气候条件、公用设施等情况，供应商被视为熟悉上述与履行合同有关的一切情况。</w:t>
      </w:r>
    </w:p>
    <w:p w14:paraId="3FBCCB13">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4、知识产权</w:t>
      </w:r>
    </w:p>
    <w:p w14:paraId="2345A213">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4.1供应商须保证征集人在中华人民共和国境内使用响应货物、资料、技术、服务或其任何一部分时，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征集人损失的，供应商须承担全部赔偿责任。</w:t>
      </w:r>
    </w:p>
    <w:p w14:paraId="0D839EB4">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4.2供应商如在项目实施过程中采用自有知识成果，须在响应文件中声明，并提供相关知识产权证明文件。使用该知识成果后，供应商须提供开发接口和开发手册等技术文档。</w:t>
      </w:r>
    </w:p>
    <w:p w14:paraId="2C5FE1C3">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5、纪律与保密</w:t>
      </w:r>
    </w:p>
    <w:p w14:paraId="2A762D38">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5.1供应商的响应行为应遵守中国的有关法律、法规和规章。</w:t>
      </w:r>
    </w:p>
    <w:p w14:paraId="2018A45E">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5.2供应商不得相互串通响应报价，不得妨碍其他供应商的公平竞争，不得损害征集人或其他供应商的合法权益，供应商不得以向征集人、评审小组成员行贿或者采取其他不正当手段谋取成交。</w:t>
      </w:r>
    </w:p>
    <w:p w14:paraId="431E984D">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 有下列情形之一的，视为供应商相互串通响应：</w:t>
      </w:r>
    </w:p>
    <w:p w14:paraId="0A88C3E1">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5.2.1.1不同供应商的响应文件由同一单位或者个人编制；</w:t>
      </w:r>
    </w:p>
    <w:p w14:paraId="4784CB93">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5.2.1.2不同供应商委托同一单位或者个人办理响应事宜，或提交的电子响应文件的制作机器码一致的；</w:t>
      </w:r>
    </w:p>
    <w:p w14:paraId="2D34C394">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5.2.1.3</w:t>
      </w:r>
      <w:r>
        <w:rPr>
          <w:rFonts w:ascii="宋体" w:hAnsi="宋体" w:cs="华文仿宋"/>
          <w:color w:val="000000" w:themeColor="text1"/>
          <w:sz w:val="28"/>
          <w:szCs w:val="28"/>
        </w:rPr>
        <w:t>不同供应商的响应文件载明的项目管理成员或者联系人员为同一人</w:t>
      </w:r>
      <w:r>
        <w:rPr>
          <w:rFonts w:hint="eastAsia" w:ascii="宋体" w:hAnsi="宋体" w:cs="华文仿宋"/>
          <w:color w:val="000000" w:themeColor="text1"/>
          <w:sz w:val="28"/>
          <w:szCs w:val="28"/>
        </w:rPr>
        <w:t>；</w:t>
      </w:r>
    </w:p>
    <w:p w14:paraId="545B1B68">
      <w:pPr>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5.2.1.4不同供应商的响应文件相互混装；</w:t>
      </w:r>
    </w:p>
    <w:p w14:paraId="2248D402">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5.2.1.5不同供应商的响应文件异常一致或者响应报价是呈规律性差异；</w:t>
      </w:r>
    </w:p>
    <w:p w14:paraId="1AD95E27">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5.2.1.6 法律法规规定的其它情形。</w:t>
      </w:r>
    </w:p>
    <w:p w14:paraId="0C3F1CB4">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6.政府采购政策（包括但不限于下列具体政策要求）</w:t>
      </w:r>
    </w:p>
    <w:p w14:paraId="1983537B">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6.1采购本国货物和服务</w:t>
      </w:r>
    </w:p>
    <w:p w14:paraId="1A9050AD">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6.1.1政府采购应当采购本国货物和服务。但有《中华人民共和国政府采购法》第十条规定情形的除外。</w:t>
      </w:r>
    </w:p>
    <w:p w14:paraId="478D2B48">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6.1.2本项目如接受非本国货物、工程、服务参与投标，则具体要求见《投标人须知前附表》和第三章《采购需求》。</w:t>
      </w:r>
    </w:p>
    <w:p w14:paraId="0EE5D082">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365号）、《关于规范公立医疗机构政府采购进口产品的补充通知》（皖财购函〔2022〕101号）等。</w:t>
      </w:r>
    </w:p>
    <w:p w14:paraId="23D1D783">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6.2中小企业、监狱企业及残疾人福利性单位</w:t>
      </w:r>
    </w:p>
    <w:p w14:paraId="34936914">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6.2.1中小企业定义：</w:t>
      </w:r>
    </w:p>
    <w:p w14:paraId="1A5968C8">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38927EA">
      <w:pPr>
        <w:pStyle w:val="117"/>
        <w:ind w:firstLine="560" w:firstLineChars="200"/>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中小微企业划分标准</w:t>
      </w:r>
    </w:p>
    <w:p w14:paraId="5780E824">
      <w:pPr>
        <w:pStyle w:val="117"/>
        <w:jc w:val="center"/>
        <w:rPr>
          <w:rFonts w:ascii="宋体" w:hAnsi="宋体" w:cs="华文仿宋"/>
          <w:color w:val="000000" w:themeColor="text1"/>
          <w:sz w:val="28"/>
          <w:szCs w:val="28"/>
        </w:rPr>
      </w:pP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04"/>
        <w:gridCol w:w="1097"/>
        <w:gridCol w:w="1295"/>
        <w:gridCol w:w="1561"/>
        <w:gridCol w:w="1389"/>
        <w:gridCol w:w="965"/>
      </w:tblGrid>
      <w:tr w14:paraId="20E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156C4C84">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行业名称</w:t>
            </w:r>
          </w:p>
        </w:tc>
        <w:tc>
          <w:tcPr>
            <w:tcW w:w="1104" w:type="dxa"/>
            <w:vAlign w:val="center"/>
          </w:tcPr>
          <w:p w14:paraId="34A1AB79">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指标名称</w:t>
            </w:r>
          </w:p>
        </w:tc>
        <w:tc>
          <w:tcPr>
            <w:tcW w:w="1097" w:type="dxa"/>
            <w:vAlign w:val="center"/>
          </w:tcPr>
          <w:p w14:paraId="5A77834C">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计量单位</w:t>
            </w:r>
          </w:p>
        </w:tc>
        <w:tc>
          <w:tcPr>
            <w:tcW w:w="1295" w:type="dxa"/>
            <w:vAlign w:val="center"/>
          </w:tcPr>
          <w:p w14:paraId="524EFCBB">
            <w:pPr>
              <w:widowControl/>
              <w:spacing w:after="113" w:line="180" w:lineRule="atLeast"/>
              <w:ind w:firstLine="420"/>
              <w:rPr>
                <w:rFonts w:ascii="宋体" w:hAnsi="宋体" w:cs="华文仿宋"/>
                <w:color w:val="000000" w:themeColor="text1"/>
                <w:sz w:val="28"/>
                <w:szCs w:val="28"/>
              </w:rPr>
            </w:pPr>
            <w:r>
              <w:rPr>
                <w:rFonts w:hint="eastAsia" w:ascii="宋体" w:hAnsi="宋体" w:cs="华文仿宋"/>
                <w:color w:val="000000" w:themeColor="text1"/>
                <w:sz w:val="28"/>
                <w:szCs w:val="28"/>
              </w:rPr>
              <w:t>大型</w:t>
            </w:r>
          </w:p>
        </w:tc>
        <w:tc>
          <w:tcPr>
            <w:tcW w:w="1561" w:type="dxa"/>
            <w:vAlign w:val="center"/>
          </w:tcPr>
          <w:p w14:paraId="75F9848F">
            <w:pPr>
              <w:widowControl/>
              <w:spacing w:after="113" w:line="180" w:lineRule="atLeast"/>
              <w:ind w:firstLine="420"/>
              <w:rPr>
                <w:rFonts w:ascii="宋体" w:hAnsi="宋体" w:cs="华文仿宋"/>
                <w:color w:val="000000" w:themeColor="text1"/>
                <w:sz w:val="28"/>
                <w:szCs w:val="28"/>
              </w:rPr>
            </w:pPr>
            <w:r>
              <w:rPr>
                <w:rFonts w:hint="eastAsia" w:ascii="宋体" w:hAnsi="宋体" w:cs="华文仿宋"/>
                <w:color w:val="000000" w:themeColor="text1"/>
                <w:sz w:val="28"/>
                <w:szCs w:val="28"/>
              </w:rPr>
              <w:t>中型</w:t>
            </w:r>
          </w:p>
        </w:tc>
        <w:tc>
          <w:tcPr>
            <w:tcW w:w="1389" w:type="dxa"/>
            <w:vAlign w:val="center"/>
          </w:tcPr>
          <w:p w14:paraId="1BAB381E">
            <w:pPr>
              <w:widowControl/>
              <w:spacing w:after="113" w:line="180" w:lineRule="atLeast"/>
              <w:ind w:firstLine="420"/>
              <w:rPr>
                <w:rFonts w:ascii="宋体" w:hAnsi="宋体" w:cs="华文仿宋"/>
                <w:color w:val="000000" w:themeColor="text1"/>
                <w:sz w:val="28"/>
                <w:szCs w:val="28"/>
              </w:rPr>
            </w:pPr>
            <w:r>
              <w:rPr>
                <w:rFonts w:hint="eastAsia" w:ascii="宋体" w:hAnsi="宋体" w:cs="华文仿宋"/>
                <w:color w:val="000000" w:themeColor="text1"/>
                <w:sz w:val="28"/>
                <w:szCs w:val="28"/>
              </w:rPr>
              <w:t>小型</w:t>
            </w:r>
          </w:p>
        </w:tc>
        <w:tc>
          <w:tcPr>
            <w:tcW w:w="965" w:type="dxa"/>
            <w:vAlign w:val="center"/>
          </w:tcPr>
          <w:p w14:paraId="6645295B">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微型</w:t>
            </w:r>
          </w:p>
        </w:tc>
      </w:tr>
      <w:tr w14:paraId="539D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Align w:val="center"/>
          </w:tcPr>
          <w:p w14:paraId="2FA405C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农、林、牧、渔业</w:t>
            </w:r>
          </w:p>
        </w:tc>
        <w:tc>
          <w:tcPr>
            <w:tcW w:w="1104" w:type="dxa"/>
            <w:vAlign w:val="center"/>
          </w:tcPr>
          <w:p w14:paraId="6791C96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7FF2FDB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1AD3E4B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Y≥20000</w:t>
            </w:r>
          </w:p>
        </w:tc>
        <w:tc>
          <w:tcPr>
            <w:tcW w:w="1561" w:type="dxa"/>
            <w:vAlign w:val="center"/>
          </w:tcPr>
          <w:p w14:paraId="054F207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500≤Y&lt;20000</w:t>
            </w:r>
          </w:p>
        </w:tc>
        <w:tc>
          <w:tcPr>
            <w:tcW w:w="1389" w:type="dxa"/>
            <w:vAlign w:val="center"/>
          </w:tcPr>
          <w:p w14:paraId="5221A685">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50≤Y&lt;500</w:t>
            </w:r>
          </w:p>
        </w:tc>
        <w:tc>
          <w:tcPr>
            <w:tcW w:w="965" w:type="dxa"/>
            <w:vAlign w:val="center"/>
          </w:tcPr>
          <w:p w14:paraId="588484B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Y&lt;50</w:t>
            </w:r>
          </w:p>
        </w:tc>
      </w:tr>
      <w:tr w14:paraId="76A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34795EB6">
            <w:pPr>
              <w:pStyle w:val="117"/>
              <w:jc w:val="center"/>
              <w:rPr>
                <w:rFonts w:ascii="宋体" w:hAnsi="宋体" w:cs="华文仿宋"/>
                <w:color w:val="000000" w:themeColor="text1"/>
                <w:sz w:val="28"/>
                <w:szCs w:val="28"/>
              </w:rPr>
            </w:pPr>
            <w:r>
              <w:rPr>
                <w:rFonts w:hint="eastAsia" w:ascii="宋体" w:hAnsi="宋体" w:cs="华文仿宋"/>
                <w:color w:val="000000" w:themeColor="text1"/>
                <w:sz w:val="28"/>
                <w:szCs w:val="28"/>
              </w:rPr>
              <w:t>工业★</w:t>
            </w:r>
          </w:p>
        </w:tc>
        <w:tc>
          <w:tcPr>
            <w:tcW w:w="1104" w:type="dxa"/>
            <w:vAlign w:val="center"/>
          </w:tcPr>
          <w:p w14:paraId="43D7CE8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7BBDBF5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2D37537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X≥1000</w:t>
            </w:r>
          </w:p>
        </w:tc>
        <w:tc>
          <w:tcPr>
            <w:tcW w:w="1561" w:type="dxa"/>
            <w:vAlign w:val="center"/>
          </w:tcPr>
          <w:p w14:paraId="14E4159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300≤X&lt;1000</w:t>
            </w:r>
          </w:p>
        </w:tc>
        <w:tc>
          <w:tcPr>
            <w:tcW w:w="1389" w:type="dxa"/>
            <w:vAlign w:val="center"/>
          </w:tcPr>
          <w:p w14:paraId="7814AFC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20≤X&lt;300</w:t>
            </w:r>
          </w:p>
        </w:tc>
        <w:tc>
          <w:tcPr>
            <w:tcW w:w="965" w:type="dxa"/>
            <w:vAlign w:val="center"/>
          </w:tcPr>
          <w:p w14:paraId="247ED96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X&lt;20</w:t>
            </w:r>
          </w:p>
        </w:tc>
      </w:tr>
      <w:tr w14:paraId="3F75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262CBECC">
            <w:pPr>
              <w:pStyle w:val="117"/>
              <w:jc w:val="center"/>
              <w:rPr>
                <w:rFonts w:ascii="宋体" w:hAnsi="宋体" w:cs="华文仿宋"/>
                <w:color w:val="000000" w:themeColor="text1"/>
                <w:sz w:val="28"/>
                <w:szCs w:val="28"/>
              </w:rPr>
            </w:pPr>
          </w:p>
        </w:tc>
        <w:tc>
          <w:tcPr>
            <w:tcW w:w="1104" w:type="dxa"/>
            <w:vAlign w:val="center"/>
          </w:tcPr>
          <w:p w14:paraId="5AFE967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5B227E5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691F32B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Y≥40000</w:t>
            </w:r>
          </w:p>
        </w:tc>
        <w:tc>
          <w:tcPr>
            <w:tcW w:w="1561" w:type="dxa"/>
            <w:vAlign w:val="center"/>
          </w:tcPr>
          <w:p w14:paraId="63CEC6C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2000≤Y&lt;40000</w:t>
            </w:r>
          </w:p>
        </w:tc>
        <w:tc>
          <w:tcPr>
            <w:tcW w:w="1389" w:type="dxa"/>
            <w:vAlign w:val="center"/>
          </w:tcPr>
          <w:p w14:paraId="17D7364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300≤Y&lt;2000</w:t>
            </w:r>
          </w:p>
        </w:tc>
        <w:tc>
          <w:tcPr>
            <w:tcW w:w="965" w:type="dxa"/>
            <w:vAlign w:val="center"/>
          </w:tcPr>
          <w:p w14:paraId="1F5D682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Y&lt;300</w:t>
            </w:r>
          </w:p>
        </w:tc>
      </w:tr>
      <w:tr w14:paraId="7438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485F584C">
            <w:pPr>
              <w:pStyle w:val="117"/>
              <w:jc w:val="center"/>
              <w:rPr>
                <w:rFonts w:ascii="宋体" w:hAnsi="宋体" w:cs="华文仿宋"/>
                <w:color w:val="000000" w:themeColor="text1"/>
                <w:sz w:val="28"/>
                <w:szCs w:val="28"/>
              </w:rPr>
            </w:pPr>
            <w:r>
              <w:rPr>
                <w:rFonts w:hint="eastAsia" w:ascii="宋体" w:hAnsi="宋体" w:cs="华文仿宋"/>
                <w:color w:val="000000" w:themeColor="text1"/>
                <w:sz w:val="28"/>
                <w:szCs w:val="28"/>
              </w:rPr>
              <w:t>建筑业</w:t>
            </w:r>
          </w:p>
        </w:tc>
        <w:tc>
          <w:tcPr>
            <w:tcW w:w="1104" w:type="dxa"/>
            <w:vAlign w:val="center"/>
          </w:tcPr>
          <w:p w14:paraId="6544F07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7745242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1F2B077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Y≥80000</w:t>
            </w:r>
          </w:p>
        </w:tc>
        <w:tc>
          <w:tcPr>
            <w:tcW w:w="1561" w:type="dxa"/>
            <w:vAlign w:val="center"/>
          </w:tcPr>
          <w:p w14:paraId="13DDCB1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6000≤Y&lt;80000</w:t>
            </w:r>
          </w:p>
        </w:tc>
        <w:tc>
          <w:tcPr>
            <w:tcW w:w="1389" w:type="dxa"/>
            <w:vAlign w:val="center"/>
          </w:tcPr>
          <w:p w14:paraId="3F14119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300≤Y&lt;6000</w:t>
            </w:r>
          </w:p>
        </w:tc>
        <w:tc>
          <w:tcPr>
            <w:tcW w:w="965" w:type="dxa"/>
            <w:vAlign w:val="center"/>
          </w:tcPr>
          <w:p w14:paraId="5EB0A1A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Y&lt;300</w:t>
            </w:r>
          </w:p>
        </w:tc>
      </w:tr>
      <w:tr w14:paraId="5E96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55994DAA">
            <w:pPr>
              <w:pStyle w:val="117"/>
              <w:jc w:val="center"/>
              <w:rPr>
                <w:rFonts w:ascii="宋体" w:hAnsi="宋体" w:cs="华文仿宋"/>
                <w:color w:val="000000" w:themeColor="text1"/>
                <w:sz w:val="28"/>
                <w:szCs w:val="28"/>
              </w:rPr>
            </w:pPr>
          </w:p>
        </w:tc>
        <w:tc>
          <w:tcPr>
            <w:tcW w:w="1104" w:type="dxa"/>
            <w:vAlign w:val="center"/>
          </w:tcPr>
          <w:p w14:paraId="1488EBF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资产总额(Z)</w:t>
            </w:r>
          </w:p>
        </w:tc>
        <w:tc>
          <w:tcPr>
            <w:tcW w:w="1097" w:type="dxa"/>
            <w:vAlign w:val="center"/>
          </w:tcPr>
          <w:p w14:paraId="2C9CE34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2E0F570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Z≥80000</w:t>
            </w:r>
          </w:p>
        </w:tc>
        <w:tc>
          <w:tcPr>
            <w:tcW w:w="1561" w:type="dxa"/>
            <w:vAlign w:val="center"/>
          </w:tcPr>
          <w:p w14:paraId="68BBBF7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5000≤Z&lt;80000</w:t>
            </w:r>
          </w:p>
        </w:tc>
        <w:tc>
          <w:tcPr>
            <w:tcW w:w="1389" w:type="dxa"/>
            <w:vAlign w:val="center"/>
          </w:tcPr>
          <w:p w14:paraId="2A99E6F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300≤Z&lt;5000</w:t>
            </w:r>
          </w:p>
        </w:tc>
        <w:tc>
          <w:tcPr>
            <w:tcW w:w="965" w:type="dxa"/>
            <w:vAlign w:val="center"/>
          </w:tcPr>
          <w:p w14:paraId="22FFB7B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Z&lt;300</w:t>
            </w:r>
          </w:p>
        </w:tc>
      </w:tr>
      <w:tr w14:paraId="289E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5F51943A">
            <w:pPr>
              <w:pStyle w:val="117"/>
              <w:jc w:val="center"/>
              <w:rPr>
                <w:rFonts w:ascii="宋体" w:hAnsi="宋体" w:cs="华文仿宋"/>
                <w:color w:val="000000" w:themeColor="text1"/>
                <w:sz w:val="28"/>
                <w:szCs w:val="28"/>
              </w:rPr>
            </w:pPr>
            <w:r>
              <w:rPr>
                <w:rFonts w:hint="eastAsia" w:ascii="宋体" w:hAnsi="宋体" w:cs="华文仿宋"/>
                <w:color w:val="000000" w:themeColor="text1"/>
                <w:sz w:val="28"/>
                <w:szCs w:val="28"/>
              </w:rPr>
              <w:t>批发业</w:t>
            </w:r>
          </w:p>
        </w:tc>
        <w:tc>
          <w:tcPr>
            <w:tcW w:w="1104" w:type="dxa"/>
            <w:vAlign w:val="center"/>
          </w:tcPr>
          <w:p w14:paraId="6546AAB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16A427B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46B84E7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X≥200</w:t>
            </w:r>
          </w:p>
        </w:tc>
        <w:tc>
          <w:tcPr>
            <w:tcW w:w="1561" w:type="dxa"/>
            <w:vAlign w:val="center"/>
          </w:tcPr>
          <w:p w14:paraId="0064A8D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20≤X&lt;200</w:t>
            </w:r>
          </w:p>
        </w:tc>
        <w:tc>
          <w:tcPr>
            <w:tcW w:w="1389" w:type="dxa"/>
            <w:vAlign w:val="center"/>
          </w:tcPr>
          <w:p w14:paraId="6BB9945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5≤X&lt;20</w:t>
            </w:r>
          </w:p>
        </w:tc>
        <w:tc>
          <w:tcPr>
            <w:tcW w:w="965" w:type="dxa"/>
            <w:vAlign w:val="center"/>
          </w:tcPr>
          <w:p w14:paraId="62C2DF9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X&lt;5</w:t>
            </w:r>
          </w:p>
        </w:tc>
      </w:tr>
      <w:tr w14:paraId="3A96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17D1D621">
            <w:pPr>
              <w:pStyle w:val="117"/>
              <w:jc w:val="center"/>
              <w:rPr>
                <w:rFonts w:ascii="宋体" w:hAnsi="宋体" w:cs="华文仿宋"/>
                <w:color w:val="000000" w:themeColor="text1"/>
                <w:sz w:val="28"/>
                <w:szCs w:val="28"/>
              </w:rPr>
            </w:pPr>
          </w:p>
        </w:tc>
        <w:tc>
          <w:tcPr>
            <w:tcW w:w="1104" w:type="dxa"/>
            <w:vAlign w:val="center"/>
          </w:tcPr>
          <w:p w14:paraId="718DFC9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415EDF7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4C17C36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Y≥40000</w:t>
            </w:r>
          </w:p>
        </w:tc>
        <w:tc>
          <w:tcPr>
            <w:tcW w:w="1561" w:type="dxa"/>
            <w:vAlign w:val="center"/>
          </w:tcPr>
          <w:p w14:paraId="7E2714A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5000≤Y&lt;40000</w:t>
            </w:r>
          </w:p>
        </w:tc>
        <w:tc>
          <w:tcPr>
            <w:tcW w:w="1389" w:type="dxa"/>
            <w:vAlign w:val="center"/>
          </w:tcPr>
          <w:p w14:paraId="7146824A">
            <w:pPr>
              <w:widowControl/>
              <w:spacing w:after="113" w:line="180" w:lineRule="atLeast"/>
              <w:rPr>
                <w:rFonts w:ascii="宋体" w:hAnsi="宋体" w:cs="华文仿宋"/>
                <w:color w:val="000000" w:themeColor="text1"/>
                <w:sz w:val="28"/>
                <w:szCs w:val="28"/>
              </w:rPr>
            </w:pPr>
            <w:r>
              <w:rPr>
                <w:rFonts w:hint="eastAsia" w:ascii="宋体" w:hAnsi="宋体" w:cs="华文仿宋"/>
                <w:color w:val="000000" w:themeColor="text1"/>
                <w:sz w:val="28"/>
                <w:szCs w:val="28"/>
              </w:rPr>
              <w:t>1000≤Y&lt;5000</w:t>
            </w:r>
          </w:p>
        </w:tc>
        <w:tc>
          <w:tcPr>
            <w:tcW w:w="965" w:type="dxa"/>
            <w:vAlign w:val="center"/>
          </w:tcPr>
          <w:p w14:paraId="26E35ED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Y&lt;1000</w:t>
            </w:r>
          </w:p>
        </w:tc>
      </w:tr>
      <w:tr w14:paraId="10E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07E486B0">
            <w:pPr>
              <w:pStyle w:val="117"/>
              <w:jc w:val="center"/>
              <w:rPr>
                <w:rFonts w:ascii="宋体" w:hAnsi="宋体" w:cs="华文仿宋"/>
                <w:color w:val="000000" w:themeColor="text1"/>
                <w:sz w:val="28"/>
                <w:szCs w:val="28"/>
              </w:rPr>
            </w:pPr>
            <w:r>
              <w:rPr>
                <w:rFonts w:hint="eastAsia" w:ascii="宋体" w:hAnsi="宋体" w:cs="华文仿宋"/>
                <w:color w:val="000000" w:themeColor="text1"/>
                <w:sz w:val="28"/>
                <w:szCs w:val="28"/>
              </w:rPr>
              <w:t>零售业</w:t>
            </w:r>
          </w:p>
        </w:tc>
        <w:tc>
          <w:tcPr>
            <w:tcW w:w="1104" w:type="dxa"/>
            <w:vAlign w:val="center"/>
          </w:tcPr>
          <w:p w14:paraId="03AE64C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5BFB7C1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1BE6E64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2651AEA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50≤X&lt;300</w:t>
            </w:r>
          </w:p>
        </w:tc>
        <w:tc>
          <w:tcPr>
            <w:tcW w:w="1389" w:type="dxa"/>
            <w:vAlign w:val="center"/>
          </w:tcPr>
          <w:p w14:paraId="1855889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10≤X&lt;50</w:t>
            </w:r>
          </w:p>
        </w:tc>
        <w:tc>
          <w:tcPr>
            <w:tcW w:w="965" w:type="dxa"/>
            <w:vAlign w:val="center"/>
          </w:tcPr>
          <w:p w14:paraId="7DE6942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7A5E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56642672">
            <w:pPr>
              <w:pStyle w:val="117"/>
              <w:jc w:val="center"/>
              <w:rPr>
                <w:rFonts w:ascii="宋体" w:hAnsi="宋体" w:cs="华文仿宋"/>
                <w:color w:val="000000" w:themeColor="text1"/>
                <w:sz w:val="28"/>
                <w:szCs w:val="28"/>
              </w:rPr>
            </w:pPr>
          </w:p>
        </w:tc>
        <w:tc>
          <w:tcPr>
            <w:tcW w:w="1104" w:type="dxa"/>
            <w:vAlign w:val="center"/>
          </w:tcPr>
          <w:p w14:paraId="2B17AF4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7D7177A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2ABAB2F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Y≥20000</w:t>
            </w:r>
          </w:p>
        </w:tc>
        <w:tc>
          <w:tcPr>
            <w:tcW w:w="1561" w:type="dxa"/>
            <w:vAlign w:val="center"/>
          </w:tcPr>
          <w:p w14:paraId="223760F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500≤Y&lt;20000</w:t>
            </w:r>
          </w:p>
        </w:tc>
        <w:tc>
          <w:tcPr>
            <w:tcW w:w="1389" w:type="dxa"/>
            <w:vAlign w:val="center"/>
          </w:tcPr>
          <w:p w14:paraId="70C85ED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100≤Y&lt;500</w:t>
            </w:r>
          </w:p>
        </w:tc>
        <w:tc>
          <w:tcPr>
            <w:tcW w:w="965" w:type="dxa"/>
            <w:vAlign w:val="center"/>
          </w:tcPr>
          <w:p w14:paraId="7F468A0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42DE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11" w:type="dxa"/>
            <w:vMerge w:val="restart"/>
            <w:vAlign w:val="center"/>
          </w:tcPr>
          <w:p w14:paraId="24E04E6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交通运输业★</w:t>
            </w:r>
          </w:p>
        </w:tc>
        <w:tc>
          <w:tcPr>
            <w:tcW w:w="1104" w:type="dxa"/>
            <w:vAlign w:val="center"/>
          </w:tcPr>
          <w:p w14:paraId="7E7D888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4493BC4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2DB64D2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X≥1000</w:t>
            </w:r>
          </w:p>
        </w:tc>
        <w:tc>
          <w:tcPr>
            <w:tcW w:w="1561" w:type="dxa"/>
            <w:vAlign w:val="center"/>
          </w:tcPr>
          <w:p w14:paraId="5FE44E0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300≤X&lt;1000</w:t>
            </w:r>
          </w:p>
        </w:tc>
        <w:tc>
          <w:tcPr>
            <w:tcW w:w="1389" w:type="dxa"/>
            <w:vAlign w:val="center"/>
          </w:tcPr>
          <w:p w14:paraId="0EF8285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20≤X&lt;300</w:t>
            </w:r>
          </w:p>
        </w:tc>
        <w:tc>
          <w:tcPr>
            <w:tcW w:w="965" w:type="dxa"/>
            <w:vAlign w:val="center"/>
          </w:tcPr>
          <w:p w14:paraId="10D2D63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X&lt;20</w:t>
            </w:r>
          </w:p>
        </w:tc>
      </w:tr>
      <w:tr w14:paraId="5BE2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2ED8A385">
            <w:pPr>
              <w:widowControl/>
              <w:spacing w:after="113" w:line="180" w:lineRule="atLeast"/>
              <w:jc w:val="center"/>
              <w:rPr>
                <w:rFonts w:ascii="宋体" w:hAnsi="宋体" w:cs="华文仿宋"/>
                <w:color w:val="000000" w:themeColor="text1"/>
                <w:sz w:val="28"/>
                <w:szCs w:val="28"/>
              </w:rPr>
            </w:pPr>
          </w:p>
        </w:tc>
        <w:tc>
          <w:tcPr>
            <w:tcW w:w="1104" w:type="dxa"/>
            <w:vAlign w:val="center"/>
          </w:tcPr>
          <w:p w14:paraId="15AB81B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7768EB2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00C117A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Y≥30000</w:t>
            </w:r>
          </w:p>
        </w:tc>
        <w:tc>
          <w:tcPr>
            <w:tcW w:w="1561" w:type="dxa"/>
            <w:vAlign w:val="center"/>
          </w:tcPr>
          <w:p w14:paraId="6ACEF3D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3000≤Y&lt;30000</w:t>
            </w:r>
          </w:p>
        </w:tc>
        <w:tc>
          <w:tcPr>
            <w:tcW w:w="1389" w:type="dxa"/>
            <w:vAlign w:val="center"/>
          </w:tcPr>
          <w:p w14:paraId="34A8B92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200≤Y&lt;3000</w:t>
            </w:r>
          </w:p>
        </w:tc>
        <w:tc>
          <w:tcPr>
            <w:tcW w:w="965" w:type="dxa"/>
            <w:vAlign w:val="center"/>
          </w:tcPr>
          <w:p w14:paraId="32C6054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Y&lt;200</w:t>
            </w:r>
          </w:p>
        </w:tc>
      </w:tr>
      <w:tr w14:paraId="09D3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6D9B746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仓储业★</w:t>
            </w:r>
          </w:p>
        </w:tc>
        <w:tc>
          <w:tcPr>
            <w:tcW w:w="1104" w:type="dxa"/>
            <w:vAlign w:val="center"/>
          </w:tcPr>
          <w:p w14:paraId="05653E4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2CCC1B8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3ACA27C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X≥200</w:t>
            </w:r>
          </w:p>
        </w:tc>
        <w:tc>
          <w:tcPr>
            <w:tcW w:w="1561" w:type="dxa"/>
            <w:vAlign w:val="center"/>
          </w:tcPr>
          <w:p w14:paraId="5889C81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100≤X&lt;200</w:t>
            </w:r>
          </w:p>
        </w:tc>
        <w:tc>
          <w:tcPr>
            <w:tcW w:w="1389" w:type="dxa"/>
            <w:vAlign w:val="center"/>
          </w:tcPr>
          <w:p w14:paraId="793B3B2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20≤X&lt;100</w:t>
            </w:r>
          </w:p>
        </w:tc>
        <w:tc>
          <w:tcPr>
            <w:tcW w:w="965" w:type="dxa"/>
            <w:vAlign w:val="center"/>
          </w:tcPr>
          <w:p w14:paraId="047C610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X&lt;20</w:t>
            </w:r>
          </w:p>
        </w:tc>
      </w:tr>
      <w:tr w14:paraId="7C31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659D265B">
            <w:pPr>
              <w:widowControl/>
              <w:spacing w:after="113" w:line="180" w:lineRule="atLeast"/>
              <w:jc w:val="center"/>
              <w:rPr>
                <w:rFonts w:ascii="宋体" w:hAnsi="宋体" w:cs="华文仿宋"/>
                <w:color w:val="000000" w:themeColor="text1"/>
                <w:sz w:val="28"/>
                <w:szCs w:val="28"/>
              </w:rPr>
            </w:pPr>
          </w:p>
        </w:tc>
        <w:tc>
          <w:tcPr>
            <w:tcW w:w="1104" w:type="dxa"/>
            <w:vAlign w:val="center"/>
          </w:tcPr>
          <w:p w14:paraId="755C3F6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376148C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63D3C15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Y≥30000</w:t>
            </w:r>
          </w:p>
        </w:tc>
        <w:tc>
          <w:tcPr>
            <w:tcW w:w="1561" w:type="dxa"/>
            <w:vAlign w:val="center"/>
          </w:tcPr>
          <w:p w14:paraId="554340E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1000≤Y&lt;30000</w:t>
            </w:r>
          </w:p>
        </w:tc>
        <w:tc>
          <w:tcPr>
            <w:tcW w:w="1389" w:type="dxa"/>
            <w:vAlign w:val="center"/>
          </w:tcPr>
          <w:p w14:paraId="2958984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100≤Y&lt;1000</w:t>
            </w:r>
          </w:p>
        </w:tc>
        <w:tc>
          <w:tcPr>
            <w:tcW w:w="965" w:type="dxa"/>
            <w:vAlign w:val="center"/>
          </w:tcPr>
          <w:p w14:paraId="3E92275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1EA3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1F0EBDF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邮政业</w:t>
            </w:r>
          </w:p>
        </w:tc>
        <w:tc>
          <w:tcPr>
            <w:tcW w:w="1104" w:type="dxa"/>
            <w:vAlign w:val="center"/>
          </w:tcPr>
          <w:p w14:paraId="39A05C6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2BC42F2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70EF800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X≥1000</w:t>
            </w:r>
          </w:p>
        </w:tc>
        <w:tc>
          <w:tcPr>
            <w:tcW w:w="1561" w:type="dxa"/>
            <w:vAlign w:val="center"/>
          </w:tcPr>
          <w:p w14:paraId="3196FAE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300≤X&lt;1000</w:t>
            </w:r>
          </w:p>
        </w:tc>
        <w:tc>
          <w:tcPr>
            <w:tcW w:w="1389" w:type="dxa"/>
            <w:vAlign w:val="center"/>
          </w:tcPr>
          <w:p w14:paraId="0C3BD82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20≤X&lt;300</w:t>
            </w:r>
          </w:p>
        </w:tc>
        <w:tc>
          <w:tcPr>
            <w:tcW w:w="965" w:type="dxa"/>
            <w:vAlign w:val="center"/>
          </w:tcPr>
          <w:p w14:paraId="1942B32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X&lt;20</w:t>
            </w:r>
          </w:p>
        </w:tc>
      </w:tr>
      <w:tr w14:paraId="0B93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E5040F2">
            <w:pPr>
              <w:widowControl/>
              <w:spacing w:after="113" w:line="180" w:lineRule="atLeast"/>
              <w:jc w:val="center"/>
              <w:rPr>
                <w:rFonts w:ascii="宋体" w:hAnsi="宋体" w:cs="华文仿宋"/>
                <w:color w:val="000000" w:themeColor="text1"/>
                <w:sz w:val="28"/>
                <w:szCs w:val="28"/>
              </w:rPr>
            </w:pPr>
          </w:p>
        </w:tc>
        <w:tc>
          <w:tcPr>
            <w:tcW w:w="1104" w:type="dxa"/>
            <w:vAlign w:val="center"/>
          </w:tcPr>
          <w:p w14:paraId="36D36CA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4580A6A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35AD4A7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Y≥30000</w:t>
            </w:r>
          </w:p>
        </w:tc>
        <w:tc>
          <w:tcPr>
            <w:tcW w:w="1561" w:type="dxa"/>
            <w:vAlign w:val="center"/>
          </w:tcPr>
          <w:p w14:paraId="65F9AAF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2000≤Y&lt;30000</w:t>
            </w:r>
          </w:p>
        </w:tc>
        <w:tc>
          <w:tcPr>
            <w:tcW w:w="1389" w:type="dxa"/>
            <w:vAlign w:val="center"/>
          </w:tcPr>
          <w:p w14:paraId="44FE9C4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100≤Y&lt;2000</w:t>
            </w:r>
          </w:p>
        </w:tc>
        <w:tc>
          <w:tcPr>
            <w:tcW w:w="965" w:type="dxa"/>
            <w:vAlign w:val="center"/>
          </w:tcPr>
          <w:p w14:paraId="10872CB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1750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11" w:type="dxa"/>
            <w:vMerge w:val="restart"/>
            <w:vAlign w:val="center"/>
          </w:tcPr>
          <w:p w14:paraId="3DE5799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住宿业</w:t>
            </w:r>
          </w:p>
        </w:tc>
        <w:tc>
          <w:tcPr>
            <w:tcW w:w="1104" w:type="dxa"/>
            <w:vAlign w:val="center"/>
          </w:tcPr>
          <w:p w14:paraId="2C80738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7802827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2C16628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279AEE7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1389" w:type="dxa"/>
            <w:vAlign w:val="center"/>
          </w:tcPr>
          <w:p w14:paraId="5C4EB61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2607E5C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753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DE24467">
            <w:pPr>
              <w:widowControl/>
              <w:spacing w:after="113" w:line="180" w:lineRule="atLeast"/>
              <w:jc w:val="center"/>
              <w:rPr>
                <w:rFonts w:ascii="宋体" w:hAnsi="宋体" w:cs="华文仿宋"/>
                <w:color w:val="000000" w:themeColor="text1"/>
                <w:sz w:val="28"/>
                <w:szCs w:val="28"/>
              </w:rPr>
            </w:pPr>
          </w:p>
        </w:tc>
        <w:tc>
          <w:tcPr>
            <w:tcW w:w="1104" w:type="dxa"/>
            <w:vAlign w:val="center"/>
          </w:tcPr>
          <w:p w14:paraId="066C753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39D0168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6928C18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Y≥10000</w:t>
            </w:r>
          </w:p>
        </w:tc>
        <w:tc>
          <w:tcPr>
            <w:tcW w:w="1561" w:type="dxa"/>
            <w:vAlign w:val="center"/>
          </w:tcPr>
          <w:p w14:paraId="47F3738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2000≤Y&lt;10000</w:t>
            </w:r>
          </w:p>
        </w:tc>
        <w:tc>
          <w:tcPr>
            <w:tcW w:w="1389" w:type="dxa"/>
            <w:vAlign w:val="center"/>
          </w:tcPr>
          <w:p w14:paraId="3A058C3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100≤Y&lt;2000</w:t>
            </w:r>
          </w:p>
        </w:tc>
        <w:tc>
          <w:tcPr>
            <w:tcW w:w="965" w:type="dxa"/>
            <w:vAlign w:val="center"/>
          </w:tcPr>
          <w:p w14:paraId="220BAC9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706E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1994D27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餐饮业</w:t>
            </w:r>
          </w:p>
        </w:tc>
        <w:tc>
          <w:tcPr>
            <w:tcW w:w="1104" w:type="dxa"/>
            <w:vAlign w:val="center"/>
          </w:tcPr>
          <w:p w14:paraId="1088719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2D7FD16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158C583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1DF9760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1389" w:type="dxa"/>
            <w:vAlign w:val="center"/>
          </w:tcPr>
          <w:p w14:paraId="065D96B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6123A6B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669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0678B4E7">
            <w:pPr>
              <w:widowControl/>
              <w:spacing w:after="113" w:line="180" w:lineRule="atLeast"/>
              <w:jc w:val="center"/>
              <w:rPr>
                <w:rFonts w:ascii="宋体" w:hAnsi="宋体" w:cs="华文仿宋"/>
                <w:color w:val="000000" w:themeColor="text1"/>
                <w:sz w:val="28"/>
                <w:szCs w:val="28"/>
              </w:rPr>
            </w:pPr>
          </w:p>
        </w:tc>
        <w:tc>
          <w:tcPr>
            <w:tcW w:w="1104" w:type="dxa"/>
            <w:vAlign w:val="center"/>
          </w:tcPr>
          <w:p w14:paraId="24A7E60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4880112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2D7B55B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Y≥10000</w:t>
            </w:r>
          </w:p>
        </w:tc>
        <w:tc>
          <w:tcPr>
            <w:tcW w:w="1561" w:type="dxa"/>
            <w:vAlign w:val="center"/>
          </w:tcPr>
          <w:p w14:paraId="29DD4E2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2000≤Y&lt;10000</w:t>
            </w:r>
          </w:p>
        </w:tc>
        <w:tc>
          <w:tcPr>
            <w:tcW w:w="1389" w:type="dxa"/>
            <w:vAlign w:val="center"/>
          </w:tcPr>
          <w:p w14:paraId="56E9AD4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100≤Y&lt;2000</w:t>
            </w:r>
          </w:p>
        </w:tc>
        <w:tc>
          <w:tcPr>
            <w:tcW w:w="965" w:type="dxa"/>
            <w:vAlign w:val="center"/>
          </w:tcPr>
          <w:p w14:paraId="10A5645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6CE8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4F29A25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信息传输业★</w:t>
            </w:r>
          </w:p>
        </w:tc>
        <w:tc>
          <w:tcPr>
            <w:tcW w:w="1104" w:type="dxa"/>
            <w:vAlign w:val="center"/>
          </w:tcPr>
          <w:p w14:paraId="7E70BD9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53DBEDA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0E445C5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X≥2000</w:t>
            </w:r>
          </w:p>
        </w:tc>
        <w:tc>
          <w:tcPr>
            <w:tcW w:w="1561" w:type="dxa"/>
            <w:vAlign w:val="center"/>
          </w:tcPr>
          <w:p w14:paraId="30DC462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100≤X&lt;2000</w:t>
            </w:r>
          </w:p>
        </w:tc>
        <w:tc>
          <w:tcPr>
            <w:tcW w:w="1389" w:type="dxa"/>
            <w:vAlign w:val="center"/>
          </w:tcPr>
          <w:p w14:paraId="4434321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2C54EE8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61C3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63534BCA">
            <w:pPr>
              <w:widowControl/>
              <w:spacing w:after="113" w:line="180" w:lineRule="atLeast"/>
              <w:jc w:val="center"/>
              <w:rPr>
                <w:rFonts w:ascii="宋体" w:hAnsi="宋体" w:cs="华文仿宋"/>
                <w:color w:val="000000" w:themeColor="text1"/>
                <w:sz w:val="28"/>
                <w:szCs w:val="28"/>
              </w:rPr>
            </w:pPr>
          </w:p>
        </w:tc>
        <w:tc>
          <w:tcPr>
            <w:tcW w:w="1104" w:type="dxa"/>
            <w:vAlign w:val="center"/>
          </w:tcPr>
          <w:p w14:paraId="3A3C07F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3FA86CC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26F43CA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Y≥100000</w:t>
            </w:r>
          </w:p>
        </w:tc>
        <w:tc>
          <w:tcPr>
            <w:tcW w:w="1561" w:type="dxa"/>
            <w:vAlign w:val="center"/>
          </w:tcPr>
          <w:p w14:paraId="6A8F166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1000≤Y&lt;100000</w:t>
            </w:r>
          </w:p>
        </w:tc>
        <w:tc>
          <w:tcPr>
            <w:tcW w:w="1389" w:type="dxa"/>
            <w:vAlign w:val="center"/>
          </w:tcPr>
          <w:p w14:paraId="1CF2B83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100≤Y&lt;1000</w:t>
            </w:r>
          </w:p>
        </w:tc>
        <w:tc>
          <w:tcPr>
            <w:tcW w:w="965" w:type="dxa"/>
            <w:vAlign w:val="center"/>
          </w:tcPr>
          <w:p w14:paraId="2AEE4BC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5F8A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246926B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软件和信息技术服务业</w:t>
            </w:r>
          </w:p>
        </w:tc>
        <w:tc>
          <w:tcPr>
            <w:tcW w:w="1104" w:type="dxa"/>
            <w:vAlign w:val="center"/>
          </w:tcPr>
          <w:p w14:paraId="39B9FF0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23DE222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22CB834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55F471C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1389" w:type="dxa"/>
            <w:vAlign w:val="center"/>
          </w:tcPr>
          <w:p w14:paraId="638FED1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2495652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7B2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2EE5546">
            <w:pPr>
              <w:widowControl/>
              <w:spacing w:after="113" w:line="180" w:lineRule="atLeast"/>
              <w:jc w:val="center"/>
              <w:rPr>
                <w:rFonts w:ascii="宋体" w:hAnsi="宋体" w:cs="华文仿宋"/>
                <w:color w:val="000000" w:themeColor="text1"/>
                <w:sz w:val="28"/>
                <w:szCs w:val="28"/>
              </w:rPr>
            </w:pPr>
          </w:p>
        </w:tc>
        <w:tc>
          <w:tcPr>
            <w:tcW w:w="1104" w:type="dxa"/>
            <w:vAlign w:val="center"/>
          </w:tcPr>
          <w:p w14:paraId="116E60F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49F8BC4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7FC7925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Y≥10000</w:t>
            </w:r>
          </w:p>
        </w:tc>
        <w:tc>
          <w:tcPr>
            <w:tcW w:w="1561" w:type="dxa"/>
            <w:vAlign w:val="center"/>
          </w:tcPr>
          <w:p w14:paraId="58802D4C">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1000≤Y&lt;10000</w:t>
            </w:r>
          </w:p>
        </w:tc>
        <w:tc>
          <w:tcPr>
            <w:tcW w:w="1389" w:type="dxa"/>
            <w:vAlign w:val="center"/>
          </w:tcPr>
          <w:p w14:paraId="218D920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50≤Y&lt;1000</w:t>
            </w:r>
          </w:p>
        </w:tc>
        <w:tc>
          <w:tcPr>
            <w:tcW w:w="965" w:type="dxa"/>
            <w:vAlign w:val="center"/>
          </w:tcPr>
          <w:p w14:paraId="4E5FB63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Y&lt;50</w:t>
            </w:r>
          </w:p>
        </w:tc>
      </w:tr>
      <w:tr w14:paraId="125C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52771F0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房地产开发经营</w:t>
            </w:r>
          </w:p>
        </w:tc>
        <w:tc>
          <w:tcPr>
            <w:tcW w:w="1104" w:type="dxa"/>
            <w:vAlign w:val="center"/>
          </w:tcPr>
          <w:p w14:paraId="1954A93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33377D5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32A5165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Y≥200000</w:t>
            </w:r>
          </w:p>
        </w:tc>
        <w:tc>
          <w:tcPr>
            <w:tcW w:w="1561" w:type="dxa"/>
            <w:vAlign w:val="center"/>
          </w:tcPr>
          <w:p w14:paraId="2D831B8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1000≤Y&lt;200000</w:t>
            </w:r>
          </w:p>
        </w:tc>
        <w:tc>
          <w:tcPr>
            <w:tcW w:w="1389" w:type="dxa"/>
            <w:vAlign w:val="center"/>
          </w:tcPr>
          <w:p w14:paraId="155110B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100≤Y&lt;1000</w:t>
            </w:r>
          </w:p>
        </w:tc>
        <w:tc>
          <w:tcPr>
            <w:tcW w:w="965" w:type="dxa"/>
            <w:vAlign w:val="center"/>
          </w:tcPr>
          <w:p w14:paraId="52BAA2F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Y&lt;100</w:t>
            </w:r>
          </w:p>
        </w:tc>
      </w:tr>
      <w:tr w14:paraId="70B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48AA6ABA">
            <w:pPr>
              <w:widowControl/>
              <w:spacing w:after="113" w:line="180" w:lineRule="atLeast"/>
              <w:jc w:val="center"/>
              <w:rPr>
                <w:rFonts w:ascii="宋体" w:hAnsi="宋体" w:cs="华文仿宋"/>
                <w:color w:val="000000" w:themeColor="text1"/>
                <w:sz w:val="28"/>
                <w:szCs w:val="28"/>
              </w:rPr>
            </w:pPr>
          </w:p>
        </w:tc>
        <w:tc>
          <w:tcPr>
            <w:tcW w:w="1104" w:type="dxa"/>
            <w:vAlign w:val="center"/>
          </w:tcPr>
          <w:p w14:paraId="5A069CE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资产总额(Z)</w:t>
            </w:r>
          </w:p>
        </w:tc>
        <w:tc>
          <w:tcPr>
            <w:tcW w:w="1097" w:type="dxa"/>
            <w:vAlign w:val="center"/>
          </w:tcPr>
          <w:p w14:paraId="200E594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0E027D83">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Z≥10000</w:t>
            </w:r>
          </w:p>
        </w:tc>
        <w:tc>
          <w:tcPr>
            <w:tcW w:w="1561" w:type="dxa"/>
            <w:vAlign w:val="center"/>
          </w:tcPr>
          <w:p w14:paraId="73CB7D4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5000≤Z&lt;10000</w:t>
            </w:r>
          </w:p>
        </w:tc>
        <w:tc>
          <w:tcPr>
            <w:tcW w:w="1389" w:type="dxa"/>
            <w:vAlign w:val="center"/>
          </w:tcPr>
          <w:p w14:paraId="33257FC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2000≤Z&lt;5000</w:t>
            </w:r>
          </w:p>
        </w:tc>
        <w:tc>
          <w:tcPr>
            <w:tcW w:w="965" w:type="dxa"/>
            <w:vAlign w:val="center"/>
          </w:tcPr>
          <w:p w14:paraId="6E372A0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Z&lt;2000</w:t>
            </w:r>
          </w:p>
        </w:tc>
      </w:tr>
      <w:tr w14:paraId="27A3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4681CB3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物业管理</w:t>
            </w:r>
          </w:p>
        </w:tc>
        <w:tc>
          <w:tcPr>
            <w:tcW w:w="1104" w:type="dxa"/>
            <w:vAlign w:val="center"/>
          </w:tcPr>
          <w:p w14:paraId="26ACECE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439183D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42C2FB6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X≥1000</w:t>
            </w:r>
          </w:p>
        </w:tc>
        <w:tc>
          <w:tcPr>
            <w:tcW w:w="1561" w:type="dxa"/>
            <w:vAlign w:val="center"/>
          </w:tcPr>
          <w:p w14:paraId="53805A7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300≤X&lt;1000</w:t>
            </w:r>
          </w:p>
        </w:tc>
        <w:tc>
          <w:tcPr>
            <w:tcW w:w="1389" w:type="dxa"/>
            <w:vAlign w:val="center"/>
          </w:tcPr>
          <w:p w14:paraId="6D50F92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965" w:type="dxa"/>
            <w:vAlign w:val="center"/>
          </w:tcPr>
          <w:p w14:paraId="7B8FB92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X&lt;100</w:t>
            </w:r>
          </w:p>
        </w:tc>
      </w:tr>
      <w:tr w14:paraId="6072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77D2DE73">
            <w:pPr>
              <w:widowControl/>
              <w:spacing w:after="113" w:line="180" w:lineRule="atLeast"/>
              <w:jc w:val="center"/>
              <w:rPr>
                <w:rFonts w:ascii="宋体" w:hAnsi="宋体" w:cs="华文仿宋"/>
                <w:color w:val="000000" w:themeColor="text1"/>
                <w:sz w:val="28"/>
                <w:szCs w:val="28"/>
              </w:rPr>
            </w:pPr>
          </w:p>
        </w:tc>
        <w:tc>
          <w:tcPr>
            <w:tcW w:w="1104" w:type="dxa"/>
            <w:vAlign w:val="center"/>
          </w:tcPr>
          <w:p w14:paraId="07BD307E">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营业收入(Y)</w:t>
            </w:r>
          </w:p>
        </w:tc>
        <w:tc>
          <w:tcPr>
            <w:tcW w:w="1097" w:type="dxa"/>
            <w:vAlign w:val="center"/>
          </w:tcPr>
          <w:p w14:paraId="4ACAFDE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3090BB3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Y≥5000</w:t>
            </w:r>
          </w:p>
        </w:tc>
        <w:tc>
          <w:tcPr>
            <w:tcW w:w="1561" w:type="dxa"/>
            <w:vAlign w:val="center"/>
          </w:tcPr>
          <w:p w14:paraId="2DD5E9E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1000≤Y&lt;5000</w:t>
            </w:r>
          </w:p>
        </w:tc>
        <w:tc>
          <w:tcPr>
            <w:tcW w:w="1389" w:type="dxa"/>
            <w:vAlign w:val="center"/>
          </w:tcPr>
          <w:p w14:paraId="7A4C40F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500≤Y&lt;1000</w:t>
            </w:r>
          </w:p>
        </w:tc>
        <w:tc>
          <w:tcPr>
            <w:tcW w:w="965" w:type="dxa"/>
            <w:vAlign w:val="center"/>
          </w:tcPr>
          <w:p w14:paraId="3F25204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Y&lt;500</w:t>
            </w:r>
          </w:p>
        </w:tc>
      </w:tr>
      <w:tr w14:paraId="34E3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restart"/>
            <w:vAlign w:val="center"/>
          </w:tcPr>
          <w:p w14:paraId="25862F4D">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租赁和商务服务业</w:t>
            </w:r>
          </w:p>
        </w:tc>
        <w:tc>
          <w:tcPr>
            <w:tcW w:w="1104" w:type="dxa"/>
            <w:vAlign w:val="center"/>
          </w:tcPr>
          <w:p w14:paraId="1032F550">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342AB8D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6B235F1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5E8B3D1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1389" w:type="dxa"/>
            <w:vAlign w:val="center"/>
          </w:tcPr>
          <w:p w14:paraId="1A60CD12">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0859D727">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r w14:paraId="1ED3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Merge w:val="continue"/>
            <w:vAlign w:val="center"/>
          </w:tcPr>
          <w:p w14:paraId="0AD65C24">
            <w:pPr>
              <w:widowControl/>
              <w:spacing w:after="113" w:line="180" w:lineRule="atLeast"/>
              <w:jc w:val="center"/>
              <w:rPr>
                <w:rFonts w:ascii="宋体" w:hAnsi="宋体" w:cs="华文仿宋"/>
                <w:color w:val="000000" w:themeColor="text1"/>
                <w:sz w:val="28"/>
                <w:szCs w:val="28"/>
              </w:rPr>
            </w:pPr>
          </w:p>
        </w:tc>
        <w:tc>
          <w:tcPr>
            <w:tcW w:w="1104" w:type="dxa"/>
            <w:vAlign w:val="center"/>
          </w:tcPr>
          <w:p w14:paraId="40F78105">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资产总额(Z)</w:t>
            </w:r>
          </w:p>
        </w:tc>
        <w:tc>
          <w:tcPr>
            <w:tcW w:w="1097" w:type="dxa"/>
            <w:vAlign w:val="center"/>
          </w:tcPr>
          <w:p w14:paraId="04B025B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万元</w:t>
            </w:r>
          </w:p>
        </w:tc>
        <w:tc>
          <w:tcPr>
            <w:tcW w:w="1295" w:type="dxa"/>
            <w:vAlign w:val="center"/>
          </w:tcPr>
          <w:p w14:paraId="5C67D8AB">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Z≥120000</w:t>
            </w:r>
          </w:p>
        </w:tc>
        <w:tc>
          <w:tcPr>
            <w:tcW w:w="1561" w:type="dxa"/>
            <w:vAlign w:val="center"/>
          </w:tcPr>
          <w:p w14:paraId="4613002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8000≤Z&lt;120000</w:t>
            </w:r>
          </w:p>
        </w:tc>
        <w:tc>
          <w:tcPr>
            <w:tcW w:w="1389" w:type="dxa"/>
            <w:vAlign w:val="center"/>
          </w:tcPr>
          <w:p w14:paraId="3DCD18F6">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100≤Z&lt;8000</w:t>
            </w:r>
          </w:p>
        </w:tc>
        <w:tc>
          <w:tcPr>
            <w:tcW w:w="965" w:type="dxa"/>
            <w:vAlign w:val="center"/>
          </w:tcPr>
          <w:p w14:paraId="0287383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Z&lt;100</w:t>
            </w:r>
          </w:p>
        </w:tc>
      </w:tr>
      <w:tr w14:paraId="5868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A89EF5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其他未列明行业★</w:t>
            </w:r>
          </w:p>
        </w:tc>
        <w:tc>
          <w:tcPr>
            <w:tcW w:w="1104" w:type="dxa"/>
            <w:vAlign w:val="center"/>
          </w:tcPr>
          <w:p w14:paraId="6818CF29">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从业人员(X)</w:t>
            </w:r>
          </w:p>
        </w:tc>
        <w:tc>
          <w:tcPr>
            <w:tcW w:w="1097" w:type="dxa"/>
            <w:vAlign w:val="center"/>
          </w:tcPr>
          <w:p w14:paraId="29BA8B4F">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人</w:t>
            </w:r>
          </w:p>
        </w:tc>
        <w:tc>
          <w:tcPr>
            <w:tcW w:w="1295" w:type="dxa"/>
            <w:vAlign w:val="center"/>
          </w:tcPr>
          <w:p w14:paraId="5D1C84B4">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X≥300</w:t>
            </w:r>
          </w:p>
        </w:tc>
        <w:tc>
          <w:tcPr>
            <w:tcW w:w="1561" w:type="dxa"/>
            <w:vAlign w:val="center"/>
          </w:tcPr>
          <w:p w14:paraId="233E2E41">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100≤X&lt;300</w:t>
            </w:r>
          </w:p>
        </w:tc>
        <w:tc>
          <w:tcPr>
            <w:tcW w:w="1389" w:type="dxa"/>
            <w:vAlign w:val="center"/>
          </w:tcPr>
          <w:p w14:paraId="0CCDFD18">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10≤X&lt;100</w:t>
            </w:r>
          </w:p>
        </w:tc>
        <w:tc>
          <w:tcPr>
            <w:tcW w:w="965" w:type="dxa"/>
            <w:vAlign w:val="center"/>
          </w:tcPr>
          <w:p w14:paraId="7A5E4E1A">
            <w:pPr>
              <w:widowControl/>
              <w:spacing w:after="113" w:line="180" w:lineRule="atLeast"/>
              <w:jc w:val="center"/>
              <w:rPr>
                <w:rFonts w:ascii="宋体" w:hAnsi="宋体" w:cs="华文仿宋"/>
                <w:color w:val="000000" w:themeColor="text1"/>
                <w:sz w:val="28"/>
                <w:szCs w:val="28"/>
              </w:rPr>
            </w:pPr>
            <w:r>
              <w:rPr>
                <w:rFonts w:hint="eastAsia" w:ascii="宋体" w:hAnsi="宋体" w:cs="华文仿宋"/>
                <w:color w:val="000000" w:themeColor="text1"/>
                <w:sz w:val="28"/>
                <w:szCs w:val="28"/>
              </w:rPr>
              <w:t>X&lt;10</w:t>
            </w:r>
          </w:p>
        </w:tc>
      </w:tr>
    </w:tbl>
    <w:p w14:paraId="13340182">
      <w:pPr>
        <w:pStyle w:val="117"/>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中小企业划分标准的说明：</w:t>
      </w:r>
    </w:p>
    <w:p w14:paraId="1C89B010">
      <w:pPr>
        <w:pStyle w:val="117"/>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1.大型、中型和小型企业须同时满足所列指标的下限，否则下划一档；微型企业只须满足所列指标中的一项即可。</w:t>
      </w:r>
    </w:p>
    <w:p w14:paraId="4E37DB24">
      <w:pPr>
        <w:pStyle w:val="117"/>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2929474">
      <w:pPr>
        <w:pStyle w:val="117"/>
        <w:snapToGrid w:val="0"/>
        <w:spacing w:line="360" w:lineRule="auto"/>
        <w:ind w:firstLine="560" w:firstLineChars="200"/>
        <w:jc w:val="left"/>
        <w:rPr>
          <w:rFonts w:ascii="宋体" w:hAnsi="宋体" w:cs="华文仿宋"/>
          <w:color w:val="000000" w:themeColor="text1"/>
          <w:sz w:val="28"/>
          <w:szCs w:val="28"/>
        </w:rPr>
      </w:pPr>
      <w:r>
        <w:rPr>
          <w:rFonts w:hint="eastAsia" w:ascii="宋体" w:hAnsi="宋体" w:cs="华文仿宋"/>
          <w:color w:val="000000" w:themeColor="text1"/>
          <w:sz w:val="28"/>
          <w:szCs w:val="2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DC8C8D4">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6.2.1.2供应商提供的货物、工程或者服务符合下列情形的，享受中小企业扶持政策：</w:t>
      </w:r>
    </w:p>
    <w:p w14:paraId="3D832A0B">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（1）在货物采购项目中，货物由中小企业制造，即货物由中小企业生产且使用该中小企业商号或者注册商标；</w:t>
      </w:r>
    </w:p>
    <w:p w14:paraId="08591DF5">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（2）在工程采购项目中，工程由中小企业承建，即工程施工单位为中小企业；</w:t>
      </w:r>
    </w:p>
    <w:p w14:paraId="3C282E1B">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（3）在服务采购项目中，服务由中小企业承接，即提供服务的人员为中小企业依照《中华人民共和国劳动合同法》订立劳动合同的从业人员。</w:t>
      </w:r>
    </w:p>
    <w:p w14:paraId="03F947A9">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6.2.1.3在货物采购项目中，供应商提供的货物既有中小企业制造货物，也有大型企业制造货物的，不享受中小企业扶持政策。</w:t>
      </w:r>
    </w:p>
    <w:p w14:paraId="0C1DDCAA">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6.2.1.4以联合体形式参加政府采购活动，联合体各方均为中小企业的，联合体视同中小企业。其中，联合体各方均为小微企业的，联合体视同小微企业。</w:t>
      </w:r>
    </w:p>
    <w:p w14:paraId="2A1DA847">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6.2.2在政府采购活动中，监狱企业视同小型、微型企业，享受预留份额、评审中价格扣除等政府采购促进中小企业发展的政府采购政策。</w:t>
      </w:r>
    </w:p>
    <w:p w14:paraId="0B51651F">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6.2.3在政府采购活动中，残疾人福利性单位视同小型、微型企业，享受预留份额、评审中价格扣除等促进中小企业发展的政府采购政策。</w:t>
      </w:r>
    </w:p>
    <w:p w14:paraId="0B639B70">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6.2.4本项目是否专门面向中小企业预留采购份额见第一章《投标邀请》。</w:t>
      </w:r>
    </w:p>
    <w:p w14:paraId="0DB48583">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6.2.5采购标的对应的中小企业划分标准所属行业见《投标人须知前附表》。</w:t>
      </w:r>
    </w:p>
    <w:p w14:paraId="60081B20">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6.2.6价格扣除比例见《投标人须知前附表》。</w:t>
      </w:r>
    </w:p>
    <w:p w14:paraId="4204B058">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6.3政府采购节能产品、环境标志产品、绿色采购（若有，由采购人在采购清单中明确）</w:t>
      </w:r>
    </w:p>
    <w:p w14:paraId="39A015CB">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2E675B">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等。</w:t>
      </w:r>
    </w:p>
    <w:p w14:paraId="5BB88EE8">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6.3.3如本项目采购产品属于实施政府强制采购品目清单范围的节能产品，则投标人所报产品必须获得国家确定的认证机构出具的、处于有效期之内的节能产品认证证书，否则投标无效；</w:t>
      </w:r>
    </w:p>
    <w:p w14:paraId="31A59B68">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6.3.4纳入政府采购管理的建设工程、修缮、装修类项目采购建材的，鼓励采购人将绿色建材性能、指标等作为实质性条件纳入采购文件和合同，具体性能指标要求、参考《政府采购支持绿色建材促进建筑品质提升政策项目实施指南》（财办库〔2023〕52号）采购需求标准，《安徽省财政厅关于贯彻落实政府绿色采购有关政策的通知》（皖财购〔2023〕853号）等相关文件。</w:t>
      </w:r>
    </w:p>
    <w:p w14:paraId="6C4E5807">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6.3.5为助力打好污染防治攻坚战，推广使用绿色包装，政府采购货物、工程和服务项目中涉及商品包装和快递包装的，供应商提供产品及相关快递服务的具体包装要求参考《商品包装政府采购需求标准（试行）》、《快递包装政府采购需求标准（试行）》。鼓励采购人优先采购秸秆环保板材等资源综合利用产品。鼓励采购人优先采购绿色物流配送服务、提供新能源交通工具的租赁服务。</w:t>
      </w:r>
    </w:p>
    <w:p w14:paraId="430B3E50">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6.3.6鼓励供应商在参加政府采购过程中开展绿色设计、选择绿色材料、打造绿色制造工艺、开展绿色运输、做好废弃产品回收处理，实现产品全周期的绿色环保。鼓励采购人对其提高预付款比例、免收履约保证金。</w:t>
      </w:r>
    </w:p>
    <w:p w14:paraId="3AB5D51F">
      <w:pPr>
        <w:adjustRightInd w:val="0"/>
        <w:snapToGrid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6.3.7为加快数据中心绿色转型，根据财政部生态环境部工业和信息化部关于印发《绿色数据中心政府采购需求标准（试行）》的通知（财库〔2023〕7号），本项目如涉及绿色数据中心，则具体要求见第五章《采购需求》。</w:t>
      </w:r>
    </w:p>
    <w:p w14:paraId="6087F55F">
      <w:pPr>
        <w:spacing w:line="360" w:lineRule="auto"/>
        <w:ind w:firstLine="549"/>
        <w:rPr>
          <w:rFonts w:ascii="宋体" w:hAnsi="宋体" w:cs="华文仿宋"/>
          <w:color w:val="000000" w:themeColor="text1"/>
          <w:sz w:val="28"/>
          <w:szCs w:val="28"/>
        </w:rPr>
      </w:pPr>
      <w:r>
        <w:rPr>
          <w:rFonts w:hint="eastAsia" w:ascii="宋体" w:hAnsi="宋体" w:cs="华文仿宋"/>
          <w:color w:val="000000" w:themeColor="text1"/>
          <w:sz w:val="28"/>
          <w:szCs w:val="28"/>
        </w:rPr>
        <w:t>7、联合体响应</w:t>
      </w:r>
    </w:p>
    <w:p w14:paraId="4917DF05">
      <w:pPr>
        <w:spacing w:line="360" w:lineRule="auto"/>
        <w:ind w:firstLine="550"/>
        <w:rPr>
          <w:rFonts w:ascii="宋体" w:hAnsi="宋体" w:cs="华文仿宋"/>
          <w:color w:val="000000" w:themeColor="text1"/>
          <w:sz w:val="28"/>
          <w:szCs w:val="28"/>
        </w:rPr>
      </w:pPr>
      <w:r>
        <w:rPr>
          <w:rFonts w:hint="eastAsia" w:ascii="宋体" w:hAnsi="宋体" w:cs="华文仿宋"/>
          <w:color w:val="000000" w:themeColor="text1"/>
          <w:sz w:val="28"/>
          <w:szCs w:val="28"/>
        </w:rPr>
        <w:t>7.1除非本项目明确要求不接受联合体形式响应外，两个或两个以上供应商可以组成一个联合体响应，以一个供应商的身份响应，项目响应时使用联合体牵头人的CA锁制作响应文件并进行加解密。</w:t>
      </w:r>
    </w:p>
    <w:p w14:paraId="2ED3B756">
      <w:pPr>
        <w:spacing w:line="360" w:lineRule="auto"/>
        <w:ind w:firstLine="550"/>
        <w:rPr>
          <w:rFonts w:ascii="宋体" w:hAnsi="宋体" w:cs="华文仿宋"/>
          <w:color w:val="000000" w:themeColor="text1"/>
          <w:sz w:val="28"/>
          <w:szCs w:val="28"/>
        </w:rPr>
      </w:pPr>
      <w:r>
        <w:rPr>
          <w:rFonts w:hint="eastAsia" w:ascii="宋体" w:hAnsi="宋体" w:cs="华文仿宋"/>
          <w:color w:val="000000" w:themeColor="text1"/>
          <w:sz w:val="28"/>
          <w:szCs w:val="28"/>
        </w:rPr>
        <w:t>7.2联合体各方之间应当签订联合体协议，明确约定联合体各方应当承担的工作和相应的责任，明确联合体牵头人，并将联合体协议连同响应文件一并提交，联合体协议上需加盖联合体各方的签章。由同一专业的单位组成的联合体，按照同一资质等级较低的单位确定资质等级。</w:t>
      </w:r>
    </w:p>
    <w:p w14:paraId="0722A2B7">
      <w:pPr>
        <w:spacing w:line="360" w:lineRule="auto"/>
        <w:ind w:firstLine="550"/>
        <w:rPr>
          <w:rFonts w:ascii="宋体" w:hAnsi="宋体" w:cs="华文仿宋"/>
          <w:color w:val="000000" w:themeColor="text1"/>
          <w:sz w:val="28"/>
          <w:szCs w:val="28"/>
        </w:rPr>
      </w:pPr>
      <w:r>
        <w:rPr>
          <w:rFonts w:hint="eastAsia" w:ascii="宋体" w:hAnsi="宋体" w:cs="华文仿宋"/>
          <w:color w:val="000000" w:themeColor="text1"/>
          <w:sz w:val="28"/>
          <w:szCs w:val="28"/>
        </w:rPr>
        <w:t>7．3联合体各方签订联合体协议后，不得再以自己的名义单独在同一项目中响应，也不得组成新的联合体参加同一项目响应，否则相关供应商均作无效标处理。</w:t>
      </w:r>
    </w:p>
    <w:p w14:paraId="6B6FB5BD">
      <w:pPr>
        <w:spacing w:line="360" w:lineRule="auto"/>
        <w:ind w:firstLine="525"/>
        <w:rPr>
          <w:rFonts w:ascii="宋体" w:hAnsi="宋体" w:cs="华文仿宋"/>
          <w:color w:val="000000" w:themeColor="text1"/>
          <w:sz w:val="28"/>
          <w:szCs w:val="28"/>
        </w:rPr>
      </w:pPr>
      <w:r>
        <w:rPr>
          <w:rFonts w:hint="eastAsia" w:ascii="宋体" w:hAnsi="宋体" w:cs="华文仿宋"/>
          <w:color w:val="000000" w:themeColor="text1"/>
          <w:sz w:val="28"/>
          <w:szCs w:val="28"/>
        </w:rPr>
        <w:t>8、签章的效力</w:t>
      </w:r>
    </w:p>
    <w:p w14:paraId="5A843489">
      <w:pPr>
        <w:pStyle w:val="89"/>
        <w:wordWrap w:val="0"/>
        <w:spacing w:line="360" w:lineRule="auto"/>
        <w:ind w:firstLine="560"/>
        <w:rPr>
          <w:rFonts w:ascii="宋体" w:hAnsi="宋体"/>
          <w:b w:val="0"/>
          <w:bCs w:val="0"/>
          <w:color w:val="000000" w:themeColor="text1"/>
        </w:rPr>
      </w:pPr>
      <w:r>
        <w:rPr>
          <w:rFonts w:hint="eastAsia" w:ascii="宋体" w:hAnsi="宋体"/>
          <w:b w:val="0"/>
          <w:bCs w:val="0"/>
          <w:color w:val="000000" w:themeColor="text1"/>
        </w:rPr>
        <w:t>征集文件中明确要求必须加盖电子签章。</w:t>
      </w:r>
    </w:p>
    <w:p w14:paraId="6310E76F">
      <w:pPr>
        <w:pStyle w:val="5"/>
        <w:rPr>
          <w:rFonts w:ascii="宋体" w:hAnsi="宋体" w:cs="华文仿宋"/>
          <w:bCs w:val="0"/>
          <w:color w:val="000000" w:themeColor="text1"/>
          <w:sz w:val="28"/>
          <w:szCs w:val="28"/>
        </w:rPr>
      </w:pPr>
      <w:r>
        <w:rPr>
          <w:rFonts w:hint="eastAsia" w:ascii="宋体" w:hAnsi="宋体" w:cs="华文仿宋"/>
          <w:bCs w:val="0"/>
          <w:color w:val="000000" w:themeColor="text1"/>
          <w:sz w:val="28"/>
          <w:szCs w:val="28"/>
        </w:rPr>
        <w:t>五、响应文件的编制</w:t>
      </w:r>
    </w:p>
    <w:p w14:paraId="70C2CC31">
      <w:pPr>
        <w:wordWrap w:val="0"/>
        <w:spacing w:line="360" w:lineRule="auto"/>
        <w:ind w:firstLine="562" w:firstLineChars="200"/>
        <w:rPr>
          <w:rFonts w:ascii="宋体" w:hAnsi="宋体" w:cs="华文仿宋"/>
          <w:b/>
          <w:color w:val="000000" w:themeColor="text1"/>
          <w:sz w:val="28"/>
          <w:szCs w:val="28"/>
        </w:rPr>
      </w:pPr>
      <w:r>
        <w:rPr>
          <w:rFonts w:hint="eastAsia" w:ascii="宋体" w:hAnsi="宋体" w:cs="华文仿宋"/>
          <w:b/>
          <w:color w:val="000000" w:themeColor="text1"/>
          <w:sz w:val="28"/>
          <w:szCs w:val="28"/>
        </w:rPr>
        <w:t>1、响应的语言及度量衡单位</w:t>
      </w:r>
    </w:p>
    <w:p w14:paraId="3FBE3EC6">
      <w:pPr>
        <w:wordWrap w:val="0"/>
        <w:spacing w:line="360" w:lineRule="auto"/>
        <w:ind w:firstLine="560" w:firstLineChars="200"/>
        <w:rPr>
          <w:rFonts w:ascii="宋体" w:hAnsi="宋体" w:cs="华文仿宋"/>
          <w:bCs/>
          <w:color w:val="000000" w:themeColor="text1"/>
          <w:sz w:val="28"/>
          <w:szCs w:val="28"/>
        </w:rPr>
      </w:pPr>
      <w:r>
        <w:rPr>
          <w:rFonts w:hint="eastAsia" w:ascii="宋体" w:hAnsi="宋体" w:cs="华文仿宋"/>
          <w:bCs/>
          <w:color w:val="000000" w:themeColor="text1"/>
          <w:sz w:val="28"/>
          <w:szCs w:val="28"/>
        </w:rPr>
        <w:t>1.1　供应商的响应文件、以及供应商与采购单位就响应的所有往来函件，均须使用简体中文。</w:t>
      </w:r>
    </w:p>
    <w:p w14:paraId="6C9D391B">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bCs/>
          <w:color w:val="000000" w:themeColor="text1"/>
          <w:sz w:val="28"/>
          <w:szCs w:val="28"/>
        </w:rPr>
        <w:t>1.2　除征集文件中另有规定外，响应文件所使用的度量衡均须采用法定计量单位</w:t>
      </w:r>
      <w:r>
        <w:rPr>
          <w:rFonts w:hint="eastAsia" w:ascii="宋体" w:hAnsi="宋体" w:cs="华文仿宋"/>
          <w:color w:val="000000" w:themeColor="text1"/>
          <w:sz w:val="28"/>
          <w:szCs w:val="28"/>
        </w:rPr>
        <w:t>。</w:t>
      </w:r>
    </w:p>
    <w:p w14:paraId="5A2DEA37">
      <w:pPr>
        <w:wordWrap w:val="0"/>
        <w:spacing w:line="360" w:lineRule="auto"/>
        <w:ind w:firstLine="562" w:firstLineChars="200"/>
        <w:rPr>
          <w:rFonts w:ascii="宋体" w:hAnsi="宋体" w:cs="华文仿宋"/>
          <w:b/>
          <w:color w:val="000000" w:themeColor="text1"/>
          <w:sz w:val="28"/>
          <w:szCs w:val="28"/>
        </w:rPr>
      </w:pPr>
      <w:r>
        <w:rPr>
          <w:rFonts w:hint="eastAsia" w:ascii="宋体" w:hAnsi="宋体" w:cs="华文仿宋"/>
          <w:b/>
          <w:bCs/>
          <w:color w:val="000000" w:themeColor="text1"/>
          <w:sz w:val="28"/>
          <w:szCs w:val="28"/>
        </w:rPr>
        <w:t>2、</w:t>
      </w:r>
      <w:r>
        <w:rPr>
          <w:rFonts w:hint="eastAsia" w:ascii="宋体" w:hAnsi="宋体" w:cs="华文仿宋"/>
          <w:b/>
          <w:color w:val="000000" w:themeColor="text1"/>
          <w:sz w:val="28"/>
          <w:szCs w:val="28"/>
        </w:rPr>
        <w:t>响应文件构成</w:t>
      </w:r>
    </w:p>
    <w:p w14:paraId="3F746463">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2.1　响应文件应包括本征集文件响应文件格式中所规定的全部内容。</w:t>
      </w:r>
    </w:p>
    <w:p w14:paraId="1ADC06DD">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2.2　供应商必须对其响应文件的真实性与准确性负责。供应商一旦成为入围供应商，其响应文件将作为合同的重要组成部分。</w:t>
      </w:r>
    </w:p>
    <w:p w14:paraId="31A4DD13">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2.3　供应商不得擅自对征集文件规定的条款和技术要求进行修改。否则，其响应文件在评审小组时有可能被认为是未对征集文件做出实质性的响应而中止对其作进一步的评审。供应商应当使用征集文件所提供的响应文件格式编制响应文件，如有需要格式可以按原格式进行扩展，扩展后的格式内容应包括但不限于原格式内容。</w:t>
      </w:r>
    </w:p>
    <w:p w14:paraId="3A37E797">
      <w:pPr>
        <w:ind w:firstLine="413" w:firstLineChars="147"/>
        <w:rPr>
          <w:rFonts w:ascii="宋体" w:hAnsi="宋体" w:cs="华文仿宋"/>
          <w:b/>
          <w:color w:val="000000" w:themeColor="text1"/>
          <w:sz w:val="28"/>
          <w:szCs w:val="28"/>
        </w:rPr>
      </w:pPr>
      <w:r>
        <w:rPr>
          <w:rFonts w:hint="eastAsia" w:ascii="宋体" w:hAnsi="宋体" w:cs="华文仿宋"/>
          <w:b/>
          <w:color w:val="000000" w:themeColor="text1"/>
          <w:sz w:val="28"/>
          <w:szCs w:val="28"/>
        </w:rPr>
        <w:t>3、响应报价</w:t>
      </w:r>
    </w:p>
    <w:p w14:paraId="103B078B">
      <w:pPr>
        <w:ind w:firstLine="420" w:firstLineChars="150"/>
        <w:rPr>
          <w:rFonts w:ascii="宋体" w:hAnsi="宋体" w:cs="华文仿宋"/>
          <w:color w:val="000000" w:themeColor="text1"/>
          <w:sz w:val="28"/>
          <w:szCs w:val="28"/>
        </w:rPr>
      </w:pPr>
      <w:r>
        <w:rPr>
          <w:rFonts w:hint="eastAsia" w:ascii="宋体" w:hAnsi="宋体" w:cs="华文仿宋"/>
          <w:color w:val="000000" w:themeColor="text1"/>
          <w:sz w:val="28"/>
          <w:szCs w:val="28"/>
        </w:rPr>
        <w:t>(本项目为固定单价，供应商的维修工时单价设定为5元，不纳入评审。）</w:t>
      </w:r>
    </w:p>
    <w:p w14:paraId="4D8C3021">
      <w:pPr>
        <w:wordWrap w:val="0"/>
        <w:spacing w:line="360" w:lineRule="auto"/>
        <w:ind w:firstLine="700" w:firstLineChars="250"/>
        <w:rPr>
          <w:rFonts w:ascii="宋体" w:hAnsi="宋体" w:cs="华文仿宋"/>
          <w:bCs/>
          <w:color w:val="000000" w:themeColor="text1"/>
          <w:sz w:val="28"/>
          <w:szCs w:val="28"/>
        </w:rPr>
      </w:pPr>
      <w:r>
        <w:rPr>
          <w:rFonts w:hint="eastAsia" w:ascii="宋体" w:hAnsi="宋体" w:cs="华文仿宋"/>
          <w:bCs/>
          <w:color w:val="000000" w:themeColor="text1"/>
          <w:sz w:val="28"/>
          <w:szCs w:val="28"/>
        </w:rPr>
        <w:t>3.1　响应文件的响应报价表上应清楚地标明供应商拟提供服务的名称、单价和总价。只允许有一个方案、一个报价，多方案、多报价的响应文件将不被接受。征集文件另有规定的除外。</w:t>
      </w:r>
    </w:p>
    <w:p w14:paraId="4A773CE3">
      <w:pPr>
        <w:wordWrap w:val="0"/>
        <w:spacing w:line="360" w:lineRule="auto"/>
        <w:ind w:firstLine="700" w:firstLineChars="250"/>
        <w:rPr>
          <w:rFonts w:ascii="宋体" w:hAnsi="宋体" w:cs="华文仿宋"/>
          <w:bCs/>
          <w:color w:val="000000" w:themeColor="text1"/>
          <w:sz w:val="28"/>
          <w:szCs w:val="28"/>
        </w:rPr>
      </w:pPr>
      <w:r>
        <w:rPr>
          <w:rFonts w:hint="eastAsia" w:ascii="宋体" w:hAnsi="宋体" w:cs="华文仿宋"/>
          <w:bCs/>
          <w:color w:val="000000" w:themeColor="text1"/>
          <w:sz w:val="28"/>
          <w:szCs w:val="28"/>
        </w:rPr>
        <w:t>3.2　响应报价表上服务的价格是服务总价，其总价即为履行合同的固定价格。报价应当低于同类服务的市场平均价格。除非征集文件另有规定，响应报价均不得高于征集文件（公告）列明的控制价、项目预算。</w:t>
      </w:r>
    </w:p>
    <w:p w14:paraId="301AD412">
      <w:pPr>
        <w:pStyle w:val="15"/>
        <w:ind w:firstLine="560" w:firstLineChars="200"/>
        <w:rPr>
          <w:color w:val="000000" w:themeColor="text1"/>
        </w:rPr>
      </w:pPr>
      <w:r>
        <w:rPr>
          <w:rFonts w:hint="eastAsia" w:ascii="宋体" w:hAnsi="宋体" w:cs="华文仿宋"/>
          <w:bCs/>
          <w:color w:val="000000" w:themeColor="text1"/>
          <w:sz w:val="28"/>
          <w:szCs w:val="28"/>
        </w:rPr>
        <w:t>3.3　供应商的报价应包含</w:t>
      </w:r>
      <w:r>
        <w:rPr>
          <w:rFonts w:hint="eastAsia"/>
          <w:color w:val="000000" w:themeColor="text1"/>
          <w:sz w:val="28"/>
          <w:szCs w:val="28"/>
        </w:rPr>
        <w:t>达到可验收状态的所有费用</w:t>
      </w:r>
      <w:r>
        <w:rPr>
          <w:rFonts w:hint="eastAsia" w:ascii="宋体" w:hAnsi="宋体" w:cs="华文仿宋"/>
          <w:bCs/>
          <w:color w:val="000000" w:themeColor="text1"/>
          <w:sz w:val="28"/>
          <w:szCs w:val="28"/>
        </w:rPr>
        <w:t>。响应报价为签订合同的依据。</w:t>
      </w:r>
    </w:p>
    <w:p w14:paraId="354A95E4">
      <w:pPr>
        <w:wordWrap w:val="0"/>
        <w:spacing w:line="360" w:lineRule="auto"/>
        <w:ind w:firstLine="560" w:firstLineChars="200"/>
        <w:rPr>
          <w:rFonts w:ascii="宋体" w:hAnsi="宋体" w:cs="华文仿宋"/>
          <w:bCs/>
          <w:color w:val="000000" w:themeColor="text1"/>
          <w:sz w:val="28"/>
          <w:szCs w:val="28"/>
        </w:rPr>
      </w:pPr>
      <w:r>
        <w:rPr>
          <w:rFonts w:hint="eastAsia" w:ascii="宋体" w:hAnsi="宋体" w:cs="华文仿宋"/>
          <w:bCs/>
          <w:color w:val="000000" w:themeColor="text1"/>
          <w:sz w:val="28"/>
          <w:szCs w:val="28"/>
        </w:rPr>
        <w:t>3.4供应商应在响应文件中注明拟提供服务的单价、服务内容明细和总价。除政策性文件规定以外，供应商所报价格在合同实施期间不因市场变化因素而变动。</w:t>
      </w:r>
    </w:p>
    <w:p w14:paraId="52DC3667">
      <w:pPr>
        <w:wordWrap w:val="0"/>
        <w:spacing w:line="360" w:lineRule="auto"/>
        <w:ind w:firstLine="560" w:firstLineChars="200"/>
        <w:rPr>
          <w:rFonts w:ascii="宋体" w:hAnsi="宋体" w:cs="华文仿宋"/>
          <w:bCs/>
          <w:color w:val="000000" w:themeColor="text1"/>
          <w:sz w:val="28"/>
          <w:szCs w:val="28"/>
        </w:rPr>
      </w:pPr>
      <w:r>
        <w:rPr>
          <w:rFonts w:hint="eastAsia" w:ascii="宋体" w:hAnsi="宋体" w:cs="华文仿宋"/>
          <w:bCs/>
          <w:color w:val="000000" w:themeColor="text1"/>
          <w:sz w:val="28"/>
          <w:szCs w:val="28"/>
        </w:rPr>
        <w:t>3.5响应报价只限于填写在响应报价表内，响应文件其它位置不应出现报价内容。</w:t>
      </w:r>
    </w:p>
    <w:p w14:paraId="6025BBEE">
      <w:pPr>
        <w:wordWrap w:val="0"/>
        <w:spacing w:line="360" w:lineRule="auto"/>
        <w:ind w:firstLine="560" w:firstLineChars="200"/>
        <w:rPr>
          <w:rFonts w:ascii="宋体" w:hAnsi="宋体" w:cs="华文仿宋"/>
          <w:bCs/>
          <w:color w:val="000000" w:themeColor="text1"/>
          <w:sz w:val="28"/>
          <w:szCs w:val="28"/>
        </w:rPr>
      </w:pPr>
      <w:r>
        <w:rPr>
          <w:rFonts w:hint="eastAsia" w:ascii="宋体" w:hAnsi="宋体" w:cs="华文仿宋"/>
          <w:bCs/>
          <w:color w:val="000000" w:themeColor="text1"/>
          <w:sz w:val="28"/>
          <w:szCs w:val="28"/>
        </w:rPr>
        <w:t>4、响应货币：响应须以人民币报价。</w:t>
      </w:r>
    </w:p>
    <w:p w14:paraId="1AAAC533">
      <w:pPr>
        <w:wordWrap w:val="0"/>
        <w:spacing w:line="360" w:lineRule="auto"/>
        <w:ind w:firstLine="560" w:firstLineChars="200"/>
        <w:rPr>
          <w:rFonts w:ascii="宋体" w:hAnsi="宋体" w:cs="华文仿宋"/>
          <w:bCs/>
          <w:color w:val="000000" w:themeColor="text1"/>
          <w:sz w:val="28"/>
          <w:szCs w:val="28"/>
        </w:rPr>
      </w:pPr>
      <w:r>
        <w:rPr>
          <w:rFonts w:hint="eastAsia" w:ascii="宋体" w:hAnsi="宋体" w:cs="华文仿宋"/>
          <w:bCs/>
          <w:color w:val="000000" w:themeColor="text1"/>
          <w:sz w:val="28"/>
          <w:szCs w:val="28"/>
        </w:rPr>
        <w:t>5、证明供应商合格的文件</w:t>
      </w:r>
    </w:p>
    <w:p w14:paraId="4F5616F2">
      <w:pPr>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5.1供应商应提交征集文件要求的证明文件，证明其响应内容符合征集文件规定。该证明文件是</w:t>
      </w:r>
      <w:r>
        <w:rPr>
          <w:rFonts w:hint="eastAsia" w:ascii="宋体" w:hAnsi="宋体"/>
          <w:color w:val="000000" w:themeColor="text1"/>
          <w:sz w:val="28"/>
          <w:szCs w:val="28"/>
        </w:rPr>
        <w:t>响应文件的一部分。</w:t>
      </w:r>
    </w:p>
    <w:p w14:paraId="5E611D0D">
      <w:pPr>
        <w:spacing w:line="360" w:lineRule="auto"/>
        <w:ind w:firstLine="550"/>
        <w:rPr>
          <w:rFonts w:ascii="宋体" w:hAnsi="宋体" w:cs="华文仿宋"/>
          <w:color w:val="000000" w:themeColor="text1"/>
          <w:sz w:val="28"/>
          <w:szCs w:val="28"/>
        </w:rPr>
      </w:pPr>
      <w:r>
        <w:rPr>
          <w:rFonts w:hint="eastAsia" w:ascii="宋体" w:hAnsi="宋体" w:cs="华文仿宋"/>
          <w:color w:val="000000" w:themeColor="text1"/>
          <w:sz w:val="28"/>
          <w:szCs w:val="28"/>
        </w:rPr>
        <w:t>5.2供应商资质证书（或资格证明）处于年检、换证、升级、变更等期间，除非法律法规或发证机构有书面材料明确表明供应商资质（或资格)有效，否则一律不予认可。</w:t>
      </w:r>
    </w:p>
    <w:p w14:paraId="1010A6D2">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6、响应文件的密封和标记</w:t>
      </w:r>
    </w:p>
    <w:p w14:paraId="1F0D8055">
      <w:pPr>
        <w:pStyle w:val="89"/>
        <w:wordWrap w:val="0"/>
        <w:spacing w:line="360" w:lineRule="auto"/>
        <w:ind w:firstLine="560"/>
        <w:rPr>
          <w:rFonts w:ascii="宋体" w:hAnsi="宋体" w:cs="Times New Roman"/>
          <w:b w:val="0"/>
          <w:bCs w:val="0"/>
          <w:color w:val="000000" w:themeColor="text1"/>
        </w:rPr>
      </w:pPr>
      <w:bookmarkStart w:id="37" w:name="_Hlt509650747"/>
      <w:bookmarkEnd w:id="37"/>
      <w:r>
        <w:rPr>
          <w:rFonts w:hint="eastAsia" w:ascii="宋体" w:hAnsi="宋体" w:cs="Times New Roman"/>
          <w:b w:val="0"/>
          <w:bCs w:val="0"/>
          <w:color w:val="000000" w:themeColor="text1"/>
        </w:rPr>
        <w:t>实现网上电子开标的应在加密的电子响应文件中按照要求进行签章。</w:t>
      </w:r>
    </w:p>
    <w:p w14:paraId="13F1ABAD">
      <w:pPr>
        <w:pStyle w:val="5"/>
        <w:ind w:firstLine="562" w:firstLineChars="200"/>
        <w:rPr>
          <w:rFonts w:ascii="宋体" w:hAnsi="宋体"/>
          <w:bCs w:val="0"/>
          <w:color w:val="000000" w:themeColor="text1"/>
          <w:sz w:val="28"/>
          <w:szCs w:val="28"/>
        </w:rPr>
      </w:pPr>
      <w:r>
        <w:rPr>
          <w:rFonts w:hint="eastAsia" w:ascii="宋体" w:hAnsi="宋体"/>
          <w:bCs w:val="0"/>
          <w:color w:val="000000" w:themeColor="text1"/>
          <w:sz w:val="28"/>
          <w:szCs w:val="28"/>
        </w:rPr>
        <w:t>六、响应文件的提交</w:t>
      </w:r>
    </w:p>
    <w:p w14:paraId="6CF3A2D9">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 xml:space="preserve">1.响应文件的提交 </w:t>
      </w:r>
    </w:p>
    <w:p w14:paraId="2EB18385">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1.1加密电子响应文件的提交是指供应商使用系统完成上传响应文件，未在响应截止时间前完成上传的响应文件视为逾期送达。</w:t>
      </w:r>
    </w:p>
    <w:p w14:paraId="7F93E714">
      <w:pPr>
        <w:pStyle w:val="22"/>
        <w:spacing w:line="360" w:lineRule="auto"/>
        <w:ind w:firstLine="560" w:firstLineChars="200"/>
        <w:rPr>
          <w:rFonts w:hAnsi="宋体" w:cs="华文仿宋"/>
          <w:color w:val="000000" w:themeColor="text1"/>
          <w:sz w:val="28"/>
          <w:szCs w:val="28"/>
        </w:rPr>
      </w:pPr>
      <w:r>
        <w:rPr>
          <w:rFonts w:hint="eastAsia" w:hAnsi="宋体" w:cs="华文仿宋"/>
          <w:color w:val="000000" w:themeColor="text1"/>
          <w:sz w:val="28"/>
          <w:szCs w:val="28"/>
        </w:rPr>
        <w:t>1.2响应截止时间前，供应商可以修改或撤回已提交的响应文件，加密电子响应文件以响应截止时间前完成上传至系统的最后一份为准。</w:t>
      </w:r>
    </w:p>
    <w:p w14:paraId="1CC249E5">
      <w:pPr>
        <w:pStyle w:val="22"/>
        <w:spacing w:line="360" w:lineRule="auto"/>
        <w:ind w:firstLine="560" w:firstLineChars="200"/>
        <w:rPr>
          <w:rFonts w:hAnsi="宋体" w:cs="华文仿宋"/>
          <w:color w:val="000000" w:themeColor="text1"/>
          <w:sz w:val="28"/>
          <w:szCs w:val="28"/>
        </w:rPr>
      </w:pPr>
      <w:r>
        <w:rPr>
          <w:rFonts w:hint="eastAsia" w:hAnsi="宋体" w:cs="华文仿宋"/>
          <w:color w:val="000000" w:themeColor="text1"/>
          <w:sz w:val="28"/>
          <w:szCs w:val="28"/>
        </w:rPr>
        <w:t>1.3实行网上电子开评标的，响应截止时间以交易系统显示的时间为准，逾期系统将自动关闭, 未完成上传的响应文件将被拒绝。</w:t>
      </w:r>
    </w:p>
    <w:p w14:paraId="424B2A07">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2、响应文件的修改和撤回</w:t>
      </w:r>
    </w:p>
    <w:p w14:paraId="057BB9D1">
      <w:pPr>
        <w:wordWrap w:val="0"/>
        <w:spacing w:line="360" w:lineRule="auto"/>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使用电子开评标的项目，供应商在系统提交响应文件后，可以在规定的响应截止时间前修改或撤回电子标书。</w:t>
      </w:r>
    </w:p>
    <w:p w14:paraId="69023E52">
      <w:pPr>
        <w:pStyle w:val="5"/>
        <w:spacing w:before="0" w:after="0" w:line="360" w:lineRule="auto"/>
        <w:ind w:firstLine="562" w:firstLineChars="200"/>
        <w:rPr>
          <w:rFonts w:ascii="宋体" w:hAnsi="宋体" w:cs="华文仿宋"/>
          <w:bCs w:val="0"/>
          <w:color w:val="000000" w:themeColor="text1"/>
          <w:kern w:val="0"/>
          <w:sz w:val="28"/>
          <w:szCs w:val="28"/>
        </w:rPr>
      </w:pPr>
      <w:r>
        <w:rPr>
          <w:rFonts w:hint="eastAsia" w:ascii="宋体" w:hAnsi="宋体" w:cs="华文仿宋"/>
          <w:bCs w:val="0"/>
          <w:color w:val="000000" w:themeColor="text1"/>
          <w:sz w:val="28"/>
          <w:szCs w:val="28"/>
        </w:rPr>
        <w:t>七、</w:t>
      </w:r>
      <w:r>
        <w:rPr>
          <w:rFonts w:hint="eastAsia" w:ascii="宋体" w:hAnsi="宋体" w:cs="华文仿宋"/>
          <w:bCs w:val="0"/>
          <w:color w:val="000000" w:themeColor="text1"/>
          <w:kern w:val="0"/>
          <w:sz w:val="28"/>
          <w:szCs w:val="28"/>
        </w:rPr>
        <w:t>响应文件的开启</w:t>
      </w:r>
    </w:p>
    <w:p w14:paraId="7C8068B9">
      <w:pPr>
        <w:pStyle w:val="4"/>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1、开启活动应当符合相关法律法规。</w:t>
      </w:r>
    </w:p>
    <w:p w14:paraId="297CED3F">
      <w:pPr>
        <w:wordWrap w:val="0"/>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2、开启会议</w:t>
      </w:r>
    </w:p>
    <w:p w14:paraId="7AF3F67B">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2.1 主持人按征集公告所规定的时间和地点组织响应文件开启。</w:t>
      </w:r>
    </w:p>
    <w:p w14:paraId="5BCF1411">
      <w:pPr>
        <w:wordWrap w:val="0"/>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2.2响应文件开启由铜陵市公共资源交易中心项目负责人主持，任何对开启期间的质疑应当在开标时提出，否则视同供应商对开启过程理解和接受。</w:t>
      </w:r>
    </w:p>
    <w:p w14:paraId="0EE05DDB">
      <w:pPr>
        <w:pStyle w:val="22"/>
        <w:spacing w:line="360" w:lineRule="auto"/>
        <w:ind w:firstLine="560" w:firstLineChars="200"/>
        <w:rPr>
          <w:rFonts w:hAnsi="宋体" w:cs="华文仿宋"/>
          <w:color w:val="000000" w:themeColor="text1"/>
          <w:kern w:val="0"/>
          <w:sz w:val="28"/>
          <w:szCs w:val="28"/>
        </w:rPr>
      </w:pPr>
      <w:r>
        <w:rPr>
          <w:rFonts w:hint="eastAsia" w:hAnsi="宋体" w:cs="华文仿宋"/>
          <w:color w:val="000000" w:themeColor="text1"/>
          <w:kern w:val="0"/>
          <w:sz w:val="28"/>
          <w:szCs w:val="28"/>
        </w:rPr>
        <w:t>2.2.1 响应文件开启时，各供应商应在解密程序开始后规定时间前对本单位的响应文件进行解密。</w:t>
      </w:r>
    </w:p>
    <w:p w14:paraId="5871D7B2">
      <w:pPr>
        <w:wordWrap w:val="0"/>
        <w:spacing w:line="360" w:lineRule="auto"/>
        <w:ind w:firstLine="560" w:firstLineChars="200"/>
        <w:rPr>
          <w:rFonts w:cs="华文仿宋"/>
          <w:color w:val="000000" w:themeColor="text1"/>
          <w:sz w:val="28"/>
          <w:szCs w:val="28"/>
        </w:rPr>
      </w:pPr>
      <w:r>
        <w:rPr>
          <w:rFonts w:hint="eastAsia" w:ascii="宋体" w:hAnsi="宋体" w:cs="华文仿宋"/>
          <w:color w:val="000000" w:themeColor="text1"/>
          <w:kern w:val="0"/>
          <w:sz w:val="28"/>
          <w:szCs w:val="28"/>
        </w:rPr>
        <w:t>2.2.2 通过网上开标系统公</w:t>
      </w:r>
      <w:r>
        <w:rPr>
          <w:rFonts w:hint="eastAsia" w:cs="华文仿宋"/>
          <w:color w:val="000000" w:themeColor="text1"/>
          <w:sz w:val="28"/>
          <w:szCs w:val="28"/>
        </w:rPr>
        <w:t>布供应商名称、响应价格，以及其它详细内容。</w:t>
      </w:r>
    </w:p>
    <w:p w14:paraId="16178963">
      <w:pPr>
        <w:pStyle w:val="5"/>
        <w:spacing w:line="360" w:lineRule="auto"/>
        <w:rPr>
          <w:rFonts w:ascii="宋体" w:hAnsi="宋体" w:cs="华文仿宋"/>
          <w:bCs w:val="0"/>
          <w:color w:val="000000" w:themeColor="text1"/>
          <w:kern w:val="0"/>
          <w:sz w:val="28"/>
          <w:szCs w:val="28"/>
        </w:rPr>
      </w:pPr>
      <w:r>
        <w:rPr>
          <w:rFonts w:hint="eastAsia" w:ascii="宋体" w:hAnsi="宋体" w:cs="华文仿宋"/>
          <w:bCs w:val="0"/>
          <w:color w:val="000000" w:themeColor="text1"/>
          <w:kern w:val="0"/>
          <w:sz w:val="28"/>
          <w:szCs w:val="28"/>
        </w:rPr>
        <w:t>八、评审定标</w:t>
      </w:r>
    </w:p>
    <w:p w14:paraId="1FE8A128">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1、评审小组与评审</w:t>
      </w:r>
    </w:p>
    <w:p w14:paraId="3672B1DE">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1.1 评审小组由征集人依法组建，评审活动由评审小组负责。</w:t>
      </w:r>
    </w:p>
    <w:p w14:paraId="5E7BAA7F">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1.2 响应文件</w:t>
      </w:r>
      <w:r>
        <w:rPr>
          <w:rFonts w:hint="eastAsia" w:cs="华文仿宋"/>
          <w:color w:val="000000" w:themeColor="text1"/>
          <w:sz w:val="28"/>
          <w:szCs w:val="28"/>
        </w:rPr>
        <w:t>开启结束后，开始评审，评审采用保密方式进行。</w:t>
      </w:r>
    </w:p>
    <w:p w14:paraId="6EF14A73">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2、评审过程的保密</w:t>
      </w:r>
    </w:p>
    <w:p w14:paraId="66A0AD83">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响应文件开启后，直至授予入围供应商合同为止，凡属于对响应文件的审查、澄清、评价和比较的有关资料以及入围候选人的推荐情况，与评审有关的其他任何情况均严格保密。</w:t>
      </w:r>
    </w:p>
    <w:p w14:paraId="1047ACE2">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3、响应文件的澄清</w:t>
      </w:r>
    </w:p>
    <w:p w14:paraId="6B402808">
      <w:pPr>
        <w:pStyle w:val="90"/>
        <w:wordWrap w:val="0"/>
        <w:adjustRightInd/>
        <w:spacing w:line="360" w:lineRule="auto"/>
        <w:ind w:firstLine="560" w:firstLineChars="200"/>
        <w:jc w:val="both"/>
        <w:rPr>
          <w:rFonts w:ascii="仿宋" w:hAnsi="仿宋" w:eastAsia="仿宋" w:cs="仿宋"/>
          <w:color w:val="000000" w:themeColor="text1"/>
          <w:sz w:val="32"/>
          <w:szCs w:val="32"/>
          <w:shd w:val="clear" w:color="auto" w:fill="FFFFFF"/>
        </w:rPr>
      </w:pPr>
      <w:r>
        <w:rPr>
          <w:rFonts w:hint="eastAsia" w:cs="华文仿宋"/>
          <w:color w:val="000000" w:themeColor="text1"/>
          <w:sz w:val="28"/>
          <w:szCs w:val="28"/>
        </w:rPr>
        <w:t>3.1 为有助于响应文件的审查、评价和比较，评审小组通过铜陵市公共资源交易系统</w:t>
      </w:r>
      <w:r>
        <w:rPr>
          <w:rFonts w:cs="华文仿宋"/>
          <w:color w:val="000000" w:themeColor="text1"/>
          <w:sz w:val="28"/>
          <w:szCs w:val="28"/>
        </w:rPr>
        <w:t>要求供应商对响应文件含义不明确的内容作必要的澄清或说明</w:t>
      </w:r>
      <w:r>
        <w:rPr>
          <w:rFonts w:hint="eastAsia" w:cs="华文仿宋"/>
          <w:color w:val="000000" w:themeColor="text1"/>
          <w:sz w:val="28"/>
          <w:szCs w:val="28"/>
        </w:rPr>
        <w:t>。</w:t>
      </w:r>
    </w:p>
    <w:p w14:paraId="734CD1F4">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3.2 供应商应在响应函中填写联系人姓名及联系电话，并通过系统接受评审小组发起的</w:t>
      </w:r>
      <w:r>
        <w:rPr>
          <w:rFonts w:cs="华文仿宋"/>
          <w:color w:val="000000" w:themeColor="text1"/>
          <w:sz w:val="28"/>
          <w:szCs w:val="28"/>
        </w:rPr>
        <w:t>澄清</w:t>
      </w:r>
      <w:r>
        <w:rPr>
          <w:rFonts w:hint="eastAsia" w:cs="华文仿宋"/>
          <w:color w:val="000000" w:themeColor="text1"/>
          <w:sz w:val="28"/>
          <w:szCs w:val="28"/>
        </w:rPr>
        <w:t>要求，在规定的时间内（从评审小组发起询标起不超过30分钟）自行查阅询标内容，回复确认后加盖电子签章，但不得超出响应文件的范围或改变响应文件的实质性内容。凡属于评审小组在评审中发现的计算错误进行核实的修改不在此列。</w:t>
      </w:r>
    </w:p>
    <w:p w14:paraId="02376966">
      <w:pPr>
        <w:pStyle w:val="15"/>
        <w:spacing w:line="360" w:lineRule="auto"/>
        <w:ind w:firstLine="560" w:firstLineChars="200"/>
        <w:jc w:val="both"/>
        <w:rPr>
          <w:rFonts w:ascii="宋体" w:hAnsi="宋体" w:cs="宋体"/>
          <w:color w:val="000000" w:themeColor="text1"/>
          <w:sz w:val="28"/>
          <w:szCs w:val="28"/>
        </w:rPr>
      </w:pPr>
      <w:r>
        <w:rPr>
          <w:rFonts w:hint="eastAsia" w:ascii="宋体" w:hAnsi="宋体" w:cs="宋体"/>
          <w:color w:val="000000" w:themeColor="text1"/>
          <w:sz w:val="28"/>
          <w:szCs w:val="28"/>
        </w:rPr>
        <w:t>3.3 响应文件的澄清：响应文件需澄清、说明或者补正的(包括补正响应报价)以及响应文件存在细微偏差需要补正的，评审小组应当以询标的形式要求供应商通过系统澄清、说明、补正或确认，细微偏差的修正将由评委进行评审、解释，供应商应在线签章认可。</w:t>
      </w:r>
    </w:p>
    <w:p w14:paraId="0DDE43A2">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4</w:t>
      </w:r>
      <w:r>
        <w:rPr>
          <w:rFonts w:hint="eastAsia" w:cs="华文仿宋"/>
          <w:color w:val="000000" w:themeColor="text1"/>
          <w:sz w:val="28"/>
          <w:szCs w:val="28"/>
        </w:rPr>
        <w:t>、重大偏差和细微偏差</w:t>
      </w:r>
    </w:p>
    <w:p w14:paraId="3E49B74E">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4.1 评审小组应当根据征集文件有关规定，审查并逐项列出响应文件的全部响应偏差。响应偏差分重大偏差和细微偏差。</w:t>
      </w:r>
    </w:p>
    <w:p w14:paraId="02481FC7">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4.2 响应文件属于重大偏差，由评审小组评审后按无效标处理。</w:t>
      </w:r>
    </w:p>
    <w:p w14:paraId="55012167">
      <w:pPr>
        <w:pStyle w:val="90"/>
        <w:wordWrap w:val="0"/>
        <w:adjustRightInd/>
        <w:ind w:firstLine="560" w:firstLineChars="200"/>
        <w:jc w:val="both"/>
        <w:rPr>
          <w:rFonts w:cs="华文仿宋"/>
          <w:color w:val="000000" w:themeColor="text1"/>
          <w:sz w:val="28"/>
          <w:szCs w:val="28"/>
        </w:rPr>
      </w:pPr>
      <w:r>
        <w:rPr>
          <w:rFonts w:hint="eastAsia" w:cs="华文仿宋"/>
          <w:bCs/>
          <w:color w:val="000000" w:themeColor="text1"/>
          <w:sz w:val="28"/>
          <w:szCs w:val="28"/>
        </w:rPr>
        <w:t>4.3 细</w:t>
      </w:r>
      <w:r>
        <w:rPr>
          <w:rFonts w:hint="eastAsia" w:cs="华文仿宋"/>
          <w:color w:val="000000" w:themeColor="text1"/>
          <w:sz w:val="28"/>
          <w:szCs w:val="28"/>
        </w:rPr>
        <w:t>微偏差的认定：细微偏差是指响应文件在实质上响应征集文件要求，但在个别地方存在漏项或者提供了不完整的技术信息和数据等情况，并且补正这些遗漏或者不完整不会对其他供应商造成不公平的结果。细微偏差不影响响应文件的有效性。</w:t>
      </w:r>
      <w:r>
        <w:rPr>
          <w:rFonts w:hint="eastAsia" w:cs="华文仿宋"/>
          <w:bCs/>
          <w:color w:val="000000" w:themeColor="text1"/>
          <w:sz w:val="28"/>
          <w:szCs w:val="28"/>
        </w:rPr>
        <w:t>评审小组</w:t>
      </w:r>
      <w:r>
        <w:rPr>
          <w:rFonts w:hint="eastAsia" w:cs="华文仿宋"/>
          <w:color w:val="000000" w:themeColor="text1"/>
          <w:sz w:val="28"/>
          <w:szCs w:val="28"/>
        </w:rPr>
        <w:t>应当书面要求存在细微偏差的供应商在评标结束前予以补正。拒不补正的，在详细评审时可以对细微偏差作不利于该供应商的量化。</w:t>
      </w:r>
    </w:p>
    <w:p w14:paraId="71977F31">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4.4 如果响应文件实质上不响应征集文件的各项要求，评审小组将予以拒绝，并且不允许供应商通过修改或撤销其不符合要求的差异或保留，使之成为具有响应性的响应。</w:t>
      </w:r>
    </w:p>
    <w:p w14:paraId="45ECA5DE">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 xml:space="preserve">4.5 </w:t>
      </w:r>
      <w:r>
        <w:rPr>
          <w:rFonts w:hint="eastAsia" w:cs="华文仿宋"/>
          <w:color w:val="000000" w:themeColor="text1"/>
          <w:sz w:val="28"/>
          <w:szCs w:val="28"/>
        </w:rPr>
        <w:t>经审查符合征集文件要求的有效响应文件，由评审小组进行详细评审、比较。</w:t>
      </w:r>
    </w:p>
    <w:p w14:paraId="4C721666">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5、调整或修正响应报价</w:t>
      </w:r>
    </w:p>
    <w:p w14:paraId="4E9D2410">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调整或修正响应文件的响应报价，供应商同意后，调整后的响应报价对供应商起约束作用。如果供应商不接受修正后的报价，则其响应将被拒绝，并不影响评审工作。</w:t>
      </w:r>
    </w:p>
    <w:p w14:paraId="180AFF07">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6、澄清、补正后的响应报价</w:t>
      </w:r>
    </w:p>
    <w:p w14:paraId="6811F6E7">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按照规定进行澄清、补正后的响应报价经供应商的法定代表人或其委托代理人确认后即为该供应商的最终响应报价。供应商一旦入围，此报价即为入围价。</w:t>
      </w:r>
    </w:p>
    <w:p w14:paraId="2F43BD4E">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7、响应文件的评审</w:t>
      </w:r>
    </w:p>
    <w:p w14:paraId="60C8D083">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7.1 评审小组将按照本须知规定，对在实质上响应征集文件要求的响应文件进行评审。</w:t>
      </w:r>
    </w:p>
    <w:p w14:paraId="2044DE0A">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7.2 在评审过程中,评审小组可以在线询标的形式要求供应商就响应文件中含义不明确的内容进行在线回复说明并提供相关材料。</w:t>
      </w:r>
    </w:p>
    <w:p w14:paraId="5D6A861F">
      <w:pPr>
        <w:pStyle w:val="90"/>
        <w:ind w:firstLine="560" w:firstLineChars="200"/>
        <w:rPr>
          <w:rFonts w:cs="华文仿宋"/>
          <w:bCs/>
          <w:color w:val="000000" w:themeColor="text1"/>
          <w:sz w:val="28"/>
          <w:szCs w:val="28"/>
        </w:rPr>
      </w:pPr>
      <w:r>
        <w:rPr>
          <w:rFonts w:hint="eastAsia" w:cs="华文仿宋"/>
          <w:bCs/>
          <w:color w:val="000000" w:themeColor="text1"/>
          <w:sz w:val="28"/>
          <w:szCs w:val="28"/>
        </w:rPr>
        <w:t>7.3 征集人根据信用查询情况、评审小组出具的评审报告，</w:t>
      </w:r>
      <w:r>
        <w:rPr>
          <w:rFonts w:cs="华文仿宋"/>
          <w:bCs/>
          <w:color w:val="000000" w:themeColor="text1"/>
          <w:sz w:val="28"/>
          <w:szCs w:val="28"/>
        </w:rPr>
        <w:t>在评审报告确定的</w:t>
      </w:r>
      <w:r>
        <w:rPr>
          <w:rFonts w:hint="eastAsia" w:cs="华文仿宋"/>
          <w:bCs/>
          <w:color w:val="000000" w:themeColor="text1"/>
          <w:sz w:val="28"/>
          <w:szCs w:val="28"/>
        </w:rPr>
        <w:t>入围</w:t>
      </w:r>
      <w:r>
        <w:rPr>
          <w:rFonts w:cs="华文仿宋"/>
          <w:bCs/>
          <w:color w:val="000000" w:themeColor="text1"/>
          <w:sz w:val="28"/>
          <w:szCs w:val="28"/>
        </w:rPr>
        <w:t>候选人名单中按顺序确定</w:t>
      </w:r>
      <w:r>
        <w:rPr>
          <w:rFonts w:hint="eastAsia" w:cs="华文仿宋"/>
          <w:color w:val="000000" w:themeColor="text1"/>
          <w:sz w:val="28"/>
          <w:szCs w:val="28"/>
        </w:rPr>
        <w:t>入围供应商</w:t>
      </w:r>
      <w:r>
        <w:rPr>
          <w:rFonts w:hint="eastAsia" w:cs="华文仿宋"/>
          <w:bCs/>
          <w:color w:val="000000" w:themeColor="text1"/>
          <w:sz w:val="28"/>
          <w:szCs w:val="28"/>
        </w:rPr>
        <w:t>或授权评审小组依法直接确定入围供应商。</w:t>
      </w:r>
    </w:p>
    <w:p w14:paraId="20A7C333">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7.4 征集</w:t>
      </w:r>
      <w:r>
        <w:rPr>
          <w:rFonts w:cs="华文仿宋"/>
          <w:color w:val="000000" w:themeColor="text1"/>
          <w:sz w:val="28"/>
          <w:szCs w:val="28"/>
        </w:rPr>
        <w:t>人根据评审小组提出的评审报告和推荐的入围候选人</w:t>
      </w:r>
      <w:r>
        <w:rPr>
          <w:rFonts w:hint="eastAsia" w:cs="华文仿宋"/>
          <w:color w:val="000000" w:themeColor="text1"/>
          <w:sz w:val="28"/>
          <w:szCs w:val="28"/>
        </w:rPr>
        <w:t>，</w:t>
      </w:r>
      <w:r>
        <w:rPr>
          <w:rFonts w:cs="华文仿宋"/>
          <w:color w:val="000000" w:themeColor="text1"/>
          <w:sz w:val="28"/>
          <w:szCs w:val="28"/>
        </w:rPr>
        <w:t>在评审结束并收到评审报告后的</w:t>
      </w:r>
      <w:r>
        <w:rPr>
          <w:rFonts w:hint="eastAsia" w:cs="华文仿宋"/>
          <w:color w:val="000000" w:themeColor="text1"/>
          <w:sz w:val="28"/>
          <w:szCs w:val="28"/>
        </w:rPr>
        <w:t>5个工作日内确定入围候选人为入围供应商。</w:t>
      </w:r>
    </w:p>
    <w:p w14:paraId="7462FDD0">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8、入围供应商放弃入围、因不可抗力不能履行协议、或者被查实存在影响入围结果的违法行为等情形，不符合入围条件的，征集人可以按照评审小组提出的入围候选人名单排序依次确定其他入围候选供应商为入围候选人，也可以重新组织征集。</w:t>
      </w:r>
    </w:p>
    <w:p w14:paraId="2A06ED36">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9、入围通知书</w:t>
      </w:r>
    </w:p>
    <w:p w14:paraId="31A02611">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入围供应商确定后,由征集人向入围供应商发出入围通知书。入围通知书对征集人和入围供应商具有同等法律效力。</w:t>
      </w:r>
    </w:p>
    <w:p w14:paraId="3429A501">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10、入围供应商清退和补充规则</w:t>
      </w:r>
    </w:p>
    <w:p w14:paraId="16ED39CF">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11.1入围供应商清退规则</w:t>
      </w:r>
    </w:p>
    <w:p w14:paraId="66B01A6C">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入围供应商有下列情形之一，尚未签订框架协议的，取消其入围资格；已经签订框架协议的，解除与其签订的框架协议： </w:t>
      </w:r>
    </w:p>
    <w:p w14:paraId="0949BDC7">
      <w:pPr>
        <w:pStyle w:val="90"/>
        <w:wordWrap w:val="0"/>
        <w:spacing w:line="360" w:lineRule="auto"/>
        <w:ind w:firstLine="280" w:firstLineChars="100"/>
        <w:jc w:val="both"/>
        <w:rPr>
          <w:rFonts w:cs="华文仿宋"/>
          <w:color w:val="000000" w:themeColor="text1"/>
          <w:sz w:val="28"/>
          <w:szCs w:val="28"/>
        </w:rPr>
      </w:pPr>
      <w:r>
        <w:rPr>
          <w:rFonts w:hint="eastAsia" w:cs="华文仿宋"/>
          <w:color w:val="000000" w:themeColor="text1"/>
          <w:sz w:val="28"/>
          <w:szCs w:val="28"/>
        </w:rPr>
        <w:t>（一）恶意串通谋取入围或者合同成交的； </w:t>
      </w:r>
    </w:p>
    <w:p w14:paraId="1744FCB2">
      <w:pPr>
        <w:pStyle w:val="90"/>
        <w:wordWrap w:val="0"/>
        <w:spacing w:line="360" w:lineRule="auto"/>
        <w:ind w:firstLine="280" w:firstLineChars="100"/>
        <w:jc w:val="both"/>
        <w:rPr>
          <w:rFonts w:cs="华文仿宋"/>
          <w:color w:val="000000" w:themeColor="text1"/>
          <w:sz w:val="28"/>
          <w:szCs w:val="28"/>
        </w:rPr>
      </w:pPr>
      <w:r>
        <w:rPr>
          <w:rFonts w:hint="eastAsia" w:cs="华文仿宋"/>
          <w:color w:val="000000" w:themeColor="text1"/>
          <w:sz w:val="28"/>
          <w:szCs w:val="28"/>
        </w:rPr>
        <w:t>（二）提供虚假材料谋取入围或者合同成交的； </w:t>
      </w:r>
    </w:p>
    <w:p w14:paraId="751CFCA2">
      <w:pPr>
        <w:pStyle w:val="90"/>
        <w:wordWrap w:val="0"/>
        <w:spacing w:line="360" w:lineRule="auto"/>
        <w:ind w:firstLine="280" w:firstLineChars="100"/>
        <w:jc w:val="both"/>
        <w:rPr>
          <w:rFonts w:cs="华文仿宋"/>
          <w:color w:val="000000" w:themeColor="text1"/>
          <w:sz w:val="28"/>
          <w:szCs w:val="28"/>
        </w:rPr>
      </w:pPr>
      <w:r>
        <w:rPr>
          <w:rFonts w:hint="eastAsia" w:cs="华文仿宋"/>
          <w:color w:val="000000" w:themeColor="text1"/>
          <w:sz w:val="28"/>
          <w:szCs w:val="28"/>
        </w:rPr>
        <w:t>（三）无正当理由拒不接受合同授予的； </w:t>
      </w:r>
    </w:p>
    <w:p w14:paraId="5F74137D">
      <w:pPr>
        <w:pStyle w:val="90"/>
        <w:wordWrap w:val="0"/>
        <w:spacing w:line="360" w:lineRule="auto"/>
        <w:ind w:firstLine="280" w:firstLineChars="100"/>
        <w:jc w:val="both"/>
        <w:rPr>
          <w:rFonts w:cs="华文仿宋"/>
          <w:color w:val="000000" w:themeColor="text1"/>
          <w:sz w:val="28"/>
          <w:szCs w:val="28"/>
        </w:rPr>
      </w:pPr>
      <w:r>
        <w:rPr>
          <w:rFonts w:hint="eastAsia" w:cs="华文仿宋"/>
          <w:color w:val="000000" w:themeColor="text1"/>
          <w:sz w:val="28"/>
          <w:szCs w:val="28"/>
        </w:rPr>
        <w:t>（四）不履行合同义务或者履行合同义务不符合约定，经征集人请求履行后仍不履行或者仍未按约定履行的； </w:t>
      </w:r>
    </w:p>
    <w:p w14:paraId="48B40198">
      <w:pPr>
        <w:pStyle w:val="90"/>
        <w:wordWrap w:val="0"/>
        <w:spacing w:line="360" w:lineRule="auto"/>
        <w:ind w:firstLine="420" w:firstLineChars="150"/>
        <w:jc w:val="both"/>
        <w:rPr>
          <w:rFonts w:cs="华文仿宋"/>
          <w:color w:val="000000" w:themeColor="text1"/>
          <w:sz w:val="28"/>
          <w:szCs w:val="28"/>
        </w:rPr>
      </w:pPr>
      <w:r>
        <w:rPr>
          <w:rFonts w:hint="eastAsia" w:cs="华文仿宋"/>
          <w:color w:val="000000" w:themeColor="text1"/>
          <w:sz w:val="28"/>
          <w:szCs w:val="28"/>
        </w:rPr>
        <w:t>（五）框架协议有效期内，因违法行为被禁止或限制参加政府采购活动的； </w:t>
      </w:r>
    </w:p>
    <w:p w14:paraId="2D0811B1">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（六）框架协议约定的其他情形。 </w:t>
      </w:r>
    </w:p>
    <w:p w14:paraId="0E7825F8">
      <w:pPr>
        <w:pStyle w:val="90"/>
        <w:wordWrap w:val="0"/>
        <w:spacing w:line="360" w:lineRule="auto"/>
        <w:ind w:firstLine="280" w:firstLineChars="100"/>
        <w:jc w:val="both"/>
        <w:rPr>
          <w:rFonts w:cs="华文仿宋"/>
          <w:color w:val="000000" w:themeColor="text1"/>
          <w:sz w:val="28"/>
          <w:szCs w:val="28"/>
        </w:rPr>
      </w:pPr>
      <w:r>
        <w:rPr>
          <w:rFonts w:hint="eastAsia" w:cs="华文仿宋"/>
          <w:color w:val="000000" w:themeColor="text1"/>
          <w:sz w:val="28"/>
          <w:szCs w:val="28"/>
        </w:rPr>
        <w:t>　被取消入围资格或者被解除框架协议的供应商不得参加同一封闭式框架协议补充征集，或者重新申请加入同一开放式框架协议。</w:t>
      </w:r>
    </w:p>
    <w:p w14:paraId="028B83D3">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11.2 入围供应商补充规则</w:t>
      </w:r>
    </w:p>
    <w:p w14:paraId="29EF8B54">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如有入围供应商被清退，除剩余入围供应商不足入围供应商总数70%且影响框架协议执行的情形外，框架协议有效期内，征集人不得补充征集供应商。</w:t>
      </w:r>
    </w:p>
    <w:p w14:paraId="16B9160B">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12、质疑</w:t>
      </w:r>
    </w:p>
    <w:p w14:paraId="2777493D">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color w:val="000000" w:themeColor="text1"/>
          <w:sz w:val="28"/>
          <w:szCs w:val="28"/>
        </w:rPr>
        <w:t>供应商认为磋商文件、采购过程、中标结果使自己的权益收到损害的，可以在知道或应当知其权益受到损害之日起7个工作日内，</w:t>
      </w:r>
      <w:r>
        <w:rPr>
          <w:rFonts w:cs="华文仿宋"/>
          <w:color w:val="000000" w:themeColor="text1"/>
          <w:sz w:val="28"/>
          <w:szCs w:val="28"/>
        </w:rPr>
        <w:t>可通过书面形式或登录铜陵市公共资源交易平台线上提交两种方式提出</w:t>
      </w:r>
      <w:r>
        <w:rPr>
          <w:rFonts w:hint="eastAsia" w:cs="华文仿宋"/>
          <w:color w:val="000000" w:themeColor="text1"/>
          <w:sz w:val="28"/>
          <w:szCs w:val="28"/>
        </w:rPr>
        <w:t>。</w:t>
      </w:r>
    </w:p>
    <w:p w14:paraId="66EC1807">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供应商应在法定质疑期内一次性提出针对同一采购程序环节的质疑。提出质疑的供应商应当是参与所质疑项目采购活动的供应商。</w:t>
      </w:r>
    </w:p>
    <w:p w14:paraId="6B99F4AE">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提交质疑函时一并提交授权委托书。</w:t>
      </w:r>
      <w:r>
        <w:rPr>
          <w:rFonts w:hint="eastAsia" w:cs="华文仿宋"/>
          <w:color w:val="000000" w:themeColor="text1"/>
          <w:sz w:val="28"/>
          <w:szCs w:val="28"/>
        </w:rPr>
        <w:t>供应商提出质疑应当提交质疑函和必要的证明材料。</w:t>
      </w:r>
    </w:p>
    <w:p w14:paraId="52FCFA39">
      <w:pPr>
        <w:pStyle w:val="90"/>
        <w:wordWrap w:val="0"/>
        <w:adjustRightInd/>
        <w:spacing w:line="360" w:lineRule="auto"/>
        <w:ind w:firstLine="560" w:firstLineChars="200"/>
        <w:jc w:val="both"/>
        <w:rPr>
          <w:rFonts w:cs="华文仿宋"/>
          <w:bCs/>
          <w:color w:val="000000" w:themeColor="text1"/>
          <w:sz w:val="28"/>
          <w:szCs w:val="28"/>
        </w:rPr>
      </w:pPr>
      <w:r>
        <w:rPr>
          <w:rFonts w:cs="华文仿宋"/>
          <w:bCs/>
          <w:color w:val="000000" w:themeColor="text1"/>
          <w:sz w:val="28"/>
          <w:szCs w:val="28"/>
        </w:rPr>
        <w:t>质疑的提交要求、处理主体、处理程序等相关问题可以登录《铜陵市公共资源交易网》政策法规栏进行查询。</w:t>
      </w:r>
    </w:p>
    <w:p w14:paraId="12A442AF">
      <w:pPr>
        <w:pStyle w:val="90"/>
        <w:wordWrap w:val="0"/>
        <w:adjustRightInd/>
        <w:spacing w:line="360" w:lineRule="auto"/>
        <w:jc w:val="both"/>
        <w:rPr>
          <w:rFonts w:cs="华文仿宋"/>
          <w:b/>
          <w:color w:val="000000" w:themeColor="text1"/>
          <w:sz w:val="28"/>
          <w:szCs w:val="28"/>
        </w:rPr>
      </w:pPr>
    </w:p>
    <w:p w14:paraId="20DCF284">
      <w:pPr>
        <w:pStyle w:val="5"/>
        <w:rPr>
          <w:rFonts w:ascii="宋体" w:hAnsi="宋体" w:cs="华文仿宋"/>
          <w:b w:val="0"/>
          <w:bCs w:val="0"/>
          <w:color w:val="000000" w:themeColor="text1"/>
          <w:kern w:val="0"/>
          <w:sz w:val="28"/>
          <w:szCs w:val="28"/>
        </w:rPr>
      </w:pPr>
      <w:r>
        <w:rPr>
          <w:rFonts w:hint="eastAsia" w:ascii="宋体" w:hAnsi="宋体" w:cs="华文仿宋"/>
          <w:b w:val="0"/>
          <w:bCs w:val="0"/>
          <w:color w:val="000000" w:themeColor="text1"/>
          <w:kern w:val="0"/>
          <w:sz w:val="28"/>
          <w:szCs w:val="28"/>
        </w:rPr>
        <w:t>九、终止</w:t>
      </w:r>
    </w:p>
    <w:p w14:paraId="2FB11AAC">
      <w:pPr>
        <w:spacing w:line="360" w:lineRule="auto"/>
        <w:ind w:firstLine="549"/>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1、出现下列情形之一的，本项目终止：</w:t>
      </w:r>
    </w:p>
    <w:p w14:paraId="25969B29">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w:t>
      </w:r>
      <w:r>
        <w:rPr>
          <w:rFonts w:ascii="宋体" w:hAnsi="宋体" w:cs="华文仿宋"/>
          <w:color w:val="000000" w:themeColor="text1"/>
          <w:kern w:val="0"/>
          <w:sz w:val="28"/>
          <w:szCs w:val="28"/>
        </w:rPr>
        <w:t>.1</w:t>
      </w:r>
      <w:r>
        <w:rPr>
          <w:rFonts w:hint="eastAsia" w:ascii="宋体" w:hAnsi="宋体" w:cs="华文仿宋"/>
          <w:color w:val="000000" w:themeColor="text1"/>
          <w:kern w:val="0"/>
          <w:sz w:val="28"/>
          <w:szCs w:val="28"/>
        </w:rPr>
        <w:t>合格供应商不足规定家数的；</w:t>
      </w:r>
    </w:p>
    <w:p w14:paraId="700FED4B">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w:t>
      </w:r>
      <w:r>
        <w:rPr>
          <w:rFonts w:ascii="宋体" w:hAnsi="宋体" w:cs="华文仿宋"/>
          <w:color w:val="000000" w:themeColor="text1"/>
          <w:kern w:val="0"/>
          <w:sz w:val="28"/>
          <w:szCs w:val="28"/>
        </w:rPr>
        <w:t>.2</w:t>
      </w:r>
      <w:r>
        <w:rPr>
          <w:rFonts w:hint="eastAsia" w:ascii="宋体" w:hAnsi="宋体" w:cs="华文仿宋"/>
          <w:color w:val="000000" w:themeColor="text1"/>
          <w:kern w:val="0"/>
          <w:sz w:val="28"/>
          <w:szCs w:val="28"/>
        </w:rPr>
        <w:t xml:space="preserve">出现影响采购公正的违法、违规行为的； </w:t>
      </w:r>
    </w:p>
    <w:p w14:paraId="21727F5C">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w:t>
      </w:r>
      <w:r>
        <w:rPr>
          <w:rFonts w:ascii="宋体" w:hAnsi="宋体" w:cs="华文仿宋"/>
          <w:color w:val="000000" w:themeColor="text1"/>
          <w:kern w:val="0"/>
          <w:sz w:val="28"/>
          <w:szCs w:val="28"/>
        </w:rPr>
        <w:t>.3</w:t>
      </w:r>
      <w:r>
        <w:rPr>
          <w:rFonts w:hint="eastAsia" w:ascii="宋体" w:hAnsi="宋体" w:cs="华文仿宋"/>
          <w:color w:val="000000" w:themeColor="text1"/>
          <w:kern w:val="0"/>
          <w:sz w:val="28"/>
          <w:szCs w:val="28"/>
        </w:rPr>
        <w:t>采购需求出现重大问题，导致评审小组认为无法继续评审的；</w:t>
      </w:r>
    </w:p>
    <w:p w14:paraId="38158539">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w:t>
      </w:r>
      <w:r>
        <w:rPr>
          <w:rFonts w:ascii="宋体" w:hAnsi="宋体" w:cs="华文仿宋"/>
          <w:color w:val="000000" w:themeColor="text1"/>
          <w:kern w:val="0"/>
          <w:sz w:val="28"/>
          <w:szCs w:val="28"/>
        </w:rPr>
        <w:t>.4</w:t>
      </w:r>
      <w:r>
        <w:rPr>
          <w:rFonts w:hint="eastAsia" w:ascii="宋体" w:hAnsi="宋体" w:cs="华文仿宋"/>
          <w:color w:val="000000" w:themeColor="text1"/>
          <w:kern w:val="0"/>
          <w:sz w:val="28"/>
          <w:szCs w:val="28"/>
        </w:rPr>
        <w:t>因重大变故，采购任务取消的。</w:t>
      </w:r>
    </w:p>
    <w:p w14:paraId="39D3A955">
      <w:pPr>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w:t>
      </w:r>
      <w:r>
        <w:rPr>
          <w:rFonts w:ascii="宋体" w:hAnsi="宋体" w:cs="华文仿宋"/>
          <w:color w:val="000000" w:themeColor="text1"/>
          <w:kern w:val="0"/>
          <w:sz w:val="28"/>
          <w:szCs w:val="28"/>
        </w:rPr>
        <w:t>.5</w:t>
      </w:r>
      <w:r>
        <w:rPr>
          <w:rFonts w:hint="eastAsia" w:ascii="宋体" w:hAnsi="宋体" w:cs="华文仿宋"/>
          <w:color w:val="000000" w:themeColor="text1"/>
          <w:kern w:val="0"/>
          <w:sz w:val="28"/>
          <w:szCs w:val="28"/>
        </w:rPr>
        <w:t>法律法规规定的其他应该终止的情形。</w:t>
      </w:r>
    </w:p>
    <w:p w14:paraId="0F79DD00">
      <w:pPr>
        <w:pStyle w:val="5"/>
        <w:spacing w:line="360" w:lineRule="auto"/>
        <w:rPr>
          <w:rFonts w:ascii="宋体" w:hAnsi="宋体"/>
          <w:color w:val="000000" w:themeColor="text1"/>
          <w:sz w:val="28"/>
          <w:szCs w:val="28"/>
        </w:rPr>
      </w:pPr>
      <w:r>
        <w:rPr>
          <w:rFonts w:hint="eastAsia" w:ascii="宋体" w:hAnsi="宋体"/>
          <w:color w:val="000000" w:themeColor="text1"/>
          <w:sz w:val="28"/>
          <w:szCs w:val="28"/>
        </w:rPr>
        <w:t>十、评审办法</w:t>
      </w:r>
    </w:p>
    <w:p w14:paraId="0C2CF029">
      <w:pPr>
        <w:pStyle w:val="4"/>
        <w:ind w:firstLineChars="15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（一）、第一阶段入围供应商的评审方法</w:t>
      </w:r>
    </w:p>
    <w:p w14:paraId="40E1FEF0">
      <w:pPr>
        <w:pStyle w:val="4"/>
        <w:ind w:firstLine="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 xml:space="preserve">    确定第一阶段入围供应商的评审方法包括价格优先法和质量优先法。</w:t>
      </w:r>
    </w:p>
    <w:p w14:paraId="5C8BE82A">
      <w:pPr>
        <w:pStyle w:val="4"/>
        <w:ind w:firstLine="557" w:firstLineChars="198"/>
        <w:rPr>
          <w:rFonts w:ascii="宋体" w:hAnsi="宋体" w:cs="华文仿宋"/>
          <w:color w:val="000000" w:themeColor="text1"/>
          <w:kern w:val="0"/>
          <w:sz w:val="28"/>
          <w:szCs w:val="28"/>
        </w:rPr>
      </w:pPr>
      <w:r>
        <w:rPr>
          <w:rFonts w:hint="eastAsia" w:ascii="宋体" w:hAnsi="宋体" w:cs="华文仿宋"/>
          <w:b/>
          <w:color w:val="000000" w:themeColor="text1"/>
          <w:kern w:val="0"/>
          <w:sz w:val="28"/>
          <w:szCs w:val="28"/>
        </w:rPr>
        <w:t>价格优先法</w:t>
      </w:r>
      <w:r>
        <w:rPr>
          <w:rFonts w:hint="eastAsia" w:ascii="宋体" w:hAnsi="宋体" w:cs="华文仿宋"/>
          <w:color w:val="000000" w:themeColor="text1"/>
          <w:kern w:val="0"/>
          <w:sz w:val="28"/>
          <w:szCs w:val="28"/>
        </w:rPr>
        <w:t>是指对满足采购需求且响应报价不超过最高限制单价的货物、服务，按照响应报价从低到高排序，根据征集文件规定的淘汰率或者入围供应商数量上限，确定入围供应商的评审方法。响应报价相同的</w:t>
      </w:r>
      <w:r>
        <w:rPr>
          <w:rFonts w:hint="eastAsia" w:cs="华文仿宋"/>
          <w:color w:val="000000" w:themeColor="text1"/>
          <w:sz w:val="28"/>
          <w:szCs w:val="28"/>
        </w:rPr>
        <w:t>由评审小组</w:t>
      </w:r>
      <w:r>
        <w:rPr>
          <w:rFonts w:hint="eastAsia" w:ascii="宋体" w:hAnsi="宋体" w:cs="华文仿宋"/>
          <w:color w:val="000000" w:themeColor="text1"/>
          <w:sz w:val="28"/>
          <w:szCs w:val="28"/>
        </w:rPr>
        <w:t>采取随机抽取的方式确定。</w:t>
      </w:r>
    </w:p>
    <w:p w14:paraId="7A38A3F3">
      <w:pPr>
        <w:pStyle w:val="90"/>
        <w:wordWrap w:val="0"/>
        <w:adjustRightInd/>
        <w:ind w:left="420" w:leftChars="200" w:firstLine="141" w:firstLineChars="50"/>
        <w:jc w:val="both"/>
        <w:rPr>
          <w:rFonts w:cs="华文仿宋"/>
          <w:color w:val="000000" w:themeColor="text1"/>
          <w:sz w:val="28"/>
          <w:szCs w:val="28"/>
        </w:rPr>
      </w:pPr>
      <w:r>
        <w:rPr>
          <w:rFonts w:hint="eastAsia" w:cs="华文仿宋"/>
          <w:b/>
          <w:color w:val="000000" w:themeColor="text1"/>
          <w:sz w:val="28"/>
          <w:szCs w:val="28"/>
        </w:rPr>
        <w:t>质量优先法</w:t>
      </w:r>
      <w:r>
        <w:rPr>
          <w:rFonts w:hint="eastAsia" w:cs="华文仿宋"/>
          <w:color w:val="000000" w:themeColor="text1"/>
          <w:sz w:val="28"/>
          <w:szCs w:val="28"/>
        </w:rPr>
        <w:t>是指对满足采购需求且响应报价不超过最高限制单价的</w:t>
      </w:r>
    </w:p>
    <w:p w14:paraId="3816BCB3">
      <w:pPr>
        <w:pStyle w:val="90"/>
        <w:wordWrap w:val="0"/>
        <w:adjustRightInd/>
        <w:jc w:val="both"/>
        <w:rPr>
          <w:rFonts w:cs="华文仿宋"/>
          <w:color w:val="000000" w:themeColor="text1"/>
          <w:sz w:val="28"/>
          <w:szCs w:val="28"/>
        </w:rPr>
      </w:pPr>
      <w:r>
        <w:rPr>
          <w:rFonts w:hint="eastAsia" w:cs="华文仿宋"/>
          <w:color w:val="000000" w:themeColor="text1"/>
          <w:sz w:val="28"/>
          <w:szCs w:val="28"/>
        </w:rPr>
        <w:t>货物、服务进行质量综合评分，按照质量评分从高到低排序，根据征集文件规定的淘汰率或者入围供应商数量上限，确定入围供应商的评审方法。质量评分相同的，按响应报价由低到高顺序推荐，质量评分且响应报价相同的并列，按服务方案得分高低进行排序，仍然相同时，根据节能环保、首台套产品应用情况，按优劣依次进行排序。</w:t>
      </w:r>
    </w:p>
    <w:p w14:paraId="462EA128">
      <w:pPr>
        <w:pStyle w:val="4"/>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本项目第一阶段采取的评审办法见供应商须知前附表。</w:t>
      </w:r>
    </w:p>
    <w:p w14:paraId="0C83DF85">
      <w:pPr>
        <w:pStyle w:val="90"/>
        <w:wordWrap w:val="0"/>
        <w:adjustRightInd/>
        <w:spacing w:line="360" w:lineRule="auto"/>
        <w:ind w:firstLine="562" w:firstLineChars="200"/>
        <w:jc w:val="both"/>
        <w:rPr>
          <w:rFonts w:cs="华文仿宋"/>
          <w:b/>
          <w:color w:val="000000" w:themeColor="text1"/>
          <w:sz w:val="28"/>
          <w:szCs w:val="28"/>
        </w:rPr>
      </w:pPr>
      <w:r>
        <w:rPr>
          <w:rFonts w:hint="eastAsia" w:cs="华文仿宋"/>
          <w:b/>
          <w:color w:val="000000" w:themeColor="text1"/>
          <w:sz w:val="28"/>
          <w:szCs w:val="28"/>
        </w:rPr>
        <w:t>1、评审程序</w:t>
      </w:r>
    </w:p>
    <w:p w14:paraId="1F398B91">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评审小组应认真研究征集文件及采购需求，应了解和熟悉招标项目的范围、性质、特征主要技术服务要求及标准、评审标准等相关内容：</w:t>
      </w:r>
    </w:p>
    <w:p w14:paraId="643AFE67">
      <w:pPr>
        <w:widowControl/>
        <w:spacing w:line="360" w:lineRule="auto"/>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1.1评审小组首先根据已发布的征集文件核对系统读取的电子征集文件数据评审项，与征集文件内容不符的，按征集文件内容对电子征集文件数据评审项进行修改。</w:t>
      </w:r>
    </w:p>
    <w:p w14:paraId="667A7FB0">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1.2 评审小组成员对响应文件有效性进行评审。</w:t>
      </w:r>
    </w:p>
    <w:p w14:paraId="695A089C">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1.3 先进行有效性评审，采用质量优先法的，将技术与商务部分得分汇总后，最后再进行报价部分评审。评审小组按照总得分由高到低排序，根据征集文件规定的淘汰率或者入围供应商数量上限，推荐的入围候选人，并形成评审报告。采用价格优先法的，满足采购需求且响应单价不超过最高限制单价的货物、服务，评审小组按照响应报价由低到高排序，根据征集文件规定的淘汰率或者入围供应商数量上限，推荐入围候选人，并编写评审报告。</w:t>
      </w:r>
    </w:p>
    <w:p w14:paraId="4FEB7E24">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w:t>
      </w:r>
      <w:r>
        <w:rPr>
          <w:rFonts w:cs="华文仿宋"/>
          <w:color w:val="000000" w:themeColor="text1"/>
          <w:sz w:val="28"/>
          <w:szCs w:val="28"/>
        </w:rPr>
        <w:t>.</w:t>
      </w:r>
      <w:r>
        <w:rPr>
          <w:rFonts w:hint="eastAsia" w:cs="华文仿宋"/>
          <w:color w:val="000000" w:themeColor="text1"/>
          <w:sz w:val="28"/>
          <w:szCs w:val="28"/>
        </w:rPr>
        <w:t>3</w:t>
      </w:r>
      <w:r>
        <w:rPr>
          <w:rFonts w:cs="华文仿宋"/>
          <w:color w:val="000000" w:themeColor="text1"/>
          <w:sz w:val="28"/>
          <w:szCs w:val="28"/>
        </w:rPr>
        <w:t>.</w:t>
      </w:r>
      <w:r>
        <w:rPr>
          <w:rFonts w:hint="eastAsia" w:cs="华文仿宋"/>
          <w:color w:val="000000" w:themeColor="text1"/>
          <w:sz w:val="28"/>
          <w:szCs w:val="28"/>
        </w:rPr>
        <w:t>1评审小组发现供应商的响应文件中对同类问题表述不一致、前后矛盾、有明显文字和计算错误的内容、有可能不符合征集文件规定等情况需要澄清时，评审小组将以询标的方式告知并要求供应商以系统在线回复方式进行必要的澄清、说明或补正。对否定的响应文件，评委要提出充足的否定理由，并填写在评审记录上。对评审结果持有不同意见的，按照少数服从多数的原则采取投票方式表决确定。评审小组成员应当在评审报告上签字，对自己的评审意见承担法律责任。对评审报告有不同意见的，应当签署并说明理由，否则视为同意。</w:t>
      </w:r>
    </w:p>
    <w:p w14:paraId="7F5D7FA3">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w:t>
      </w:r>
      <w:r>
        <w:rPr>
          <w:rFonts w:cs="华文仿宋"/>
          <w:color w:val="000000" w:themeColor="text1"/>
          <w:sz w:val="28"/>
          <w:szCs w:val="28"/>
        </w:rPr>
        <w:t>.</w:t>
      </w:r>
      <w:r>
        <w:rPr>
          <w:rFonts w:hint="eastAsia" w:cs="华文仿宋"/>
          <w:color w:val="000000" w:themeColor="text1"/>
          <w:sz w:val="28"/>
          <w:szCs w:val="28"/>
        </w:rPr>
        <w:t>3</w:t>
      </w:r>
      <w:r>
        <w:rPr>
          <w:rFonts w:cs="华文仿宋"/>
          <w:color w:val="000000" w:themeColor="text1"/>
          <w:sz w:val="28"/>
          <w:szCs w:val="28"/>
        </w:rPr>
        <w:t>.</w:t>
      </w:r>
      <w:r>
        <w:rPr>
          <w:rFonts w:hint="eastAsia" w:cs="华文仿宋"/>
          <w:color w:val="000000" w:themeColor="text1"/>
          <w:sz w:val="28"/>
          <w:szCs w:val="28"/>
        </w:rPr>
        <w:t>2评审报告是评审小组根据全体评审成员签字的原始评审记录和评审结果编写的报告，评审小组全体成员均须在评审报告上签字。评审报告应如实记录本次评审的主要过程，全面反映评审过程中的各种不同的意见，以及其他澄清、说明、补正事项。</w:t>
      </w:r>
    </w:p>
    <w:p w14:paraId="53E38A33">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w:t>
      </w:r>
      <w:r>
        <w:rPr>
          <w:rFonts w:cs="华文仿宋"/>
          <w:color w:val="000000" w:themeColor="text1"/>
          <w:sz w:val="28"/>
          <w:szCs w:val="28"/>
        </w:rPr>
        <w:t>.</w:t>
      </w:r>
      <w:r>
        <w:rPr>
          <w:rFonts w:hint="eastAsia" w:cs="华文仿宋"/>
          <w:color w:val="000000" w:themeColor="text1"/>
          <w:sz w:val="28"/>
          <w:szCs w:val="28"/>
        </w:rPr>
        <w:t>3</w:t>
      </w:r>
      <w:r>
        <w:rPr>
          <w:rFonts w:cs="华文仿宋"/>
          <w:color w:val="000000" w:themeColor="text1"/>
          <w:sz w:val="28"/>
          <w:szCs w:val="28"/>
        </w:rPr>
        <w:t>.</w:t>
      </w:r>
      <w:r>
        <w:rPr>
          <w:rFonts w:hint="eastAsia" w:cs="华文仿宋"/>
          <w:color w:val="000000" w:themeColor="text1"/>
          <w:sz w:val="28"/>
          <w:szCs w:val="28"/>
        </w:rPr>
        <w:t>3评审小组在评审过程中发现的问题，应当及时作出处理。</w:t>
      </w:r>
    </w:p>
    <w:p w14:paraId="4EF72B9A">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w:t>
      </w:r>
      <w:r>
        <w:rPr>
          <w:rFonts w:cs="华文仿宋"/>
          <w:color w:val="000000" w:themeColor="text1"/>
          <w:sz w:val="28"/>
          <w:szCs w:val="28"/>
        </w:rPr>
        <w:t>.</w:t>
      </w:r>
      <w:r>
        <w:rPr>
          <w:rFonts w:hint="eastAsia" w:cs="华文仿宋"/>
          <w:color w:val="000000" w:themeColor="text1"/>
          <w:sz w:val="28"/>
          <w:szCs w:val="28"/>
        </w:rPr>
        <w:t>3</w:t>
      </w:r>
      <w:r>
        <w:rPr>
          <w:rFonts w:cs="华文仿宋"/>
          <w:color w:val="000000" w:themeColor="text1"/>
          <w:sz w:val="28"/>
          <w:szCs w:val="28"/>
        </w:rPr>
        <w:t>.</w:t>
      </w:r>
      <w:r>
        <w:rPr>
          <w:rFonts w:hint="eastAsia" w:cs="华文仿宋"/>
          <w:color w:val="000000" w:themeColor="text1"/>
          <w:sz w:val="28"/>
          <w:szCs w:val="28"/>
        </w:rPr>
        <w:t>4评审小组认为供应商的报价明显低于其他通过符合性审查供应商的报价，有可能影响服务质量或者不能诚信履约的，</w:t>
      </w:r>
      <w:r>
        <w:rPr>
          <w:rFonts w:hint="eastAsia" w:cs="华文仿宋"/>
          <w:bCs/>
          <w:color w:val="000000" w:themeColor="text1"/>
          <w:sz w:val="28"/>
          <w:szCs w:val="28"/>
        </w:rPr>
        <w:t>应当要求其在合理的时间内通过系统提供说明</w:t>
      </w:r>
      <w:r>
        <w:rPr>
          <w:rFonts w:hint="eastAsia" w:cs="华文仿宋"/>
          <w:color w:val="000000" w:themeColor="text1"/>
          <w:sz w:val="28"/>
          <w:szCs w:val="28"/>
        </w:rPr>
        <w:t>，必要时提交相关证明材料；供应商不能证明其报价合理性的，评审小组应当将其作为无效响应处理。</w:t>
      </w:r>
    </w:p>
    <w:p w14:paraId="0C70EB31">
      <w:pPr>
        <w:spacing w:line="360" w:lineRule="auto"/>
        <w:ind w:firstLine="549"/>
        <w:rPr>
          <w:rFonts w:ascii="宋体" w:hAnsi="宋体" w:cs="华文仿宋"/>
          <w:color w:val="000000" w:themeColor="text1"/>
          <w:kern w:val="0"/>
          <w:sz w:val="28"/>
          <w:szCs w:val="28"/>
        </w:rPr>
      </w:pPr>
      <w:r>
        <w:rPr>
          <w:rFonts w:hint="eastAsia" w:ascii="宋体" w:hAnsi="宋体" w:cs="宋体"/>
          <w:bCs/>
          <w:color w:val="000000" w:themeColor="text1"/>
          <w:sz w:val="28"/>
          <w:szCs w:val="28"/>
        </w:rPr>
        <w:t>1.3.5</w:t>
      </w:r>
      <w:r>
        <w:rPr>
          <w:rFonts w:hint="eastAsia" w:cs="华文仿宋"/>
          <w:b/>
          <w:color w:val="000000" w:themeColor="text1"/>
          <w:sz w:val="28"/>
          <w:szCs w:val="28"/>
        </w:rPr>
        <w:t xml:space="preserve"> </w:t>
      </w:r>
      <w:r>
        <w:rPr>
          <w:rFonts w:hint="eastAsia" w:ascii="宋体" w:hAnsi="宋体" w:cs="华文仿宋"/>
          <w:color w:val="000000" w:themeColor="text1"/>
          <w:sz w:val="28"/>
          <w:szCs w:val="28"/>
        </w:rPr>
        <w:t>评审小组</w:t>
      </w:r>
      <w:r>
        <w:rPr>
          <w:rFonts w:hint="eastAsia" w:ascii="宋体" w:hAnsi="宋体" w:cs="华文仿宋"/>
          <w:color w:val="000000" w:themeColor="text1"/>
          <w:kern w:val="0"/>
          <w:sz w:val="28"/>
          <w:szCs w:val="28"/>
        </w:rPr>
        <w:t>评审响应文件依据为响应文件以及按征集文件要求提交的其它资料。</w:t>
      </w:r>
    </w:p>
    <w:p w14:paraId="6FD453E0">
      <w:pPr>
        <w:pStyle w:val="90"/>
        <w:wordWrap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1.4评审小组</w:t>
      </w:r>
      <w:r>
        <w:rPr>
          <w:rFonts w:cs="华文仿宋"/>
          <w:color w:val="000000" w:themeColor="text1"/>
          <w:sz w:val="28"/>
          <w:szCs w:val="28"/>
        </w:rPr>
        <w:t>发现征集文件内容违反国家有关强制性规定的，应当停止评审并说明情况。</w:t>
      </w:r>
    </w:p>
    <w:p w14:paraId="11E9F46B">
      <w:pPr>
        <w:widowControl/>
        <w:shd w:val="clear" w:color="auto" w:fill="FFFFFF"/>
        <w:spacing w:line="360" w:lineRule="auto"/>
        <w:ind w:firstLine="560" w:firstLineChars="20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1.5供应商存在以下不良信用记录情形之一,不得推荐为入围候选人: </w:t>
      </w:r>
    </w:p>
    <w:p w14:paraId="555688CE">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（1）被人民法院列入失信被执行人名单的</w:t>
      </w:r>
    </w:p>
    <w:p w14:paraId="051007E8">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（2）被税务机关列入重大税收违法失信主体名单的；</w:t>
      </w:r>
    </w:p>
    <w:p w14:paraId="15F59990">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（3）被财政部门列入政府采购严重违法失信行为记录名单的；</w:t>
      </w:r>
    </w:p>
    <w:p w14:paraId="2C2C29B5">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不良信用记录查询渠道如下：</w:t>
      </w:r>
    </w:p>
    <w:p w14:paraId="176AC93A">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（1）失信被执行人：信用中国官网（www.creditchina.gov.cn）</w:t>
      </w:r>
    </w:p>
    <w:p w14:paraId="50FA6DA7">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（2）重大税收违法案件当事人名单：信用中国官网（www.creditchina.gov.cn）</w:t>
      </w:r>
    </w:p>
    <w:p w14:paraId="2F24C0FD">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（3）政府采购严重违法失信行为记录名单：中国政府采购网官网（www.ccgp.gov.cn）</w:t>
      </w:r>
    </w:p>
    <w:p w14:paraId="178A768A">
      <w:pPr>
        <w:pStyle w:val="90"/>
        <w:wordWrap w:val="0"/>
        <w:snapToGrid w:val="0"/>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或其他指定媒介[国家税务总局官网（www.chinatax.gov.cn）、中华人民共和国最高人民法院官网（www.court.gov.cn）、国家企业信用信息公示系统官网（www.gsxt.gov.cn）]。</w:t>
      </w:r>
    </w:p>
    <w:p w14:paraId="138D2B30">
      <w:pPr>
        <w:pStyle w:val="92"/>
        <w:ind w:firstLine="560"/>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以上情形由供应商按响应函格式填写相关承诺。</w:t>
      </w:r>
    </w:p>
    <w:p w14:paraId="73125A55">
      <w:pPr>
        <w:pStyle w:val="92"/>
        <w:ind w:firstLine="562"/>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2、资格审查与符合性审查</w:t>
      </w:r>
    </w:p>
    <w:p w14:paraId="7F6F50A9">
      <w:pPr>
        <w:pStyle w:val="92"/>
        <w:ind w:firstLine="560"/>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2.1资格审查</w:t>
      </w:r>
    </w:p>
    <w:p w14:paraId="38801A7B">
      <w:pPr>
        <w:pStyle w:val="90"/>
        <w:wordWrap w:val="0"/>
        <w:adjustRightInd/>
        <w:spacing w:line="360" w:lineRule="auto"/>
        <w:ind w:firstLine="560" w:firstLineChars="200"/>
        <w:jc w:val="both"/>
        <w:rPr>
          <w:bCs/>
          <w:color w:val="000000" w:themeColor="text1"/>
          <w:sz w:val="28"/>
          <w:szCs w:val="28"/>
        </w:rPr>
      </w:pPr>
      <w:r>
        <w:rPr>
          <w:rFonts w:hint="eastAsia"/>
          <w:bCs/>
          <w:color w:val="000000" w:themeColor="text1"/>
          <w:sz w:val="28"/>
          <w:szCs w:val="28"/>
        </w:rPr>
        <w:t>1)开标结束后，由征集人对供应商进行资格审查。</w:t>
      </w:r>
    </w:p>
    <w:p w14:paraId="600749F4">
      <w:pPr>
        <w:pStyle w:val="111"/>
        <w:shd w:val="clear" w:color="030000" w:fill="FFFFFF"/>
        <w:adjustRightInd w:val="0"/>
        <w:snapToGrid w:val="0"/>
        <w:spacing w:beforeAutospacing="0" w:afterAutospacing="0" w:line="360" w:lineRule="auto"/>
        <w:ind w:firstLine="537" w:firstLineChars="192"/>
        <w:contextualSpacing/>
        <w:rPr>
          <w:rFonts w:hint="default"/>
          <w:bCs/>
          <w:color w:val="000000" w:themeColor="text1"/>
          <w:sz w:val="28"/>
          <w:szCs w:val="28"/>
        </w:rPr>
      </w:pPr>
      <w:r>
        <w:rPr>
          <w:bCs/>
          <w:color w:val="000000" w:themeColor="text1"/>
          <w:sz w:val="28"/>
          <w:szCs w:val="28"/>
        </w:rPr>
        <w:t>2）有任何一项不符合《资格审查要求》的，资格审查不合格，其响应无效。</w:t>
      </w:r>
    </w:p>
    <w:p w14:paraId="78C58B19">
      <w:pPr>
        <w:pStyle w:val="111"/>
        <w:shd w:val="clear" w:color="030000" w:fill="FFFFFF"/>
        <w:adjustRightInd w:val="0"/>
        <w:snapToGrid w:val="0"/>
        <w:spacing w:beforeAutospacing="0" w:afterAutospacing="0" w:line="360" w:lineRule="auto"/>
        <w:ind w:firstLine="537" w:firstLineChars="192"/>
        <w:contextualSpacing/>
        <w:rPr>
          <w:rFonts w:hint="default"/>
          <w:bCs/>
          <w:color w:val="000000" w:themeColor="text1"/>
          <w:sz w:val="28"/>
          <w:szCs w:val="28"/>
        </w:rPr>
      </w:pPr>
      <w:r>
        <w:rPr>
          <w:bCs/>
          <w:color w:val="000000" w:themeColor="text1"/>
          <w:sz w:val="28"/>
          <w:szCs w:val="28"/>
        </w:rPr>
        <w:t>3）对未通过资格审查的供应商，征集人或采购代理机构告知其未通过的原因。</w:t>
      </w:r>
    </w:p>
    <w:p w14:paraId="3EAA9154">
      <w:pPr>
        <w:pStyle w:val="111"/>
        <w:shd w:val="clear" w:color="030000" w:fill="FFFFFF"/>
        <w:adjustRightInd w:val="0"/>
        <w:snapToGrid w:val="0"/>
        <w:spacing w:beforeAutospacing="0" w:afterAutospacing="0" w:line="360" w:lineRule="auto"/>
        <w:ind w:firstLine="537" w:firstLineChars="192"/>
        <w:contextualSpacing/>
        <w:rPr>
          <w:rFonts w:hint="default"/>
          <w:bCs/>
          <w:color w:val="000000" w:themeColor="text1"/>
          <w:sz w:val="28"/>
          <w:szCs w:val="28"/>
        </w:rPr>
      </w:pPr>
      <w:r>
        <w:rPr>
          <w:bCs/>
          <w:color w:val="000000" w:themeColor="text1"/>
          <w:sz w:val="28"/>
          <w:szCs w:val="28"/>
        </w:rPr>
        <w:t>4）资格审查合格的供应商不足3家的，不进行评标。</w:t>
      </w:r>
    </w:p>
    <w:tbl>
      <w:tblPr>
        <w:tblStyle w:val="43"/>
        <w:tblW w:w="9571" w:type="dxa"/>
        <w:tblInd w:w="-175" w:type="dxa"/>
        <w:tblLayout w:type="fixed"/>
        <w:tblCellMar>
          <w:top w:w="0" w:type="dxa"/>
          <w:left w:w="0" w:type="dxa"/>
          <w:bottom w:w="0" w:type="dxa"/>
          <w:right w:w="0" w:type="dxa"/>
        </w:tblCellMar>
      </w:tblPr>
      <w:tblGrid>
        <w:gridCol w:w="606"/>
        <w:gridCol w:w="2504"/>
        <w:gridCol w:w="4822"/>
        <w:gridCol w:w="1639"/>
      </w:tblGrid>
      <w:tr w14:paraId="72382B36">
        <w:tblPrEx>
          <w:tblCellMar>
            <w:top w:w="0" w:type="dxa"/>
            <w:left w:w="0" w:type="dxa"/>
            <w:bottom w:w="0" w:type="dxa"/>
            <w:right w:w="0" w:type="dxa"/>
          </w:tblCellMar>
        </w:tblPrEx>
        <w:tc>
          <w:tcPr>
            <w:tcW w:w="606" w:type="dxa"/>
            <w:tcBorders>
              <w:top w:val="single" w:color="000000" w:sz="4" w:space="0"/>
              <w:left w:val="single" w:color="000000" w:sz="4" w:space="0"/>
              <w:bottom w:val="single" w:color="000000" w:sz="4" w:space="0"/>
              <w:right w:val="single" w:color="000000" w:sz="4" w:space="0"/>
            </w:tcBorders>
          </w:tcPr>
          <w:p w14:paraId="5C6DF752">
            <w:pPr>
              <w:pStyle w:val="110"/>
              <w:wordWrap w:val="0"/>
              <w:adjustRightInd w:val="0"/>
              <w:snapToGrid w:val="0"/>
              <w:rPr>
                <w:rFonts w:ascii="宋体" w:hAnsi="宋体" w:cs="宋体"/>
                <w:szCs w:val="24"/>
              </w:rPr>
            </w:pPr>
            <w:r>
              <w:rPr>
                <w:rFonts w:hint="eastAsia" w:ascii="宋体" w:hAnsi="宋体" w:cs="宋体"/>
                <w:szCs w:val="24"/>
              </w:rPr>
              <w:t>序号</w:t>
            </w:r>
          </w:p>
        </w:tc>
        <w:tc>
          <w:tcPr>
            <w:tcW w:w="2504" w:type="dxa"/>
            <w:tcBorders>
              <w:top w:val="single" w:color="000000" w:sz="4" w:space="0"/>
              <w:left w:val="single" w:color="000000" w:sz="4" w:space="0"/>
              <w:bottom w:val="single" w:color="000000" w:sz="4" w:space="0"/>
              <w:right w:val="single" w:color="000000" w:sz="4" w:space="0"/>
            </w:tcBorders>
          </w:tcPr>
          <w:p w14:paraId="748BD2E6">
            <w:pPr>
              <w:pStyle w:val="110"/>
              <w:wordWrap w:val="0"/>
              <w:adjustRightInd w:val="0"/>
              <w:snapToGrid w:val="0"/>
              <w:rPr>
                <w:rFonts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3296A674">
            <w:pPr>
              <w:pStyle w:val="110"/>
              <w:wordWrap w:val="0"/>
              <w:adjustRightInd w:val="0"/>
              <w:snapToGrid w:val="0"/>
              <w:rPr>
                <w:rFonts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2AB03847">
            <w:pPr>
              <w:pStyle w:val="110"/>
              <w:wordWrap w:val="0"/>
              <w:adjustRightInd w:val="0"/>
              <w:snapToGrid w:val="0"/>
              <w:rPr>
                <w:rFonts w:ascii="宋体" w:hAnsi="宋体" w:cs="宋体"/>
                <w:szCs w:val="24"/>
              </w:rPr>
            </w:pPr>
            <w:r>
              <w:rPr>
                <w:rFonts w:hint="eastAsia" w:ascii="宋体" w:hAnsi="宋体" w:cs="宋体"/>
                <w:szCs w:val="24"/>
              </w:rPr>
              <w:t>格式要求</w:t>
            </w:r>
          </w:p>
        </w:tc>
      </w:tr>
      <w:tr w14:paraId="4184E49B">
        <w:tblPrEx>
          <w:tblCellMar>
            <w:top w:w="0" w:type="dxa"/>
            <w:left w:w="0" w:type="dxa"/>
            <w:bottom w:w="0" w:type="dxa"/>
            <w:right w:w="0" w:type="dxa"/>
          </w:tblCellMar>
        </w:tblPrEx>
        <w:trPr>
          <w:trHeight w:val="1196" w:hRule="atLeast"/>
        </w:trPr>
        <w:tc>
          <w:tcPr>
            <w:tcW w:w="606" w:type="dxa"/>
            <w:tcBorders>
              <w:top w:val="single" w:color="000000" w:sz="4" w:space="0"/>
              <w:left w:val="single" w:color="000000" w:sz="4" w:space="0"/>
              <w:bottom w:val="single" w:color="000000" w:sz="4" w:space="0"/>
              <w:right w:val="single" w:color="000000" w:sz="4" w:space="0"/>
            </w:tcBorders>
            <w:vAlign w:val="center"/>
          </w:tcPr>
          <w:p w14:paraId="0E82E8AE">
            <w:pPr>
              <w:pStyle w:val="110"/>
              <w:wordWrap w:val="0"/>
              <w:adjustRightInd w:val="0"/>
              <w:snapToGrid w:val="0"/>
              <w:jc w:val="center"/>
              <w:rPr>
                <w:rFonts w:ascii="宋体" w:hAnsi="宋体" w:cs="宋体"/>
                <w:szCs w:val="24"/>
              </w:rPr>
            </w:pPr>
          </w:p>
          <w:p w14:paraId="6048A4C2">
            <w:pPr>
              <w:pStyle w:val="110"/>
              <w:wordWrap w:val="0"/>
              <w:adjustRightInd w:val="0"/>
              <w:snapToGrid w:val="0"/>
              <w:jc w:val="center"/>
              <w:rPr>
                <w:rFonts w:ascii="宋体" w:hAnsi="宋体" w:cs="宋体"/>
                <w:szCs w:val="24"/>
              </w:rPr>
            </w:pPr>
            <w:r>
              <w:rPr>
                <w:rFonts w:hint="eastAsia" w:ascii="宋体" w:hAnsi="宋体" w:cs="宋体"/>
                <w:szCs w:val="24"/>
              </w:rPr>
              <w:t>1</w:t>
            </w:r>
          </w:p>
        </w:tc>
        <w:tc>
          <w:tcPr>
            <w:tcW w:w="2504" w:type="dxa"/>
            <w:tcBorders>
              <w:top w:val="single" w:color="000000" w:sz="4" w:space="0"/>
              <w:left w:val="single" w:color="000000" w:sz="4" w:space="0"/>
              <w:bottom w:val="single" w:color="000000" w:sz="4" w:space="0"/>
              <w:right w:val="single" w:color="000000" w:sz="4" w:space="0"/>
            </w:tcBorders>
            <w:vAlign w:val="center"/>
          </w:tcPr>
          <w:p w14:paraId="4DCCF51C">
            <w:pPr>
              <w:pStyle w:val="110"/>
              <w:wordWrap w:val="0"/>
              <w:adjustRightInd w:val="0"/>
              <w:snapToGrid w:val="0"/>
              <w:rPr>
                <w:rFonts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2F6201A8">
            <w:pPr>
              <w:pStyle w:val="110"/>
              <w:wordWrap w:val="0"/>
              <w:adjustRightInd w:val="0"/>
              <w:snapToGrid w:val="0"/>
              <w:rPr>
                <w:rFonts w:ascii="宋体" w:hAnsi="宋体" w:cs="宋体"/>
                <w:szCs w:val="24"/>
              </w:rPr>
            </w:pPr>
            <w:r>
              <w:rPr>
                <w:rFonts w:hint="eastAsia" w:ascii="宋体" w:hAnsi="宋体" w:cs="宋体"/>
                <w:szCs w:val="24"/>
              </w:rPr>
              <w:t>提供了符合征集文件要求的《响应函》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30D18E68">
            <w:pPr>
              <w:pStyle w:val="110"/>
              <w:wordWrap w:val="0"/>
              <w:adjustRightInd w:val="0"/>
              <w:snapToGrid w:val="0"/>
              <w:rPr>
                <w:rFonts w:ascii="宋体" w:hAnsi="宋体" w:cs="宋体"/>
                <w:szCs w:val="24"/>
              </w:rPr>
            </w:pPr>
            <w:r>
              <w:rPr>
                <w:rFonts w:hint="eastAsia" w:ascii="宋体" w:hAnsi="宋体" w:cs="宋体"/>
                <w:szCs w:val="24"/>
              </w:rPr>
              <w:t>按响应函格式填写放入响应文件</w:t>
            </w:r>
          </w:p>
        </w:tc>
      </w:tr>
      <w:tr w14:paraId="3490A8EA">
        <w:tblPrEx>
          <w:tblCellMar>
            <w:top w:w="0" w:type="dxa"/>
            <w:left w:w="0" w:type="dxa"/>
            <w:bottom w:w="0" w:type="dxa"/>
            <w:right w:w="0" w:type="dxa"/>
          </w:tblCellMar>
        </w:tblPrEx>
        <w:tc>
          <w:tcPr>
            <w:tcW w:w="606" w:type="dxa"/>
            <w:tcBorders>
              <w:top w:val="single" w:color="000000" w:sz="4" w:space="0"/>
              <w:left w:val="single" w:color="000000" w:sz="4" w:space="0"/>
              <w:right w:val="single" w:color="000000" w:sz="4" w:space="0"/>
            </w:tcBorders>
            <w:vAlign w:val="center"/>
          </w:tcPr>
          <w:p w14:paraId="7682B344">
            <w:pPr>
              <w:pStyle w:val="110"/>
              <w:wordWrap w:val="0"/>
              <w:adjustRightInd w:val="0"/>
              <w:snapToGrid w:val="0"/>
              <w:jc w:val="center"/>
              <w:rPr>
                <w:rFonts w:ascii="宋体" w:hAnsi="宋体" w:cs="宋体"/>
                <w:szCs w:val="24"/>
              </w:rPr>
            </w:pPr>
            <w:r>
              <w:rPr>
                <w:rFonts w:hint="eastAsia" w:ascii="宋体" w:hAnsi="宋体" w:cs="宋体"/>
                <w:szCs w:val="24"/>
              </w:rPr>
              <w:t>2</w:t>
            </w:r>
          </w:p>
        </w:tc>
        <w:tc>
          <w:tcPr>
            <w:tcW w:w="2504" w:type="dxa"/>
            <w:tcBorders>
              <w:top w:val="single" w:color="000000" w:sz="4" w:space="0"/>
              <w:left w:val="single" w:color="000000" w:sz="4" w:space="0"/>
              <w:right w:val="single" w:color="000000" w:sz="4" w:space="0"/>
            </w:tcBorders>
            <w:vAlign w:val="center"/>
          </w:tcPr>
          <w:p w14:paraId="2FE9BB83">
            <w:pPr>
              <w:pStyle w:val="110"/>
              <w:wordWrap w:val="0"/>
              <w:adjustRightInd w:val="0"/>
              <w:snapToGrid w:val="0"/>
              <w:rPr>
                <w:rFonts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32AB1E08">
            <w:pPr>
              <w:pStyle w:val="110"/>
              <w:wordWrap w:val="0"/>
              <w:adjustRightInd w:val="0"/>
              <w:snapToGrid w:val="0"/>
              <w:rPr>
                <w:rFonts w:ascii="宋体" w:hAnsi="宋体" w:cs="宋体"/>
                <w:szCs w:val="24"/>
              </w:rPr>
            </w:pPr>
            <w:r>
              <w:rPr>
                <w:rFonts w:hint="eastAsia" w:ascii="宋体" w:hAnsi="宋体" w:cs="宋体"/>
                <w:szCs w:val="24"/>
              </w:rPr>
              <w:t>投标人为企业（包括合伙企业）的，应提供有效的“营业执照”；</w:t>
            </w:r>
          </w:p>
          <w:p w14:paraId="0E30BED2">
            <w:pPr>
              <w:pStyle w:val="110"/>
              <w:wordWrap w:val="0"/>
              <w:adjustRightInd w:val="0"/>
              <w:snapToGrid w:val="0"/>
              <w:rPr>
                <w:rFonts w:ascii="宋体" w:hAnsi="宋体" w:cs="宋体"/>
                <w:szCs w:val="24"/>
              </w:rPr>
            </w:pPr>
            <w:r>
              <w:rPr>
                <w:rFonts w:hint="eastAsia" w:ascii="宋体" w:hAnsi="宋体" w:cs="宋体"/>
                <w:szCs w:val="24"/>
              </w:rPr>
              <w:t>投标人为事业单位的，应提供有效的“事业单位法人证书”；</w:t>
            </w:r>
          </w:p>
          <w:p w14:paraId="3F049BFC">
            <w:pPr>
              <w:pStyle w:val="110"/>
              <w:wordWrap w:val="0"/>
              <w:adjustRightInd w:val="0"/>
              <w:snapToGrid w:val="0"/>
              <w:rPr>
                <w:rFonts w:ascii="宋体" w:hAnsi="宋体" w:cs="宋体"/>
                <w:szCs w:val="24"/>
              </w:rPr>
            </w:pPr>
            <w:r>
              <w:rPr>
                <w:rFonts w:hint="eastAsia" w:ascii="宋体" w:hAnsi="宋体" w:cs="宋体"/>
                <w:szCs w:val="24"/>
              </w:rPr>
              <w:t>投标人是非企业机构的，应提供有效的“执业许可证”、“登记证书”等证明文件；</w:t>
            </w:r>
          </w:p>
          <w:p w14:paraId="06128059">
            <w:pPr>
              <w:pStyle w:val="110"/>
              <w:wordWrap w:val="0"/>
              <w:adjustRightInd w:val="0"/>
              <w:snapToGrid w:val="0"/>
              <w:rPr>
                <w:rFonts w:ascii="宋体" w:hAnsi="宋体" w:cs="宋体"/>
                <w:szCs w:val="24"/>
              </w:rPr>
            </w:pPr>
            <w:r>
              <w:rPr>
                <w:rFonts w:hint="eastAsia" w:ascii="宋体" w:hAnsi="宋体" w:cs="宋体"/>
                <w:szCs w:val="24"/>
              </w:rPr>
              <w:t>投标人是个体工商户的，应提供有效的“个体工商户营业执照”；</w:t>
            </w:r>
          </w:p>
          <w:p w14:paraId="61280EA4">
            <w:pPr>
              <w:pStyle w:val="110"/>
              <w:wordWrap w:val="0"/>
              <w:adjustRightInd w:val="0"/>
              <w:snapToGrid w:val="0"/>
              <w:rPr>
                <w:rFonts w:ascii="宋体" w:hAnsi="宋体" w:cs="宋体"/>
                <w:szCs w:val="24"/>
              </w:rPr>
            </w:pPr>
            <w:r>
              <w:rPr>
                <w:rFonts w:hint="eastAsia" w:ascii="宋体" w:hAnsi="宋体" w:cs="宋体"/>
                <w:szCs w:val="24"/>
              </w:rPr>
              <w:t>投标人是自然人的，应提供有效的自然人身份证明。</w:t>
            </w:r>
          </w:p>
          <w:p w14:paraId="6F4AEED1">
            <w:pPr>
              <w:pStyle w:val="110"/>
              <w:wordWrap w:val="0"/>
              <w:adjustRightInd w:val="0"/>
              <w:snapToGrid w:val="0"/>
              <w:rPr>
                <w:rFonts w:ascii="宋体" w:hAnsi="宋体" w:cs="宋体"/>
                <w:szCs w:val="24"/>
              </w:rPr>
            </w:pPr>
            <w:r>
              <w:rPr>
                <w:rFonts w:hint="eastAsia" w:ascii="宋体" w:hAnsi="宋体" w:cs="宋体"/>
                <w:szCs w:val="24"/>
              </w:rPr>
              <w:t>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156509A8">
            <w:pPr>
              <w:pStyle w:val="110"/>
              <w:wordWrap w:val="0"/>
              <w:adjustRightInd w:val="0"/>
              <w:snapToGrid w:val="0"/>
              <w:rPr>
                <w:rFonts w:ascii="宋体" w:hAnsi="宋体" w:cs="宋体"/>
                <w:szCs w:val="24"/>
              </w:rPr>
            </w:pPr>
            <w:r>
              <w:rPr>
                <w:rFonts w:hint="eastAsia" w:ascii="宋体" w:hAnsi="宋体" w:cs="宋体"/>
                <w:szCs w:val="24"/>
              </w:rPr>
              <w:t>提供证明文件的电子件或电子证照</w:t>
            </w:r>
          </w:p>
        </w:tc>
      </w:tr>
      <w:tr w14:paraId="47C96755">
        <w:tblPrEx>
          <w:tblCellMar>
            <w:top w:w="0" w:type="dxa"/>
            <w:left w:w="0" w:type="dxa"/>
            <w:bottom w:w="0" w:type="dxa"/>
            <w:right w:w="0" w:type="dxa"/>
          </w:tblCellMar>
        </w:tblPrEx>
        <w:tc>
          <w:tcPr>
            <w:tcW w:w="606" w:type="dxa"/>
            <w:tcBorders>
              <w:top w:val="single" w:color="000000" w:sz="4" w:space="0"/>
              <w:left w:val="single" w:color="000000" w:sz="4" w:space="0"/>
              <w:bottom w:val="single" w:color="000000" w:sz="4" w:space="0"/>
              <w:right w:val="single" w:color="000000" w:sz="4" w:space="0"/>
            </w:tcBorders>
            <w:vAlign w:val="center"/>
          </w:tcPr>
          <w:p w14:paraId="12261F28">
            <w:pPr>
              <w:pStyle w:val="110"/>
              <w:wordWrap w:val="0"/>
              <w:adjustRightInd w:val="0"/>
              <w:snapToGrid w:val="0"/>
              <w:jc w:val="center"/>
              <w:rPr>
                <w:rFonts w:ascii="宋体" w:hAnsi="宋体" w:cs="宋体"/>
                <w:szCs w:val="24"/>
              </w:rPr>
            </w:pPr>
            <w:r>
              <w:rPr>
                <w:rFonts w:hint="eastAsia" w:ascii="宋体" w:hAnsi="宋体" w:cs="宋体"/>
                <w:szCs w:val="24"/>
              </w:rPr>
              <w:t>3</w:t>
            </w:r>
          </w:p>
        </w:tc>
        <w:tc>
          <w:tcPr>
            <w:tcW w:w="2504" w:type="dxa"/>
            <w:tcBorders>
              <w:top w:val="single" w:color="000000" w:sz="4" w:space="0"/>
              <w:left w:val="single" w:color="000000" w:sz="4" w:space="0"/>
              <w:bottom w:val="single" w:color="000000" w:sz="4" w:space="0"/>
              <w:right w:val="single" w:color="000000" w:sz="4" w:space="0"/>
            </w:tcBorders>
            <w:vAlign w:val="center"/>
          </w:tcPr>
          <w:p w14:paraId="3F8715DF">
            <w:pPr>
              <w:pStyle w:val="110"/>
              <w:wordWrap w:val="0"/>
              <w:adjustRightInd w:val="0"/>
              <w:snapToGrid w:val="0"/>
              <w:rPr>
                <w:rFonts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1E54912E">
            <w:pPr>
              <w:snapToGrid w:val="0"/>
              <w:rPr>
                <w:rFonts w:ascii="宋体" w:hAnsi="宋体" w:cs="宋体"/>
                <w:sz w:val="24"/>
                <w:szCs w:val="24"/>
              </w:rPr>
            </w:pPr>
            <w:r>
              <w:rPr>
                <w:rFonts w:hint="eastAsia" w:ascii="宋体" w:hAnsi="宋体" w:cs="宋体"/>
                <w:sz w:val="24"/>
                <w:szCs w:val="24"/>
              </w:rPr>
              <w:t>至投标截止日，供应商均不存在以下情形：</w:t>
            </w:r>
          </w:p>
          <w:p w14:paraId="07E1F5E2">
            <w:pPr>
              <w:snapToGrid w:val="0"/>
              <w:rPr>
                <w:rFonts w:ascii="宋体" w:hAnsi="宋体" w:cs="宋体"/>
                <w:sz w:val="24"/>
                <w:szCs w:val="24"/>
              </w:rPr>
            </w:pPr>
            <w:r>
              <w:rPr>
                <w:rFonts w:hint="eastAsia" w:ascii="宋体" w:hAnsi="宋体" w:cs="宋体"/>
                <w:sz w:val="24"/>
                <w:szCs w:val="24"/>
              </w:rPr>
              <w:t>（1）被人民法院列入失信被执行人名单的；</w:t>
            </w:r>
          </w:p>
          <w:p w14:paraId="42059584">
            <w:pPr>
              <w:snapToGrid w:val="0"/>
              <w:rPr>
                <w:rFonts w:ascii="宋体" w:hAnsi="宋体" w:cs="宋体"/>
                <w:sz w:val="24"/>
                <w:szCs w:val="24"/>
              </w:rPr>
            </w:pPr>
            <w:r>
              <w:rPr>
                <w:rFonts w:hint="eastAsia" w:ascii="宋体" w:hAnsi="宋体" w:cs="宋体"/>
                <w:sz w:val="24"/>
                <w:szCs w:val="24"/>
              </w:rPr>
              <w:t>（2）被税务机关列入重大税收违法失信主体名单的；</w:t>
            </w:r>
          </w:p>
          <w:p w14:paraId="3C326218">
            <w:pPr>
              <w:pStyle w:val="110"/>
              <w:wordWrap w:val="0"/>
              <w:adjustRightInd w:val="0"/>
              <w:snapToGrid w:val="0"/>
              <w:rPr>
                <w:rFonts w:ascii="宋体" w:hAnsi="宋体" w:cs="宋体"/>
                <w:szCs w:val="24"/>
              </w:rPr>
            </w:pPr>
            <w:r>
              <w:rPr>
                <w:rFonts w:hint="eastAsia" w:ascii="宋体" w:hAnsi="宋体" w:cs="宋体"/>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5EA2F151">
            <w:pPr>
              <w:pStyle w:val="110"/>
              <w:wordWrap w:val="0"/>
              <w:adjustRightInd w:val="0"/>
              <w:snapToGrid w:val="0"/>
              <w:rPr>
                <w:rFonts w:ascii="宋体" w:hAnsi="宋体" w:cs="宋体"/>
                <w:szCs w:val="24"/>
              </w:rPr>
            </w:pPr>
            <w:r>
              <w:rPr>
                <w:rFonts w:hint="eastAsia" w:ascii="宋体" w:hAnsi="宋体" w:cs="宋体"/>
                <w:szCs w:val="24"/>
              </w:rPr>
              <w:t>按响应函格式填写放入响应文件</w:t>
            </w:r>
          </w:p>
        </w:tc>
      </w:tr>
      <w:tr w14:paraId="5F668833">
        <w:tblPrEx>
          <w:tblCellMar>
            <w:top w:w="0" w:type="dxa"/>
            <w:left w:w="0" w:type="dxa"/>
            <w:bottom w:w="0" w:type="dxa"/>
            <w:right w:w="0" w:type="dxa"/>
          </w:tblCellMar>
        </w:tblPrEx>
        <w:tc>
          <w:tcPr>
            <w:tcW w:w="606" w:type="dxa"/>
            <w:tcBorders>
              <w:top w:val="single" w:color="000000" w:sz="4" w:space="0"/>
              <w:left w:val="single" w:color="000000" w:sz="4" w:space="0"/>
              <w:bottom w:val="single" w:color="000000" w:sz="4" w:space="0"/>
              <w:right w:val="single" w:color="000000" w:sz="4" w:space="0"/>
            </w:tcBorders>
            <w:vAlign w:val="center"/>
          </w:tcPr>
          <w:p w14:paraId="705B32B3">
            <w:pPr>
              <w:pStyle w:val="110"/>
              <w:wordWrap w:val="0"/>
              <w:adjustRightInd w:val="0"/>
              <w:snapToGrid w:val="0"/>
              <w:jc w:val="center"/>
              <w:rPr>
                <w:rFonts w:ascii="宋体" w:hAnsi="宋体" w:cs="宋体"/>
                <w:szCs w:val="24"/>
              </w:rPr>
            </w:pPr>
            <w:r>
              <w:rPr>
                <w:rFonts w:hint="eastAsia" w:ascii="宋体" w:hAnsi="宋体" w:cs="宋体"/>
                <w:szCs w:val="24"/>
              </w:rPr>
              <w:t>4</w:t>
            </w:r>
          </w:p>
        </w:tc>
        <w:tc>
          <w:tcPr>
            <w:tcW w:w="2504" w:type="dxa"/>
            <w:tcBorders>
              <w:top w:val="single" w:color="000000" w:sz="4" w:space="0"/>
              <w:left w:val="single" w:color="000000" w:sz="4" w:space="0"/>
              <w:bottom w:val="single" w:color="000000" w:sz="4" w:space="0"/>
              <w:right w:val="single" w:color="000000" w:sz="4" w:space="0"/>
            </w:tcBorders>
            <w:vAlign w:val="center"/>
          </w:tcPr>
          <w:p w14:paraId="714B5B2D">
            <w:pPr>
              <w:pStyle w:val="110"/>
              <w:wordWrap w:val="0"/>
              <w:adjustRightInd w:val="0"/>
              <w:snapToGrid w:val="0"/>
              <w:rPr>
                <w:rFonts w:ascii="宋体" w:hAnsi="宋体" w:cs="宋体"/>
                <w:szCs w:val="24"/>
              </w:rPr>
            </w:pPr>
            <w:r>
              <w:rPr>
                <w:rFonts w:hint="eastAsia" w:ascii="宋体" w:hAnsi="宋体" w:cs="宋体"/>
                <w:szCs w:val="24"/>
              </w:rPr>
              <w:t>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4B084DF9">
            <w:pPr>
              <w:pStyle w:val="110"/>
              <w:wordWrap w:val="0"/>
              <w:adjustRightInd w:val="0"/>
              <w:snapToGrid w:val="0"/>
              <w:rPr>
                <w:rFonts w:ascii="宋体" w:hAnsi="宋体" w:cs="宋体"/>
                <w:szCs w:val="24"/>
              </w:rPr>
            </w:pPr>
            <w:r>
              <w:rPr>
                <w:rFonts w:hint="eastAsia" w:ascii="宋体" w:hAnsi="宋体" w:cs="宋体"/>
                <w:szCs w:val="24"/>
              </w:rPr>
              <w:t>提供了符合征集文件要求的《响应函》。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4A90089F">
            <w:pPr>
              <w:pStyle w:val="110"/>
              <w:wordWrap w:val="0"/>
              <w:adjustRightInd w:val="0"/>
              <w:snapToGrid w:val="0"/>
              <w:rPr>
                <w:rFonts w:ascii="宋体" w:hAnsi="宋体" w:cs="宋体"/>
                <w:szCs w:val="24"/>
              </w:rPr>
            </w:pPr>
            <w:r>
              <w:rPr>
                <w:rFonts w:hint="eastAsia" w:ascii="宋体" w:hAnsi="宋体" w:cs="宋体"/>
                <w:szCs w:val="24"/>
              </w:rPr>
              <w:t>按响应函格式填写放入响应文件</w:t>
            </w:r>
          </w:p>
        </w:tc>
      </w:tr>
      <w:tr w14:paraId="37B1E11C">
        <w:tblPrEx>
          <w:tblCellMar>
            <w:top w:w="0" w:type="dxa"/>
            <w:left w:w="0" w:type="dxa"/>
            <w:bottom w:w="0" w:type="dxa"/>
            <w:right w:w="0" w:type="dxa"/>
          </w:tblCellMar>
        </w:tblPrEx>
        <w:tc>
          <w:tcPr>
            <w:tcW w:w="606" w:type="dxa"/>
            <w:tcBorders>
              <w:top w:val="single" w:color="000000" w:sz="4" w:space="0"/>
              <w:left w:val="single" w:color="000000" w:sz="4" w:space="0"/>
              <w:bottom w:val="single" w:color="000000" w:sz="4" w:space="0"/>
              <w:right w:val="single" w:color="000000" w:sz="4" w:space="0"/>
            </w:tcBorders>
            <w:vAlign w:val="center"/>
          </w:tcPr>
          <w:p w14:paraId="11E5A098">
            <w:pPr>
              <w:pStyle w:val="110"/>
              <w:wordWrap w:val="0"/>
              <w:adjustRightInd w:val="0"/>
              <w:snapToGrid w:val="0"/>
              <w:jc w:val="center"/>
              <w:rPr>
                <w:rFonts w:ascii="宋体" w:hAnsi="宋体" w:cs="宋体"/>
                <w:szCs w:val="24"/>
              </w:rPr>
            </w:pPr>
            <w:r>
              <w:rPr>
                <w:rFonts w:hint="eastAsia" w:ascii="宋体" w:hAnsi="宋体" w:cs="宋体"/>
                <w:szCs w:val="24"/>
              </w:rPr>
              <w:t>5</w:t>
            </w:r>
          </w:p>
        </w:tc>
        <w:tc>
          <w:tcPr>
            <w:tcW w:w="2504" w:type="dxa"/>
            <w:tcBorders>
              <w:top w:val="single" w:color="000000" w:sz="4" w:space="0"/>
              <w:left w:val="single" w:color="000000" w:sz="4" w:space="0"/>
              <w:bottom w:val="single" w:color="000000" w:sz="4" w:space="0"/>
              <w:right w:val="single" w:color="000000" w:sz="4" w:space="0"/>
            </w:tcBorders>
            <w:vAlign w:val="center"/>
          </w:tcPr>
          <w:p w14:paraId="77E48A0D">
            <w:pPr>
              <w:pStyle w:val="110"/>
              <w:wordWrap w:val="0"/>
              <w:adjustRightInd w:val="0"/>
              <w:snapToGrid w:val="0"/>
              <w:rPr>
                <w:rFonts w:ascii="宋体" w:hAnsi="宋体" w:cs="宋体"/>
                <w:szCs w:val="24"/>
              </w:rPr>
            </w:pPr>
            <w:r>
              <w:rPr>
                <w:rFonts w:hint="eastAsia" w:ascii="宋体" w:hAnsi="宋体" w:cs="宋体"/>
                <w:szCs w:val="24"/>
              </w:rPr>
              <w:t>中小企业证明文件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91C07B1">
            <w:pPr>
              <w:pStyle w:val="110"/>
              <w:wordWrap w:val="0"/>
              <w:adjustRightInd w:val="0"/>
              <w:snapToGrid w:val="0"/>
              <w:rPr>
                <w:rFonts w:ascii="宋体" w:hAnsi="宋体" w:cs="宋体"/>
                <w:szCs w:val="24"/>
              </w:rPr>
            </w:pPr>
            <w:r>
              <w:rPr>
                <w:rFonts w:hint="eastAsia" w:ascii="宋体" w:hAnsi="宋体" w:cs="宋体"/>
                <w:szCs w:val="24"/>
              </w:rPr>
              <w:t>当本项目（标段）涉及</w:t>
            </w:r>
            <w:r>
              <w:rPr>
                <w:rFonts w:hint="eastAsia" w:ascii="宋体" w:hAnsi="宋体" w:cs="宋体"/>
                <w:kern w:val="0"/>
                <w:szCs w:val="24"/>
                <w:shd w:val="clear" w:color="auto" w:fill="FFFFFF"/>
              </w:rPr>
              <w:t>专门面向中小企业采购或</w:t>
            </w:r>
            <w:r>
              <w:rPr>
                <w:rFonts w:hint="eastAsia" w:ascii="宋体" w:hAnsi="宋体" w:cs="宋体"/>
                <w:szCs w:val="24"/>
              </w:rPr>
              <w:t>预留份额专门面向中小企业采购。</w:t>
            </w:r>
          </w:p>
          <w:p w14:paraId="79376FA4">
            <w:pPr>
              <w:pStyle w:val="110"/>
              <w:wordWrap w:val="0"/>
              <w:adjustRightInd w:val="0"/>
              <w:snapToGrid w:val="0"/>
              <w:rPr>
                <w:rFonts w:ascii="宋体" w:hAnsi="宋体" w:cs="宋体"/>
                <w:szCs w:val="24"/>
              </w:rPr>
            </w:pPr>
            <w:r>
              <w:rPr>
                <w:rFonts w:hint="eastAsia" w:ascii="宋体" w:hAnsi="宋体" w:cs="宋体"/>
                <w:szCs w:val="24"/>
              </w:rPr>
              <w:t>1.供应商单独投标的，货物制造商或服务供应商应为中小微企业、监狱企业、残疾人福利性单位。</w:t>
            </w:r>
          </w:p>
          <w:p w14:paraId="6D081F3E">
            <w:pPr>
              <w:pStyle w:val="110"/>
              <w:wordWrap w:val="0"/>
              <w:adjustRightInd w:val="0"/>
              <w:snapToGrid w:val="0"/>
              <w:rPr>
                <w:rFonts w:ascii="宋体" w:hAnsi="宋体" w:cs="宋体"/>
                <w:szCs w:val="24"/>
              </w:rPr>
            </w:pPr>
            <w:r>
              <w:rPr>
                <w:rFonts w:hint="eastAsia" w:ascii="宋体" w:hAnsi="宋体" w:cs="宋体"/>
                <w:szCs w:val="24"/>
              </w:rPr>
              <w:t>2.如招标文件要求以联合体形式参加或者要求合同分包方式预留份额专门面向中小企业采购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对于预留份额专门面向中小企业采购的项目，组成联合体或者接受分包合同的中小企业与联合体内其他企业、分包企业之间不得存在直接控股、管理关系。</w:t>
            </w:r>
          </w:p>
        </w:tc>
        <w:tc>
          <w:tcPr>
            <w:tcW w:w="1639" w:type="dxa"/>
            <w:tcBorders>
              <w:top w:val="single" w:color="000000" w:sz="4" w:space="0"/>
              <w:left w:val="single" w:color="000000" w:sz="4" w:space="0"/>
              <w:bottom w:val="single" w:color="000000" w:sz="4" w:space="0"/>
              <w:right w:val="single" w:color="000000" w:sz="4" w:space="0"/>
            </w:tcBorders>
            <w:vAlign w:val="center"/>
          </w:tcPr>
          <w:p w14:paraId="7AC079CC">
            <w:pPr>
              <w:tabs>
                <w:tab w:val="left" w:pos="1815"/>
              </w:tabs>
              <w:snapToGrid w:val="0"/>
              <w:rPr>
                <w:rFonts w:ascii="宋体" w:hAnsi="宋体" w:cs="宋体"/>
                <w:sz w:val="24"/>
                <w:szCs w:val="24"/>
              </w:rPr>
            </w:pPr>
            <w:r>
              <w:rPr>
                <w:rFonts w:hint="eastAsia" w:ascii="宋体" w:hAnsi="宋体" w:cs="宋体"/>
                <w:sz w:val="24"/>
                <w:szCs w:val="24"/>
              </w:rPr>
              <w:t>格式见中小企业材料要求</w:t>
            </w:r>
          </w:p>
          <w:p w14:paraId="6E1E3CCA">
            <w:pPr>
              <w:pStyle w:val="110"/>
              <w:wordWrap w:val="0"/>
              <w:adjustRightInd w:val="0"/>
              <w:snapToGrid w:val="0"/>
              <w:rPr>
                <w:rFonts w:ascii="宋体" w:hAnsi="宋体" w:cs="宋体"/>
                <w:szCs w:val="24"/>
              </w:rPr>
            </w:pPr>
          </w:p>
        </w:tc>
      </w:tr>
      <w:tr w14:paraId="4D43C820">
        <w:tblPrEx>
          <w:tblCellMar>
            <w:top w:w="0" w:type="dxa"/>
            <w:left w:w="0" w:type="dxa"/>
            <w:bottom w:w="0" w:type="dxa"/>
            <w:right w:w="0" w:type="dxa"/>
          </w:tblCellMar>
        </w:tblPrEx>
        <w:tc>
          <w:tcPr>
            <w:tcW w:w="606" w:type="dxa"/>
            <w:tcBorders>
              <w:top w:val="single" w:color="000000" w:sz="4" w:space="0"/>
              <w:left w:val="single" w:color="000000" w:sz="4" w:space="0"/>
              <w:bottom w:val="single" w:color="000000" w:sz="4" w:space="0"/>
              <w:right w:val="single" w:color="000000" w:sz="4" w:space="0"/>
            </w:tcBorders>
            <w:vAlign w:val="center"/>
          </w:tcPr>
          <w:p w14:paraId="61A56B92">
            <w:pPr>
              <w:pStyle w:val="110"/>
              <w:wordWrap w:val="0"/>
              <w:adjustRightInd w:val="0"/>
              <w:snapToGrid w:val="0"/>
              <w:jc w:val="center"/>
              <w:rPr>
                <w:rFonts w:ascii="宋体" w:hAnsi="宋体" w:cs="宋体"/>
                <w:szCs w:val="24"/>
              </w:rPr>
            </w:pPr>
            <w:r>
              <w:rPr>
                <w:rFonts w:hint="eastAsia" w:ascii="宋体" w:hAnsi="宋体" w:cs="宋体"/>
                <w:szCs w:val="24"/>
              </w:rPr>
              <w:t>6</w:t>
            </w:r>
          </w:p>
        </w:tc>
        <w:tc>
          <w:tcPr>
            <w:tcW w:w="2504" w:type="dxa"/>
            <w:tcBorders>
              <w:top w:val="single" w:color="000000" w:sz="4" w:space="0"/>
              <w:left w:val="single" w:color="000000" w:sz="4" w:space="0"/>
              <w:bottom w:val="single" w:color="000000" w:sz="4" w:space="0"/>
              <w:right w:val="single" w:color="000000" w:sz="4" w:space="0"/>
            </w:tcBorders>
            <w:vAlign w:val="center"/>
          </w:tcPr>
          <w:p w14:paraId="28F99655">
            <w:pPr>
              <w:pStyle w:val="110"/>
              <w:wordWrap w:val="0"/>
              <w:adjustRightInd w:val="0"/>
              <w:snapToGrid w:val="0"/>
              <w:rPr>
                <w:rFonts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62307052">
            <w:pPr>
              <w:spacing w:line="620" w:lineRule="exact"/>
              <w:rPr>
                <w:rFonts w:ascii="宋体" w:hAnsi="宋体" w:cs="宋体"/>
                <w:sz w:val="24"/>
                <w:szCs w:val="24"/>
              </w:rPr>
            </w:pPr>
            <w:r>
              <w:rPr>
                <w:rFonts w:hint="eastAsia" w:ascii="宋体" w:hAnsi="宋体" w:cs="宋体"/>
                <w:sz w:val="24"/>
                <w:szCs w:val="24"/>
              </w:rPr>
              <w:t>供应商为经铜陵市交通运输主管部门备案的具有二类汽车维修经营业务及以上资质的机动车维修企业。</w:t>
            </w:r>
          </w:p>
        </w:tc>
        <w:tc>
          <w:tcPr>
            <w:tcW w:w="1639" w:type="dxa"/>
            <w:tcBorders>
              <w:top w:val="single" w:color="000000" w:sz="4" w:space="0"/>
              <w:left w:val="single" w:color="000000" w:sz="4" w:space="0"/>
              <w:bottom w:val="single" w:color="000000" w:sz="4" w:space="0"/>
              <w:right w:val="single" w:color="000000" w:sz="4" w:space="0"/>
            </w:tcBorders>
            <w:vAlign w:val="center"/>
          </w:tcPr>
          <w:p w14:paraId="1CDB2649">
            <w:pPr>
              <w:tabs>
                <w:tab w:val="left" w:pos="1815"/>
              </w:tabs>
              <w:snapToGrid w:val="0"/>
              <w:rPr>
                <w:rFonts w:ascii="宋体" w:hAnsi="宋体" w:cs="宋体"/>
                <w:sz w:val="24"/>
                <w:szCs w:val="24"/>
              </w:rPr>
            </w:pPr>
            <w:r>
              <w:rPr>
                <w:rFonts w:hint="eastAsia" w:ascii="宋体" w:hAnsi="宋体" w:cs="宋体"/>
                <w:sz w:val="24"/>
                <w:szCs w:val="24"/>
              </w:rPr>
              <w:t>提供备案资料复印件</w:t>
            </w:r>
          </w:p>
        </w:tc>
      </w:tr>
    </w:tbl>
    <w:p w14:paraId="1C3F648D">
      <w:pPr>
        <w:pStyle w:val="92"/>
        <w:ind w:firstLine="198" w:firstLineChars="71"/>
        <w:rPr>
          <w:rFonts w:ascii="宋体" w:hAnsi="宋体" w:eastAsia="宋体" w:cs="宋体"/>
          <w:color w:val="000000" w:themeColor="text1"/>
          <w:kern w:val="0"/>
          <w:sz w:val="28"/>
          <w:szCs w:val="28"/>
        </w:rPr>
      </w:pPr>
    </w:p>
    <w:p w14:paraId="44DEFF14">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2.2符合性审查</w:t>
      </w:r>
    </w:p>
    <w:p w14:paraId="597BCE41">
      <w:pPr>
        <w:pStyle w:val="90"/>
        <w:wordWrap w:val="0"/>
        <w:adjustRightInd/>
        <w:spacing w:line="360" w:lineRule="auto"/>
        <w:ind w:firstLine="560" w:firstLineChars="200"/>
        <w:jc w:val="both"/>
        <w:rPr>
          <w:bCs/>
          <w:color w:val="000000" w:themeColor="text1"/>
          <w:sz w:val="28"/>
          <w:szCs w:val="28"/>
        </w:rPr>
      </w:pPr>
      <w:r>
        <w:rPr>
          <w:rFonts w:hint="eastAsia"/>
          <w:bCs/>
          <w:color w:val="000000" w:themeColor="text1"/>
          <w:sz w:val="28"/>
          <w:szCs w:val="28"/>
        </w:rPr>
        <w:t>评审小组对通过资格审查的供应商的响应文件进行符合性审查，以确定其是否满足征集文件的实质性要求。符合性审查表如下：</w:t>
      </w:r>
    </w:p>
    <w:tbl>
      <w:tblPr>
        <w:tblStyle w:val="43"/>
        <w:tblW w:w="9288" w:type="dxa"/>
        <w:jc w:val="center"/>
        <w:tblLayout w:type="fixed"/>
        <w:tblCellMar>
          <w:top w:w="0" w:type="dxa"/>
          <w:left w:w="0" w:type="dxa"/>
          <w:bottom w:w="0" w:type="dxa"/>
          <w:right w:w="0" w:type="dxa"/>
        </w:tblCellMar>
      </w:tblPr>
      <w:tblGrid>
        <w:gridCol w:w="750"/>
        <w:gridCol w:w="1813"/>
        <w:gridCol w:w="6725"/>
      </w:tblGrid>
      <w:tr w14:paraId="65F3489F">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B00F28D">
            <w:pPr>
              <w:pStyle w:val="112"/>
              <w:snapToGrid w:val="0"/>
              <w:ind w:left="130"/>
              <w:jc w:val="center"/>
              <w:rPr>
                <w:rFonts w:ascii="宋体" w:hAnsi="宋体" w:eastAsia="宋体"/>
                <w:color w:val="000000" w:themeColor="text1"/>
              </w:rPr>
            </w:pPr>
            <w:r>
              <w:rPr>
                <w:rFonts w:hint="eastAsia" w:ascii="宋体" w:hAnsi="宋体" w:eastAsia="宋体"/>
                <w:color w:val="000000" w:themeColor="text1"/>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1EE70DC0">
            <w:pPr>
              <w:pStyle w:val="112"/>
              <w:snapToGrid w:val="0"/>
              <w:ind w:left="421"/>
              <w:jc w:val="center"/>
              <w:rPr>
                <w:rFonts w:ascii="宋体" w:hAnsi="宋体" w:eastAsia="宋体"/>
                <w:color w:val="000000" w:themeColor="text1"/>
              </w:rPr>
            </w:pPr>
            <w:r>
              <w:rPr>
                <w:rFonts w:hint="eastAsia" w:ascii="宋体" w:hAnsi="宋体" w:eastAsia="宋体"/>
                <w:color w:val="000000" w:themeColor="text1"/>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28C9857B">
            <w:pPr>
              <w:pStyle w:val="112"/>
              <w:snapToGrid w:val="0"/>
              <w:jc w:val="center"/>
              <w:rPr>
                <w:rFonts w:ascii="宋体" w:hAnsi="宋体" w:eastAsia="宋体"/>
                <w:color w:val="000000" w:themeColor="text1"/>
              </w:rPr>
            </w:pPr>
            <w:r>
              <w:rPr>
                <w:rFonts w:hint="eastAsia" w:ascii="宋体" w:hAnsi="宋体" w:eastAsia="宋体"/>
                <w:color w:val="000000" w:themeColor="text1"/>
              </w:rPr>
              <w:t>审查内容</w:t>
            </w:r>
          </w:p>
        </w:tc>
      </w:tr>
      <w:tr w14:paraId="5F60A711">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89EA32F">
            <w:pPr>
              <w:pStyle w:val="110"/>
              <w:wordWrap w:val="0"/>
              <w:adjustRightInd w:val="0"/>
              <w:snapToGrid w:val="0"/>
              <w:jc w:val="center"/>
              <w:rPr>
                <w:rFonts w:ascii="宋体" w:hAnsi="宋体" w:cs="宋体"/>
                <w:color w:val="000000" w:themeColor="text1"/>
                <w:szCs w:val="24"/>
              </w:rPr>
            </w:pPr>
            <w:r>
              <w:rPr>
                <w:rFonts w:hint="eastAsia" w:ascii="宋体" w:hAnsi="宋体" w:cs="宋体"/>
                <w:color w:val="000000" w:themeColor="text1"/>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4D238907">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3C864EEB">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按征集文件要求提供授权委托书；</w:t>
            </w:r>
          </w:p>
        </w:tc>
      </w:tr>
      <w:tr w14:paraId="7768FC3A">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507A3BE">
            <w:pPr>
              <w:pStyle w:val="110"/>
              <w:wordWrap w:val="0"/>
              <w:adjustRightInd w:val="0"/>
              <w:snapToGrid w:val="0"/>
              <w:jc w:val="center"/>
              <w:rPr>
                <w:rFonts w:ascii="宋体" w:hAnsi="宋体" w:cs="宋体"/>
                <w:color w:val="000000" w:themeColor="text1"/>
                <w:szCs w:val="24"/>
              </w:rPr>
            </w:pPr>
            <w:r>
              <w:rPr>
                <w:rFonts w:hint="eastAsia" w:ascii="宋体" w:hAnsi="宋体" w:cs="宋体"/>
                <w:color w:val="000000" w:themeColor="text1"/>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D088AD8">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05864E7A">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响应文件满足征集文件中★号条款要求的；</w:t>
            </w:r>
          </w:p>
        </w:tc>
      </w:tr>
      <w:tr w14:paraId="15F4AE3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1B21292">
            <w:pPr>
              <w:pStyle w:val="110"/>
              <w:wordWrap w:val="0"/>
              <w:adjustRightInd w:val="0"/>
              <w:snapToGrid w:val="0"/>
              <w:jc w:val="center"/>
              <w:rPr>
                <w:rFonts w:ascii="宋体" w:hAnsi="宋体" w:cs="宋体"/>
                <w:color w:val="000000" w:themeColor="text1"/>
                <w:szCs w:val="24"/>
              </w:rPr>
            </w:pPr>
            <w:r>
              <w:rPr>
                <w:rFonts w:hint="eastAsia" w:ascii="宋体" w:hAnsi="宋体" w:cs="宋体"/>
                <w:color w:val="000000" w:themeColor="text1"/>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0275DB59">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14:paraId="2BDEDC04">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p>
        </w:tc>
      </w:tr>
      <w:tr w14:paraId="583AD493">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C5F349F">
            <w:pPr>
              <w:pStyle w:val="110"/>
              <w:wordWrap w:val="0"/>
              <w:adjustRightInd w:val="0"/>
              <w:snapToGrid w:val="0"/>
              <w:jc w:val="center"/>
              <w:rPr>
                <w:rFonts w:ascii="宋体" w:hAnsi="宋体" w:cs="宋体"/>
                <w:color w:val="000000" w:themeColor="text1"/>
                <w:szCs w:val="24"/>
              </w:rPr>
            </w:pPr>
            <w:r>
              <w:rPr>
                <w:rFonts w:hint="eastAsia" w:ascii="宋体" w:hAnsi="宋体" w:cs="宋体"/>
                <w:color w:val="000000" w:themeColor="text1"/>
                <w:szCs w:val="24"/>
              </w:rPr>
              <w:t>4</w:t>
            </w:r>
          </w:p>
        </w:tc>
        <w:tc>
          <w:tcPr>
            <w:tcW w:w="1813" w:type="dxa"/>
            <w:tcBorders>
              <w:top w:val="single" w:color="000000" w:sz="4" w:space="0"/>
              <w:left w:val="single" w:color="000000" w:sz="4" w:space="0"/>
              <w:bottom w:val="single" w:color="000000" w:sz="4" w:space="0"/>
              <w:right w:val="single" w:color="000000" w:sz="4" w:space="0"/>
            </w:tcBorders>
            <w:vAlign w:val="center"/>
          </w:tcPr>
          <w:p w14:paraId="62C8C6E1">
            <w:pPr>
              <w:pStyle w:val="90"/>
              <w:snapToGrid w:val="0"/>
              <w:ind w:firstLine="600"/>
              <w:jc w:val="both"/>
              <w:rPr>
                <w:color w:val="000000" w:themeColor="text1"/>
              </w:rPr>
            </w:pPr>
            <w:r>
              <w:rPr>
                <w:rFonts w:hint="eastAsia"/>
                <w:color w:val="000000" w:themeColor="text1"/>
              </w:rPr>
              <w:t>标识符</w:t>
            </w:r>
          </w:p>
        </w:tc>
        <w:tc>
          <w:tcPr>
            <w:tcW w:w="6725" w:type="dxa"/>
            <w:tcBorders>
              <w:top w:val="single" w:color="000000" w:sz="4" w:space="0"/>
              <w:left w:val="single" w:color="000000" w:sz="4" w:space="0"/>
              <w:bottom w:val="single" w:color="000000" w:sz="4" w:space="0"/>
              <w:right w:val="single" w:color="000000" w:sz="4" w:space="0"/>
            </w:tcBorders>
            <w:vAlign w:val="center"/>
          </w:tcPr>
          <w:p w14:paraId="496E00D3">
            <w:pPr>
              <w:pStyle w:val="90"/>
              <w:wordWrap w:val="0"/>
              <w:snapToGrid w:val="0"/>
              <w:ind w:firstLine="600"/>
              <w:jc w:val="both"/>
              <w:rPr>
                <w:color w:val="000000" w:themeColor="text1"/>
              </w:rPr>
            </w:pPr>
            <w:r>
              <w:rPr>
                <w:rFonts w:hint="eastAsia"/>
                <w:color w:val="000000" w:themeColor="text1"/>
              </w:rPr>
              <w:t>不同供应商电子标书中出现相同唯一标识符（同一文件制作机器码、MAC地址、硬盘号、同一CA锁等）的投标无效。</w:t>
            </w:r>
          </w:p>
        </w:tc>
      </w:tr>
      <w:tr w14:paraId="3328D951">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ED38E0E">
            <w:pPr>
              <w:pStyle w:val="110"/>
              <w:wordWrap w:val="0"/>
              <w:adjustRightInd w:val="0"/>
              <w:snapToGrid w:val="0"/>
              <w:jc w:val="center"/>
              <w:rPr>
                <w:rFonts w:ascii="宋体" w:hAnsi="宋体" w:cs="宋体"/>
                <w:color w:val="000000" w:themeColor="text1"/>
                <w:szCs w:val="24"/>
              </w:rPr>
            </w:pPr>
            <w:r>
              <w:rPr>
                <w:rFonts w:hint="eastAsia" w:ascii="宋体" w:hAnsi="宋体" w:cs="宋体"/>
                <w:color w:val="000000" w:themeColor="text1"/>
                <w:szCs w:val="24"/>
              </w:rPr>
              <w:t>5</w:t>
            </w:r>
          </w:p>
        </w:tc>
        <w:tc>
          <w:tcPr>
            <w:tcW w:w="1813" w:type="dxa"/>
            <w:tcBorders>
              <w:top w:val="single" w:color="000000" w:sz="4" w:space="0"/>
              <w:left w:val="single" w:color="000000" w:sz="4" w:space="0"/>
              <w:bottom w:val="single" w:color="000000" w:sz="4" w:space="0"/>
              <w:right w:val="single" w:color="000000" w:sz="4" w:space="0"/>
            </w:tcBorders>
            <w:vAlign w:val="center"/>
          </w:tcPr>
          <w:p w14:paraId="0F7A5BE5">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7E8C4538">
            <w:pPr>
              <w:pStyle w:val="110"/>
              <w:wordWrap w:val="0"/>
              <w:adjustRightInd w:val="0"/>
              <w:snapToGrid w:val="0"/>
              <w:rPr>
                <w:rFonts w:ascii="宋体" w:hAnsi="宋体" w:cs="宋体"/>
                <w:color w:val="000000" w:themeColor="text1"/>
                <w:szCs w:val="24"/>
              </w:rPr>
            </w:pPr>
            <w:r>
              <w:rPr>
                <w:rFonts w:hint="eastAsia" w:ascii="宋体" w:hAnsi="宋体" w:cs="宋体"/>
                <w:color w:val="000000" w:themeColor="text1"/>
                <w:szCs w:val="24"/>
              </w:rPr>
              <w:t>供应商、响应文件存在不符合法律、法规和征集文件规定的其他无效情形。</w:t>
            </w:r>
          </w:p>
        </w:tc>
      </w:tr>
    </w:tbl>
    <w:p w14:paraId="31971DAC">
      <w:pPr>
        <w:pStyle w:val="90"/>
        <w:wordWrap w:val="0"/>
        <w:adjustRightInd/>
        <w:spacing w:line="360" w:lineRule="auto"/>
        <w:jc w:val="both"/>
        <w:rPr>
          <w:rFonts w:cs="华文仿宋"/>
          <w:color w:val="000000" w:themeColor="text1"/>
          <w:sz w:val="28"/>
          <w:szCs w:val="28"/>
        </w:rPr>
      </w:pPr>
      <w:r>
        <w:rPr>
          <w:rFonts w:hint="eastAsia"/>
          <w:bCs/>
          <w:color w:val="000000"/>
        </w:rPr>
        <w:t>符合性审查指标通过标准：</w:t>
      </w:r>
      <w:r>
        <w:rPr>
          <w:rFonts w:hint="eastAsia"/>
          <w:color w:val="000000"/>
        </w:rPr>
        <w:t>供应商必须通过符合性审查表中的全部评审指标。</w:t>
      </w:r>
    </w:p>
    <w:p w14:paraId="1923DCBB">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3.报价部分评审</w:t>
      </w:r>
    </w:p>
    <w:p w14:paraId="65AA38A5">
      <w:pPr>
        <w:ind w:firstLine="420" w:firstLineChars="150"/>
        <w:rPr>
          <w:rFonts w:ascii="宋体" w:hAnsi="宋体" w:cs="华文仿宋"/>
          <w:color w:val="000000" w:themeColor="text1"/>
          <w:sz w:val="28"/>
          <w:szCs w:val="28"/>
        </w:rPr>
      </w:pPr>
      <w:r>
        <w:rPr>
          <w:rFonts w:hint="eastAsia" w:ascii="宋体" w:hAnsi="宋体" w:cs="华文仿宋"/>
          <w:color w:val="000000" w:themeColor="text1"/>
          <w:sz w:val="28"/>
          <w:szCs w:val="28"/>
        </w:rPr>
        <w:t>(本项目为固定单价，供应商的维修工时单价设定为5元，不纳入评审。)</w:t>
      </w:r>
    </w:p>
    <w:p w14:paraId="155096AB">
      <w:pPr>
        <w:pStyle w:val="90"/>
        <w:wordWrap w:val="0"/>
        <w:adjustRightInd/>
        <w:spacing w:line="360" w:lineRule="auto"/>
        <w:ind w:left="562"/>
        <w:jc w:val="both"/>
        <w:rPr>
          <w:rFonts w:cs="华文仿宋"/>
          <w:color w:val="000000" w:themeColor="text1"/>
          <w:sz w:val="28"/>
          <w:szCs w:val="28"/>
        </w:rPr>
      </w:pPr>
      <w:r>
        <w:rPr>
          <w:rFonts w:hint="eastAsia" w:cs="华文仿宋"/>
          <w:color w:val="000000" w:themeColor="text1"/>
          <w:sz w:val="28"/>
          <w:szCs w:val="28"/>
        </w:rPr>
        <w:t>4、主要标的一览表的评审</w:t>
      </w:r>
    </w:p>
    <w:p w14:paraId="2B864273">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此表中服务公告名称、服务范围、服务要求由征集人列出，服务时间、服务标准由供应商填写，将随入围结果公告一并发布，接受社会监督。</w:t>
      </w:r>
    </w:p>
    <w:p w14:paraId="25CBFDB0">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5、评审办法</w:t>
      </w:r>
    </w:p>
    <w:p w14:paraId="7F9C78B2">
      <w:pPr>
        <w:rPr>
          <w:rFonts w:ascii="宋体" w:hAnsi="宋体" w:cs="华文仿宋"/>
          <w:color w:val="000000" w:themeColor="text1"/>
          <w:kern w:val="0"/>
          <w:sz w:val="28"/>
          <w:szCs w:val="28"/>
        </w:rPr>
      </w:pPr>
      <w:r>
        <w:rPr>
          <w:rFonts w:ascii="宋体" w:hAnsi="宋体" w:cs="华文仿宋"/>
          <w:color w:val="000000" w:themeColor="text1"/>
          <w:kern w:val="0"/>
          <w:sz w:val="28"/>
          <w:szCs w:val="28"/>
        </w:rPr>
        <w:t>（一）、第一阶段入围供应商的评审方法：质量优先法</w:t>
      </w:r>
    </w:p>
    <w:p w14:paraId="47B6894E">
      <w:pPr>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质量优先法评分细则如下：</w:t>
      </w:r>
    </w:p>
    <w:p w14:paraId="21DE3A03">
      <w:pPr>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（满分100分，计算过程和结果四舍五入，精确到小数点后两位。）</w:t>
      </w:r>
    </w:p>
    <w:p w14:paraId="60DEEA05">
      <w:pPr>
        <w:rPr>
          <w:rFonts w:ascii="宋体" w:hAnsi="宋体" w:cs="华文仿宋"/>
          <w:color w:val="000000" w:themeColor="text1"/>
          <w:kern w:val="0"/>
          <w:sz w:val="28"/>
          <w:szCs w:val="28"/>
        </w:rPr>
      </w:pPr>
    </w:p>
    <w:p w14:paraId="0BBC503C">
      <w:pPr>
        <w:rPr>
          <w:rFonts w:ascii="宋体" w:hAnsi="宋体" w:cs="华文仿宋"/>
          <w:color w:val="000000" w:themeColor="text1"/>
          <w:kern w:val="0"/>
          <w:sz w:val="28"/>
          <w:szCs w:val="28"/>
        </w:rPr>
      </w:pPr>
    </w:p>
    <w:p w14:paraId="71E5F272">
      <w:pPr>
        <w:rPr>
          <w:rFonts w:ascii="宋体" w:hAnsi="宋体" w:cs="华文仿宋"/>
          <w:color w:val="000000" w:themeColor="text1"/>
          <w:kern w:val="0"/>
          <w:sz w:val="28"/>
          <w:szCs w:val="28"/>
        </w:rPr>
      </w:pPr>
    </w:p>
    <w:p w14:paraId="254D2DE3">
      <w:pPr>
        <w:rPr>
          <w:rFonts w:ascii="宋体" w:hAnsi="宋体" w:cs="华文仿宋"/>
          <w:color w:val="000000" w:themeColor="text1"/>
          <w:kern w:val="0"/>
          <w:sz w:val="28"/>
          <w:szCs w:val="28"/>
        </w:rPr>
      </w:pPr>
    </w:p>
    <w:p w14:paraId="67605079">
      <w:pPr>
        <w:rPr>
          <w:rFonts w:ascii="宋体" w:hAnsi="宋体" w:cs="华文仿宋"/>
          <w:color w:val="000000" w:themeColor="text1"/>
          <w:kern w:val="0"/>
          <w:sz w:val="28"/>
          <w:szCs w:val="28"/>
        </w:rPr>
      </w:pPr>
    </w:p>
    <w:p w14:paraId="6FDD5B78">
      <w:pPr>
        <w:rPr>
          <w:rFonts w:ascii="宋体" w:hAnsi="宋体" w:cs="华文仿宋"/>
          <w:color w:val="000000" w:themeColor="text1"/>
          <w:kern w:val="0"/>
          <w:sz w:val="28"/>
          <w:szCs w:val="28"/>
        </w:rPr>
      </w:pPr>
    </w:p>
    <w:p w14:paraId="65D54FC3">
      <w:pPr>
        <w:rPr>
          <w:rFonts w:ascii="宋体" w:hAnsi="宋体" w:cs="华文仿宋"/>
          <w:color w:val="000000" w:themeColor="text1"/>
          <w:kern w:val="0"/>
          <w:sz w:val="28"/>
          <w:szCs w:val="28"/>
        </w:rPr>
      </w:pPr>
    </w:p>
    <w:p w14:paraId="38E01830">
      <w:pPr>
        <w:rPr>
          <w:rFonts w:ascii="宋体" w:hAnsi="宋体" w:cs="华文仿宋"/>
          <w:color w:val="000000" w:themeColor="text1"/>
          <w:kern w:val="0"/>
          <w:sz w:val="28"/>
          <w:szCs w:val="28"/>
        </w:rPr>
      </w:pPr>
    </w:p>
    <w:p w14:paraId="2C5E11DE">
      <w:pPr>
        <w:rPr>
          <w:rFonts w:ascii="宋体" w:hAnsi="宋体" w:cs="华文仿宋"/>
          <w:color w:val="000000" w:themeColor="text1"/>
          <w:kern w:val="0"/>
          <w:sz w:val="28"/>
          <w:szCs w:val="28"/>
        </w:rPr>
      </w:pPr>
    </w:p>
    <w:p w14:paraId="2C8414DF">
      <w:pPr>
        <w:rPr>
          <w:rFonts w:ascii="宋体" w:hAnsi="宋体" w:cs="华文仿宋"/>
          <w:color w:val="000000" w:themeColor="text1"/>
          <w:kern w:val="0"/>
          <w:sz w:val="28"/>
          <w:szCs w:val="28"/>
        </w:rPr>
      </w:pPr>
    </w:p>
    <w:p w14:paraId="5516AB34">
      <w:pPr>
        <w:rPr>
          <w:rFonts w:ascii="宋体" w:hAnsi="宋体" w:cs="华文仿宋"/>
          <w:color w:val="000000" w:themeColor="text1"/>
          <w:kern w:val="0"/>
          <w:sz w:val="28"/>
          <w:szCs w:val="28"/>
        </w:rPr>
      </w:pPr>
    </w:p>
    <w:p w14:paraId="5F096837">
      <w:pPr>
        <w:rPr>
          <w:rFonts w:ascii="宋体" w:hAnsi="宋体" w:cs="华文仿宋"/>
          <w:color w:val="000000" w:themeColor="text1"/>
          <w:kern w:val="0"/>
          <w:sz w:val="28"/>
          <w:szCs w:val="28"/>
        </w:rPr>
      </w:pPr>
    </w:p>
    <w:p w14:paraId="5D28382B">
      <w:pPr>
        <w:rPr>
          <w:rFonts w:ascii="宋体" w:hAnsi="宋体" w:cs="华文仿宋"/>
          <w:color w:val="000000" w:themeColor="text1"/>
          <w:kern w:val="0"/>
          <w:sz w:val="28"/>
          <w:szCs w:val="28"/>
        </w:rPr>
      </w:pPr>
    </w:p>
    <w:p w14:paraId="2716246A">
      <w:pPr>
        <w:rPr>
          <w:rFonts w:ascii="宋体" w:hAnsi="宋体" w:cs="华文仿宋"/>
          <w:color w:val="000000" w:themeColor="text1"/>
          <w:kern w:val="0"/>
          <w:sz w:val="28"/>
          <w:szCs w:val="28"/>
        </w:rPr>
      </w:pPr>
    </w:p>
    <w:tbl>
      <w:tblPr>
        <w:tblStyle w:val="44"/>
        <w:tblW w:w="981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78"/>
        <w:gridCol w:w="816"/>
        <w:gridCol w:w="6380"/>
      </w:tblGrid>
      <w:tr w14:paraId="52CD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0" w:type="dxa"/>
            <w:vAlign w:val="center"/>
          </w:tcPr>
          <w:p w14:paraId="27E079ED">
            <w:pPr>
              <w:rPr>
                <w:rFonts w:asciiTheme="minorEastAsia" w:hAnsiTheme="minorEastAsia" w:cstheme="minorEastAsia"/>
                <w:bCs/>
                <w:sz w:val="28"/>
                <w:szCs w:val="28"/>
              </w:rPr>
            </w:pPr>
            <w:r>
              <w:rPr>
                <w:rFonts w:hint="eastAsia" w:asciiTheme="minorEastAsia" w:hAnsiTheme="minorEastAsia" w:cstheme="minorEastAsia"/>
                <w:bCs/>
                <w:sz w:val="28"/>
                <w:szCs w:val="28"/>
              </w:rPr>
              <w:t>序号</w:t>
            </w:r>
          </w:p>
        </w:tc>
        <w:tc>
          <w:tcPr>
            <w:tcW w:w="1710" w:type="dxa"/>
            <w:vAlign w:val="center"/>
          </w:tcPr>
          <w:p w14:paraId="28DD2A01">
            <w:pPr>
              <w:rPr>
                <w:rFonts w:asciiTheme="minorEastAsia" w:hAnsiTheme="minorEastAsia" w:cstheme="minorEastAsia"/>
                <w:bCs/>
                <w:sz w:val="28"/>
                <w:szCs w:val="28"/>
              </w:rPr>
            </w:pPr>
            <w:r>
              <w:rPr>
                <w:rFonts w:hint="eastAsia" w:asciiTheme="minorEastAsia" w:hAnsiTheme="minorEastAsia" w:cstheme="minorEastAsia"/>
                <w:bCs/>
                <w:sz w:val="28"/>
                <w:szCs w:val="28"/>
              </w:rPr>
              <w:t>评审项</w:t>
            </w:r>
          </w:p>
        </w:tc>
        <w:tc>
          <w:tcPr>
            <w:tcW w:w="825" w:type="dxa"/>
            <w:vAlign w:val="center"/>
          </w:tcPr>
          <w:p w14:paraId="66873B8D">
            <w:pPr>
              <w:rPr>
                <w:rFonts w:asciiTheme="minorEastAsia" w:hAnsiTheme="minorEastAsia" w:cstheme="minorEastAsia"/>
                <w:bCs/>
                <w:sz w:val="28"/>
                <w:szCs w:val="28"/>
              </w:rPr>
            </w:pPr>
            <w:r>
              <w:rPr>
                <w:rFonts w:hint="eastAsia" w:asciiTheme="minorEastAsia" w:hAnsiTheme="minorEastAsia" w:cstheme="minorEastAsia"/>
                <w:bCs/>
                <w:sz w:val="28"/>
                <w:szCs w:val="28"/>
              </w:rPr>
              <w:t>分值</w:t>
            </w:r>
          </w:p>
        </w:tc>
        <w:tc>
          <w:tcPr>
            <w:tcW w:w="6495" w:type="dxa"/>
            <w:vAlign w:val="center"/>
          </w:tcPr>
          <w:p w14:paraId="19E2566F">
            <w:pPr>
              <w:ind w:firstLine="2240" w:firstLineChars="800"/>
              <w:rPr>
                <w:rFonts w:asciiTheme="minorEastAsia" w:hAnsiTheme="minorEastAsia" w:cstheme="minorEastAsia"/>
                <w:bCs/>
                <w:sz w:val="28"/>
                <w:szCs w:val="28"/>
              </w:rPr>
            </w:pPr>
            <w:r>
              <w:rPr>
                <w:rFonts w:hint="eastAsia" w:asciiTheme="minorEastAsia" w:hAnsiTheme="minorEastAsia" w:cstheme="minorEastAsia"/>
                <w:bCs/>
                <w:sz w:val="28"/>
                <w:szCs w:val="28"/>
              </w:rPr>
              <w:t>评分标准</w:t>
            </w:r>
          </w:p>
        </w:tc>
      </w:tr>
      <w:tr w14:paraId="1B87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0" w:hRule="atLeast"/>
        </w:trPr>
        <w:tc>
          <w:tcPr>
            <w:tcW w:w="780" w:type="dxa"/>
            <w:vAlign w:val="center"/>
          </w:tcPr>
          <w:p w14:paraId="130C723C">
            <w:pPr>
              <w:ind w:firstLine="480"/>
              <w:jc w:val="center"/>
              <w:rPr>
                <w:rFonts w:asciiTheme="minorEastAsia" w:hAnsiTheme="minorEastAsia" w:cstheme="minorEastAsia"/>
                <w:sz w:val="24"/>
              </w:rPr>
            </w:pPr>
            <w:r>
              <w:rPr>
                <w:rFonts w:hint="eastAsia" w:asciiTheme="minorEastAsia" w:hAnsiTheme="minorEastAsia" w:cstheme="minorEastAsia"/>
                <w:sz w:val="24"/>
              </w:rPr>
              <w:t>1</w:t>
            </w:r>
          </w:p>
        </w:tc>
        <w:tc>
          <w:tcPr>
            <w:tcW w:w="1710" w:type="dxa"/>
            <w:vAlign w:val="center"/>
          </w:tcPr>
          <w:p w14:paraId="00AC4328">
            <w:pPr>
              <w:widowControl/>
              <w:rPr>
                <w:rFonts w:asciiTheme="minorEastAsia" w:hAnsiTheme="minorEastAsia" w:cstheme="minorEastAsia"/>
                <w:sz w:val="24"/>
              </w:rPr>
            </w:pPr>
            <w:r>
              <w:rPr>
                <w:rFonts w:hint="eastAsia" w:asciiTheme="minorEastAsia" w:hAnsiTheme="minorEastAsia" w:cstheme="minorEastAsia"/>
                <w:sz w:val="24"/>
              </w:rPr>
              <w:t>场地设施条件</w:t>
            </w:r>
          </w:p>
        </w:tc>
        <w:tc>
          <w:tcPr>
            <w:tcW w:w="825" w:type="dxa"/>
            <w:vAlign w:val="center"/>
          </w:tcPr>
          <w:p w14:paraId="0B94DF12">
            <w:pPr>
              <w:rPr>
                <w:rFonts w:asciiTheme="minorEastAsia" w:hAnsiTheme="minorEastAsia" w:cstheme="minorEastAsia"/>
                <w:sz w:val="24"/>
              </w:rPr>
            </w:pPr>
            <w:r>
              <w:rPr>
                <w:rFonts w:hint="eastAsia" w:asciiTheme="minorEastAsia" w:hAnsiTheme="minorEastAsia" w:cstheme="minorEastAsia"/>
                <w:sz w:val="24"/>
              </w:rPr>
              <w:t>23分</w:t>
            </w:r>
          </w:p>
        </w:tc>
        <w:tc>
          <w:tcPr>
            <w:tcW w:w="6495" w:type="dxa"/>
            <w:vAlign w:val="center"/>
          </w:tcPr>
          <w:p w14:paraId="72AF1EA3">
            <w:pPr>
              <w:spacing w:line="5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生产厂房面积达400㎡的得3分，每增加200㎡的加1分，本项最高得5分（供应商需提供生产厂房现场概览照片，自有场地的需提供所有权证明材料，租用场地的需提供有效期限内的租赁合同，场地证明材料均需能体现场地实际面积）。</w:t>
            </w:r>
          </w:p>
          <w:p w14:paraId="7D2D4B55">
            <w:pPr>
              <w:spacing w:line="5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2.具有与承修车型、经营业务相适应的合法停车场地，停车位数量达10个的得3分，超过10个的加1分，本项最高得4分（需提供停车位现场照片，并标注序号）。</w:t>
            </w:r>
          </w:p>
          <w:p w14:paraId="771FCF57">
            <w:pPr>
              <w:spacing w:line="5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3.设有有效维修保养工位达6个（含举升机工位在内）的得3分，超过6个的加1分，本项最高得4分（需提供维保工位现场照片，并标注序号）。</w:t>
            </w:r>
          </w:p>
          <w:p w14:paraId="44B453E5">
            <w:pPr>
              <w:spacing w:line="5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4.具有总成独立维修间的得2分，没有不得分（需提供总成维修间标识牌及内部照片，内容需能体现其应用功能如维修操作台等）。</w:t>
            </w:r>
          </w:p>
          <w:p w14:paraId="56D66640">
            <w:pPr>
              <w:spacing w:line="5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5.具有固废危废等有害物质独立存储间的得2分，没有不得分（需提供存储间标识牌及内部照片，内容需能体现其应用功能，如有害物质存储容器等）。</w:t>
            </w:r>
          </w:p>
          <w:p w14:paraId="22980E0D">
            <w:pPr>
              <w:spacing w:line="520" w:lineRule="exact"/>
              <w:ind w:firstLine="240" w:firstLineChars="100"/>
              <w:rPr>
                <w:rFonts w:hint="eastAsia" w:asciiTheme="minorEastAsia" w:hAnsiTheme="minorEastAsia" w:cstheme="minorEastAsia"/>
                <w:color w:val="0000FF"/>
                <w:sz w:val="24"/>
              </w:rPr>
            </w:pPr>
            <w:r>
              <w:rPr>
                <w:rFonts w:hint="eastAsia" w:asciiTheme="minorEastAsia" w:hAnsiTheme="minorEastAsia" w:cstheme="minorEastAsia"/>
                <w:sz w:val="24"/>
              </w:rPr>
              <w:t>6.具有洗车专用工位的得2分，没有不得分（需提供洗车工位现场照片）。</w:t>
            </w:r>
            <w:bookmarkStart w:id="173" w:name="_GoBack"/>
            <w:bookmarkEnd w:id="173"/>
          </w:p>
          <w:p w14:paraId="779311F9">
            <w:pPr>
              <w:spacing w:line="520" w:lineRule="exact"/>
              <w:ind w:firstLine="241" w:firstLineChars="100"/>
              <w:rPr>
                <w:rFonts w:hint="eastAsia" w:asciiTheme="minorEastAsia" w:hAnsiTheme="minorEastAsia" w:cstheme="minorEastAsia"/>
                <w:b/>
                <w:bCs/>
                <w:color w:val="auto"/>
                <w:sz w:val="24"/>
              </w:rPr>
            </w:pPr>
            <w:r>
              <w:rPr>
                <w:rFonts w:hint="eastAsia" w:asciiTheme="minorEastAsia" w:hAnsiTheme="minorEastAsia" w:cstheme="minorEastAsia"/>
                <w:b/>
                <w:bCs/>
                <w:color w:val="auto"/>
                <w:sz w:val="24"/>
              </w:rPr>
              <w:t>7.地沟（地上</w:t>
            </w:r>
            <w:r>
              <w:rPr>
                <w:rFonts w:hint="eastAsia" w:asciiTheme="minorEastAsia" w:hAnsiTheme="minorEastAsia" w:cstheme="minorEastAsia"/>
                <w:b/>
                <w:bCs/>
                <w:color w:val="auto"/>
                <w:sz w:val="24"/>
                <w:lang w:val="en-US" w:eastAsia="zh-CN"/>
              </w:rPr>
              <w:t>式</w:t>
            </w:r>
            <w:r>
              <w:rPr>
                <w:rFonts w:hint="eastAsia" w:asciiTheme="minorEastAsia" w:hAnsiTheme="minorEastAsia" w:cstheme="minorEastAsia"/>
                <w:b/>
                <w:bCs/>
                <w:color w:val="auto"/>
                <w:sz w:val="24"/>
              </w:rPr>
              <w:t>或地下</w:t>
            </w:r>
            <w:r>
              <w:rPr>
                <w:rFonts w:hint="eastAsia" w:asciiTheme="minorEastAsia" w:hAnsiTheme="minorEastAsia" w:cstheme="minorEastAsia"/>
                <w:b/>
                <w:bCs/>
                <w:color w:val="auto"/>
                <w:sz w:val="24"/>
                <w:lang w:val="en-US" w:eastAsia="zh-CN"/>
              </w:rPr>
              <w:t>式</w:t>
            </w:r>
            <w:r>
              <w:rPr>
                <w:rFonts w:hint="eastAsia" w:asciiTheme="minorEastAsia" w:hAnsiTheme="minorEastAsia" w:cstheme="minorEastAsia"/>
                <w:b/>
                <w:bCs/>
                <w:color w:val="auto"/>
                <w:sz w:val="24"/>
              </w:rPr>
              <w:t>）数量达1条的得3分，超过1条的加1分，没有不得分，本项最高得4分。（需提供地沟现场照片）</w:t>
            </w:r>
          </w:p>
          <w:p w14:paraId="63048B95">
            <w:pPr>
              <w:spacing w:line="520" w:lineRule="exact"/>
              <w:ind w:firstLine="240" w:firstLineChars="100"/>
              <w:rPr>
                <w:rFonts w:ascii="楷体_GB2312" w:hAnsi="楷体_GB2312" w:eastAsia="楷体_GB2312" w:cs="楷体_GB2312"/>
                <w:b/>
                <w:bCs/>
                <w:sz w:val="24"/>
              </w:rPr>
            </w:pPr>
            <w:r>
              <w:rPr>
                <w:rFonts w:hint="eastAsia" w:asciiTheme="minorEastAsia" w:hAnsiTheme="minorEastAsia" w:cstheme="minorEastAsia"/>
                <w:sz w:val="24"/>
              </w:rPr>
              <w:t>注：以上需提供的照片及证明材料内容均应能体现上述评分要求，未提供的不得分。</w:t>
            </w:r>
          </w:p>
        </w:tc>
      </w:tr>
      <w:tr w14:paraId="0182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trPr>
        <w:tc>
          <w:tcPr>
            <w:tcW w:w="780" w:type="dxa"/>
            <w:vAlign w:val="center"/>
          </w:tcPr>
          <w:p w14:paraId="09A79AEE">
            <w:pPr>
              <w:ind w:firstLine="480"/>
              <w:jc w:val="center"/>
              <w:rPr>
                <w:rFonts w:asciiTheme="minorEastAsia" w:hAnsiTheme="minorEastAsia" w:cstheme="minorEastAsia"/>
                <w:sz w:val="24"/>
              </w:rPr>
            </w:pPr>
            <w:r>
              <w:rPr>
                <w:rFonts w:hint="eastAsia" w:asciiTheme="minorEastAsia" w:hAnsiTheme="minorEastAsia" w:cstheme="minorEastAsia"/>
                <w:sz w:val="24"/>
              </w:rPr>
              <w:t>2</w:t>
            </w:r>
          </w:p>
        </w:tc>
        <w:tc>
          <w:tcPr>
            <w:tcW w:w="1710" w:type="dxa"/>
            <w:vAlign w:val="center"/>
          </w:tcPr>
          <w:p w14:paraId="298AD73C">
            <w:pPr>
              <w:rPr>
                <w:rFonts w:asciiTheme="minorEastAsia" w:hAnsiTheme="minorEastAsia" w:cstheme="minorEastAsia"/>
                <w:sz w:val="24"/>
              </w:rPr>
            </w:pPr>
            <w:r>
              <w:rPr>
                <w:rFonts w:hint="eastAsia" w:asciiTheme="minorEastAsia" w:hAnsiTheme="minorEastAsia" w:cstheme="minorEastAsia"/>
                <w:sz w:val="24"/>
              </w:rPr>
              <w:t>维修设备条件</w:t>
            </w:r>
          </w:p>
        </w:tc>
        <w:tc>
          <w:tcPr>
            <w:tcW w:w="825" w:type="dxa"/>
            <w:vAlign w:val="center"/>
          </w:tcPr>
          <w:p w14:paraId="73C4FB42">
            <w:pPr>
              <w:rPr>
                <w:rFonts w:asciiTheme="minorEastAsia" w:hAnsiTheme="minorEastAsia" w:cstheme="minorEastAsia"/>
                <w:sz w:val="24"/>
              </w:rPr>
            </w:pPr>
            <w:r>
              <w:rPr>
                <w:rFonts w:hint="eastAsia" w:asciiTheme="minorEastAsia" w:hAnsiTheme="minorEastAsia" w:cstheme="minorEastAsia"/>
                <w:sz w:val="24"/>
              </w:rPr>
              <w:t>26分</w:t>
            </w:r>
          </w:p>
        </w:tc>
        <w:tc>
          <w:tcPr>
            <w:tcW w:w="6495" w:type="dxa"/>
            <w:vAlign w:val="center"/>
          </w:tcPr>
          <w:p w14:paraId="3E18CCBB">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1.举升机数量达3台的得3分，每增加1台的加1分，本项最高得8分。</w:t>
            </w:r>
          </w:p>
          <w:p w14:paraId="2A7C0C38">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2.喷烤漆房数量达1台的得3分，超过1台的加1分，本项最高得4分。</w:t>
            </w:r>
          </w:p>
          <w:p w14:paraId="466C4F5F">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3.大梁校正仪数量达1台的得3分，超过1台的加1分，本项最高得4分。</w:t>
            </w:r>
          </w:p>
          <w:p w14:paraId="4F0E1B06">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4.四轮定位仪数量达1台的得3分，超过1台的加1分，没有不得分，本项最高得4分。</w:t>
            </w:r>
          </w:p>
          <w:p w14:paraId="426AF401">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5.轮胎拆装机达1台的得3分，没有不得分。</w:t>
            </w:r>
          </w:p>
          <w:p w14:paraId="43D71D94">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6.车轮动平衡机达1台的得3分，没有不得分。</w:t>
            </w:r>
          </w:p>
          <w:p w14:paraId="1B5FDC22">
            <w:pPr>
              <w:spacing w:line="360" w:lineRule="exact"/>
              <w:rPr>
                <w:rFonts w:asciiTheme="minorEastAsia" w:hAnsiTheme="minorEastAsia" w:cstheme="minorEastAsia"/>
                <w:sz w:val="24"/>
              </w:rPr>
            </w:pPr>
            <w:r>
              <w:rPr>
                <w:rFonts w:hint="eastAsia" w:asciiTheme="minorEastAsia" w:hAnsiTheme="minorEastAsia" w:cstheme="minorEastAsia"/>
                <w:sz w:val="24"/>
              </w:rPr>
              <w:t>注：（1）供应商需提供各类设备现场实物照片及设备购置发票复印件，无原始购置发票的，另需提供购置合同复印件或供货单位签章的供货清单复印件和货款收据复印件，未提供的不得分。（2）供应商自行出具的各类设备所有权证明材料将不予采纳。</w:t>
            </w:r>
          </w:p>
        </w:tc>
      </w:tr>
      <w:tr w14:paraId="59B6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780" w:type="dxa"/>
            <w:vAlign w:val="center"/>
          </w:tcPr>
          <w:p w14:paraId="52994CBB">
            <w:pPr>
              <w:ind w:firstLine="480"/>
              <w:jc w:val="center"/>
              <w:rPr>
                <w:rFonts w:asciiTheme="minorEastAsia" w:hAnsiTheme="minorEastAsia" w:cstheme="minorEastAsia"/>
                <w:sz w:val="24"/>
              </w:rPr>
            </w:pPr>
            <w:r>
              <w:rPr>
                <w:rFonts w:hint="eastAsia" w:asciiTheme="minorEastAsia" w:hAnsiTheme="minorEastAsia" w:cstheme="minorEastAsia"/>
                <w:sz w:val="24"/>
              </w:rPr>
              <w:t>3</w:t>
            </w:r>
          </w:p>
        </w:tc>
        <w:tc>
          <w:tcPr>
            <w:tcW w:w="1710" w:type="dxa"/>
            <w:vAlign w:val="center"/>
          </w:tcPr>
          <w:p w14:paraId="57082544">
            <w:pPr>
              <w:rPr>
                <w:rFonts w:asciiTheme="minorEastAsia" w:hAnsiTheme="minorEastAsia" w:cstheme="minorEastAsia"/>
                <w:sz w:val="24"/>
              </w:rPr>
            </w:pPr>
            <w:r>
              <w:rPr>
                <w:rFonts w:hint="eastAsia" w:asciiTheme="minorEastAsia" w:hAnsiTheme="minorEastAsia" w:cstheme="minorEastAsia"/>
                <w:sz w:val="24"/>
              </w:rPr>
              <w:t>维修服务团队人员</w:t>
            </w:r>
          </w:p>
        </w:tc>
        <w:tc>
          <w:tcPr>
            <w:tcW w:w="825" w:type="dxa"/>
            <w:vAlign w:val="center"/>
          </w:tcPr>
          <w:p w14:paraId="54AB91DB">
            <w:pPr>
              <w:rPr>
                <w:rFonts w:asciiTheme="minorEastAsia" w:hAnsiTheme="minorEastAsia" w:cstheme="minorEastAsia"/>
                <w:sz w:val="24"/>
              </w:rPr>
            </w:pPr>
            <w:r>
              <w:rPr>
                <w:rFonts w:hint="eastAsia" w:asciiTheme="minorEastAsia" w:hAnsiTheme="minorEastAsia" w:cstheme="minorEastAsia"/>
                <w:sz w:val="24"/>
              </w:rPr>
              <w:t>13分</w:t>
            </w:r>
          </w:p>
        </w:tc>
        <w:tc>
          <w:tcPr>
            <w:tcW w:w="6495" w:type="dxa"/>
            <w:vAlign w:val="center"/>
          </w:tcPr>
          <w:p w14:paraId="2A154C19">
            <w:pPr>
              <w:spacing w:line="360" w:lineRule="exact"/>
              <w:rPr>
                <w:rFonts w:asciiTheme="minorEastAsia" w:hAnsiTheme="minorEastAsia" w:cstheme="minorEastAsia"/>
                <w:sz w:val="24"/>
              </w:rPr>
            </w:pPr>
            <w:r>
              <w:rPr>
                <w:rFonts w:hint="eastAsia" w:asciiTheme="minorEastAsia" w:hAnsiTheme="minorEastAsia" w:cstheme="minorEastAsia"/>
                <w:sz w:val="24"/>
              </w:rPr>
              <w:t>供应商须为本项目配备维修服务团队人员如下：</w:t>
            </w:r>
          </w:p>
          <w:p w14:paraId="141FA91A">
            <w:pPr>
              <w:spacing w:line="360" w:lineRule="exact"/>
              <w:rPr>
                <w:rFonts w:asciiTheme="minorEastAsia" w:hAnsiTheme="minorEastAsia" w:cstheme="minorEastAsia"/>
                <w:sz w:val="24"/>
              </w:rPr>
            </w:pPr>
            <w:r>
              <w:rPr>
                <w:rFonts w:hint="eastAsia" w:asciiTheme="minorEastAsia" w:hAnsiTheme="minorEastAsia" w:cstheme="minorEastAsia"/>
                <w:sz w:val="24"/>
              </w:rPr>
              <w:t>1.机修、电器、钣金和涂漆各类维修技术人员各配备1人的得4分，各类人员每增加1人加1分，本项最高得8分。</w:t>
            </w:r>
          </w:p>
          <w:p w14:paraId="06F67257">
            <w:pPr>
              <w:spacing w:line="360" w:lineRule="exact"/>
              <w:rPr>
                <w:rFonts w:asciiTheme="minorEastAsia" w:hAnsiTheme="minorEastAsia" w:cstheme="minorEastAsia"/>
                <w:sz w:val="24"/>
              </w:rPr>
            </w:pPr>
            <w:r>
              <w:rPr>
                <w:rFonts w:hint="eastAsia" w:asciiTheme="minorEastAsia" w:hAnsiTheme="minorEastAsia" w:cstheme="minorEastAsia"/>
                <w:sz w:val="24"/>
              </w:rPr>
              <w:t>2.服务团队负责人配备1人的得1分。</w:t>
            </w:r>
          </w:p>
          <w:p w14:paraId="02968E06">
            <w:pPr>
              <w:spacing w:line="360" w:lineRule="exact"/>
              <w:rPr>
                <w:rFonts w:asciiTheme="minorEastAsia" w:hAnsiTheme="minorEastAsia" w:cstheme="minorEastAsia"/>
                <w:sz w:val="24"/>
              </w:rPr>
            </w:pPr>
            <w:r>
              <w:rPr>
                <w:rFonts w:hint="eastAsia" w:asciiTheme="minorEastAsia" w:hAnsiTheme="minorEastAsia" w:cstheme="minorEastAsia"/>
                <w:sz w:val="24"/>
              </w:rPr>
              <w:t>3.技术负责人员配备1人的得1分。</w:t>
            </w:r>
          </w:p>
          <w:p w14:paraId="3D4ADD91">
            <w:pPr>
              <w:spacing w:line="360" w:lineRule="exact"/>
              <w:rPr>
                <w:rFonts w:asciiTheme="minorEastAsia" w:hAnsiTheme="minorEastAsia" w:cstheme="minorEastAsia"/>
                <w:sz w:val="24"/>
              </w:rPr>
            </w:pPr>
            <w:r>
              <w:rPr>
                <w:rFonts w:hint="eastAsia" w:asciiTheme="minorEastAsia" w:hAnsiTheme="minorEastAsia" w:cstheme="minorEastAsia"/>
                <w:sz w:val="24"/>
              </w:rPr>
              <w:t>4.安全生产管理人员配备1人的得1分。</w:t>
            </w:r>
          </w:p>
          <w:p w14:paraId="3CA3E506">
            <w:pPr>
              <w:spacing w:line="360" w:lineRule="exact"/>
              <w:rPr>
                <w:rFonts w:asciiTheme="minorEastAsia" w:hAnsiTheme="minorEastAsia" w:cstheme="minorEastAsia"/>
                <w:sz w:val="24"/>
              </w:rPr>
            </w:pPr>
            <w:r>
              <w:rPr>
                <w:rFonts w:hint="eastAsia" w:asciiTheme="minorEastAsia" w:hAnsiTheme="minorEastAsia" w:cstheme="minorEastAsia"/>
                <w:sz w:val="24"/>
              </w:rPr>
              <w:t>5.质量检验人员配备1人的得1分。</w:t>
            </w:r>
          </w:p>
          <w:p w14:paraId="5A78E300">
            <w:pPr>
              <w:spacing w:line="360" w:lineRule="exact"/>
              <w:rPr>
                <w:rFonts w:asciiTheme="minorEastAsia" w:hAnsiTheme="minorEastAsia" w:cstheme="minorEastAsia"/>
                <w:sz w:val="24"/>
              </w:rPr>
            </w:pPr>
            <w:r>
              <w:rPr>
                <w:rFonts w:hint="eastAsia" w:asciiTheme="minorEastAsia" w:hAnsiTheme="minorEastAsia" w:cstheme="minorEastAsia"/>
                <w:sz w:val="24"/>
              </w:rPr>
              <w:t>6.业务接待人员配备1人的得1分。</w:t>
            </w:r>
          </w:p>
          <w:p w14:paraId="277D400D">
            <w:pPr>
              <w:spacing w:line="360" w:lineRule="exact"/>
              <w:rPr>
                <w:rFonts w:hint="eastAsia" w:asciiTheme="minorEastAsia" w:hAnsiTheme="minorEastAsia" w:cstheme="minorEastAsia"/>
                <w:sz w:val="24"/>
              </w:rPr>
            </w:pPr>
            <w:r>
              <w:rPr>
                <w:rFonts w:hint="eastAsia" w:asciiTheme="minorEastAsia" w:hAnsiTheme="minorEastAsia" w:cstheme="minorEastAsia"/>
                <w:sz w:val="24"/>
              </w:rPr>
              <w:t>注：</w:t>
            </w:r>
            <w:r>
              <w:rPr>
                <w:rFonts w:hint="eastAsia" w:asciiTheme="minorEastAsia" w:hAnsiTheme="minorEastAsia" w:cstheme="minorEastAsia"/>
                <w:b/>
                <w:bCs/>
                <w:color w:val="auto"/>
                <w:sz w:val="24"/>
              </w:rPr>
              <w:t>以上各类人员不得兼</w:t>
            </w:r>
            <w:r>
              <w:rPr>
                <w:rFonts w:hint="eastAsia" w:asciiTheme="minorEastAsia" w:hAnsiTheme="minorEastAsia" w:cstheme="minorEastAsia"/>
                <w:b/>
                <w:bCs/>
                <w:color w:val="auto"/>
                <w:sz w:val="24"/>
                <w:lang w:val="en-US" w:eastAsia="zh-CN"/>
              </w:rPr>
              <w:t>任，同一人兼任的不重复得分。</w:t>
            </w:r>
          </w:p>
          <w:p w14:paraId="6367C96C">
            <w:pPr>
              <w:spacing w:line="360" w:lineRule="exact"/>
              <w:rPr>
                <w:rFonts w:ascii="楷体_GB2312" w:hAnsi="楷体_GB2312" w:eastAsia="楷体_GB2312" w:cs="楷体_GB2312"/>
                <w:b/>
                <w:bCs/>
                <w:sz w:val="24"/>
              </w:rPr>
            </w:pPr>
            <w:r>
              <w:rPr>
                <w:rFonts w:hint="eastAsia" w:asciiTheme="minorEastAsia" w:hAnsiTheme="minorEastAsia" w:cstheme="minorEastAsia"/>
                <w:sz w:val="24"/>
              </w:rPr>
              <w:t>供应商需提供维修服务团队人员一览表及身份证扫描件，未提供的不得分。</w:t>
            </w:r>
          </w:p>
        </w:tc>
      </w:tr>
      <w:tr w14:paraId="130C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trPr>
        <w:tc>
          <w:tcPr>
            <w:tcW w:w="780" w:type="dxa"/>
            <w:vAlign w:val="center"/>
          </w:tcPr>
          <w:p w14:paraId="0DB9AA17">
            <w:pPr>
              <w:ind w:firstLine="480"/>
              <w:jc w:val="center"/>
              <w:rPr>
                <w:rFonts w:asciiTheme="minorEastAsia" w:hAnsiTheme="minorEastAsia" w:cstheme="minorEastAsia"/>
                <w:sz w:val="24"/>
              </w:rPr>
            </w:pPr>
            <w:r>
              <w:rPr>
                <w:rFonts w:hint="eastAsia" w:asciiTheme="minorEastAsia" w:hAnsiTheme="minorEastAsia" w:cstheme="minorEastAsia"/>
                <w:sz w:val="24"/>
              </w:rPr>
              <w:t>4</w:t>
            </w:r>
          </w:p>
        </w:tc>
        <w:tc>
          <w:tcPr>
            <w:tcW w:w="1710" w:type="dxa"/>
            <w:vAlign w:val="center"/>
          </w:tcPr>
          <w:p w14:paraId="309919BB">
            <w:pPr>
              <w:rPr>
                <w:rFonts w:asciiTheme="minorEastAsia" w:hAnsiTheme="minorEastAsia" w:cstheme="minorEastAsia"/>
                <w:sz w:val="24"/>
              </w:rPr>
            </w:pPr>
            <w:r>
              <w:rPr>
                <w:rFonts w:hint="eastAsia" w:asciiTheme="minorEastAsia" w:hAnsiTheme="minorEastAsia" w:cstheme="minorEastAsia"/>
                <w:sz w:val="24"/>
              </w:rPr>
              <w:t>抢修救援车辆</w:t>
            </w:r>
          </w:p>
        </w:tc>
        <w:tc>
          <w:tcPr>
            <w:tcW w:w="825" w:type="dxa"/>
            <w:vAlign w:val="center"/>
          </w:tcPr>
          <w:p w14:paraId="7FBBEB94">
            <w:pPr>
              <w:rPr>
                <w:rFonts w:asciiTheme="minorEastAsia" w:hAnsiTheme="minorEastAsia" w:cstheme="minorEastAsia"/>
                <w:sz w:val="24"/>
              </w:rPr>
            </w:pPr>
            <w:r>
              <w:rPr>
                <w:rFonts w:hint="eastAsia" w:asciiTheme="minorEastAsia" w:hAnsiTheme="minorEastAsia" w:cstheme="minorEastAsia"/>
                <w:sz w:val="24"/>
              </w:rPr>
              <w:t>8分</w:t>
            </w:r>
          </w:p>
        </w:tc>
        <w:tc>
          <w:tcPr>
            <w:tcW w:w="6495" w:type="dxa"/>
            <w:vAlign w:val="center"/>
          </w:tcPr>
          <w:p w14:paraId="654F43EB">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1.供应商提供1辆自有抢修服务车的得4分；</w:t>
            </w:r>
          </w:p>
          <w:p w14:paraId="690379FE">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2.供应商提供1辆自有救援平板拖车的得4分；</w:t>
            </w:r>
          </w:p>
          <w:p w14:paraId="76A01763">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3.供应商通过租赁方式提供1辆抢修服务车的得2分；</w:t>
            </w:r>
          </w:p>
          <w:p w14:paraId="06A61DF9">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4.供应商通过租赁方式提供1辆救援平板拖车的得2分。</w:t>
            </w:r>
          </w:p>
          <w:p w14:paraId="6CB20965">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注：（1）供应商自有车辆的需提供车辆购置发票复印件、行驶证复印件及车辆外观照片，无原始购置发票的，另需提供车辆购置合同复印件，未提供的不得分。</w:t>
            </w:r>
          </w:p>
          <w:p w14:paraId="04411328">
            <w:pPr>
              <w:spacing w:line="360" w:lineRule="exact"/>
              <w:rPr>
                <w:rFonts w:asciiTheme="minorEastAsia" w:hAnsiTheme="minorEastAsia" w:cstheme="minorEastAsia"/>
                <w:sz w:val="24"/>
              </w:rPr>
            </w:pPr>
            <w:r>
              <w:rPr>
                <w:rFonts w:hint="eastAsia" w:asciiTheme="minorEastAsia" w:hAnsiTheme="minorEastAsia" w:eastAsiaTheme="minorEastAsia" w:cstheme="minorEastAsia"/>
                <w:sz w:val="24"/>
                <w:szCs w:val="24"/>
              </w:rPr>
              <w:t>（2）供应商租赁车辆的需提供有效期限内的车辆租赁合同复印件、行驶证复印件及车辆外观照片，未提供的不得分。</w:t>
            </w:r>
          </w:p>
          <w:p w14:paraId="2118CE77">
            <w:pPr>
              <w:spacing w:line="360" w:lineRule="exact"/>
              <w:rPr>
                <w:rFonts w:ascii="楷体_GB2312" w:hAnsi="楷体_GB2312" w:eastAsia="楷体_GB2312" w:cs="楷体_GB2312"/>
                <w:b/>
                <w:bCs/>
              </w:rPr>
            </w:pPr>
            <w:r>
              <w:rPr>
                <w:rFonts w:hint="eastAsia" w:asciiTheme="minorEastAsia" w:hAnsiTheme="minorEastAsia" w:eastAsiaTheme="minorEastAsia" w:cstheme="minorEastAsia"/>
                <w:sz w:val="24"/>
                <w:szCs w:val="24"/>
              </w:rPr>
              <w:t>（3）供应商自行出具的车辆所有权证明材料将不予采纳。</w:t>
            </w:r>
          </w:p>
        </w:tc>
      </w:tr>
      <w:tr w14:paraId="2200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780" w:type="dxa"/>
            <w:vAlign w:val="center"/>
          </w:tcPr>
          <w:p w14:paraId="52011CB4">
            <w:pPr>
              <w:ind w:firstLine="480"/>
              <w:jc w:val="center"/>
              <w:rPr>
                <w:rFonts w:asciiTheme="minorEastAsia" w:hAnsiTheme="minorEastAsia" w:cstheme="minorEastAsia"/>
                <w:sz w:val="24"/>
              </w:rPr>
            </w:pPr>
            <w:r>
              <w:rPr>
                <w:rFonts w:hint="eastAsia" w:asciiTheme="minorEastAsia" w:hAnsiTheme="minorEastAsia" w:cstheme="minorEastAsia"/>
                <w:sz w:val="24"/>
              </w:rPr>
              <w:t>5</w:t>
            </w:r>
          </w:p>
        </w:tc>
        <w:tc>
          <w:tcPr>
            <w:tcW w:w="1710" w:type="dxa"/>
            <w:vAlign w:val="center"/>
          </w:tcPr>
          <w:p w14:paraId="4DD92CA4">
            <w:pPr>
              <w:rPr>
                <w:rFonts w:asciiTheme="minorEastAsia" w:hAnsiTheme="minorEastAsia" w:cstheme="minorEastAsia"/>
                <w:sz w:val="24"/>
              </w:rPr>
            </w:pPr>
            <w:r>
              <w:rPr>
                <w:rFonts w:hint="eastAsia" w:asciiTheme="minorEastAsia" w:hAnsiTheme="minorEastAsia" w:cstheme="minorEastAsia"/>
                <w:sz w:val="24"/>
              </w:rPr>
              <w:t>服务方案</w:t>
            </w:r>
          </w:p>
        </w:tc>
        <w:tc>
          <w:tcPr>
            <w:tcW w:w="825" w:type="dxa"/>
            <w:vAlign w:val="center"/>
          </w:tcPr>
          <w:p w14:paraId="6EC28718">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49D5656E">
            <w:pPr>
              <w:spacing w:line="360" w:lineRule="exact"/>
              <w:ind w:firstLine="240" w:firstLineChars="100"/>
              <w:rPr>
                <w:rFonts w:asciiTheme="minorEastAsia" w:hAnsiTheme="minorEastAsia" w:cstheme="minorEastAsia"/>
                <w:color w:val="FF0000"/>
                <w:sz w:val="24"/>
              </w:rPr>
            </w:pPr>
            <w:r>
              <w:rPr>
                <w:rFonts w:hint="eastAsia" w:asciiTheme="minorEastAsia" w:hAnsiTheme="minorEastAsia" w:cstheme="minorEastAsia"/>
                <w:sz w:val="24"/>
              </w:rPr>
              <w:t>供应商应针对本项目的特点和要求，制定并提供具体包括但不限定于服务时效（如报修后竣工出厂响应期限、抢修救援响应速度等）、服务质量保证措施（如明确质保期限、因维修质量问题应承担相应的责任和费用等）及服务规范（如具有规范的维修业务工作流程详细内容）等方面的服务方案，有利于项目实施。</w:t>
            </w:r>
          </w:p>
          <w:p w14:paraId="5B11C6EE">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1.服务方案覆盖全面，针对性强，内容充实，表述清晰，符合项目实施要求，得5分。</w:t>
            </w:r>
          </w:p>
          <w:p w14:paraId="4ABACDE9">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2.服务方案覆盖较全面，有一定针对性，内容较完整，基本符合项目实施要求，得3分。</w:t>
            </w:r>
          </w:p>
          <w:p w14:paraId="47A855F4">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3.服务方案覆盖不全面，针对性不强，具体内容有待完善，得1分。</w:t>
            </w:r>
          </w:p>
          <w:p w14:paraId="5559FB41">
            <w:pPr>
              <w:spacing w:line="360" w:lineRule="exact"/>
              <w:ind w:firstLine="240" w:firstLineChars="100"/>
              <w:rPr>
                <w:rFonts w:ascii="楷体_GB2312" w:hAnsi="楷体_GB2312" w:cs="楷体_GB2312"/>
                <w:b/>
                <w:bCs/>
                <w:sz w:val="24"/>
              </w:rPr>
            </w:pPr>
            <w:r>
              <w:rPr>
                <w:rFonts w:hint="eastAsia" w:asciiTheme="minorEastAsia" w:hAnsiTheme="minorEastAsia" w:cstheme="minorEastAsia"/>
                <w:sz w:val="24"/>
              </w:rPr>
              <w:t>4.方案不可行或者未提供相关内容的得0分。</w:t>
            </w:r>
          </w:p>
        </w:tc>
      </w:tr>
      <w:tr w14:paraId="647E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780" w:type="dxa"/>
            <w:vAlign w:val="center"/>
          </w:tcPr>
          <w:p w14:paraId="6571C0A9">
            <w:pPr>
              <w:ind w:firstLine="480"/>
              <w:jc w:val="center"/>
              <w:rPr>
                <w:rFonts w:asciiTheme="minorEastAsia" w:hAnsiTheme="minorEastAsia" w:cstheme="minorEastAsia"/>
                <w:sz w:val="24"/>
              </w:rPr>
            </w:pPr>
            <w:r>
              <w:rPr>
                <w:rFonts w:hint="eastAsia" w:asciiTheme="minorEastAsia" w:hAnsiTheme="minorEastAsia" w:cstheme="minorEastAsia"/>
                <w:sz w:val="24"/>
              </w:rPr>
              <w:t>6</w:t>
            </w:r>
          </w:p>
        </w:tc>
        <w:tc>
          <w:tcPr>
            <w:tcW w:w="1710" w:type="dxa"/>
            <w:vAlign w:val="center"/>
          </w:tcPr>
          <w:p w14:paraId="2EC611D3">
            <w:pPr>
              <w:rPr>
                <w:rFonts w:asciiTheme="minorEastAsia" w:hAnsiTheme="minorEastAsia" w:cstheme="minorEastAsia"/>
                <w:sz w:val="24"/>
              </w:rPr>
            </w:pPr>
            <w:r>
              <w:rPr>
                <w:rFonts w:hint="eastAsia" w:asciiTheme="minorEastAsia" w:hAnsiTheme="minorEastAsia" w:cstheme="minorEastAsia"/>
                <w:sz w:val="24"/>
              </w:rPr>
              <w:t>维修管理制度</w:t>
            </w:r>
          </w:p>
        </w:tc>
        <w:tc>
          <w:tcPr>
            <w:tcW w:w="825" w:type="dxa"/>
            <w:vAlign w:val="center"/>
          </w:tcPr>
          <w:p w14:paraId="43D2CA13">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1436602F">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供应商应制定并提供具有健全的维修管理制度，包括质量管理制度、安全生产管理制度、车辆维修档案管理制度、人员培训制度、设备管理制度及配件管理制度，有利于项目实施。</w:t>
            </w:r>
          </w:p>
          <w:p w14:paraId="18E15E13">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1.管理制度覆盖全面，内容完整详细，符合项目实施要求，得5分。</w:t>
            </w:r>
          </w:p>
          <w:p w14:paraId="2AC86C3E">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2.管理制度覆盖较全面，内容较完整，基本符合项目实施要求，得3分。</w:t>
            </w:r>
          </w:p>
          <w:p w14:paraId="4678A206">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3.管理制度覆盖不全面，内容不完整，具体细节有待完善，得1分。</w:t>
            </w:r>
          </w:p>
          <w:p w14:paraId="3F952CA4">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4.方案不可行或者未提供相关内容的得0分。</w:t>
            </w:r>
          </w:p>
        </w:tc>
      </w:tr>
      <w:tr w14:paraId="501E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trPr>
        <w:tc>
          <w:tcPr>
            <w:tcW w:w="780" w:type="dxa"/>
            <w:vAlign w:val="center"/>
          </w:tcPr>
          <w:p w14:paraId="5AC16BFF">
            <w:pPr>
              <w:ind w:firstLine="480"/>
              <w:jc w:val="center"/>
              <w:rPr>
                <w:rFonts w:asciiTheme="minorEastAsia" w:hAnsiTheme="minorEastAsia" w:cstheme="minorEastAsia"/>
                <w:sz w:val="24"/>
              </w:rPr>
            </w:pPr>
            <w:r>
              <w:rPr>
                <w:rFonts w:hint="eastAsia" w:asciiTheme="minorEastAsia" w:hAnsiTheme="minorEastAsia" w:cstheme="minorEastAsia"/>
                <w:sz w:val="24"/>
              </w:rPr>
              <w:t>7</w:t>
            </w:r>
          </w:p>
        </w:tc>
        <w:tc>
          <w:tcPr>
            <w:tcW w:w="1710" w:type="dxa"/>
            <w:vAlign w:val="center"/>
          </w:tcPr>
          <w:p w14:paraId="6632BC41">
            <w:pPr>
              <w:rPr>
                <w:rFonts w:asciiTheme="minorEastAsia" w:hAnsiTheme="minorEastAsia" w:cstheme="minorEastAsia"/>
                <w:sz w:val="24"/>
              </w:rPr>
            </w:pPr>
            <w:r>
              <w:rPr>
                <w:rFonts w:hint="eastAsia" w:asciiTheme="minorEastAsia" w:hAnsiTheme="minorEastAsia" w:cstheme="minorEastAsia"/>
                <w:sz w:val="24"/>
              </w:rPr>
              <w:t>应急预案</w:t>
            </w:r>
          </w:p>
        </w:tc>
        <w:tc>
          <w:tcPr>
            <w:tcW w:w="825" w:type="dxa"/>
            <w:vAlign w:val="center"/>
          </w:tcPr>
          <w:p w14:paraId="5AEA9A85">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028C8F5F">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供应商应结合本项目征集文件中采购需求内的安全生产要求，制定并提供具体的安全生产事故应急预案（如发生存储有毒、易燃易爆液体或气体发生泄漏的安全防护措施、因消防安全隐患造成生产车间或停车场发生火灾的应急处置方案、因违规操作机电设备造成人员伤亡事故的救援措施等），有利于项目实施。</w:t>
            </w:r>
          </w:p>
          <w:p w14:paraId="0A44DD41">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1.应急预案覆盖全面，要点突出，措施有效，可行性强，符合项目实施要求，得5分。</w:t>
            </w:r>
          </w:p>
          <w:p w14:paraId="201A6414">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2.应急预案覆盖较全面，要点较突出，措施一般，具有可行性，基本符合项目实施要求，得3分。</w:t>
            </w:r>
          </w:p>
          <w:p w14:paraId="71F5BDCF">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3.应急预案覆盖不全面，要点突出不明显，具体细节有待完善，得1分。</w:t>
            </w:r>
          </w:p>
          <w:p w14:paraId="7F308941">
            <w:pPr>
              <w:spacing w:line="36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4.方案不可行或者未提供相关内容的得0分。</w:t>
            </w:r>
          </w:p>
        </w:tc>
      </w:tr>
      <w:tr w14:paraId="701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trPr>
        <w:tc>
          <w:tcPr>
            <w:tcW w:w="780" w:type="dxa"/>
            <w:vAlign w:val="center"/>
          </w:tcPr>
          <w:p w14:paraId="0F0B1D71">
            <w:pPr>
              <w:ind w:firstLine="480"/>
              <w:jc w:val="center"/>
              <w:rPr>
                <w:rFonts w:asciiTheme="minorEastAsia" w:hAnsiTheme="minorEastAsia" w:cstheme="minorEastAsia"/>
                <w:sz w:val="24"/>
              </w:rPr>
            </w:pPr>
            <w:r>
              <w:rPr>
                <w:rFonts w:hint="eastAsia" w:asciiTheme="minorEastAsia" w:hAnsiTheme="minorEastAsia" w:cstheme="minorEastAsia"/>
                <w:sz w:val="24"/>
              </w:rPr>
              <w:t>8</w:t>
            </w:r>
          </w:p>
        </w:tc>
        <w:tc>
          <w:tcPr>
            <w:tcW w:w="1710" w:type="dxa"/>
            <w:vAlign w:val="center"/>
          </w:tcPr>
          <w:p w14:paraId="74E8BBD6">
            <w:pPr>
              <w:rPr>
                <w:rFonts w:asciiTheme="minorEastAsia" w:hAnsiTheme="minorEastAsia" w:cstheme="minorEastAsia"/>
                <w:sz w:val="24"/>
              </w:rPr>
            </w:pPr>
            <w:r>
              <w:rPr>
                <w:rFonts w:hint="eastAsia" w:asciiTheme="minorEastAsia" w:hAnsiTheme="minorEastAsia" w:cstheme="minorEastAsia"/>
                <w:sz w:val="24"/>
              </w:rPr>
              <w:t>危险废物处理方案</w:t>
            </w:r>
          </w:p>
        </w:tc>
        <w:tc>
          <w:tcPr>
            <w:tcW w:w="825" w:type="dxa"/>
            <w:vAlign w:val="center"/>
          </w:tcPr>
          <w:p w14:paraId="068719B7">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0BF0DD57">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供应商提供的危险废物处理方案（包括但不限于：（1）危险废物处理管理制度；（2）应具有废油、废液、废气、废水、废蓄电池、废轮胎、含石棉废料及有害垃圾等物质集中收集、有效处理；（3）危险废物的处理流程；（4）危险废物事故防范措施。</w:t>
            </w:r>
          </w:p>
          <w:p w14:paraId="36B374A4">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1.危险废物处理方案覆盖全面，要点突出，措施有效，可行性强，符合项目实施要求，得5分。</w:t>
            </w:r>
          </w:p>
          <w:p w14:paraId="2E5F193A">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2.危险废物处理方案覆盖较全面，要点较突出，措施一般，具有可行性，基本符合项目实施要求，得3分。</w:t>
            </w:r>
          </w:p>
          <w:p w14:paraId="25507383">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3.危险废物处理方案覆盖不全面，要点突出不明显，具体细节有待完善，得1分。</w:t>
            </w:r>
          </w:p>
          <w:p w14:paraId="28B81AC2">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4.方案不可行或者未提供相关内容的得0分。</w:t>
            </w:r>
          </w:p>
        </w:tc>
      </w:tr>
      <w:tr w14:paraId="39AB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780" w:type="dxa"/>
            <w:vAlign w:val="center"/>
          </w:tcPr>
          <w:p w14:paraId="54D329F3">
            <w:pPr>
              <w:ind w:firstLine="480"/>
              <w:jc w:val="center"/>
              <w:rPr>
                <w:rFonts w:asciiTheme="minorEastAsia" w:hAnsiTheme="minorEastAsia" w:cstheme="minorEastAsia"/>
                <w:sz w:val="24"/>
              </w:rPr>
            </w:pPr>
            <w:r>
              <w:rPr>
                <w:rFonts w:hint="eastAsia" w:asciiTheme="minorEastAsia" w:hAnsiTheme="minorEastAsia" w:cstheme="minorEastAsia"/>
                <w:sz w:val="24"/>
              </w:rPr>
              <w:t>9</w:t>
            </w:r>
          </w:p>
        </w:tc>
        <w:tc>
          <w:tcPr>
            <w:tcW w:w="1710" w:type="dxa"/>
            <w:vAlign w:val="center"/>
          </w:tcPr>
          <w:p w14:paraId="4B0F416A">
            <w:pPr>
              <w:rPr>
                <w:rFonts w:asciiTheme="minorEastAsia" w:hAnsiTheme="minorEastAsia" w:cstheme="minorEastAsia"/>
                <w:sz w:val="24"/>
              </w:rPr>
            </w:pPr>
            <w:r>
              <w:rPr>
                <w:rFonts w:hint="eastAsia" w:asciiTheme="minorEastAsia" w:hAnsiTheme="minorEastAsia" w:cstheme="minorEastAsia"/>
                <w:sz w:val="24"/>
              </w:rPr>
              <w:t>售后服务</w:t>
            </w:r>
          </w:p>
        </w:tc>
        <w:tc>
          <w:tcPr>
            <w:tcW w:w="825" w:type="dxa"/>
            <w:vAlign w:val="center"/>
          </w:tcPr>
          <w:p w14:paraId="68AE6A77">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6DE6A296">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供应商可提供相关实用性售后服务项目，如免费上门取送维保车辆、免费洗车等，以及各类优惠活动。</w:t>
            </w:r>
          </w:p>
          <w:p w14:paraId="0CAF96C3">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1.服务项目完全符合需求，实用性强，得5分。</w:t>
            </w:r>
          </w:p>
          <w:p w14:paraId="692A6251">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2.服务项目较能符合需求，实用性较强，得3分。</w:t>
            </w:r>
          </w:p>
          <w:p w14:paraId="142A3EA4">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3.服务项目基本符合需求，实用性一般，得1分。</w:t>
            </w:r>
          </w:p>
          <w:p w14:paraId="25F229B5">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4.方案不可行或者未提供相关内容的得0分。</w:t>
            </w:r>
          </w:p>
        </w:tc>
      </w:tr>
      <w:tr w14:paraId="2BC7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5" w:hRule="atLeast"/>
        </w:trPr>
        <w:tc>
          <w:tcPr>
            <w:tcW w:w="780" w:type="dxa"/>
            <w:vAlign w:val="center"/>
          </w:tcPr>
          <w:p w14:paraId="7202024E">
            <w:pPr>
              <w:ind w:firstLine="480"/>
              <w:jc w:val="center"/>
              <w:rPr>
                <w:rFonts w:asciiTheme="minorEastAsia" w:hAnsiTheme="minorEastAsia" w:cstheme="minorEastAsia"/>
                <w:sz w:val="24"/>
              </w:rPr>
            </w:pPr>
            <w:r>
              <w:rPr>
                <w:rFonts w:hint="eastAsia" w:asciiTheme="minorEastAsia" w:hAnsiTheme="minorEastAsia" w:cstheme="minorEastAsia"/>
                <w:sz w:val="24"/>
              </w:rPr>
              <w:t>10</w:t>
            </w:r>
          </w:p>
        </w:tc>
        <w:tc>
          <w:tcPr>
            <w:tcW w:w="1710" w:type="dxa"/>
            <w:vAlign w:val="center"/>
          </w:tcPr>
          <w:p w14:paraId="0D3F4B5B">
            <w:pPr>
              <w:rPr>
                <w:rFonts w:asciiTheme="minorEastAsia" w:hAnsiTheme="minorEastAsia" w:cstheme="minorEastAsia"/>
                <w:sz w:val="24"/>
              </w:rPr>
            </w:pPr>
            <w:r>
              <w:rPr>
                <w:rFonts w:hint="eastAsia" w:asciiTheme="minorEastAsia" w:hAnsiTheme="minorEastAsia" w:cstheme="minorEastAsia"/>
                <w:sz w:val="24"/>
              </w:rPr>
              <w:t>服务承诺</w:t>
            </w:r>
          </w:p>
        </w:tc>
        <w:tc>
          <w:tcPr>
            <w:tcW w:w="825" w:type="dxa"/>
            <w:vAlign w:val="center"/>
          </w:tcPr>
          <w:p w14:paraId="2AE33EA5">
            <w:pPr>
              <w:rPr>
                <w:rFonts w:asciiTheme="minorEastAsia" w:hAnsiTheme="minorEastAsia" w:cstheme="minorEastAsia"/>
                <w:sz w:val="24"/>
              </w:rPr>
            </w:pPr>
            <w:r>
              <w:rPr>
                <w:rFonts w:hint="eastAsia" w:asciiTheme="minorEastAsia" w:hAnsiTheme="minorEastAsia" w:cstheme="minorEastAsia"/>
                <w:sz w:val="24"/>
              </w:rPr>
              <w:t>5分</w:t>
            </w:r>
          </w:p>
        </w:tc>
        <w:tc>
          <w:tcPr>
            <w:tcW w:w="6495" w:type="dxa"/>
            <w:vAlign w:val="center"/>
          </w:tcPr>
          <w:p w14:paraId="7F469A60">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1.供应商承诺入围后接入铜陵市公务用车管理信息平台，按要求在平台进行规范化操作，接受铜陵市公车主管部门的监管，得1分。</w:t>
            </w:r>
          </w:p>
          <w:p w14:paraId="6BEBC1A0">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供应商承诺入围后设置至少两个公车维保专用工位（悬挂或张贴公车维保专用工位标志）并配备监控设备，车辆在专用工位维修期间产生的相关视频监控影像资料保存时间≥3个月，主动接受相关主管部门针对维修企业生产、管理和公务车辆维修质量进行监督检查，对监督检查中发现的问题和维修投诉进行调查处理，得1分。</w:t>
            </w:r>
          </w:p>
          <w:p w14:paraId="0E277352">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3.供应商承诺开设24小时报修服务电话，市域范围内1小时内拖车或维修人员抵达故障现场提供免费救援服务；市外50公里内2小时、100公里内3小时拖车或维修人员抵达故障现场，得1分。</w:t>
            </w:r>
          </w:p>
          <w:p w14:paraId="329E3E4C">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4.供应商承诺不得使用假冒伪劣配件维修机动车、不得弄虚作假提供虚假维修材料进货发票或供货清单，得1分。</w:t>
            </w:r>
          </w:p>
          <w:p w14:paraId="35952139">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5.供应商承诺按照征集文件发布的维修工时单价5元将在服务期内作为市各级行政事业单位提供车辆维修服务最高限价，得1分。</w:t>
            </w:r>
          </w:p>
          <w:p w14:paraId="3B0894D8">
            <w:pPr>
              <w:spacing w:line="34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注：供应商的响应文件中须提供以上内容的承诺函，未提供或提供不全的均不得分。</w:t>
            </w:r>
          </w:p>
        </w:tc>
      </w:tr>
    </w:tbl>
    <w:p w14:paraId="28DEEFF1">
      <w:pPr>
        <w:rPr>
          <w:rFonts w:ascii="宋体" w:hAnsi="宋体" w:cs="华文仿宋"/>
          <w:color w:val="000000" w:themeColor="text1"/>
          <w:kern w:val="0"/>
          <w:sz w:val="28"/>
          <w:szCs w:val="28"/>
        </w:rPr>
      </w:pPr>
    </w:p>
    <w:p w14:paraId="477602CA">
      <w:pPr>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（二）、确定第二阶段成交供应商的方式包括直接选定、二次竞价和顺序轮候。</w:t>
      </w:r>
    </w:p>
    <w:p w14:paraId="72EE879D">
      <w:pPr>
        <w:ind w:firstLine="560" w:firstLineChars="20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直接选定方式是由采购人或服务对象依据入围产品价格、质量以及服务便利性、用户评价等因素，从第一阶段入围供应商中直接选定。</w:t>
      </w:r>
    </w:p>
    <w:p w14:paraId="56D2C76C">
      <w:pPr>
        <w:ind w:firstLine="57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w:t>
      </w:r>
    </w:p>
    <w:p w14:paraId="5E0E74FE">
      <w:pPr>
        <w:ind w:firstLine="570"/>
        <w:rPr>
          <w:rFonts w:ascii="宋体" w:hAnsi="宋体" w:cs="华文仿宋"/>
          <w:color w:val="000000" w:themeColor="text1"/>
          <w:kern w:val="0"/>
          <w:sz w:val="28"/>
          <w:szCs w:val="28"/>
        </w:rPr>
      </w:pPr>
      <w:r>
        <w:rPr>
          <w:rFonts w:ascii="宋体" w:hAnsi="宋体" w:cs="华文仿宋"/>
          <w:color w:val="000000" w:themeColor="text1"/>
          <w:kern w:val="0"/>
          <w:sz w:val="28"/>
          <w:szCs w:val="28"/>
        </w:rPr>
        <w:t>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w:t>
      </w:r>
    </w:p>
    <w:p w14:paraId="5B4017DD">
      <w:pPr>
        <w:ind w:firstLine="570"/>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本项目第二阶段采取的评审办法为： 直接选定。</w:t>
      </w:r>
    </w:p>
    <w:p w14:paraId="73439B67">
      <w:pPr>
        <w:pStyle w:val="5"/>
        <w:spacing w:before="0" w:after="0" w:line="360" w:lineRule="auto"/>
        <w:ind w:firstLine="562" w:firstLineChars="200"/>
        <w:rPr>
          <w:rFonts w:ascii="宋体" w:hAnsi="宋体"/>
          <w:color w:val="000000" w:themeColor="text1"/>
          <w:sz w:val="28"/>
          <w:szCs w:val="28"/>
        </w:rPr>
      </w:pPr>
      <w:r>
        <w:rPr>
          <w:rFonts w:hint="eastAsia" w:ascii="宋体" w:hAnsi="宋体"/>
          <w:color w:val="000000" w:themeColor="text1"/>
          <w:sz w:val="28"/>
          <w:szCs w:val="28"/>
        </w:rPr>
        <w:t>十一、协议的签订、履行及验收</w:t>
      </w:r>
    </w:p>
    <w:p w14:paraId="66D1D4FD">
      <w:pPr>
        <w:pStyle w:val="90"/>
        <w:wordWrap w:val="0"/>
        <w:adjustRightInd/>
        <w:spacing w:line="360" w:lineRule="auto"/>
        <w:ind w:firstLine="562" w:firstLineChars="200"/>
        <w:jc w:val="both"/>
        <w:rPr>
          <w:rFonts w:cs="华文仿宋"/>
          <w:b/>
          <w:color w:val="000000" w:themeColor="text1"/>
          <w:sz w:val="28"/>
          <w:szCs w:val="28"/>
        </w:rPr>
      </w:pPr>
      <w:r>
        <w:rPr>
          <w:rFonts w:hint="eastAsia" w:cs="华文仿宋"/>
          <w:b/>
          <w:color w:val="000000" w:themeColor="text1"/>
          <w:sz w:val="28"/>
          <w:szCs w:val="28"/>
        </w:rPr>
        <w:t>1、协议的授予标准：</w:t>
      </w:r>
    </w:p>
    <w:p w14:paraId="4B79E7E1">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本项目框架协议将授予入围供应商。针对因政策变化等原因不能签订协议，造成企业合法利益受损的情形，采购人应与供应商充分协商，给予合理补偿。</w:t>
      </w:r>
    </w:p>
    <w:p w14:paraId="65D09138">
      <w:pPr>
        <w:pStyle w:val="90"/>
        <w:wordWrap w:val="0"/>
        <w:adjustRightInd/>
        <w:spacing w:line="360" w:lineRule="auto"/>
        <w:ind w:firstLine="562" w:firstLineChars="200"/>
        <w:jc w:val="both"/>
        <w:rPr>
          <w:rFonts w:cs="华文仿宋"/>
          <w:b/>
          <w:color w:val="000000" w:themeColor="text1"/>
          <w:sz w:val="28"/>
          <w:szCs w:val="28"/>
        </w:rPr>
      </w:pPr>
      <w:r>
        <w:rPr>
          <w:rFonts w:hint="eastAsia" w:cs="华文仿宋"/>
          <w:b/>
          <w:color w:val="000000" w:themeColor="text1"/>
          <w:sz w:val="28"/>
          <w:szCs w:val="28"/>
        </w:rPr>
        <w:t>2、征集人拒绝响应的权力</w:t>
      </w:r>
    </w:p>
    <w:p w14:paraId="19B951F3">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征集人不承诺将协议授予报价最低的供应商。征集人在发出入围通知书前，有权依据评审小组的评审报告拒绝不合格的响应。</w:t>
      </w:r>
    </w:p>
    <w:p w14:paraId="02CF8A09">
      <w:pPr>
        <w:pStyle w:val="90"/>
        <w:wordWrap w:val="0"/>
        <w:adjustRightInd/>
        <w:spacing w:line="360" w:lineRule="auto"/>
        <w:ind w:firstLine="562" w:firstLineChars="200"/>
        <w:jc w:val="both"/>
        <w:rPr>
          <w:rFonts w:cs="华文仿宋"/>
          <w:b/>
          <w:color w:val="000000" w:themeColor="text1"/>
          <w:sz w:val="28"/>
          <w:szCs w:val="28"/>
        </w:rPr>
      </w:pPr>
      <w:r>
        <w:rPr>
          <w:rFonts w:hint="eastAsia" w:cs="华文仿宋"/>
          <w:b/>
          <w:color w:val="000000" w:themeColor="text1"/>
          <w:sz w:val="28"/>
          <w:szCs w:val="28"/>
        </w:rPr>
        <w:t>3、协议书的签订</w:t>
      </w:r>
    </w:p>
    <w:p w14:paraId="4E34DEBD">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 xml:space="preserve">3.1 入围供应商应在入围通知书发出之日起30日内（具体时间、见入围通知书）与征集人签订协议，超过《政府采购框架协议采购方式管理暂行办法》及其他相关法律法规规定期限不领取入围通知书或不签订协议的，顺延至第二入围供应商或重新征集。征集人应按照征集文件和供应商的响应文件与入围供应商签订协议，征集人不得向入围供应商提出任何不合理的要求，作为签订协议的条件。 </w:t>
      </w:r>
    </w:p>
    <w:p w14:paraId="5826AC26">
      <w:pPr>
        <w:pStyle w:val="90"/>
        <w:wordWrap w:val="0"/>
        <w:adjustRightInd/>
        <w:spacing w:line="360" w:lineRule="auto"/>
        <w:ind w:firstLine="560" w:firstLineChars="200"/>
        <w:jc w:val="both"/>
        <w:rPr>
          <w:rFonts w:cs="华文仿宋"/>
          <w:bCs/>
          <w:color w:val="000000" w:themeColor="text1"/>
          <w:sz w:val="28"/>
          <w:szCs w:val="28"/>
        </w:rPr>
      </w:pPr>
      <w:r>
        <w:rPr>
          <w:rFonts w:hint="eastAsia" w:cs="华文仿宋"/>
          <w:bCs/>
          <w:color w:val="000000" w:themeColor="text1"/>
          <w:sz w:val="28"/>
          <w:szCs w:val="28"/>
        </w:rPr>
        <w:t>3.2 入围供应商如不按本征集文件规定与征集人订立协议，则征集人将废除授标，给征集人造成的损失的，还应当予以赔偿，同时依法承担相应法律责任。</w:t>
      </w:r>
    </w:p>
    <w:p w14:paraId="489146FA">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3.3 入围供应商</w:t>
      </w:r>
      <w:r>
        <w:rPr>
          <w:rFonts w:hint="eastAsia" w:cs="华文仿宋"/>
          <w:color w:val="000000" w:themeColor="text1"/>
          <w:sz w:val="28"/>
          <w:szCs w:val="28"/>
        </w:rPr>
        <w:t>应当按照协议约定履行义务，完成入围项目。未经征集人同意，入围供应商也不得采用分包的形式履行协议，否则征集人有权终止采购协议。转包或分包造成征集人损失的，入围供应商及其委托代理商应承担相应赔偿责任。</w:t>
      </w:r>
    </w:p>
    <w:p w14:paraId="5FD424FE">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3.4 采购双方必须严格按照征集文件、响应文件及有关承诺签订采购协议，不得擅自变更。协议的标的、价款、质量、履行期限、服务要求等主要条款应当与征集文件和入围供应商的响应文件的内容一致，征集人和入围供应商不得再行订立背离协议实质性内容的其他协议。对任何因双方擅自变更协议引起的问题，协议风险由双方自行承担。</w:t>
      </w:r>
    </w:p>
    <w:p w14:paraId="13905950">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3.5 征集人保留以书面形式要求对服务细则作适当调整的权利。</w:t>
      </w:r>
    </w:p>
    <w:p w14:paraId="30AFCD22">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4、履行协议</w:t>
      </w:r>
    </w:p>
    <w:p w14:paraId="290FD5AF">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color w:val="000000" w:themeColor="text1"/>
          <w:sz w:val="28"/>
          <w:szCs w:val="28"/>
        </w:rPr>
        <w:t>4.1 入围供应商与征集人签订协议后，协议双方应严格执行协议条款，履行协议规定的义务，保证协议的顺利完成。</w:t>
      </w:r>
    </w:p>
    <w:p w14:paraId="284E6198">
      <w:pPr>
        <w:pStyle w:val="90"/>
        <w:wordWrap w:val="0"/>
        <w:adjustRightInd/>
        <w:spacing w:line="360" w:lineRule="auto"/>
        <w:ind w:firstLine="560" w:firstLineChars="200"/>
        <w:jc w:val="both"/>
        <w:rPr>
          <w:rFonts w:cs="华文仿宋"/>
          <w:color w:val="000000" w:themeColor="text1"/>
          <w:sz w:val="28"/>
          <w:szCs w:val="28"/>
        </w:rPr>
      </w:pPr>
      <w:r>
        <w:rPr>
          <w:rFonts w:hint="eastAsia" w:cs="华文仿宋"/>
          <w:bCs/>
          <w:color w:val="000000" w:themeColor="text1"/>
          <w:sz w:val="28"/>
          <w:szCs w:val="28"/>
        </w:rPr>
        <w:t xml:space="preserve">4.2 </w:t>
      </w:r>
      <w:r>
        <w:rPr>
          <w:rFonts w:hint="eastAsia" w:cs="华文仿宋"/>
          <w:color w:val="000000" w:themeColor="text1"/>
          <w:sz w:val="28"/>
          <w:szCs w:val="28"/>
        </w:rPr>
        <w:t>在协议履行过程中，如发生纠纷，协议双方应按照《民法典》的有关规定进行处理。</w:t>
      </w:r>
    </w:p>
    <w:p w14:paraId="1567089D">
      <w:pPr>
        <w:spacing w:line="360" w:lineRule="auto"/>
        <w:ind w:firstLine="549"/>
        <w:rPr>
          <w:rFonts w:ascii="宋体" w:hAnsi="宋体" w:cs="华文仿宋"/>
          <w:color w:val="000000" w:themeColor="text1"/>
          <w:kern w:val="0"/>
          <w:sz w:val="28"/>
          <w:szCs w:val="28"/>
        </w:rPr>
      </w:pPr>
      <w:r>
        <w:rPr>
          <w:rFonts w:hint="eastAsia" w:ascii="宋体" w:hAnsi="宋体" w:cs="华文仿宋"/>
          <w:color w:val="000000" w:themeColor="text1"/>
          <w:kern w:val="0"/>
          <w:sz w:val="28"/>
          <w:szCs w:val="28"/>
        </w:rPr>
        <w:t>5.征集人须建立日常考核制度。考核时应成立考核小组，依据考核方案进行考核。</w:t>
      </w:r>
      <w:bookmarkStart w:id="38" w:name="_Hlt16619350"/>
      <w:bookmarkStart w:id="39" w:name="_Toc20823346"/>
      <w:bookmarkStart w:id="40" w:name="_Toc16938590"/>
      <w:bookmarkStart w:id="41" w:name="_Toc120614244"/>
      <w:bookmarkStart w:id="42" w:name="_Toc462564139"/>
      <w:bookmarkStart w:id="43" w:name="_Toc479757211"/>
    </w:p>
    <w:p w14:paraId="2E7FAA0A">
      <w:pPr>
        <w:spacing w:line="360" w:lineRule="auto"/>
        <w:ind w:firstLine="549"/>
        <w:rPr>
          <w:rFonts w:ascii="宋体" w:hAnsi="宋体" w:cs="华文仿宋"/>
          <w:color w:val="000000" w:themeColor="text1"/>
          <w:kern w:val="0"/>
          <w:sz w:val="28"/>
          <w:szCs w:val="28"/>
        </w:rPr>
      </w:pPr>
    </w:p>
    <w:p w14:paraId="23F60917">
      <w:pPr>
        <w:pStyle w:val="22"/>
        <w:snapToGrid w:val="0"/>
        <w:spacing w:before="120" w:after="120" w:line="0" w:lineRule="atLeast"/>
        <w:rPr>
          <w:rFonts w:hAnsi="宋体" w:eastAsia="楷体_GB2312"/>
          <w:color w:val="000000" w:themeColor="text1"/>
          <w:sz w:val="28"/>
          <w:szCs w:val="28"/>
        </w:rPr>
      </w:pPr>
      <w:r>
        <w:rPr>
          <w:rFonts w:hint="eastAsia" w:hAnsi="宋体" w:eastAsia="楷体_GB2312"/>
          <w:color w:val="000000" w:themeColor="text1"/>
          <w:sz w:val="28"/>
          <w:szCs w:val="28"/>
        </w:rPr>
        <w:t>第</w:t>
      </w:r>
      <w:bookmarkEnd w:id="38"/>
      <w:r>
        <w:rPr>
          <w:rFonts w:hint="eastAsia" w:hAnsi="宋体" w:eastAsia="楷体_GB2312"/>
          <w:color w:val="000000" w:themeColor="text1"/>
          <w:sz w:val="28"/>
          <w:szCs w:val="28"/>
        </w:rPr>
        <w:t>三章 采购需求</w:t>
      </w:r>
      <w:bookmarkEnd w:id="39"/>
      <w:bookmarkEnd w:id="40"/>
      <w:bookmarkEnd w:id="41"/>
    </w:p>
    <w:p w14:paraId="5A13BEB4">
      <w:pPr>
        <w:spacing w:line="360" w:lineRule="auto"/>
        <w:rPr>
          <w:rFonts w:ascii="仿宋" w:hAnsi="仿宋" w:eastAsia="仿宋" w:cs="华文仿宋"/>
          <w:color w:val="000000" w:themeColor="text1"/>
          <w:kern w:val="0"/>
          <w:sz w:val="28"/>
          <w:szCs w:val="28"/>
        </w:rPr>
      </w:pPr>
      <w:r>
        <w:rPr>
          <w:rFonts w:hint="eastAsia" w:ascii="仿宋" w:hAnsi="仿宋" w:eastAsia="仿宋" w:cs="华文仿宋"/>
          <w:color w:val="000000" w:themeColor="text1"/>
          <w:kern w:val="0"/>
          <w:sz w:val="28"/>
          <w:szCs w:val="28"/>
        </w:rPr>
        <w:t>一、征集人提出的服务需求</w:t>
      </w:r>
    </w:p>
    <w:p w14:paraId="10BB3D47">
      <w:pPr>
        <w:spacing w:line="620" w:lineRule="exact"/>
        <w:rPr>
          <w:rFonts w:asciiTheme="minorEastAsia" w:hAnsiTheme="minorEastAsia" w:cstheme="minorEastAsia"/>
          <w:sz w:val="24"/>
        </w:rPr>
      </w:pPr>
      <w:r>
        <w:rPr>
          <w:rFonts w:hint="eastAsia" w:asciiTheme="minorEastAsia" w:hAnsiTheme="minorEastAsia" w:cstheme="minorEastAsia"/>
          <w:sz w:val="24"/>
        </w:rPr>
        <w:t>（一）项目概况</w:t>
      </w:r>
    </w:p>
    <w:p w14:paraId="0461A32A">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1.本项目为铜陵市公务用车维修保养服务，服务范围包括各档各类轿车、SUV、客货车、工程车等车辆的一级、二级车辆维护和保养，大、中、小修理，维修救援、年审、24 小时应急服务，以及《机动车维修管理规定》（中华人民共和国交通运输部令2023年第14号）中规定的汽车维修服务项目(保险维修、新购车辆免费维护保养除外)。</w:t>
      </w:r>
    </w:p>
    <w:p w14:paraId="65750606">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2.本项目的供应商资格要求：经铜陵市交通运输主管部门备案的具有二类汽车维修经营业务及以上资质的机动车维修企业。</w:t>
      </w:r>
    </w:p>
    <w:p w14:paraId="21E33B1B">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3.本项目服务期为2年，采用1+1模式，合同一年一签，期满经考核合格的方能签订后续合同。若考核未达到双方合同约定的合格标准，征集人有权终止合同。相关考核细则另行制定。</w:t>
      </w:r>
    </w:p>
    <w:p w14:paraId="5232F528">
      <w:pPr>
        <w:numPr>
          <w:ilvl w:val="0"/>
          <w:numId w:val="3"/>
        </w:numPr>
        <w:spacing w:line="620" w:lineRule="exact"/>
        <w:rPr>
          <w:rFonts w:asciiTheme="minorEastAsia" w:hAnsiTheme="minorEastAsia" w:cstheme="minorEastAsia"/>
          <w:sz w:val="24"/>
        </w:rPr>
      </w:pPr>
      <w:r>
        <w:rPr>
          <w:rFonts w:hint="eastAsia" w:asciiTheme="minorEastAsia" w:hAnsiTheme="minorEastAsia" w:cstheme="minorEastAsia"/>
          <w:sz w:val="24"/>
        </w:rPr>
        <w:t>服务要求</w:t>
      </w:r>
    </w:p>
    <w:p w14:paraId="19F73BDA">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1.严格执行国家的法律、法规，依法经营，诚实信用，公平竞争，优质服务，落实安全生产主体责任和维修质量主体责任，符合环保要求。</w:t>
      </w:r>
    </w:p>
    <w:p w14:paraId="1262FB8D">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2.具有健全的维修管理制度。包括质量管理制度、安全生产管理制度、车辆维修档案管理制度、人员培训制度、设备管理制度及配件管理制度。具体要求按照国家标准《汽车维修业开业条件》（GB/T 16739）相关条款的规定执行。</w:t>
      </w:r>
    </w:p>
    <w:p w14:paraId="7F854AC1">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3.具有规范的业务工作流程，在醒目位置公开业务受理程序、服务承诺和用户投诉受理程序等。</w:t>
      </w:r>
    </w:p>
    <w:p w14:paraId="00E521D6">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4.按照国家、行业或者地方的维修标准规范和机动车生产、进口企业公开的维修技术信息进行维修。尚无标准或规范的，可参照机动车生产企业提供的维修手册、使用说明书和有关技术资料进行维修。</w:t>
      </w:r>
    </w:p>
    <w:p w14:paraId="1340A55C">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应当将原厂配件、同质配件和修复配件分别标识，明码标价，供托修方选择，不得使用假冒伪劣配件维修机动车。对于换下的配件、总成，应当与托修方约定处理。机动车维修配件实行追溯制度，承修方应当记录配件采购、使用信息，查验产品合格证等相关证明，并按规定留存配件来源凭证。</w:t>
      </w:r>
    </w:p>
    <w:p w14:paraId="1B9B4C49">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6.应当使用规定的结算票据，并向托修方交付维修结算清单。维修结算清单中，工时费与材料费应当分项计算。维修结算清单内容应包括托修方信息、承修方信息、维修费用明细单等。</w:t>
      </w:r>
    </w:p>
    <w:p w14:paraId="22728DD8">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严格按照国家规定实行竣工出厂质量保证期制度，并在醒目位置公示。在质量保证期和承诺的质量保证期内，因维修质量原因造成机动车无法正常使用，且承修方在3日内不能或者无法提供因非维修原因而造成机动车无法使用的相关证据的，机动车维修经营者应当及时无偿返修，不得故意拖延或者无理拒绝。在质量保证期内，机动车因同一故障或维修项目经两次修理仍不能正常使用的，机动车维修经营者应当负责联系其他机动车维修经营者，并承担相应修理费用。</w:t>
      </w:r>
    </w:p>
    <w:p w14:paraId="700A06A5">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8.维修企业在特定时间内对社会举办的优惠活动，市各级行政事业单位有权参加其优惠活动并享受其优惠政策，不得因价格优惠而减少服务项目、降低服务质量。</w:t>
      </w:r>
    </w:p>
    <w:p w14:paraId="0C8F2BD7">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9.为本项目开设24小时报修服务电话，确保市各级行政事业单位的公务用车能及时报修，抛锚车辆能及时得到救助，必须做到报修后铜陵市域内1小时拖车或维修人员抵达故障现场；市外50公里内2小时、100公里内3小时拖车或维修人员抵达故障现场。</w:t>
      </w:r>
    </w:p>
    <w:p w14:paraId="2F864595">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10.供应商入围后设置至少两个公车维保专用工位（悬挂或张贴公车维保专用工位标志）并配备监控设备，车辆在专用工位维修期间产生的相关视频监控影像资料保存时间≥3个月，主动接受相关主管部门针对维修企业生产、管理和公务车辆维修质量进行监督检查，对监督检查中发现的问题和维修投诉进行调查处理。</w:t>
      </w:r>
    </w:p>
    <w:p w14:paraId="709E0A6C">
      <w:pPr>
        <w:spacing w:line="620" w:lineRule="exact"/>
        <w:rPr>
          <w:rFonts w:asciiTheme="minorEastAsia" w:hAnsiTheme="minorEastAsia" w:cstheme="minorEastAsia"/>
          <w:sz w:val="24"/>
        </w:rPr>
      </w:pPr>
      <w:r>
        <w:rPr>
          <w:rFonts w:hint="eastAsia" w:asciiTheme="minorEastAsia" w:hAnsiTheme="minorEastAsia" w:cstheme="minorEastAsia"/>
          <w:sz w:val="24"/>
        </w:rPr>
        <w:t>（三）基本要求</w:t>
      </w:r>
    </w:p>
    <w:p w14:paraId="0BBC8078">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1.设施要求</w:t>
      </w:r>
    </w:p>
    <w:p w14:paraId="17B714E6">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维修企业须具有以下设施：</w:t>
      </w:r>
    </w:p>
    <w:p w14:paraId="6DC6B44C">
      <w:pPr>
        <w:spacing w:line="620" w:lineRule="exact"/>
        <w:rPr>
          <w:rFonts w:asciiTheme="minorEastAsia" w:hAnsiTheme="minorEastAsia" w:cstheme="minorEastAsia"/>
          <w:sz w:val="24"/>
        </w:rPr>
      </w:pPr>
      <w:r>
        <w:rPr>
          <w:rFonts w:hint="eastAsia" w:asciiTheme="minorEastAsia" w:hAnsiTheme="minorEastAsia" w:cstheme="minorEastAsia"/>
          <w:sz w:val="24"/>
        </w:rPr>
        <w:t>（1）接待室</w:t>
      </w:r>
    </w:p>
    <w:p w14:paraId="25EE2294">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①接待室应整洁明亮，应有供客户休息的设施；</w:t>
      </w:r>
    </w:p>
    <w:p w14:paraId="55C8E85D">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②接待室面积不小于20㎡，具备但不限于空调、座椅、茶几等设施，不得堆放杂物。</w:t>
      </w:r>
    </w:p>
    <w:p w14:paraId="59B34837">
      <w:pPr>
        <w:spacing w:line="620" w:lineRule="exact"/>
        <w:rPr>
          <w:rFonts w:asciiTheme="minorEastAsia" w:hAnsiTheme="minorEastAsia" w:cstheme="minorEastAsia"/>
          <w:sz w:val="24"/>
        </w:rPr>
      </w:pPr>
      <w:r>
        <w:rPr>
          <w:rFonts w:hint="eastAsia" w:asciiTheme="minorEastAsia" w:hAnsiTheme="minorEastAsia" w:cstheme="minorEastAsia"/>
          <w:sz w:val="24"/>
        </w:rPr>
        <w:t>（2）生产厂房、停车场地及车辆维修保养工位</w:t>
      </w:r>
    </w:p>
    <w:p w14:paraId="28C940EA">
      <w:pPr>
        <w:spacing w:line="620" w:lineRule="exact"/>
        <w:rPr>
          <w:rFonts w:asciiTheme="minorEastAsia" w:hAnsiTheme="minorEastAsia" w:cstheme="minorEastAsia"/>
          <w:sz w:val="24"/>
        </w:rPr>
      </w:pPr>
      <w:r>
        <w:rPr>
          <w:rFonts w:hint="eastAsia" w:asciiTheme="minorEastAsia" w:hAnsiTheme="minorEastAsia" w:cstheme="minorEastAsia"/>
          <w:sz w:val="24"/>
        </w:rPr>
        <w:t>★①生产厂房面积不足400㎡的将被认定为无效响应，生产厂房面积不包含办公室、接待室和停车位。（供应商自有场地的需提供所有权证明材料，租用场地的需提供有效期限内的租赁合同，场地证明材料均需能体现场地实际面积，未提供证明材料的或不满足400㎡要求的，均将被认定为无效响应。）</w:t>
      </w:r>
    </w:p>
    <w:p w14:paraId="4325780C">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②应具有与承修车型、经营业务相适应的合法停车场地。</w:t>
      </w:r>
    </w:p>
    <w:p w14:paraId="551E9185">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③生产厂房内设有有效维修保养工位（含举升机工位在内）。</w:t>
      </w:r>
    </w:p>
    <w:p w14:paraId="262A27CE">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 xml:space="preserve">2.设备要求 </w:t>
      </w:r>
    </w:p>
    <w:p w14:paraId="2DCBA440">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（1）维修企业须具有的各类仪表工具、专用设备、检测设备和通用设备，其规格和数量应与其维修车型、生产规模和生产工艺相适应。</w:t>
      </w:r>
    </w:p>
    <w:p w14:paraId="0A1C101C">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（2）各类设备应能满足加工、检测精度的要求和使用要求，并应符合相关国家标准和行业标准的要求。计量设备应当符合国家有关技术标准要求，并经法定检定机构检定合格。</w:t>
      </w:r>
    </w:p>
    <w:p w14:paraId="32CA1043">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（3）汽车举升机、喷烤漆房及设备涉及安全的产品应通过交通产品认证。</w:t>
      </w:r>
    </w:p>
    <w:p w14:paraId="3BD296F3">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维修企业自有举升机数量不足3台、喷烤漆房数量不足1台和大梁校正仪数量不足1台的将被认定为无效响应。（供应商需提供以上设备购置发票复印件，无原始购置发票的，另需提供购置合同复印件或供货单位签章的供货清单复印件和货款收据复印件，未提供证明材料的或不满足以上设备数量要求的，均将被认定为无效响应。）</w:t>
      </w:r>
    </w:p>
    <w:p w14:paraId="2F2CEF56">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供应商自行出具的设备所有权证明材料将不予采纳。</w:t>
      </w:r>
    </w:p>
    <w:p w14:paraId="3519AC9A">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3.人员要求</w:t>
      </w:r>
    </w:p>
    <w:p w14:paraId="4ACBE5A9">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（1）供应商需成立铜陵市公务用车维修服务团队，明确服务团队负责人及维修团队组成人员。服务团队负责人由供应商主要负责人担任，同时指定专人负责信息沟通、工作协调等工作。</w:t>
      </w:r>
    </w:p>
    <w:p w14:paraId="629655A3">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（2）供应商提供的维修团队组成人员应包含机修、电器、钣金和涂漆的维修技术人员。</w:t>
      </w:r>
    </w:p>
    <w:p w14:paraId="1FE22BEC">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（3）供应商提供的服务团队组成人员应包含服务团队负责人、技术负责人员、安全生产管理人员、质量检验人员和业务接待人员。</w:t>
      </w:r>
    </w:p>
    <w:p w14:paraId="2490C4B0">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（4）供应商需提供维修服务团队人员一览表，列明维修服务团队人员的姓名、岗位名称、工作职责、联系电话等相关信息。</w:t>
      </w:r>
    </w:p>
    <w:p w14:paraId="2E9B6A3F">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4.抢修救援要求</w:t>
      </w:r>
    </w:p>
    <w:p w14:paraId="18FC9A8A">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供应商需配备抢修服务车和救援平板拖车，市域范围内1小时内提供免费救援服务。</w:t>
      </w:r>
    </w:p>
    <w:p w14:paraId="474C87FC">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5.安全生产要求</w:t>
      </w:r>
    </w:p>
    <w:p w14:paraId="483B3787">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（1）建立并实施与其维修作业内容相适应的安全管理制度和安全保护措施。</w:t>
      </w:r>
    </w:p>
    <w:p w14:paraId="2E44BF67">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（2）制定各类机电设备的安全操作规程，并明示在相应的工位或设备处。</w:t>
      </w:r>
    </w:p>
    <w:p w14:paraId="07E06D7F">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（3）使用与存储有毒、易燃、易爆物品和粉尘、腐蚀剂、污染物、压力容器等，均应具备相应的安全防护措施和设施。安全防护设施应有明显的警示、禁令标志。</w:t>
      </w:r>
    </w:p>
    <w:p w14:paraId="0DF33645">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（4）生产厂房和停车场应符合安全生产、消防等各项要求，安全、消防设施的设置地点应明示管理要求和操作规程。</w:t>
      </w:r>
    </w:p>
    <w:p w14:paraId="04B8AA00">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（5）应具有安全生产事故的应急预案。</w:t>
      </w:r>
    </w:p>
    <w:p w14:paraId="402AAA94">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6.环境保护要求</w:t>
      </w:r>
    </w:p>
    <w:p w14:paraId="4CCD79B1">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1）应具有废油、废液、废气、废水（以下简称“四废”）、废蓄电池、废轮胎、含石棉废料及有害垃圾等物质集中收集、有效处理和保持环境整洁的环境保护管理制度，并有效执行。有害物质存储区域应界定清楚，必要时应有隔离、控制措施。</w:t>
      </w:r>
    </w:p>
    <w:p w14:paraId="0ACFED13">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（2）作业环境以及按生产工艺配置的处理“四废”及采光、通风、吸尘、净化、消声等设施，均应符合环境保护的有关规定。</w:t>
      </w:r>
    </w:p>
    <w:p w14:paraId="6E33078F">
      <w:pPr>
        <w:spacing w:line="620" w:lineRule="exact"/>
        <w:ind w:firstLine="240" w:firstLineChars="100"/>
        <w:rPr>
          <w:rFonts w:asciiTheme="minorEastAsia" w:hAnsiTheme="minorEastAsia" w:cstheme="minorEastAsia"/>
          <w:sz w:val="24"/>
        </w:rPr>
      </w:pPr>
      <w:r>
        <w:rPr>
          <w:rFonts w:hint="eastAsia" w:asciiTheme="minorEastAsia" w:hAnsiTheme="minorEastAsia" w:cstheme="minorEastAsia"/>
          <w:sz w:val="24"/>
        </w:rPr>
        <w:t>（3）涂漆车间应设有专用的废水排放及处理设施，采用干打磨工艺的，应有粉尘收集装置和除尘设备，并应设有通风设备。环境保护措施具体要求按照国家标准《汽车维修业开业条件》（GB/T 16739）相关条款的规定执行。</w:t>
      </w:r>
    </w:p>
    <w:p w14:paraId="04D5F280">
      <w:pPr>
        <w:spacing w:line="620" w:lineRule="exact"/>
        <w:rPr>
          <w:rFonts w:asciiTheme="minorEastAsia" w:hAnsiTheme="minorEastAsia" w:cstheme="minorEastAsia"/>
          <w:sz w:val="24"/>
        </w:rPr>
      </w:pPr>
      <w:r>
        <w:rPr>
          <w:rFonts w:hint="eastAsia" w:asciiTheme="minorEastAsia" w:hAnsiTheme="minorEastAsia" w:cstheme="minorEastAsia"/>
          <w:sz w:val="24"/>
        </w:rPr>
        <w:t>（四）其他要求</w:t>
      </w:r>
    </w:p>
    <w:p w14:paraId="3F29355A">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1.入围供应商需接入铜陵市公务用车管理信息平台接受统一监管。</w:t>
      </w:r>
    </w:p>
    <w:p w14:paraId="160D46D8">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2.入围供应商在框架协议服务期内，如进行弄虚作假提供材料进货发票等违法行为牟利的，一经查实立即取消入围资格并上报相关主管部门。</w:t>
      </w:r>
    </w:p>
    <w:p w14:paraId="4726FF2D">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3.征集文件发布的维修工时单价5元将在服务期内作为市各级行政事业单位提供车辆维修服务最高限价。</w:t>
      </w:r>
    </w:p>
    <w:p w14:paraId="78011535">
      <w:pPr>
        <w:spacing w:line="6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4.供应商维修费用结算</w:t>
      </w:r>
    </w:p>
    <w:p w14:paraId="30ABE933">
      <w:pPr>
        <w:spacing w:line="620" w:lineRule="exact"/>
        <w:ind w:firstLine="720" w:firstLineChars="300"/>
        <w:rPr>
          <w:rFonts w:asciiTheme="minorEastAsia" w:hAnsiTheme="minorEastAsia" w:cstheme="minorEastAsia"/>
          <w:sz w:val="24"/>
        </w:rPr>
      </w:pPr>
      <w:r>
        <w:rPr>
          <w:rFonts w:hint="eastAsia" w:asciiTheme="minorEastAsia" w:hAnsiTheme="minorEastAsia" w:cstheme="minorEastAsia"/>
          <w:sz w:val="24"/>
        </w:rPr>
        <w:t>维修费＝工时费+材料费</w:t>
      </w:r>
    </w:p>
    <w:p w14:paraId="428264AE">
      <w:pPr>
        <w:spacing w:line="620" w:lineRule="exact"/>
        <w:ind w:firstLine="720" w:firstLineChars="300"/>
        <w:rPr>
          <w:rFonts w:asciiTheme="minorEastAsia" w:hAnsiTheme="minorEastAsia" w:cstheme="minorEastAsia"/>
          <w:sz w:val="24"/>
        </w:rPr>
      </w:pPr>
      <w:r>
        <w:rPr>
          <w:rFonts w:hint="eastAsia" w:asciiTheme="minorEastAsia" w:hAnsiTheme="minorEastAsia" w:cstheme="minorEastAsia"/>
          <w:sz w:val="24"/>
        </w:rPr>
        <w:t>工时费=征集文件发布的工时定额×5元（维修工时单价）</w:t>
      </w:r>
    </w:p>
    <w:p w14:paraId="4F82FAD4">
      <w:pPr>
        <w:spacing w:line="620" w:lineRule="exact"/>
        <w:ind w:firstLine="720" w:firstLineChars="300"/>
        <w:rPr>
          <w:rFonts w:asciiTheme="minorEastAsia" w:hAnsiTheme="minorEastAsia" w:cstheme="minorEastAsia"/>
          <w:sz w:val="24"/>
        </w:rPr>
      </w:pPr>
      <w:r>
        <w:rPr>
          <w:rFonts w:hint="eastAsia" w:asciiTheme="minorEastAsia" w:hAnsiTheme="minorEastAsia" w:cstheme="minorEastAsia"/>
          <w:sz w:val="24"/>
        </w:rPr>
        <w:t>材料费=材料进货价×(1+10%材料进销差价率)</w:t>
      </w:r>
    </w:p>
    <w:p w14:paraId="73FF597F">
      <w:pPr>
        <w:spacing w:line="620" w:lineRule="exact"/>
        <w:ind w:firstLine="720" w:firstLineChars="300"/>
        <w:rPr>
          <w:rFonts w:asciiTheme="minorEastAsia" w:hAnsiTheme="minorEastAsia" w:cstheme="minorEastAsia"/>
          <w:sz w:val="24"/>
        </w:rPr>
      </w:pPr>
    </w:p>
    <w:p w14:paraId="5B3C6EA9">
      <w:pPr>
        <w:spacing w:line="520" w:lineRule="exact"/>
        <w:rPr>
          <w:rFonts w:asciiTheme="minorEastAsia" w:hAnsiTheme="minorEastAsia" w:cstheme="minorEastAsia"/>
          <w:sz w:val="24"/>
        </w:rPr>
      </w:pPr>
      <w:r>
        <w:rPr>
          <w:rFonts w:hint="eastAsia" w:asciiTheme="minorEastAsia" w:hAnsiTheme="minorEastAsia" w:cstheme="minorEastAsia"/>
          <w:sz w:val="24"/>
        </w:rPr>
        <w:t>注：本项目标注★的要求即为关键性服务要求，若有一项不满足将被认定为无效响应。</w:t>
      </w:r>
    </w:p>
    <w:p w14:paraId="64066FCA">
      <w:pPr>
        <w:ind w:firstLine="720" w:firstLineChars="300"/>
        <w:rPr>
          <w:rFonts w:asciiTheme="minorEastAsia" w:hAnsiTheme="minorEastAsia" w:cstheme="minorEastAsia"/>
          <w:sz w:val="24"/>
        </w:rPr>
      </w:pPr>
    </w:p>
    <w:p w14:paraId="1E7377E3">
      <w:pPr>
        <w:rPr>
          <w:rFonts w:asciiTheme="minorEastAsia" w:hAnsiTheme="minorEastAsia" w:cstheme="minorEastAsia"/>
          <w:sz w:val="24"/>
        </w:rPr>
      </w:pPr>
    </w:p>
    <w:tbl>
      <w:tblPr>
        <w:tblStyle w:val="43"/>
        <w:tblW w:w="9795" w:type="dxa"/>
        <w:tblInd w:w="-621" w:type="dxa"/>
        <w:tblLayout w:type="fixed"/>
        <w:tblCellMar>
          <w:top w:w="0" w:type="dxa"/>
          <w:left w:w="108" w:type="dxa"/>
          <w:bottom w:w="0" w:type="dxa"/>
          <w:right w:w="108" w:type="dxa"/>
        </w:tblCellMar>
      </w:tblPr>
      <w:tblGrid>
        <w:gridCol w:w="1110"/>
        <w:gridCol w:w="3405"/>
        <w:gridCol w:w="1170"/>
        <w:gridCol w:w="4110"/>
      </w:tblGrid>
      <w:tr w14:paraId="4CA99AC1">
        <w:tblPrEx>
          <w:tblCellMar>
            <w:top w:w="0" w:type="dxa"/>
            <w:left w:w="108" w:type="dxa"/>
            <w:bottom w:w="0" w:type="dxa"/>
            <w:right w:w="108" w:type="dxa"/>
          </w:tblCellMar>
        </w:tblPrEx>
        <w:trPr>
          <w:trHeight w:val="999" w:hRule="atLeast"/>
        </w:trPr>
        <w:tc>
          <w:tcPr>
            <w:tcW w:w="9795" w:type="dxa"/>
            <w:gridSpan w:val="4"/>
            <w:tcBorders>
              <w:top w:val="nil"/>
              <w:left w:val="nil"/>
              <w:bottom w:val="nil"/>
              <w:right w:val="nil"/>
            </w:tcBorders>
            <w:shd w:val="clear" w:color="auto" w:fill="auto"/>
            <w:noWrap/>
            <w:vAlign w:val="center"/>
          </w:tcPr>
          <w:p w14:paraId="039F556F">
            <w:pPr>
              <w:spacing w:line="620" w:lineRule="exact"/>
              <w:rPr>
                <w:rFonts w:ascii="方正小标宋简体" w:hAnsi="方正小标宋简体" w:eastAsia="方正小标宋简体" w:cs="方正小标宋简体"/>
                <w:color w:val="000000"/>
                <w:sz w:val="36"/>
                <w:szCs w:val="36"/>
              </w:rPr>
            </w:pPr>
            <w:r>
              <w:rPr>
                <w:rFonts w:hint="eastAsia" w:asciiTheme="minorEastAsia" w:hAnsiTheme="minorEastAsia" w:cstheme="minorEastAsia"/>
                <w:sz w:val="24"/>
              </w:rPr>
              <w:t>（五）铜陵市公务用车常用维修项目工时定额标准表</w:t>
            </w:r>
          </w:p>
        </w:tc>
      </w:tr>
      <w:tr w14:paraId="4F2FC06A">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CE7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（一）价格</w:t>
            </w:r>
          </w:p>
        </w:tc>
      </w:tr>
      <w:tr w14:paraId="1BFAA10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FFFA7">
            <w:pPr>
              <w:widowControl/>
              <w:jc w:val="center"/>
              <w:textAlignment w:val="bottom"/>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6EC3">
            <w:pPr>
              <w:widowControl/>
              <w:jc w:val="center"/>
              <w:textAlignment w:val="bottom"/>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39E8">
            <w:pPr>
              <w:widowControl/>
              <w:jc w:val="center"/>
              <w:textAlignment w:val="bottom"/>
              <w:rPr>
                <w:rFonts w:ascii="宋体" w:hAnsi="宋体" w:cs="宋体"/>
                <w:b/>
                <w:bCs/>
                <w:color w:val="000000"/>
                <w:sz w:val="20"/>
                <w:szCs w:val="20"/>
              </w:rPr>
            </w:pPr>
            <w:r>
              <w:rPr>
                <w:rFonts w:hint="eastAsia" w:ascii="宋体" w:hAnsi="宋体" w:cs="宋体"/>
                <w:b/>
                <w:bCs/>
                <w:color w:val="000000"/>
                <w:kern w:val="0"/>
                <w:sz w:val="20"/>
                <w:szCs w:val="20"/>
              </w:rPr>
              <w:t>单价（元）</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1799">
            <w:pPr>
              <w:widowControl/>
              <w:jc w:val="center"/>
              <w:textAlignment w:val="bottom"/>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3A91FA4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4A576">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8CA78">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工时单价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E40A">
            <w:pPr>
              <w:jc w:val="center"/>
              <w:rPr>
                <w:rFonts w:ascii="宋体" w:hAnsi="宋体" w:cs="宋体"/>
                <w:color w:val="000000"/>
                <w:sz w:val="20"/>
                <w:szCs w:val="20"/>
              </w:rPr>
            </w:pPr>
            <w:r>
              <w:rPr>
                <w:rFonts w:hint="eastAsia" w:ascii="宋体" w:hAnsi="宋体" w:cs="宋体"/>
                <w:color w:val="000000"/>
                <w:sz w:val="20"/>
                <w:szCs w:val="20"/>
              </w:rPr>
              <w:t>5元</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D5D5B">
            <w:pPr>
              <w:widowControl/>
              <w:jc w:val="center"/>
              <w:textAlignment w:val="bottom"/>
              <w:rPr>
                <w:rFonts w:ascii="宋体" w:hAnsi="宋体" w:cs="宋体"/>
                <w:color w:val="000000"/>
                <w:sz w:val="20"/>
                <w:szCs w:val="20"/>
              </w:rPr>
            </w:pPr>
          </w:p>
        </w:tc>
      </w:tr>
      <w:tr w14:paraId="7F90C261">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9C7A">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（二）喷漆</w:t>
            </w:r>
          </w:p>
        </w:tc>
      </w:tr>
      <w:tr w14:paraId="4E9FECF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2D5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AC2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AF7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价格（元）</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94A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6A45CF9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1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81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前杠喷漆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CA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179">
            <w:pPr>
              <w:jc w:val="center"/>
              <w:rPr>
                <w:rFonts w:ascii="宋体" w:hAnsi="宋体" w:cs="宋体"/>
                <w:color w:val="000000"/>
                <w:sz w:val="20"/>
                <w:szCs w:val="20"/>
              </w:rPr>
            </w:pPr>
          </w:p>
        </w:tc>
      </w:tr>
      <w:tr w14:paraId="74F0CC0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12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4F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后杠喷漆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F7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5DE8">
            <w:pPr>
              <w:jc w:val="center"/>
              <w:rPr>
                <w:rFonts w:ascii="宋体" w:hAnsi="宋体" w:cs="宋体"/>
                <w:color w:val="000000"/>
                <w:sz w:val="20"/>
                <w:szCs w:val="20"/>
              </w:rPr>
            </w:pPr>
          </w:p>
        </w:tc>
      </w:tr>
      <w:tr w14:paraId="73C8E5C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9E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1A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前叶子板喷漆单侧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85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BBF8">
            <w:pPr>
              <w:jc w:val="center"/>
              <w:rPr>
                <w:rFonts w:ascii="宋体" w:hAnsi="宋体" w:cs="宋体"/>
                <w:color w:val="000000"/>
                <w:sz w:val="20"/>
                <w:szCs w:val="20"/>
              </w:rPr>
            </w:pPr>
          </w:p>
        </w:tc>
      </w:tr>
      <w:tr w14:paraId="179C405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39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EE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后叶子板喷漆单侧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B4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908">
            <w:pPr>
              <w:jc w:val="center"/>
              <w:rPr>
                <w:rFonts w:ascii="宋体" w:hAnsi="宋体" w:cs="宋体"/>
                <w:color w:val="000000"/>
                <w:sz w:val="20"/>
                <w:szCs w:val="20"/>
              </w:rPr>
            </w:pPr>
          </w:p>
        </w:tc>
      </w:tr>
      <w:tr w14:paraId="66D2165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9C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8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机盖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C3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B467">
            <w:pPr>
              <w:jc w:val="center"/>
              <w:rPr>
                <w:rFonts w:ascii="宋体" w:hAnsi="宋体" w:cs="宋体"/>
                <w:color w:val="000000"/>
                <w:sz w:val="20"/>
                <w:szCs w:val="20"/>
              </w:rPr>
            </w:pPr>
          </w:p>
        </w:tc>
      </w:tr>
      <w:tr w14:paraId="31D3DC0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E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9E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后盖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B2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7BF8">
            <w:pPr>
              <w:jc w:val="center"/>
              <w:rPr>
                <w:rFonts w:ascii="宋体" w:hAnsi="宋体" w:cs="宋体"/>
                <w:color w:val="000000"/>
                <w:sz w:val="20"/>
                <w:szCs w:val="20"/>
              </w:rPr>
            </w:pPr>
          </w:p>
        </w:tc>
      </w:tr>
      <w:tr w14:paraId="5EBB751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A9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4F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车身喷漆（平方米）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8F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D9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整车按面积计算</w:t>
            </w:r>
          </w:p>
        </w:tc>
      </w:tr>
      <w:tr w14:paraId="1866D7C9">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971">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（三）发动机机械</w:t>
            </w:r>
          </w:p>
        </w:tc>
      </w:tr>
      <w:tr w14:paraId="2C77179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D04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2B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1B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97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0E77902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22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0D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更换正时皮带</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47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95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06D3613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C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8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更换正时链条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16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C9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0DE84E3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F8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9B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更换正时皮带张紧轮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D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7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8B9E92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75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C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更换空调压缩机皮带</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6B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88A5">
            <w:pPr>
              <w:jc w:val="center"/>
              <w:rPr>
                <w:rFonts w:ascii="宋体" w:hAnsi="宋体" w:cs="宋体"/>
                <w:color w:val="000000"/>
                <w:sz w:val="20"/>
                <w:szCs w:val="20"/>
              </w:rPr>
            </w:pPr>
          </w:p>
        </w:tc>
      </w:tr>
      <w:tr w14:paraId="58295F6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8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DE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更换方向助力泵皮带</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D7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F1C0">
            <w:pPr>
              <w:jc w:val="center"/>
              <w:rPr>
                <w:rFonts w:ascii="宋体" w:hAnsi="宋体" w:cs="宋体"/>
                <w:color w:val="000000"/>
                <w:sz w:val="20"/>
                <w:szCs w:val="20"/>
              </w:rPr>
            </w:pPr>
          </w:p>
        </w:tc>
      </w:tr>
      <w:tr w14:paraId="572D137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E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07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更换发电机皮带</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76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FC77">
            <w:pPr>
              <w:jc w:val="center"/>
              <w:rPr>
                <w:rFonts w:ascii="宋体" w:hAnsi="宋体" w:cs="宋体"/>
                <w:color w:val="000000"/>
                <w:sz w:val="20"/>
                <w:szCs w:val="20"/>
              </w:rPr>
            </w:pPr>
          </w:p>
        </w:tc>
      </w:tr>
      <w:tr w14:paraId="41EEC3E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84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DD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更换水箱冷却风扇皮带</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E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2940">
            <w:pPr>
              <w:jc w:val="center"/>
              <w:rPr>
                <w:rFonts w:ascii="宋体" w:hAnsi="宋体" w:cs="宋体"/>
                <w:color w:val="000000"/>
                <w:sz w:val="20"/>
                <w:szCs w:val="20"/>
              </w:rPr>
            </w:pPr>
          </w:p>
        </w:tc>
      </w:tr>
      <w:tr w14:paraId="381341F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F9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10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调整压缩机皮带张紧力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6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7FBA">
            <w:pPr>
              <w:jc w:val="center"/>
              <w:rPr>
                <w:rFonts w:ascii="宋体" w:hAnsi="宋体" w:cs="宋体"/>
                <w:color w:val="000000"/>
                <w:sz w:val="20"/>
                <w:szCs w:val="20"/>
              </w:rPr>
            </w:pPr>
          </w:p>
        </w:tc>
      </w:tr>
      <w:tr w14:paraId="4C06680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78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96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调整方向助力泵皮带张紧力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4E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2C6">
            <w:pPr>
              <w:jc w:val="center"/>
              <w:rPr>
                <w:rFonts w:ascii="宋体" w:hAnsi="宋体" w:cs="宋体"/>
                <w:color w:val="000000"/>
                <w:sz w:val="20"/>
                <w:szCs w:val="20"/>
              </w:rPr>
            </w:pPr>
          </w:p>
        </w:tc>
      </w:tr>
      <w:tr w14:paraId="457A44E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6C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5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更换汽油泵(油箱内)</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60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DF1B">
            <w:pPr>
              <w:jc w:val="center"/>
              <w:rPr>
                <w:rFonts w:ascii="宋体" w:hAnsi="宋体" w:cs="宋体"/>
                <w:color w:val="000000"/>
                <w:sz w:val="20"/>
                <w:szCs w:val="20"/>
              </w:rPr>
            </w:pPr>
          </w:p>
        </w:tc>
      </w:tr>
      <w:tr w14:paraId="3532C88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79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5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更换汽油滤清器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73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42AF">
            <w:pPr>
              <w:jc w:val="center"/>
              <w:rPr>
                <w:rFonts w:ascii="宋体" w:hAnsi="宋体" w:cs="宋体"/>
                <w:color w:val="000000"/>
                <w:sz w:val="20"/>
                <w:szCs w:val="20"/>
              </w:rPr>
            </w:pPr>
          </w:p>
        </w:tc>
      </w:tr>
      <w:tr w14:paraId="6EBE4B0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C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9E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清洗喷油嘴(只)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F2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C01A">
            <w:pPr>
              <w:jc w:val="center"/>
              <w:rPr>
                <w:rFonts w:ascii="宋体" w:hAnsi="宋体" w:cs="宋体"/>
                <w:color w:val="000000"/>
                <w:sz w:val="20"/>
                <w:szCs w:val="20"/>
              </w:rPr>
            </w:pPr>
          </w:p>
        </w:tc>
      </w:tr>
      <w:tr w14:paraId="5E780D2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B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94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更换水泵总成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80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70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8F48C1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7F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E5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更换机油、机滤、空气滤芯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BC3F">
            <w:pPr>
              <w:jc w:val="center"/>
              <w:rPr>
                <w:rFonts w:ascii="宋体" w:hAnsi="宋体" w:cs="宋体"/>
                <w:color w:val="000000"/>
                <w:sz w:val="20"/>
                <w:szCs w:val="20"/>
              </w:rPr>
            </w:pPr>
          </w:p>
        </w:tc>
      </w:tr>
      <w:tr w14:paraId="239176B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23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E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更换进气管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9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58CC">
            <w:pPr>
              <w:jc w:val="center"/>
              <w:rPr>
                <w:rFonts w:ascii="宋体" w:hAnsi="宋体" w:cs="宋体"/>
                <w:color w:val="000000"/>
                <w:sz w:val="20"/>
                <w:szCs w:val="20"/>
              </w:rPr>
            </w:pPr>
          </w:p>
        </w:tc>
      </w:tr>
      <w:tr w14:paraId="11202C8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E1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BF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更换进气管口</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71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3834">
            <w:pPr>
              <w:jc w:val="center"/>
              <w:rPr>
                <w:rFonts w:ascii="宋体" w:hAnsi="宋体" w:cs="宋体"/>
                <w:color w:val="000000"/>
                <w:sz w:val="20"/>
                <w:szCs w:val="20"/>
              </w:rPr>
            </w:pPr>
          </w:p>
        </w:tc>
      </w:tr>
      <w:tr w14:paraId="60EFBB2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57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更换进气箱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93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8111">
            <w:pPr>
              <w:jc w:val="center"/>
              <w:rPr>
                <w:rFonts w:ascii="宋体" w:hAnsi="宋体" w:cs="宋体"/>
                <w:color w:val="000000"/>
                <w:sz w:val="20"/>
                <w:szCs w:val="20"/>
              </w:rPr>
            </w:pPr>
          </w:p>
        </w:tc>
      </w:tr>
      <w:tr w14:paraId="6A9AA54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C1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05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更换空滤盒</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F9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FC09">
            <w:pPr>
              <w:jc w:val="center"/>
              <w:rPr>
                <w:rFonts w:ascii="宋体" w:hAnsi="宋体" w:cs="宋体"/>
                <w:color w:val="000000"/>
                <w:sz w:val="20"/>
                <w:szCs w:val="20"/>
              </w:rPr>
            </w:pPr>
          </w:p>
        </w:tc>
      </w:tr>
      <w:tr w14:paraId="08874F5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FC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6C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检查机油压力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FA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EDC">
            <w:pPr>
              <w:jc w:val="center"/>
              <w:rPr>
                <w:rFonts w:ascii="宋体" w:hAnsi="宋体" w:cs="宋体"/>
                <w:color w:val="000000"/>
                <w:sz w:val="20"/>
                <w:szCs w:val="20"/>
              </w:rPr>
            </w:pPr>
          </w:p>
        </w:tc>
      </w:tr>
      <w:tr w14:paraId="6612C08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3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EC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更换机油泵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2C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7D2">
            <w:pPr>
              <w:jc w:val="center"/>
              <w:rPr>
                <w:rFonts w:ascii="宋体" w:hAnsi="宋体" w:cs="宋体"/>
                <w:color w:val="000000"/>
                <w:sz w:val="20"/>
                <w:szCs w:val="20"/>
              </w:rPr>
            </w:pPr>
          </w:p>
        </w:tc>
      </w:tr>
      <w:tr w14:paraId="4EC6B6C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50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4D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拆装清洗油底壳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7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BC0C">
            <w:pPr>
              <w:jc w:val="center"/>
              <w:rPr>
                <w:rFonts w:ascii="宋体" w:hAnsi="宋体" w:cs="宋体"/>
                <w:color w:val="000000"/>
                <w:sz w:val="20"/>
                <w:szCs w:val="20"/>
              </w:rPr>
            </w:pPr>
          </w:p>
        </w:tc>
      </w:tr>
      <w:tr w14:paraId="2DAB57A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1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6D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更换油底壳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62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9610">
            <w:pPr>
              <w:jc w:val="center"/>
              <w:rPr>
                <w:rFonts w:ascii="宋体" w:hAnsi="宋体" w:cs="宋体"/>
                <w:color w:val="000000"/>
                <w:sz w:val="20"/>
                <w:szCs w:val="20"/>
              </w:rPr>
            </w:pPr>
          </w:p>
        </w:tc>
      </w:tr>
      <w:tr w14:paraId="5B519BE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1B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E6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更换防冻液</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9A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DEEC">
            <w:pPr>
              <w:jc w:val="center"/>
              <w:rPr>
                <w:rFonts w:ascii="宋体" w:hAnsi="宋体" w:cs="宋体"/>
                <w:color w:val="000000"/>
                <w:sz w:val="20"/>
                <w:szCs w:val="20"/>
              </w:rPr>
            </w:pPr>
          </w:p>
        </w:tc>
      </w:tr>
      <w:tr w14:paraId="39B4096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C9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3B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更换防冻液水壶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E3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64D7">
            <w:pPr>
              <w:jc w:val="center"/>
              <w:rPr>
                <w:rFonts w:ascii="宋体" w:hAnsi="宋体" w:cs="宋体"/>
                <w:color w:val="000000"/>
                <w:sz w:val="20"/>
                <w:szCs w:val="20"/>
              </w:rPr>
            </w:pPr>
          </w:p>
        </w:tc>
      </w:tr>
      <w:tr w14:paraId="6FFD06E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5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4A7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更换离合器总成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7C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B0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含拆装变速箱的工时</w:t>
            </w:r>
          </w:p>
        </w:tc>
      </w:tr>
      <w:tr w14:paraId="4BDF3BE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F2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696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清洁进气道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87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EF15">
            <w:pPr>
              <w:jc w:val="center"/>
              <w:rPr>
                <w:rFonts w:ascii="宋体" w:hAnsi="宋体" w:cs="宋体"/>
                <w:color w:val="000000"/>
                <w:sz w:val="20"/>
                <w:szCs w:val="20"/>
              </w:rPr>
            </w:pPr>
          </w:p>
        </w:tc>
      </w:tr>
      <w:tr w14:paraId="37DB70B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DA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B8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更换涡轮增压泵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72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0B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2B67F7EF">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5BFB">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（四）发动机电气</w:t>
            </w:r>
          </w:p>
        </w:tc>
      </w:tr>
      <w:tr w14:paraId="6FEBBC0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E85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82F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FF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074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434EA40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1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DD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0F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A629">
            <w:pPr>
              <w:jc w:val="center"/>
              <w:rPr>
                <w:rFonts w:ascii="宋体" w:hAnsi="宋体" w:cs="宋体"/>
                <w:color w:val="000000"/>
                <w:sz w:val="20"/>
                <w:szCs w:val="20"/>
              </w:rPr>
            </w:pPr>
          </w:p>
        </w:tc>
      </w:tr>
      <w:tr w14:paraId="4150813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F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27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更换火花塞</w:t>
            </w:r>
            <w:r>
              <w:rPr>
                <w:rStyle w:val="115"/>
                <w:rFonts w:hint="default"/>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5A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5625">
            <w:pPr>
              <w:jc w:val="center"/>
              <w:rPr>
                <w:rFonts w:ascii="宋体" w:hAnsi="宋体" w:cs="宋体"/>
                <w:color w:val="000000"/>
                <w:sz w:val="20"/>
                <w:szCs w:val="20"/>
              </w:rPr>
            </w:pPr>
          </w:p>
        </w:tc>
      </w:tr>
      <w:tr w14:paraId="72E0992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31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C4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更换点火线圈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C6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59E">
            <w:pPr>
              <w:jc w:val="center"/>
              <w:rPr>
                <w:rFonts w:ascii="宋体" w:hAnsi="宋体" w:cs="宋体"/>
                <w:color w:val="000000"/>
                <w:sz w:val="20"/>
                <w:szCs w:val="20"/>
              </w:rPr>
            </w:pPr>
          </w:p>
        </w:tc>
      </w:tr>
      <w:tr w14:paraId="2D652CB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7C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C1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更换分缸线</w:t>
            </w:r>
            <w:r>
              <w:rPr>
                <w:rStyle w:val="115"/>
                <w:rFonts w:hint="default"/>
              </w:rPr>
              <w:t>(/根)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D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82EB">
            <w:pPr>
              <w:jc w:val="center"/>
              <w:rPr>
                <w:rFonts w:ascii="宋体" w:hAnsi="宋体" w:cs="宋体"/>
                <w:color w:val="000000"/>
                <w:sz w:val="20"/>
                <w:szCs w:val="20"/>
              </w:rPr>
            </w:pPr>
          </w:p>
        </w:tc>
      </w:tr>
      <w:tr w14:paraId="708A078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4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CE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更换节气门位置传感器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3D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EBE9">
            <w:pPr>
              <w:jc w:val="center"/>
              <w:rPr>
                <w:rFonts w:ascii="宋体" w:hAnsi="宋体" w:cs="宋体"/>
                <w:color w:val="000000"/>
                <w:sz w:val="20"/>
                <w:szCs w:val="20"/>
              </w:rPr>
            </w:pPr>
          </w:p>
        </w:tc>
      </w:tr>
      <w:tr w14:paraId="3529BDF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80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04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更换曲轴位置传感器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7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6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4260568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E4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B8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更换凸轮轴位置传感器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19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C41A">
            <w:pPr>
              <w:jc w:val="center"/>
              <w:rPr>
                <w:rFonts w:ascii="宋体" w:hAnsi="宋体" w:cs="宋体"/>
                <w:color w:val="000000"/>
                <w:sz w:val="20"/>
                <w:szCs w:val="20"/>
              </w:rPr>
            </w:pPr>
          </w:p>
        </w:tc>
      </w:tr>
      <w:tr w14:paraId="3E5E8BC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D3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0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更换发动机转速传感器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6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6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5898659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8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0C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更换爆震传感器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38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6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08E8302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34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9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更换空气流量传感器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26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3EB4">
            <w:pPr>
              <w:jc w:val="center"/>
              <w:rPr>
                <w:rFonts w:ascii="宋体" w:hAnsi="宋体" w:cs="宋体"/>
                <w:color w:val="000000"/>
                <w:sz w:val="20"/>
                <w:szCs w:val="20"/>
              </w:rPr>
            </w:pPr>
          </w:p>
        </w:tc>
      </w:tr>
      <w:tr w14:paraId="77F3783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A1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BF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更换进气温度传感器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AB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DB22">
            <w:pPr>
              <w:jc w:val="center"/>
              <w:rPr>
                <w:rFonts w:ascii="宋体" w:hAnsi="宋体" w:cs="宋体"/>
                <w:color w:val="000000"/>
                <w:sz w:val="20"/>
                <w:szCs w:val="20"/>
              </w:rPr>
            </w:pPr>
          </w:p>
        </w:tc>
      </w:tr>
      <w:tr w14:paraId="2A72488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BE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76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更换氧传感器</w:t>
            </w:r>
            <w:r>
              <w:rPr>
                <w:rStyle w:val="115"/>
                <w:rFonts w:hint="default"/>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E0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22DF">
            <w:pPr>
              <w:jc w:val="center"/>
              <w:rPr>
                <w:rFonts w:ascii="宋体" w:hAnsi="宋体" w:cs="宋体"/>
                <w:color w:val="000000"/>
                <w:sz w:val="20"/>
                <w:szCs w:val="20"/>
              </w:rPr>
            </w:pPr>
          </w:p>
        </w:tc>
      </w:tr>
      <w:tr w14:paraId="6002023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23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4E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更换三元催化器</w:t>
            </w:r>
            <w:r>
              <w:rPr>
                <w:rStyle w:val="115"/>
                <w:rFonts w:hint="default"/>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E4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B6D8">
            <w:pPr>
              <w:jc w:val="center"/>
              <w:rPr>
                <w:rFonts w:ascii="宋体" w:hAnsi="宋体" w:cs="宋体"/>
                <w:color w:val="000000"/>
                <w:sz w:val="20"/>
                <w:szCs w:val="20"/>
              </w:rPr>
            </w:pPr>
          </w:p>
        </w:tc>
      </w:tr>
      <w:tr w14:paraId="725C748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CD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D9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更换发动机控制单元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AA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59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0B1E4E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C2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279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更换燃油泵继电器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A5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40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47098D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DA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E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更换活性碳罐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03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5AA2">
            <w:pPr>
              <w:jc w:val="center"/>
              <w:rPr>
                <w:rFonts w:ascii="宋体" w:hAnsi="宋体" w:cs="宋体"/>
                <w:color w:val="000000"/>
                <w:sz w:val="20"/>
                <w:szCs w:val="20"/>
              </w:rPr>
            </w:pPr>
          </w:p>
        </w:tc>
      </w:tr>
      <w:tr w14:paraId="67FB7A8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A4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7C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更换活性碳罐控制电磁阀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AC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91E3">
            <w:pPr>
              <w:jc w:val="center"/>
              <w:rPr>
                <w:rFonts w:ascii="宋体" w:hAnsi="宋体" w:cs="宋体"/>
                <w:color w:val="000000"/>
                <w:sz w:val="20"/>
                <w:szCs w:val="20"/>
              </w:rPr>
            </w:pPr>
          </w:p>
        </w:tc>
      </w:tr>
      <w:tr w14:paraId="526C6871">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97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（五）变速箱</w:t>
            </w:r>
          </w:p>
        </w:tc>
      </w:tr>
      <w:tr w14:paraId="5FA66D3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EF1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B74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AD2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506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44DB259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57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6C4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拆装或更换变速箱总成</w:t>
            </w:r>
            <w:r>
              <w:rPr>
                <w:rStyle w:val="115"/>
                <w:rFonts w:hint="default"/>
              </w:rPr>
              <w:t>(手动)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4B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DD4D">
            <w:pPr>
              <w:jc w:val="center"/>
              <w:rPr>
                <w:rFonts w:ascii="宋体" w:hAnsi="宋体" w:cs="宋体"/>
                <w:color w:val="000000"/>
                <w:sz w:val="20"/>
                <w:szCs w:val="20"/>
              </w:rPr>
            </w:pPr>
          </w:p>
        </w:tc>
      </w:tr>
      <w:tr w14:paraId="690BEA8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17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CD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拆装或更换变速箱总成</w:t>
            </w:r>
            <w:r>
              <w:rPr>
                <w:rStyle w:val="115"/>
                <w:rFonts w:hint="default"/>
              </w:rPr>
              <w:t>(自动)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B6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73E4">
            <w:pPr>
              <w:jc w:val="center"/>
              <w:rPr>
                <w:rFonts w:ascii="宋体" w:hAnsi="宋体" w:cs="宋体"/>
                <w:color w:val="000000"/>
                <w:sz w:val="20"/>
                <w:szCs w:val="20"/>
              </w:rPr>
            </w:pPr>
          </w:p>
        </w:tc>
      </w:tr>
      <w:tr w14:paraId="4AA5DE6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98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CF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更换变速箱油</w:t>
            </w:r>
            <w:r>
              <w:rPr>
                <w:rStyle w:val="115"/>
                <w:rFonts w:hint="default"/>
              </w:rPr>
              <w:t>(手动)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D1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2DCA">
            <w:pPr>
              <w:jc w:val="center"/>
              <w:rPr>
                <w:rFonts w:ascii="宋体" w:hAnsi="宋体" w:cs="宋体"/>
                <w:color w:val="000000"/>
                <w:sz w:val="20"/>
                <w:szCs w:val="20"/>
              </w:rPr>
            </w:pPr>
          </w:p>
        </w:tc>
      </w:tr>
      <w:tr w14:paraId="2E9368F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B0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57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更换自动变速箱油及滤网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29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DFF0">
            <w:pPr>
              <w:jc w:val="center"/>
              <w:rPr>
                <w:rFonts w:ascii="宋体" w:hAnsi="宋体" w:cs="宋体"/>
                <w:color w:val="000000"/>
                <w:sz w:val="20"/>
                <w:szCs w:val="20"/>
              </w:rPr>
            </w:pPr>
          </w:p>
        </w:tc>
      </w:tr>
      <w:tr w14:paraId="11265D22">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926C">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（六）转向系统</w:t>
            </w:r>
          </w:p>
        </w:tc>
      </w:tr>
      <w:tr w14:paraId="314A833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A2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FC5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921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C33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6BFAF26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B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3A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更换横拉杆外球头</w:t>
            </w:r>
            <w:r>
              <w:rPr>
                <w:rStyle w:val="115"/>
                <w:rFonts w:hint="default"/>
              </w:rPr>
              <w:t>(单侧)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46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E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不含四轮定位检测</w:t>
            </w:r>
          </w:p>
        </w:tc>
      </w:tr>
      <w:tr w14:paraId="5E9B75A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BE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6CE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更换横拉杆内球头</w:t>
            </w:r>
            <w:r>
              <w:rPr>
                <w:rStyle w:val="115"/>
                <w:rFonts w:hint="default"/>
              </w:rPr>
              <w:t>(单侧)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5E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A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不含四轮定位检测</w:t>
            </w:r>
          </w:p>
        </w:tc>
      </w:tr>
      <w:tr w14:paraId="25629D2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85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9C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更换直拉杆球头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87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ED42">
            <w:pPr>
              <w:jc w:val="center"/>
              <w:rPr>
                <w:rFonts w:ascii="宋体" w:hAnsi="宋体" w:cs="宋体"/>
                <w:color w:val="000000"/>
                <w:sz w:val="20"/>
                <w:szCs w:val="20"/>
              </w:rPr>
            </w:pPr>
          </w:p>
        </w:tc>
      </w:tr>
      <w:tr w14:paraId="43F0DCC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42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BA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更换横拉杆</w:t>
            </w:r>
            <w:r>
              <w:rPr>
                <w:rStyle w:val="115"/>
                <w:rFonts w:hint="default"/>
              </w:rPr>
              <w:t>(单侧)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11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52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不含四轮定位检测</w:t>
            </w:r>
          </w:p>
        </w:tc>
      </w:tr>
      <w:tr w14:paraId="6DDD15E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0B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B0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更换直拉杆</w:t>
            </w:r>
            <w:r>
              <w:rPr>
                <w:rStyle w:val="115"/>
                <w:rFonts w:hint="default"/>
              </w:rPr>
              <w:t>(单侧)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1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D31">
            <w:pPr>
              <w:jc w:val="center"/>
              <w:rPr>
                <w:rFonts w:ascii="宋体" w:hAnsi="宋体" w:cs="宋体"/>
                <w:color w:val="000000"/>
                <w:sz w:val="20"/>
                <w:szCs w:val="20"/>
              </w:rPr>
            </w:pPr>
          </w:p>
        </w:tc>
      </w:tr>
      <w:tr w14:paraId="3233F40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A8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4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更换或拆装转向助力泵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6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7FB2">
            <w:pPr>
              <w:jc w:val="center"/>
              <w:rPr>
                <w:rFonts w:ascii="宋体" w:hAnsi="宋体" w:cs="宋体"/>
                <w:color w:val="000000"/>
                <w:sz w:val="20"/>
                <w:szCs w:val="20"/>
              </w:rPr>
            </w:pPr>
          </w:p>
        </w:tc>
      </w:tr>
      <w:tr w14:paraId="7F4B597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42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6D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更换转向助力油壶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8D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B4DC">
            <w:pPr>
              <w:jc w:val="center"/>
              <w:rPr>
                <w:rFonts w:ascii="宋体" w:hAnsi="宋体" w:cs="宋体"/>
                <w:color w:val="000000"/>
                <w:sz w:val="20"/>
                <w:szCs w:val="20"/>
              </w:rPr>
            </w:pPr>
          </w:p>
        </w:tc>
      </w:tr>
      <w:tr w14:paraId="38CA3963">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660">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（七）悬挂系统</w:t>
            </w:r>
          </w:p>
        </w:tc>
      </w:tr>
      <w:tr w14:paraId="5ED6428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28E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0DD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43F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9A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53F0D4D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98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AD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更换前轮轴承、油封（单侧）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A0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DCF6">
            <w:pPr>
              <w:jc w:val="center"/>
              <w:rPr>
                <w:rFonts w:ascii="宋体" w:hAnsi="宋体" w:cs="宋体"/>
                <w:color w:val="000000"/>
                <w:sz w:val="20"/>
                <w:szCs w:val="20"/>
              </w:rPr>
            </w:pPr>
          </w:p>
        </w:tc>
      </w:tr>
      <w:tr w14:paraId="0C49F1A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6C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8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更换后轮内外轴承、油封（单侧）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4C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610">
            <w:pPr>
              <w:jc w:val="center"/>
              <w:rPr>
                <w:rFonts w:ascii="宋体" w:hAnsi="宋体" w:cs="宋体"/>
                <w:color w:val="000000"/>
                <w:sz w:val="20"/>
                <w:szCs w:val="20"/>
              </w:rPr>
            </w:pPr>
          </w:p>
        </w:tc>
      </w:tr>
      <w:tr w14:paraId="2B271DE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F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BD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更换前避震器总成（单侧）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E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CEA8">
            <w:pPr>
              <w:jc w:val="center"/>
              <w:rPr>
                <w:rFonts w:ascii="宋体" w:hAnsi="宋体" w:cs="宋体"/>
                <w:color w:val="000000"/>
                <w:sz w:val="20"/>
                <w:szCs w:val="20"/>
              </w:rPr>
            </w:pPr>
          </w:p>
        </w:tc>
      </w:tr>
      <w:tr w14:paraId="0B9BAC7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B3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C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更换后避震器总成（单侧）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B8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9206">
            <w:pPr>
              <w:jc w:val="center"/>
              <w:rPr>
                <w:rFonts w:ascii="宋体" w:hAnsi="宋体" w:cs="宋体"/>
                <w:color w:val="000000"/>
                <w:sz w:val="20"/>
                <w:szCs w:val="20"/>
              </w:rPr>
            </w:pPr>
          </w:p>
        </w:tc>
      </w:tr>
      <w:tr w14:paraId="530EE5D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40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7D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更换前避震器缓冲块（单侧）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D4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80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含避震器的拆装工时</w:t>
            </w:r>
          </w:p>
        </w:tc>
      </w:tr>
      <w:tr w14:paraId="791A70F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72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E3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更换后避震器缓冲块（单侧）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35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E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含避震器的拆装工时</w:t>
            </w:r>
          </w:p>
        </w:tc>
      </w:tr>
      <w:tr w14:paraId="4856290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FA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9D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更换或拆装转向节（单侧）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4A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C02">
            <w:pPr>
              <w:jc w:val="center"/>
              <w:rPr>
                <w:rFonts w:ascii="宋体" w:hAnsi="宋体" w:cs="宋体"/>
                <w:color w:val="000000"/>
                <w:sz w:val="20"/>
                <w:szCs w:val="20"/>
              </w:rPr>
            </w:pPr>
          </w:p>
        </w:tc>
      </w:tr>
      <w:tr w14:paraId="79FE377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86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2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更换或拆装前（后）平衡杆（根）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9B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3B23">
            <w:pPr>
              <w:jc w:val="center"/>
              <w:rPr>
                <w:rFonts w:ascii="宋体" w:hAnsi="宋体" w:cs="宋体"/>
                <w:color w:val="000000"/>
                <w:sz w:val="20"/>
                <w:szCs w:val="20"/>
              </w:rPr>
            </w:pPr>
          </w:p>
        </w:tc>
      </w:tr>
      <w:tr w14:paraId="460B190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04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E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更换前（后）平衡杆胶套（只）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4F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645A">
            <w:pPr>
              <w:jc w:val="center"/>
              <w:rPr>
                <w:rFonts w:ascii="宋体" w:hAnsi="宋体" w:cs="宋体"/>
                <w:color w:val="000000"/>
                <w:sz w:val="20"/>
                <w:szCs w:val="20"/>
              </w:rPr>
            </w:pPr>
          </w:p>
        </w:tc>
      </w:tr>
      <w:tr w14:paraId="4180FF6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83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66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更换或拆装前斜拉杆（单侧）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17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AC8B">
            <w:pPr>
              <w:jc w:val="center"/>
              <w:rPr>
                <w:rFonts w:ascii="宋体" w:hAnsi="宋体" w:cs="宋体"/>
                <w:color w:val="000000"/>
                <w:sz w:val="20"/>
                <w:szCs w:val="20"/>
              </w:rPr>
            </w:pPr>
          </w:p>
        </w:tc>
      </w:tr>
      <w:tr w14:paraId="05B792D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96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4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更换或拆装前斜拉杆胶套（单侧）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B7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7758">
            <w:pPr>
              <w:jc w:val="center"/>
              <w:rPr>
                <w:rFonts w:ascii="宋体" w:hAnsi="宋体" w:cs="宋体"/>
                <w:color w:val="000000"/>
                <w:sz w:val="20"/>
                <w:szCs w:val="20"/>
              </w:rPr>
            </w:pPr>
          </w:p>
        </w:tc>
      </w:tr>
      <w:tr w14:paraId="5B92163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B5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8E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四轮定位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91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77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四轮驱动工时另加</w:t>
            </w:r>
            <w:r>
              <w:rPr>
                <w:rStyle w:val="115"/>
                <w:rFonts w:hint="default"/>
              </w:rPr>
              <w:t>50%</w:t>
            </w:r>
          </w:p>
        </w:tc>
      </w:tr>
      <w:tr w14:paraId="2CE19C4F">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81C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（八）驱动桥</w:t>
            </w:r>
          </w:p>
        </w:tc>
      </w:tr>
      <w:tr w14:paraId="7281C21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BA2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9B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B41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4FD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2C596D6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2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7E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更换或拆装后桥（前驱）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0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049F">
            <w:pPr>
              <w:jc w:val="center"/>
              <w:rPr>
                <w:rFonts w:ascii="宋体" w:hAnsi="宋体" w:cs="宋体"/>
                <w:color w:val="000000"/>
                <w:sz w:val="20"/>
                <w:szCs w:val="20"/>
              </w:rPr>
            </w:pPr>
          </w:p>
        </w:tc>
      </w:tr>
      <w:tr w14:paraId="11082E6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1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E2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更换或拆装后桥（后驱）</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54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含相关附件拆装</w:t>
            </w:r>
          </w:p>
        </w:tc>
      </w:tr>
      <w:tr w14:paraId="35465AD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6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20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更换后桥衬套（单侧）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3F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5D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若需拆装后桥，则拆装后桥的工时另算</w:t>
            </w:r>
          </w:p>
        </w:tc>
      </w:tr>
      <w:tr w14:paraId="0D0B605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B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F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更换或拆装半轴总成（单侧）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59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A4C8">
            <w:pPr>
              <w:jc w:val="center"/>
              <w:rPr>
                <w:rFonts w:ascii="宋体" w:hAnsi="宋体" w:cs="宋体"/>
                <w:color w:val="000000"/>
                <w:sz w:val="20"/>
                <w:szCs w:val="20"/>
              </w:rPr>
            </w:pPr>
          </w:p>
        </w:tc>
      </w:tr>
      <w:tr w14:paraId="265189E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15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70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更换半轴内球笼（只）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80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AD4A">
            <w:pPr>
              <w:jc w:val="center"/>
              <w:rPr>
                <w:rFonts w:ascii="宋体" w:hAnsi="宋体" w:cs="宋体"/>
                <w:color w:val="000000"/>
                <w:sz w:val="20"/>
                <w:szCs w:val="20"/>
              </w:rPr>
            </w:pPr>
          </w:p>
        </w:tc>
      </w:tr>
      <w:tr w14:paraId="563F72F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D4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98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更换半轴外球笼（只）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53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CA12">
            <w:pPr>
              <w:jc w:val="center"/>
              <w:rPr>
                <w:rFonts w:ascii="宋体" w:hAnsi="宋体" w:cs="宋体"/>
                <w:color w:val="000000"/>
                <w:sz w:val="20"/>
                <w:szCs w:val="20"/>
              </w:rPr>
            </w:pPr>
          </w:p>
        </w:tc>
      </w:tr>
      <w:tr w14:paraId="4DCFCAB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97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84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更换半轴球笼防衬套（只）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3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17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含半轴拆装工时</w:t>
            </w:r>
          </w:p>
        </w:tc>
      </w:tr>
      <w:tr w14:paraId="0F6AC42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C6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BF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更换半轴球笼防衬套夹箍（只）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8D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C61D">
            <w:pPr>
              <w:jc w:val="center"/>
              <w:rPr>
                <w:rFonts w:ascii="宋体" w:hAnsi="宋体" w:cs="宋体"/>
                <w:color w:val="000000"/>
                <w:sz w:val="20"/>
                <w:szCs w:val="20"/>
              </w:rPr>
            </w:pPr>
          </w:p>
        </w:tc>
      </w:tr>
      <w:tr w14:paraId="7A698FA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E6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7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更换半轴油封（只）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A8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D703">
            <w:pPr>
              <w:jc w:val="center"/>
              <w:rPr>
                <w:rFonts w:ascii="宋体" w:hAnsi="宋体" w:cs="宋体"/>
                <w:color w:val="000000"/>
                <w:sz w:val="20"/>
                <w:szCs w:val="20"/>
              </w:rPr>
            </w:pPr>
          </w:p>
        </w:tc>
      </w:tr>
      <w:tr w14:paraId="5C556D6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6A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A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更换或拆装传动轴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5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445">
            <w:pPr>
              <w:jc w:val="center"/>
              <w:rPr>
                <w:rFonts w:ascii="宋体" w:hAnsi="宋体" w:cs="宋体"/>
                <w:color w:val="000000"/>
                <w:sz w:val="20"/>
                <w:szCs w:val="20"/>
              </w:rPr>
            </w:pPr>
          </w:p>
        </w:tc>
      </w:tr>
      <w:tr w14:paraId="38BFECE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A8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EF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更换传动轴缓冲橡皮块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D3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FE78">
            <w:pPr>
              <w:jc w:val="center"/>
              <w:rPr>
                <w:rFonts w:ascii="宋体" w:hAnsi="宋体" w:cs="宋体"/>
                <w:color w:val="000000"/>
                <w:sz w:val="20"/>
                <w:szCs w:val="20"/>
              </w:rPr>
            </w:pPr>
          </w:p>
        </w:tc>
      </w:tr>
      <w:tr w14:paraId="38DE916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2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9B6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更换或拆装差速器总成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0D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DE13">
            <w:pPr>
              <w:jc w:val="center"/>
              <w:rPr>
                <w:rFonts w:ascii="宋体" w:hAnsi="宋体" w:cs="宋体"/>
                <w:color w:val="000000"/>
                <w:sz w:val="20"/>
                <w:szCs w:val="20"/>
              </w:rPr>
            </w:pPr>
          </w:p>
        </w:tc>
      </w:tr>
      <w:tr w14:paraId="3BE557E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7D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94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更换差速器齿轮油</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7B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165">
            <w:pPr>
              <w:jc w:val="center"/>
              <w:rPr>
                <w:rFonts w:ascii="宋体" w:hAnsi="宋体" w:cs="宋体"/>
                <w:color w:val="000000"/>
                <w:sz w:val="20"/>
                <w:szCs w:val="20"/>
              </w:rPr>
            </w:pPr>
          </w:p>
        </w:tc>
      </w:tr>
      <w:tr w14:paraId="0188699D">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60EA">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（九）制动系统</w:t>
            </w:r>
          </w:p>
        </w:tc>
      </w:tr>
      <w:tr w14:paraId="0902475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B5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58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705B">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ECD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3930B90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F9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59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拆装或更换前轮制动片（盘式）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1A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D26F">
            <w:pPr>
              <w:jc w:val="center"/>
              <w:rPr>
                <w:rFonts w:ascii="宋体" w:hAnsi="宋体" w:cs="宋体"/>
                <w:color w:val="000000"/>
                <w:sz w:val="20"/>
                <w:szCs w:val="20"/>
              </w:rPr>
            </w:pPr>
          </w:p>
        </w:tc>
      </w:tr>
      <w:tr w14:paraId="255BFE2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10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CE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拆装或更换后轮制动片（盘式）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17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337F">
            <w:pPr>
              <w:jc w:val="center"/>
              <w:rPr>
                <w:rFonts w:ascii="宋体" w:hAnsi="宋体" w:cs="宋体"/>
                <w:color w:val="000000"/>
                <w:sz w:val="20"/>
                <w:szCs w:val="20"/>
              </w:rPr>
            </w:pPr>
          </w:p>
        </w:tc>
      </w:tr>
      <w:tr w14:paraId="01CB4AB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29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87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更换制动盘（只）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6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6B44">
            <w:pPr>
              <w:jc w:val="center"/>
              <w:rPr>
                <w:rFonts w:ascii="宋体" w:hAnsi="宋体" w:cs="宋体"/>
                <w:color w:val="000000"/>
                <w:sz w:val="20"/>
                <w:szCs w:val="20"/>
              </w:rPr>
            </w:pPr>
          </w:p>
        </w:tc>
      </w:tr>
      <w:tr w14:paraId="26DC4CB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CB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2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更换制动鼓（只）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84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9B09">
            <w:pPr>
              <w:jc w:val="center"/>
              <w:rPr>
                <w:rFonts w:ascii="宋体" w:hAnsi="宋体" w:cs="宋体"/>
                <w:color w:val="000000"/>
                <w:sz w:val="20"/>
                <w:szCs w:val="20"/>
              </w:rPr>
            </w:pPr>
          </w:p>
        </w:tc>
      </w:tr>
      <w:tr w14:paraId="1A1F247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BD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5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更换制动总泵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8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FF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含制动系统放空气</w:t>
            </w:r>
          </w:p>
        </w:tc>
      </w:tr>
      <w:tr w14:paraId="29B476C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17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5FE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检修或更换制动分泵（盘式）</w:t>
            </w:r>
            <w:r>
              <w:rPr>
                <w:rStyle w:val="115"/>
                <w:rFonts w:hint="default"/>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A6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A6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含制动系统放空气</w:t>
            </w:r>
          </w:p>
        </w:tc>
      </w:tr>
      <w:tr w14:paraId="3FFF45B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8B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FA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更换制动液</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2E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D535">
            <w:pPr>
              <w:jc w:val="center"/>
              <w:rPr>
                <w:rFonts w:ascii="宋体" w:hAnsi="宋体" w:cs="宋体"/>
                <w:color w:val="000000"/>
                <w:sz w:val="20"/>
                <w:szCs w:val="20"/>
              </w:rPr>
            </w:pPr>
          </w:p>
        </w:tc>
      </w:tr>
      <w:tr w14:paraId="5A0A38A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0B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9B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更换制动踏板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8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61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46BAFC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8A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EC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w:t>
            </w:r>
            <w:r>
              <w:rPr>
                <w:rStyle w:val="115"/>
                <w:rFonts w:hint="default"/>
              </w:rPr>
              <w:t>ABS车速传感器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10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45C">
            <w:pPr>
              <w:jc w:val="center"/>
              <w:rPr>
                <w:rFonts w:ascii="宋体" w:hAnsi="宋体" w:cs="宋体"/>
                <w:color w:val="000000"/>
                <w:sz w:val="20"/>
                <w:szCs w:val="20"/>
              </w:rPr>
            </w:pPr>
          </w:p>
        </w:tc>
      </w:tr>
      <w:tr w14:paraId="7541C23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F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F7F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w:t>
            </w:r>
            <w:r>
              <w:rPr>
                <w:rStyle w:val="115"/>
                <w:rFonts w:hint="default"/>
              </w:rPr>
              <w:t>ABS车轮齿圈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F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A95C">
            <w:pPr>
              <w:jc w:val="center"/>
              <w:rPr>
                <w:rFonts w:ascii="宋体" w:hAnsi="宋体" w:cs="宋体"/>
                <w:color w:val="000000"/>
                <w:sz w:val="20"/>
                <w:szCs w:val="20"/>
              </w:rPr>
            </w:pPr>
          </w:p>
        </w:tc>
      </w:tr>
      <w:tr w14:paraId="47A854D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D3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C6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w:t>
            </w:r>
            <w:r>
              <w:rPr>
                <w:rStyle w:val="115"/>
                <w:rFonts w:hint="default"/>
              </w:rPr>
              <w:t>ABS油管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B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B8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含ABS系统放空气</w:t>
            </w:r>
          </w:p>
        </w:tc>
      </w:tr>
      <w:tr w14:paraId="5B368B8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C5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B6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w:t>
            </w:r>
            <w:r>
              <w:rPr>
                <w:rStyle w:val="115"/>
                <w:rFonts w:hint="default"/>
              </w:rPr>
              <w:t>ABS控制单元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BB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C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60C8895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B7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E7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w:t>
            </w:r>
            <w:r>
              <w:rPr>
                <w:rStyle w:val="115"/>
                <w:rFonts w:hint="default"/>
              </w:rPr>
              <w:t>ABS主机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9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76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含拆装附件的工时</w:t>
            </w:r>
          </w:p>
        </w:tc>
      </w:tr>
      <w:tr w14:paraId="2CB4CDB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42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C0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ABS</w:t>
            </w:r>
            <w:r>
              <w:rPr>
                <w:rStyle w:val="115"/>
                <w:rFonts w:hint="default"/>
              </w:rPr>
              <w:t>系统放空气</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C6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D0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非ABS系统放空气，工时按50％结算</w:t>
            </w:r>
          </w:p>
        </w:tc>
      </w:tr>
      <w:tr w14:paraId="2268FEAD">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DF23">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（十）电气</w:t>
            </w:r>
          </w:p>
        </w:tc>
      </w:tr>
      <w:tr w14:paraId="7478F85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776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096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C50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45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1737168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87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4F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更换大灯</w:t>
            </w:r>
            <w:r>
              <w:rPr>
                <w:rStyle w:val="116"/>
                <w:rFonts w:hint="eastAsia" w:ascii="宋体" w:hAnsi="宋体" w:cs="宋体"/>
              </w:rPr>
              <w:t>(</w:t>
            </w:r>
            <w:r>
              <w:rPr>
                <w:rStyle w:val="115"/>
                <w:rFonts w:hint="default"/>
              </w:rPr>
              <w:t>只</w:t>
            </w:r>
            <w:r>
              <w:rPr>
                <w:rStyle w:val="116"/>
                <w:rFonts w:hint="eastAsia" w:ascii="宋体" w:hAnsi="宋体" w:cs="宋体"/>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F7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FDB4">
            <w:pPr>
              <w:jc w:val="center"/>
              <w:rPr>
                <w:rFonts w:ascii="宋体" w:hAnsi="宋体" w:cs="宋体"/>
                <w:color w:val="000000"/>
                <w:sz w:val="20"/>
                <w:szCs w:val="20"/>
              </w:rPr>
            </w:pPr>
          </w:p>
        </w:tc>
      </w:tr>
      <w:tr w14:paraId="051F43C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40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1D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更换大灯框架</w:t>
            </w:r>
            <w:r>
              <w:rPr>
                <w:rStyle w:val="116"/>
                <w:rFonts w:hint="eastAsia" w:ascii="宋体" w:hAnsi="宋体" w:cs="宋体"/>
              </w:rPr>
              <w:t>(</w:t>
            </w:r>
            <w:r>
              <w:rPr>
                <w:rStyle w:val="115"/>
                <w:rFonts w:hint="default"/>
              </w:rPr>
              <w:t>只</w:t>
            </w:r>
            <w:r>
              <w:rPr>
                <w:rStyle w:val="116"/>
                <w:rFonts w:hint="eastAsia" w:ascii="宋体" w:hAnsi="宋体" w:cs="宋体"/>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DB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4131">
            <w:pPr>
              <w:jc w:val="center"/>
              <w:rPr>
                <w:rFonts w:ascii="宋体" w:hAnsi="宋体" w:cs="宋体"/>
                <w:color w:val="000000"/>
                <w:sz w:val="20"/>
                <w:szCs w:val="20"/>
              </w:rPr>
            </w:pPr>
          </w:p>
        </w:tc>
      </w:tr>
      <w:tr w14:paraId="4A91792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5B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更换前小灯</w:t>
            </w:r>
            <w:r>
              <w:rPr>
                <w:rStyle w:val="116"/>
                <w:rFonts w:hint="eastAsia" w:ascii="宋体" w:hAnsi="宋体" w:cs="宋体"/>
              </w:rPr>
              <w:t>(</w:t>
            </w:r>
            <w:r>
              <w:rPr>
                <w:rStyle w:val="115"/>
                <w:rFonts w:hint="default"/>
              </w:rPr>
              <w:t>只</w:t>
            </w:r>
            <w:r>
              <w:rPr>
                <w:rStyle w:val="116"/>
                <w:rFonts w:hint="eastAsia" w:ascii="宋体" w:hAnsi="宋体" w:cs="宋体"/>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9A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29B3">
            <w:pPr>
              <w:jc w:val="center"/>
              <w:rPr>
                <w:rFonts w:ascii="宋体" w:hAnsi="宋体" w:cs="宋体"/>
                <w:color w:val="000000"/>
                <w:sz w:val="20"/>
                <w:szCs w:val="20"/>
              </w:rPr>
            </w:pPr>
          </w:p>
        </w:tc>
      </w:tr>
      <w:tr w14:paraId="1298BF0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B2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8E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更换转向灯（只）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1C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9BB0">
            <w:pPr>
              <w:jc w:val="center"/>
              <w:rPr>
                <w:rFonts w:ascii="宋体" w:hAnsi="宋体" w:cs="宋体"/>
                <w:color w:val="000000"/>
                <w:sz w:val="20"/>
                <w:szCs w:val="20"/>
              </w:rPr>
            </w:pPr>
          </w:p>
        </w:tc>
      </w:tr>
      <w:tr w14:paraId="761E899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1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71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更换后尾灯（只）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C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F81E">
            <w:pPr>
              <w:jc w:val="center"/>
              <w:rPr>
                <w:rFonts w:ascii="宋体" w:hAnsi="宋体" w:cs="宋体"/>
                <w:color w:val="000000"/>
                <w:sz w:val="20"/>
                <w:szCs w:val="20"/>
              </w:rPr>
            </w:pPr>
          </w:p>
        </w:tc>
      </w:tr>
      <w:tr w14:paraId="4DFB6DE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3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0E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拆装或更换雾灯（只）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A679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F0E0">
            <w:pPr>
              <w:jc w:val="center"/>
              <w:rPr>
                <w:rFonts w:ascii="宋体" w:hAnsi="宋体" w:cs="宋体"/>
                <w:color w:val="000000"/>
                <w:sz w:val="20"/>
                <w:szCs w:val="20"/>
              </w:rPr>
            </w:pPr>
          </w:p>
        </w:tc>
      </w:tr>
      <w:tr w14:paraId="2BADC32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05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83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更换门灯（只）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0F1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8831">
            <w:pPr>
              <w:jc w:val="center"/>
              <w:rPr>
                <w:rFonts w:ascii="宋体" w:hAnsi="宋体" w:cs="宋体"/>
                <w:color w:val="000000"/>
                <w:sz w:val="20"/>
                <w:szCs w:val="20"/>
              </w:rPr>
            </w:pPr>
          </w:p>
        </w:tc>
      </w:tr>
      <w:tr w14:paraId="4CEF328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0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0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更换顶灯（只）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03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D2D3">
            <w:pPr>
              <w:jc w:val="center"/>
              <w:rPr>
                <w:rFonts w:ascii="宋体" w:hAnsi="宋体" w:cs="宋体"/>
                <w:color w:val="000000"/>
                <w:sz w:val="20"/>
                <w:szCs w:val="20"/>
              </w:rPr>
            </w:pPr>
          </w:p>
        </w:tc>
      </w:tr>
      <w:tr w14:paraId="4DA1154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D4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CF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更换门灯开关（只）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1D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91D3">
            <w:pPr>
              <w:jc w:val="center"/>
              <w:rPr>
                <w:rFonts w:ascii="宋体" w:hAnsi="宋体" w:cs="宋体"/>
                <w:color w:val="000000"/>
                <w:sz w:val="20"/>
                <w:szCs w:val="20"/>
              </w:rPr>
            </w:pPr>
          </w:p>
        </w:tc>
      </w:tr>
      <w:tr w14:paraId="601A9B3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08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A4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更换行李箱灯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FE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CC0A">
            <w:pPr>
              <w:jc w:val="center"/>
              <w:rPr>
                <w:rFonts w:ascii="宋体" w:hAnsi="宋体" w:cs="宋体"/>
                <w:color w:val="000000"/>
                <w:sz w:val="20"/>
                <w:szCs w:val="20"/>
              </w:rPr>
            </w:pPr>
          </w:p>
        </w:tc>
      </w:tr>
      <w:tr w14:paraId="22488A8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3F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22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更换车速传感器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40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0E3">
            <w:pPr>
              <w:jc w:val="center"/>
              <w:rPr>
                <w:rFonts w:ascii="宋体" w:hAnsi="宋体" w:cs="宋体"/>
                <w:color w:val="000000"/>
                <w:sz w:val="20"/>
                <w:szCs w:val="20"/>
              </w:rPr>
            </w:pPr>
          </w:p>
        </w:tc>
      </w:tr>
      <w:tr w14:paraId="24CA8C7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C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3E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更换车速表软轴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5D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9236">
            <w:pPr>
              <w:jc w:val="center"/>
              <w:rPr>
                <w:rFonts w:ascii="宋体" w:hAnsi="宋体" w:cs="宋体"/>
                <w:color w:val="000000"/>
                <w:sz w:val="20"/>
                <w:szCs w:val="20"/>
              </w:rPr>
            </w:pPr>
          </w:p>
        </w:tc>
      </w:tr>
      <w:tr w14:paraId="15CDFF5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E8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F8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检修或更换发动机转速表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F7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06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含拆装仪表板工时</w:t>
            </w:r>
          </w:p>
        </w:tc>
      </w:tr>
      <w:tr w14:paraId="0E3C49D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7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8E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拆装或更换仪表台总成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30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461">
            <w:pPr>
              <w:jc w:val="center"/>
              <w:rPr>
                <w:rFonts w:ascii="宋体" w:hAnsi="宋体" w:cs="宋体"/>
                <w:color w:val="000000"/>
                <w:sz w:val="20"/>
                <w:szCs w:val="20"/>
              </w:rPr>
            </w:pPr>
          </w:p>
        </w:tc>
      </w:tr>
      <w:tr w14:paraId="06441D6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4D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78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更换或拆装仪表盘</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A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8112">
            <w:pPr>
              <w:jc w:val="center"/>
              <w:rPr>
                <w:rFonts w:ascii="宋体" w:hAnsi="宋体" w:cs="宋体"/>
                <w:color w:val="000000"/>
                <w:sz w:val="20"/>
                <w:szCs w:val="20"/>
              </w:rPr>
            </w:pPr>
          </w:p>
        </w:tc>
      </w:tr>
      <w:tr w14:paraId="7360B1D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7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18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更换仪表盘照明灯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57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F2FF">
            <w:pPr>
              <w:jc w:val="center"/>
              <w:rPr>
                <w:rFonts w:ascii="宋体" w:hAnsi="宋体" w:cs="宋体"/>
                <w:color w:val="000000"/>
                <w:sz w:val="20"/>
                <w:szCs w:val="20"/>
              </w:rPr>
            </w:pPr>
          </w:p>
        </w:tc>
      </w:tr>
      <w:tr w14:paraId="00A3C5A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12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AC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更换雨刮器马达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CD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136E">
            <w:pPr>
              <w:jc w:val="center"/>
              <w:rPr>
                <w:rFonts w:ascii="宋体" w:hAnsi="宋体" w:cs="宋体"/>
                <w:color w:val="000000"/>
                <w:sz w:val="20"/>
                <w:szCs w:val="20"/>
              </w:rPr>
            </w:pPr>
          </w:p>
        </w:tc>
      </w:tr>
      <w:tr w14:paraId="2B38989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45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33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更换雨刮控制模块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BE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D85A">
            <w:pPr>
              <w:jc w:val="center"/>
              <w:rPr>
                <w:rFonts w:ascii="宋体" w:hAnsi="宋体" w:cs="宋体"/>
                <w:color w:val="000000"/>
                <w:sz w:val="20"/>
                <w:szCs w:val="20"/>
              </w:rPr>
            </w:pPr>
          </w:p>
        </w:tc>
      </w:tr>
      <w:tr w14:paraId="233582B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C6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63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更换雨刮杆（</w:t>
            </w:r>
            <w:r>
              <w:rPr>
                <w:rStyle w:val="116"/>
                <w:rFonts w:hint="eastAsia" w:ascii="宋体" w:hAnsi="宋体" w:cs="宋体"/>
              </w:rPr>
              <w:t>/</w:t>
            </w:r>
            <w:r>
              <w:rPr>
                <w:rStyle w:val="115"/>
                <w:rFonts w:hint="default"/>
              </w:rPr>
              <w:t>付）</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E8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47F">
            <w:pPr>
              <w:jc w:val="center"/>
              <w:rPr>
                <w:rFonts w:ascii="宋体" w:hAnsi="宋体" w:cs="宋体"/>
                <w:color w:val="000000"/>
                <w:sz w:val="20"/>
                <w:szCs w:val="20"/>
              </w:rPr>
            </w:pPr>
          </w:p>
        </w:tc>
      </w:tr>
      <w:tr w14:paraId="299344A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A4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13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更换雨刮杆总成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32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CEF3">
            <w:pPr>
              <w:jc w:val="center"/>
              <w:rPr>
                <w:rFonts w:ascii="宋体" w:hAnsi="宋体" w:cs="宋体"/>
                <w:color w:val="000000"/>
                <w:sz w:val="20"/>
                <w:szCs w:val="20"/>
              </w:rPr>
            </w:pPr>
          </w:p>
        </w:tc>
      </w:tr>
      <w:tr w14:paraId="5F31244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B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59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更换雨刮器连杆</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ED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23BB">
            <w:pPr>
              <w:jc w:val="center"/>
              <w:rPr>
                <w:rFonts w:ascii="宋体" w:hAnsi="宋体" w:cs="宋体"/>
                <w:color w:val="000000"/>
                <w:sz w:val="20"/>
                <w:szCs w:val="20"/>
              </w:rPr>
            </w:pPr>
          </w:p>
        </w:tc>
      </w:tr>
      <w:tr w14:paraId="6CFA967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2B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4C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更换雨刮器摇臂</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8F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0CAA">
            <w:pPr>
              <w:jc w:val="center"/>
              <w:rPr>
                <w:rFonts w:ascii="宋体" w:hAnsi="宋体" w:cs="宋体"/>
                <w:color w:val="000000"/>
                <w:sz w:val="20"/>
                <w:szCs w:val="20"/>
              </w:rPr>
            </w:pPr>
          </w:p>
        </w:tc>
      </w:tr>
      <w:tr w14:paraId="30C4BB8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B6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45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更换喷水泵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7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FD1">
            <w:pPr>
              <w:jc w:val="center"/>
              <w:rPr>
                <w:rFonts w:ascii="宋体" w:hAnsi="宋体" w:cs="宋体"/>
                <w:color w:val="000000"/>
                <w:sz w:val="20"/>
                <w:szCs w:val="20"/>
              </w:rPr>
            </w:pPr>
          </w:p>
        </w:tc>
      </w:tr>
      <w:tr w14:paraId="7CA9C4F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1E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43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拆装或更换喷水壶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3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C614">
            <w:pPr>
              <w:jc w:val="center"/>
              <w:rPr>
                <w:rFonts w:ascii="宋体" w:hAnsi="宋体" w:cs="宋体"/>
                <w:color w:val="000000"/>
                <w:sz w:val="20"/>
                <w:szCs w:val="20"/>
              </w:rPr>
            </w:pPr>
          </w:p>
        </w:tc>
      </w:tr>
      <w:tr w14:paraId="0D2A711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9D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70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更换喷水嘴</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33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B656">
            <w:pPr>
              <w:jc w:val="center"/>
              <w:rPr>
                <w:rFonts w:ascii="宋体" w:hAnsi="宋体" w:cs="宋体"/>
                <w:color w:val="000000"/>
                <w:sz w:val="20"/>
                <w:szCs w:val="20"/>
              </w:rPr>
            </w:pPr>
          </w:p>
        </w:tc>
      </w:tr>
      <w:tr w14:paraId="0C2D3CE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FD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79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更换中央门锁控制模块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78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7E52">
            <w:pPr>
              <w:jc w:val="center"/>
              <w:rPr>
                <w:rFonts w:ascii="宋体" w:hAnsi="宋体" w:cs="宋体"/>
                <w:color w:val="000000"/>
                <w:sz w:val="20"/>
                <w:szCs w:val="20"/>
              </w:rPr>
            </w:pPr>
          </w:p>
        </w:tc>
      </w:tr>
      <w:tr w14:paraId="495765D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5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00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更换中央门锁开关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8B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8F8">
            <w:pPr>
              <w:jc w:val="center"/>
              <w:rPr>
                <w:rFonts w:ascii="宋体" w:hAnsi="宋体" w:cs="宋体"/>
                <w:color w:val="000000"/>
                <w:sz w:val="20"/>
                <w:szCs w:val="20"/>
              </w:rPr>
            </w:pPr>
          </w:p>
        </w:tc>
      </w:tr>
      <w:tr w14:paraId="4BF0007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1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18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更换电动摇窗机马达（只）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84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E7DE">
            <w:pPr>
              <w:jc w:val="center"/>
              <w:rPr>
                <w:rFonts w:ascii="宋体" w:hAnsi="宋体" w:cs="宋体"/>
                <w:color w:val="000000"/>
                <w:sz w:val="20"/>
                <w:szCs w:val="20"/>
              </w:rPr>
            </w:pPr>
          </w:p>
        </w:tc>
      </w:tr>
      <w:tr w14:paraId="01303E5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D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6C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更换电动座椅马达（</w:t>
            </w:r>
            <w:r>
              <w:rPr>
                <w:rStyle w:val="116"/>
                <w:rFonts w:hint="eastAsia" w:ascii="宋体" w:hAnsi="宋体" w:cs="宋体"/>
              </w:rPr>
              <w:t>/</w:t>
            </w:r>
            <w:r>
              <w:rPr>
                <w:rStyle w:val="115"/>
                <w:rFonts w:hint="default"/>
              </w:rPr>
              <w:t>椅）</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25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C7DA">
            <w:pPr>
              <w:jc w:val="center"/>
              <w:rPr>
                <w:rFonts w:ascii="宋体" w:hAnsi="宋体" w:cs="宋体"/>
                <w:color w:val="000000"/>
                <w:sz w:val="20"/>
                <w:szCs w:val="20"/>
              </w:rPr>
            </w:pPr>
          </w:p>
        </w:tc>
      </w:tr>
      <w:tr w14:paraId="279F383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A4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C5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更换电动座椅开关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27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B76">
            <w:pPr>
              <w:jc w:val="center"/>
              <w:rPr>
                <w:rFonts w:ascii="宋体" w:hAnsi="宋体" w:cs="宋体"/>
                <w:color w:val="000000"/>
                <w:sz w:val="20"/>
                <w:szCs w:val="20"/>
              </w:rPr>
            </w:pPr>
          </w:p>
        </w:tc>
      </w:tr>
      <w:tr w14:paraId="600ACD5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C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A7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更换电动座椅控制模块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EC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1043">
            <w:pPr>
              <w:jc w:val="center"/>
              <w:rPr>
                <w:rFonts w:ascii="宋体" w:hAnsi="宋体" w:cs="宋体"/>
                <w:color w:val="000000"/>
                <w:sz w:val="20"/>
                <w:szCs w:val="20"/>
              </w:rPr>
            </w:pPr>
          </w:p>
        </w:tc>
      </w:tr>
      <w:tr w14:paraId="1A9E6A8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75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A1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更换电动天窗马达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9F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6067">
            <w:pPr>
              <w:jc w:val="center"/>
              <w:rPr>
                <w:rFonts w:ascii="宋体" w:hAnsi="宋体" w:cs="宋体"/>
                <w:color w:val="000000"/>
                <w:sz w:val="20"/>
                <w:szCs w:val="20"/>
              </w:rPr>
            </w:pPr>
          </w:p>
        </w:tc>
      </w:tr>
      <w:tr w14:paraId="708E090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D6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5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更换电动天窗开关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C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B29B">
            <w:pPr>
              <w:jc w:val="center"/>
              <w:rPr>
                <w:rFonts w:ascii="宋体" w:hAnsi="宋体" w:cs="宋体"/>
                <w:color w:val="000000"/>
                <w:sz w:val="20"/>
                <w:szCs w:val="20"/>
              </w:rPr>
            </w:pPr>
          </w:p>
        </w:tc>
      </w:tr>
      <w:tr w14:paraId="17E0895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14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A9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更换喇叭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5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678F">
            <w:pPr>
              <w:jc w:val="center"/>
              <w:rPr>
                <w:rFonts w:ascii="宋体" w:hAnsi="宋体" w:cs="宋体"/>
                <w:color w:val="000000"/>
                <w:sz w:val="20"/>
                <w:szCs w:val="20"/>
              </w:rPr>
            </w:pPr>
          </w:p>
        </w:tc>
      </w:tr>
      <w:tr w14:paraId="375ABD7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E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CC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更换点火开关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93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F0C">
            <w:pPr>
              <w:jc w:val="center"/>
              <w:rPr>
                <w:rFonts w:ascii="宋体" w:hAnsi="宋体" w:cs="宋体"/>
                <w:color w:val="000000"/>
                <w:sz w:val="20"/>
                <w:szCs w:val="20"/>
              </w:rPr>
            </w:pPr>
          </w:p>
        </w:tc>
      </w:tr>
      <w:tr w14:paraId="0E752B4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9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AE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更换倒车雷达探头（只）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7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507B051B">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B458">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（十一）空调</w:t>
            </w:r>
          </w:p>
        </w:tc>
      </w:tr>
      <w:tr w14:paraId="7AE0C7C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4AF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D80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909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C6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57A79CD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B1E">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350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抽真空加冷媒</w:t>
            </w:r>
            <w:r>
              <w:rPr>
                <w:rStyle w:val="116"/>
              </w:rPr>
              <w:t>(R134a)</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5B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ABD1">
            <w:pPr>
              <w:jc w:val="center"/>
              <w:rPr>
                <w:rFonts w:ascii="宋体" w:hAnsi="宋体" w:cs="宋体"/>
                <w:color w:val="000000"/>
                <w:sz w:val="20"/>
                <w:szCs w:val="20"/>
              </w:rPr>
            </w:pPr>
          </w:p>
        </w:tc>
      </w:tr>
      <w:tr w14:paraId="25E66E1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793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82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抽真空加冷媒</w:t>
            </w:r>
            <w:r>
              <w:rPr>
                <w:rStyle w:val="116"/>
              </w:rPr>
              <w:t>(F12)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7F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920">
            <w:pPr>
              <w:jc w:val="center"/>
              <w:rPr>
                <w:rFonts w:ascii="宋体" w:hAnsi="宋体" w:cs="宋体"/>
                <w:color w:val="000000"/>
                <w:sz w:val="20"/>
                <w:szCs w:val="20"/>
              </w:rPr>
            </w:pPr>
          </w:p>
        </w:tc>
      </w:tr>
      <w:tr w14:paraId="7FA869D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9EE">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94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空调补液</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15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5D79">
            <w:pPr>
              <w:jc w:val="center"/>
              <w:rPr>
                <w:rFonts w:ascii="宋体" w:hAnsi="宋体" w:cs="宋体"/>
                <w:color w:val="000000"/>
                <w:sz w:val="20"/>
                <w:szCs w:val="20"/>
              </w:rPr>
            </w:pPr>
          </w:p>
        </w:tc>
      </w:tr>
      <w:tr w14:paraId="16740139">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EED5">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9D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拆装或更换空调压缩机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28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7DF6">
            <w:pPr>
              <w:jc w:val="center"/>
              <w:rPr>
                <w:rFonts w:ascii="宋体" w:hAnsi="宋体" w:cs="宋体"/>
                <w:color w:val="000000"/>
                <w:sz w:val="20"/>
                <w:szCs w:val="20"/>
              </w:rPr>
            </w:pPr>
          </w:p>
        </w:tc>
      </w:tr>
      <w:tr w14:paraId="120A16A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361A">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A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更换空调压缩机离合器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C4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BFE">
            <w:pPr>
              <w:jc w:val="center"/>
              <w:rPr>
                <w:rFonts w:ascii="宋体" w:hAnsi="宋体" w:cs="宋体"/>
                <w:color w:val="000000"/>
                <w:sz w:val="20"/>
                <w:szCs w:val="20"/>
              </w:rPr>
            </w:pPr>
          </w:p>
        </w:tc>
      </w:tr>
      <w:tr w14:paraId="5431AAF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CBC6">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59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更换空调压缩机总成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C4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07D4">
            <w:pPr>
              <w:jc w:val="center"/>
              <w:rPr>
                <w:rFonts w:ascii="宋体" w:hAnsi="宋体" w:cs="宋体"/>
                <w:color w:val="000000"/>
                <w:sz w:val="20"/>
                <w:szCs w:val="20"/>
              </w:rPr>
            </w:pPr>
          </w:p>
        </w:tc>
      </w:tr>
      <w:tr w14:paraId="03B72E2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B86A">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F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更换空调压缩机支架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9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BF2A">
            <w:pPr>
              <w:jc w:val="center"/>
              <w:rPr>
                <w:rFonts w:ascii="宋体" w:hAnsi="宋体" w:cs="宋体"/>
                <w:color w:val="000000"/>
                <w:sz w:val="20"/>
                <w:szCs w:val="20"/>
              </w:rPr>
            </w:pPr>
          </w:p>
        </w:tc>
      </w:tr>
      <w:tr w14:paraId="30ACC33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0082">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FA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拆装空调压缩机及支架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4D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2ACF">
            <w:pPr>
              <w:jc w:val="center"/>
              <w:rPr>
                <w:rFonts w:ascii="宋体" w:hAnsi="宋体" w:cs="宋体"/>
                <w:color w:val="000000"/>
                <w:sz w:val="20"/>
                <w:szCs w:val="20"/>
              </w:rPr>
            </w:pPr>
          </w:p>
        </w:tc>
      </w:tr>
      <w:tr w14:paraId="2B5456D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9FFE">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7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更换鼓风机总成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9A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77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F9DC483">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5441">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2F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更换鼓风机马达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3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DA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20C966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0C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05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更换鼓风机叶轮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71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7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6665D12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FDB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B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更换空调控制面板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DB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5656">
            <w:pPr>
              <w:jc w:val="center"/>
              <w:rPr>
                <w:rFonts w:ascii="宋体" w:hAnsi="宋体" w:cs="宋体"/>
                <w:color w:val="000000"/>
                <w:sz w:val="20"/>
                <w:szCs w:val="20"/>
              </w:rPr>
            </w:pPr>
          </w:p>
        </w:tc>
      </w:tr>
      <w:tr w14:paraId="71D9A46B">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72A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0D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更换冷暖风门马达</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33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BB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B247A0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B6C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88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更换冷暖风门控制真空阀</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B7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3A54">
            <w:pPr>
              <w:jc w:val="center"/>
              <w:rPr>
                <w:rFonts w:ascii="宋体" w:hAnsi="宋体" w:cs="宋体"/>
                <w:color w:val="000000"/>
                <w:sz w:val="20"/>
                <w:szCs w:val="20"/>
              </w:rPr>
            </w:pPr>
          </w:p>
        </w:tc>
      </w:tr>
      <w:tr w14:paraId="5176ECC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32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70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E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74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44A3505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5B5">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C2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更换空调控制单元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57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9FF0">
            <w:pPr>
              <w:jc w:val="center"/>
              <w:rPr>
                <w:rFonts w:ascii="宋体" w:hAnsi="宋体" w:cs="宋体"/>
                <w:color w:val="000000"/>
                <w:sz w:val="20"/>
                <w:szCs w:val="20"/>
              </w:rPr>
            </w:pPr>
          </w:p>
        </w:tc>
      </w:tr>
      <w:tr w14:paraId="105AC14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FD8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01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更换空调低压开关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90AD2">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52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257F024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3E2A">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51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更换空调高压开关</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B6ED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3B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53AF4FB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3AF6">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11-19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DC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更换空调恒温器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0FC9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7D7E">
            <w:pPr>
              <w:jc w:val="center"/>
              <w:rPr>
                <w:rFonts w:ascii="宋体" w:hAnsi="宋体" w:cs="宋体"/>
                <w:color w:val="000000"/>
                <w:sz w:val="20"/>
                <w:szCs w:val="20"/>
              </w:rPr>
            </w:pPr>
          </w:p>
        </w:tc>
      </w:tr>
      <w:tr w14:paraId="71BACD1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AAE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11-20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3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更换空调（花粉）滤芯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76F73">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D649">
            <w:pPr>
              <w:jc w:val="center"/>
              <w:rPr>
                <w:rFonts w:ascii="宋体" w:hAnsi="宋体" w:cs="宋体"/>
                <w:color w:val="000000"/>
                <w:sz w:val="20"/>
                <w:szCs w:val="20"/>
              </w:rPr>
            </w:pPr>
          </w:p>
        </w:tc>
      </w:tr>
      <w:tr w14:paraId="67A824C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6F08">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11-21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5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空调风道清洗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A5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EBB2">
            <w:pPr>
              <w:jc w:val="center"/>
              <w:rPr>
                <w:rFonts w:ascii="宋体" w:hAnsi="宋体" w:cs="宋体"/>
                <w:color w:val="000000"/>
                <w:sz w:val="20"/>
                <w:szCs w:val="20"/>
              </w:rPr>
            </w:pPr>
          </w:p>
        </w:tc>
      </w:tr>
      <w:tr w14:paraId="15C9F91D">
        <w:tblPrEx>
          <w:tblCellMar>
            <w:top w:w="0" w:type="dxa"/>
            <w:left w:w="108" w:type="dxa"/>
            <w:bottom w:w="0" w:type="dxa"/>
            <w:right w:w="108" w:type="dxa"/>
          </w:tblCellMar>
        </w:tblPrEx>
        <w:trPr>
          <w:trHeight w:val="340"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47AA">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22"/>
                <w:szCs w:val="22"/>
              </w:rPr>
              <w:t>（十二）钣金</w:t>
            </w:r>
          </w:p>
        </w:tc>
      </w:tr>
      <w:tr w14:paraId="054C04F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DF9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8F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作业项目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76D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工时定额</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AC9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备注</w:t>
            </w:r>
          </w:p>
        </w:tc>
      </w:tr>
      <w:tr w14:paraId="79B5B80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707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02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更换发动机盖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42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E67">
            <w:pPr>
              <w:jc w:val="center"/>
              <w:rPr>
                <w:rFonts w:ascii="宋体" w:hAnsi="宋体" w:cs="宋体"/>
                <w:color w:val="000000"/>
                <w:sz w:val="20"/>
                <w:szCs w:val="20"/>
              </w:rPr>
            </w:pPr>
          </w:p>
        </w:tc>
      </w:tr>
      <w:tr w14:paraId="5931C252">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7F1B">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1B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更换水箱框架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A1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91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6822425D">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ED68">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89D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更换前纵梁</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F8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28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32D71F2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CEB3">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8D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更换中立柱（单侧）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86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B8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5BDC8EE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64C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A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更换车门面板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4B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05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62639A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DAF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FA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车门复位（单侧）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AA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B0D3">
            <w:pPr>
              <w:jc w:val="center"/>
              <w:rPr>
                <w:rFonts w:ascii="宋体" w:hAnsi="宋体" w:cs="宋体"/>
                <w:color w:val="000000"/>
                <w:sz w:val="20"/>
                <w:szCs w:val="20"/>
              </w:rPr>
            </w:pPr>
          </w:p>
        </w:tc>
      </w:tr>
      <w:tr w14:paraId="139486A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0697">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1A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更换车身边梁（单侧）</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9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DE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0BCA2C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6B5B">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CD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更换行李箱盖</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6C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64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若需拆装相关附件,则拆装附件的工时另算</w:t>
            </w:r>
          </w:p>
        </w:tc>
      </w:tr>
      <w:tr w14:paraId="70775DBA">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06F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39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更换后围板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9C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40BD">
            <w:pPr>
              <w:jc w:val="center"/>
              <w:rPr>
                <w:rFonts w:ascii="宋体" w:hAnsi="宋体" w:cs="宋体"/>
                <w:color w:val="000000"/>
                <w:sz w:val="20"/>
                <w:szCs w:val="20"/>
              </w:rPr>
            </w:pPr>
          </w:p>
        </w:tc>
      </w:tr>
      <w:tr w14:paraId="6CB7D89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33FB">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41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更换后纵梁</w:t>
            </w:r>
            <w:r>
              <w:rPr>
                <w:rStyle w:val="116"/>
              </w:rPr>
              <w:t>(</w:t>
            </w:r>
            <w:r>
              <w:rPr>
                <w:rStyle w:val="115"/>
                <w:rFonts w:hint="default"/>
              </w:rPr>
              <w:t>单侧</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1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BD42">
            <w:pPr>
              <w:jc w:val="center"/>
              <w:rPr>
                <w:rFonts w:ascii="宋体" w:hAnsi="宋体" w:cs="宋体"/>
                <w:color w:val="000000"/>
                <w:sz w:val="20"/>
                <w:szCs w:val="20"/>
              </w:rPr>
            </w:pPr>
          </w:p>
        </w:tc>
      </w:tr>
      <w:tr w14:paraId="183273E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BA4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C6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更换前风窗玻璃</w:t>
            </w:r>
            <w:r>
              <w:rPr>
                <w:rStyle w:val="116"/>
              </w:rPr>
              <w:t>(</w:t>
            </w:r>
            <w:r>
              <w:rPr>
                <w:rStyle w:val="115"/>
                <w:rFonts w:hint="default"/>
              </w:rPr>
              <w:t>嵌入型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09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4017">
            <w:pPr>
              <w:jc w:val="center"/>
              <w:rPr>
                <w:rFonts w:ascii="宋体" w:hAnsi="宋体" w:cs="宋体"/>
                <w:color w:val="000000"/>
                <w:sz w:val="20"/>
                <w:szCs w:val="20"/>
              </w:rPr>
            </w:pPr>
          </w:p>
        </w:tc>
      </w:tr>
      <w:tr w14:paraId="3F483C8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172">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9A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更换前风窗玻璃</w:t>
            </w:r>
            <w:r>
              <w:rPr>
                <w:rStyle w:val="116"/>
              </w:rPr>
              <w:t>(</w:t>
            </w:r>
            <w:r>
              <w:rPr>
                <w:rStyle w:val="115"/>
                <w:rFonts w:hint="default"/>
              </w:rPr>
              <w:t>粘接型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FA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65CE">
            <w:pPr>
              <w:jc w:val="center"/>
              <w:rPr>
                <w:rFonts w:ascii="宋体" w:hAnsi="宋体" w:cs="宋体"/>
                <w:color w:val="000000"/>
                <w:sz w:val="20"/>
                <w:szCs w:val="20"/>
              </w:rPr>
            </w:pPr>
          </w:p>
        </w:tc>
      </w:tr>
      <w:tr w14:paraId="421923D5">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BAF4">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C4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更换前风窗玻璃橡胶密封条</w:t>
            </w:r>
            <w:r>
              <w:rPr>
                <w:rStyle w:val="116"/>
              </w:rPr>
              <w:t>(</w:t>
            </w:r>
            <w:r>
              <w:rPr>
                <w:rStyle w:val="115"/>
                <w:rFonts w:hint="default"/>
              </w:rPr>
              <w:t>嵌入型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06BEA">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B124">
            <w:pPr>
              <w:jc w:val="center"/>
              <w:rPr>
                <w:rFonts w:ascii="宋体" w:hAnsi="宋体" w:cs="宋体"/>
                <w:color w:val="000000"/>
                <w:sz w:val="20"/>
                <w:szCs w:val="20"/>
              </w:rPr>
            </w:pPr>
          </w:p>
        </w:tc>
      </w:tr>
      <w:tr w14:paraId="3A07D1F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EF3">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10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更换前风窗玻璃橡胶密封条</w:t>
            </w:r>
            <w:r>
              <w:rPr>
                <w:rStyle w:val="116"/>
              </w:rPr>
              <w:t>(</w:t>
            </w:r>
            <w:r>
              <w:rPr>
                <w:rStyle w:val="115"/>
                <w:rFonts w:hint="default"/>
              </w:rPr>
              <w:t>粘接型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76F24">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22</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5999">
            <w:pPr>
              <w:jc w:val="center"/>
              <w:rPr>
                <w:rFonts w:ascii="宋体" w:hAnsi="宋体" w:cs="宋体"/>
                <w:color w:val="000000"/>
                <w:sz w:val="20"/>
                <w:szCs w:val="20"/>
              </w:rPr>
            </w:pPr>
          </w:p>
        </w:tc>
      </w:tr>
      <w:tr w14:paraId="6FA8B9F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4248">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8C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更换后风窗玻璃</w:t>
            </w:r>
            <w:r>
              <w:rPr>
                <w:rStyle w:val="116"/>
              </w:rPr>
              <w:t>(</w:t>
            </w:r>
            <w:r>
              <w:rPr>
                <w:rStyle w:val="115"/>
                <w:rFonts w:hint="default"/>
              </w:rPr>
              <w:t>嵌入型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AE063">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A7C9">
            <w:pPr>
              <w:jc w:val="center"/>
              <w:rPr>
                <w:rFonts w:ascii="宋体" w:hAnsi="宋体" w:cs="宋体"/>
                <w:color w:val="000000"/>
                <w:sz w:val="20"/>
                <w:szCs w:val="20"/>
              </w:rPr>
            </w:pPr>
          </w:p>
        </w:tc>
      </w:tr>
      <w:tr w14:paraId="1D5E9D6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FC5">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2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更换后风窗玻璃</w:t>
            </w:r>
            <w:r>
              <w:rPr>
                <w:rStyle w:val="116"/>
              </w:rPr>
              <w:t>(</w:t>
            </w:r>
            <w:r>
              <w:rPr>
                <w:rStyle w:val="115"/>
                <w:rFonts w:hint="default"/>
              </w:rPr>
              <w:t>粘接型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0A07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CFFD">
            <w:pPr>
              <w:jc w:val="center"/>
              <w:rPr>
                <w:rFonts w:ascii="宋体" w:hAnsi="宋体" w:cs="宋体"/>
                <w:color w:val="000000"/>
                <w:sz w:val="20"/>
                <w:szCs w:val="20"/>
              </w:rPr>
            </w:pPr>
          </w:p>
        </w:tc>
      </w:tr>
      <w:tr w14:paraId="7B7C6A1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3440">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12-17</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FB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更换后风窗玻璃橡胶密封条</w:t>
            </w:r>
            <w:r>
              <w:rPr>
                <w:rStyle w:val="116"/>
              </w:rPr>
              <w:t>(</w:t>
            </w:r>
            <w:r>
              <w:rPr>
                <w:rStyle w:val="115"/>
                <w:rFonts w:hint="default"/>
              </w:rPr>
              <w:t>嵌入型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5BFA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7</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EA6D">
            <w:pPr>
              <w:jc w:val="center"/>
              <w:rPr>
                <w:rFonts w:ascii="宋体" w:hAnsi="宋体" w:cs="宋体"/>
                <w:color w:val="000000"/>
                <w:sz w:val="20"/>
                <w:szCs w:val="20"/>
              </w:rPr>
            </w:pPr>
          </w:p>
        </w:tc>
      </w:tr>
      <w:tr w14:paraId="6200367E">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84CF">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12-18</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9B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更换后风窗玻璃橡胶密封条</w:t>
            </w:r>
            <w:r>
              <w:rPr>
                <w:rStyle w:val="116"/>
              </w:rPr>
              <w:t>(</w:t>
            </w:r>
            <w:r>
              <w:rPr>
                <w:rStyle w:val="115"/>
                <w:rFonts w:hint="default"/>
              </w:rPr>
              <w:t>粘接型</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CDA31">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18</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3F3B">
            <w:pPr>
              <w:jc w:val="center"/>
              <w:rPr>
                <w:rFonts w:ascii="宋体" w:hAnsi="宋体" w:cs="宋体"/>
                <w:color w:val="000000"/>
                <w:sz w:val="20"/>
                <w:szCs w:val="20"/>
              </w:rPr>
            </w:pPr>
          </w:p>
        </w:tc>
      </w:tr>
      <w:tr w14:paraId="0A186DE6">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AE8B">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12-19</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7AD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更换后三角窗玻璃</w:t>
            </w:r>
            <w:r>
              <w:rPr>
                <w:rStyle w:val="116"/>
              </w:rPr>
              <w:t>(</w:t>
            </w:r>
            <w:r>
              <w:rPr>
                <w:rStyle w:val="115"/>
                <w:rFonts w:hint="default"/>
              </w:rPr>
              <w:t>单侧</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7847C">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B660">
            <w:pPr>
              <w:jc w:val="center"/>
              <w:rPr>
                <w:rFonts w:ascii="宋体" w:hAnsi="宋体" w:cs="宋体"/>
                <w:color w:val="000000"/>
                <w:sz w:val="20"/>
                <w:szCs w:val="20"/>
              </w:rPr>
            </w:pPr>
          </w:p>
        </w:tc>
      </w:tr>
      <w:tr w14:paraId="5CCCF5E1">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9C92">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12-20</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4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更换后三角窗封条</w:t>
            </w:r>
            <w:r>
              <w:rPr>
                <w:rStyle w:val="116"/>
              </w:rPr>
              <w:t>(</w:t>
            </w:r>
            <w:r>
              <w:rPr>
                <w:rStyle w:val="115"/>
                <w:rFonts w:hint="default"/>
              </w:rPr>
              <w:t>单侧</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C28C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6</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9F0B">
            <w:pPr>
              <w:jc w:val="center"/>
              <w:rPr>
                <w:rFonts w:ascii="宋体" w:hAnsi="宋体" w:cs="宋体"/>
                <w:color w:val="000000"/>
                <w:sz w:val="20"/>
                <w:szCs w:val="20"/>
              </w:rPr>
            </w:pPr>
          </w:p>
        </w:tc>
      </w:tr>
      <w:tr w14:paraId="4DBE9724">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97F6">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12-21</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C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更换前车门玻璃</w:t>
            </w:r>
            <w:r>
              <w:rPr>
                <w:rStyle w:val="116"/>
              </w:rPr>
              <w:t>(</w:t>
            </w:r>
            <w:r>
              <w:rPr>
                <w:rStyle w:val="115"/>
                <w:rFonts w:hint="default"/>
              </w:rPr>
              <w:t>单侧</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20E4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70FE">
            <w:pPr>
              <w:jc w:val="center"/>
              <w:rPr>
                <w:rFonts w:ascii="宋体" w:hAnsi="宋体" w:cs="宋体"/>
                <w:color w:val="000000"/>
                <w:sz w:val="20"/>
                <w:szCs w:val="20"/>
              </w:rPr>
            </w:pPr>
          </w:p>
        </w:tc>
      </w:tr>
      <w:tr w14:paraId="2E4DDDA0">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06E5">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12-22</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41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更换车门三角窗玻璃</w:t>
            </w:r>
            <w:r>
              <w:rPr>
                <w:rStyle w:val="116"/>
              </w:rPr>
              <w:t>(</w:t>
            </w:r>
            <w:r>
              <w:rPr>
                <w:rStyle w:val="115"/>
                <w:rFonts w:hint="default"/>
              </w:rPr>
              <w:t>单侧</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A969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10</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6AA1">
            <w:pPr>
              <w:jc w:val="center"/>
              <w:rPr>
                <w:rFonts w:ascii="宋体" w:hAnsi="宋体" w:cs="宋体"/>
                <w:color w:val="000000"/>
                <w:sz w:val="20"/>
                <w:szCs w:val="20"/>
              </w:rPr>
            </w:pPr>
          </w:p>
        </w:tc>
      </w:tr>
      <w:tr w14:paraId="05E2EA98">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470D">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12-23</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3D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更换车门外把手饰条</w:t>
            </w:r>
            <w:r>
              <w:rPr>
                <w:rStyle w:val="116"/>
              </w:rPr>
              <w:t>(</w:t>
            </w:r>
            <w:r>
              <w:rPr>
                <w:rStyle w:val="115"/>
                <w:rFonts w:hint="default"/>
              </w:rPr>
              <w:t>只</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FBC8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5</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4ACF">
            <w:pPr>
              <w:jc w:val="center"/>
              <w:rPr>
                <w:rFonts w:ascii="宋体" w:hAnsi="宋体" w:cs="宋体"/>
                <w:color w:val="000000"/>
                <w:sz w:val="20"/>
                <w:szCs w:val="20"/>
              </w:rPr>
            </w:pPr>
          </w:p>
        </w:tc>
      </w:tr>
      <w:tr w14:paraId="6A6E03D7">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BBAD">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12-24</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D3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检修或更换门锁</w:t>
            </w:r>
            <w:r>
              <w:rPr>
                <w:rStyle w:val="116"/>
              </w:rPr>
              <w:t>(</w:t>
            </w:r>
            <w:r>
              <w:rPr>
                <w:rStyle w:val="115"/>
                <w:rFonts w:hint="default"/>
              </w:rPr>
              <w:t>把</w:t>
            </w:r>
            <w:r>
              <w:rPr>
                <w:rStyle w:val="116"/>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2473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4A6C">
            <w:pPr>
              <w:jc w:val="center"/>
              <w:rPr>
                <w:rFonts w:ascii="宋体" w:hAnsi="宋体" w:cs="宋体"/>
                <w:color w:val="000000"/>
                <w:sz w:val="20"/>
                <w:szCs w:val="20"/>
              </w:rPr>
            </w:pPr>
          </w:p>
        </w:tc>
      </w:tr>
      <w:tr w14:paraId="4ADDA53C">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C3CC">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12-25</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F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更换前保险杠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8C2B">
            <w:pPr>
              <w:jc w:val="center"/>
              <w:rPr>
                <w:rFonts w:ascii="宋体" w:hAnsi="宋体" w:cs="宋体"/>
                <w:color w:val="000000"/>
                <w:sz w:val="20"/>
                <w:szCs w:val="20"/>
              </w:rPr>
            </w:pPr>
          </w:p>
        </w:tc>
      </w:tr>
      <w:tr w14:paraId="36F4BAAF">
        <w:tblPrEx>
          <w:tblCellMar>
            <w:top w:w="0" w:type="dxa"/>
            <w:left w:w="108" w:type="dxa"/>
            <w:bottom w:w="0" w:type="dxa"/>
            <w:right w:w="108" w:type="dxa"/>
          </w:tblCellMar>
        </w:tblPrEx>
        <w:trPr>
          <w:trHeight w:val="34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8C82">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rPr>
              <w:t>12-26</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4A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更换后保险杠</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3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87BF">
            <w:pPr>
              <w:jc w:val="center"/>
              <w:rPr>
                <w:rFonts w:ascii="宋体" w:hAnsi="宋体" w:cs="宋体"/>
                <w:color w:val="000000"/>
                <w:sz w:val="20"/>
                <w:szCs w:val="20"/>
              </w:rPr>
            </w:pPr>
          </w:p>
        </w:tc>
      </w:tr>
      <w:tr w14:paraId="67DE8898">
        <w:tblPrEx>
          <w:tblCellMar>
            <w:top w:w="0" w:type="dxa"/>
            <w:left w:w="108" w:type="dxa"/>
            <w:bottom w:w="0" w:type="dxa"/>
            <w:right w:w="108" w:type="dxa"/>
          </w:tblCellMar>
        </w:tblPrEx>
        <w:trPr>
          <w:trHeight w:val="704" w:hRule="atLeast"/>
        </w:trPr>
        <w:tc>
          <w:tcPr>
            <w:tcW w:w="97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6FBC">
            <w:pPr>
              <w:jc w:val="left"/>
              <w:rPr>
                <w:rFonts w:ascii="宋体" w:hAnsi="宋体" w:cs="宋体"/>
                <w:color w:val="000000"/>
                <w:sz w:val="20"/>
                <w:szCs w:val="20"/>
              </w:rPr>
            </w:pPr>
            <w:r>
              <w:rPr>
                <w:rFonts w:hint="eastAsia" w:ascii="楷体_GB2312" w:hAnsi="楷体_GB2312" w:eastAsia="楷体_GB2312" w:cs="楷体_GB2312"/>
                <w:bCs/>
                <w:color w:val="000000"/>
                <w:sz w:val="24"/>
              </w:rPr>
              <w:t>注：不在本表范围内的维修项目，维修工时定额由双方参考本地市场工时标准协商确定。</w:t>
            </w:r>
          </w:p>
        </w:tc>
      </w:tr>
    </w:tbl>
    <w:p w14:paraId="607055B4">
      <w:pPr>
        <w:rPr>
          <w:rFonts w:ascii="宋体" w:hAnsi="宋体"/>
          <w:b/>
          <w:bCs/>
          <w:spacing w:val="1"/>
        </w:rPr>
      </w:pPr>
    </w:p>
    <w:p w14:paraId="3E2BE4BF">
      <w:pPr>
        <w:spacing w:line="600" w:lineRule="exact"/>
        <w:rPr>
          <w:rFonts w:asciiTheme="minorEastAsia" w:hAnsiTheme="minorEastAsia" w:cstheme="minorEastAsia"/>
          <w:sz w:val="24"/>
        </w:rPr>
      </w:pPr>
      <w:r>
        <w:rPr>
          <w:rFonts w:hint="eastAsia" w:asciiTheme="minorEastAsia" w:hAnsiTheme="minorEastAsia" w:cstheme="minorEastAsia"/>
          <w:sz w:val="24"/>
        </w:rPr>
        <w:t>（六）入围供应商数量确定</w:t>
      </w:r>
    </w:p>
    <w:p w14:paraId="43C5B904">
      <w:pPr>
        <w:pStyle w:val="90"/>
        <w:adjustRightInd/>
        <w:snapToGrid w:val="0"/>
        <w:ind w:firstLine="600" w:firstLineChars="250"/>
        <w:jc w:val="both"/>
        <w:rPr>
          <w:rFonts w:asciiTheme="minorEastAsia" w:hAnsiTheme="minorEastAsia" w:cstheme="minorEastAsia"/>
          <w:kern w:val="2"/>
          <w:szCs w:val="21"/>
        </w:rPr>
      </w:pPr>
      <w:r>
        <w:rPr>
          <w:rFonts w:hint="eastAsia" w:asciiTheme="minorEastAsia" w:hAnsiTheme="minorEastAsia" w:cstheme="minorEastAsia"/>
          <w:kern w:val="2"/>
          <w:szCs w:val="21"/>
        </w:rPr>
        <w:t>第一阶段入围供应商提交响应文件并符合资格审查与符合性审查要求的供应商应当不少于2家，淘汰比例为20%且至少淘汰一家供应商。淘汰时，</w:t>
      </w:r>
      <w:r>
        <w:rPr>
          <w:rFonts w:asciiTheme="minorEastAsia" w:hAnsiTheme="minorEastAsia" w:cstheme="minorEastAsia"/>
          <w:kern w:val="2"/>
          <w:szCs w:val="21"/>
        </w:rPr>
        <w:t>如出现得分相同或并列的，由评审小组采用随机抽取的方式确定淘汰供应商。</w:t>
      </w:r>
    </w:p>
    <w:p w14:paraId="23757005">
      <w:pPr>
        <w:spacing w:line="600" w:lineRule="exact"/>
        <w:rPr>
          <w:rFonts w:asciiTheme="minorEastAsia" w:hAnsiTheme="minorEastAsia" w:cstheme="minorEastAsia"/>
          <w:sz w:val="24"/>
        </w:rPr>
      </w:pPr>
      <w:r>
        <w:rPr>
          <w:rFonts w:hint="eastAsia" w:asciiTheme="minorEastAsia" w:hAnsiTheme="minorEastAsia" w:cstheme="minorEastAsia"/>
          <w:sz w:val="24"/>
        </w:rPr>
        <w:t>（七）标后监管</w:t>
      </w:r>
    </w:p>
    <w:p w14:paraId="50B77AB0">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为保障征集人权益，入围供应商有下列情形之一的，经查实后取消其入围资格：</w:t>
      </w:r>
    </w:p>
    <w:p w14:paraId="3BD095EA">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供应商实际的设施要求（接待室、生产厂房、停车场地、车辆维修保养工位），设备要求（举升机、喷烤漆房、大梁校正仪），人员要求，抢修救援要求（配备抢修服务车和救援平板拖车，市域范围内1小时内提供免费救援服务）等相关设施设备与征集文件要求及供应商响应文件要求不符的；</w:t>
      </w:r>
    </w:p>
    <w:p w14:paraId="62CFB8DB">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2.供应商未按照征集文件及响应文件要求提供应承担的维保服务的；</w:t>
      </w:r>
    </w:p>
    <w:p w14:paraId="57D31637">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3.供应商在车辆维修过程中所用维修材料不符合国家质量标准或提供虚假材料进货价计费的；</w:t>
      </w:r>
    </w:p>
    <w:p w14:paraId="531CB150">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4.供应商未按照响应文件中要求和承诺计费的；</w:t>
      </w:r>
    </w:p>
    <w:p w14:paraId="611E8171">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5.供应商在服务期内车辆被送修单位有效投诉达2次及以上的；</w:t>
      </w:r>
    </w:p>
    <w:p w14:paraId="3C27EAA7">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6.拒绝接受相关部门监督检查，不如实反映情况或提供虚假材料的；</w:t>
      </w:r>
    </w:p>
    <w:p w14:paraId="0BBF2A89">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7.服务期内受到行业主管部门累计2次通报批评的；</w:t>
      </w:r>
    </w:p>
    <w:p w14:paraId="1EFC1A3C">
      <w:pPr>
        <w:spacing w:line="6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8.违反法律、法规、行业及征集文件规定的其他情形的。</w:t>
      </w:r>
    </w:p>
    <w:p w14:paraId="607BB494">
      <w:pPr>
        <w:spacing w:line="600" w:lineRule="exact"/>
        <w:ind w:firstLine="480" w:firstLineChars="200"/>
        <w:rPr>
          <w:rFonts w:asciiTheme="minorEastAsia" w:hAnsiTheme="minorEastAsia" w:cstheme="minorEastAsia"/>
          <w:sz w:val="24"/>
        </w:rPr>
      </w:pPr>
    </w:p>
    <w:p w14:paraId="56FAEA96">
      <w:pPr>
        <w:spacing w:line="600" w:lineRule="exact"/>
        <w:rPr>
          <w:rFonts w:asciiTheme="minorEastAsia" w:hAnsiTheme="minorEastAsia" w:cstheme="minorEastAsia"/>
          <w:b/>
          <w:sz w:val="24"/>
        </w:rPr>
      </w:pPr>
      <w:r>
        <w:rPr>
          <w:rFonts w:asciiTheme="minorEastAsia" w:hAnsiTheme="minorEastAsia" w:cstheme="minorEastAsia"/>
          <w:sz w:val="24"/>
        </w:rPr>
        <w:t>（八）</w:t>
      </w:r>
      <w:r>
        <w:rPr>
          <w:rFonts w:hint="eastAsia" w:asciiTheme="minorEastAsia" w:hAnsiTheme="minorEastAsia" w:cstheme="minorEastAsia"/>
          <w:sz w:val="24"/>
        </w:rPr>
        <w:t>铜陵市市直公务用车定点维修保养企业管理暂行办法</w:t>
      </w:r>
    </w:p>
    <w:p w14:paraId="22C6C4BF">
      <w:pPr>
        <w:numPr>
          <w:ilvl w:val="0"/>
          <w:numId w:val="4"/>
        </w:numPr>
        <w:spacing w:line="520" w:lineRule="exact"/>
        <w:ind w:left="907" w:hanging="907"/>
        <w:jc w:val="center"/>
        <w:rPr>
          <w:rFonts w:asciiTheme="minorEastAsia" w:hAnsiTheme="minorEastAsia" w:cstheme="minorEastAsia"/>
          <w:sz w:val="24"/>
        </w:rPr>
      </w:pPr>
      <w:r>
        <w:rPr>
          <w:rFonts w:hint="eastAsia" w:asciiTheme="minorEastAsia" w:hAnsiTheme="minorEastAsia" w:cstheme="minorEastAsia"/>
          <w:sz w:val="24"/>
        </w:rPr>
        <w:t>总则</w:t>
      </w:r>
    </w:p>
    <w:p w14:paraId="516B0206">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第一条 为进一步规范市直公务用车定点维修保养企业（以下简称维保企业）维修行为，优质高效提供车辆维修保养服务，根据《铜陵市党政机关公务用车管理实施办法》等有关规定，结合我市实际，制定本办法。</w:t>
      </w:r>
    </w:p>
    <w:p w14:paraId="37295EC8">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第二条 本办法所称维保企业，是指通过政府框架协议项目招标确定，接入铜陵市公务用车管理信息平台，为我市党政机关和事业单位公务出行提供维修保养服务保障的企业。</w:t>
      </w:r>
    </w:p>
    <w:p w14:paraId="5C2ADDB6">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第三条 本办法所称公务用车维保行为包括车辆的一级、二级车辆维护和保养，大、中、小修理，维修救援、年审、24小时应急服务，以及《机动车维修管理规定》确定的汽车维修服务项目(保险维修、新购车辆免费维护保养除外)。</w:t>
      </w:r>
    </w:p>
    <w:p w14:paraId="7DD459BB">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第四条 市机关事务管理服务中心（以下简称市管中心）负责对维保企业的履约情况、维修程序、维修价格、服务质量及维保档案等进行管理和监督检查。</w:t>
      </w:r>
    </w:p>
    <w:p w14:paraId="2A9952FA">
      <w:pPr>
        <w:numPr>
          <w:ilvl w:val="0"/>
          <w:numId w:val="4"/>
        </w:numPr>
        <w:spacing w:line="520" w:lineRule="exact"/>
        <w:ind w:left="907" w:hanging="907"/>
        <w:jc w:val="center"/>
        <w:rPr>
          <w:rFonts w:asciiTheme="minorEastAsia" w:hAnsiTheme="minorEastAsia" w:cstheme="minorEastAsia"/>
          <w:sz w:val="24"/>
        </w:rPr>
      </w:pPr>
      <w:r>
        <w:rPr>
          <w:rFonts w:hint="eastAsia" w:asciiTheme="minorEastAsia" w:hAnsiTheme="minorEastAsia" w:cstheme="minorEastAsia"/>
          <w:sz w:val="24"/>
        </w:rPr>
        <w:t xml:space="preserve"> 维保企业的基本要求</w:t>
      </w:r>
    </w:p>
    <w:p w14:paraId="63972C3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第五条  维保企业应具有经交通行政主管部门备案的二类及以上的汽车维修企业资质，成立公务用车维修服务团队，明确服务团队负责人及组成人员，并按照公开招标响应文件的要求提供设施设备，有相应的安全生产、环保等工作措施和应急预案。</w:t>
      </w:r>
    </w:p>
    <w:p w14:paraId="1BACE6A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第六条  维保企业应在经营场所显著位置，公开相应服务规范。服务规范包括且不限于服务项目、收费标准、服务承诺、业务工作流程、业务受理程序、用户投诉受理程序及监督电话等内容。</w:t>
      </w:r>
    </w:p>
    <w:p w14:paraId="1BAD98A1">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第七条  维保企业应有健全的维修管理制度，相应管理制度应公开并上墙。制度包括且不限于质量管理制度、安全生产管理制度、车辆维修档案管理制度、人员培训制度、设备管理制度及配件管理制度。</w:t>
      </w:r>
    </w:p>
    <w:p w14:paraId="683A0373">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第八条  维保企业应建立健全车辆进出厂登记和质量检验制度，应详细填写车辆进出厂登记台账、车辆维修派工单、工时费清单、材料费清单和结算单。</w:t>
      </w:r>
    </w:p>
    <w:p w14:paraId="410E993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第九条  维保企业要严格执行国家的法律法规、依法经营、优质服务，落实安全生产主体责任和维修质量主体责任，符合环保要求。</w:t>
      </w:r>
    </w:p>
    <w:p w14:paraId="20790A3D">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第十条维修企业需接入铜陵市公务用车管理信息平台，录入相关信息，按要求在平台上进行规范化操作，接受市管中心的监管。</w:t>
      </w:r>
    </w:p>
    <w:p w14:paraId="6B1577BA">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第十一条维修企业提供的正品配件、同质配件和修复配件要分别标识，明码标价。应使用正品配件或同质配件维修机动车，不得使用修复配件或假冒伪劣配件维修机动车。</w:t>
      </w:r>
    </w:p>
    <w:p w14:paraId="457FF532">
      <w:pPr>
        <w:spacing w:line="520" w:lineRule="exact"/>
        <w:rPr>
          <w:rFonts w:asciiTheme="minorEastAsia" w:hAnsiTheme="minorEastAsia" w:cstheme="minorEastAsia"/>
          <w:sz w:val="24"/>
        </w:rPr>
      </w:pPr>
      <w:r>
        <w:rPr>
          <w:rFonts w:hint="eastAsia" w:asciiTheme="minorEastAsia" w:hAnsiTheme="minorEastAsia" w:cstheme="minorEastAsia"/>
          <w:sz w:val="24"/>
        </w:rPr>
        <w:t>第十二条维修企业要公布服务监督电话、通信地址或电子邮箱，指定专人受理投诉，明确投诉办结时限。维修企业接到投诉后，应当及时受理，于5日内处理完毕并告知投诉人处理结果。</w:t>
      </w:r>
    </w:p>
    <w:p w14:paraId="691693CA">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第十三条维修企业应加强对维修网点</w:t>
      </w:r>
      <w:r>
        <w:fldChar w:fldCharType="begin"/>
      </w:r>
      <w:r>
        <w:instrText xml:space="preserve"> HYPERLINK "https://baike.baidu.com/item/%E7%BB%8F%E8%90%A5%E8%A1%8C%E4%B8%BA/9567357?fromModule=lemma_inlink" \t "https://baike.baidu.com/item/%E6%9C%BA%E5%8A%A8%E8%BD%A6%E7%BB%B4%E4%BF%AE%E7%AE%A1%E7%90%86%E8%A7%84%E5%AE%9A/_blank" </w:instrText>
      </w:r>
      <w:r>
        <w:fldChar w:fldCharType="separate"/>
      </w:r>
      <w:r>
        <w:rPr>
          <w:rFonts w:hint="eastAsia" w:asciiTheme="minorEastAsia" w:hAnsiTheme="minorEastAsia" w:cstheme="minorEastAsia"/>
          <w:sz w:val="24"/>
        </w:rPr>
        <w:t>经营行为</w:t>
      </w:r>
      <w:r>
        <w:rPr>
          <w:rFonts w:hint="eastAsia" w:asciiTheme="minorEastAsia" w:hAnsiTheme="minorEastAsia" w:cstheme="minorEastAsia"/>
          <w:sz w:val="24"/>
        </w:rPr>
        <w:fldChar w:fldCharType="end"/>
      </w:r>
      <w:r>
        <w:rPr>
          <w:rFonts w:hint="eastAsia" w:asciiTheme="minorEastAsia" w:hAnsiTheme="minorEastAsia" w:cstheme="minorEastAsia"/>
          <w:sz w:val="24"/>
        </w:rPr>
        <w:t>的监管和约束，杜绝不规范的商业行为。</w:t>
      </w:r>
    </w:p>
    <w:p w14:paraId="6BEB08F7">
      <w:pPr>
        <w:spacing w:line="520" w:lineRule="exact"/>
        <w:jc w:val="center"/>
        <w:rPr>
          <w:rFonts w:asciiTheme="minorEastAsia" w:hAnsiTheme="minorEastAsia" w:cstheme="minorEastAsia"/>
          <w:sz w:val="24"/>
        </w:rPr>
      </w:pPr>
      <w:r>
        <w:rPr>
          <w:rFonts w:hint="eastAsia" w:asciiTheme="minorEastAsia" w:hAnsiTheme="minorEastAsia" w:cstheme="minorEastAsia"/>
          <w:sz w:val="24"/>
        </w:rPr>
        <w:t>第三章  日常管理</w:t>
      </w:r>
    </w:p>
    <w:p w14:paraId="13A1F250">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第十四条 维保企业承修公务用车，应严格按照国家标准管理委员会发布的汽车修理技术标准《机动车运行安全技术条件》（GB 7258-2017）、《汽车维护检测诊断技术规范》（GB/T18344-2016）、《公务用车维修保养管理规范》铜陵地方标准（DB 3407/T 012—2023）和机动车辆生产企业提供的车辆维修手册、使用说明书等相关技术资料为依据进行维修，确保维修质量。</w:t>
      </w:r>
    </w:p>
    <w:p w14:paraId="0B56845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第十五条 维保企业要严格执行招标文件规定、合同约定及相关承诺，积极响应送修单位的修前询价，确保所报维修价格不高于合同约定的优惠价格。</w:t>
      </w:r>
    </w:p>
    <w:p w14:paraId="7D1F4EEB">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第十六条 维保企业应严格按照铜陵市公务用车维修保养服务项目采购需求中供应商承诺的有关规定维修车辆，按照时限要求保存好在专用工位维修期间产生的相关视频监控影像资料，主动接受相关主管部门的监督检查。</w:t>
      </w:r>
    </w:p>
    <w:p w14:paraId="4386B2A4">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第十七条 维保企业在车辆维修过程中需新增维修项目或增加维修费用，须经送修单位同意后方可实施。</w:t>
      </w:r>
    </w:p>
    <w:p w14:paraId="46CA47A2">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第十八条 维保企业应在与送修单位约定的时间内完成车辆维修，如在约定时间内未能交付车辆，应通知送修单位并协商交付时间，若无故拖延，维保企业应承担延误责任。车辆维修完成后，维保企业应组织人员对车辆进行出厂检测，检测合格后检验人员和企业负责人须在《维保结算单》上签字盖章。</w:t>
      </w:r>
    </w:p>
    <w:p w14:paraId="79286C8A">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第十九条 对质保期内的零配件,维保企业应提供免费维修或更换服务，并在《维保结算单》内明确质保期或质保公里数。</w:t>
      </w:r>
    </w:p>
    <w:p w14:paraId="33AC6028">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第二十条 维保企业应妥善保留送修车辆维修更换下来的旧件，保存新配件来源凭证、产品出厂合格证和维修影像等资料，以备相关单位查验。</w:t>
      </w:r>
    </w:p>
    <w:p w14:paraId="41506804">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第二十一条 维保企业应建立健全公务用车维修档案，维修档案应包括《维保审批单》《维保结算单》、配件来源凭证产品、出厂合格证和维修影像等资料，做到“一车一档”。</w:t>
      </w:r>
    </w:p>
    <w:p w14:paraId="73CC63C5">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第二十二条维保企业不得使用假冒伪劣产品或以副厂件冒充原厂件。个别已停产车辆确需使用旧件维修的，须经送修单位同意，并在《维保结算单》予以注明。</w:t>
      </w:r>
    </w:p>
    <w:p w14:paraId="45DF6748">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第二十三条 维保企业应保证送修车辆在维修期间的安全，造成车辆被偷盗、车身和内部物品损毁等，须全额赔偿。未经送修单位同意，维保企业人员不得擅自驾驶公务用车，不得进行道路试驾或性能测试。</w:t>
      </w:r>
    </w:p>
    <w:p w14:paraId="0835D3DA">
      <w:pPr>
        <w:spacing w:line="520" w:lineRule="exact"/>
        <w:jc w:val="center"/>
        <w:rPr>
          <w:rFonts w:asciiTheme="minorEastAsia" w:hAnsiTheme="minorEastAsia" w:cstheme="minorEastAsia"/>
          <w:sz w:val="24"/>
        </w:rPr>
      </w:pPr>
      <w:r>
        <w:rPr>
          <w:rFonts w:hint="eastAsia" w:asciiTheme="minorEastAsia" w:hAnsiTheme="minorEastAsia" w:cstheme="minorEastAsia"/>
          <w:sz w:val="24"/>
        </w:rPr>
        <w:t>第四章  监督管理</w:t>
      </w:r>
    </w:p>
    <w:p w14:paraId="20E26ECF">
      <w:pPr>
        <w:pStyle w:val="42"/>
        <w:spacing w:line="520" w:lineRule="exact"/>
        <w:ind w:firstLine="0" w:firstLineChars="0"/>
        <w:rPr>
          <w:rFonts w:asciiTheme="minorEastAsia" w:hAnsiTheme="minorEastAsia" w:cstheme="minorEastAsia"/>
          <w:sz w:val="24"/>
          <w:szCs w:val="21"/>
        </w:rPr>
      </w:pPr>
    </w:p>
    <w:p w14:paraId="02903154">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第二十四条 市管中心通过比对平台数据、问卷公车维保单位、现场检查核实及查阅维修档案等方式，对维保企业的履约情况进行不定期检查，并对维修企业进行考核（考核办法与指标体系另行制定），检查情况和考核结果作为是否续签合同的重要依据。</w:t>
      </w:r>
    </w:p>
    <w:p w14:paraId="1DAF8B96">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第二十五条维保企业有下列行为之一，经查实情节严重的，市管中心有权终止合同:</w:t>
      </w:r>
    </w:p>
    <w:p w14:paraId="1C526C17">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(1)维保企业实际的设施要求、设备要求、人员数量要求、抢修救援要求等相关设施设备与征集文件要求不符的;</w:t>
      </w:r>
    </w:p>
    <w:p w14:paraId="54658264">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(2)维保企业未按照征集文件要求提供应承担的维保服务的；</w:t>
      </w:r>
    </w:p>
    <w:p w14:paraId="6E8E2D9D">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(3)维保企业在车辆维修过程中所用维修材料不符合国家质量标准或提供虚假材料进货价计费的;</w:t>
      </w:r>
    </w:p>
    <w:p w14:paraId="673C88BD">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(4)维保企业未按照响应文件中要求和承诺计费的;</w:t>
      </w:r>
    </w:p>
    <w:p w14:paraId="3F91543A">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(5)维保企业在服务期内经公车主管部门认定的有效投诉达2次及以上的;</w:t>
      </w:r>
    </w:p>
    <w:p w14:paraId="14D2572D">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(6)维保企业拒绝接受相关部门监督检查，不如实反映情况或提供虚假材料的;</w:t>
      </w:r>
    </w:p>
    <w:p w14:paraId="50FA38F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(7)维保企业在服务期内受到行业主管部门累计2次通报批评的;</w:t>
      </w:r>
    </w:p>
    <w:p w14:paraId="311F78F7">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(8)法律、法规禁止的其他行为。</w:t>
      </w:r>
    </w:p>
    <w:p w14:paraId="4900124E">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维保企业有下列行为之一的，取消服务保障资格：</w:t>
      </w:r>
    </w:p>
    <w:p w14:paraId="4679A2A5">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(1)维保企业以不正当手段招揽业务的;</w:t>
      </w:r>
    </w:p>
    <w:p w14:paraId="6B3D114C">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(2)维保企业虚开维修发票、报销费用的;</w:t>
      </w:r>
    </w:p>
    <w:p w14:paraId="74304469">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(3)维保企业因严重质量、服务问题被多次返修的;</w:t>
      </w:r>
    </w:p>
    <w:p w14:paraId="773F512F">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(4)维保企业拒绝接受公务用车主管部门和相关管理部门监督检查的。</w:t>
      </w:r>
    </w:p>
    <w:p w14:paraId="5726E38D">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第二十六条维保企业若因自身原因需单方面解除合同约定的，需提前1个月向市管中心书面函告。</w:t>
      </w:r>
    </w:p>
    <w:p w14:paraId="59DB4F41">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第二十七条本暂行办法由市管中心负责解释。</w:t>
      </w:r>
    </w:p>
    <w:p w14:paraId="1C2B9F9E">
      <w:pPr>
        <w:pStyle w:val="22"/>
        <w:snapToGrid w:val="0"/>
        <w:spacing w:before="120" w:after="120" w:line="0" w:lineRule="atLeast"/>
        <w:rPr>
          <w:rFonts w:ascii="黑体" w:eastAsia="黑体"/>
          <w:bCs/>
          <w:color w:val="000000" w:themeColor="text1"/>
          <w:sz w:val="44"/>
        </w:rPr>
      </w:pPr>
    </w:p>
    <w:p w14:paraId="103789F1">
      <w:pPr>
        <w:pStyle w:val="22"/>
        <w:snapToGrid w:val="0"/>
        <w:spacing w:before="120" w:after="120" w:line="0" w:lineRule="atLeast"/>
        <w:rPr>
          <w:rFonts w:hAnsi="宋体" w:eastAsia="楷体_GB2312"/>
          <w:color w:val="000000" w:themeColor="text1"/>
          <w:sz w:val="28"/>
          <w:szCs w:val="28"/>
        </w:rPr>
      </w:pPr>
      <w:r>
        <w:rPr>
          <w:rFonts w:hint="eastAsia" w:hAnsi="宋体" w:eastAsia="楷体_GB2312"/>
          <w:color w:val="000000" w:themeColor="text1"/>
          <w:sz w:val="28"/>
          <w:szCs w:val="28"/>
        </w:rPr>
        <w:t>第四章 拟签订的框架</w:t>
      </w:r>
      <w:r>
        <w:rPr>
          <w:rFonts w:hAnsi="宋体" w:eastAsia="楷体_GB2312"/>
          <w:color w:val="000000" w:themeColor="text1"/>
          <w:sz w:val="28"/>
          <w:szCs w:val="28"/>
        </w:rPr>
        <w:t>协议</w:t>
      </w:r>
      <w:r>
        <w:rPr>
          <w:rFonts w:hint="eastAsia" w:hAnsi="宋体" w:eastAsia="楷体_GB2312"/>
          <w:color w:val="000000" w:themeColor="text1"/>
          <w:sz w:val="28"/>
          <w:szCs w:val="28"/>
        </w:rPr>
        <w:t>文本</w:t>
      </w:r>
      <w:bookmarkStart w:id="44" w:name="_Toc120614281"/>
      <w:bookmarkStart w:id="45" w:name="_Toc49090575"/>
      <w:bookmarkStart w:id="46" w:name="_Toc26554093"/>
    </w:p>
    <w:p w14:paraId="3134F117">
      <w:pPr>
        <w:ind w:firstLine="3040" w:firstLineChars="950"/>
        <w:rPr>
          <w:rFonts w:ascii="仿宋" w:hAnsi="仿宋" w:eastAsia="仿宋"/>
          <w:color w:val="000000" w:themeColor="text1"/>
          <w:sz w:val="32"/>
          <w:szCs w:val="32"/>
        </w:rPr>
      </w:pPr>
      <w:bookmarkStart w:id="47" w:name="_Toc20823315"/>
      <w:bookmarkStart w:id="48" w:name="_Toc513029243"/>
      <w:bookmarkStart w:id="49" w:name="_Toc16938559"/>
      <w:r>
        <w:rPr>
          <w:rFonts w:hint="eastAsia" w:ascii="仿宋" w:hAnsi="仿宋" w:eastAsia="仿宋"/>
          <w:color w:val="000000" w:themeColor="text1"/>
          <w:sz w:val="32"/>
          <w:szCs w:val="32"/>
        </w:rPr>
        <w:t>政府采购框架协议</w:t>
      </w:r>
    </w:p>
    <w:p w14:paraId="5A6E0ED4">
      <w:pPr>
        <w:ind w:firstLine="560" w:firstLineChars="200"/>
        <w:rPr>
          <w:rFonts w:ascii="仿宋" w:hAnsi="仿宋" w:eastAsia="仿宋"/>
          <w:bCs/>
          <w:color w:val="000000" w:themeColor="text1"/>
          <w:sz w:val="28"/>
          <w:szCs w:val="28"/>
        </w:rPr>
      </w:pPr>
      <w:r>
        <w:rPr>
          <w:rFonts w:hint="eastAsia" w:ascii="仿宋" w:hAnsi="仿宋" w:eastAsia="仿宋"/>
          <w:bCs/>
          <w:color w:val="000000" w:themeColor="text1"/>
          <w:sz w:val="28"/>
          <w:szCs w:val="28"/>
        </w:rPr>
        <w:t>根据《中华人民共和国政府采购法》、《中华人民共和国民法典》、《政府采购框架协议采购方式管理暂行办法》、《政府购买服务管理办法》）等法律法规的规定，以及框架协议采购的公开征集结果，甲乙双方签订本框架协议。</w:t>
      </w:r>
    </w:p>
    <w:p w14:paraId="225EB192">
      <w:pPr>
        <w:rPr>
          <w:rFonts w:ascii="仿宋" w:hAnsi="仿宋" w:eastAsia="仿宋"/>
          <w:color w:val="000000" w:themeColor="text1"/>
          <w:sz w:val="28"/>
          <w:szCs w:val="28"/>
        </w:rPr>
      </w:pPr>
      <w:r>
        <w:rPr>
          <w:rFonts w:ascii="仿宋" w:hAnsi="仿宋" w:eastAsia="仿宋"/>
          <w:color w:val="000000" w:themeColor="text1"/>
          <w:sz w:val="28"/>
          <w:szCs w:val="28"/>
        </w:rPr>
        <w:t xml:space="preserve">项目名称：                              </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w:t>
      </w:r>
    </w:p>
    <w:p w14:paraId="76095956">
      <w:pPr>
        <w:rPr>
          <w:rFonts w:ascii="仿宋" w:hAnsi="仿宋" w:eastAsia="仿宋"/>
          <w:color w:val="000000" w:themeColor="text1"/>
          <w:sz w:val="28"/>
          <w:szCs w:val="28"/>
        </w:rPr>
      </w:pPr>
      <w:r>
        <w:rPr>
          <w:rFonts w:ascii="仿宋" w:hAnsi="仿宋" w:eastAsia="仿宋"/>
          <w:color w:val="000000" w:themeColor="text1"/>
          <w:sz w:val="28"/>
          <w:szCs w:val="28"/>
        </w:rPr>
        <w:t>项目编号：</w:t>
      </w:r>
    </w:p>
    <w:p w14:paraId="340DDBED">
      <w:pPr>
        <w:rPr>
          <w:rFonts w:ascii="仿宋" w:hAnsi="仿宋" w:eastAsia="仿宋"/>
          <w:color w:val="000000" w:themeColor="text1"/>
          <w:sz w:val="28"/>
          <w:szCs w:val="28"/>
        </w:rPr>
      </w:pPr>
      <w:r>
        <w:rPr>
          <w:rFonts w:ascii="仿宋" w:hAnsi="仿宋" w:eastAsia="仿宋"/>
          <w:color w:val="000000" w:themeColor="text1"/>
          <w:sz w:val="28"/>
          <w:szCs w:val="28"/>
        </w:rPr>
        <w:t>甲方：（</w:t>
      </w:r>
      <w:r>
        <w:rPr>
          <w:rFonts w:hint="eastAsia" w:ascii="仿宋" w:hAnsi="仿宋" w:eastAsia="仿宋"/>
          <w:color w:val="000000" w:themeColor="text1"/>
          <w:sz w:val="28"/>
          <w:szCs w:val="28"/>
        </w:rPr>
        <w:t>征集</w:t>
      </w:r>
      <w:r>
        <w:rPr>
          <w:rFonts w:ascii="仿宋" w:hAnsi="仿宋" w:eastAsia="仿宋"/>
          <w:color w:val="000000" w:themeColor="text1"/>
          <w:sz w:val="28"/>
          <w:szCs w:val="28"/>
        </w:rPr>
        <w:t>人）_________</w:t>
      </w:r>
    </w:p>
    <w:p w14:paraId="1A732DC5">
      <w:pPr>
        <w:rPr>
          <w:rFonts w:ascii="仿宋" w:hAnsi="仿宋" w:eastAsia="仿宋"/>
          <w:color w:val="000000" w:themeColor="text1"/>
          <w:sz w:val="28"/>
          <w:szCs w:val="28"/>
        </w:rPr>
      </w:pPr>
      <w:r>
        <w:rPr>
          <w:rFonts w:ascii="仿宋" w:hAnsi="仿宋" w:eastAsia="仿宋"/>
          <w:color w:val="000000" w:themeColor="text1"/>
          <w:sz w:val="28"/>
          <w:szCs w:val="28"/>
        </w:rPr>
        <w:t>乙方：（</w:t>
      </w:r>
      <w:r>
        <w:rPr>
          <w:rFonts w:hint="eastAsia" w:ascii="仿宋" w:hAnsi="仿宋" w:eastAsia="仿宋"/>
          <w:color w:val="000000" w:themeColor="text1"/>
          <w:sz w:val="28"/>
          <w:szCs w:val="28"/>
        </w:rPr>
        <w:t>入围供应商）</w:t>
      </w:r>
      <w:r>
        <w:rPr>
          <w:rFonts w:ascii="仿宋" w:hAnsi="仿宋" w:eastAsia="仿宋"/>
          <w:color w:val="000000" w:themeColor="text1"/>
          <w:sz w:val="28"/>
          <w:szCs w:val="28"/>
        </w:rPr>
        <w:t>_________</w:t>
      </w:r>
    </w:p>
    <w:p w14:paraId="3478E151">
      <w:pPr>
        <w:numPr>
          <w:ilvl w:val="0"/>
          <w:numId w:val="5"/>
        </w:numPr>
        <w:rPr>
          <w:rFonts w:ascii="仿宋" w:hAnsi="仿宋" w:eastAsia="仿宋"/>
          <w:color w:val="000000" w:themeColor="text1"/>
          <w:sz w:val="28"/>
          <w:szCs w:val="28"/>
        </w:rPr>
      </w:pPr>
      <w:r>
        <w:rPr>
          <w:rFonts w:hint="eastAsia" w:ascii="仿宋" w:hAnsi="仿宋" w:eastAsia="仿宋"/>
          <w:color w:val="000000" w:themeColor="text1"/>
          <w:sz w:val="28"/>
          <w:szCs w:val="28"/>
        </w:rPr>
        <w:t>项目基本情况</w:t>
      </w:r>
    </w:p>
    <w:p w14:paraId="1565AB4C">
      <w:pPr>
        <w:numPr>
          <w:ilvl w:val="1"/>
          <w:numId w:val="6"/>
        </w:numP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采购需求：见征求文件</w:t>
      </w:r>
    </w:p>
    <w:p w14:paraId="4E1D490C">
      <w:pPr>
        <w:numPr>
          <w:ilvl w:val="1"/>
          <w:numId w:val="6"/>
        </w:numP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最高限制单价：见征集文件</w:t>
      </w:r>
    </w:p>
    <w:p w14:paraId="440F0D6D">
      <w:pPr>
        <w:rPr>
          <w:rFonts w:ascii="仿宋" w:hAnsi="仿宋" w:eastAsia="仿宋"/>
          <w:color w:val="000000" w:themeColor="text1"/>
          <w:sz w:val="28"/>
          <w:szCs w:val="28"/>
        </w:rPr>
      </w:pPr>
      <w:r>
        <w:rPr>
          <w:rFonts w:hint="eastAsia" w:ascii="仿宋" w:hAnsi="仿宋" w:eastAsia="仿宋"/>
          <w:color w:val="000000" w:themeColor="text1"/>
          <w:sz w:val="28"/>
          <w:szCs w:val="28"/>
        </w:rPr>
        <w:t>1.3适用本次框架协议的采购人或服务对象范围：</w:t>
      </w:r>
    </w:p>
    <w:p w14:paraId="2186EA7C">
      <w:pPr>
        <w:rPr>
          <w:rFonts w:ascii="仿宋" w:hAnsi="仿宋" w:eastAsia="仿宋"/>
          <w:color w:val="000000" w:themeColor="text1"/>
          <w:sz w:val="28"/>
          <w:szCs w:val="28"/>
        </w:rPr>
      </w:pPr>
      <w:r>
        <w:rPr>
          <w:rFonts w:hint="eastAsia" w:ascii="仿宋" w:hAnsi="仿宋" w:eastAsia="仿宋"/>
          <w:color w:val="000000" w:themeColor="text1"/>
          <w:sz w:val="28"/>
          <w:szCs w:val="28"/>
        </w:rPr>
        <w:t>1.4履行合同的地域范围：</w:t>
      </w:r>
    </w:p>
    <w:p w14:paraId="27CFD7AE">
      <w:pPr>
        <w:numPr>
          <w:ilvl w:val="0"/>
          <w:numId w:val="5"/>
        </w:numPr>
        <w:rPr>
          <w:rFonts w:ascii="仿宋" w:hAnsi="仿宋" w:eastAsia="仿宋"/>
          <w:color w:val="000000" w:themeColor="text1"/>
          <w:sz w:val="28"/>
          <w:szCs w:val="28"/>
        </w:rPr>
      </w:pPr>
      <w:r>
        <w:rPr>
          <w:rFonts w:hint="eastAsia" w:ascii="仿宋" w:hAnsi="仿宋" w:eastAsia="仿宋"/>
          <w:color w:val="000000" w:themeColor="text1"/>
          <w:sz w:val="28"/>
          <w:szCs w:val="28"/>
        </w:rPr>
        <w:t>第一阶段入围产品的相关信息</w:t>
      </w:r>
    </w:p>
    <w:p w14:paraId="42127916">
      <w:pPr>
        <w:rPr>
          <w:rFonts w:ascii="仿宋" w:hAnsi="仿宋" w:eastAsia="仿宋"/>
          <w:color w:val="000000" w:themeColor="text1"/>
          <w:sz w:val="28"/>
          <w:szCs w:val="28"/>
        </w:rPr>
      </w:pPr>
      <w:r>
        <w:rPr>
          <w:rFonts w:hint="eastAsia" w:ascii="仿宋" w:hAnsi="仿宋" w:eastAsia="仿宋"/>
          <w:color w:val="000000" w:themeColor="text1"/>
          <w:sz w:val="28"/>
          <w:szCs w:val="28"/>
        </w:rPr>
        <w:t>2.1服务内容：见响应文件</w:t>
      </w:r>
    </w:p>
    <w:p w14:paraId="2C9DA2B3">
      <w:pPr>
        <w:rPr>
          <w:rFonts w:ascii="仿宋" w:hAnsi="仿宋" w:eastAsia="仿宋"/>
          <w:color w:val="000000" w:themeColor="text1"/>
          <w:sz w:val="28"/>
          <w:szCs w:val="28"/>
        </w:rPr>
      </w:pPr>
      <w:r>
        <w:rPr>
          <w:rFonts w:hint="eastAsia" w:ascii="仿宋" w:hAnsi="仿宋" w:eastAsia="仿宋"/>
          <w:color w:val="000000" w:themeColor="text1"/>
          <w:sz w:val="28"/>
          <w:szCs w:val="28"/>
        </w:rPr>
        <w:t>2.2服务标准：见响应文件</w:t>
      </w:r>
    </w:p>
    <w:p w14:paraId="26973E69">
      <w:pPr>
        <w:rPr>
          <w:rFonts w:ascii="仿宋" w:hAnsi="仿宋" w:eastAsia="仿宋"/>
          <w:color w:val="000000" w:themeColor="text1"/>
          <w:sz w:val="28"/>
          <w:szCs w:val="28"/>
        </w:rPr>
      </w:pPr>
      <w:r>
        <w:rPr>
          <w:rFonts w:hint="eastAsia" w:ascii="仿宋" w:hAnsi="仿宋" w:eastAsia="仿宋"/>
          <w:color w:val="000000" w:themeColor="text1"/>
          <w:sz w:val="28"/>
          <w:szCs w:val="28"/>
        </w:rPr>
        <w:t>2.3协议价格：</w:t>
      </w:r>
    </w:p>
    <w:p w14:paraId="40FF0265">
      <w:pPr>
        <w:numPr>
          <w:ilvl w:val="0"/>
          <w:numId w:val="5"/>
        </w:numPr>
        <w:rPr>
          <w:rFonts w:ascii="仿宋" w:hAnsi="仿宋" w:eastAsia="仿宋"/>
          <w:color w:val="000000" w:themeColor="text1"/>
          <w:sz w:val="28"/>
          <w:szCs w:val="28"/>
        </w:rPr>
      </w:pPr>
      <w:r>
        <w:rPr>
          <w:rFonts w:hint="eastAsia" w:ascii="仿宋" w:hAnsi="仿宋" w:eastAsia="仿宋"/>
          <w:color w:val="000000" w:themeColor="text1"/>
          <w:sz w:val="28"/>
          <w:szCs w:val="28"/>
        </w:rPr>
        <w:t>入围产品升级换代规则</w:t>
      </w:r>
    </w:p>
    <w:p w14:paraId="6ACCF69B">
      <w:pPr>
        <w:ind w:left="720"/>
        <w:rPr>
          <w:rFonts w:ascii="仿宋" w:hAnsi="仿宋" w:eastAsia="仿宋"/>
          <w:color w:val="000000" w:themeColor="text1"/>
          <w:sz w:val="28"/>
          <w:szCs w:val="28"/>
        </w:rPr>
      </w:pPr>
    </w:p>
    <w:p w14:paraId="3CC43D90">
      <w:pPr>
        <w:pStyle w:val="68"/>
        <w:numPr>
          <w:ilvl w:val="0"/>
          <w:numId w:val="5"/>
        </w:numPr>
        <w:rPr>
          <w:rFonts w:ascii="仿宋" w:hAnsi="仿宋" w:eastAsia="仿宋"/>
          <w:color w:val="000000" w:themeColor="text1"/>
          <w:sz w:val="28"/>
          <w:szCs w:val="28"/>
          <w:lang w:eastAsia="zh-CN"/>
        </w:rPr>
      </w:pPr>
      <w:r>
        <w:rPr>
          <w:rFonts w:hint="eastAsia" w:ascii="仿宋" w:hAnsi="仿宋" w:eastAsia="仿宋"/>
          <w:color w:val="000000" w:themeColor="text1"/>
          <w:sz w:val="28"/>
          <w:szCs w:val="28"/>
          <w:lang w:eastAsia="zh-CN"/>
        </w:rPr>
        <w:t>确定第二阶段成交供应商的方式</w:t>
      </w:r>
    </w:p>
    <w:p w14:paraId="066E70ED">
      <w:pPr>
        <w:pStyle w:val="22"/>
        <w:snapToGrid w:val="0"/>
        <w:spacing w:before="120" w:after="120"/>
        <w:rPr>
          <w:rFonts w:ascii="仿宋" w:hAnsi="仿宋" w:eastAsia="仿宋"/>
          <w:color w:val="000000" w:themeColor="text1"/>
          <w:sz w:val="28"/>
          <w:szCs w:val="28"/>
        </w:rPr>
      </w:pPr>
      <w:r>
        <w:rPr>
          <w:rFonts w:hint="eastAsia" w:ascii="仿宋" w:hAnsi="仿宋" w:eastAsia="仿宋"/>
          <w:color w:val="000000" w:themeColor="text1"/>
          <w:sz w:val="28"/>
          <w:szCs w:val="28"/>
        </w:rPr>
        <w:t>采购人依据入围产品价格、质量以及服务便利性、用户评价等因素，从第一阶段入围供应商中直接选定。</w:t>
      </w:r>
    </w:p>
    <w:p w14:paraId="56E7AC67">
      <w:pPr>
        <w:numPr>
          <w:ilvl w:val="0"/>
          <w:numId w:val="5"/>
        </w:numPr>
        <w:rPr>
          <w:rFonts w:ascii="仿宋" w:hAnsi="仿宋" w:eastAsia="仿宋"/>
          <w:color w:val="000000" w:themeColor="text1"/>
          <w:sz w:val="28"/>
          <w:szCs w:val="28"/>
        </w:rPr>
      </w:pPr>
      <w:r>
        <w:rPr>
          <w:rFonts w:hint="eastAsia" w:ascii="仿宋" w:hAnsi="仿宋" w:eastAsia="仿宋"/>
          <w:color w:val="000000" w:themeColor="text1"/>
          <w:sz w:val="28"/>
          <w:szCs w:val="28"/>
        </w:rPr>
        <w:t>资金支付方式、时间和条件</w:t>
      </w:r>
    </w:p>
    <w:p w14:paraId="49A5E3F1">
      <w:pPr>
        <w:ind w:left="720"/>
        <w:rPr>
          <w:rFonts w:ascii="仿宋" w:hAnsi="仿宋" w:eastAsia="仿宋"/>
          <w:color w:val="000000" w:themeColor="text1"/>
          <w:sz w:val="28"/>
          <w:szCs w:val="28"/>
        </w:rPr>
      </w:pPr>
    </w:p>
    <w:p w14:paraId="0902D387">
      <w:pPr>
        <w:rPr>
          <w:rFonts w:ascii="仿宋" w:hAnsi="仿宋" w:eastAsia="仿宋"/>
          <w:color w:val="000000" w:themeColor="text1"/>
          <w:sz w:val="28"/>
          <w:szCs w:val="28"/>
        </w:rPr>
      </w:pPr>
      <w:r>
        <w:rPr>
          <w:rFonts w:hint="eastAsia" w:ascii="仿宋" w:hAnsi="仿宋" w:eastAsia="仿宋"/>
          <w:color w:val="000000" w:themeColor="text1"/>
          <w:sz w:val="28"/>
          <w:szCs w:val="28"/>
        </w:rPr>
        <w:t>六、框架协议期限</w:t>
      </w:r>
    </w:p>
    <w:p w14:paraId="719611FD">
      <w:pPr>
        <w:rPr>
          <w:rFonts w:ascii="仿宋" w:hAnsi="仿宋" w:eastAsia="仿宋"/>
          <w:color w:val="000000" w:themeColor="text1"/>
          <w:sz w:val="28"/>
          <w:szCs w:val="28"/>
        </w:rPr>
      </w:pPr>
      <w:r>
        <w:rPr>
          <w:rFonts w:hint="eastAsia" w:ascii="仿宋" w:hAnsi="仿宋" w:eastAsia="仿宋"/>
          <w:color w:val="000000" w:themeColor="text1"/>
          <w:sz w:val="28"/>
          <w:szCs w:val="28"/>
        </w:rPr>
        <w:t>本协议期限从 年 月 日至 年 月 日止</w:t>
      </w:r>
    </w:p>
    <w:p w14:paraId="3F6DEC65">
      <w:pPr>
        <w:rPr>
          <w:rFonts w:ascii="仿宋" w:hAnsi="仿宋" w:eastAsia="仿宋"/>
          <w:color w:val="000000" w:themeColor="text1"/>
          <w:sz w:val="28"/>
          <w:szCs w:val="28"/>
        </w:rPr>
      </w:pPr>
      <w:r>
        <w:rPr>
          <w:rFonts w:hint="eastAsia" w:ascii="仿宋" w:hAnsi="仿宋" w:eastAsia="仿宋"/>
          <w:color w:val="000000" w:themeColor="text1"/>
          <w:sz w:val="28"/>
          <w:szCs w:val="28"/>
        </w:rPr>
        <w:t>七、入围供应商的清退和补充规则</w:t>
      </w:r>
    </w:p>
    <w:p w14:paraId="079A96F7">
      <w:pPr>
        <w:rPr>
          <w:rFonts w:ascii="仿宋" w:hAnsi="仿宋" w:eastAsia="仿宋"/>
          <w:color w:val="000000" w:themeColor="text1"/>
          <w:sz w:val="28"/>
          <w:szCs w:val="28"/>
        </w:rPr>
      </w:pPr>
      <w:r>
        <w:rPr>
          <w:rFonts w:hint="eastAsia" w:ascii="仿宋" w:hAnsi="仿宋" w:eastAsia="仿宋"/>
          <w:color w:val="000000" w:themeColor="text1"/>
          <w:sz w:val="28"/>
          <w:szCs w:val="28"/>
        </w:rPr>
        <w:t>7.1 清退规则 入围供应商存在《政府采购框架协议采购方式管理暂行办法》第十九条规定情形的，尚未签订框架协议的，取消其入围资格；已经签订框架协议的，解除与其签订的框架协议。</w:t>
      </w:r>
    </w:p>
    <w:p w14:paraId="5DE51A4D">
      <w:pPr>
        <w:rPr>
          <w:rFonts w:ascii="仿宋" w:hAnsi="仿宋" w:eastAsia="仿宋"/>
          <w:color w:val="000000" w:themeColor="text1"/>
          <w:sz w:val="28"/>
          <w:szCs w:val="28"/>
        </w:rPr>
      </w:pPr>
      <w:r>
        <w:rPr>
          <w:rFonts w:hint="eastAsia" w:ascii="仿宋" w:hAnsi="仿宋" w:eastAsia="仿宋"/>
          <w:color w:val="000000" w:themeColor="text1"/>
          <w:sz w:val="28"/>
          <w:szCs w:val="28"/>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73CE23B4">
      <w:pPr>
        <w:rPr>
          <w:rFonts w:ascii="仿宋" w:hAnsi="仿宋" w:eastAsia="仿宋"/>
          <w:color w:val="000000" w:themeColor="text1"/>
          <w:sz w:val="28"/>
          <w:szCs w:val="28"/>
        </w:rPr>
      </w:pPr>
      <w:r>
        <w:rPr>
          <w:rFonts w:hint="eastAsia" w:ascii="仿宋" w:hAnsi="仿宋" w:eastAsia="仿宋"/>
          <w:color w:val="000000" w:themeColor="text1"/>
          <w:sz w:val="28"/>
          <w:szCs w:val="28"/>
        </w:rPr>
        <w:t>八、采购合同文本</w:t>
      </w:r>
    </w:p>
    <w:p w14:paraId="6EB704DC">
      <w:pPr>
        <w:rPr>
          <w:rFonts w:ascii="仿宋" w:hAnsi="仿宋" w:eastAsia="仿宋"/>
          <w:color w:val="000000" w:themeColor="text1"/>
          <w:sz w:val="28"/>
          <w:szCs w:val="28"/>
        </w:rPr>
      </w:pPr>
      <w:r>
        <w:rPr>
          <w:rFonts w:hint="eastAsia" w:ascii="仿宋" w:hAnsi="仿宋" w:eastAsia="仿宋"/>
          <w:color w:val="000000" w:themeColor="text1"/>
          <w:sz w:val="28"/>
          <w:szCs w:val="28"/>
        </w:rPr>
        <w:t>见“框架协议文本附件”</w:t>
      </w:r>
    </w:p>
    <w:p w14:paraId="2D52C49A">
      <w:pPr>
        <w:rPr>
          <w:rFonts w:ascii="仿宋" w:hAnsi="仿宋" w:eastAsia="仿宋"/>
          <w:b/>
          <w:color w:val="000000" w:themeColor="text1"/>
          <w:sz w:val="28"/>
          <w:szCs w:val="28"/>
        </w:rPr>
      </w:pPr>
      <w:r>
        <w:rPr>
          <w:rFonts w:hint="eastAsia" w:ascii="仿宋" w:hAnsi="仿宋" w:eastAsia="仿宋"/>
          <w:color w:val="000000" w:themeColor="text1"/>
          <w:sz w:val="28"/>
          <w:szCs w:val="28"/>
        </w:rPr>
        <w:t>九、甲乙双方</w:t>
      </w:r>
      <w:r>
        <w:rPr>
          <w:rFonts w:ascii="仿宋" w:hAnsi="仿宋" w:eastAsia="仿宋"/>
          <w:color w:val="000000" w:themeColor="text1"/>
          <w:sz w:val="28"/>
          <w:szCs w:val="28"/>
        </w:rPr>
        <w:t>的权利和义务</w:t>
      </w:r>
    </w:p>
    <w:p w14:paraId="6F279059">
      <w:pPr>
        <w:rPr>
          <w:rFonts w:ascii="仿宋" w:hAnsi="仿宋" w:eastAsia="仿宋"/>
          <w:color w:val="000000" w:themeColor="text1"/>
          <w:sz w:val="28"/>
          <w:szCs w:val="28"/>
        </w:rPr>
      </w:pPr>
      <w:r>
        <w:rPr>
          <w:rFonts w:hint="eastAsia" w:ascii="仿宋" w:hAnsi="仿宋" w:eastAsia="仿宋"/>
          <w:color w:val="000000" w:themeColor="text1"/>
          <w:sz w:val="28"/>
          <w:szCs w:val="28"/>
        </w:rPr>
        <w:t>9.1 甲方</w:t>
      </w:r>
      <w:r>
        <w:rPr>
          <w:rFonts w:ascii="仿宋" w:hAnsi="仿宋" w:eastAsia="仿宋"/>
          <w:color w:val="000000" w:themeColor="text1"/>
          <w:sz w:val="28"/>
          <w:szCs w:val="28"/>
        </w:rPr>
        <w:t>的权利</w:t>
      </w:r>
    </w:p>
    <w:p w14:paraId="39127C77">
      <w:pPr>
        <w:rPr>
          <w:rFonts w:ascii="仿宋" w:hAnsi="仿宋" w:eastAsia="仿宋"/>
          <w:color w:val="000000" w:themeColor="text1"/>
          <w:sz w:val="28"/>
          <w:szCs w:val="28"/>
        </w:rPr>
      </w:pPr>
      <w:r>
        <w:rPr>
          <w:rFonts w:hint="eastAsia" w:ascii="仿宋" w:hAnsi="仿宋" w:eastAsia="仿宋"/>
          <w:color w:val="000000" w:themeColor="text1"/>
          <w:sz w:val="28"/>
          <w:szCs w:val="28"/>
        </w:rPr>
        <w:t>（1）确定</w:t>
      </w:r>
      <w:r>
        <w:rPr>
          <w:rFonts w:ascii="仿宋" w:hAnsi="仿宋" w:eastAsia="仿宋"/>
          <w:color w:val="000000" w:themeColor="text1"/>
          <w:sz w:val="28"/>
          <w:szCs w:val="28"/>
        </w:rPr>
        <w:t>框架</w:t>
      </w:r>
      <w:r>
        <w:rPr>
          <w:rFonts w:hint="eastAsia" w:ascii="仿宋" w:hAnsi="仿宋" w:eastAsia="仿宋"/>
          <w:color w:val="000000" w:themeColor="text1"/>
          <w:sz w:val="28"/>
          <w:szCs w:val="28"/>
        </w:rPr>
        <w:t>协议</w:t>
      </w:r>
      <w:r>
        <w:rPr>
          <w:rFonts w:ascii="仿宋" w:hAnsi="仿宋" w:eastAsia="仿宋"/>
          <w:color w:val="000000" w:themeColor="text1"/>
          <w:sz w:val="28"/>
          <w:szCs w:val="28"/>
        </w:rPr>
        <w:t>采购需求。</w:t>
      </w:r>
    </w:p>
    <w:p w14:paraId="7364EDBB">
      <w:pPr>
        <w:rPr>
          <w:rFonts w:ascii="仿宋" w:hAnsi="仿宋" w:eastAsia="仿宋"/>
          <w:color w:val="000000" w:themeColor="text1"/>
          <w:sz w:val="28"/>
          <w:szCs w:val="28"/>
        </w:rPr>
      </w:pPr>
      <w:r>
        <w:rPr>
          <w:rFonts w:hint="eastAsia" w:ascii="仿宋" w:hAnsi="仿宋" w:eastAsia="仿宋"/>
          <w:color w:val="000000" w:themeColor="text1"/>
          <w:sz w:val="28"/>
          <w:szCs w:val="28"/>
        </w:rPr>
        <w:t>（2）确定最高</w:t>
      </w:r>
      <w:r>
        <w:rPr>
          <w:rFonts w:ascii="仿宋" w:hAnsi="仿宋" w:eastAsia="仿宋"/>
          <w:color w:val="000000" w:themeColor="text1"/>
          <w:sz w:val="28"/>
          <w:szCs w:val="28"/>
        </w:rPr>
        <w:t>限制单价。</w:t>
      </w:r>
    </w:p>
    <w:p w14:paraId="0C123449">
      <w:pPr>
        <w:rPr>
          <w:rFonts w:ascii="仿宋" w:hAnsi="仿宋" w:eastAsia="仿宋"/>
          <w:color w:val="000000" w:themeColor="text1"/>
          <w:sz w:val="28"/>
          <w:szCs w:val="28"/>
        </w:rPr>
      </w:pPr>
      <w:r>
        <w:rPr>
          <w:rFonts w:hint="eastAsia" w:ascii="仿宋" w:hAnsi="仿宋" w:eastAsia="仿宋"/>
          <w:color w:val="000000" w:themeColor="text1"/>
          <w:sz w:val="28"/>
          <w:szCs w:val="28"/>
        </w:rPr>
        <w:t>（3）确定框架</w:t>
      </w:r>
      <w:r>
        <w:rPr>
          <w:rFonts w:ascii="仿宋" w:hAnsi="仿宋" w:eastAsia="仿宋"/>
          <w:color w:val="000000" w:themeColor="text1"/>
          <w:sz w:val="28"/>
          <w:szCs w:val="28"/>
        </w:rPr>
        <w:t>协议有限期。</w:t>
      </w:r>
    </w:p>
    <w:p w14:paraId="4FED9A65">
      <w:pPr>
        <w:rPr>
          <w:rFonts w:ascii="仿宋" w:hAnsi="仿宋" w:eastAsia="仿宋"/>
          <w:color w:val="000000" w:themeColor="text1"/>
          <w:sz w:val="28"/>
          <w:szCs w:val="28"/>
        </w:rPr>
      </w:pPr>
      <w:r>
        <w:rPr>
          <w:rFonts w:hint="eastAsia" w:ascii="仿宋" w:hAnsi="仿宋" w:eastAsia="仿宋"/>
          <w:color w:val="000000" w:themeColor="text1"/>
          <w:sz w:val="28"/>
          <w:szCs w:val="28"/>
        </w:rPr>
        <w:t>（4）乙方存在</w:t>
      </w:r>
      <w:r>
        <w:rPr>
          <w:rFonts w:ascii="仿宋" w:hAnsi="仿宋" w:eastAsia="仿宋"/>
          <w:color w:val="000000" w:themeColor="text1"/>
          <w:sz w:val="28"/>
          <w:szCs w:val="28"/>
        </w:rPr>
        <w:t>《</w:t>
      </w:r>
      <w:r>
        <w:rPr>
          <w:rFonts w:hint="eastAsia" w:ascii="仿宋" w:hAnsi="仿宋" w:eastAsia="仿宋"/>
          <w:color w:val="000000" w:themeColor="text1"/>
          <w:sz w:val="28"/>
          <w:szCs w:val="28"/>
        </w:rPr>
        <w:t>政府采购框架协议采购方式管理暂行办法</w:t>
      </w:r>
      <w:r>
        <w:rPr>
          <w:rFonts w:ascii="仿宋" w:hAnsi="仿宋" w:eastAsia="仿宋"/>
          <w:color w:val="000000" w:themeColor="text1"/>
          <w:sz w:val="28"/>
          <w:szCs w:val="28"/>
        </w:rPr>
        <w:t>》</w:t>
      </w:r>
      <w:r>
        <w:rPr>
          <w:rFonts w:hint="eastAsia" w:ascii="仿宋" w:hAnsi="仿宋" w:eastAsia="仿宋"/>
          <w:color w:val="000000" w:themeColor="text1"/>
          <w:sz w:val="28"/>
          <w:szCs w:val="28"/>
        </w:rPr>
        <w:t>第十九条</w:t>
      </w:r>
      <w:r>
        <w:rPr>
          <w:rFonts w:ascii="仿宋" w:hAnsi="仿宋" w:eastAsia="仿宋"/>
          <w:color w:val="000000" w:themeColor="text1"/>
          <w:sz w:val="28"/>
          <w:szCs w:val="28"/>
        </w:rPr>
        <w:t>第一款</w:t>
      </w:r>
      <w:r>
        <w:rPr>
          <w:rFonts w:hint="eastAsia" w:ascii="仿宋" w:hAnsi="仿宋" w:eastAsia="仿宋"/>
          <w:color w:val="000000" w:themeColor="text1"/>
          <w:sz w:val="28"/>
          <w:szCs w:val="28"/>
        </w:rPr>
        <w:t>规定</w:t>
      </w:r>
      <w:r>
        <w:rPr>
          <w:rFonts w:ascii="仿宋" w:hAnsi="仿宋" w:eastAsia="仿宋"/>
          <w:color w:val="000000" w:themeColor="text1"/>
          <w:sz w:val="28"/>
          <w:szCs w:val="28"/>
        </w:rPr>
        <w:t>的情形时</w:t>
      </w:r>
      <w:r>
        <w:rPr>
          <w:rFonts w:hint="eastAsia" w:ascii="仿宋" w:hAnsi="仿宋" w:eastAsia="仿宋"/>
          <w:color w:val="000000" w:themeColor="text1"/>
          <w:sz w:val="28"/>
          <w:szCs w:val="28"/>
        </w:rPr>
        <w:t>，取消</w:t>
      </w:r>
      <w:r>
        <w:rPr>
          <w:rFonts w:ascii="仿宋" w:hAnsi="仿宋" w:eastAsia="仿宋"/>
          <w:color w:val="000000" w:themeColor="text1"/>
          <w:sz w:val="28"/>
          <w:szCs w:val="28"/>
        </w:rPr>
        <w:t>入围供应商的入围资格，或解除与其签订的框架协议。</w:t>
      </w:r>
    </w:p>
    <w:p w14:paraId="7E9C29C5">
      <w:pPr>
        <w:rPr>
          <w:rFonts w:ascii="仿宋" w:hAnsi="仿宋" w:eastAsia="仿宋"/>
          <w:color w:val="000000" w:themeColor="text1"/>
          <w:sz w:val="28"/>
          <w:szCs w:val="28"/>
        </w:rPr>
      </w:pPr>
      <w:r>
        <w:rPr>
          <w:rFonts w:hint="eastAsia" w:ascii="仿宋" w:hAnsi="仿宋" w:eastAsia="仿宋"/>
          <w:color w:val="000000" w:themeColor="text1"/>
          <w:sz w:val="28"/>
          <w:szCs w:val="28"/>
        </w:rPr>
        <w:t>（5）在框架</w:t>
      </w:r>
      <w:r>
        <w:rPr>
          <w:rFonts w:ascii="仿宋" w:hAnsi="仿宋" w:eastAsia="仿宋"/>
          <w:color w:val="000000" w:themeColor="text1"/>
          <w:sz w:val="28"/>
          <w:szCs w:val="28"/>
        </w:rPr>
        <w:t>协议</w:t>
      </w:r>
      <w:r>
        <w:rPr>
          <w:rFonts w:hint="eastAsia" w:ascii="仿宋" w:hAnsi="仿宋" w:eastAsia="仿宋"/>
          <w:color w:val="000000" w:themeColor="text1"/>
          <w:sz w:val="28"/>
          <w:szCs w:val="28"/>
        </w:rPr>
        <w:t>期内，随时对乙方及其委托</w:t>
      </w:r>
      <w:r>
        <w:rPr>
          <w:rFonts w:ascii="仿宋" w:hAnsi="仿宋" w:eastAsia="仿宋"/>
          <w:color w:val="000000" w:themeColor="text1"/>
          <w:sz w:val="28"/>
          <w:szCs w:val="28"/>
        </w:rPr>
        <w:t>的代理商</w:t>
      </w:r>
      <w:r>
        <w:rPr>
          <w:rFonts w:hint="eastAsia" w:ascii="仿宋" w:hAnsi="仿宋" w:eastAsia="仿宋"/>
          <w:color w:val="000000" w:themeColor="text1"/>
          <w:sz w:val="28"/>
          <w:szCs w:val="28"/>
        </w:rPr>
        <w:t xml:space="preserve">履约情况进行检查。 </w:t>
      </w:r>
    </w:p>
    <w:p w14:paraId="273D03C9">
      <w:pPr>
        <w:rPr>
          <w:rFonts w:ascii="仿宋" w:hAnsi="仿宋" w:eastAsia="仿宋"/>
          <w:color w:val="000000" w:themeColor="text1"/>
          <w:sz w:val="28"/>
          <w:szCs w:val="28"/>
        </w:rPr>
      </w:pPr>
      <w:r>
        <w:rPr>
          <w:rFonts w:hint="eastAsia" w:ascii="仿宋" w:hAnsi="仿宋" w:eastAsia="仿宋"/>
          <w:color w:val="000000" w:themeColor="text1"/>
          <w:sz w:val="28"/>
          <w:szCs w:val="28"/>
        </w:rPr>
        <w:t>9.2 甲方</w:t>
      </w:r>
      <w:r>
        <w:rPr>
          <w:rFonts w:ascii="仿宋" w:hAnsi="仿宋" w:eastAsia="仿宋"/>
          <w:color w:val="000000" w:themeColor="text1"/>
          <w:sz w:val="28"/>
          <w:szCs w:val="28"/>
        </w:rPr>
        <w:t>的义务</w:t>
      </w:r>
    </w:p>
    <w:p w14:paraId="1519B1C0">
      <w:pPr>
        <w:rPr>
          <w:rFonts w:ascii="仿宋" w:hAnsi="仿宋" w:eastAsia="仿宋"/>
          <w:color w:val="000000" w:themeColor="text1"/>
          <w:sz w:val="28"/>
          <w:szCs w:val="28"/>
        </w:rPr>
      </w:pPr>
      <w:r>
        <w:rPr>
          <w:rFonts w:ascii="仿宋" w:hAnsi="仿宋" w:eastAsia="仿宋"/>
          <w:color w:val="000000" w:themeColor="text1"/>
          <w:sz w:val="28"/>
          <w:szCs w:val="28"/>
        </w:rPr>
        <w:t>（</w:t>
      </w:r>
      <w:r>
        <w:rPr>
          <w:rFonts w:hint="eastAsia" w:ascii="仿宋" w:hAnsi="仿宋" w:eastAsia="仿宋"/>
          <w:color w:val="000000" w:themeColor="text1"/>
          <w:sz w:val="28"/>
          <w:szCs w:val="28"/>
        </w:rPr>
        <w:t>1</w:t>
      </w:r>
      <w:r>
        <w:rPr>
          <w:rFonts w:ascii="仿宋" w:hAnsi="仿宋" w:eastAsia="仿宋"/>
          <w:color w:val="000000" w:themeColor="text1"/>
          <w:sz w:val="28"/>
          <w:szCs w:val="28"/>
        </w:rPr>
        <w:t>）为第二阶段合同授予提供工作便利</w:t>
      </w:r>
      <w:r>
        <w:rPr>
          <w:rFonts w:hint="eastAsia" w:ascii="仿宋" w:hAnsi="仿宋" w:eastAsia="仿宋"/>
          <w:color w:val="000000" w:themeColor="text1"/>
          <w:sz w:val="28"/>
          <w:szCs w:val="28"/>
        </w:rPr>
        <w:t>。</w:t>
      </w:r>
      <w:r>
        <w:rPr>
          <w:rFonts w:hint="eastAsia" w:ascii="宋体" w:hAnsi="宋体" w:cs="宋体"/>
          <w:color w:val="000000" w:themeColor="text1"/>
          <w:sz w:val="28"/>
          <w:szCs w:val="28"/>
        </w:rPr>
        <w:t> </w:t>
      </w:r>
    </w:p>
    <w:p w14:paraId="51C5B2AC">
      <w:pPr>
        <w:rPr>
          <w:rFonts w:ascii="仿宋" w:hAnsi="仿宋" w:eastAsia="仿宋"/>
          <w:color w:val="000000" w:themeColor="text1"/>
          <w:sz w:val="28"/>
          <w:szCs w:val="28"/>
        </w:rPr>
      </w:pPr>
      <w:r>
        <w:rPr>
          <w:rFonts w:ascii="仿宋" w:hAnsi="仿宋" w:eastAsia="仿宋"/>
          <w:color w:val="000000" w:themeColor="text1"/>
          <w:sz w:val="28"/>
          <w:szCs w:val="28"/>
        </w:rPr>
        <w:t>（</w:t>
      </w:r>
      <w:r>
        <w:rPr>
          <w:rFonts w:hint="eastAsia" w:ascii="仿宋" w:hAnsi="仿宋" w:eastAsia="仿宋"/>
          <w:color w:val="000000" w:themeColor="text1"/>
          <w:sz w:val="28"/>
          <w:szCs w:val="28"/>
        </w:rPr>
        <w:t>2</w:t>
      </w:r>
      <w:r>
        <w:rPr>
          <w:rFonts w:ascii="仿宋" w:hAnsi="仿宋" w:eastAsia="仿宋"/>
          <w:color w:val="000000" w:themeColor="text1"/>
          <w:sz w:val="28"/>
          <w:szCs w:val="28"/>
        </w:rPr>
        <w:t>）对第二阶段最高限价和需求标准执行情况进行管理</w:t>
      </w:r>
      <w:r>
        <w:rPr>
          <w:rFonts w:hint="eastAsia" w:ascii="仿宋" w:hAnsi="仿宋" w:eastAsia="仿宋"/>
          <w:color w:val="000000" w:themeColor="text1"/>
          <w:sz w:val="28"/>
          <w:szCs w:val="28"/>
        </w:rPr>
        <w:t>。</w:t>
      </w:r>
    </w:p>
    <w:p w14:paraId="25493ED8">
      <w:pPr>
        <w:rPr>
          <w:rFonts w:ascii="仿宋" w:hAnsi="仿宋" w:eastAsia="仿宋"/>
          <w:color w:val="000000" w:themeColor="text1"/>
          <w:sz w:val="28"/>
          <w:szCs w:val="28"/>
        </w:rPr>
      </w:pPr>
      <w:r>
        <w:rPr>
          <w:rFonts w:ascii="仿宋" w:hAnsi="仿宋" w:eastAsia="仿宋"/>
          <w:color w:val="000000" w:themeColor="text1"/>
          <w:sz w:val="28"/>
          <w:szCs w:val="28"/>
        </w:rPr>
        <w:t>（</w:t>
      </w:r>
      <w:r>
        <w:rPr>
          <w:rFonts w:hint="eastAsia" w:ascii="仿宋" w:hAnsi="仿宋" w:eastAsia="仿宋"/>
          <w:color w:val="000000" w:themeColor="text1"/>
          <w:sz w:val="28"/>
          <w:szCs w:val="28"/>
        </w:rPr>
        <w:t>3</w:t>
      </w:r>
      <w:r>
        <w:rPr>
          <w:rFonts w:ascii="仿宋" w:hAnsi="仿宋" w:eastAsia="仿宋"/>
          <w:color w:val="000000" w:themeColor="text1"/>
          <w:sz w:val="28"/>
          <w:szCs w:val="28"/>
        </w:rP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ascii="仿宋" w:hAnsi="仿宋" w:eastAsia="仿宋"/>
          <w:color w:val="000000" w:themeColor="text1"/>
          <w:sz w:val="28"/>
          <w:szCs w:val="28"/>
        </w:rPr>
        <w:t>。</w:t>
      </w:r>
      <w:r>
        <w:rPr>
          <w:rFonts w:hint="eastAsia" w:ascii="宋体" w:hAnsi="宋体" w:cs="宋体"/>
          <w:color w:val="000000" w:themeColor="text1"/>
          <w:sz w:val="28"/>
          <w:szCs w:val="28"/>
        </w:rPr>
        <w:t> </w:t>
      </w:r>
    </w:p>
    <w:p w14:paraId="5BC45BFF">
      <w:pPr>
        <w:rPr>
          <w:rFonts w:ascii="仿宋" w:hAnsi="仿宋" w:eastAsia="仿宋"/>
          <w:color w:val="000000" w:themeColor="text1"/>
          <w:sz w:val="28"/>
          <w:szCs w:val="28"/>
        </w:rPr>
      </w:pPr>
      <w:r>
        <w:rPr>
          <w:rFonts w:ascii="仿宋" w:hAnsi="仿宋" w:eastAsia="仿宋"/>
          <w:color w:val="000000" w:themeColor="text1"/>
          <w:sz w:val="28"/>
          <w:szCs w:val="28"/>
        </w:rPr>
        <w:t>（</w:t>
      </w:r>
      <w:r>
        <w:rPr>
          <w:rFonts w:hint="eastAsia" w:ascii="仿宋" w:hAnsi="仿宋" w:eastAsia="仿宋"/>
          <w:color w:val="000000" w:themeColor="text1"/>
          <w:sz w:val="28"/>
          <w:szCs w:val="28"/>
        </w:rPr>
        <w:t>4</w:t>
      </w:r>
      <w:r>
        <w:rPr>
          <w:rFonts w:ascii="仿宋" w:hAnsi="仿宋" w:eastAsia="仿宋"/>
          <w:color w:val="000000" w:themeColor="text1"/>
          <w:sz w:val="28"/>
          <w:szCs w:val="28"/>
        </w:rPr>
        <w:t>）公开封闭式框架协议的第二阶段成交结果</w:t>
      </w:r>
      <w:r>
        <w:rPr>
          <w:rFonts w:hint="eastAsia" w:ascii="仿宋" w:hAnsi="仿宋" w:eastAsia="仿宋"/>
          <w:color w:val="000000" w:themeColor="text1"/>
          <w:sz w:val="28"/>
          <w:szCs w:val="28"/>
        </w:rPr>
        <w:t>，</w:t>
      </w:r>
      <w:r>
        <w:rPr>
          <w:rFonts w:ascii="仿宋" w:hAnsi="仿宋" w:eastAsia="仿宋"/>
          <w:color w:val="000000" w:themeColor="text1"/>
          <w:sz w:val="28"/>
          <w:szCs w:val="28"/>
        </w:rPr>
        <w:t>办理入围供应商清退和补充相关事宜。</w:t>
      </w:r>
    </w:p>
    <w:p w14:paraId="2798001B">
      <w:pPr>
        <w:rPr>
          <w:rFonts w:ascii="仿宋" w:hAnsi="仿宋" w:eastAsia="仿宋"/>
          <w:color w:val="000000" w:themeColor="text1"/>
          <w:sz w:val="28"/>
          <w:szCs w:val="28"/>
        </w:rPr>
      </w:pPr>
      <w:r>
        <w:rPr>
          <w:rFonts w:hint="eastAsia" w:ascii="仿宋" w:hAnsi="仿宋" w:eastAsia="仿宋"/>
          <w:color w:val="000000" w:themeColor="text1"/>
          <w:sz w:val="28"/>
          <w:szCs w:val="28"/>
        </w:rPr>
        <w:t>（5）建立真实完整的框架协议采购档案，妥善保存每项采购活动的采购文件资料。</w:t>
      </w:r>
    </w:p>
    <w:p w14:paraId="67CDA5FF">
      <w:pPr>
        <w:rPr>
          <w:rFonts w:ascii="仿宋" w:hAnsi="仿宋" w:eastAsia="仿宋"/>
          <w:color w:val="000000" w:themeColor="text1"/>
          <w:sz w:val="28"/>
          <w:szCs w:val="28"/>
        </w:rPr>
      </w:pPr>
      <w:r>
        <w:rPr>
          <w:rFonts w:hint="eastAsia" w:ascii="仿宋" w:hAnsi="仿宋" w:eastAsia="仿宋"/>
          <w:color w:val="000000" w:themeColor="text1"/>
          <w:sz w:val="28"/>
          <w:szCs w:val="28"/>
        </w:rPr>
        <w:t>9.3 乙方</w:t>
      </w:r>
      <w:r>
        <w:rPr>
          <w:rFonts w:ascii="仿宋" w:hAnsi="仿宋" w:eastAsia="仿宋"/>
          <w:color w:val="000000" w:themeColor="text1"/>
          <w:sz w:val="28"/>
          <w:szCs w:val="28"/>
        </w:rPr>
        <w:t>的权利</w:t>
      </w:r>
    </w:p>
    <w:p w14:paraId="12126615">
      <w:pPr>
        <w:rPr>
          <w:rFonts w:ascii="仿宋" w:hAnsi="仿宋" w:eastAsia="仿宋"/>
          <w:color w:val="000000" w:themeColor="text1"/>
          <w:sz w:val="28"/>
          <w:szCs w:val="28"/>
        </w:rPr>
      </w:pPr>
      <w:r>
        <w:rPr>
          <w:rFonts w:hint="eastAsia" w:ascii="仿宋" w:hAnsi="仿宋" w:eastAsia="仿宋"/>
          <w:color w:val="000000" w:themeColor="text1"/>
          <w:sz w:val="28"/>
          <w:szCs w:val="28"/>
        </w:rPr>
        <w:t>（1）乙方具有为征集人供货</w:t>
      </w:r>
      <w:r>
        <w:rPr>
          <w:rFonts w:ascii="仿宋" w:hAnsi="仿宋" w:eastAsia="仿宋"/>
          <w:color w:val="000000" w:themeColor="text1"/>
          <w:sz w:val="28"/>
          <w:szCs w:val="28"/>
        </w:rPr>
        <w:t>及提供相关服务</w:t>
      </w:r>
      <w:r>
        <w:rPr>
          <w:rFonts w:hint="eastAsia" w:ascii="仿宋" w:hAnsi="仿宋" w:eastAsia="仿宋"/>
          <w:color w:val="000000" w:themeColor="text1"/>
          <w:sz w:val="28"/>
          <w:szCs w:val="28"/>
        </w:rPr>
        <w:t>的资格。</w:t>
      </w:r>
    </w:p>
    <w:p w14:paraId="22BA5E7D">
      <w:pPr>
        <w:rPr>
          <w:rFonts w:ascii="仿宋" w:hAnsi="仿宋" w:eastAsia="仿宋"/>
          <w:color w:val="000000" w:themeColor="text1"/>
          <w:sz w:val="28"/>
          <w:szCs w:val="28"/>
        </w:rPr>
      </w:pPr>
      <w:r>
        <w:rPr>
          <w:rFonts w:hint="eastAsia" w:ascii="仿宋" w:hAnsi="仿宋" w:eastAsia="仿宋"/>
          <w:color w:val="000000" w:themeColor="text1"/>
          <w:sz w:val="28"/>
          <w:szCs w:val="28"/>
        </w:rPr>
        <w:t>（2）乙方有权拒绝征集人提出的以本次框架</w:t>
      </w:r>
      <w:r>
        <w:rPr>
          <w:rFonts w:ascii="仿宋" w:hAnsi="仿宋" w:eastAsia="仿宋"/>
          <w:color w:val="000000" w:themeColor="text1"/>
          <w:sz w:val="28"/>
          <w:szCs w:val="28"/>
        </w:rPr>
        <w:t>协议采购</w:t>
      </w:r>
      <w:r>
        <w:rPr>
          <w:rFonts w:hint="eastAsia" w:ascii="仿宋" w:hAnsi="仿宋" w:eastAsia="仿宋"/>
          <w:color w:val="000000" w:themeColor="text1"/>
          <w:sz w:val="28"/>
          <w:szCs w:val="28"/>
        </w:rPr>
        <w:t>名义满足</w:t>
      </w:r>
      <w:r>
        <w:rPr>
          <w:rFonts w:ascii="仿宋" w:hAnsi="仿宋" w:eastAsia="仿宋"/>
          <w:color w:val="000000" w:themeColor="text1"/>
          <w:sz w:val="28"/>
          <w:szCs w:val="28"/>
        </w:rPr>
        <w:t>采购人</w:t>
      </w:r>
      <w:r>
        <w:rPr>
          <w:rFonts w:hint="eastAsia" w:ascii="仿宋" w:hAnsi="仿宋" w:eastAsia="仿宋"/>
          <w:color w:val="000000" w:themeColor="text1"/>
          <w:sz w:val="28"/>
          <w:szCs w:val="28"/>
        </w:rPr>
        <w:t xml:space="preserve">超出响应承诺以外的其他要求，对征集人的不正当要求和违规行为进行投诉，并要求有关部门做出处理。 </w:t>
      </w:r>
    </w:p>
    <w:p w14:paraId="631FADAA">
      <w:pPr>
        <w:rPr>
          <w:rFonts w:ascii="仿宋" w:hAnsi="仿宋" w:eastAsia="仿宋"/>
          <w:color w:val="000000" w:themeColor="text1"/>
          <w:sz w:val="28"/>
          <w:szCs w:val="28"/>
        </w:rPr>
      </w:pPr>
      <w:r>
        <w:rPr>
          <w:rFonts w:hint="eastAsia" w:ascii="仿宋" w:hAnsi="仿宋" w:eastAsia="仿宋"/>
          <w:color w:val="000000" w:themeColor="text1"/>
          <w:sz w:val="28"/>
          <w:szCs w:val="28"/>
        </w:rPr>
        <w:t>（3）有权拒绝任何个人以采购人名义按照协议价格提供服务和进行现金交易。</w:t>
      </w:r>
    </w:p>
    <w:p w14:paraId="471F8D99">
      <w:pPr>
        <w:rPr>
          <w:rFonts w:ascii="仿宋" w:hAnsi="仿宋" w:eastAsia="仿宋"/>
          <w:color w:val="000000" w:themeColor="text1"/>
          <w:sz w:val="28"/>
          <w:szCs w:val="28"/>
        </w:rPr>
      </w:pPr>
      <w:r>
        <w:rPr>
          <w:rFonts w:hint="eastAsia" w:ascii="仿宋" w:hAnsi="仿宋" w:eastAsia="仿宋"/>
          <w:color w:val="000000" w:themeColor="text1"/>
          <w:sz w:val="28"/>
          <w:szCs w:val="28"/>
        </w:rPr>
        <w:t>9.4 乙方</w:t>
      </w:r>
      <w:r>
        <w:rPr>
          <w:rFonts w:ascii="仿宋" w:hAnsi="仿宋" w:eastAsia="仿宋"/>
          <w:color w:val="000000" w:themeColor="text1"/>
          <w:sz w:val="28"/>
          <w:szCs w:val="28"/>
        </w:rPr>
        <w:t>的义务</w:t>
      </w:r>
    </w:p>
    <w:p w14:paraId="4DA483F1">
      <w:pP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（1）严格执行国家法律法规，严格按照响应文件承诺的价格和服务履约，遵守本合同条款。 </w:t>
      </w:r>
    </w:p>
    <w:p w14:paraId="66B38E9B">
      <w:pPr>
        <w:rPr>
          <w:rFonts w:ascii="仿宋" w:hAnsi="仿宋" w:eastAsia="仿宋"/>
          <w:color w:val="000000" w:themeColor="text1"/>
          <w:sz w:val="28"/>
          <w:szCs w:val="28"/>
        </w:rPr>
      </w:pPr>
      <w:r>
        <w:rPr>
          <w:rFonts w:hint="eastAsia" w:ascii="仿宋" w:hAnsi="仿宋" w:eastAsia="仿宋"/>
          <w:color w:val="000000" w:themeColor="text1"/>
          <w:sz w:val="28"/>
          <w:szCs w:val="28"/>
        </w:rPr>
        <w:t>（2）随时接受并配合甲方的监督检查，并配合财政部门对征集人和其他入围供应商对框架</w:t>
      </w:r>
      <w:r>
        <w:rPr>
          <w:rFonts w:ascii="仿宋" w:hAnsi="仿宋" w:eastAsia="仿宋"/>
          <w:color w:val="000000" w:themeColor="text1"/>
          <w:sz w:val="28"/>
          <w:szCs w:val="28"/>
        </w:rPr>
        <w:t>协议</w:t>
      </w:r>
      <w:r>
        <w:rPr>
          <w:rFonts w:hint="eastAsia" w:ascii="仿宋" w:hAnsi="仿宋" w:eastAsia="仿宋"/>
          <w:color w:val="000000" w:themeColor="text1"/>
          <w:sz w:val="28"/>
          <w:szCs w:val="28"/>
        </w:rPr>
        <w:t>执行情况进行监督，发现违规违约情形的，及时向财政部门报告。</w:t>
      </w:r>
    </w:p>
    <w:p w14:paraId="6D1BF5CA">
      <w:pPr>
        <w:rPr>
          <w:rFonts w:ascii="仿宋" w:hAnsi="仿宋" w:eastAsia="仿宋"/>
          <w:color w:val="000000" w:themeColor="text1"/>
          <w:sz w:val="28"/>
          <w:szCs w:val="28"/>
        </w:rPr>
      </w:pPr>
      <w:r>
        <w:rPr>
          <w:rFonts w:hint="eastAsia" w:ascii="仿宋" w:hAnsi="仿宋" w:eastAsia="仿宋"/>
          <w:color w:val="000000" w:themeColor="text1"/>
          <w:sz w:val="28"/>
          <w:szCs w:val="28"/>
        </w:rPr>
        <w:t>（3）在框架</w:t>
      </w:r>
      <w:r>
        <w:rPr>
          <w:rFonts w:ascii="仿宋" w:hAnsi="仿宋" w:eastAsia="仿宋"/>
          <w:color w:val="000000" w:themeColor="text1"/>
          <w:sz w:val="28"/>
          <w:szCs w:val="28"/>
        </w:rPr>
        <w:t>协议</w:t>
      </w:r>
      <w:r>
        <w:rPr>
          <w:rFonts w:hint="eastAsia" w:ascii="仿宋" w:hAnsi="仿宋" w:eastAsia="仿宋"/>
          <w:color w:val="000000" w:themeColor="text1"/>
          <w:sz w:val="28"/>
          <w:szCs w:val="28"/>
        </w:rPr>
        <w:t>有效期内，按照不高于协议</w:t>
      </w:r>
      <w:r>
        <w:rPr>
          <w:rFonts w:ascii="仿宋" w:hAnsi="仿宋" w:eastAsia="仿宋"/>
          <w:color w:val="000000" w:themeColor="text1"/>
          <w:sz w:val="28"/>
          <w:szCs w:val="28"/>
        </w:rPr>
        <w:t>价格</w:t>
      </w:r>
      <w:r>
        <w:rPr>
          <w:rFonts w:hint="eastAsia" w:ascii="仿宋" w:hAnsi="仿宋" w:eastAsia="仿宋"/>
          <w:color w:val="000000" w:themeColor="text1"/>
          <w:sz w:val="28"/>
          <w:szCs w:val="28"/>
        </w:rPr>
        <w:t xml:space="preserve">的价格，向征集人提供相关服务。 </w:t>
      </w:r>
    </w:p>
    <w:p w14:paraId="28E4042A">
      <w:pPr>
        <w:rPr>
          <w:rFonts w:ascii="仿宋" w:hAnsi="仿宋" w:eastAsia="仿宋"/>
          <w:color w:val="000000" w:themeColor="text1"/>
          <w:sz w:val="28"/>
          <w:szCs w:val="28"/>
        </w:rPr>
      </w:pPr>
      <w:r>
        <w:rPr>
          <w:rFonts w:hint="eastAsia" w:ascii="仿宋" w:hAnsi="仿宋" w:eastAsia="仿宋"/>
          <w:color w:val="000000" w:themeColor="text1"/>
          <w:sz w:val="28"/>
          <w:szCs w:val="28"/>
        </w:rPr>
        <w:t>十、违约责任</w:t>
      </w:r>
    </w:p>
    <w:p w14:paraId="7B21240D">
      <w:pPr>
        <w:rPr>
          <w:rFonts w:ascii="仿宋" w:hAnsi="仿宋" w:eastAsia="仿宋"/>
          <w:color w:val="000000" w:themeColor="text1"/>
          <w:sz w:val="28"/>
          <w:szCs w:val="28"/>
        </w:rPr>
      </w:pPr>
      <w:r>
        <w:rPr>
          <w:rFonts w:hint="eastAsia" w:ascii="仿宋" w:hAnsi="仿宋" w:eastAsia="仿宋"/>
          <w:color w:val="000000" w:themeColor="text1"/>
          <w:sz w:val="28"/>
          <w:szCs w:val="28"/>
        </w:rPr>
        <w:t>1、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C58810A">
      <w:pPr>
        <w:rPr>
          <w:rFonts w:ascii="仿宋" w:hAnsi="仿宋" w:eastAsia="仿宋"/>
          <w:color w:val="000000" w:themeColor="text1"/>
          <w:sz w:val="28"/>
          <w:szCs w:val="28"/>
        </w:rPr>
      </w:pPr>
      <w:r>
        <w:rPr>
          <w:rFonts w:hint="eastAsia" w:ascii="仿宋" w:hAnsi="仿宋" w:eastAsia="仿宋"/>
          <w:color w:val="000000" w:themeColor="text1"/>
          <w:sz w:val="28"/>
          <w:szCs w:val="28"/>
        </w:rPr>
        <w:t>2、如果出现政府采购监督管理部门在处理投诉事项期间，书面通知甲方暂停采购活动的情形，或者询问或质疑事项可能影响入围结果的，导致甲方中止履行合同的情形，均不视为甲方违约。</w:t>
      </w:r>
    </w:p>
    <w:p w14:paraId="06C8A92C">
      <w:pPr>
        <w:rPr>
          <w:rFonts w:ascii="仿宋" w:hAnsi="仿宋" w:eastAsia="仿宋"/>
          <w:color w:val="000000" w:themeColor="text1"/>
          <w:sz w:val="28"/>
          <w:szCs w:val="28"/>
        </w:rPr>
      </w:pPr>
      <w:r>
        <w:rPr>
          <w:rFonts w:hint="eastAsia" w:ascii="仿宋" w:hAnsi="仿宋" w:eastAsia="仿宋"/>
          <w:color w:val="000000" w:themeColor="text1"/>
          <w:sz w:val="28"/>
          <w:szCs w:val="28"/>
        </w:rPr>
        <w:t>十一、其他约定事项</w:t>
      </w:r>
    </w:p>
    <w:p w14:paraId="6734E0A1">
      <w:pPr>
        <w:spacing w:line="560" w:lineRule="exac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1、乙方必须严格按合同要求进行服务，不得擅自变更。如确需变更，经报甲方审查批准后，方可实施。</w:t>
      </w:r>
    </w:p>
    <w:p w14:paraId="5775B755">
      <w:pPr>
        <w:spacing w:line="560" w:lineRule="exac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2、双方当事人应当保守在履行本合同过程中获知的对方商业秘密。</w:t>
      </w:r>
    </w:p>
    <w:p w14:paraId="310D9D8D">
      <w:pPr>
        <w:spacing w:line="560" w:lineRule="exact"/>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3、未经甲方事先书面同意，乙方不得部分转让或全部转让其应履行的合同义务。</w:t>
      </w:r>
    </w:p>
    <w:p w14:paraId="199E1868">
      <w:pPr>
        <w:spacing w:line="560" w:lineRule="exact"/>
        <w:rPr>
          <w:rFonts w:ascii="仿宋" w:hAnsi="仿宋" w:eastAsia="仿宋"/>
          <w:color w:val="000000" w:themeColor="text1"/>
          <w:sz w:val="28"/>
          <w:szCs w:val="28"/>
        </w:rPr>
      </w:pPr>
      <w:r>
        <w:rPr>
          <w:rFonts w:hint="eastAsia" w:ascii="仿宋" w:hAnsi="仿宋" w:eastAsia="仿宋"/>
          <w:color w:val="000000" w:themeColor="text1"/>
          <w:sz w:val="28"/>
          <w:szCs w:val="28"/>
        </w:rPr>
        <w:t>十二、合同争议的解决</w:t>
      </w:r>
    </w:p>
    <w:p w14:paraId="0BB70121">
      <w:pPr>
        <w:spacing w:line="56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本合同在履行过程中发生的争议，由双方当事人协商解决；协商不成的，向人民法院起诉。</w:t>
      </w:r>
    </w:p>
    <w:p w14:paraId="2F569AEF">
      <w:pPr>
        <w:spacing w:line="560" w:lineRule="exact"/>
        <w:rPr>
          <w:rFonts w:ascii="仿宋" w:hAnsi="仿宋" w:eastAsia="仿宋" w:cs="宋体"/>
          <w:color w:val="000000" w:themeColor="text1"/>
          <w:sz w:val="28"/>
          <w:szCs w:val="28"/>
        </w:rPr>
      </w:pPr>
      <w:r>
        <w:rPr>
          <w:rFonts w:hint="eastAsia" w:ascii="仿宋" w:hAnsi="仿宋" w:eastAsia="仿宋"/>
          <w:color w:val="000000" w:themeColor="text1"/>
          <w:sz w:val="28"/>
          <w:szCs w:val="28"/>
        </w:rPr>
        <w:t>十三、</w:t>
      </w:r>
      <w:r>
        <w:rPr>
          <w:rFonts w:hint="eastAsia" w:ascii="仿宋" w:hAnsi="仿宋" w:eastAsia="仿宋" w:cs="宋体"/>
          <w:color w:val="000000" w:themeColor="text1"/>
          <w:sz w:val="28"/>
          <w:szCs w:val="28"/>
        </w:rPr>
        <w:t>本合同自签订之日起生效，未尽事宜按《中华人民共和国民法典》执行。</w:t>
      </w:r>
      <w:r>
        <w:rPr>
          <w:rFonts w:ascii="仿宋" w:hAnsi="仿宋" w:eastAsia="仿宋" w:cs="宋体"/>
          <w:color w:val="000000" w:themeColor="text1"/>
          <w:sz w:val="28"/>
          <w:szCs w:val="28"/>
        </w:rPr>
        <w:t>本</w:t>
      </w:r>
      <w:r>
        <w:rPr>
          <w:rFonts w:hint="eastAsia" w:ascii="仿宋" w:hAnsi="仿宋" w:eastAsia="仿宋" w:cs="宋体"/>
          <w:color w:val="000000" w:themeColor="text1"/>
          <w:sz w:val="28"/>
          <w:szCs w:val="28"/>
        </w:rPr>
        <w:t>框架</w:t>
      </w:r>
      <w:r>
        <w:rPr>
          <w:rFonts w:ascii="仿宋" w:hAnsi="仿宋" w:eastAsia="仿宋" w:cs="宋体"/>
          <w:color w:val="000000" w:themeColor="text1"/>
          <w:sz w:val="28"/>
          <w:szCs w:val="28"/>
        </w:rPr>
        <w:t>协议</w:t>
      </w:r>
      <w:r>
        <w:rPr>
          <w:rFonts w:hint="eastAsia" w:ascii="仿宋" w:hAnsi="仿宋" w:eastAsia="仿宋" w:cs="宋体"/>
          <w:color w:val="000000" w:themeColor="text1"/>
          <w:sz w:val="28"/>
          <w:szCs w:val="28"/>
        </w:rPr>
        <w:t>文本正本</w:t>
      </w:r>
      <w:r>
        <w:rPr>
          <w:rFonts w:ascii="仿宋" w:hAnsi="仿宋" w:eastAsia="仿宋" w:cs="宋体"/>
          <w:color w:val="000000" w:themeColor="text1"/>
          <w:sz w:val="28"/>
          <w:szCs w:val="28"/>
        </w:rPr>
        <w:t>一式</w:t>
      </w:r>
      <w:r>
        <w:rPr>
          <w:rFonts w:hint="eastAsia" w:ascii="仿宋" w:hAnsi="仿宋" w:eastAsia="仿宋" w:cs="宋体"/>
          <w:color w:val="000000" w:themeColor="text1"/>
          <w:sz w:val="28"/>
          <w:szCs w:val="28"/>
        </w:rPr>
        <w:t>两</w:t>
      </w:r>
      <w:r>
        <w:rPr>
          <w:rFonts w:ascii="仿宋" w:hAnsi="仿宋" w:eastAsia="仿宋" w:cs="宋体"/>
          <w:color w:val="000000" w:themeColor="text1"/>
          <w:sz w:val="28"/>
          <w:szCs w:val="28"/>
        </w:rPr>
        <w:t>份，具有同等法律效力，甲</w:t>
      </w:r>
      <w:r>
        <w:rPr>
          <w:rFonts w:hint="eastAsia" w:ascii="仿宋" w:hAnsi="仿宋" w:eastAsia="仿宋" w:cs="宋体"/>
          <w:color w:val="000000" w:themeColor="text1"/>
          <w:sz w:val="28"/>
          <w:szCs w:val="28"/>
        </w:rPr>
        <w:t>方、</w:t>
      </w:r>
      <w:r>
        <w:rPr>
          <w:rFonts w:ascii="仿宋" w:hAnsi="仿宋" w:eastAsia="仿宋" w:cs="宋体"/>
          <w:color w:val="000000" w:themeColor="text1"/>
          <w:sz w:val="28"/>
          <w:szCs w:val="28"/>
        </w:rPr>
        <w:t>乙方各执一份</w:t>
      </w:r>
      <w:r>
        <w:rPr>
          <w:rFonts w:hint="eastAsia" w:ascii="仿宋" w:hAnsi="仿宋" w:eastAsia="仿宋" w:cs="宋体"/>
          <w:color w:val="000000" w:themeColor="text1"/>
          <w:sz w:val="28"/>
          <w:szCs w:val="28"/>
        </w:rPr>
        <w:t>。</w:t>
      </w:r>
    </w:p>
    <w:p w14:paraId="2CE92432">
      <w:pPr>
        <w:rPr>
          <w:color w:val="000000" w:themeColor="text1"/>
        </w:rPr>
      </w:pPr>
    </w:p>
    <w:bookmarkEnd w:id="47"/>
    <w:bookmarkEnd w:id="48"/>
    <w:bookmarkEnd w:id="49"/>
    <w:p w14:paraId="76FACD77">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甲方（采购方）：（盖章）                乙方（供应商）：（盖章）</w:t>
      </w:r>
    </w:p>
    <w:p w14:paraId="2270E172">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单 位 名称：                          单 位 名称：</w:t>
      </w:r>
    </w:p>
    <w:p w14:paraId="591A8175">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地 址：                               地 址：</w:t>
      </w:r>
    </w:p>
    <w:p w14:paraId="63C58EF1">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法定代表人：                          法定代表人：</w:t>
      </w:r>
    </w:p>
    <w:p w14:paraId="452885C2">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委托代理人：                          委托代理人：</w:t>
      </w:r>
    </w:p>
    <w:p w14:paraId="025C17C1">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电 话：                               电 话：</w:t>
      </w:r>
    </w:p>
    <w:p w14:paraId="3872179D">
      <w:pPr>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签 订 日期：  年 月 日              签 订 日期：    年  月 日</w:t>
      </w:r>
    </w:p>
    <w:p w14:paraId="63A91F8D">
      <w:pPr>
        <w:tabs>
          <w:tab w:val="left" w:pos="1440"/>
        </w:tabs>
        <w:spacing w:line="480" w:lineRule="auto"/>
        <w:jc w:val="left"/>
        <w:outlineLvl w:val="0"/>
        <w:rPr>
          <w:rFonts w:ascii="黑体" w:hAnsi="宋体" w:eastAsia="黑体"/>
          <w:bCs/>
          <w:color w:val="000000" w:themeColor="text1"/>
          <w:sz w:val="36"/>
        </w:rPr>
      </w:pPr>
    </w:p>
    <w:p w14:paraId="1A38EAB8">
      <w:pPr>
        <w:tabs>
          <w:tab w:val="left" w:pos="1440"/>
        </w:tabs>
        <w:spacing w:line="480" w:lineRule="auto"/>
        <w:jc w:val="left"/>
        <w:outlineLvl w:val="0"/>
        <w:rPr>
          <w:rFonts w:ascii="黑体" w:hAnsi="宋体" w:eastAsia="黑体"/>
          <w:color w:val="000000" w:themeColor="text1"/>
          <w:sz w:val="36"/>
        </w:rPr>
      </w:pPr>
      <w:r>
        <w:rPr>
          <w:rFonts w:hint="eastAsia" w:ascii="黑体" w:hAnsi="宋体" w:eastAsia="黑体"/>
          <w:color w:val="000000" w:themeColor="text1"/>
          <w:sz w:val="36"/>
        </w:rPr>
        <w:t>第五章 采购合同文本</w:t>
      </w:r>
    </w:p>
    <w:p w14:paraId="788BF5B6">
      <w:pPr>
        <w:rPr>
          <w:rFonts w:ascii="宋体" w:hAnsi="宋体"/>
        </w:rPr>
      </w:pPr>
    </w:p>
    <w:p w14:paraId="5B9DE538">
      <w:pPr>
        <w:rPr>
          <w:rFonts w:ascii="宋体" w:hAnsi="宋体"/>
          <w:u w:val="single"/>
        </w:rPr>
      </w:pPr>
      <w:r>
        <w:rPr>
          <w:rFonts w:hint="eastAsia" w:ascii="宋体" w:hAnsi="宋体"/>
        </w:rPr>
        <w:t>项目编号：</w:t>
      </w:r>
    </w:p>
    <w:p w14:paraId="682AA4E3">
      <w:pPr>
        <w:snapToGrid w:val="0"/>
        <w:spacing w:line="360" w:lineRule="auto"/>
        <w:jc w:val="center"/>
        <w:rPr>
          <w:rFonts w:ascii="宋体" w:hAnsi="宋体"/>
          <w:b/>
          <w:sz w:val="28"/>
          <w:szCs w:val="28"/>
        </w:rPr>
      </w:pPr>
    </w:p>
    <w:p w14:paraId="1117B70B">
      <w:pPr>
        <w:snapToGrid w:val="0"/>
        <w:spacing w:line="360" w:lineRule="auto"/>
        <w:jc w:val="center"/>
        <w:rPr>
          <w:rFonts w:ascii="宋体" w:hAnsi="宋体"/>
          <w:b/>
        </w:rPr>
      </w:pPr>
    </w:p>
    <w:p w14:paraId="6B227FF9">
      <w:pPr>
        <w:snapToGrid w:val="0"/>
        <w:spacing w:line="360" w:lineRule="auto"/>
        <w:jc w:val="center"/>
        <w:rPr>
          <w:rFonts w:ascii="宋体" w:hAnsi="宋体"/>
          <w:b/>
          <w:sz w:val="36"/>
          <w:szCs w:val="36"/>
        </w:rPr>
      </w:pPr>
      <w:r>
        <w:rPr>
          <w:rFonts w:hint="eastAsia" w:ascii="宋体" w:hAnsi="宋体"/>
          <w:b/>
          <w:sz w:val="36"/>
          <w:szCs w:val="36"/>
        </w:rPr>
        <w:t>政府采购合同参考范本</w:t>
      </w:r>
    </w:p>
    <w:p w14:paraId="7F0E46D7">
      <w:pPr>
        <w:snapToGrid w:val="0"/>
        <w:spacing w:line="360" w:lineRule="auto"/>
        <w:jc w:val="center"/>
        <w:rPr>
          <w:rFonts w:ascii="宋体" w:hAnsi="宋体"/>
          <w:b/>
          <w:sz w:val="36"/>
          <w:szCs w:val="36"/>
        </w:rPr>
      </w:pPr>
      <w:r>
        <w:rPr>
          <w:rFonts w:hint="eastAsia" w:ascii="宋体" w:hAnsi="宋体"/>
          <w:b/>
          <w:sz w:val="36"/>
          <w:szCs w:val="36"/>
        </w:rPr>
        <w:t>（服务类）</w:t>
      </w:r>
    </w:p>
    <w:p w14:paraId="3BF2CCBE">
      <w:pPr>
        <w:autoSpaceDE w:val="0"/>
        <w:autoSpaceDN w:val="0"/>
        <w:snapToGrid w:val="0"/>
        <w:spacing w:line="360" w:lineRule="auto"/>
        <w:ind w:left="420" w:leftChars="200" w:firstLine="2488" w:firstLineChars="1180"/>
        <w:rPr>
          <w:rFonts w:ascii="宋体" w:hAnsi="宋体"/>
          <w:b/>
        </w:rPr>
      </w:pPr>
      <w:r>
        <w:rPr>
          <w:rFonts w:hint="eastAsia" w:ascii="宋体" w:hAnsi="宋体"/>
          <w:b/>
        </w:rPr>
        <w:t>第一部分 合同书</w:t>
      </w:r>
    </w:p>
    <w:p w14:paraId="213554E7">
      <w:pPr>
        <w:snapToGrid w:val="0"/>
        <w:spacing w:line="360" w:lineRule="auto"/>
        <w:rPr>
          <w:rFonts w:ascii="宋体" w:hAnsi="宋体"/>
        </w:rPr>
      </w:pPr>
    </w:p>
    <w:p w14:paraId="1BD10FEC">
      <w:pPr>
        <w:keepNext/>
        <w:keepLines/>
        <w:tabs>
          <w:tab w:val="left" w:pos="432"/>
        </w:tabs>
        <w:snapToGrid w:val="0"/>
        <w:spacing w:line="360" w:lineRule="auto"/>
        <w:outlineLvl w:val="1"/>
        <w:rPr>
          <w:rFonts w:ascii="宋体" w:hAnsi="宋体"/>
          <w:b/>
          <w:bCs/>
          <w:sz w:val="32"/>
          <w:szCs w:val="32"/>
        </w:rPr>
      </w:pPr>
    </w:p>
    <w:p w14:paraId="612E88FD">
      <w:pPr>
        <w:snapToGrid w:val="0"/>
        <w:spacing w:line="360" w:lineRule="auto"/>
        <w:ind w:left="960"/>
        <w:rPr>
          <w:rFonts w:ascii="宋体" w:hAnsi="宋体"/>
        </w:rPr>
      </w:pPr>
      <w:r>
        <w:rPr>
          <w:rFonts w:hint="eastAsia" w:ascii="宋体" w:hAnsi="宋体"/>
        </w:rPr>
        <w:t>项目名称：2025-2027年度铜陵市公务用车维修保养服务框架协议采购</w:t>
      </w:r>
    </w:p>
    <w:p w14:paraId="56FCB564">
      <w:pPr>
        <w:snapToGrid w:val="0"/>
        <w:spacing w:line="360" w:lineRule="auto"/>
        <w:rPr>
          <w:rFonts w:ascii="宋体" w:hAnsi="宋体"/>
        </w:rPr>
      </w:pPr>
    </w:p>
    <w:p w14:paraId="7C32F996">
      <w:pPr>
        <w:snapToGrid w:val="0"/>
        <w:spacing w:line="360" w:lineRule="auto"/>
        <w:rPr>
          <w:rFonts w:ascii="宋体" w:hAnsi="宋体"/>
        </w:rPr>
      </w:pPr>
    </w:p>
    <w:p w14:paraId="7A48ED9A">
      <w:pPr>
        <w:snapToGrid w:val="0"/>
        <w:spacing w:line="360" w:lineRule="auto"/>
        <w:ind w:left="960"/>
        <w:rPr>
          <w:rFonts w:ascii="宋体" w:hAnsi="宋体"/>
          <w:u w:val="single"/>
        </w:rPr>
      </w:pPr>
      <w:r>
        <w:rPr>
          <w:rFonts w:hint="eastAsia" w:ascii="宋体" w:hAnsi="宋体"/>
        </w:rPr>
        <w:t>甲方：</w:t>
      </w:r>
      <w:r>
        <w:rPr>
          <w:rFonts w:hint="eastAsia" w:ascii="仿宋" w:hAnsi="仿宋" w:eastAsia="仿宋"/>
          <w:sz w:val="28"/>
          <w:szCs w:val="28"/>
        </w:rPr>
        <w:t xml:space="preserve"> </w:t>
      </w:r>
    </w:p>
    <w:p w14:paraId="1292423A">
      <w:pPr>
        <w:snapToGrid w:val="0"/>
        <w:spacing w:line="360" w:lineRule="auto"/>
        <w:rPr>
          <w:rFonts w:ascii="宋体" w:hAnsi="宋体"/>
        </w:rPr>
      </w:pPr>
    </w:p>
    <w:p w14:paraId="4E503BA6">
      <w:pPr>
        <w:snapToGrid w:val="0"/>
        <w:spacing w:line="360" w:lineRule="auto"/>
        <w:ind w:left="960"/>
        <w:rPr>
          <w:rFonts w:ascii="宋体" w:hAnsi="宋体"/>
          <w:u w:val="single"/>
        </w:rPr>
      </w:pPr>
      <w:r>
        <w:rPr>
          <w:rFonts w:hint="eastAsia" w:ascii="宋体" w:hAnsi="宋体"/>
        </w:rPr>
        <w:t>乙方：</w:t>
      </w:r>
    </w:p>
    <w:p w14:paraId="52EC5024">
      <w:pPr>
        <w:snapToGrid w:val="0"/>
        <w:spacing w:line="360" w:lineRule="auto"/>
        <w:rPr>
          <w:rFonts w:ascii="宋体" w:hAnsi="宋体"/>
        </w:rPr>
      </w:pPr>
    </w:p>
    <w:p w14:paraId="5DA637A5">
      <w:pPr>
        <w:snapToGrid w:val="0"/>
        <w:spacing w:line="360" w:lineRule="auto"/>
        <w:ind w:firstLine="840" w:firstLineChars="400"/>
        <w:rPr>
          <w:rFonts w:ascii="宋体" w:hAnsi="宋体"/>
          <w:u w:val="single"/>
        </w:rPr>
      </w:pPr>
      <w:r>
        <w:rPr>
          <w:rFonts w:hint="eastAsia" w:ascii="宋体" w:hAnsi="宋体"/>
        </w:rPr>
        <w:t>签订地：</w:t>
      </w:r>
    </w:p>
    <w:p w14:paraId="68B39511">
      <w:pPr>
        <w:snapToGrid w:val="0"/>
        <w:spacing w:line="360" w:lineRule="auto"/>
        <w:rPr>
          <w:rFonts w:ascii="宋体" w:hAnsi="宋体"/>
        </w:rPr>
      </w:pPr>
    </w:p>
    <w:p w14:paraId="18241062">
      <w:pPr>
        <w:snapToGrid w:val="0"/>
        <w:spacing w:line="360" w:lineRule="auto"/>
        <w:ind w:firstLine="840" w:firstLineChars="400"/>
        <w:rPr>
          <w:rFonts w:ascii="宋体" w:hAnsi="宋体"/>
          <w:u w:val="single"/>
        </w:rPr>
      </w:pPr>
      <w:r>
        <w:rPr>
          <w:rFonts w:hint="eastAsia" w:ascii="宋体" w:hAnsi="宋体"/>
        </w:rPr>
        <w:t>签订日期： 年 月 日</w:t>
      </w:r>
    </w:p>
    <w:p w14:paraId="3C085AA6">
      <w:pPr>
        <w:widowControl/>
        <w:snapToGrid w:val="0"/>
        <w:spacing w:line="360" w:lineRule="auto"/>
        <w:sectPr>
          <w:footerReference r:id="rId3" w:type="default"/>
          <w:pgSz w:w="11907" w:h="16840"/>
          <w:pgMar w:top="1474" w:right="1814" w:bottom="1474" w:left="1814" w:header="851" w:footer="851" w:gutter="0"/>
          <w:cols w:space="720" w:num="1"/>
        </w:sectPr>
      </w:pPr>
    </w:p>
    <w:p w14:paraId="28A101C6">
      <w:pPr>
        <w:snapToGrid w:val="0"/>
        <w:spacing w:line="360" w:lineRule="auto"/>
        <w:ind w:left="960"/>
        <w:rPr>
          <w:rFonts w:ascii="宋体" w:hAnsi="宋体"/>
          <w:u w:val="single"/>
        </w:rPr>
      </w:pPr>
      <w:r>
        <w:rPr>
          <w:rFonts w:hint="eastAsia" w:ascii="宋体" w:hAnsi="宋体"/>
          <w:lang w:val="zh-CN"/>
        </w:rPr>
        <w:t>年月日</w:t>
      </w:r>
      <w:r>
        <w:rPr>
          <w:rFonts w:hint="eastAsia" w:ascii="宋体" w:hAnsi="宋体"/>
        </w:rPr>
        <w:t>，</w:t>
      </w:r>
      <w:r>
        <w:rPr>
          <w:rFonts w:hint="eastAsia" w:ascii="宋体" w:hAnsi="宋体"/>
          <w:u w:val="single"/>
        </w:rPr>
        <w:t>（</w:t>
      </w:r>
      <w:r>
        <w:rPr>
          <w:rFonts w:hint="eastAsia" w:asciiTheme="minorEastAsia" w:hAnsiTheme="minorEastAsia" w:eastAsiaTheme="minorEastAsia"/>
          <w:u w:val="single"/>
        </w:rPr>
        <w:t>征集</w:t>
      </w:r>
      <w:r>
        <w:rPr>
          <w:rFonts w:hint="eastAsia" w:ascii="宋体" w:hAnsi="宋体"/>
          <w:u w:val="single"/>
        </w:rPr>
        <w:t>人）</w:t>
      </w:r>
      <w:r>
        <w:rPr>
          <w:rFonts w:hint="eastAsia" w:ascii="宋体" w:hAnsi="宋体"/>
        </w:rPr>
        <w:t>以</w:t>
      </w:r>
      <w:r>
        <w:rPr>
          <w:rFonts w:hint="eastAsia" w:asciiTheme="minorEastAsia" w:hAnsiTheme="minorEastAsia" w:eastAsiaTheme="minorEastAsia"/>
          <w:u w:val="single"/>
        </w:rPr>
        <w:t>框架协议方式</w:t>
      </w:r>
      <w:r>
        <w:rPr>
          <w:rFonts w:hint="eastAsia" w:ascii="宋体" w:hAnsi="宋体"/>
        </w:rPr>
        <w:t>对</w:t>
      </w:r>
      <w:r>
        <w:rPr>
          <w:rFonts w:hint="eastAsia" w:ascii="宋体" w:hAnsi="宋体"/>
          <w:u w:val="single"/>
        </w:rPr>
        <w:t>2025-2027年铜陵市公务用车维修保养服务框架协</w:t>
      </w:r>
    </w:p>
    <w:p w14:paraId="783AFC31">
      <w:pPr>
        <w:snapToGrid w:val="0"/>
        <w:spacing w:line="360" w:lineRule="auto"/>
        <w:rPr>
          <w:rFonts w:ascii="宋体" w:hAnsi="宋体"/>
        </w:rPr>
      </w:pPr>
      <w:r>
        <w:rPr>
          <w:rFonts w:hint="eastAsia" w:ascii="宋体" w:hAnsi="宋体"/>
          <w:u w:val="single"/>
        </w:rPr>
        <w:t>议采购</w:t>
      </w:r>
      <w:r>
        <w:rPr>
          <w:rFonts w:hint="eastAsia" w:ascii="宋体" w:hAnsi="宋体"/>
        </w:rPr>
        <w:t>进行了采购。经</w:t>
      </w:r>
      <w:r>
        <w:rPr>
          <w:rFonts w:hint="eastAsia" w:ascii="宋体" w:hAnsi="宋体"/>
          <w:u w:val="single"/>
        </w:rPr>
        <w:t>具体</w:t>
      </w:r>
      <w:r>
        <w:rPr>
          <w:rFonts w:hint="eastAsia" w:asciiTheme="minorEastAsia" w:hAnsiTheme="minorEastAsia" w:eastAsiaTheme="minorEastAsia"/>
          <w:u w:val="single"/>
        </w:rPr>
        <w:t>用车单位</w:t>
      </w:r>
      <w:r>
        <w:rPr>
          <w:rFonts w:hint="eastAsia" w:asciiTheme="minorEastAsia" w:hAnsiTheme="minorEastAsia" w:eastAsiaTheme="minorEastAsia"/>
        </w:rPr>
        <w:t>直接</w:t>
      </w:r>
      <w:r>
        <w:rPr>
          <w:rFonts w:hint="eastAsia" w:ascii="宋体" w:hAnsi="宋体"/>
        </w:rPr>
        <w:t>选定，</w:t>
      </w:r>
      <w:r>
        <w:rPr>
          <w:rFonts w:hint="eastAsia" w:ascii="宋体" w:hAnsi="宋体"/>
          <w:u w:val="single"/>
        </w:rPr>
        <w:t xml:space="preserve">      </w:t>
      </w:r>
      <w:r>
        <w:rPr>
          <w:rFonts w:hint="eastAsia" w:ascii="宋体" w:hAnsi="宋体"/>
        </w:rPr>
        <w:t>为该项目</w:t>
      </w:r>
      <w:r>
        <w:rPr>
          <w:rFonts w:hint="eastAsia" w:asciiTheme="minorEastAsia" w:hAnsiTheme="minorEastAsia" w:eastAsiaTheme="minorEastAsia"/>
        </w:rPr>
        <w:t>成交供应商</w:t>
      </w:r>
      <w:r>
        <w:rPr>
          <w:rFonts w:hint="eastAsia" w:ascii="宋体" w:hAnsi="宋体"/>
        </w:rPr>
        <w:t>。现按照</w:t>
      </w:r>
      <w:r>
        <w:rPr>
          <w:rFonts w:hint="eastAsia" w:asciiTheme="minorEastAsia" w:hAnsiTheme="minorEastAsia" w:eastAsiaTheme="minorEastAsia"/>
        </w:rPr>
        <w:t>征集</w:t>
      </w:r>
      <w:r>
        <w:rPr>
          <w:rFonts w:hint="eastAsia" w:ascii="宋体" w:hAnsi="宋体"/>
        </w:rPr>
        <w:t>文件确定的事项签订本合同。</w:t>
      </w:r>
    </w:p>
    <w:p w14:paraId="78A47741">
      <w:pPr>
        <w:snapToGrid w:val="0"/>
        <w:spacing w:line="360" w:lineRule="auto"/>
        <w:ind w:firstLine="420" w:firstLineChars="200"/>
        <w:rPr>
          <w:rFonts w:ascii="宋体" w:hAnsi="宋体"/>
        </w:rPr>
      </w:pPr>
      <w:r>
        <w:rPr>
          <w:rFonts w:hint="eastAsia" w:ascii="宋体" w:hAnsi="宋体"/>
          <w:lang w:val="zh-CN"/>
        </w:rPr>
        <w:t>根据《中华人民共和国民法典》《中华人民共和国政府采购法》</w:t>
      </w:r>
      <w:r>
        <w:rPr>
          <w:rFonts w:hint="eastAsia" w:ascii="宋体" w:hAnsi="宋体"/>
        </w:rPr>
        <w:t>《政府采购框架协议采购方式管理暂行办法》</w:t>
      </w:r>
      <w:r>
        <w:rPr>
          <w:rFonts w:ascii="宋体" w:hAnsi="宋体"/>
        </w:rPr>
        <w:t xml:space="preserve"> </w:t>
      </w:r>
      <w:r>
        <w:rPr>
          <w:rFonts w:hint="eastAsia" w:ascii="宋体" w:hAnsi="宋体"/>
        </w:rPr>
        <w:t>（财政部令第</w:t>
      </w:r>
      <w:r>
        <w:rPr>
          <w:rFonts w:ascii="宋体" w:hAnsi="宋体"/>
        </w:rPr>
        <w:t>110</w:t>
      </w:r>
      <w:r>
        <w:rPr>
          <w:rFonts w:hint="eastAsia" w:ascii="宋体" w:hAnsi="宋体"/>
        </w:rPr>
        <w:t>号）等</w:t>
      </w:r>
      <w:r>
        <w:rPr>
          <w:rFonts w:hint="eastAsia" w:ascii="宋体" w:hAnsi="宋体"/>
          <w:lang w:val="zh-CN"/>
        </w:rPr>
        <w:t>相关法律法规之规定，按照平等、自愿、公平和诚实信用的原则，经</w:t>
      </w:r>
      <w:r>
        <w:rPr>
          <w:rFonts w:hint="eastAsia" w:ascii="宋体" w:hAnsi="宋体"/>
          <w:u w:val="single"/>
        </w:rPr>
        <w:t xml:space="preserve">   （各用车单位）   </w:t>
      </w:r>
      <w:r>
        <w:rPr>
          <w:rFonts w:hint="eastAsia" w:ascii="宋体" w:hAnsi="宋体"/>
          <w:lang w:val="zh-CN"/>
        </w:rPr>
        <w:t>(以下简称：甲方)和</w:t>
      </w:r>
      <w:r>
        <w:rPr>
          <w:rFonts w:hint="eastAsia" w:ascii="宋体" w:hAnsi="宋体"/>
          <w:u w:val="single"/>
        </w:rPr>
        <w:t xml:space="preserve">  （</w:t>
      </w:r>
      <w:r>
        <w:rPr>
          <w:rFonts w:hint="eastAsia" w:asciiTheme="minorEastAsia" w:hAnsiTheme="minorEastAsia" w:eastAsiaTheme="minorEastAsia"/>
          <w:u w:val="single"/>
        </w:rPr>
        <w:t>成交供应商</w:t>
      </w:r>
      <w:r>
        <w:rPr>
          <w:rFonts w:hint="eastAsia" w:ascii="宋体" w:hAnsi="宋体"/>
          <w:u w:val="single"/>
        </w:rPr>
        <w:t xml:space="preserve">）   </w:t>
      </w:r>
      <w:r>
        <w:rPr>
          <w:rFonts w:hint="eastAsia" w:ascii="宋体" w:hAnsi="宋体"/>
          <w:lang w:val="zh-CN"/>
        </w:rPr>
        <w:t>(以下简称：乙方)协商一致，约定以下合同</w:t>
      </w:r>
      <w:r>
        <w:rPr>
          <w:rFonts w:hint="eastAsia" w:ascii="宋体" w:hAnsi="宋体"/>
        </w:rPr>
        <w:t>条款，以兹共同遵守、全面履行。</w:t>
      </w:r>
    </w:p>
    <w:p w14:paraId="24D4EFA2">
      <w:pPr>
        <w:snapToGrid w:val="0"/>
        <w:spacing w:line="360" w:lineRule="auto"/>
        <w:ind w:firstLine="422" w:firstLineChars="200"/>
        <w:outlineLvl w:val="0"/>
        <w:rPr>
          <w:rFonts w:ascii="宋体" w:hAnsi="宋体"/>
        </w:rPr>
      </w:pPr>
      <w:bookmarkStart w:id="50" w:name="_Toc28855"/>
      <w:bookmarkStart w:id="51" w:name="_Toc22967"/>
      <w:bookmarkStart w:id="52" w:name="_Toc19273"/>
      <w:bookmarkStart w:id="53" w:name="_Toc15367"/>
      <w:bookmarkStart w:id="54" w:name="_Toc20421"/>
      <w:r>
        <w:rPr>
          <w:rFonts w:hint="eastAsia" w:ascii="宋体" w:hAnsi="宋体"/>
          <w:b/>
        </w:rPr>
        <w:t>1.1 合同组成部分</w:t>
      </w:r>
      <w:bookmarkEnd w:id="50"/>
      <w:bookmarkEnd w:id="51"/>
      <w:bookmarkEnd w:id="52"/>
      <w:bookmarkEnd w:id="53"/>
      <w:bookmarkEnd w:id="54"/>
    </w:p>
    <w:p w14:paraId="5C8732D6">
      <w:pPr>
        <w:snapToGrid w:val="0"/>
        <w:spacing w:line="360" w:lineRule="auto"/>
        <w:ind w:firstLine="420" w:firstLineChars="200"/>
        <w:rPr>
          <w:rFonts w:ascii="宋体" w:hAnsi="宋体"/>
        </w:rPr>
      </w:pPr>
      <w:r>
        <w:rPr>
          <w:rFonts w:hint="eastAsia" w:ascii="宋体" w:hAnsi="宋体"/>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A881807">
      <w:pPr>
        <w:snapToGrid w:val="0"/>
        <w:spacing w:line="360" w:lineRule="auto"/>
        <w:ind w:firstLine="420" w:firstLineChars="200"/>
        <w:rPr>
          <w:rFonts w:ascii="宋体" w:hAnsi="宋体"/>
        </w:rPr>
      </w:pPr>
      <w:r>
        <w:rPr>
          <w:rFonts w:hint="eastAsia" w:ascii="宋体" w:hAnsi="宋体"/>
        </w:rPr>
        <w:t>1.1.1 本合同及其补充合同、变更协议；</w:t>
      </w:r>
    </w:p>
    <w:p w14:paraId="29D1CB20">
      <w:pPr>
        <w:snapToGrid w:val="0"/>
        <w:spacing w:line="360" w:lineRule="auto"/>
        <w:ind w:firstLine="420" w:firstLineChars="200"/>
        <w:rPr>
          <w:rFonts w:ascii="宋体" w:hAnsi="宋体"/>
        </w:rPr>
      </w:pPr>
      <w:r>
        <w:rPr>
          <w:rFonts w:hint="eastAsia" w:ascii="宋体" w:hAnsi="宋体"/>
        </w:rPr>
        <w:t xml:space="preserve">1.1.2 </w:t>
      </w:r>
      <w:r>
        <w:rPr>
          <w:rFonts w:hint="eastAsia" w:asciiTheme="minorEastAsia" w:hAnsiTheme="minorEastAsia" w:eastAsiaTheme="minorEastAsia"/>
        </w:rPr>
        <w:t>入围</w:t>
      </w:r>
      <w:r>
        <w:rPr>
          <w:rFonts w:hint="eastAsia" w:ascii="宋体" w:hAnsi="宋体"/>
        </w:rPr>
        <w:t>通知书；</w:t>
      </w:r>
    </w:p>
    <w:p w14:paraId="0F30ACA7">
      <w:pPr>
        <w:snapToGrid w:val="0"/>
        <w:spacing w:line="360" w:lineRule="auto"/>
        <w:ind w:firstLine="420" w:firstLineChars="200"/>
        <w:rPr>
          <w:rFonts w:ascii="宋体" w:hAnsi="宋体"/>
        </w:rPr>
      </w:pPr>
      <w:r>
        <w:rPr>
          <w:rFonts w:hint="eastAsia" w:ascii="宋体" w:hAnsi="宋体"/>
        </w:rPr>
        <w:t xml:space="preserve">1.1.3 </w:t>
      </w:r>
      <w:r>
        <w:rPr>
          <w:rFonts w:hint="eastAsia" w:asciiTheme="minorEastAsia" w:hAnsiTheme="minorEastAsia" w:eastAsiaTheme="minorEastAsia"/>
        </w:rPr>
        <w:t>响应</w:t>
      </w:r>
      <w:r>
        <w:rPr>
          <w:rFonts w:hint="eastAsia" w:ascii="宋体" w:hAnsi="宋体"/>
        </w:rPr>
        <w:t>文件（含澄清或者说明文件）；</w:t>
      </w:r>
    </w:p>
    <w:p w14:paraId="6965CF4B">
      <w:pPr>
        <w:snapToGrid w:val="0"/>
        <w:spacing w:line="360" w:lineRule="auto"/>
        <w:ind w:firstLine="420" w:firstLineChars="200"/>
        <w:rPr>
          <w:rFonts w:ascii="宋体" w:hAnsi="宋体"/>
        </w:rPr>
      </w:pPr>
      <w:r>
        <w:rPr>
          <w:rFonts w:hint="eastAsia" w:ascii="宋体" w:hAnsi="宋体"/>
        </w:rPr>
        <w:t>1.1.4 征集文件（含澄清或者修改文件）；</w:t>
      </w:r>
    </w:p>
    <w:p w14:paraId="46159BBD">
      <w:pPr>
        <w:snapToGrid w:val="0"/>
        <w:spacing w:line="360" w:lineRule="auto"/>
        <w:ind w:firstLine="420" w:firstLineChars="200"/>
        <w:rPr>
          <w:rFonts w:ascii="宋体" w:hAnsi="宋体"/>
        </w:rPr>
      </w:pPr>
      <w:r>
        <w:rPr>
          <w:rFonts w:hint="eastAsia" w:ascii="宋体" w:hAnsi="宋体"/>
        </w:rPr>
        <w:t>1.1.5 其他相关采购文件。</w:t>
      </w:r>
    </w:p>
    <w:p w14:paraId="78F6FFED">
      <w:pPr>
        <w:snapToGrid w:val="0"/>
        <w:spacing w:line="360" w:lineRule="auto"/>
        <w:ind w:firstLine="422" w:firstLineChars="200"/>
        <w:outlineLvl w:val="0"/>
        <w:rPr>
          <w:rFonts w:ascii="宋体" w:hAnsi="宋体"/>
          <w:b/>
        </w:rPr>
      </w:pPr>
      <w:bookmarkStart w:id="55" w:name="_Toc2918"/>
      <w:bookmarkStart w:id="56" w:name="_Toc22185"/>
      <w:bookmarkStart w:id="57" w:name="_Toc6311"/>
      <w:bookmarkStart w:id="58" w:name="_Toc6773"/>
      <w:bookmarkStart w:id="59" w:name="_Toc18585"/>
      <w:r>
        <w:rPr>
          <w:rFonts w:hint="eastAsia" w:ascii="宋体" w:hAnsi="宋体"/>
          <w:b/>
        </w:rPr>
        <w:t>1.2 标的</w:t>
      </w:r>
      <w:bookmarkEnd w:id="55"/>
      <w:bookmarkEnd w:id="56"/>
      <w:bookmarkEnd w:id="57"/>
      <w:bookmarkEnd w:id="58"/>
      <w:bookmarkEnd w:id="59"/>
    </w:p>
    <w:p w14:paraId="3511106A">
      <w:pPr>
        <w:snapToGrid w:val="0"/>
        <w:spacing w:line="360" w:lineRule="auto"/>
        <w:ind w:firstLine="420" w:firstLineChars="200"/>
        <w:rPr>
          <w:rFonts w:ascii="宋体" w:hAnsi="宋体"/>
          <w:u w:val="single"/>
        </w:rPr>
      </w:pPr>
      <w:r>
        <w:rPr>
          <w:rFonts w:hint="eastAsia" w:ascii="宋体" w:hAnsi="宋体"/>
        </w:rPr>
        <w:t>1.2.1 服务内容：；</w:t>
      </w:r>
    </w:p>
    <w:p w14:paraId="368B3051">
      <w:pPr>
        <w:snapToGrid w:val="0"/>
        <w:spacing w:line="360" w:lineRule="auto"/>
        <w:ind w:firstLine="420" w:firstLineChars="200"/>
        <w:rPr>
          <w:rFonts w:ascii="宋体" w:hAnsi="宋体"/>
          <w:u w:val="single"/>
        </w:rPr>
      </w:pPr>
      <w:r>
        <w:rPr>
          <w:rFonts w:hint="eastAsia" w:ascii="宋体" w:hAnsi="宋体"/>
        </w:rPr>
        <w:t>1.2.2 服务标准：；</w:t>
      </w:r>
    </w:p>
    <w:p w14:paraId="06E1A39E">
      <w:pPr>
        <w:snapToGrid w:val="0"/>
        <w:spacing w:line="360" w:lineRule="auto"/>
        <w:ind w:firstLine="420" w:firstLineChars="200"/>
        <w:rPr>
          <w:rFonts w:ascii="宋体" w:hAnsi="宋体"/>
        </w:rPr>
      </w:pPr>
      <w:r>
        <w:rPr>
          <w:rFonts w:hint="eastAsia" w:ascii="宋体" w:hAnsi="宋体"/>
        </w:rPr>
        <w:t>1.2.3 服务人员组成：；</w:t>
      </w:r>
    </w:p>
    <w:p w14:paraId="0C520A47">
      <w:pPr>
        <w:snapToGrid w:val="0"/>
        <w:spacing w:line="360" w:lineRule="auto"/>
        <w:ind w:firstLine="422" w:firstLineChars="200"/>
        <w:outlineLvl w:val="0"/>
        <w:rPr>
          <w:rFonts w:ascii="宋体" w:hAnsi="宋体"/>
          <w:b/>
        </w:rPr>
      </w:pPr>
      <w:bookmarkStart w:id="60" w:name="_Toc5635"/>
      <w:bookmarkStart w:id="61" w:name="_Toc1386"/>
      <w:bookmarkStart w:id="62" w:name="_Toc21124"/>
      <w:bookmarkStart w:id="63" w:name="_Toc13918"/>
      <w:bookmarkStart w:id="64" w:name="_Toc4929"/>
      <w:r>
        <w:rPr>
          <w:rFonts w:hint="eastAsia" w:ascii="宋体" w:hAnsi="宋体"/>
          <w:b/>
        </w:rPr>
        <w:t>1.3 价款</w:t>
      </w:r>
      <w:bookmarkEnd w:id="60"/>
      <w:bookmarkEnd w:id="61"/>
      <w:bookmarkEnd w:id="62"/>
      <w:bookmarkEnd w:id="63"/>
      <w:bookmarkEnd w:id="64"/>
    </w:p>
    <w:p w14:paraId="71C05D48">
      <w:pPr>
        <w:snapToGrid w:val="0"/>
        <w:spacing w:line="360" w:lineRule="auto"/>
        <w:ind w:firstLine="420" w:firstLineChars="200"/>
        <w:rPr>
          <w:rFonts w:ascii="宋体" w:hAnsi="宋体"/>
        </w:rPr>
      </w:pPr>
      <w:r>
        <w:rPr>
          <w:rFonts w:hint="eastAsia" w:ascii="宋体" w:hAnsi="宋体"/>
        </w:rPr>
        <w:t>本项目采用以固定单价计价方式计价。</w:t>
      </w:r>
    </w:p>
    <w:p w14:paraId="74AB8358">
      <w:pPr>
        <w:snapToGrid w:val="0"/>
        <w:spacing w:line="360" w:lineRule="auto"/>
        <w:ind w:firstLine="420" w:firstLineChars="200"/>
        <w:rPr>
          <w:rFonts w:ascii="宋体" w:hAnsi="宋体"/>
        </w:rPr>
      </w:pPr>
      <w:r>
        <w:rPr>
          <w:rFonts w:hint="eastAsia" w:ascii="宋体" w:hAnsi="宋体"/>
        </w:rPr>
        <w:t>1.3.1总价合同，本合同总价（含税）为：￥元（大写：元人民币）。</w:t>
      </w:r>
    </w:p>
    <w:p w14:paraId="38DDFC45">
      <w:pPr>
        <w:snapToGrid w:val="0"/>
        <w:spacing w:line="360" w:lineRule="auto"/>
        <w:ind w:firstLine="420" w:firstLineChars="200"/>
        <w:rPr>
          <w:rFonts w:ascii="宋体" w:hAnsi="宋体"/>
          <w:u w:val="single"/>
        </w:rPr>
      </w:pPr>
      <w:r>
        <w:rPr>
          <w:rFonts w:hint="eastAsia" w:ascii="宋体" w:hAnsi="宋体"/>
        </w:rPr>
        <w:t>分项价格（如有）：</w:t>
      </w:r>
    </w:p>
    <w:tbl>
      <w:tblPr>
        <w:tblStyle w:val="4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012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3BD82D">
            <w:pPr>
              <w:snapToGrid w:val="0"/>
              <w:spacing w:line="360" w:lineRule="auto"/>
              <w:jc w:val="center"/>
              <w:rPr>
                <w:rFonts w:ascii="宋体" w:hAnsi="宋体"/>
              </w:rPr>
            </w:pPr>
            <w:r>
              <w:rPr>
                <w:rFonts w:hint="eastAsia" w:ascii="宋体" w:hAnsi="宋体"/>
              </w:rPr>
              <w:t>序号</w:t>
            </w:r>
          </w:p>
        </w:tc>
        <w:tc>
          <w:tcPr>
            <w:tcW w:w="3402" w:type="dxa"/>
            <w:vAlign w:val="center"/>
          </w:tcPr>
          <w:p w14:paraId="004C2607">
            <w:pPr>
              <w:snapToGrid w:val="0"/>
              <w:spacing w:line="360" w:lineRule="auto"/>
              <w:ind w:firstLine="200"/>
              <w:jc w:val="center"/>
              <w:rPr>
                <w:rFonts w:ascii="宋体" w:hAnsi="宋体"/>
              </w:rPr>
            </w:pPr>
            <w:r>
              <w:rPr>
                <w:rFonts w:hint="eastAsia" w:ascii="宋体" w:hAnsi="宋体"/>
              </w:rPr>
              <w:t>分项名称</w:t>
            </w:r>
          </w:p>
        </w:tc>
        <w:tc>
          <w:tcPr>
            <w:tcW w:w="2552" w:type="dxa"/>
            <w:vAlign w:val="center"/>
          </w:tcPr>
          <w:p w14:paraId="0ECC2AA3">
            <w:pPr>
              <w:snapToGrid w:val="0"/>
              <w:spacing w:line="360" w:lineRule="auto"/>
              <w:jc w:val="center"/>
              <w:rPr>
                <w:rFonts w:ascii="宋体" w:hAnsi="宋体"/>
              </w:rPr>
            </w:pPr>
            <w:r>
              <w:rPr>
                <w:rFonts w:hint="eastAsia" w:ascii="宋体" w:hAnsi="宋体"/>
              </w:rPr>
              <w:t>分项价格</w:t>
            </w:r>
          </w:p>
        </w:tc>
      </w:tr>
      <w:tr w14:paraId="18C7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119DBFF">
            <w:pPr>
              <w:snapToGrid w:val="0"/>
              <w:spacing w:line="360" w:lineRule="auto"/>
              <w:ind w:firstLine="200"/>
              <w:jc w:val="center"/>
              <w:rPr>
                <w:rFonts w:ascii="宋体" w:hAnsi="宋体"/>
              </w:rPr>
            </w:pPr>
          </w:p>
        </w:tc>
        <w:tc>
          <w:tcPr>
            <w:tcW w:w="3402" w:type="dxa"/>
            <w:vAlign w:val="center"/>
          </w:tcPr>
          <w:p w14:paraId="49BBBA58">
            <w:pPr>
              <w:snapToGrid w:val="0"/>
              <w:spacing w:line="360" w:lineRule="auto"/>
              <w:ind w:firstLine="200"/>
              <w:jc w:val="center"/>
              <w:rPr>
                <w:rFonts w:ascii="宋体" w:hAnsi="宋体"/>
              </w:rPr>
            </w:pPr>
          </w:p>
        </w:tc>
        <w:tc>
          <w:tcPr>
            <w:tcW w:w="2552" w:type="dxa"/>
            <w:vAlign w:val="center"/>
          </w:tcPr>
          <w:p w14:paraId="41AE031F">
            <w:pPr>
              <w:snapToGrid w:val="0"/>
              <w:spacing w:line="360" w:lineRule="auto"/>
              <w:ind w:firstLine="200"/>
              <w:jc w:val="center"/>
              <w:rPr>
                <w:rFonts w:ascii="宋体" w:hAnsi="宋体"/>
              </w:rPr>
            </w:pPr>
          </w:p>
        </w:tc>
      </w:tr>
      <w:tr w14:paraId="06AF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9265DE">
            <w:pPr>
              <w:snapToGrid w:val="0"/>
              <w:spacing w:line="360" w:lineRule="auto"/>
              <w:ind w:firstLine="200"/>
              <w:jc w:val="center"/>
              <w:rPr>
                <w:rFonts w:ascii="宋体" w:hAnsi="宋体"/>
              </w:rPr>
            </w:pPr>
          </w:p>
        </w:tc>
        <w:tc>
          <w:tcPr>
            <w:tcW w:w="3402" w:type="dxa"/>
            <w:vAlign w:val="center"/>
          </w:tcPr>
          <w:p w14:paraId="48A30F33">
            <w:pPr>
              <w:snapToGrid w:val="0"/>
              <w:spacing w:line="360" w:lineRule="auto"/>
              <w:ind w:firstLine="200"/>
              <w:jc w:val="center"/>
              <w:rPr>
                <w:rFonts w:ascii="宋体" w:hAnsi="宋体"/>
              </w:rPr>
            </w:pPr>
          </w:p>
        </w:tc>
        <w:tc>
          <w:tcPr>
            <w:tcW w:w="2552" w:type="dxa"/>
            <w:vAlign w:val="center"/>
          </w:tcPr>
          <w:p w14:paraId="1D88F14E">
            <w:pPr>
              <w:snapToGrid w:val="0"/>
              <w:spacing w:line="360" w:lineRule="auto"/>
              <w:ind w:firstLine="200"/>
              <w:jc w:val="center"/>
              <w:rPr>
                <w:rFonts w:ascii="宋体" w:hAnsi="宋体"/>
              </w:rPr>
            </w:pPr>
          </w:p>
        </w:tc>
      </w:tr>
      <w:tr w14:paraId="3F50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FED6F63">
            <w:pPr>
              <w:snapToGrid w:val="0"/>
              <w:spacing w:line="360" w:lineRule="auto"/>
              <w:ind w:firstLine="200"/>
              <w:jc w:val="center"/>
              <w:rPr>
                <w:rFonts w:ascii="宋体" w:hAnsi="宋体"/>
              </w:rPr>
            </w:pPr>
            <w:r>
              <w:rPr>
                <w:rFonts w:hint="eastAsia" w:ascii="宋体" w:hAnsi="宋体"/>
              </w:rPr>
              <w:t>总价</w:t>
            </w:r>
          </w:p>
        </w:tc>
        <w:tc>
          <w:tcPr>
            <w:tcW w:w="2552" w:type="dxa"/>
            <w:vAlign w:val="center"/>
          </w:tcPr>
          <w:p w14:paraId="64DDC85A">
            <w:pPr>
              <w:snapToGrid w:val="0"/>
              <w:spacing w:line="360" w:lineRule="auto"/>
              <w:ind w:firstLine="200"/>
              <w:jc w:val="center"/>
              <w:rPr>
                <w:rFonts w:ascii="宋体" w:hAnsi="宋体"/>
              </w:rPr>
            </w:pPr>
          </w:p>
        </w:tc>
      </w:tr>
    </w:tbl>
    <w:p w14:paraId="7434E317">
      <w:pPr>
        <w:snapToGrid w:val="0"/>
        <w:spacing w:line="360" w:lineRule="auto"/>
        <w:ind w:firstLine="420" w:firstLineChars="200"/>
        <w:rPr>
          <w:rFonts w:ascii="宋体" w:hAnsi="宋体"/>
        </w:rPr>
      </w:pPr>
      <w:bookmarkStart w:id="65" w:name="_Toc26916"/>
      <w:bookmarkStart w:id="66" w:name="_Toc14993"/>
      <w:bookmarkStart w:id="67" w:name="_Toc30506"/>
      <w:bookmarkStart w:id="68" w:name="_Toc30158"/>
      <w:bookmarkStart w:id="69" w:name="_Toc3654"/>
      <w:r>
        <w:rPr>
          <w:rFonts w:hint="eastAsia" w:ascii="宋体" w:hAnsi="宋体"/>
          <w:bCs/>
        </w:rPr>
        <w:t>1.3.2单价合同，本合同单价（含税）标准为：</w:t>
      </w:r>
      <w:r>
        <w:rPr>
          <w:rFonts w:hint="eastAsia" w:ascii="宋体" w:hAnsi="宋体"/>
        </w:rPr>
        <w:t>。服务工作量的计量方式为：</w:t>
      </w:r>
      <w:r>
        <w:rPr>
          <w:rFonts w:hint="eastAsia" w:ascii="宋体" w:hAnsi="宋体"/>
          <w:b/>
          <w:u w:val="single"/>
        </w:rPr>
        <w:t>合同专用条款</w:t>
      </w:r>
      <w:r>
        <w:rPr>
          <w:rFonts w:hint="eastAsia" w:ascii="宋体" w:hAnsi="宋体"/>
        </w:rPr>
        <w:t>。单价合同，在合同履行期间内，根据实际完成的工作量据实结算，但结算总价上限不得超过预算金额或者双方确定的金额￥元（大写：元人民币）。</w:t>
      </w:r>
    </w:p>
    <w:p w14:paraId="2FB791D5">
      <w:pPr>
        <w:keepNext/>
        <w:keepLines/>
        <w:tabs>
          <w:tab w:val="left" w:pos="432"/>
        </w:tabs>
        <w:snapToGrid w:val="0"/>
        <w:spacing w:line="360" w:lineRule="auto"/>
        <w:outlineLvl w:val="1"/>
        <w:rPr>
          <w:rFonts w:ascii="宋体" w:hAnsi="宋体"/>
          <w:b/>
          <w:bCs/>
          <w:sz w:val="32"/>
          <w:szCs w:val="32"/>
        </w:rPr>
      </w:pPr>
      <w:r>
        <w:rPr>
          <w:rFonts w:hint="eastAsia" w:ascii="宋体" w:hAnsi="宋体"/>
          <w:szCs w:val="32"/>
        </w:rPr>
        <w:t>1.3.3其他计价方式：。</w:t>
      </w:r>
      <w:bookmarkEnd w:id="65"/>
      <w:bookmarkEnd w:id="66"/>
      <w:bookmarkEnd w:id="67"/>
      <w:bookmarkEnd w:id="68"/>
      <w:bookmarkEnd w:id="69"/>
    </w:p>
    <w:p w14:paraId="660C493F">
      <w:pPr>
        <w:widowControl/>
        <w:snapToGrid w:val="0"/>
        <w:spacing w:line="360" w:lineRule="auto"/>
        <w:ind w:firstLine="480"/>
        <w:rPr>
          <w:rFonts w:ascii="宋体" w:hAnsi="宋体"/>
          <w:b/>
        </w:rPr>
      </w:pPr>
      <w:bookmarkStart w:id="70" w:name="_Toc22618"/>
      <w:bookmarkStart w:id="71" w:name="_Toc1814"/>
      <w:bookmarkStart w:id="72" w:name="_Toc10340"/>
      <w:bookmarkStart w:id="73" w:name="_Toc11108"/>
      <w:bookmarkStart w:id="74" w:name="_Toc4760"/>
      <w:bookmarkStart w:id="75" w:name="_Toc3625"/>
      <w:bookmarkStart w:id="76" w:name="_Toc8772"/>
      <w:bookmarkStart w:id="77" w:name="_Toc31421"/>
      <w:r>
        <w:rPr>
          <w:rFonts w:hint="eastAsia" w:ascii="宋体" w:hAnsi="宋体"/>
          <w:b/>
        </w:rPr>
        <w:t>1.4履约保证金</w:t>
      </w:r>
    </w:p>
    <w:p w14:paraId="3B5E3BA8">
      <w:pPr>
        <w:widowControl/>
        <w:snapToGrid w:val="0"/>
        <w:spacing w:line="360" w:lineRule="auto"/>
        <w:ind w:firstLine="480"/>
        <w:rPr>
          <w:rFonts w:ascii="宋体" w:hAnsi="宋体"/>
        </w:rPr>
      </w:pPr>
      <w:r>
        <w:rPr>
          <w:rFonts w:hint="eastAsia" w:ascii="宋体" w:hAnsi="宋体"/>
        </w:rPr>
        <w:t>乙方不需要支付履约保证金。</w:t>
      </w:r>
    </w:p>
    <w:p w14:paraId="671E5A9C">
      <w:pPr>
        <w:snapToGrid w:val="0"/>
        <w:spacing w:line="360" w:lineRule="auto"/>
        <w:ind w:firstLine="422" w:firstLineChars="200"/>
        <w:outlineLvl w:val="0"/>
        <w:rPr>
          <w:rFonts w:ascii="宋体" w:hAnsi="宋体"/>
          <w:b/>
        </w:rPr>
      </w:pPr>
      <w:r>
        <w:rPr>
          <w:rFonts w:hint="eastAsia" w:ascii="宋体" w:hAnsi="宋体"/>
          <w:b/>
        </w:rPr>
        <w:t>1.5</w:t>
      </w:r>
      <w:bookmarkEnd w:id="70"/>
      <w:bookmarkEnd w:id="71"/>
      <w:bookmarkEnd w:id="72"/>
      <w:r>
        <w:rPr>
          <w:rFonts w:hint="eastAsia" w:ascii="宋体" w:hAnsi="宋体"/>
          <w:b/>
        </w:rPr>
        <w:t>预付款</w:t>
      </w:r>
    </w:p>
    <w:p w14:paraId="2F426F7D">
      <w:pPr>
        <w:widowControl/>
        <w:snapToGrid w:val="0"/>
        <w:spacing w:line="360" w:lineRule="auto"/>
        <w:ind w:firstLine="480"/>
        <w:rPr>
          <w:rFonts w:ascii="宋体" w:hAnsi="宋体"/>
          <w:u w:val="single"/>
        </w:rPr>
      </w:pPr>
      <w:r>
        <w:rPr>
          <w:rFonts w:hint="eastAsia" w:ascii="宋体" w:hAnsi="宋体"/>
        </w:rPr>
        <w:t>甲方不需要支付预付款。</w:t>
      </w:r>
    </w:p>
    <w:p w14:paraId="74B3C518">
      <w:pPr>
        <w:widowControl/>
        <w:snapToGrid w:val="0"/>
        <w:spacing w:line="360" w:lineRule="auto"/>
        <w:ind w:firstLine="480"/>
        <w:rPr>
          <w:rFonts w:ascii="宋体" w:hAnsi="宋体"/>
          <w:b/>
          <w:bCs/>
        </w:rPr>
      </w:pPr>
      <w:r>
        <w:rPr>
          <w:rFonts w:hint="eastAsia" w:ascii="宋体" w:hAnsi="宋体"/>
          <w:b/>
          <w:bCs/>
        </w:rPr>
        <w:t>1.6资金支付</w:t>
      </w:r>
    </w:p>
    <w:p w14:paraId="612E0591">
      <w:pPr>
        <w:widowControl/>
        <w:snapToGrid w:val="0"/>
        <w:spacing w:line="360" w:lineRule="auto"/>
        <w:ind w:firstLine="480"/>
        <w:rPr>
          <w:rFonts w:ascii="宋体" w:hAnsi="宋体"/>
        </w:rPr>
      </w:pPr>
      <w:r>
        <w:rPr>
          <w:rFonts w:hint="eastAsia" w:ascii="宋体" w:hAnsi="宋体"/>
        </w:rPr>
        <w:t>1.6.1甲方应严格履行合同，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178A8BB9">
      <w:pPr>
        <w:snapToGrid w:val="0"/>
        <w:spacing w:line="360" w:lineRule="auto"/>
        <w:ind w:firstLine="420" w:firstLineChars="200"/>
        <w:outlineLvl w:val="0"/>
        <w:rPr>
          <w:rFonts w:ascii="宋体" w:hAnsi="宋体"/>
        </w:rPr>
      </w:pPr>
      <w:r>
        <w:rPr>
          <w:rFonts w:hint="eastAsia" w:ascii="宋体" w:hAnsi="宋体"/>
        </w:rPr>
        <w:t>1.6.2资金支付的方式、时间和条件详见</w:t>
      </w:r>
      <w:r>
        <w:rPr>
          <w:rFonts w:hint="eastAsia" w:ascii="宋体" w:hAnsi="宋体"/>
          <w:b/>
          <w:i/>
          <w:u w:val="single"/>
        </w:rPr>
        <w:t>合同专用条款</w:t>
      </w:r>
      <w:r>
        <w:rPr>
          <w:rFonts w:hint="eastAsia" w:ascii="宋体" w:hAnsi="宋体"/>
        </w:rPr>
        <w:t>。</w:t>
      </w:r>
    </w:p>
    <w:p w14:paraId="34E31C13">
      <w:pPr>
        <w:snapToGrid w:val="0"/>
        <w:spacing w:line="360" w:lineRule="auto"/>
        <w:ind w:firstLine="422" w:firstLineChars="200"/>
        <w:outlineLvl w:val="0"/>
        <w:rPr>
          <w:rFonts w:ascii="宋体" w:hAnsi="宋体"/>
          <w:b/>
        </w:rPr>
      </w:pPr>
      <w:r>
        <w:rPr>
          <w:rFonts w:hint="eastAsia" w:ascii="宋体" w:hAnsi="宋体"/>
          <w:b/>
        </w:rPr>
        <w:t>1.7 履行期限、地点和方式</w:t>
      </w:r>
      <w:bookmarkEnd w:id="73"/>
      <w:bookmarkEnd w:id="74"/>
      <w:bookmarkEnd w:id="75"/>
      <w:bookmarkEnd w:id="76"/>
      <w:bookmarkEnd w:id="77"/>
    </w:p>
    <w:p w14:paraId="3833C010">
      <w:pPr>
        <w:snapToGrid w:val="0"/>
        <w:spacing w:line="360" w:lineRule="auto"/>
        <w:ind w:firstLine="420" w:firstLineChars="200"/>
        <w:rPr>
          <w:rFonts w:ascii="宋体" w:hAnsi="宋体"/>
          <w:u w:val="single"/>
        </w:rPr>
      </w:pPr>
      <w:r>
        <w:rPr>
          <w:rFonts w:hint="eastAsia" w:ascii="宋体" w:hAnsi="宋体"/>
        </w:rPr>
        <w:t>1.7.1 服务交付（实施）的时间（期限）：</w:t>
      </w:r>
      <w:r>
        <w:rPr>
          <w:rFonts w:hint="eastAsia" w:ascii="宋体" w:hAnsi="宋体"/>
          <w:b/>
          <w:i/>
          <w:u w:val="single"/>
        </w:rPr>
        <w:t>合同专用条款</w:t>
      </w:r>
      <w:r>
        <w:rPr>
          <w:rFonts w:hint="eastAsia" w:ascii="宋体" w:hAnsi="宋体"/>
        </w:rPr>
        <w:t>；</w:t>
      </w:r>
    </w:p>
    <w:p w14:paraId="18DA98A1">
      <w:pPr>
        <w:snapToGrid w:val="0"/>
        <w:spacing w:line="360" w:lineRule="auto"/>
        <w:ind w:firstLine="420" w:firstLineChars="200"/>
        <w:rPr>
          <w:rFonts w:ascii="宋体" w:hAnsi="宋体"/>
        </w:rPr>
      </w:pPr>
      <w:r>
        <w:rPr>
          <w:rFonts w:hint="eastAsia" w:ascii="宋体" w:hAnsi="宋体"/>
        </w:rPr>
        <w:t>1.7.2 服务交付（实施）的地点（地域范围）：</w:t>
      </w:r>
      <w:r>
        <w:rPr>
          <w:rFonts w:hint="eastAsia" w:ascii="宋体" w:hAnsi="宋体"/>
          <w:b/>
          <w:i/>
          <w:u w:val="single"/>
        </w:rPr>
        <w:t>合同专用条款</w:t>
      </w:r>
      <w:r>
        <w:rPr>
          <w:rFonts w:hint="eastAsia" w:ascii="宋体" w:hAnsi="宋体"/>
        </w:rPr>
        <w:t>；</w:t>
      </w:r>
    </w:p>
    <w:p w14:paraId="24522A63">
      <w:pPr>
        <w:snapToGrid w:val="0"/>
        <w:spacing w:line="360" w:lineRule="auto"/>
        <w:ind w:firstLine="420" w:firstLineChars="200"/>
        <w:rPr>
          <w:rFonts w:ascii="宋体" w:hAnsi="宋体"/>
        </w:rPr>
      </w:pPr>
      <w:r>
        <w:rPr>
          <w:rFonts w:hint="eastAsia" w:ascii="宋体" w:hAnsi="宋体"/>
        </w:rPr>
        <w:t>1.7.3 服务交付（实施）的方式：</w:t>
      </w:r>
      <w:r>
        <w:rPr>
          <w:rFonts w:hint="eastAsia" w:ascii="宋体" w:hAnsi="宋体"/>
          <w:b/>
          <w:i/>
          <w:u w:val="single"/>
        </w:rPr>
        <w:t>合同专用条款</w:t>
      </w:r>
      <w:r>
        <w:rPr>
          <w:rFonts w:hint="eastAsia" w:ascii="宋体" w:hAnsi="宋体"/>
        </w:rPr>
        <w:t>。</w:t>
      </w:r>
    </w:p>
    <w:p w14:paraId="1770CFAA">
      <w:pPr>
        <w:snapToGrid w:val="0"/>
        <w:spacing w:line="360" w:lineRule="auto"/>
        <w:ind w:firstLine="422" w:firstLineChars="200"/>
        <w:outlineLvl w:val="0"/>
        <w:rPr>
          <w:rFonts w:ascii="宋体" w:hAnsi="宋体"/>
          <w:u w:val="single"/>
        </w:rPr>
      </w:pPr>
      <w:bookmarkStart w:id="78" w:name="_Toc3079"/>
      <w:bookmarkStart w:id="79" w:name="_Toc24662"/>
      <w:bookmarkStart w:id="80" w:name="_Toc2375"/>
      <w:bookmarkStart w:id="81" w:name="_Toc5698"/>
      <w:bookmarkStart w:id="82" w:name="_Toc8586"/>
      <w:r>
        <w:rPr>
          <w:rFonts w:hint="eastAsia" w:ascii="宋体" w:hAnsi="宋体"/>
          <w:b/>
        </w:rPr>
        <w:t>1.8违约责任</w:t>
      </w:r>
      <w:bookmarkEnd w:id="78"/>
      <w:bookmarkEnd w:id="79"/>
      <w:bookmarkEnd w:id="80"/>
      <w:bookmarkEnd w:id="81"/>
      <w:bookmarkEnd w:id="82"/>
    </w:p>
    <w:p w14:paraId="2F85E4F6">
      <w:pPr>
        <w:snapToGrid w:val="0"/>
        <w:spacing w:line="360" w:lineRule="auto"/>
        <w:ind w:firstLine="420" w:firstLineChars="200"/>
        <w:rPr>
          <w:rFonts w:ascii="宋体" w:hAnsi="宋体"/>
        </w:rPr>
      </w:pPr>
      <w:r>
        <w:rPr>
          <w:rFonts w:hint="eastAsia" w:ascii="宋体" w:hAnsi="宋体"/>
        </w:rPr>
        <w:t>1.8.1 除不可抗力外，如果乙方没有按照本合同约定的期限、地点和方式交付服务成果或者实施服务，那么甲方可要求乙方支付违约金，迟延履行违约金按每迟延履行一日的应提供而未提供服务价格的0.1%计算，最高限额为本合同总价的1%；迟延履行的违约金计算数额达到前述最高限额之日起，甲方有权在要求乙方支付违约金的同时，书面通知乙方解除本合同；</w:t>
      </w:r>
    </w:p>
    <w:p w14:paraId="62D7EBB6">
      <w:pPr>
        <w:keepNext/>
        <w:keepLines/>
        <w:tabs>
          <w:tab w:val="left" w:pos="432"/>
        </w:tabs>
        <w:snapToGrid w:val="0"/>
        <w:spacing w:line="360" w:lineRule="auto"/>
        <w:ind w:firstLine="420" w:firstLineChars="200"/>
        <w:outlineLvl w:val="1"/>
        <w:rPr>
          <w:rFonts w:ascii="宋体" w:hAnsi="宋体"/>
        </w:rPr>
      </w:pPr>
      <w:r>
        <w:rPr>
          <w:rFonts w:hint="eastAsia" w:ascii="宋体" w:hAnsi="宋体"/>
        </w:rPr>
        <w:t>1.8.2服务中涉及的货物，除不可抗力外，如果乙方没有按照本合同约定的期限、地点和方式交付货物，那么甲方可要求乙方支付违约金，违约金按每迟延交付货物一日的应交付而未交付货物价格的0.1%计算，最高限额为本合同总价的1%；迟延交付货物的违约金计算数额达到前述最高限额之日起，甲方有权在要求乙方支付违约金的同时，书面通知乙方解除本合同；</w:t>
      </w:r>
    </w:p>
    <w:p w14:paraId="63E15BBC">
      <w:pPr>
        <w:snapToGrid w:val="0"/>
        <w:spacing w:line="360" w:lineRule="auto"/>
        <w:ind w:firstLine="420" w:firstLineChars="200"/>
        <w:rPr>
          <w:rFonts w:ascii="宋体" w:hAnsi="宋体"/>
        </w:rPr>
      </w:pPr>
      <w:r>
        <w:rPr>
          <w:rFonts w:hint="eastAsia" w:ascii="宋体" w:hAnsi="宋体"/>
        </w:rPr>
        <w:t>1.8.3除不可抗力外，如果甲方没有按照本合同约定的付款方式付款，那么乙方可要求甲方支付违约金，违约金按每迟延付款一日的应付而未付款的0.1%计算，最高限额为本合同总价的1%；迟延付款的违约金计算数额达到前述最高限额之日起，乙方有权在要求甲方支付违约金的同时，书面通知甲方解除本合同；</w:t>
      </w:r>
    </w:p>
    <w:p w14:paraId="62068828">
      <w:pPr>
        <w:snapToGrid w:val="0"/>
        <w:spacing w:line="360" w:lineRule="auto"/>
        <w:ind w:firstLine="420" w:firstLineChars="200"/>
        <w:rPr>
          <w:rFonts w:ascii="宋体" w:hAnsi="宋体"/>
        </w:rPr>
      </w:pPr>
      <w:bookmarkStart w:id="83" w:name="_Toc9497"/>
      <w:bookmarkStart w:id="84" w:name="_Toc18683"/>
      <w:bookmarkStart w:id="85" w:name="_Toc26807"/>
      <w:bookmarkStart w:id="86" w:name="_Toc32454"/>
      <w:bookmarkStart w:id="87" w:name="_Toc30329"/>
      <w:r>
        <w:rPr>
          <w:rFonts w:hint="eastAsia" w:ascii="宋体" w:hAnsi="宋体"/>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CF50D3">
      <w:pPr>
        <w:snapToGrid w:val="0"/>
        <w:spacing w:line="360" w:lineRule="auto"/>
        <w:ind w:firstLine="420" w:firstLineChars="200"/>
        <w:rPr>
          <w:rFonts w:ascii="宋体" w:hAnsi="宋体"/>
        </w:rPr>
      </w:pPr>
      <w:r>
        <w:rPr>
          <w:rFonts w:hint="eastAsia" w:ascii="宋体" w:hAnsi="宋体"/>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7B5B142">
      <w:pPr>
        <w:snapToGrid w:val="0"/>
        <w:spacing w:line="360" w:lineRule="auto"/>
        <w:ind w:firstLine="420" w:firstLineChars="200"/>
        <w:rPr>
          <w:rFonts w:ascii="宋体" w:hAnsi="宋体"/>
        </w:rPr>
      </w:pPr>
      <w:r>
        <w:rPr>
          <w:rFonts w:hint="eastAsia" w:ascii="宋体" w:hAnsi="宋体"/>
        </w:rPr>
        <w:t>1.8.6如果出现政府采购监督管理部门在处理投诉事项期间，书面通知甲方暂停采购活动的情形，或者询问或质疑事项可能影响成交结果的，导致甲方中止履行合同的情形，均不视为甲方违约。</w:t>
      </w:r>
    </w:p>
    <w:p w14:paraId="310890D3">
      <w:pPr>
        <w:snapToGrid w:val="0"/>
        <w:spacing w:line="360" w:lineRule="auto"/>
        <w:ind w:right="-420" w:rightChars="-200" w:firstLine="420" w:firstLineChars="200"/>
        <w:rPr>
          <w:rFonts w:ascii="宋体" w:hAnsi="宋体"/>
        </w:rPr>
      </w:pPr>
      <w:r>
        <w:rPr>
          <w:rFonts w:hint="eastAsia" w:ascii="宋体" w:hAnsi="宋体"/>
        </w:rPr>
        <w:t>1.8.7违约责任</w:t>
      </w:r>
      <w:r>
        <w:rPr>
          <w:rFonts w:hint="eastAsia" w:ascii="宋体" w:hAnsi="宋体"/>
          <w:b/>
          <w:i/>
          <w:u w:val="single"/>
        </w:rPr>
        <w:t>合同专用条款</w:t>
      </w:r>
      <w:r>
        <w:rPr>
          <w:rFonts w:hint="eastAsia" w:ascii="宋体" w:hAnsi="宋体"/>
        </w:rPr>
        <w:t>另有约定的，从其约定。</w:t>
      </w:r>
      <w:bookmarkEnd w:id="83"/>
      <w:bookmarkEnd w:id="84"/>
      <w:bookmarkEnd w:id="85"/>
      <w:bookmarkEnd w:id="86"/>
      <w:bookmarkEnd w:id="87"/>
    </w:p>
    <w:p w14:paraId="4822AB05">
      <w:pPr>
        <w:snapToGrid w:val="0"/>
        <w:spacing w:line="360" w:lineRule="auto"/>
        <w:ind w:firstLine="422" w:firstLineChars="200"/>
        <w:outlineLvl w:val="0"/>
        <w:rPr>
          <w:rFonts w:ascii="宋体" w:hAnsi="宋体"/>
          <w:b/>
        </w:rPr>
      </w:pPr>
      <w:bookmarkStart w:id="88" w:name="_Toc28375"/>
      <w:bookmarkStart w:id="89" w:name="_Toc16021"/>
      <w:bookmarkStart w:id="90" w:name="_Toc15583"/>
      <w:r>
        <w:rPr>
          <w:rFonts w:hint="eastAsia" w:ascii="宋体" w:hAnsi="宋体"/>
          <w:b/>
        </w:rPr>
        <w:t>1.9合同争议的解决</w:t>
      </w:r>
      <w:bookmarkEnd w:id="88"/>
      <w:bookmarkEnd w:id="89"/>
      <w:bookmarkEnd w:id="90"/>
    </w:p>
    <w:p w14:paraId="68A8C5E4">
      <w:pPr>
        <w:snapToGrid w:val="0"/>
        <w:ind w:left="-61" w:leftChars="-29" w:right="-420" w:rightChars="-200" w:firstLine="210" w:firstLineChars="100"/>
        <w:rPr>
          <w:rFonts w:ascii="宋体" w:hAnsi="宋体"/>
        </w:rPr>
      </w:pPr>
      <w:r>
        <w:rPr>
          <w:rFonts w:hint="eastAsia" w:ascii="宋体" w:hAnsi="宋体"/>
        </w:rPr>
        <w:t xml:space="preserve">  本合同履行过程中发生的任何争议，双方当事人均可通过和解或者调解解决；不愿和解、调解或者和解、调解不成的，可以选择以下第</w:t>
      </w:r>
      <w:r>
        <w:rPr>
          <w:rFonts w:hint="eastAsia" w:ascii="宋体" w:hAnsi="宋体"/>
          <w:b/>
          <w:i/>
          <w:u w:val="single"/>
        </w:rPr>
        <w:t xml:space="preserve"> 1.9.2     </w:t>
      </w:r>
      <w:r>
        <w:rPr>
          <w:rFonts w:hint="eastAsia" w:ascii="宋体" w:hAnsi="宋体"/>
        </w:rPr>
        <w:t>条款规定的方式解决：</w:t>
      </w:r>
    </w:p>
    <w:p w14:paraId="6C6DE481">
      <w:pPr>
        <w:ind w:right="-420" w:rightChars="-200" w:firstLine="420" w:firstLineChars="200"/>
        <w:rPr>
          <w:rFonts w:ascii="宋体" w:hAnsi="宋体"/>
        </w:rPr>
      </w:pPr>
      <w:r>
        <w:rPr>
          <w:rFonts w:hint="eastAsia" w:ascii="宋体" w:hAnsi="宋体"/>
        </w:rPr>
        <w:t>1.9.1 将争议提交</w:t>
      </w:r>
      <w:r>
        <w:rPr>
          <w:rFonts w:hint="eastAsia" w:ascii="宋体" w:hAnsi="宋体"/>
          <w:b/>
          <w:i/>
          <w:u w:val="single"/>
        </w:rPr>
        <w:t>合同专用条款</w:t>
      </w:r>
      <w:r>
        <w:rPr>
          <w:rFonts w:hint="eastAsia" w:ascii="宋体" w:hAnsi="宋体"/>
        </w:rPr>
        <w:t>仲裁委员会依申请仲裁时其现行有效的仲裁规则裁决；</w:t>
      </w:r>
    </w:p>
    <w:p w14:paraId="5C964E6C">
      <w:pPr>
        <w:snapToGrid w:val="0"/>
        <w:ind w:right="-420" w:rightChars="-200" w:firstLine="420" w:firstLineChars="200"/>
        <w:rPr>
          <w:rFonts w:ascii="宋体" w:hAnsi="宋体"/>
        </w:rPr>
      </w:pPr>
      <w:r>
        <w:rPr>
          <w:rFonts w:hint="eastAsia" w:ascii="宋体" w:hAnsi="宋体"/>
        </w:rPr>
        <w:t>1.9.2 向</w:t>
      </w:r>
      <w:r>
        <w:rPr>
          <w:rFonts w:hint="eastAsia" w:ascii="宋体" w:hAnsi="宋体"/>
          <w:b/>
          <w:i/>
          <w:u w:val="single"/>
        </w:rPr>
        <w:t>合同专用条款</w:t>
      </w:r>
      <w:r>
        <w:rPr>
          <w:rFonts w:hint="eastAsia" w:ascii="宋体" w:hAnsi="宋体"/>
        </w:rPr>
        <w:t>人民法院起诉。</w:t>
      </w:r>
    </w:p>
    <w:p w14:paraId="54C95191">
      <w:pPr>
        <w:snapToGrid w:val="0"/>
        <w:spacing w:line="360" w:lineRule="auto"/>
        <w:ind w:firstLine="422" w:firstLineChars="200"/>
        <w:outlineLvl w:val="0"/>
        <w:rPr>
          <w:rFonts w:ascii="宋体" w:hAnsi="宋体"/>
          <w:b/>
        </w:rPr>
      </w:pPr>
      <w:bookmarkStart w:id="91" w:name="_Toc11173"/>
      <w:bookmarkStart w:id="92" w:name="_Toc7245"/>
      <w:bookmarkStart w:id="93" w:name="_Toc15322"/>
      <w:r>
        <w:rPr>
          <w:rFonts w:hint="eastAsia" w:ascii="宋体" w:hAnsi="宋体"/>
          <w:b/>
        </w:rPr>
        <w:t>2.0 合同生效</w:t>
      </w:r>
      <w:bookmarkEnd w:id="91"/>
      <w:bookmarkEnd w:id="92"/>
      <w:bookmarkEnd w:id="93"/>
    </w:p>
    <w:p w14:paraId="3AC146F3">
      <w:pPr>
        <w:snapToGrid w:val="0"/>
        <w:spacing w:line="360" w:lineRule="auto"/>
        <w:ind w:firstLine="420" w:firstLineChars="200"/>
        <w:rPr>
          <w:rFonts w:ascii="宋体" w:hAnsi="宋体" w:eastAsiaTheme="minorEastAsia"/>
          <w:b/>
        </w:rPr>
      </w:pPr>
      <w:r>
        <w:rPr>
          <w:rFonts w:hint="eastAsia" w:ascii="宋体" w:hAnsi="宋体"/>
        </w:rPr>
        <w:t>本合同自双方当事人盖章签字时生效。</w:t>
      </w:r>
    </w:p>
    <w:p w14:paraId="3013E5C7">
      <w:pPr>
        <w:autoSpaceDE w:val="0"/>
        <w:autoSpaceDN w:val="0"/>
        <w:snapToGrid w:val="0"/>
        <w:spacing w:line="360" w:lineRule="auto"/>
        <w:rPr>
          <w:rFonts w:ascii="宋体" w:hAnsi="宋体"/>
          <w:lang w:val="zh-CN"/>
        </w:rPr>
      </w:pPr>
      <w:r>
        <w:rPr>
          <w:rFonts w:hint="eastAsia" w:ascii="宋体" w:hAnsi="宋体"/>
          <w:b/>
          <w:lang w:val="zh-CN"/>
        </w:rPr>
        <w:t>甲方</w:t>
      </w:r>
      <w:r>
        <w:rPr>
          <w:rFonts w:hint="eastAsia" w:ascii="宋体" w:hAnsi="宋体"/>
          <w:lang w:val="zh-CN"/>
        </w:rPr>
        <w:t xml:space="preserve">：                             </w:t>
      </w:r>
      <w:r>
        <w:rPr>
          <w:rFonts w:hint="eastAsia" w:ascii="宋体" w:hAnsi="宋体"/>
          <w:b/>
          <w:lang w:val="zh-CN"/>
        </w:rPr>
        <w:t xml:space="preserve">      乙方</w:t>
      </w:r>
      <w:r>
        <w:rPr>
          <w:rFonts w:hint="eastAsia" w:ascii="宋体" w:hAnsi="宋体"/>
          <w:lang w:val="zh-CN"/>
        </w:rPr>
        <w:t>：</w:t>
      </w:r>
    </w:p>
    <w:p w14:paraId="1F646A4F">
      <w:pPr>
        <w:autoSpaceDE w:val="0"/>
        <w:autoSpaceDN w:val="0"/>
        <w:snapToGrid w:val="0"/>
        <w:rPr>
          <w:rFonts w:ascii="宋体" w:hAnsi="宋体"/>
          <w:lang w:val="zh-CN"/>
        </w:rPr>
      </w:pPr>
      <w:r>
        <w:rPr>
          <w:rFonts w:hint="eastAsia" w:ascii="宋体" w:hAnsi="宋体"/>
          <w:lang w:val="zh-CN"/>
        </w:rPr>
        <w:t>统一社会信用代码：                    统一社会信用代码或身份证号码：</w:t>
      </w:r>
    </w:p>
    <w:p w14:paraId="2F639840">
      <w:pPr>
        <w:autoSpaceDE w:val="0"/>
        <w:autoSpaceDN w:val="0"/>
        <w:snapToGrid w:val="0"/>
        <w:rPr>
          <w:rFonts w:ascii="宋体" w:hAnsi="宋体"/>
          <w:lang w:val="zh-CN"/>
        </w:rPr>
      </w:pPr>
      <w:r>
        <w:rPr>
          <w:rFonts w:hint="eastAsia" w:ascii="宋体" w:hAnsi="宋体"/>
          <w:lang w:val="zh-CN"/>
        </w:rPr>
        <w:t>住所：                                   住所：</w:t>
      </w:r>
    </w:p>
    <w:p w14:paraId="7ADB8CE9">
      <w:pPr>
        <w:autoSpaceDE w:val="0"/>
        <w:autoSpaceDN w:val="0"/>
        <w:snapToGrid w:val="0"/>
        <w:rPr>
          <w:rFonts w:ascii="宋体" w:hAnsi="宋体"/>
          <w:lang w:val="zh-CN"/>
        </w:rPr>
      </w:pPr>
      <w:r>
        <w:rPr>
          <w:rFonts w:hint="eastAsia" w:ascii="宋体" w:hAnsi="宋体"/>
          <w:lang w:val="zh-CN"/>
        </w:rPr>
        <w:t>法定代表人或                             法定代表人或</w:t>
      </w:r>
    </w:p>
    <w:p w14:paraId="22D7EECF">
      <w:pPr>
        <w:autoSpaceDE w:val="0"/>
        <w:autoSpaceDN w:val="0"/>
        <w:snapToGrid w:val="0"/>
        <w:rPr>
          <w:rFonts w:ascii="宋体" w:hAnsi="宋体"/>
          <w:lang w:val="zh-CN"/>
        </w:rPr>
      </w:pPr>
      <w:r>
        <w:rPr>
          <w:rFonts w:hint="eastAsia" w:ascii="宋体" w:hAnsi="宋体"/>
          <w:lang w:val="zh-CN"/>
        </w:rPr>
        <w:t xml:space="preserve">授权代表（签字）：                       授权代表（签字）: </w:t>
      </w:r>
    </w:p>
    <w:p w14:paraId="4ACFE571">
      <w:pPr>
        <w:autoSpaceDE w:val="0"/>
        <w:autoSpaceDN w:val="0"/>
        <w:snapToGrid w:val="0"/>
        <w:rPr>
          <w:rFonts w:ascii="宋体" w:hAnsi="宋体"/>
          <w:lang w:val="zh-CN"/>
        </w:rPr>
      </w:pPr>
      <w:r>
        <w:rPr>
          <w:rFonts w:hint="eastAsia" w:ascii="宋体" w:hAnsi="宋体"/>
          <w:lang w:val="zh-CN"/>
        </w:rPr>
        <w:t>联系人：                                 联系人：</w:t>
      </w:r>
    </w:p>
    <w:p w14:paraId="26BF5AE4">
      <w:pPr>
        <w:autoSpaceDE w:val="0"/>
        <w:autoSpaceDN w:val="0"/>
        <w:snapToGrid w:val="0"/>
        <w:rPr>
          <w:rFonts w:ascii="宋体" w:hAnsi="宋体"/>
          <w:lang w:val="zh-CN"/>
        </w:rPr>
      </w:pPr>
      <w:r>
        <w:rPr>
          <w:rFonts w:hint="eastAsia" w:ascii="宋体" w:hAnsi="宋体"/>
          <w:lang w:val="zh-CN"/>
        </w:rPr>
        <w:t>约定送达地址：                           约定送达地址：</w:t>
      </w:r>
    </w:p>
    <w:p w14:paraId="13FD29B0">
      <w:pPr>
        <w:autoSpaceDE w:val="0"/>
        <w:autoSpaceDN w:val="0"/>
        <w:snapToGrid w:val="0"/>
        <w:rPr>
          <w:rFonts w:ascii="宋体" w:hAnsi="宋体"/>
          <w:lang w:val="zh-CN"/>
        </w:rPr>
      </w:pPr>
      <w:r>
        <w:rPr>
          <w:rFonts w:hint="eastAsia" w:ascii="宋体" w:hAnsi="宋体"/>
          <w:lang w:val="zh-CN"/>
        </w:rPr>
        <w:t>邮政编码：                               邮政编码：</w:t>
      </w:r>
    </w:p>
    <w:p w14:paraId="0399F59B">
      <w:pPr>
        <w:autoSpaceDE w:val="0"/>
        <w:autoSpaceDN w:val="0"/>
        <w:snapToGrid w:val="0"/>
        <w:rPr>
          <w:rFonts w:ascii="宋体" w:hAnsi="宋体"/>
          <w:lang w:val="zh-CN"/>
        </w:rPr>
      </w:pPr>
      <w:r>
        <w:rPr>
          <w:rFonts w:hint="eastAsia" w:ascii="宋体" w:hAnsi="宋体"/>
          <w:lang w:val="zh-CN"/>
        </w:rPr>
        <w:t xml:space="preserve">电话:                                    电话: </w:t>
      </w:r>
    </w:p>
    <w:p w14:paraId="5E9A90F0">
      <w:pPr>
        <w:autoSpaceDE w:val="0"/>
        <w:autoSpaceDN w:val="0"/>
        <w:snapToGrid w:val="0"/>
        <w:rPr>
          <w:rFonts w:ascii="宋体" w:hAnsi="宋体"/>
          <w:lang w:val="zh-CN"/>
        </w:rPr>
      </w:pPr>
      <w:r>
        <w:rPr>
          <w:rFonts w:hint="eastAsia" w:ascii="宋体" w:hAnsi="宋体"/>
          <w:lang w:val="zh-CN"/>
        </w:rPr>
        <w:t>传真:                                    传真:</w:t>
      </w:r>
    </w:p>
    <w:p w14:paraId="092854AE">
      <w:pPr>
        <w:autoSpaceDE w:val="0"/>
        <w:autoSpaceDN w:val="0"/>
        <w:snapToGrid w:val="0"/>
        <w:rPr>
          <w:rFonts w:ascii="宋体" w:hAnsi="宋体"/>
        </w:rPr>
      </w:pPr>
      <w:r>
        <w:rPr>
          <w:rFonts w:hint="eastAsia" w:ascii="宋体" w:hAnsi="宋体"/>
          <w:lang w:val="zh-CN"/>
        </w:rPr>
        <w:t>电子邮箱：                               电子邮箱：</w:t>
      </w:r>
    </w:p>
    <w:p w14:paraId="101B1857">
      <w:pPr>
        <w:autoSpaceDE w:val="0"/>
        <w:autoSpaceDN w:val="0"/>
        <w:snapToGrid w:val="0"/>
        <w:rPr>
          <w:rFonts w:ascii="宋体" w:hAnsi="宋体"/>
        </w:rPr>
      </w:pPr>
      <w:r>
        <w:rPr>
          <w:rFonts w:hint="eastAsia" w:ascii="宋体" w:hAnsi="宋体"/>
        </w:rPr>
        <w:t xml:space="preserve">开户银行：                               开户银行： </w:t>
      </w:r>
    </w:p>
    <w:p w14:paraId="3B13A9C5">
      <w:pPr>
        <w:autoSpaceDE w:val="0"/>
        <w:autoSpaceDN w:val="0"/>
        <w:snapToGrid w:val="0"/>
        <w:rPr>
          <w:rFonts w:ascii="宋体" w:hAnsi="宋体"/>
        </w:rPr>
      </w:pPr>
      <w:r>
        <w:rPr>
          <w:rFonts w:hint="eastAsia" w:ascii="宋体" w:hAnsi="宋体"/>
        </w:rPr>
        <w:t xml:space="preserve">开户名称：                               开户名称： </w:t>
      </w:r>
    </w:p>
    <w:p w14:paraId="4CFF4971">
      <w:pPr>
        <w:autoSpaceDE w:val="0"/>
        <w:autoSpaceDN w:val="0"/>
        <w:snapToGrid w:val="0"/>
        <w:rPr>
          <w:rFonts w:ascii="宋体" w:hAnsi="宋体"/>
        </w:rPr>
      </w:pPr>
      <w:r>
        <w:rPr>
          <w:rFonts w:hint="eastAsia" w:ascii="宋体" w:hAnsi="宋体"/>
        </w:rPr>
        <w:t>开户账号：开户账号：</w:t>
      </w:r>
    </w:p>
    <w:p w14:paraId="593D4D03">
      <w:pPr>
        <w:widowControl/>
        <w:snapToGrid w:val="0"/>
        <w:spacing w:line="360" w:lineRule="auto"/>
        <w:rPr>
          <w:rFonts w:ascii="宋体" w:hAnsi="宋体"/>
          <w:b/>
        </w:rPr>
      </w:pPr>
    </w:p>
    <w:p w14:paraId="7AC7ADCD">
      <w:pPr>
        <w:widowControl/>
        <w:snapToGrid w:val="0"/>
        <w:spacing w:line="360" w:lineRule="auto"/>
        <w:rPr>
          <w:rFonts w:ascii="宋体" w:hAnsi="宋体"/>
          <w:b/>
        </w:rPr>
      </w:pPr>
      <w:r>
        <w:rPr>
          <w:rFonts w:hint="eastAsia" w:ascii="宋体" w:hAnsi="宋体"/>
          <w:b/>
        </w:rPr>
        <w:br w:type="page"/>
      </w:r>
    </w:p>
    <w:p w14:paraId="6D484BDF">
      <w:pPr>
        <w:autoSpaceDE w:val="0"/>
        <w:autoSpaceDN w:val="0"/>
        <w:snapToGrid w:val="0"/>
        <w:spacing w:line="360" w:lineRule="auto"/>
        <w:ind w:left="420" w:leftChars="200" w:firstLine="422" w:firstLineChars="200"/>
        <w:jc w:val="center"/>
        <w:rPr>
          <w:rFonts w:ascii="宋体" w:hAnsi="宋体"/>
          <w:b/>
        </w:rPr>
      </w:pPr>
      <w:r>
        <w:rPr>
          <w:rFonts w:hint="eastAsia" w:ascii="宋体" w:hAnsi="宋体"/>
          <w:b/>
        </w:rPr>
        <w:t>第二部分 合同一般条款</w:t>
      </w:r>
    </w:p>
    <w:p w14:paraId="283C9367">
      <w:pPr>
        <w:snapToGrid w:val="0"/>
        <w:spacing w:line="360" w:lineRule="auto"/>
        <w:ind w:firstLine="422" w:firstLineChars="200"/>
        <w:outlineLvl w:val="0"/>
        <w:rPr>
          <w:rFonts w:ascii="宋体" w:hAnsi="宋体"/>
          <w:b/>
        </w:rPr>
      </w:pPr>
      <w:bookmarkStart w:id="94" w:name="_Toc31297"/>
      <w:bookmarkStart w:id="95" w:name="_Toc14021"/>
      <w:bookmarkStart w:id="96" w:name="_Toc5228"/>
      <w:bookmarkStart w:id="97" w:name="_Toc19680"/>
      <w:bookmarkStart w:id="98" w:name="_Toc25079"/>
      <w:r>
        <w:rPr>
          <w:rFonts w:hint="eastAsia" w:ascii="宋体" w:hAnsi="宋体"/>
          <w:b/>
        </w:rPr>
        <w:t>2.1 定义</w:t>
      </w:r>
      <w:bookmarkEnd w:id="94"/>
      <w:bookmarkEnd w:id="95"/>
      <w:bookmarkEnd w:id="96"/>
      <w:bookmarkEnd w:id="97"/>
      <w:bookmarkEnd w:id="98"/>
    </w:p>
    <w:p w14:paraId="762205C1">
      <w:pPr>
        <w:snapToGrid w:val="0"/>
        <w:spacing w:line="360" w:lineRule="auto"/>
        <w:ind w:firstLine="420" w:firstLineChars="200"/>
        <w:rPr>
          <w:rFonts w:ascii="宋体" w:hAnsi="宋体"/>
        </w:rPr>
      </w:pPr>
      <w:r>
        <w:rPr>
          <w:rFonts w:hint="eastAsia" w:ascii="宋体" w:hAnsi="宋体"/>
        </w:rPr>
        <w:t>本合同中的下列词语应按以下内容进行解释：</w:t>
      </w:r>
    </w:p>
    <w:p w14:paraId="04BF5D6E">
      <w:pPr>
        <w:snapToGrid w:val="0"/>
        <w:spacing w:line="360" w:lineRule="auto"/>
        <w:ind w:firstLine="420" w:firstLineChars="200"/>
        <w:rPr>
          <w:rFonts w:ascii="宋体" w:hAnsi="宋体"/>
        </w:rPr>
      </w:pPr>
      <w:r>
        <w:rPr>
          <w:rFonts w:hint="eastAsia" w:ascii="宋体" w:hAnsi="宋体"/>
        </w:rPr>
        <w:t>2.1.1 “合同”系指采购人和</w:t>
      </w:r>
      <w:r>
        <w:rPr>
          <w:rFonts w:hint="eastAsia" w:asciiTheme="minorEastAsia" w:hAnsiTheme="minorEastAsia" w:eastAsiaTheme="minorEastAsia"/>
        </w:rPr>
        <w:t>中标人</w:t>
      </w:r>
      <w:r>
        <w:rPr>
          <w:rFonts w:hint="eastAsia" w:ascii="宋体" w:hAnsi="宋体"/>
        </w:rPr>
        <w:t>签订的载明双方当事人所达成的协议，并包括所有的附件、附录和构成合同的其他文件。</w:t>
      </w:r>
    </w:p>
    <w:p w14:paraId="0DBA7DBC">
      <w:pPr>
        <w:snapToGrid w:val="0"/>
        <w:spacing w:line="360" w:lineRule="auto"/>
        <w:ind w:firstLine="420" w:firstLineChars="200"/>
        <w:rPr>
          <w:rFonts w:ascii="宋体" w:hAnsi="宋体"/>
        </w:rPr>
      </w:pPr>
      <w:r>
        <w:rPr>
          <w:rFonts w:hint="eastAsia" w:ascii="宋体" w:hAnsi="宋体"/>
        </w:rPr>
        <w:t>2.1.2 “合同价”系指根据合同约定，</w:t>
      </w:r>
      <w:r>
        <w:rPr>
          <w:rFonts w:hint="eastAsia" w:asciiTheme="minorEastAsia" w:hAnsiTheme="minorEastAsia" w:eastAsiaTheme="minorEastAsia"/>
        </w:rPr>
        <w:t>中标人</w:t>
      </w:r>
      <w:r>
        <w:rPr>
          <w:rFonts w:hint="eastAsia" w:ascii="宋体" w:hAnsi="宋体"/>
        </w:rPr>
        <w:t>在完全履行合同义务后，采购人应支付给</w:t>
      </w:r>
      <w:r>
        <w:rPr>
          <w:rFonts w:hint="eastAsia" w:asciiTheme="minorEastAsia" w:hAnsiTheme="minorEastAsia" w:eastAsiaTheme="minorEastAsia"/>
        </w:rPr>
        <w:t>中标人</w:t>
      </w:r>
      <w:r>
        <w:rPr>
          <w:rFonts w:hint="eastAsia" w:ascii="宋体" w:hAnsi="宋体"/>
        </w:rPr>
        <w:t>的价格。</w:t>
      </w:r>
    </w:p>
    <w:p w14:paraId="4436D208">
      <w:pPr>
        <w:snapToGrid w:val="0"/>
        <w:spacing w:line="360" w:lineRule="auto"/>
        <w:ind w:firstLine="420" w:firstLineChars="200"/>
        <w:rPr>
          <w:rFonts w:ascii="宋体" w:hAnsi="宋体"/>
        </w:rPr>
      </w:pPr>
      <w:r>
        <w:rPr>
          <w:rFonts w:hint="eastAsia" w:ascii="宋体" w:hAnsi="宋体"/>
        </w:rPr>
        <w:t>2.1.3 “服务”系指</w:t>
      </w:r>
      <w:r>
        <w:rPr>
          <w:rFonts w:hint="eastAsia" w:asciiTheme="minorEastAsia" w:hAnsiTheme="minorEastAsia" w:eastAsiaTheme="minorEastAsia"/>
        </w:rPr>
        <w:t>中标人</w:t>
      </w:r>
      <w:r>
        <w:rPr>
          <w:rFonts w:hint="eastAsia" w:ascii="宋体" w:hAnsi="宋体"/>
        </w:rPr>
        <w:t>根据合同约定应向采购人履行的除货物和工程以外的其他政府采购对象，包括采购人自身需要的服务和向社会公众提供的公共服务。</w:t>
      </w:r>
    </w:p>
    <w:p w14:paraId="6F6DD58A">
      <w:pPr>
        <w:snapToGrid w:val="0"/>
        <w:spacing w:line="360" w:lineRule="auto"/>
        <w:ind w:firstLine="420" w:firstLineChars="200"/>
        <w:rPr>
          <w:rFonts w:ascii="宋体" w:hAnsi="宋体"/>
        </w:rPr>
      </w:pPr>
      <w:r>
        <w:rPr>
          <w:rFonts w:hint="eastAsia" w:ascii="宋体" w:hAnsi="宋体"/>
        </w:rPr>
        <w:t>2.1.4 “甲方”系指与</w:t>
      </w:r>
      <w:r>
        <w:rPr>
          <w:rFonts w:hint="eastAsia" w:asciiTheme="minorEastAsia" w:hAnsiTheme="minorEastAsia" w:eastAsiaTheme="minorEastAsia"/>
        </w:rPr>
        <w:t>中标人</w:t>
      </w:r>
      <w:r>
        <w:rPr>
          <w:rFonts w:hint="eastAsia" w:ascii="宋体" w:hAnsi="宋体"/>
        </w:rPr>
        <w:t>签署合同的采购人；采购人委托采购代理机构代表其与乙方签订合同的，采购人的授权委托书作为合同附件。</w:t>
      </w:r>
    </w:p>
    <w:p w14:paraId="78BBBA38">
      <w:pPr>
        <w:snapToGrid w:val="0"/>
        <w:spacing w:line="360" w:lineRule="auto"/>
        <w:ind w:firstLine="420" w:firstLineChars="200"/>
        <w:rPr>
          <w:rFonts w:ascii="宋体" w:hAnsi="宋体"/>
        </w:rPr>
      </w:pPr>
      <w:r>
        <w:rPr>
          <w:rFonts w:hint="eastAsia" w:ascii="宋体" w:hAnsi="宋体"/>
        </w:rPr>
        <w:t>2.1.5 “乙方”系指根据合同约定提供服务的</w:t>
      </w:r>
      <w:r>
        <w:rPr>
          <w:rFonts w:hint="eastAsia" w:asciiTheme="minorEastAsia" w:hAnsiTheme="minorEastAsia" w:eastAsiaTheme="minorEastAsia"/>
        </w:rPr>
        <w:t>中标人</w:t>
      </w:r>
      <w:r>
        <w:rPr>
          <w:rFonts w:hint="eastAsia" w:ascii="宋体" w:hAnsi="宋体"/>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959AE4F">
      <w:pPr>
        <w:snapToGrid w:val="0"/>
        <w:spacing w:line="360" w:lineRule="auto"/>
        <w:ind w:firstLine="420" w:firstLineChars="200"/>
        <w:rPr>
          <w:rFonts w:ascii="宋体" w:hAnsi="宋体"/>
        </w:rPr>
      </w:pPr>
      <w:r>
        <w:rPr>
          <w:rFonts w:hint="eastAsia" w:ascii="宋体" w:hAnsi="宋体"/>
        </w:rPr>
        <w:t>2.1.6 “现场”系指合同约定提供服务的地点。</w:t>
      </w:r>
    </w:p>
    <w:p w14:paraId="4CD988A0">
      <w:pPr>
        <w:snapToGrid w:val="0"/>
        <w:spacing w:line="360" w:lineRule="auto"/>
        <w:ind w:firstLine="422" w:firstLineChars="200"/>
        <w:outlineLvl w:val="0"/>
        <w:rPr>
          <w:rFonts w:ascii="宋体" w:hAnsi="宋体"/>
          <w:b/>
        </w:rPr>
      </w:pPr>
      <w:bookmarkStart w:id="99" w:name="_Toc23289"/>
      <w:bookmarkStart w:id="100" w:name="_Toc3769"/>
      <w:bookmarkStart w:id="101" w:name="_Toc19539"/>
      <w:bookmarkStart w:id="102" w:name="_Toc31402"/>
      <w:bookmarkStart w:id="103" w:name="_Toc16752"/>
      <w:r>
        <w:rPr>
          <w:rFonts w:hint="eastAsia" w:ascii="宋体" w:hAnsi="宋体"/>
          <w:b/>
        </w:rPr>
        <w:t>2.2 技术规范</w:t>
      </w:r>
      <w:bookmarkEnd w:id="99"/>
      <w:bookmarkEnd w:id="100"/>
      <w:bookmarkEnd w:id="101"/>
      <w:bookmarkEnd w:id="102"/>
      <w:bookmarkEnd w:id="103"/>
    </w:p>
    <w:p w14:paraId="5881D25A">
      <w:pPr>
        <w:snapToGrid w:val="0"/>
        <w:spacing w:line="360" w:lineRule="auto"/>
        <w:ind w:firstLine="420" w:firstLineChars="200"/>
        <w:rPr>
          <w:rFonts w:ascii="宋体" w:hAnsi="宋体"/>
        </w:rPr>
      </w:pPr>
      <w:r>
        <w:rPr>
          <w:rFonts w:hint="eastAsia" w:ascii="宋体" w:hAnsi="宋体"/>
        </w:rPr>
        <w:t>服务所应遵守的技术规范应与采购文件规定的技术规范和技术规范附件(如果有的话)及其技术规格响应表（如有）(如果被甲方接受的话)相一致；如果采购文件中没有技术规范的相应说明，那么应以国家有关部门最新颁布的相应标准和规范为准。</w:t>
      </w:r>
    </w:p>
    <w:p w14:paraId="76AB4EF3">
      <w:pPr>
        <w:snapToGrid w:val="0"/>
        <w:spacing w:line="360" w:lineRule="auto"/>
        <w:ind w:firstLine="422" w:firstLineChars="200"/>
        <w:outlineLvl w:val="0"/>
        <w:rPr>
          <w:rFonts w:ascii="宋体" w:hAnsi="宋体"/>
          <w:b/>
        </w:rPr>
      </w:pPr>
      <w:bookmarkStart w:id="104" w:name="_Toc12412"/>
      <w:bookmarkStart w:id="105" w:name="_Toc13673"/>
      <w:bookmarkStart w:id="106" w:name="_Toc27945"/>
      <w:bookmarkStart w:id="107" w:name="_Toc9161"/>
      <w:bookmarkStart w:id="108" w:name="_Toc4133"/>
      <w:r>
        <w:rPr>
          <w:rFonts w:hint="eastAsia" w:ascii="宋体" w:hAnsi="宋体"/>
          <w:b/>
        </w:rPr>
        <w:t>2.3 知识产权</w:t>
      </w:r>
      <w:bookmarkEnd w:id="104"/>
      <w:bookmarkEnd w:id="105"/>
      <w:bookmarkEnd w:id="106"/>
      <w:bookmarkEnd w:id="107"/>
      <w:bookmarkEnd w:id="108"/>
    </w:p>
    <w:p w14:paraId="3CD5C7BB">
      <w:pPr>
        <w:snapToGrid w:val="0"/>
        <w:spacing w:line="360" w:lineRule="auto"/>
        <w:ind w:firstLine="420" w:firstLineChars="200"/>
        <w:rPr>
          <w:rFonts w:ascii="宋体" w:hAnsi="宋体"/>
        </w:rPr>
      </w:pPr>
      <w:r>
        <w:rPr>
          <w:rFonts w:hint="eastAsia" w:ascii="宋体" w:hAnsi="宋体"/>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072240C">
      <w:pPr>
        <w:snapToGrid w:val="0"/>
        <w:spacing w:line="360" w:lineRule="auto"/>
        <w:ind w:firstLine="420" w:firstLineChars="200"/>
        <w:rPr>
          <w:rFonts w:ascii="宋体" w:hAnsi="宋体"/>
        </w:rPr>
      </w:pPr>
      <w:r>
        <w:rPr>
          <w:rFonts w:hint="eastAsia" w:ascii="宋体" w:hAnsi="宋体"/>
        </w:rPr>
        <w:t>2.3.2 合同涉及技术成果的归属和收益的分成办法的，详见</w:t>
      </w:r>
      <w:r>
        <w:rPr>
          <w:rFonts w:hint="eastAsia" w:ascii="宋体" w:hAnsi="宋体"/>
          <w:b/>
          <w:i/>
          <w:u w:val="single"/>
        </w:rPr>
        <w:t>合同专用条款</w:t>
      </w:r>
      <w:r>
        <w:rPr>
          <w:rFonts w:hint="eastAsia" w:ascii="宋体" w:hAnsi="宋体"/>
        </w:rPr>
        <w:t>。</w:t>
      </w:r>
    </w:p>
    <w:p w14:paraId="4010DBAE">
      <w:pPr>
        <w:snapToGrid w:val="0"/>
        <w:spacing w:line="360" w:lineRule="auto"/>
        <w:ind w:firstLine="422" w:firstLineChars="200"/>
        <w:rPr>
          <w:rFonts w:ascii="宋体" w:hAnsi="宋体"/>
          <w:b/>
        </w:rPr>
      </w:pPr>
      <w:r>
        <w:rPr>
          <w:rFonts w:hint="eastAsia" w:ascii="宋体" w:hAnsi="宋体"/>
          <w:b/>
        </w:rPr>
        <w:t>2.4 履约检查和问题反馈</w:t>
      </w:r>
    </w:p>
    <w:p w14:paraId="1C6E2595">
      <w:pPr>
        <w:snapToGrid w:val="0"/>
        <w:spacing w:line="360" w:lineRule="auto"/>
        <w:ind w:firstLine="420" w:firstLineChars="200"/>
        <w:rPr>
          <w:rFonts w:ascii="宋体" w:hAnsi="宋体"/>
        </w:rPr>
      </w:pPr>
      <w:r>
        <w:rPr>
          <w:rFonts w:hint="eastAsia" w:ascii="宋体" w:hAnsi="宋体"/>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F195C40">
      <w:pPr>
        <w:snapToGrid w:val="0"/>
        <w:spacing w:line="360" w:lineRule="auto"/>
        <w:ind w:firstLine="420" w:firstLineChars="200"/>
        <w:rPr>
          <w:rFonts w:ascii="宋体" w:hAnsi="宋体"/>
        </w:rPr>
      </w:pPr>
      <w:r>
        <w:rPr>
          <w:rFonts w:hint="eastAsia" w:ascii="宋体" w:hAnsi="宋体"/>
        </w:rPr>
        <w:t>2.4.2 合同履行期间，甲方有权将履行过程中出现的问题反馈给乙方，双方当事人应以书面形式约定需要完善和改进的内容。</w:t>
      </w:r>
    </w:p>
    <w:p w14:paraId="00E70EF3">
      <w:pPr>
        <w:snapToGrid w:val="0"/>
        <w:spacing w:line="360" w:lineRule="auto"/>
        <w:ind w:firstLine="422" w:firstLineChars="200"/>
        <w:outlineLvl w:val="0"/>
        <w:rPr>
          <w:rFonts w:ascii="宋体" w:hAnsi="宋体"/>
          <w:b/>
        </w:rPr>
      </w:pPr>
      <w:bookmarkStart w:id="109" w:name="_Toc26555"/>
      <w:bookmarkStart w:id="110" w:name="_Toc32670"/>
      <w:bookmarkStart w:id="111" w:name="_Toc22011"/>
      <w:bookmarkStart w:id="112" w:name="_Toc31233"/>
      <w:bookmarkStart w:id="113" w:name="_Toc15447"/>
      <w:r>
        <w:rPr>
          <w:rFonts w:hint="eastAsia" w:ascii="宋体" w:hAnsi="宋体"/>
          <w:b/>
        </w:rPr>
        <w:t>2.5 结算方式和付款条件</w:t>
      </w:r>
      <w:bookmarkEnd w:id="109"/>
      <w:bookmarkEnd w:id="110"/>
      <w:bookmarkEnd w:id="111"/>
      <w:bookmarkEnd w:id="112"/>
      <w:bookmarkEnd w:id="113"/>
    </w:p>
    <w:p w14:paraId="6725516B">
      <w:pPr>
        <w:snapToGrid w:val="0"/>
        <w:spacing w:line="360" w:lineRule="auto"/>
        <w:ind w:firstLine="420" w:firstLineChars="200"/>
        <w:rPr>
          <w:rFonts w:ascii="宋体" w:hAnsi="宋体"/>
        </w:rPr>
      </w:pPr>
      <w:r>
        <w:rPr>
          <w:rFonts w:hint="eastAsia" w:ascii="宋体" w:hAnsi="宋体"/>
        </w:rPr>
        <w:t>详见</w:t>
      </w:r>
      <w:r>
        <w:rPr>
          <w:rFonts w:hint="eastAsia" w:ascii="宋体" w:hAnsi="宋体"/>
          <w:b/>
          <w:i/>
          <w:u w:val="single"/>
        </w:rPr>
        <w:t>合同专用条款</w:t>
      </w:r>
      <w:r>
        <w:rPr>
          <w:rFonts w:hint="eastAsia" w:ascii="宋体" w:hAnsi="宋体"/>
        </w:rPr>
        <w:t>。</w:t>
      </w:r>
    </w:p>
    <w:p w14:paraId="6BF4667C">
      <w:pPr>
        <w:snapToGrid w:val="0"/>
        <w:spacing w:line="360" w:lineRule="auto"/>
        <w:ind w:firstLine="422" w:firstLineChars="200"/>
        <w:outlineLvl w:val="0"/>
        <w:rPr>
          <w:rFonts w:ascii="宋体" w:hAnsi="宋体"/>
          <w:b/>
        </w:rPr>
      </w:pPr>
      <w:bookmarkStart w:id="114" w:name="_Toc30507"/>
      <w:bookmarkStart w:id="115" w:name="_Toc16163"/>
      <w:bookmarkStart w:id="116" w:name="_Toc13467"/>
      <w:bookmarkStart w:id="117" w:name="_Toc13154"/>
      <w:bookmarkStart w:id="118" w:name="_Toc18990"/>
      <w:r>
        <w:rPr>
          <w:rFonts w:hint="eastAsia" w:ascii="宋体" w:hAnsi="宋体"/>
          <w:b/>
        </w:rPr>
        <w:t>2.6 技术资料和保密义务</w:t>
      </w:r>
      <w:bookmarkEnd w:id="114"/>
      <w:bookmarkEnd w:id="115"/>
      <w:bookmarkEnd w:id="116"/>
      <w:bookmarkEnd w:id="117"/>
      <w:bookmarkEnd w:id="118"/>
    </w:p>
    <w:p w14:paraId="53EE7501">
      <w:pPr>
        <w:snapToGrid w:val="0"/>
        <w:spacing w:line="360" w:lineRule="auto"/>
        <w:ind w:firstLine="420" w:firstLineChars="200"/>
        <w:rPr>
          <w:rFonts w:ascii="宋体" w:hAnsi="宋体"/>
        </w:rPr>
      </w:pPr>
      <w:r>
        <w:rPr>
          <w:rFonts w:hint="eastAsia" w:ascii="宋体" w:hAnsi="宋体"/>
        </w:rPr>
        <w:t>2.6.1 乙方有权依据合同约定和项目需要，向甲方了解有关情况，调阅有关资料等，甲方应予积极配合；</w:t>
      </w:r>
    </w:p>
    <w:p w14:paraId="3650D9BF">
      <w:pPr>
        <w:snapToGrid w:val="0"/>
        <w:spacing w:line="360" w:lineRule="auto"/>
        <w:ind w:firstLine="420" w:firstLineChars="200"/>
        <w:rPr>
          <w:rFonts w:ascii="宋体" w:hAnsi="宋体"/>
        </w:rPr>
      </w:pPr>
      <w:r>
        <w:rPr>
          <w:rFonts w:hint="eastAsia" w:ascii="宋体" w:hAnsi="宋体"/>
        </w:rPr>
        <w:t>2.6.2 乙方有义务妥善保管和保护由甲方提供的前款信息和资料等；</w:t>
      </w:r>
    </w:p>
    <w:p w14:paraId="7A965363">
      <w:pPr>
        <w:snapToGrid w:val="0"/>
        <w:spacing w:line="360" w:lineRule="auto"/>
        <w:ind w:firstLine="420" w:firstLineChars="200"/>
        <w:rPr>
          <w:rFonts w:ascii="宋体" w:hAnsi="宋体"/>
        </w:rPr>
      </w:pPr>
      <w:r>
        <w:rPr>
          <w:rFonts w:hint="eastAsia" w:ascii="宋体" w:hAnsi="宋体"/>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F4430A">
      <w:pPr>
        <w:snapToGrid w:val="0"/>
        <w:spacing w:line="360" w:lineRule="auto"/>
        <w:ind w:firstLine="422" w:firstLineChars="200"/>
        <w:outlineLvl w:val="0"/>
        <w:rPr>
          <w:rFonts w:ascii="宋体" w:hAnsi="宋体"/>
          <w:b/>
        </w:rPr>
      </w:pPr>
      <w:bookmarkStart w:id="119" w:name="_Toc19069"/>
      <w:r>
        <w:rPr>
          <w:rFonts w:hint="eastAsia" w:ascii="宋体" w:hAnsi="宋体"/>
          <w:b/>
        </w:rPr>
        <w:t>2.7 质量保证</w:t>
      </w:r>
      <w:bookmarkEnd w:id="119"/>
    </w:p>
    <w:p w14:paraId="4D6C3CBC">
      <w:pPr>
        <w:snapToGrid w:val="0"/>
        <w:spacing w:line="360" w:lineRule="auto"/>
        <w:ind w:firstLine="420" w:firstLineChars="200"/>
        <w:rPr>
          <w:rFonts w:ascii="宋体" w:hAnsi="宋体"/>
        </w:rPr>
      </w:pPr>
      <w:r>
        <w:rPr>
          <w:rFonts w:hint="eastAsia" w:ascii="宋体" w:hAnsi="宋体"/>
        </w:rPr>
        <w:t>2.7.1 乙方应建立和完善履行合同的内部质量保证体系，并提供相关内部规章制度给甲方，以便甲方进行监督检查；</w:t>
      </w:r>
    </w:p>
    <w:p w14:paraId="72E56D18">
      <w:pPr>
        <w:snapToGrid w:val="0"/>
        <w:spacing w:line="360" w:lineRule="auto"/>
        <w:ind w:firstLine="420" w:firstLineChars="200"/>
        <w:rPr>
          <w:rFonts w:ascii="宋体" w:hAnsi="宋体"/>
        </w:rPr>
      </w:pPr>
      <w:r>
        <w:rPr>
          <w:rFonts w:hint="eastAsia" w:ascii="宋体" w:hAnsi="宋体"/>
        </w:rPr>
        <w:t>2.7.2 乙方应保证履行合同的人员数量和素质、软件和硬件设备的配置、场地、环境和设施等满足全面履行合同的要求，并应接受甲方的监督检查。</w:t>
      </w:r>
    </w:p>
    <w:p w14:paraId="3FE33F7F">
      <w:pPr>
        <w:snapToGrid w:val="0"/>
        <w:spacing w:line="360" w:lineRule="auto"/>
        <w:ind w:firstLine="422" w:firstLineChars="200"/>
        <w:outlineLvl w:val="0"/>
        <w:rPr>
          <w:rFonts w:ascii="宋体" w:hAnsi="宋体"/>
          <w:b/>
        </w:rPr>
      </w:pPr>
      <w:bookmarkStart w:id="120" w:name="_Toc22267"/>
      <w:r>
        <w:rPr>
          <w:rFonts w:hint="eastAsia" w:ascii="宋体" w:hAnsi="宋体"/>
          <w:b/>
        </w:rPr>
        <w:t>2.8 延迟履行</w:t>
      </w:r>
      <w:bookmarkEnd w:id="120"/>
    </w:p>
    <w:p w14:paraId="3C92B96F">
      <w:pPr>
        <w:snapToGrid w:val="0"/>
        <w:spacing w:line="360" w:lineRule="auto"/>
        <w:ind w:firstLine="420" w:firstLineChars="200"/>
        <w:rPr>
          <w:rFonts w:ascii="宋体" w:hAnsi="宋体"/>
        </w:rPr>
      </w:pPr>
      <w:r>
        <w:rPr>
          <w:rFonts w:hint="eastAsia" w:ascii="宋体" w:hAnsi="宋体"/>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78B6A7CB">
      <w:pPr>
        <w:snapToGrid w:val="0"/>
        <w:spacing w:line="360" w:lineRule="auto"/>
        <w:ind w:firstLine="422" w:firstLineChars="200"/>
        <w:outlineLvl w:val="0"/>
        <w:rPr>
          <w:rFonts w:ascii="宋体" w:hAnsi="宋体"/>
          <w:b/>
        </w:rPr>
      </w:pPr>
      <w:bookmarkStart w:id="121" w:name="_Toc10611"/>
      <w:r>
        <w:rPr>
          <w:rFonts w:hint="eastAsia" w:ascii="宋体" w:hAnsi="宋体"/>
          <w:b/>
        </w:rPr>
        <w:t>2.9 合同变更</w:t>
      </w:r>
      <w:bookmarkEnd w:id="121"/>
    </w:p>
    <w:p w14:paraId="2115EA24">
      <w:pPr>
        <w:snapToGrid w:val="0"/>
        <w:spacing w:line="360" w:lineRule="auto"/>
        <w:ind w:firstLine="420" w:firstLineChars="200"/>
        <w:rPr>
          <w:rFonts w:ascii="宋体" w:hAnsi="宋体"/>
        </w:rPr>
      </w:pPr>
      <w:r>
        <w:rPr>
          <w:rFonts w:hint="eastAsia" w:ascii="宋体" w:hAnsi="宋体"/>
        </w:rPr>
        <w:t>合同继续履行将损害国家利益和社会公共利益的，双方当事人应当以书面形式变更合同。有过错的一方应当承担赔偿责任，双方当事人都有过错的，各自承担相应的责任。</w:t>
      </w:r>
    </w:p>
    <w:p w14:paraId="0D84000C">
      <w:pPr>
        <w:snapToGrid w:val="0"/>
        <w:spacing w:line="360" w:lineRule="auto"/>
        <w:ind w:firstLine="422" w:firstLineChars="200"/>
        <w:outlineLvl w:val="0"/>
        <w:rPr>
          <w:rFonts w:ascii="宋体" w:hAnsi="宋体"/>
          <w:b/>
        </w:rPr>
      </w:pPr>
      <w:bookmarkStart w:id="122" w:name="_Toc26689"/>
      <w:bookmarkStart w:id="123" w:name="_Toc10663"/>
      <w:bookmarkStart w:id="124" w:name="_Toc23368"/>
      <w:bookmarkStart w:id="125" w:name="_Toc21830"/>
      <w:bookmarkStart w:id="126" w:name="_Toc42"/>
      <w:r>
        <w:rPr>
          <w:rFonts w:hint="eastAsia" w:ascii="宋体" w:hAnsi="宋体"/>
          <w:b/>
        </w:rPr>
        <w:t>2.10 合同转让和分包</w:t>
      </w:r>
      <w:bookmarkEnd w:id="122"/>
      <w:bookmarkEnd w:id="123"/>
      <w:bookmarkEnd w:id="124"/>
      <w:bookmarkEnd w:id="125"/>
      <w:bookmarkEnd w:id="126"/>
    </w:p>
    <w:p w14:paraId="6C913C36">
      <w:pPr>
        <w:snapToGrid w:val="0"/>
        <w:spacing w:line="360" w:lineRule="auto"/>
        <w:ind w:firstLine="420" w:firstLineChars="200"/>
        <w:rPr>
          <w:rFonts w:ascii="宋体" w:hAnsi="宋体"/>
        </w:rPr>
      </w:pPr>
      <w:r>
        <w:rPr>
          <w:rFonts w:hint="eastAsia" w:ascii="宋体" w:hAnsi="宋体"/>
        </w:rPr>
        <w:t>合同的权利义务依法不得转让，若允许分包，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302359">
      <w:pPr>
        <w:snapToGrid w:val="0"/>
        <w:spacing w:line="360" w:lineRule="auto"/>
        <w:ind w:firstLine="422" w:firstLineChars="200"/>
        <w:outlineLvl w:val="0"/>
        <w:rPr>
          <w:rFonts w:ascii="宋体" w:hAnsi="宋体"/>
          <w:b/>
        </w:rPr>
      </w:pPr>
      <w:bookmarkStart w:id="127" w:name="_Toc14371"/>
      <w:bookmarkStart w:id="128" w:name="_Toc25571"/>
      <w:bookmarkStart w:id="129" w:name="_Toc32494"/>
      <w:bookmarkStart w:id="130" w:name="_Toc26633"/>
      <w:bookmarkStart w:id="131" w:name="_Toc4720"/>
      <w:r>
        <w:rPr>
          <w:rFonts w:hint="eastAsia" w:ascii="宋体" w:hAnsi="宋体"/>
          <w:b/>
        </w:rPr>
        <w:t>2.11 不可抗力</w:t>
      </w:r>
      <w:bookmarkEnd w:id="127"/>
      <w:bookmarkEnd w:id="128"/>
      <w:bookmarkEnd w:id="129"/>
      <w:bookmarkEnd w:id="130"/>
      <w:bookmarkEnd w:id="131"/>
    </w:p>
    <w:p w14:paraId="54E161EB">
      <w:pPr>
        <w:snapToGrid w:val="0"/>
        <w:spacing w:line="360" w:lineRule="auto"/>
        <w:ind w:firstLine="420" w:firstLineChars="200"/>
        <w:rPr>
          <w:rFonts w:ascii="宋体" w:hAnsi="宋体"/>
        </w:rPr>
      </w:pPr>
      <w:r>
        <w:rPr>
          <w:rFonts w:hint="eastAsia" w:ascii="宋体" w:hAnsi="宋体"/>
        </w:rPr>
        <w:t>2.11.1如果任何一方遭遇法律规定的不可抗力，致使合同履行受阻时，履行合同的期限应予延长，延长的期限应相当于不可抗力所影响的时间；</w:t>
      </w:r>
    </w:p>
    <w:p w14:paraId="578FF536">
      <w:pPr>
        <w:snapToGrid w:val="0"/>
        <w:spacing w:line="360" w:lineRule="auto"/>
        <w:ind w:firstLine="420" w:firstLineChars="200"/>
        <w:rPr>
          <w:rFonts w:ascii="宋体" w:hAnsi="宋体"/>
        </w:rPr>
      </w:pPr>
      <w:r>
        <w:rPr>
          <w:rFonts w:hint="eastAsia" w:ascii="宋体" w:hAnsi="宋体"/>
        </w:rPr>
        <w:t>2.11.2 因不可抗力致使不能实现合同目的的，当事人可以解除合同；</w:t>
      </w:r>
    </w:p>
    <w:p w14:paraId="0EA0C404">
      <w:pPr>
        <w:snapToGrid w:val="0"/>
        <w:spacing w:line="360" w:lineRule="auto"/>
        <w:ind w:firstLine="420" w:firstLineChars="200"/>
        <w:rPr>
          <w:rFonts w:ascii="宋体" w:hAnsi="宋体"/>
        </w:rPr>
      </w:pPr>
      <w:r>
        <w:rPr>
          <w:rFonts w:hint="eastAsia" w:ascii="宋体" w:hAnsi="宋体"/>
        </w:rPr>
        <w:t>2.11.3 因不可抗力致使合同有变更必要的，双方当事人应在</w:t>
      </w:r>
      <w:r>
        <w:rPr>
          <w:rFonts w:hint="eastAsia" w:ascii="宋体" w:hAnsi="宋体"/>
          <w:b/>
          <w:i/>
          <w:u w:val="single"/>
        </w:rPr>
        <w:t>合同专用条款</w:t>
      </w:r>
      <w:r>
        <w:rPr>
          <w:rFonts w:hint="eastAsia" w:ascii="宋体" w:hAnsi="宋体"/>
        </w:rPr>
        <w:t>约定时间内以书面形式变更合同；</w:t>
      </w:r>
    </w:p>
    <w:p w14:paraId="66C415B8">
      <w:pPr>
        <w:snapToGrid w:val="0"/>
        <w:spacing w:line="360" w:lineRule="auto"/>
        <w:ind w:firstLine="420" w:firstLineChars="200"/>
        <w:rPr>
          <w:rFonts w:ascii="宋体" w:hAnsi="宋体"/>
        </w:rPr>
      </w:pPr>
      <w:r>
        <w:rPr>
          <w:rFonts w:hint="eastAsia" w:ascii="宋体" w:hAnsi="宋体"/>
        </w:rPr>
        <w:t>2.11.4受不可抗力影响的一方在不可抗力发生后，应在</w:t>
      </w:r>
      <w:r>
        <w:rPr>
          <w:rFonts w:hint="eastAsia" w:ascii="宋体" w:hAnsi="宋体"/>
          <w:b/>
          <w:i/>
          <w:u w:val="single"/>
        </w:rPr>
        <w:t>合同专用条款</w:t>
      </w:r>
      <w:r>
        <w:rPr>
          <w:rFonts w:hint="eastAsia" w:ascii="宋体" w:hAnsi="宋体"/>
        </w:rPr>
        <w:t>约定时间内以书面形式通知对方当事人，并在</w:t>
      </w:r>
      <w:r>
        <w:rPr>
          <w:rFonts w:hint="eastAsia" w:ascii="宋体" w:hAnsi="宋体"/>
          <w:b/>
          <w:i/>
          <w:u w:val="single"/>
        </w:rPr>
        <w:t>合同专用条款</w:t>
      </w:r>
      <w:r>
        <w:rPr>
          <w:rFonts w:hint="eastAsia" w:ascii="宋体" w:hAnsi="宋体"/>
        </w:rPr>
        <w:t>约定时间内，将有关部门出具的证明文件送达对方当事人。</w:t>
      </w:r>
    </w:p>
    <w:p w14:paraId="0D3BFB17">
      <w:pPr>
        <w:snapToGrid w:val="0"/>
        <w:spacing w:line="360" w:lineRule="auto"/>
        <w:ind w:firstLine="422" w:firstLineChars="200"/>
        <w:outlineLvl w:val="0"/>
        <w:rPr>
          <w:rFonts w:ascii="宋体" w:hAnsi="宋体"/>
          <w:b/>
        </w:rPr>
      </w:pPr>
      <w:bookmarkStart w:id="132" w:name="_Toc25783"/>
      <w:bookmarkStart w:id="133" w:name="_Toc23854"/>
      <w:bookmarkStart w:id="134" w:name="_Toc14115"/>
      <w:bookmarkStart w:id="135" w:name="_Toc3638"/>
      <w:bookmarkStart w:id="136" w:name="_Toc24465"/>
      <w:r>
        <w:rPr>
          <w:rFonts w:hint="eastAsia" w:ascii="宋体" w:hAnsi="宋体"/>
          <w:b/>
        </w:rPr>
        <w:t>2.12 税费</w:t>
      </w:r>
      <w:bookmarkEnd w:id="132"/>
      <w:bookmarkEnd w:id="133"/>
      <w:bookmarkEnd w:id="134"/>
      <w:bookmarkEnd w:id="135"/>
      <w:bookmarkEnd w:id="136"/>
    </w:p>
    <w:p w14:paraId="3D1B9453">
      <w:pPr>
        <w:snapToGrid w:val="0"/>
        <w:spacing w:line="360" w:lineRule="auto"/>
        <w:ind w:firstLine="420" w:firstLineChars="200"/>
        <w:rPr>
          <w:rFonts w:ascii="宋体" w:hAnsi="宋体"/>
        </w:rPr>
      </w:pPr>
      <w:r>
        <w:rPr>
          <w:rFonts w:hint="eastAsia" w:ascii="宋体" w:hAnsi="宋体"/>
        </w:rPr>
        <w:t>与合同有关的一切税费，均按照中华人民共和国法律的相关规定缴纳。</w:t>
      </w:r>
    </w:p>
    <w:p w14:paraId="1C3447AA">
      <w:pPr>
        <w:snapToGrid w:val="0"/>
        <w:spacing w:line="360" w:lineRule="auto"/>
        <w:ind w:firstLine="422" w:firstLineChars="200"/>
        <w:outlineLvl w:val="0"/>
        <w:rPr>
          <w:rFonts w:ascii="宋体" w:hAnsi="宋体"/>
          <w:b/>
        </w:rPr>
      </w:pPr>
      <w:bookmarkStart w:id="137" w:name="_Toc25525"/>
      <w:bookmarkStart w:id="138" w:name="_Toc14814"/>
      <w:bookmarkStart w:id="139" w:name="_Toc26883"/>
      <w:bookmarkStart w:id="140" w:name="_Toc7315"/>
      <w:bookmarkStart w:id="141" w:name="_Toc30105"/>
      <w:r>
        <w:rPr>
          <w:rFonts w:hint="eastAsia" w:ascii="宋体" w:hAnsi="宋体"/>
          <w:b/>
        </w:rPr>
        <w:t>2.13 乙方破产</w:t>
      </w:r>
      <w:bookmarkEnd w:id="137"/>
      <w:bookmarkEnd w:id="138"/>
      <w:bookmarkEnd w:id="139"/>
      <w:bookmarkEnd w:id="140"/>
      <w:bookmarkEnd w:id="141"/>
    </w:p>
    <w:p w14:paraId="5B1D1758">
      <w:pPr>
        <w:snapToGrid w:val="0"/>
        <w:spacing w:line="360" w:lineRule="auto"/>
        <w:ind w:firstLine="420" w:firstLineChars="200"/>
        <w:rPr>
          <w:rFonts w:ascii="宋体" w:hAnsi="宋体"/>
        </w:rPr>
      </w:pPr>
      <w:r>
        <w:rPr>
          <w:rFonts w:hint="eastAsia" w:ascii="宋体" w:hAnsi="宋体"/>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09CE50">
      <w:pPr>
        <w:snapToGrid w:val="0"/>
        <w:spacing w:line="360" w:lineRule="auto"/>
        <w:ind w:firstLine="422" w:firstLineChars="200"/>
        <w:outlineLvl w:val="0"/>
        <w:rPr>
          <w:rFonts w:ascii="宋体" w:hAnsi="宋体"/>
          <w:b/>
        </w:rPr>
      </w:pPr>
      <w:bookmarkStart w:id="142" w:name="_Toc23323"/>
      <w:bookmarkStart w:id="143" w:name="_Toc2016"/>
      <w:bookmarkStart w:id="144" w:name="_Toc1123"/>
      <w:r>
        <w:rPr>
          <w:rFonts w:hint="eastAsia" w:ascii="宋体" w:hAnsi="宋体"/>
          <w:b/>
        </w:rPr>
        <w:t>2.14 合同中止、终止</w:t>
      </w:r>
      <w:bookmarkEnd w:id="142"/>
      <w:bookmarkEnd w:id="143"/>
      <w:bookmarkEnd w:id="144"/>
    </w:p>
    <w:p w14:paraId="2CAD582B">
      <w:pPr>
        <w:snapToGrid w:val="0"/>
        <w:spacing w:line="360" w:lineRule="auto"/>
        <w:ind w:firstLine="420" w:firstLineChars="200"/>
        <w:rPr>
          <w:rFonts w:ascii="宋体" w:hAnsi="宋体"/>
        </w:rPr>
      </w:pPr>
      <w:r>
        <w:rPr>
          <w:rFonts w:hint="eastAsia" w:ascii="宋体" w:hAnsi="宋体"/>
        </w:rPr>
        <w:t>2.14.1 双方当事人不得擅自中止或者终止合同；</w:t>
      </w:r>
    </w:p>
    <w:p w14:paraId="7EDD6309">
      <w:pPr>
        <w:snapToGrid w:val="0"/>
        <w:spacing w:line="360" w:lineRule="auto"/>
        <w:ind w:firstLine="420" w:firstLineChars="200"/>
        <w:rPr>
          <w:rFonts w:ascii="宋体" w:hAnsi="宋体"/>
        </w:rPr>
      </w:pPr>
      <w:r>
        <w:rPr>
          <w:rFonts w:hint="eastAsia" w:ascii="宋体" w:hAnsi="宋体"/>
        </w:rPr>
        <w:t>2.14.2合同继续履行将损害国家利益和社会公共利益的，双方当事人应当中止或者终止合同。有过错的一方应当承担赔偿责任，双方当事人都有过错的，各自承担相应的责任。</w:t>
      </w:r>
    </w:p>
    <w:p w14:paraId="54B64AA7">
      <w:pPr>
        <w:snapToGrid w:val="0"/>
        <w:spacing w:line="360" w:lineRule="auto"/>
        <w:ind w:firstLine="422" w:firstLineChars="200"/>
        <w:outlineLvl w:val="0"/>
        <w:rPr>
          <w:rFonts w:ascii="宋体" w:hAnsi="宋体"/>
          <w:b/>
        </w:rPr>
      </w:pPr>
      <w:bookmarkStart w:id="145" w:name="_Toc1969"/>
      <w:bookmarkStart w:id="146" w:name="_Toc14525"/>
      <w:bookmarkStart w:id="147" w:name="_Toc17363"/>
      <w:r>
        <w:rPr>
          <w:rFonts w:hint="eastAsia" w:ascii="宋体" w:hAnsi="宋体"/>
          <w:b/>
        </w:rPr>
        <w:t>2.15 检验和验收</w:t>
      </w:r>
      <w:bookmarkEnd w:id="145"/>
      <w:bookmarkEnd w:id="146"/>
      <w:bookmarkEnd w:id="147"/>
    </w:p>
    <w:p w14:paraId="7477786C">
      <w:pPr>
        <w:tabs>
          <w:tab w:val="left" w:pos="360"/>
          <w:tab w:val="left" w:pos="540"/>
          <w:tab w:val="left" w:pos="1080"/>
        </w:tabs>
        <w:snapToGrid w:val="0"/>
        <w:spacing w:line="360" w:lineRule="auto"/>
        <w:ind w:firstLine="420" w:firstLineChars="200"/>
        <w:rPr>
          <w:rFonts w:ascii="宋体" w:hAnsi="宋体"/>
        </w:rPr>
      </w:pPr>
      <w:r>
        <w:rPr>
          <w:rFonts w:hint="eastAsia" w:ascii="宋体" w:hAnsi="宋体"/>
        </w:rPr>
        <w:t>2.15.1 乙方按照</w:t>
      </w:r>
      <w:r>
        <w:rPr>
          <w:rFonts w:hint="eastAsia" w:ascii="宋体" w:hAnsi="宋体"/>
          <w:b/>
          <w:i/>
          <w:u w:val="single"/>
        </w:rPr>
        <w:t>合同专用条款</w:t>
      </w:r>
      <w:r>
        <w:rPr>
          <w:rFonts w:hint="eastAsia" w:ascii="宋体" w:hAnsi="宋体"/>
        </w:rPr>
        <w:t>的约定，定期提交服务报告，甲方按照</w:t>
      </w:r>
      <w:r>
        <w:rPr>
          <w:rFonts w:hint="eastAsia" w:ascii="宋体" w:hAnsi="宋体"/>
          <w:b/>
          <w:i/>
          <w:u w:val="single"/>
        </w:rPr>
        <w:t>合同专用条款</w:t>
      </w:r>
      <w:r>
        <w:rPr>
          <w:rFonts w:hint="eastAsia" w:ascii="宋体" w:hAnsi="宋体"/>
        </w:rPr>
        <w:t>的约定进行定期验收；</w:t>
      </w:r>
    </w:p>
    <w:p w14:paraId="560A03B3">
      <w:pPr>
        <w:tabs>
          <w:tab w:val="left" w:pos="360"/>
          <w:tab w:val="left" w:pos="540"/>
          <w:tab w:val="left" w:pos="1080"/>
        </w:tabs>
        <w:snapToGrid w:val="0"/>
        <w:spacing w:line="360" w:lineRule="auto"/>
        <w:ind w:firstLine="420" w:firstLineChars="200"/>
        <w:rPr>
          <w:rFonts w:ascii="宋体" w:hAnsi="宋体"/>
        </w:rPr>
      </w:pPr>
      <w:r>
        <w:rPr>
          <w:rFonts w:hint="eastAsia" w:ascii="宋体" w:hAnsi="宋体"/>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BF59BBE">
      <w:pPr>
        <w:tabs>
          <w:tab w:val="left" w:pos="360"/>
          <w:tab w:val="left" w:pos="540"/>
          <w:tab w:val="left" w:pos="1080"/>
        </w:tabs>
        <w:snapToGrid w:val="0"/>
        <w:spacing w:line="360" w:lineRule="auto"/>
        <w:ind w:firstLine="420" w:firstLineChars="200"/>
        <w:rPr>
          <w:rFonts w:ascii="宋体" w:hAnsi="宋体"/>
        </w:rPr>
      </w:pPr>
      <w:r>
        <w:rPr>
          <w:rFonts w:hint="eastAsia" w:ascii="宋体" w:hAnsi="宋体"/>
        </w:rPr>
        <w:t>2.15.3 检验和验收标准、程序等具体内容以及前述验收书的效力详见</w:t>
      </w:r>
      <w:r>
        <w:rPr>
          <w:rFonts w:hint="eastAsia" w:ascii="宋体" w:hAnsi="宋体"/>
          <w:b/>
          <w:i/>
          <w:u w:val="single"/>
        </w:rPr>
        <w:t>合同专用条款</w:t>
      </w:r>
      <w:r>
        <w:rPr>
          <w:rFonts w:hint="eastAsia" w:ascii="宋体" w:hAnsi="宋体"/>
          <w:i/>
        </w:rPr>
        <w:t>。</w:t>
      </w:r>
    </w:p>
    <w:p w14:paraId="64C486AE">
      <w:pPr>
        <w:snapToGrid w:val="0"/>
        <w:spacing w:line="360" w:lineRule="auto"/>
        <w:ind w:firstLine="422" w:firstLineChars="200"/>
        <w:outlineLvl w:val="0"/>
        <w:rPr>
          <w:rFonts w:ascii="宋体" w:hAnsi="宋体"/>
          <w:b/>
        </w:rPr>
      </w:pPr>
      <w:bookmarkStart w:id="148" w:name="_Toc9808"/>
      <w:bookmarkStart w:id="149" w:name="_Toc12666"/>
      <w:bookmarkStart w:id="150" w:name="_Toc31892"/>
      <w:bookmarkStart w:id="151" w:name="_Toc25198"/>
      <w:bookmarkStart w:id="152" w:name="_Toc2308"/>
      <w:r>
        <w:rPr>
          <w:rFonts w:hint="eastAsia" w:ascii="宋体" w:hAnsi="宋体"/>
          <w:b/>
        </w:rPr>
        <w:t>2.16 通知和送达</w:t>
      </w:r>
      <w:bookmarkEnd w:id="148"/>
      <w:bookmarkEnd w:id="149"/>
      <w:bookmarkEnd w:id="150"/>
      <w:bookmarkEnd w:id="151"/>
      <w:bookmarkEnd w:id="152"/>
    </w:p>
    <w:p w14:paraId="681445D1">
      <w:pPr>
        <w:snapToGrid w:val="0"/>
        <w:spacing w:line="360" w:lineRule="auto"/>
        <w:ind w:firstLine="420" w:firstLineChars="200"/>
        <w:rPr>
          <w:rFonts w:ascii="宋体" w:hAnsi="宋体"/>
        </w:rPr>
      </w:pPr>
      <w:bookmarkStart w:id="153" w:name="_Toc18401"/>
      <w:bookmarkStart w:id="154" w:name="_Toc27674"/>
      <w:r>
        <w:rPr>
          <w:rFonts w:hint="eastAsia" w:ascii="宋体" w:hAnsi="宋体"/>
        </w:rPr>
        <w:t>2.17.1任何一方因履行合同而以合同第一部分尾部所列明的传真或电子邮件 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1DE701AB">
      <w:pPr>
        <w:snapToGrid w:val="0"/>
        <w:spacing w:line="360" w:lineRule="auto"/>
        <w:ind w:firstLine="420" w:firstLineChars="200"/>
        <w:rPr>
          <w:rFonts w:ascii="宋体" w:hAnsi="宋体"/>
        </w:rPr>
      </w:pPr>
      <w:r>
        <w:rPr>
          <w:rFonts w:hint="eastAsia" w:ascii="宋体" w:hAnsi="宋体"/>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3"/>
      <w:bookmarkEnd w:id="154"/>
    </w:p>
    <w:p w14:paraId="6AA877D0">
      <w:pPr>
        <w:snapToGrid w:val="0"/>
        <w:spacing w:line="360" w:lineRule="auto"/>
        <w:ind w:firstLine="422" w:firstLineChars="200"/>
        <w:outlineLvl w:val="0"/>
        <w:rPr>
          <w:rFonts w:ascii="宋体" w:hAnsi="宋体"/>
          <w:b/>
        </w:rPr>
      </w:pPr>
      <w:bookmarkStart w:id="155" w:name="_Toc20808"/>
      <w:bookmarkStart w:id="156" w:name="_Toc27644"/>
      <w:bookmarkStart w:id="157" w:name="_Toc28906"/>
      <w:bookmarkStart w:id="158" w:name="_Toc12254"/>
      <w:bookmarkStart w:id="159" w:name="_Toc5063"/>
      <w:r>
        <w:rPr>
          <w:rFonts w:hint="eastAsia" w:ascii="宋体" w:hAnsi="宋体"/>
          <w:b/>
        </w:rPr>
        <w:t>2.17 合同使用的文字和适用的法律</w:t>
      </w:r>
      <w:bookmarkEnd w:id="155"/>
      <w:bookmarkEnd w:id="156"/>
      <w:bookmarkEnd w:id="157"/>
      <w:bookmarkEnd w:id="158"/>
      <w:bookmarkEnd w:id="159"/>
    </w:p>
    <w:p w14:paraId="01DBF094">
      <w:pPr>
        <w:snapToGrid w:val="0"/>
        <w:spacing w:line="360" w:lineRule="auto"/>
        <w:ind w:firstLine="420" w:firstLineChars="200"/>
        <w:rPr>
          <w:rFonts w:ascii="宋体" w:hAnsi="宋体"/>
        </w:rPr>
      </w:pPr>
      <w:r>
        <w:rPr>
          <w:rFonts w:hint="eastAsia" w:ascii="宋体" w:hAnsi="宋体"/>
        </w:rPr>
        <w:t>2.17.1 合同使用汉语书就、变更和解释；</w:t>
      </w:r>
    </w:p>
    <w:p w14:paraId="634D8B9C">
      <w:pPr>
        <w:snapToGrid w:val="0"/>
        <w:spacing w:line="360" w:lineRule="auto"/>
        <w:ind w:firstLine="420" w:firstLineChars="200"/>
        <w:rPr>
          <w:rFonts w:ascii="宋体" w:hAnsi="宋体"/>
        </w:rPr>
      </w:pPr>
      <w:r>
        <w:rPr>
          <w:rFonts w:hint="eastAsia" w:ascii="宋体" w:hAnsi="宋体"/>
        </w:rPr>
        <w:t>2.17.2 合同适用中华人民共和国法律。</w:t>
      </w:r>
    </w:p>
    <w:p w14:paraId="10BA616E">
      <w:pPr>
        <w:snapToGrid w:val="0"/>
        <w:spacing w:line="360" w:lineRule="auto"/>
        <w:ind w:firstLine="422" w:firstLineChars="200"/>
        <w:outlineLvl w:val="0"/>
        <w:rPr>
          <w:rFonts w:ascii="宋体" w:hAnsi="宋体"/>
          <w:b/>
        </w:rPr>
      </w:pPr>
      <w:bookmarkStart w:id="160" w:name="_Toc30599"/>
      <w:bookmarkStart w:id="161" w:name="_Toc18540"/>
      <w:bookmarkStart w:id="162" w:name="_Toc4355"/>
      <w:r>
        <w:rPr>
          <w:rFonts w:hint="eastAsia" w:ascii="宋体" w:hAnsi="宋体"/>
          <w:b/>
        </w:rPr>
        <w:t>2.18 计量单位</w:t>
      </w:r>
      <w:bookmarkEnd w:id="160"/>
      <w:bookmarkEnd w:id="161"/>
      <w:bookmarkEnd w:id="162"/>
    </w:p>
    <w:p w14:paraId="7AEC125B">
      <w:pPr>
        <w:snapToGrid w:val="0"/>
        <w:spacing w:line="360" w:lineRule="auto"/>
        <w:ind w:firstLine="420" w:firstLineChars="200"/>
        <w:rPr>
          <w:rFonts w:ascii="宋体" w:hAnsi="宋体"/>
        </w:rPr>
      </w:pPr>
      <w:r>
        <w:rPr>
          <w:rFonts w:hint="eastAsia" w:ascii="宋体" w:hAnsi="宋体"/>
        </w:rPr>
        <w:t>除技术规范中另有规定外,合同的计量单位均使用国家法定计量单位。</w:t>
      </w:r>
    </w:p>
    <w:p w14:paraId="728768BD">
      <w:pPr>
        <w:snapToGrid w:val="0"/>
        <w:spacing w:line="360" w:lineRule="auto"/>
        <w:ind w:firstLine="422" w:firstLineChars="200"/>
        <w:rPr>
          <w:rFonts w:ascii="宋体" w:hAnsi="宋体"/>
          <w:b/>
        </w:rPr>
      </w:pPr>
      <w:r>
        <w:rPr>
          <w:rFonts w:hint="eastAsia" w:ascii="宋体" w:hAnsi="宋体"/>
          <w:b/>
        </w:rPr>
        <w:t>2.19合同份数</w:t>
      </w:r>
    </w:p>
    <w:p w14:paraId="3432C4B1">
      <w:pPr>
        <w:snapToGrid w:val="0"/>
        <w:spacing w:line="360" w:lineRule="auto"/>
        <w:ind w:firstLine="420" w:firstLineChars="200"/>
        <w:rPr>
          <w:rFonts w:ascii="宋体" w:hAnsi="宋体"/>
        </w:rPr>
      </w:pPr>
      <w:r>
        <w:rPr>
          <w:rFonts w:hint="eastAsia" w:ascii="宋体" w:hAnsi="宋体"/>
        </w:rPr>
        <w:t>合同份数按</w:t>
      </w:r>
      <w:r>
        <w:rPr>
          <w:rFonts w:hint="eastAsia" w:ascii="宋体" w:hAnsi="宋体"/>
          <w:b/>
          <w:i/>
          <w:u w:val="single"/>
        </w:rPr>
        <w:t>合同专用条款</w:t>
      </w:r>
      <w:r>
        <w:rPr>
          <w:rFonts w:hint="eastAsia" w:ascii="宋体" w:hAnsi="宋体"/>
        </w:rPr>
        <w:t>规定，每份均具有同等法律效力。</w:t>
      </w:r>
    </w:p>
    <w:p w14:paraId="7CA456AE">
      <w:pPr>
        <w:pStyle w:val="109"/>
        <w:ind w:firstLine="419" w:firstLineChars="131"/>
        <w:rPr>
          <w:rFonts w:eastAsiaTheme="minorEastAsia"/>
          <w:lang w:eastAsia="zh-CN"/>
        </w:rPr>
      </w:pPr>
    </w:p>
    <w:p w14:paraId="6D21101C">
      <w:pPr>
        <w:spacing w:line="360" w:lineRule="auto"/>
        <w:ind w:firstLine="1581" w:firstLineChars="750"/>
        <w:outlineLvl w:val="0"/>
        <w:rPr>
          <w:rFonts w:ascii="宋体" w:hAnsi="宋体"/>
          <w:b/>
        </w:rPr>
      </w:pPr>
      <w:bookmarkStart w:id="163" w:name="_Toc331685784"/>
      <w:bookmarkEnd w:id="163"/>
      <w:r>
        <w:rPr>
          <w:rFonts w:hint="eastAsia" w:ascii="宋体" w:hAnsi="宋体"/>
          <w:b/>
        </w:rPr>
        <w:t>第三部分  合同专用条款</w:t>
      </w:r>
    </w:p>
    <w:p w14:paraId="20B60E25">
      <w:pPr>
        <w:spacing w:line="560" w:lineRule="exact"/>
        <w:ind w:left="-420" w:leftChars="-200" w:right="-420" w:rightChars="-200" w:firstLine="420" w:firstLineChars="200"/>
        <w:rPr>
          <w:rFonts w:ascii="宋体" w:hAnsi="宋体"/>
        </w:rPr>
      </w:pPr>
      <w:r>
        <w:rPr>
          <w:rFonts w:hint="eastAsia" w:ascii="宋体" w:hAnsi="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3"/>
        <w:tblW w:w="83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66"/>
      </w:tblGrid>
      <w:tr w14:paraId="7E57E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038BCB53">
            <w:pPr>
              <w:spacing w:line="360" w:lineRule="auto"/>
              <w:jc w:val="center"/>
              <w:rPr>
                <w:rFonts w:ascii="宋体" w:hAnsi="宋体"/>
              </w:rPr>
            </w:pPr>
            <w:r>
              <w:rPr>
                <w:rFonts w:hint="eastAsia" w:ascii="宋体" w:hAnsi="宋体"/>
              </w:rPr>
              <w:t>条款号</w:t>
            </w:r>
          </w:p>
        </w:tc>
        <w:tc>
          <w:tcPr>
            <w:tcW w:w="7466" w:type="dxa"/>
            <w:vAlign w:val="center"/>
          </w:tcPr>
          <w:p w14:paraId="1FA7213C">
            <w:pPr>
              <w:rPr>
                <w:rFonts w:ascii="宋体" w:hAnsi="宋体"/>
              </w:rPr>
            </w:pPr>
            <w:r>
              <w:rPr>
                <w:rFonts w:hint="eastAsia" w:ascii="宋体" w:hAnsi="宋体"/>
              </w:rPr>
              <w:t>约定内容</w:t>
            </w:r>
          </w:p>
        </w:tc>
      </w:tr>
      <w:tr w14:paraId="63247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FBEDDAC">
            <w:pPr>
              <w:spacing w:line="360" w:lineRule="auto"/>
              <w:rPr>
                <w:rFonts w:ascii="宋体" w:hAnsi="宋体"/>
              </w:rPr>
            </w:pPr>
            <w:r>
              <w:rPr>
                <w:rFonts w:hint="eastAsia" w:ascii="宋体" w:hAnsi="宋体"/>
              </w:rPr>
              <w:t>1.3.2</w:t>
            </w:r>
          </w:p>
        </w:tc>
        <w:tc>
          <w:tcPr>
            <w:tcW w:w="7466" w:type="dxa"/>
            <w:vAlign w:val="center"/>
          </w:tcPr>
          <w:p w14:paraId="6BB548C1">
            <w:pPr>
              <w:rPr>
                <w:rFonts w:ascii="宋体" w:hAnsi="宋体"/>
              </w:rPr>
            </w:pPr>
            <w:r>
              <w:rPr>
                <w:rFonts w:hint="eastAsia" w:ascii="宋体" w:hAnsi="宋体"/>
              </w:rPr>
              <w:t>无</w:t>
            </w:r>
          </w:p>
        </w:tc>
      </w:tr>
      <w:tr w14:paraId="4B08A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83658BD">
            <w:pPr>
              <w:spacing w:line="360" w:lineRule="auto"/>
              <w:rPr>
                <w:rFonts w:ascii="宋体" w:hAnsi="宋体"/>
              </w:rPr>
            </w:pPr>
            <w:r>
              <w:rPr>
                <w:rFonts w:hint="eastAsia" w:ascii="宋体" w:hAnsi="宋体"/>
              </w:rPr>
              <w:t>1.4.2</w:t>
            </w:r>
          </w:p>
        </w:tc>
        <w:tc>
          <w:tcPr>
            <w:tcW w:w="7466" w:type="dxa"/>
            <w:vAlign w:val="center"/>
          </w:tcPr>
          <w:p w14:paraId="1C594156">
            <w:pPr>
              <w:rPr>
                <w:rFonts w:ascii="宋体" w:hAnsi="宋体"/>
              </w:rPr>
            </w:pPr>
            <w:r>
              <w:rPr>
                <w:rFonts w:hint="eastAsia" w:ascii="宋体" w:hAnsi="宋体"/>
              </w:rPr>
              <w:t>转账方式</w:t>
            </w:r>
          </w:p>
        </w:tc>
      </w:tr>
      <w:tr w14:paraId="0448C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25622D6">
            <w:pPr>
              <w:spacing w:line="360" w:lineRule="auto"/>
              <w:rPr>
                <w:rFonts w:ascii="宋体" w:hAnsi="宋体"/>
              </w:rPr>
            </w:pPr>
            <w:r>
              <w:rPr>
                <w:rFonts w:hint="eastAsia" w:ascii="宋体" w:hAnsi="宋体"/>
              </w:rPr>
              <w:t xml:space="preserve">1.5.1 </w:t>
            </w:r>
          </w:p>
        </w:tc>
        <w:tc>
          <w:tcPr>
            <w:tcW w:w="7466" w:type="dxa"/>
            <w:vAlign w:val="center"/>
          </w:tcPr>
          <w:p w14:paraId="3F5D0A9E">
            <w:pPr>
              <w:rPr>
                <w:rFonts w:ascii="宋体" w:hAnsi="宋体"/>
              </w:rPr>
            </w:pPr>
            <w:r>
              <w:rPr>
                <w:rFonts w:hint="eastAsia" w:ascii="宋体" w:hAnsi="宋体"/>
              </w:rPr>
              <w:t>无</w:t>
            </w:r>
          </w:p>
        </w:tc>
      </w:tr>
      <w:tr w14:paraId="0DB16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8B5ACF1">
            <w:pPr>
              <w:spacing w:line="360" w:lineRule="auto"/>
              <w:rPr>
                <w:rFonts w:ascii="宋体" w:hAnsi="宋体"/>
              </w:rPr>
            </w:pPr>
            <w:r>
              <w:rPr>
                <w:rFonts w:hint="eastAsia" w:ascii="宋体" w:hAnsi="宋体"/>
              </w:rPr>
              <w:t>1.5.2</w:t>
            </w:r>
          </w:p>
        </w:tc>
        <w:tc>
          <w:tcPr>
            <w:tcW w:w="7466" w:type="dxa"/>
            <w:vAlign w:val="center"/>
          </w:tcPr>
          <w:p w14:paraId="79948108">
            <w:pPr>
              <w:rPr>
                <w:rFonts w:ascii="宋体" w:hAnsi="宋体"/>
              </w:rPr>
            </w:pPr>
            <w:r>
              <w:rPr>
                <w:rFonts w:hint="eastAsia" w:ascii="宋体" w:hAnsi="宋体"/>
              </w:rPr>
              <w:t>无</w:t>
            </w:r>
          </w:p>
        </w:tc>
      </w:tr>
      <w:tr w14:paraId="015F1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26C8C4A">
            <w:pPr>
              <w:spacing w:line="360" w:lineRule="auto"/>
              <w:rPr>
                <w:rFonts w:ascii="宋体" w:hAnsi="宋体"/>
              </w:rPr>
            </w:pPr>
            <w:r>
              <w:rPr>
                <w:rFonts w:hint="eastAsia" w:ascii="宋体" w:hAnsi="宋体"/>
              </w:rPr>
              <w:t xml:space="preserve">1.5.3 </w:t>
            </w:r>
          </w:p>
        </w:tc>
        <w:tc>
          <w:tcPr>
            <w:tcW w:w="7466" w:type="dxa"/>
            <w:vAlign w:val="center"/>
          </w:tcPr>
          <w:p w14:paraId="0469D595">
            <w:pPr>
              <w:rPr>
                <w:rFonts w:ascii="宋体" w:hAnsi="宋体"/>
              </w:rPr>
            </w:pPr>
            <w:r>
              <w:rPr>
                <w:rFonts w:hint="eastAsia" w:ascii="宋体" w:hAnsi="宋体"/>
              </w:rPr>
              <w:t>无</w:t>
            </w:r>
          </w:p>
        </w:tc>
      </w:tr>
      <w:tr w14:paraId="0AC73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F9A5D00">
            <w:pPr>
              <w:spacing w:line="360" w:lineRule="auto"/>
              <w:rPr>
                <w:rFonts w:ascii="宋体" w:hAnsi="宋体"/>
              </w:rPr>
            </w:pPr>
            <w:r>
              <w:rPr>
                <w:rFonts w:hint="eastAsia" w:ascii="宋体" w:hAnsi="宋体"/>
              </w:rPr>
              <w:t>1.6.2</w:t>
            </w:r>
          </w:p>
        </w:tc>
        <w:tc>
          <w:tcPr>
            <w:tcW w:w="7466" w:type="dxa"/>
            <w:vAlign w:val="center"/>
          </w:tcPr>
          <w:p w14:paraId="50026166">
            <w:pPr>
              <w:widowControl/>
              <w:rPr>
                <w:rFonts w:ascii="宋体" w:hAnsi="宋体" w:eastAsiaTheme="minorEastAsia"/>
              </w:rPr>
            </w:pPr>
            <w:r>
              <w:rPr>
                <w:rFonts w:hint="eastAsia" w:asciiTheme="minorEastAsia" w:hAnsiTheme="minorEastAsia" w:eastAsiaTheme="minorEastAsia"/>
              </w:rPr>
              <w:t>用车</w:t>
            </w:r>
            <w:r>
              <w:rPr>
                <w:rFonts w:hint="eastAsia" w:ascii="宋体" w:hAnsi="宋体"/>
              </w:rPr>
              <w:t>单位在收到发票后7个工作日内支付</w:t>
            </w:r>
          </w:p>
        </w:tc>
      </w:tr>
      <w:tr w14:paraId="56F42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E9D6A39">
            <w:pPr>
              <w:spacing w:line="360" w:lineRule="auto"/>
              <w:rPr>
                <w:rFonts w:ascii="宋体" w:hAnsi="宋体"/>
              </w:rPr>
            </w:pPr>
            <w:r>
              <w:rPr>
                <w:rFonts w:hint="eastAsia" w:ascii="宋体" w:hAnsi="宋体"/>
              </w:rPr>
              <w:t>1.7.1</w:t>
            </w:r>
          </w:p>
        </w:tc>
        <w:tc>
          <w:tcPr>
            <w:tcW w:w="7466" w:type="dxa"/>
            <w:vAlign w:val="center"/>
          </w:tcPr>
          <w:p w14:paraId="02F0E40E">
            <w:pPr>
              <w:widowControl/>
              <w:rPr>
                <w:rFonts w:cs="Calibri" w:eastAsiaTheme="minorEastAsia"/>
                <w:bCs/>
              </w:rPr>
            </w:pPr>
            <w:r>
              <w:rPr>
                <w:rFonts w:hint="eastAsia" w:ascii="宋体" w:hAnsi="宋体"/>
              </w:rPr>
              <w:t>服务期自</w:t>
            </w:r>
            <w:r>
              <w:rPr>
                <w:rFonts w:ascii="宋体" w:hAnsi="宋体"/>
              </w:rPr>
              <w:t>框架协议入围结果公告发布之日起</w:t>
            </w:r>
            <w:r>
              <w:rPr>
                <w:rFonts w:hint="eastAsia" w:ascii="宋体" w:hAnsi="宋体"/>
              </w:rPr>
              <w:t>2年，采用1+1模式，合同一年一签，期满经考核合格后方能续签后续合同。</w:t>
            </w:r>
          </w:p>
        </w:tc>
      </w:tr>
      <w:tr w14:paraId="74A02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B732FAB">
            <w:pPr>
              <w:spacing w:line="360" w:lineRule="auto"/>
              <w:rPr>
                <w:rFonts w:ascii="宋体" w:hAnsi="宋体"/>
              </w:rPr>
            </w:pPr>
            <w:r>
              <w:rPr>
                <w:rFonts w:hint="eastAsia" w:ascii="宋体" w:hAnsi="宋体"/>
              </w:rPr>
              <w:t>1.7.2</w:t>
            </w:r>
          </w:p>
        </w:tc>
        <w:tc>
          <w:tcPr>
            <w:tcW w:w="7466" w:type="dxa"/>
            <w:vAlign w:val="center"/>
          </w:tcPr>
          <w:p w14:paraId="115D163C">
            <w:pPr>
              <w:rPr>
                <w:rFonts w:ascii="宋体" w:hAnsi="宋体"/>
              </w:rPr>
            </w:pPr>
          </w:p>
        </w:tc>
      </w:tr>
      <w:tr w14:paraId="0893B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70B2DF8">
            <w:pPr>
              <w:spacing w:line="360" w:lineRule="auto"/>
              <w:rPr>
                <w:rFonts w:ascii="宋体" w:hAnsi="宋体"/>
              </w:rPr>
            </w:pPr>
            <w:r>
              <w:rPr>
                <w:rFonts w:hint="eastAsia" w:ascii="宋体" w:hAnsi="宋体"/>
              </w:rPr>
              <w:t>1.7.3</w:t>
            </w:r>
          </w:p>
        </w:tc>
        <w:tc>
          <w:tcPr>
            <w:tcW w:w="7466" w:type="dxa"/>
            <w:vAlign w:val="center"/>
          </w:tcPr>
          <w:p w14:paraId="5855992F">
            <w:pPr>
              <w:rPr>
                <w:rFonts w:ascii="宋体" w:hAnsi="宋体"/>
              </w:rPr>
            </w:pPr>
            <w:r>
              <w:rPr>
                <w:rFonts w:hint="eastAsia" w:ascii="宋体" w:hAnsi="宋体"/>
              </w:rPr>
              <w:t>按采购需求执行</w:t>
            </w:r>
          </w:p>
        </w:tc>
      </w:tr>
      <w:tr w14:paraId="73207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9F1A173">
            <w:pPr>
              <w:spacing w:line="360" w:lineRule="auto"/>
              <w:rPr>
                <w:rFonts w:ascii="宋体" w:hAnsi="宋体"/>
              </w:rPr>
            </w:pPr>
            <w:r>
              <w:rPr>
                <w:rFonts w:hint="eastAsia" w:ascii="宋体" w:hAnsi="宋体"/>
              </w:rPr>
              <w:t>1.8.1</w:t>
            </w:r>
          </w:p>
        </w:tc>
        <w:tc>
          <w:tcPr>
            <w:tcW w:w="7466" w:type="dxa"/>
            <w:vAlign w:val="center"/>
          </w:tcPr>
          <w:p w14:paraId="60519BC1">
            <w:pPr>
              <w:snapToGrid w:val="0"/>
              <w:spacing w:line="360" w:lineRule="auto"/>
              <w:rPr>
                <w:rFonts w:ascii="宋体" w:hAnsi="宋体"/>
              </w:rPr>
            </w:pPr>
            <w:r>
              <w:rPr>
                <w:rFonts w:hint="eastAsia" w:ascii="宋体" w:hAnsi="宋体"/>
              </w:rPr>
              <w:t>除不可抗力外，如果乙方没有按照本合同约定的期限、地点和方式交付服务成果或者实施服务，那么甲方可要求乙方支付违约金，迟延履行违约金按每迟延履行一日的应提供而未提供服务价格的0.1%计算，最高限额为本合同总价的1%；迟延履行的违约金计算数额达到前述最高限额之日起，甲方有权在要求乙方支付违约金的同时，书面通知乙方解除本合同。</w:t>
            </w:r>
          </w:p>
        </w:tc>
      </w:tr>
      <w:tr w14:paraId="29217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F65DC1B">
            <w:pPr>
              <w:spacing w:line="360" w:lineRule="auto"/>
              <w:rPr>
                <w:rFonts w:ascii="宋体" w:hAnsi="宋体" w:eastAsiaTheme="minorEastAsia"/>
              </w:rPr>
            </w:pPr>
            <w:r>
              <w:rPr>
                <w:rFonts w:hint="eastAsia" w:ascii="宋体" w:hAnsi="宋体" w:eastAsiaTheme="minorEastAsia"/>
              </w:rPr>
              <w:t>1.8.3</w:t>
            </w:r>
          </w:p>
        </w:tc>
        <w:tc>
          <w:tcPr>
            <w:tcW w:w="7466" w:type="dxa"/>
            <w:vAlign w:val="center"/>
          </w:tcPr>
          <w:p w14:paraId="1D697432">
            <w:pPr>
              <w:rPr>
                <w:rFonts w:ascii="宋体" w:hAnsi="宋体" w:eastAsiaTheme="minorEastAsia"/>
              </w:rPr>
            </w:pPr>
            <w:r>
              <w:rPr>
                <w:rFonts w:hint="eastAsia" w:ascii="宋体" w:hAnsi="宋体"/>
              </w:rPr>
              <w:t>除不可抗力外，如果甲方没有按照本合同约定的付款方式付款，那么乙方可要求甲方支付违约金，违约金按每迟延付款一日的应付而未付款的0.1%计算，最高限额为本合同总价的1%；迟延付款的违约金计算数额达到前述最高限额之日起，乙方有权在要求甲方支付违约金的同时，书面通知甲方解除本合同。</w:t>
            </w:r>
          </w:p>
        </w:tc>
      </w:tr>
      <w:tr w14:paraId="3010D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52F5317">
            <w:pPr>
              <w:spacing w:line="360" w:lineRule="auto"/>
              <w:rPr>
                <w:rFonts w:ascii="宋体" w:hAnsi="宋体"/>
              </w:rPr>
            </w:pPr>
            <w:r>
              <w:rPr>
                <w:rFonts w:hint="eastAsia" w:ascii="宋体" w:hAnsi="宋体"/>
              </w:rPr>
              <w:t>1.8.7</w:t>
            </w:r>
          </w:p>
        </w:tc>
        <w:tc>
          <w:tcPr>
            <w:tcW w:w="7466" w:type="dxa"/>
            <w:vAlign w:val="center"/>
          </w:tcPr>
          <w:p w14:paraId="23BD524E">
            <w:pPr>
              <w:rPr>
                <w:rFonts w:ascii="宋体" w:hAnsi="宋体"/>
              </w:rPr>
            </w:pPr>
            <w:r>
              <w:rPr>
                <w:rFonts w:hint="eastAsia" w:ascii="宋体" w:hAnsi="宋体"/>
              </w:rPr>
              <w:t>按采购需求执行</w:t>
            </w:r>
          </w:p>
        </w:tc>
      </w:tr>
      <w:tr w14:paraId="1C614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54B6AB">
            <w:pPr>
              <w:spacing w:line="360" w:lineRule="auto"/>
              <w:rPr>
                <w:rFonts w:ascii="宋体" w:hAnsi="宋体"/>
              </w:rPr>
            </w:pPr>
            <w:r>
              <w:rPr>
                <w:rFonts w:hint="eastAsia" w:ascii="宋体" w:hAnsi="宋体"/>
              </w:rPr>
              <w:t>1.9.1</w:t>
            </w:r>
          </w:p>
        </w:tc>
        <w:tc>
          <w:tcPr>
            <w:tcW w:w="7466" w:type="dxa"/>
            <w:vAlign w:val="center"/>
          </w:tcPr>
          <w:p w14:paraId="4C54023E">
            <w:pPr>
              <w:rPr>
                <w:rFonts w:ascii="宋体" w:hAnsi="宋体"/>
              </w:rPr>
            </w:pPr>
            <w:r>
              <w:rPr>
                <w:rFonts w:hint="eastAsia" w:ascii="宋体" w:hAnsi="宋体"/>
              </w:rPr>
              <w:t>甲方所在他</w:t>
            </w:r>
          </w:p>
        </w:tc>
      </w:tr>
      <w:tr w14:paraId="7CDC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6569ADB">
            <w:pPr>
              <w:spacing w:line="360" w:lineRule="auto"/>
              <w:rPr>
                <w:rFonts w:ascii="宋体" w:hAnsi="宋体"/>
              </w:rPr>
            </w:pPr>
            <w:r>
              <w:rPr>
                <w:rFonts w:hint="eastAsia" w:ascii="宋体" w:hAnsi="宋体"/>
              </w:rPr>
              <w:t>1.9.2</w:t>
            </w:r>
          </w:p>
        </w:tc>
        <w:tc>
          <w:tcPr>
            <w:tcW w:w="7466" w:type="dxa"/>
            <w:vAlign w:val="center"/>
          </w:tcPr>
          <w:p w14:paraId="255A38DF">
            <w:pPr>
              <w:rPr>
                <w:rFonts w:ascii="宋体" w:hAnsi="宋体"/>
              </w:rPr>
            </w:pPr>
            <w:r>
              <w:rPr>
                <w:rFonts w:hint="eastAsia" w:ascii="宋体" w:hAnsi="宋体"/>
              </w:rPr>
              <w:t>甲方所在地</w:t>
            </w:r>
          </w:p>
        </w:tc>
      </w:tr>
      <w:tr w14:paraId="1BC2E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A6652B">
            <w:pPr>
              <w:spacing w:line="360" w:lineRule="auto"/>
              <w:rPr>
                <w:rFonts w:ascii="宋体" w:hAnsi="宋体"/>
              </w:rPr>
            </w:pPr>
            <w:r>
              <w:rPr>
                <w:rFonts w:hint="eastAsia" w:ascii="宋体" w:hAnsi="宋体"/>
              </w:rPr>
              <w:t>2.3.2</w:t>
            </w:r>
          </w:p>
        </w:tc>
        <w:tc>
          <w:tcPr>
            <w:tcW w:w="7466" w:type="dxa"/>
            <w:vAlign w:val="center"/>
          </w:tcPr>
          <w:p w14:paraId="3E7AC478">
            <w:pPr>
              <w:ind w:left="-420" w:leftChars="-200" w:right="-420" w:rightChars="-200" w:firstLine="420" w:firstLineChars="200"/>
              <w:rPr>
                <w:rFonts w:ascii="宋体" w:hAnsi="宋体"/>
              </w:rPr>
            </w:pPr>
            <w:r>
              <w:rPr>
                <w:rFonts w:hint="eastAsia" w:ascii="宋体" w:hAnsi="宋体"/>
              </w:rPr>
              <w:t>无</w:t>
            </w:r>
          </w:p>
        </w:tc>
      </w:tr>
      <w:tr w14:paraId="2F43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69A5F03">
            <w:pPr>
              <w:spacing w:line="360" w:lineRule="auto"/>
              <w:rPr>
                <w:rFonts w:ascii="宋体" w:hAnsi="宋体"/>
              </w:rPr>
            </w:pPr>
            <w:r>
              <w:rPr>
                <w:rFonts w:hint="eastAsia" w:ascii="宋体" w:hAnsi="宋体"/>
              </w:rPr>
              <w:t>2.5</w:t>
            </w:r>
          </w:p>
        </w:tc>
        <w:tc>
          <w:tcPr>
            <w:tcW w:w="7466" w:type="dxa"/>
          </w:tcPr>
          <w:p w14:paraId="177515C2">
            <w:pPr>
              <w:rPr>
                <w:rFonts w:ascii="宋体" w:hAnsi="宋体"/>
              </w:rPr>
            </w:pPr>
            <w:r>
              <w:rPr>
                <w:rFonts w:hint="eastAsia" w:asciiTheme="minorEastAsia" w:hAnsiTheme="minorEastAsia" w:eastAsiaTheme="minorEastAsia"/>
              </w:rPr>
              <w:t>用车</w:t>
            </w:r>
            <w:r>
              <w:rPr>
                <w:rFonts w:hint="eastAsia" w:ascii="宋体" w:hAnsi="宋体"/>
              </w:rPr>
              <w:t>单位在收到发票后7个工作日内支付</w:t>
            </w:r>
          </w:p>
        </w:tc>
      </w:tr>
      <w:tr w14:paraId="59FB2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E8A5EDD">
            <w:pPr>
              <w:spacing w:line="360" w:lineRule="auto"/>
              <w:rPr>
                <w:rFonts w:ascii="宋体" w:hAnsi="宋体"/>
              </w:rPr>
            </w:pPr>
            <w:r>
              <w:rPr>
                <w:rFonts w:hint="eastAsia" w:ascii="宋体" w:hAnsi="宋体"/>
              </w:rPr>
              <w:t>2.11.3</w:t>
            </w:r>
          </w:p>
        </w:tc>
        <w:tc>
          <w:tcPr>
            <w:tcW w:w="7466" w:type="dxa"/>
            <w:vAlign w:val="center"/>
          </w:tcPr>
          <w:p w14:paraId="100D2105">
            <w:pPr>
              <w:rPr>
                <w:rFonts w:ascii="宋体" w:hAnsi="宋体"/>
              </w:rPr>
            </w:pPr>
            <w:r>
              <w:rPr>
                <w:rFonts w:hint="eastAsia" w:ascii="宋体" w:hAnsi="宋体"/>
              </w:rPr>
              <w:t>7个工作日</w:t>
            </w:r>
          </w:p>
        </w:tc>
      </w:tr>
      <w:tr w14:paraId="0812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4D3E0350">
            <w:pPr>
              <w:spacing w:line="360" w:lineRule="auto"/>
              <w:rPr>
                <w:rFonts w:ascii="宋体" w:hAnsi="宋体"/>
              </w:rPr>
            </w:pPr>
            <w:r>
              <w:rPr>
                <w:rFonts w:hint="eastAsia" w:ascii="宋体" w:hAnsi="宋体"/>
              </w:rPr>
              <w:t xml:space="preserve">2.11.4 </w:t>
            </w:r>
          </w:p>
        </w:tc>
        <w:tc>
          <w:tcPr>
            <w:tcW w:w="7466" w:type="dxa"/>
          </w:tcPr>
          <w:p w14:paraId="683FDE80">
            <w:pPr>
              <w:rPr>
                <w:rFonts w:ascii="宋体" w:hAnsi="宋体"/>
              </w:rPr>
            </w:pPr>
            <w:r>
              <w:rPr>
                <w:rFonts w:hint="eastAsia" w:ascii="宋体" w:hAnsi="宋体"/>
              </w:rPr>
              <w:t>7个工作日</w:t>
            </w:r>
          </w:p>
        </w:tc>
      </w:tr>
      <w:tr w14:paraId="24FC6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83A366C">
            <w:pPr>
              <w:spacing w:line="360" w:lineRule="auto"/>
              <w:rPr>
                <w:rFonts w:ascii="宋体" w:hAnsi="宋体"/>
              </w:rPr>
            </w:pPr>
            <w:r>
              <w:rPr>
                <w:rFonts w:hint="eastAsia" w:ascii="宋体" w:hAnsi="宋体"/>
              </w:rPr>
              <w:t>2.15.1</w:t>
            </w:r>
          </w:p>
        </w:tc>
        <w:tc>
          <w:tcPr>
            <w:tcW w:w="7466" w:type="dxa"/>
            <w:vAlign w:val="center"/>
          </w:tcPr>
          <w:p w14:paraId="5902BF5E">
            <w:pPr>
              <w:rPr>
                <w:rFonts w:ascii="宋体" w:hAnsi="宋体"/>
              </w:rPr>
            </w:pPr>
          </w:p>
        </w:tc>
      </w:tr>
      <w:tr w14:paraId="46E5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AB9039B">
            <w:pPr>
              <w:spacing w:line="360" w:lineRule="auto"/>
              <w:rPr>
                <w:rFonts w:ascii="宋体" w:hAnsi="宋体"/>
              </w:rPr>
            </w:pPr>
            <w:r>
              <w:rPr>
                <w:rFonts w:hint="eastAsia" w:ascii="宋体" w:hAnsi="宋体"/>
              </w:rPr>
              <w:t>2.15.3</w:t>
            </w:r>
          </w:p>
        </w:tc>
        <w:tc>
          <w:tcPr>
            <w:tcW w:w="7466" w:type="dxa"/>
            <w:vAlign w:val="center"/>
          </w:tcPr>
          <w:p w14:paraId="301204D1">
            <w:pPr>
              <w:rPr>
                <w:rFonts w:ascii="宋体" w:hAnsi="宋体"/>
              </w:rPr>
            </w:pPr>
            <w:r>
              <w:rPr>
                <w:rFonts w:hint="eastAsia" w:ascii="宋体" w:hAnsi="宋体"/>
              </w:rPr>
              <w:t>无</w:t>
            </w:r>
          </w:p>
        </w:tc>
      </w:tr>
      <w:tr w14:paraId="49B05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1FC0CD6F">
            <w:pPr>
              <w:spacing w:line="360" w:lineRule="auto"/>
              <w:rPr>
                <w:rFonts w:ascii="宋体" w:hAnsi="宋体"/>
              </w:rPr>
            </w:pPr>
            <w:r>
              <w:rPr>
                <w:rFonts w:hint="eastAsia" w:ascii="宋体" w:hAnsi="宋体"/>
              </w:rPr>
              <w:t>2.19</w:t>
            </w:r>
          </w:p>
        </w:tc>
        <w:tc>
          <w:tcPr>
            <w:tcW w:w="7466" w:type="dxa"/>
          </w:tcPr>
          <w:p w14:paraId="77CFE01F">
            <w:pPr>
              <w:rPr>
                <w:rFonts w:ascii="宋体" w:hAnsi="宋体"/>
              </w:rPr>
            </w:pPr>
            <w:r>
              <w:rPr>
                <w:rFonts w:hint="eastAsia" w:ascii="宋体" w:hAnsi="宋体"/>
              </w:rPr>
              <w:t>本合同一式</w:t>
            </w:r>
            <w:r>
              <w:rPr>
                <w:rFonts w:hint="eastAsia" w:ascii="宋体" w:hAnsi="宋体" w:eastAsiaTheme="minorEastAsia"/>
              </w:rPr>
              <w:t>2</w:t>
            </w:r>
            <w:r>
              <w:rPr>
                <w:rFonts w:hint="eastAsia" w:ascii="宋体" w:hAnsi="宋体"/>
              </w:rPr>
              <w:t>份，甲乙双方各执</w:t>
            </w:r>
            <w:r>
              <w:rPr>
                <w:rFonts w:hint="eastAsia" w:asciiTheme="minorEastAsia" w:hAnsiTheme="minorEastAsia" w:eastAsiaTheme="minorEastAsia"/>
              </w:rPr>
              <w:t>壹</w:t>
            </w:r>
            <w:r>
              <w:rPr>
                <w:rFonts w:hint="eastAsia" w:ascii="宋体" w:hAnsi="宋体"/>
              </w:rPr>
              <w:t>份。</w:t>
            </w:r>
          </w:p>
        </w:tc>
      </w:tr>
    </w:tbl>
    <w:p w14:paraId="463FF984">
      <w:pPr>
        <w:pStyle w:val="2"/>
        <w:tabs>
          <w:tab w:val="left" w:pos="4386"/>
        </w:tabs>
        <w:spacing w:line="460" w:lineRule="exact"/>
        <w:ind w:left="2761"/>
        <w:rPr>
          <w:b/>
          <w:bCs/>
        </w:rPr>
      </w:pPr>
    </w:p>
    <w:p w14:paraId="125F5F9D"/>
    <w:p w14:paraId="51DEDCE2">
      <w:pPr>
        <w:rPr>
          <w:color w:val="000000" w:themeColor="text1"/>
        </w:rPr>
      </w:pPr>
    </w:p>
    <w:p w14:paraId="23DD4ECA">
      <w:pPr>
        <w:pStyle w:val="2"/>
        <w:jc w:val="both"/>
        <w:rPr>
          <w:rFonts w:ascii="黑体" w:eastAsia="黑体"/>
          <w:bCs/>
          <w:color w:val="000000" w:themeColor="text1"/>
          <w:sz w:val="44"/>
        </w:rPr>
      </w:pPr>
      <w:r>
        <w:rPr>
          <w:rFonts w:hint="eastAsia" w:ascii="黑体" w:eastAsia="黑体"/>
          <w:bCs/>
          <w:color w:val="000000" w:themeColor="text1"/>
          <w:sz w:val="44"/>
        </w:rPr>
        <w:t xml:space="preserve">第六章  </w:t>
      </w:r>
      <w:bookmarkEnd w:id="44"/>
      <w:bookmarkEnd w:id="45"/>
      <w:bookmarkEnd w:id="46"/>
      <w:r>
        <w:rPr>
          <w:rFonts w:hint="eastAsia" w:ascii="黑体" w:eastAsia="黑体"/>
          <w:bCs/>
          <w:color w:val="000000" w:themeColor="text1"/>
          <w:sz w:val="44"/>
        </w:rPr>
        <w:t xml:space="preserve">响应文件格式 </w:t>
      </w:r>
    </w:p>
    <w:p w14:paraId="203E0107">
      <w:pPr>
        <w:rPr>
          <w:rFonts w:ascii="宋体" w:hAnsi="宋体"/>
          <w:b/>
          <w:color w:val="000000" w:themeColor="text1"/>
          <w:sz w:val="72"/>
        </w:rPr>
      </w:pPr>
      <w:bookmarkStart w:id="164" w:name="_Hlt26955039"/>
      <w:bookmarkEnd w:id="164"/>
      <w:bookmarkStart w:id="165" w:name="_Hlt26671244"/>
      <w:bookmarkEnd w:id="165"/>
      <w:bookmarkStart w:id="166" w:name="_Toc26554094"/>
      <w:bookmarkStart w:id="167" w:name="_Toc120614282"/>
      <w:bookmarkStart w:id="168" w:name="_Toc49090576"/>
    </w:p>
    <w:p w14:paraId="5E4F1E32">
      <w:pPr>
        <w:pStyle w:val="90"/>
        <w:wordWrap w:val="0"/>
        <w:adjustRightInd/>
        <w:jc w:val="both"/>
        <w:rPr>
          <w:rFonts w:cs="华文仿宋"/>
          <w:b/>
          <w:color w:val="000000" w:themeColor="text1"/>
          <w:sz w:val="28"/>
          <w:szCs w:val="28"/>
        </w:rPr>
      </w:pPr>
    </w:p>
    <w:p w14:paraId="6C5DE998">
      <w:pPr>
        <w:wordWrap w:val="0"/>
        <w:rPr>
          <w:rFonts w:ascii="宋体" w:hAnsi="宋体" w:cs="华文仿宋"/>
          <w:b/>
          <w:color w:val="000000" w:themeColor="text1"/>
          <w:sz w:val="28"/>
          <w:szCs w:val="28"/>
        </w:rPr>
      </w:pPr>
    </w:p>
    <w:p w14:paraId="1C6571D2">
      <w:pPr>
        <w:pStyle w:val="89"/>
        <w:ind w:firstLine="0" w:firstLineChars="0"/>
        <w:jc w:val="center"/>
        <w:rPr>
          <w:rFonts w:ascii="宋体" w:hAnsi="宋体"/>
          <w:color w:val="000000" w:themeColor="text1"/>
          <w:sz w:val="48"/>
          <w:szCs w:val="48"/>
        </w:rPr>
      </w:pPr>
      <w:r>
        <w:rPr>
          <w:rFonts w:hint="eastAsia" w:ascii="宋体" w:hAnsi="宋体"/>
          <w:color w:val="000000" w:themeColor="text1"/>
          <w:sz w:val="48"/>
          <w:szCs w:val="48"/>
        </w:rPr>
        <w:t>响   应  文  件</w:t>
      </w:r>
    </w:p>
    <w:p w14:paraId="1B5F2E09">
      <w:pPr>
        <w:wordWrap w:val="0"/>
        <w:rPr>
          <w:rFonts w:ascii="宋体" w:hAnsi="宋体" w:cs="华文仿宋"/>
          <w:color w:val="000000" w:themeColor="text1"/>
          <w:sz w:val="28"/>
          <w:szCs w:val="28"/>
        </w:rPr>
      </w:pPr>
    </w:p>
    <w:p w14:paraId="492083D3">
      <w:pPr>
        <w:wordWrap w:val="0"/>
        <w:ind w:firstLine="560" w:firstLineChars="200"/>
        <w:rPr>
          <w:rFonts w:ascii="宋体" w:hAnsi="宋体" w:cs="华文仿宋"/>
          <w:color w:val="000000" w:themeColor="text1"/>
          <w:sz w:val="28"/>
          <w:szCs w:val="28"/>
        </w:rPr>
      </w:pPr>
      <w:r>
        <w:rPr>
          <w:rFonts w:hint="eastAsia" w:ascii="宋体" w:hAnsi="宋体" w:cs="华文仿宋"/>
          <w:color w:val="000000" w:themeColor="text1"/>
          <w:sz w:val="28"/>
          <w:szCs w:val="28"/>
        </w:rPr>
        <w:t>项目编号：</w:t>
      </w:r>
    </w:p>
    <w:p w14:paraId="56C59389">
      <w:pPr>
        <w:wordWrap w:val="0"/>
        <w:ind w:firstLine="560" w:firstLineChars="200"/>
        <w:rPr>
          <w:rFonts w:ascii="宋体" w:hAnsi="宋体" w:cs="华文仿宋"/>
          <w:color w:val="000000" w:themeColor="text1"/>
          <w:sz w:val="28"/>
          <w:szCs w:val="28"/>
          <w:u w:val="single"/>
        </w:rPr>
      </w:pPr>
      <w:r>
        <w:rPr>
          <w:rFonts w:hint="eastAsia" w:ascii="宋体" w:hAnsi="宋体" w:cs="华文仿宋"/>
          <w:color w:val="000000" w:themeColor="text1"/>
          <w:sz w:val="28"/>
          <w:szCs w:val="28"/>
        </w:rPr>
        <w:t>项目名称：</w:t>
      </w:r>
    </w:p>
    <w:p w14:paraId="6FBE954B">
      <w:pPr>
        <w:wordWrap w:val="0"/>
        <w:rPr>
          <w:rFonts w:ascii="宋体" w:hAnsi="宋体" w:cs="华文仿宋"/>
          <w:color w:val="000000" w:themeColor="text1"/>
          <w:sz w:val="28"/>
          <w:szCs w:val="28"/>
        </w:rPr>
      </w:pPr>
    </w:p>
    <w:p w14:paraId="0325F02B">
      <w:pPr>
        <w:wordWrap w:val="0"/>
        <w:rPr>
          <w:rFonts w:ascii="宋体" w:hAnsi="宋体" w:cs="华文仿宋"/>
          <w:color w:val="000000" w:themeColor="text1"/>
          <w:sz w:val="28"/>
          <w:szCs w:val="28"/>
        </w:rPr>
      </w:pPr>
    </w:p>
    <w:p w14:paraId="2CC621B5">
      <w:pPr>
        <w:wordWrap w:val="0"/>
        <w:rPr>
          <w:rFonts w:ascii="宋体" w:hAnsi="宋体" w:cs="华文仿宋"/>
          <w:color w:val="000000" w:themeColor="text1"/>
          <w:sz w:val="28"/>
          <w:szCs w:val="28"/>
        </w:rPr>
      </w:pPr>
    </w:p>
    <w:p w14:paraId="13D42CF2">
      <w:pPr>
        <w:wordWrap w:val="0"/>
        <w:rPr>
          <w:rFonts w:ascii="宋体" w:hAnsi="宋体" w:cs="华文仿宋"/>
          <w:color w:val="000000" w:themeColor="text1"/>
          <w:sz w:val="28"/>
          <w:szCs w:val="28"/>
        </w:rPr>
      </w:pPr>
    </w:p>
    <w:p w14:paraId="7F7C1B26">
      <w:pPr>
        <w:wordWrap w:val="0"/>
        <w:rPr>
          <w:rFonts w:ascii="宋体" w:hAnsi="宋体" w:cs="华文仿宋"/>
          <w:color w:val="000000" w:themeColor="text1"/>
          <w:sz w:val="28"/>
          <w:szCs w:val="28"/>
        </w:rPr>
      </w:pPr>
    </w:p>
    <w:p w14:paraId="61DF2E10">
      <w:pPr>
        <w:wordWrap w:val="0"/>
        <w:rPr>
          <w:rFonts w:ascii="宋体" w:hAnsi="宋体" w:cs="华文仿宋"/>
          <w:color w:val="000000" w:themeColor="text1"/>
          <w:sz w:val="28"/>
          <w:szCs w:val="28"/>
        </w:rPr>
      </w:pPr>
    </w:p>
    <w:p w14:paraId="60ED358B">
      <w:pPr>
        <w:wordWrap w:val="0"/>
        <w:rPr>
          <w:rFonts w:ascii="宋体" w:hAnsi="宋体" w:cs="华文仿宋"/>
          <w:color w:val="000000" w:themeColor="text1"/>
          <w:sz w:val="28"/>
          <w:szCs w:val="28"/>
        </w:rPr>
      </w:pPr>
    </w:p>
    <w:p w14:paraId="7CADE256">
      <w:pPr>
        <w:wordWrap w:val="0"/>
        <w:ind w:firstLine="5180" w:firstLineChars="1850"/>
        <w:rPr>
          <w:rFonts w:ascii="宋体" w:hAnsi="宋体" w:cs="华文仿宋"/>
          <w:color w:val="000000" w:themeColor="text1"/>
          <w:sz w:val="28"/>
          <w:szCs w:val="28"/>
        </w:rPr>
      </w:pPr>
      <w:r>
        <w:rPr>
          <w:rFonts w:hint="eastAsia" w:ascii="宋体" w:hAnsi="宋体" w:cs="华文仿宋"/>
          <w:color w:val="000000" w:themeColor="text1"/>
          <w:sz w:val="28"/>
          <w:szCs w:val="28"/>
        </w:rPr>
        <w:t>供应商：</w:t>
      </w:r>
      <w:r>
        <w:rPr>
          <w:rFonts w:hint="eastAsia" w:ascii="宋体" w:hAnsi="宋体" w:cs="华文仿宋"/>
          <w:color w:val="000000" w:themeColor="text1"/>
          <w:kern w:val="0"/>
          <w:sz w:val="28"/>
          <w:szCs w:val="28"/>
        </w:rPr>
        <w:t>（供应商电子签章）</w:t>
      </w:r>
    </w:p>
    <w:p w14:paraId="77494BB6">
      <w:pPr>
        <w:wordWrap w:val="0"/>
        <w:ind w:firstLine="1968" w:firstLineChars="700"/>
        <w:rPr>
          <w:rFonts w:ascii="宋体" w:hAnsi="宋体" w:cs="华文仿宋"/>
          <w:b/>
          <w:color w:val="000000" w:themeColor="text1"/>
          <w:sz w:val="28"/>
          <w:szCs w:val="28"/>
          <w:u w:val="single"/>
        </w:rPr>
      </w:pPr>
    </w:p>
    <w:p w14:paraId="24DB2351">
      <w:pPr>
        <w:wordWrap w:val="0"/>
        <w:ind w:firstLine="6440" w:firstLineChars="2300"/>
        <w:rPr>
          <w:rFonts w:ascii="宋体" w:hAnsi="宋体" w:cs="华文仿宋"/>
          <w:color w:val="000000" w:themeColor="text1"/>
          <w:sz w:val="28"/>
          <w:szCs w:val="28"/>
        </w:rPr>
      </w:pPr>
      <w:r>
        <w:rPr>
          <w:rFonts w:hint="eastAsia" w:ascii="宋体" w:hAnsi="宋体" w:cs="华文仿宋"/>
          <w:color w:val="000000" w:themeColor="text1"/>
          <w:sz w:val="28"/>
          <w:szCs w:val="28"/>
        </w:rPr>
        <w:t>年   月   日</w:t>
      </w:r>
    </w:p>
    <w:p w14:paraId="51C2E3B9">
      <w:pPr>
        <w:wordWrap w:val="0"/>
        <w:rPr>
          <w:rFonts w:ascii="宋体" w:hAnsi="宋体" w:cs="华文仿宋"/>
          <w:color w:val="000000" w:themeColor="text1"/>
          <w:sz w:val="28"/>
          <w:szCs w:val="28"/>
        </w:rPr>
      </w:pPr>
    </w:p>
    <w:p w14:paraId="2DC1C933">
      <w:pPr>
        <w:wordWrap w:val="0"/>
        <w:rPr>
          <w:rFonts w:ascii="宋体" w:hAnsi="宋体" w:cs="华文仿宋"/>
          <w:color w:val="000000" w:themeColor="text1"/>
          <w:sz w:val="28"/>
          <w:szCs w:val="28"/>
        </w:rPr>
      </w:pPr>
    </w:p>
    <w:p w14:paraId="0F0C1A3F">
      <w:pPr>
        <w:spacing w:line="440" w:lineRule="exact"/>
        <w:rPr>
          <w:rFonts w:ascii="宋体" w:hAnsi="宋体"/>
          <w:b/>
          <w:color w:val="000000" w:themeColor="text1"/>
          <w:sz w:val="36"/>
          <w:u w:val="single"/>
        </w:rPr>
      </w:pPr>
    </w:p>
    <w:p w14:paraId="6C2D18D3">
      <w:pPr>
        <w:spacing w:line="440" w:lineRule="exact"/>
        <w:rPr>
          <w:rFonts w:ascii="宋体" w:hAnsi="宋体"/>
          <w:b/>
          <w:color w:val="000000" w:themeColor="text1"/>
          <w:sz w:val="36"/>
          <w:u w:val="single"/>
        </w:rPr>
      </w:pPr>
    </w:p>
    <w:p w14:paraId="247FEF09">
      <w:pPr>
        <w:spacing w:line="440" w:lineRule="exact"/>
        <w:rPr>
          <w:rFonts w:ascii="宋体" w:hAnsi="宋体"/>
          <w:b/>
          <w:color w:val="000000" w:themeColor="text1"/>
          <w:sz w:val="36"/>
          <w:u w:val="single"/>
        </w:rPr>
      </w:pPr>
    </w:p>
    <w:p w14:paraId="5B1EEA16">
      <w:pPr>
        <w:spacing w:line="440" w:lineRule="exact"/>
        <w:rPr>
          <w:rFonts w:ascii="宋体" w:hAnsi="宋体"/>
          <w:b/>
          <w:bCs/>
          <w:color w:val="000000" w:themeColor="text1"/>
          <w:sz w:val="32"/>
          <w:szCs w:val="32"/>
        </w:rPr>
      </w:pPr>
      <w:r>
        <w:rPr>
          <w:rFonts w:hint="eastAsia" w:ascii="宋体" w:hAnsi="宋体"/>
          <w:b/>
          <w:bCs/>
          <w:color w:val="000000" w:themeColor="text1"/>
          <w:sz w:val="32"/>
          <w:szCs w:val="32"/>
        </w:rPr>
        <w:t>目录</w:t>
      </w:r>
    </w:p>
    <w:p w14:paraId="66EF7BD4">
      <w:pPr>
        <w:spacing w:line="440" w:lineRule="exact"/>
        <w:rPr>
          <w:rFonts w:ascii="宋体" w:hAnsi="宋体"/>
          <w:b/>
          <w:bCs/>
          <w:color w:val="000000" w:themeColor="text1"/>
          <w:sz w:val="32"/>
          <w:szCs w:val="32"/>
        </w:rPr>
      </w:pPr>
    </w:p>
    <w:p w14:paraId="38B10D08">
      <w:pPr>
        <w:ind w:left="480"/>
        <w:rPr>
          <w:rFonts w:ascii="宋体" w:hAnsi="宋体"/>
          <w:bCs/>
          <w:color w:val="000000" w:themeColor="text1"/>
          <w:sz w:val="24"/>
        </w:rPr>
      </w:pPr>
      <w:r>
        <w:rPr>
          <w:rFonts w:hint="eastAsia" w:ascii="宋体" w:hAnsi="宋体"/>
          <w:bCs/>
          <w:color w:val="000000" w:themeColor="text1"/>
          <w:sz w:val="24"/>
        </w:rPr>
        <w:t>一、资格、技术商务部分</w:t>
      </w:r>
    </w:p>
    <w:p w14:paraId="5E6F0920">
      <w:pPr>
        <w:ind w:left="480"/>
        <w:rPr>
          <w:rFonts w:ascii="宋体" w:hAnsi="宋体"/>
          <w:color w:val="000000" w:themeColor="text1"/>
          <w:sz w:val="28"/>
          <w:szCs w:val="28"/>
        </w:rPr>
      </w:pPr>
      <w:r>
        <w:rPr>
          <w:rFonts w:hint="eastAsia" w:ascii="宋体" w:hAnsi="宋体"/>
          <w:color w:val="000000" w:themeColor="text1"/>
          <w:sz w:val="28"/>
          <w:szCs w:val="28"/>
        </w:rPr>
        <w:t>1、资格审查资料</w:t>
      </w:r>
    </w:p>
    <w:p w14:paraId="7FF25A4E">
      <w:pPr>
        <w:ind w:left="480"/>
        <w:rPr>
          <w:rFonts w:ascii="宋体" w:hAnsi="宋体"/>
          <w:color w:val="000000" w:themeColor="text1"/>
          <w:sz w:val="28"/>
          <w:szCs w:val="28"/>
        </w:rPr>
      </w:pPr>
      <w:r>
        <w:rPr>
          <w:rFonts w:hint="eastAsia" w:ascii="宋体" w:hAnsi="宋体"/>
          <w:color w:val="000000" w:themeColor="text1"/>
          <w:sz w:val="28"/>
          <w:szCs w:val="28"/>
        </w:rPr>
        <w:t>2、授权委托书</w:t>
      </w:r>
    </w:p>
    <w:p w14:paraId="44D55749">
      <w:pPr>
        <w:ind w:left="480"/>
        <w:rPr>
          <w:rFonts w:ascii="宋体" w:hAnsi="宋体"/>
          <w:color w:val="000000" w:themeColor="text1"/>
          <w:sz w:val="28"/>
          <w:szCs w:val="28"/>
        </w:rPr>
      </w:pPr>
      <w:r>
        <w:rPr>
          <w:rFonts w:hint="eastAsia" w:ascii="宋体" w:hAnsi="宋体"/>
          <w:color w:val="000000" w:themeColor="text1"/>
          <w:sz w:val="28"/>
          <w:szCs w:val="28"/>
        </w:rPr>
        <w:t>3、响应函</w:t>
      </w:r>
    </w:p>
    <w:p w14:paraId="680A63EF">
      <w:pPr>
        <w:ind w:left="480"/>
        <w:rPr>
          <w:rFonts w:ascii="宋体" w:hAnsi="宋体"/>
          <w:color w:val="000000" w:themeColor="text1"/>
          <w:sz w:val="28"/>
          <w:szCs w:val="28"/>
        </w:rPr>
      </w:pPr>
      <w:r>
        <w:rPr>
          <w:rFonts w:hint="eastAsia" w:ascii="宋体" w:hAnsi="宋体"/>
          <w:color w:val="000000" w:themeColor="text1"/>
          <w:sz w:val="28"/>
          <w:szCs w:val="28"/>
        </w:rPr>
        <w:t>4、项目服务方案</w:t>
      </w:r>
    </w:p>
    <w:p w14:paraId="62CBD4E1">
      <w:pPr>
        <w:tabs>
          <w:tab w:val="left" w:pos="1815"/>
        </w:tabs>
        <w:snapToGrid w:val="0"/>
        <w:ind w:firstLine="420" w:firstLineChars="150"/>
        <w:rPr>
          <w:rFonts w:ascii="宋体" w:hAnsi="宋体"/>
          <w:color w:val="000000" w:themeColor="text1"/>
          <w:sz w:val="28"/>
          <w:szCs w:val="28"/>
        </w:rPr>
      </w:pPr>
      <w:r>
        <w:rPr>
          <w:rFonts w:hint="eastAsia" w:ascii="宋体" w:hAnsi="宋体"/>
          <w:color w:val="000000" w:themeColor="text1"/>
          <w:sz w:val="28"/>
          <w:szCs w:val="28"/>
        </w:rPr>
        <w:t>5、服务能力一览表</w:t>
      </w:r>
    </w:p>
    <w:p w14:paraId="2C941320">
      <w:pPr>
        <w:tabs>
          <w:tab w:val="left" w:pos="1815"/>
        </w:tabs>
        <w:snapToGrid w:val="0"/>
        <w:ind w:firstLine="420" w:firstLineChars="150"/>
        <w:rPr>
          <w:rFonts w:ascii="宋体" w:hAnsi="宋体"/>
          <w:color w:val="000000" w:themeColor="text1"/>
          <w:sz w:val="28"/>
          <w:szCs w:val="28"/>
        </w:rPr>
      </w:pPr>
      <w:r>
        <w:rPr>
          <w:rFonts w:hint="eastAsia" w:ascii="宋体" w:hAnsi="宋体"/>
          <w:color w:val="000000" w:themeColor="text1"/>
          <w:sz w:val="28"/>
          <w:szCs w:val="28"/>
        </w:rPr>
        <w:t>6、中小企业材料</w:t>
      </w:r>
    </w:p>
    <w:p w14:paraId="6446C01A">
      <w:pPr>
        <w:pStyle w:val="89"/>
        <w:ind w:firstLine="420" w:firstLineChars="150"/>
        <w:rPr>
          <w:rFonts w:ascii="宋体" w:hAnsi="宋体" w:cs="Times New Roman"/>
          <w:b w:val="0"/>
          <w:bCs w:val="0"/>
          <w:color w:val="000000" w:themeColor="text1"/>
        </w:rPr>
      </w:pPr>
      <w:r>
        <w:rPr>
          <w:rFonts w:hint="eastAsia" w:ascii="宋体" w:hAnsi="宋体" w:cs="Times New Roman"/>
          <w:b w:val="0"/>
          <w:bCs w:val="0"/>
          <w:color w:val="000000" w:themeColor="text1"/>
        </w:rPr>
        <w:t>7、</w:t>
      </w:r>
      <w:r>
        <w:rPr>
          <w:rFonts w:ascii="宋体" w:hAnsi="宋体" w:cs="Times New Roman"/>
          <w:b w:val="0"/>
          <w:bCs w:val="0"/>
          <w:color w:val="000000" w:themeColor="text1"/>
        </w:rPr>
        <w:t>提供相关服务承诺函、</w:t>
      </w:r>
      <w:r>
        <w:rPr>
          <w:rFonts w:hint="eastAsia" w:ascii="宋体" w:hAnsi="宋体" w:cs="Times New Roman"/>
          <w:b w:val="0"/>
          <w:bCs w:val="0"/>
          <w:color w:val="000000" w:themeColor="text1"/>
        </w:rPr>
        <w:t>征集文件要求的其它材料</w:t>
      </w:r>
      <w:r>
        <w:rPr>
          <w:rFonts w:ascii="宋体" w:hAnsi="宋体" w:cs="Times New Roman"/>
          <w:b w:val="0"/>
          <w:bCs w:val="0"/>
          <w:color w:val="000000" w:themeColor="text1"/>
        </w:rPr>
        <w:t>及供应商认为需要上传的与本项目相关的其他资料等。</w:t>
      </w:r>
    </w:p>
    <w:p w14:paraId="78A96D0E">
      <w:pPr>
        <w:ind w:left="481" w:leftChars="229" w:firstLine="140" w:firstLineChars="50"/>
        <w:rPr>
          <w:rFonts w:ascii="宋体" w:hAnsi="宋体"/>
          <w:color w:val="000000" w:themeColor="text1"/>
          <w:sz w:val="28"/>
          <w:szCs w:val="28"/>
        </w:rPr>
      </w:pPr>
      <w:r>
        <w:rPr>
          <w:rFonts w:hint="eastAsia" w:ascii="宋体" w:hAnsi="宋体"/>
          <w:color w:val="000000" w:themeColor="text1"/>
          <w:sz w:val="28"/>
          <w:szCs w:val="28"/>
        </w:rPr>
        <w:t>二、报价部分</w:t>
      </w:r>
    </w:p>
    <w:p w14:paraId="587E0CA0">
      <w:pPr>
        <w:ind w:firstLine="560" w:firstLineChars="200"/>
        <w:rPr>
          <w:rFonts w:ascii="宋体" w:hAnsi="宋体"/>
          <w:color w:val="000000" w:themeColor="text1"/>
          <w:sz w:val="28"/>
          <w:szCs w:val="28"/>
        </w:rPr>
      </w:pPr>
      <w:r>
        <w:rPr>
          <w:rFonts w:hint="eastAsia" w:ascii="宋体" w:hAnsi="宋体"/>
          <w:color w:val="000000" w:themeColor="text1"/>
          <w:sz w:val="28"/>
          <w:szCs w:val="28"/>
        </w:rPr>
        <w:t>1、响应报价表</w:t>
      </w:r>
    </w:p>
    <w:p w14:paraId="49ACF4F9">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2.主要标的一览表（服务）</w:t>
      </w:r>
    </w:p>
    <w:p w14:paraId="141B83BA">
      <w:pPr>
        <w:ind w:firstLine="480" w:firstLineChars="200"/>
        <w:rPr>
          <w:rFonts w:ascii="宋体" w:hAnsi="宋体"/>
          <w:color w:val="000000" w:themeColor="text1"/>
          <w:sz w:val="24"/>
        </w:rPr>
      </w:pPr>
    </w:p>
    <w:p w14:paraId="32749A19">
      <w:pPr>
        <w:spacing w:line="440" w:lineRule="exact"/>
        <w:ind w:firstLine="480" w:firstLineChars="200"/>
        <w:rPr>
          <w:rFonts w:ascii="宋体" w:hAnsi="宋体"/>
          <w:color w:val="000000" w:themeColor="text1"/>
          <w:sz w:val="24"/>
        </w:rPr>
      </w:pPr>
    </w:p>
    <w:p w14:paraId="055B0369">
      <w:pPr>
        <w:spacing w:line="440" w:lineRule="exact"/>
        <w:ind w:firstLine="480" w:firstLineChars="200"/>
        <w:rPr>
          <w:rFonts w:ascii="宋体" w:hAnsi="宋体"/>
          <w:color w:val="000000" w:themeColor="text1"/>
          <w:sz w:val="24"/>
        </w:rPr>
      </w:pPr>
    </w:p>
    <w:p w14:paraId="7F32096C">
      <w:pPr>
        <w:spacing w:line="440" w:lineRule="exact"/>
        <w:ind w:firstLine="480" w:firstLineChars="200"/>
        <w:rPr>
          <w:rFonts w:ascii="宋体" w:hAnsi="宋体"/>
          <w:color w:val="000000" w:themeColor="text1"/>
          <w:sz w:val="24"/>
        </w:rPr>
      </w:pPr>
    </w:p>
    <w:p w14:paraId="46031E27">
      <w:pPr>
        <w:spacing w:line="440" w:lineRule="exact"/>
        <w:ind w:firstLine="480" w:firstLineChars="200"/>
        <w:rPr>
          <w:rFonts w:ascii="宋体" w:hAnsi="宋体"/>
          <w:color w:val="000000" w:themeColor="text1"/>
          <w:sz w:val="24"/>
        </w:rPr>
      </w:pPr>
    </w:p>
    <w:p w14:paraId="321D7AC9">
      <w:pPr>
        <w:spacing w:line="440" w:lineRule="exact"/>
        <w:ind w:firstLine="480" w:firstLineChars="200"/>
        <w:rPr>
          <w:rFonts w:ascii="宋体" w:hAnsi="宋体"/>
          <w:color w:val="000000" w:themeColor="text1"/>
          <w:sz w:val="24"/>
        </w:rPr>
      </w:pPr>
    </w:p>
    <w:p w14:paraId="2512C2CA">
      <w:pPr>
        <w:spacing w:line="440" w:lineRule="exact"/>
        <w:ind w:firstLine="480" w:firstLineChars="200"/>
        <w:rPr>
          <w:rFonts w:ascii="宋体" w:hAnsi="宋体"/>
          <w:color w:val="000000" w:themeColor="text1"/>
          <w:sz w:val="24"/>
        </w:rPr>
      </w:pPr>
    </w:p>
    <w:p w14:paraId="309543FE">
      <w:pPr>
        <w:spacing w:line="440" w:lineRule="exact"/>
        <w:ind w:firstLine="480" w:firstLineChars="200"/>
        <w:rPr>
          <w:rFonts w:ascii="宋体" w:hAnsi="宋体"/>
          <w:color w:val="000000" w:themeColor="text1"/>
          <w:sz w:val="24"/>
        </w:rPr>
      </w:pPr>
    </w:p>
    <w:p w14:paraId="0FD1F37E">
      <w:pPr>
        <w:spacing w:line="440" w:lineRule="exact"/>
        <w:ind w:firstLine="480" w:firstLineChars="200"/>
        <w:rPr>
          <w:rFonts w:ascii="宋体" w:hAnsi="宋体"/>
          <w:color w:val="000000" w:themeColor="text1"/>
          <w:sz w:val="24"/>
        </w:rPr>
      </w:pPr>
    </w:p>
    <w:p w14:paraId="35A87D09">
      <w:pPr>
        <w:spacing w:line="440" w:lineRule="exact"/>
        <w:ind w:firstLine="480" w:firstLineChars="200"/>
        <w:rPr>
          <w:rFonts w:ascii="宋体" w:hAnsi="宋体"/>
          <w:color w:val="000000" w:themeColor="text1"/>
          <w:sz w:val="24"/>
        </w:rPr>
      </w:pPr>
    </w:p>
    <w:p w14:paraId="29A024F6">
      <w:pPr>
        <w:spacing w:line="440" w:lineRule="exact"/>
        <w:ind w:firstLine="480" w:firstLineChars="200"/>
        <w:rPr>
          <w:rFonts w:ascii="宋体" w:hAnsi="宋体"/>
          <w:color w:val="000000" w:themeColor="text1"/>
          <w:sz w:val="24"/>
        </w:rPr>
      </w:pPr>
    </w:p>
    <w:p w14:paraId="74D9C168">
      <w:pPr>
        <w:spacing w:line="440" w:lineRule="exact"/>
        <w:ind w:firstLine="480" w:firstLineChars="200"/>
        <w:rPr>
          <w:rFonts w:ascii="宋体" w:hAnsi="宋体"/>
          <w:color w:val="000000" w:themeColor="text1"/>
          <w:sz w:val="24"/>
        </w:rPr>
      </w:pPr>
    </w:p>
    <w:p w14:paraId="033CF022">
      <w:pPr>
        <w:spacing w:line="440" w:lineRule="exact"/>
        <w:ind w:firstLine="480" w:firstLineChars="200"/>
        <w:rPr>
          <w:rFonts w:ascii="宋体" w:hAnsi="宋体"/>
          <w:color w:val="000000" w:themeColor="text1"/>
          <w:sz w:val="24"/>
        </w:rPr>
      </w:pPr>
    </w:p>
    <w:p w14:paraId="5421F339">
      <w:pPr>
        <w:spacing w:line="440" w:lineRule="exact"/>
        <w:ind w:firstLine="480" w:firstLineChars="200"/>
        <w:rPr>
          <w:rFonts w:ascii="宋体" w:hAnsi="宋体"/>
          <w:color w:val="000000" w:themeColor="text1"/>
          <w:sz w:val="24"/>
        </w:rPr>
      </w:pPr>
    </w:p>
    <w:p w14:paraId="2F88EDC4">
      <w:pPr>
        <w:spacing w:line="440" w:lineRule="exact"/>
        <w:ind w:firstLine="480" w:firstLineChars="200"/>
        <w:rPr>
          <w:rFonts w:ascii="宋体" w:hAnsi="宋体"/>
          <w:color w:val="000000" w:themeColor="text1"/>
          <w:sz w:val="24"/>
        </w:rPr>
      </w:pPr>
    </w:p>
    <w:p w14:paraId="777971C0">
      <w:pPr>
        <w:spacing w:line="440" w:lineRule="exact"/>
        <w:rPr>
          <w:rFonts w:ascii="宋体" w:hAnsi="宋体"/>
          <w:color w:val="000000" w:themeColor="text1"/>
          <w:sz w:val="24"/>
        </w:rPr>
      </w:pPr>
    </w:p>
    <w:p w14:paraId="15F87439">
      <w:pPr>
        <w:pStyle w:val="89"/>
        <w:ind w:firstLine="0" w:firstLineChars="0"/>
        <w:rPr>
          <w:rFonts w:ascii="宋体" w:hAnsi="宋体"/>
          <w:color w:val="000000" w:themeColor="text1"/>
        </w:rPr>
      </w:pPr>
      <w:r>
        <w:rPr>
          <w:rFonts w:hint="eastAsia" w:ascii="宋体" w:hAnsi="宋体"/>
          <w:color w:val="000000" w:themeColor="text1"/>
        </w:rPr>
        <w:t>一、资格、技术商务部分</w:t>
      </w:r>
    </w:p>
    <w:p w14:paraId="77B463EE">
      <w:pPr>
        <w:pStyle w:val="89"/>
        <w:ind w:firstLine="0" w:firstLineChars="0"/>
        <w:rPr>
          <w:rFonts w:ascii="宋体" w:hAnsi="宋体"/>
          <w:b w:val="0"/>
          <w:color w:val="000000" w:themeColor="text1"/>
        </w:rPr>
      </w:pPr>
      <w:r>
        <w:rPr>
          <w:rFonts w:hint="eastAsia" w:ascii="宋体" w:hAnsi="宋体"/>
          <w:b w:val="0"/>
          <w:color w:val="000000" w:themeColor="text1"/>
        </w:rPr>
        <w:t>1、资格审查资料</w:t>
      </w:r>
    </w:p>
    <w:p w14:paraId="79177BB0">
      <w:pPr>
        <w:pStyle w:val="89"/>
        <w:ind w:firstLine="420" w:firstLineChars="150"/>
        <w:rPr>
          <w:rFonts w:ascii="宋体" w:hAnsi="宋体"/>
          <w:b w:val="0"/>
          <w:color w:val="000000" w:themeColor="text1"/>
        </w:rPr>
      </w:pPr>
      <w:r>
        <w:rPr>
          <w:rFonts w:hint="eastAsia" w:ascii="宋体" w:hAnsi="宋体"/>
          <w:b w:val="0"/>
          <w:color w:val="000000" w:themeColor="text1"/>
        </w:rPr>
        <w:t>响应函、营业执照、中小企业证明文件、特定资格要求等资料的复印件或扫描件。</w:t>
      </w:r>
    </w:p>
    <w:bookmarkEnd w:id="166"/>
    <w:bookmarkEnd w:id="167"/>
    <w:bookmarkEnd w:id="168"/>
    <w:p w14:paraId="56764E76">
      <w:pPr>
        <w:rPr>
          <w:rFonts w:ascii="宋体" w:hAnsi="宋体" w:cs="华文仿宋"/>
          <w:bCs/>
          <w:color w:val="000000" w:themeColor="text1"/>
          <w:sz w:val="28"/>
          <w:szCs w:val="28"/>
        </w:rPr>
      </w:pPr>
      <w:bookmarkStart w:id="169" w:name="_Toc120614284"/>
      <w:r>
        <w:rPr>
          <w:rFonts w:hint="eastAsia" w:ascii="宋体" w:hAnsi="宋体" w:cs="华文仿宋"/>
          <w:bCs/>
          <w:color w:val="000000" w:themeColor="text1"/>
          <w:sz w:val="28"/>
          <w:szCs w:val="28"/>
        </w:rPr>
        <w:t>2、授权委托书</w:t>
      </w:r>
    </w:p>
    <w:p w14:paraId="29B33534">
      <w:pPr>
        <w:pStyle w:val="63"/>
        <w:spacing w:before="0" w:after="0" w:line="420" w:lineRule="exact"/>
        <w:ind w:firstLine="0"/>
        <w:jc w:val="both"/>
        <w:rPr>
          <w:rFonts w:ascii="宋体" w:hAnsi="宋体"/>
          <w:color w:val="000000" w:themeColor="text1"/>
          <w:kern w:val="2"/>
          <w:szCs w:val="21"/>
          <w:u w:val="single"/>
        </w:rPr>
      </w:pPr>
      <w:r>
        <w:rPr>
          <w:rFonts w:hint="eastAsia" w:ascii="宋体" w:hAnsi="宋体"/>
          <w:color w:val="000000" w:themeColor="text1"/>
          <w:kern w:val="2"/>
          <w:szCs w:val="21"/>
        </w:rPr>
        <w:t>致：</w:t>
      </w:r>
      <w:r>
        <w:rPr>
          <w:rFonts w:hint="eastAsia" w:ascii="宋体" w:hAnsi="宋体"/>
          <w:color w:val="000000" w:themeColor="text1"/>
          <w:kern w:val="2"/>
          <w:szCs w:val="21"/>
          <w:u w:val="single"/>
        </w:rPr>
        <w:t xml:space="preserve">           （征集人）</w:t>
      </w:r>
    </w:p>
    <w:p w14:paraId="3EAC132F">
      <w:pPr>
        <w:pStyle w:val="61"/>
        <w:ind w:firstLine="480"/>
        <w:rPr>
          <w:color w:val="000000" w:themeColor="text1"/>
          <w:sz w:val="24"/>
          <w:szCs w:val="24"/>
        </w:rPr>
      </w:pPr>
      <w:r>
        <w:rPr>
          <w:rFonts w:hint="eastAsia"/>
          <w:color w:val="000000" w:themeColor="text1"/>
          <w:sz w:val="24"/>
          <w:szCs w:val="24"/>
        </w:rPr>
        <w:t xml:space="preserve">本授权书声明：____________（供应商名称）授权________________（被授权人的姓名）为我方就   </w:t>
      </w:r>
      <w:r>
        <w:rPr>
          <w:rFonts w:hint="eastAsia"/>
          <w:color w:val="000000" w:themeColor="text1"/>
          <w:sz w:val="24"/>
          <w:szCs w:val="24"/>
          <w:u w:val="single"/>
        </w:rPr>
        <w:t xml:space="preserve">       </w:t>
      </w:r>
      <w:r>
        <w:rPr>
          <w:rFonts w:hint="eastAsia" w:hAnsi="宋体" w:cs="华文仿宋"/>
          <w:color w:val="000000" w:themeColor="text1"/>
          <w:szCs w:val="28"/>
          <w:u w:val="single"/>
        </w:rPr>
        <w:t>项目全称</w:t>
      </w:r>
      <w:r>
        <w:rPr>
          <w:rFonts w:hint="eastAsia"/>
          <w:color w:val="000000" w:themeColor="text1"/>
          <w:sz w:val="24"/>
          <w:szCs w:val="24"/>
          <w:u w:val="single"/>
        </w:rPr>
        <w:t xml:space="preserve">           </w:t>
      </w:r>
      <w:r>
        <w:rPr>
          <w:rFonts w:hint="eastAsia"/>
          <w:color w:val="000000" w:themeColor="text1"/>
          <w:sz w:val="24"/>
          <w:szCs w:val="24"/>
        </w:rPr>
        <w:t xml:space="preserve"> 项目框架</w:t>
      </w:r>
      <w:r>
        <w:rPr>
          <w:color w:val="000000" w:themeColor="text1"/>
          <w:sz w:val="24"/>
          <w:szCs w:val="24"/>
        </w:rPr>
        <w:t>协议</w:t>
      </w:r>
      <w:r>
        <w:rPr>
          <w:rFonts w:hint="eastAsia"/>
          <w:color w:val="000000" w:themeColor="text1"/>
          <w:sz w:val="24"/>
          <w:szCs w:val="24"/>
        </w:rPr>
        <w:t>采购活动的合法代理人，以本单位名义全权处理一切与该项目采购有关的事务，授权代表无转委托权。</w:t>
      </w:r>
    </w:p>
    <w:p w14:paraId="70B3CD18">
      <w:pPr>
        <w:pStyle w:val="61"/>
        <w:ind w:firstLine="480"/>
        <w:rPr>
          <w:color w:val="000000" w:themeColor="text1"/>
          <w:sz w:val="24"/>
          <w:szCs w:val="24"/>
        </w:rPr>
      </w:pPr>
      <w:r>
        <w:rPr>
          <w:rFonts w:hint="eastAsia"/>
          <w:color w:val="000000" w:themeColor="text1"/>
          <w:sz w:val="24"/>
          <w:szCs w:val="24"/>
        </w:rPr>
        <w:t>本授权书于______年____月____日起生效，特此声明。</w:t>
      </w:r>
    </w:p>
    <w:p w14:paraId="758F9B12">
      <w:pPr>
        <w:pStyle w:val="61"/>
        <w:ind w:firstLine="0" w:firstLineChars="0"/>
        <w:rPr>
          <w:color w:val="000000" w:themeColor="text1"/>
          <w:sz w:val="24"/>
          <w:szCs w:val="24"/>
        </w:rPr>
      </w:pPr>
      <w:r>
        <w:rPr>
          <w:rFonts w:hint="eastAsia"/>
          <w:color w:val="000000" w:themeColor="text1"/>
          <w:sz w:val="24"/>
          <w:szCs w:val="24"/>
        </w:rPr>
        <w:t xml:space="preserve">          授权代表身份证明扫描件：</w:t>
      </w:r>
    </w:p>
    <w:p w14:paraId="752449F0">
      <w:pPr>
        <w:pStyle w:val="61"/>
        <w:ind w:firstLine="0" w:firstLineChars="0"/>
        <w:rPr>
          <w:color w:val="000000" w:themeColor="text1"/>
          <w:sz w:val="24"/>
          <w:szCs w:val="24"/>
        </w:rPr>
      </w:pP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1"/>
        <w:gridCol w:w="4584"/>
      </w:tblGrid>
      <w:tr w14:paraId="601E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2499" w:type="pct"/>
          </w:tcPr>
          <w:p w14:paraId="274598D9">
            <w:pPr>
              <w:pStyle w:val="17"/>
              <w:spacing w:line="460" w:lineRule="exact"/>
              <w:rPr>
                <w:rFonts w:ascii="Times New Roman" w:hAnsi="Times New Roman" w:eastAsia="宋体"/>
                <w:color w:val="000000" w:themeColor="text1"/>
                <w:sz w:val="24"/>
                <w:szCs w:val="24"/>
              </w:rPr>
            </w:pPr>
          </w:p>
          <w:p w14:paraId="605BE000">
            <w:pPr>
              <w:pStyle w:val="17"/>
              <w:spacing w:line="460" w:lineRule="exact"/>
              <w:rPr>
                <w:rFonts w:ascii="Times New Roman" w:hAnsi="Times New Roman" w:eastAsia="宋体"/>
                <w:color w:val="000000" w:themeColor="text1"/>
                <w:sz w:val="24"/>
                <w:szCs w:val="24"/>
              </w:rPr>
            </w:pPr>
          </w:p>
          <w:p w14:paraId="09760D95">
            <w:pPr>
              <w:pStyle w:val="17"/>
              <w:spacing w:line="460" w:lineRule="exact"/>
              <w:rPr>
                <w:rFonts w:ascii="Times New Roman" w:hAnsi="Times New Roman" w:eastAsia="宋体"/>
                <w:color w:val="000000" w:themeColor="text1"/>
                <w:sz w:val="24"/>
                <w:szCs w:val="24"/>
              </w:rPr>
            </w:pPr>
          </w:p>
          <w:p w14:paraId="0FD698FB">
            <w:pPr>
              <w:pStyle w:val="17"/>
              <w:spacing w:line="460" w:lineRule="exact"/>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（附法人代表身份证复印件）</w:t>
            </w:r>
          </w:p>
          <w:p w14:paraId="5D05F9BE">
            <w:pPr>
              <w:pStyle w:val="17"/>
              <w:spacing w:line="460" w:lineRule="exact"/>
              <w:rPr>
                <w:rFonts w:ascii="Times New Roman" w:hAnsi="Times New Roman" w:eastAsia="宋体"/>
                <w:color w:val="000000" w:themeColor="text1"/>
                <w:sz w:val="24"/>
                <w:szCs w:val="24"/>
              </w:rPr>
            </w:pPr>
          </w:p>
        </w:tc>
        <w:tc>
          <w:tcPr>
            <w:tcW w:w="2500" w:type="pct"/>
          </w:tcPr>
          <w:p w14:paraId="0B7064AE">
            <w:pPr>
              <w:pStyle w:val="17"/>
              <w:spacing w:line="460" w:lineRule="exact"/>
              <w:rPr>
                <w:rFonts w:ascii="Times New Roman" w:hAnsi="Times New Roman" w:eastAsia="宋体"/>
                <w:color w:val="000000" w:themeColor="text1"/>
                <w:sz w:val="24"/>
                <w:szCs w:val="24"/>
              </w:rPr>
            </w:pPr>
          </w:p>
          <w:p w14:paraId="7A2D4A51">
            <w:pPr>
              <w:pStyle w:val="17"/>
              <w:spacing w:line="460" w:lineRule="exact"/>
              <w:rPr>
                <w:rFonts w:ascii="Times New Roman" w:hAnsi="Times New Roman" w:eastAsia="宋体"/>
                <w:color w:val="000000" w:themeColor="text1"/>
                <w:sz w:val="24"/>
                <w:szCs w:val="24"/>
              </w:rPr>
            </w:pPr>
          </w:p>
          <w:p w14:paraId="0EAA90E5">
            <w:pPr>
              <w:pStyle w:val="17"/>
              <w:spacing w:line="460" w:lineRule="exact"/>
              <w:rPr>
                <w:rFonts w:ascii="Times New Roman" w:hAnsi="Times New Roman" w:eastAsia="宋体"/>
                <w:color w:val="000000" w:themeColor="text1"/>
                <w:sz w:val="24"/>
                <w:szCs w:val="24"/>
              </w:rPr>
            </w:pPr>
          </w:p>
          <w:p w14:paraId="58218ADC">
            <w:pPr>
              <w:pStyle w:val="17"/>
              <w:spacing w:line="460" w:lineRule="exact"/>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（附被授权人身份证复印件）</w:t>
            </w:r>
          </w:p>
          <w:p w14:paraId="7DDDA922">
            <w:pPr>
              <w:pStyle w:val="17"/>
              <w:spacing w:line="460" w:lineRule="exact"/>
              <w:rPr>
                <w:rFonts w:ascii="Times New Roman" w:hAnsi="Times New Roman" w:eastAsia="宋体"/>
                <w:color w:val="000000" w:themeColor="text1"/>
                <w:sz w:val="24"/>
                <w:szCs w:val="24"/>
              </w:rPr>
            </w:pPr>
          </w:p>
          <w:p w14:paraId="790A809A">
            <w:pPr>
              <w:pStyle w:val="17"/>
              <w:spacing w:line="460" w:lineRule="exact"/>
              <w:rPr>
                <w:rFonts w:ascii="Times New Roman" w:hAnsi="Times New Roman" w:eastAsia="宋体"/>
                <w:color w:val="000000" w:themeColor="text1"/>
                <w:sz w:val="24"/>
                <w:szCs w:val="24"/>
              </w:rPr>
            </w:pPr>
          </w:p>
          <w:p w14:paraId="4FBCB4D6">
            <w:pPr>
              <w:pStyle w:val="17"/>
              <w:spacing w:line="460" w:lineRule="exact"/>
              <w:rPr>
                <w:rFonts w:ascii="Times New Roman" w:hAnsi="Times New Roman" w:eastAsia="宋体"/>
                <w:color w:val="000000" w:themeColor="text1"/>
                <w:sz w:val="24"/>
                <w:szCs w:val="24"/>
              </w:rPr>
            </w:pPr>
          </w:p>
        </w:tc>
      </w:tr>
    </w:tbl>
    <w:p w14:paraId="2117D7D6">
      <w:pPr>
        <w:pStyle w:val="61"/>
        <w:ind w:firstLine="0" w:firstLineChars="0"/>
        <w:rPr>
          <w:color w:val="000000" w:themeColor="text1"/>
          <w:sz w:val="24"/>
          <w:szCs w:val="24"/>
          <w:u w:val="single"/>
        </w:rPr>
      </w:pPr>
    </w:p>
    <w:p w14:paraId="7A18D7C1">
      <w:pPr>
        <w:pStyle w:val="3"/>
        <w:ind w:firstLine="6345" w:firstLineChars="2644"/>
        <w:jc w:val="both"/>
        <w:rPr>
          <w:rFonts w:ascii="Times New Roman" w:hAnsi="Times New Roman" w:eastAsia="宋体" w:cs="Times New Roman"/>
          <w:b w:val="0"/>
          <w:bCs w:val="0"/>
          <w:color w:val="000000" w:themeColor="text1"/>
          <w:sz w:val="24"/>
          <w:szCs w:val="24"/>
        </w:rPr>
      </w:pPr>
      <w:r>
        <w:rPr>
          <w:rFonts w:hint="eastAsia" w:ascii="Times New Roman" w:hAnsi="Times New Roman" w:eastAsia="宋体" w:cs="Times New Roman"/>
          <w:b w:val="0"/>
          <w:bCs w:val="0"/>
          <w:color w:val="000000" w:themeColor="text1"/>
          <w:sz w:val="24"/>
          <w:szCs w:val="24"/>
        </w:rPr>
        <w:t>供应商电子签章：</w:t>
      </w:r>
    </w:p>
    <w:p w14:paraId="659A3A49">
      <w:pPr>
        <w:pStyle w:val="4"/>
        <w:rPr>
          <w:color w:val="000000" w:themeColor="text1"/>
        </w:rPr>
      </w:pPr>
      <w:r>
        <w:rPr>
          <w:rFonts w:hint="eastAsia"/>
          <w:color w:val="000000" w:themeColor="text1"/>
          <w:sz w:val="24"/>
          <w:szCs w:val="24"/>
        </w:rPr>
        <w:t xml:space="preserve">                                     被授权人联系电话（手机号）：</w:t>
      </w:r>
      <w:r>
        <w:rPr>
          <w:rFonts w:hint="eastAsia"/>
          <w:color w:val="000000" w:themeColor="text1"/>
        </w:rPr>
        <w:t xml:space="preserve"> </w:t>
      </w:r>
    </w:p>
    <w:p w14:paraId="15520710">
      <w:pPr>
        <w:pStyle w:val="4"/>
        <w:rPr>
          <w:color w:val="000000" w:themeColor="text1"/>
        </w:rPr>
      </w:pPr>
    </w:p>
    <w:p w14:paraId="402BA1B1">
      <w:pPr>
        <w:pStyle w:val="3"/>
        <w:ind w:firstLine="7012" w:firstLineChars="2922"/>
        <w:jc w:val="both"/>
        <w:rPr>
          <w:rFonts w:ascii="黑体" w:hAnsi="黑体" w:eastAsia="黑体" w:cs="Times New Roman"/>
          <w:bCs w:val="0"/>
          <w:i/>
          <w:color w:val="000000" w:themeColor="text1"/>
          <w:sz w:val="32"/>
          <w:szCs w:val="32"/>
          <w:u w:val="single"/>
        </w:rPr>
      </w:pPr>
      <w:r>
        <w:rPr>
          <w:rFonts w:ascii="Times New Roman" w:hAnsi="Times New Roman" w:eastAsia="宋体" w:cs="Times New Roman"/>
          <w:b w:val="0"/>
          <w:bCs w:val="0"/>
          <w:color w:val="000000" w:themeColor="text1"/>
          <w:sz w:val="24"/>
          <w:szCs w:val="24"/>
        </w:rPr>
        <w:t>日    期：</w:t>
      </w:r>
      <w:r>
        <w:rPr>
          <w:rFonts w:ascii="宋体" w:hAnsi="宋体"/>
          <w:bCs w:val="0"/>
          <w:color w:val="000000" w:themeColor="text1"/>
          <w:sz w:val="24"/>
        </w:rPr>
        <w:t xml:space="preserve"> </w:t>
      </w:r>
      <w:r>
        <w:rPr>
          <w:rFonts w:ascii="宋体" w:hAnsi="宋体"/>
          <w:bCs w:val="0"/>
          <w:color w:val="000000" w:themeColor="text1"/>
          <w:sz w:val="24"/>
        </w:rPr>
        <w:br w:type="page"/>
      </w:r>
      <w:r>
        <w:rPr>
          <w:rFonts w:hint="eastAsia" w:ascii="宋体" w:hAnsi="宋体" w:eastAsia="宋体" w:cs="华文仿宋"/>
          <w:b w:val="0"/>
          <w:color w:val="000000" w:themeColor="text1"/>
          <w:sz w:val="28"/>
          <w:szCs w:val="28"/>
        </w:rPr>
        <w:t>3、响应函</w:t>
      </w:r>
    </w:p>
    <w:p w14:paraId="5C35EB65">
      <w:pPr>
        <w:pStyle w:val="63"/>
        <w:spacing w:before="0" w:after="0" w:line="420" w:lineRule="exact"/>
        <w:ind w:firstLine="0"/>
        <w:jc w:val="both"/>
        <w:rPr>
          <w:rFonts w:ascii="宋体" w:hAnsi="宋体"/>
          <w:color w:val="000000" w:themeColor="text1"/>
          <w:kern w:val="2"/>
          <w:szCs w:val="21"/>
        </w:rPr>
      </w:pPr>
      <w:r>
        <w:rPr>
          <w:rFonts w:hint="eastAsia" w:ascii="宋体" w:hAnsi="宋体"/>
          <w:color w:val="000000" w:themeColor="text1"/>
          <w:kern w:val="2"/>
          <w:szCs w:val="21"/>
        </w:rPr>
        <w:t>致：</w:t>
      </w:r>
      <w:r>
        <w:rPr>
          <w:rFonts w:hint="eastAsia" w:ascii="宋体" w:hAnsi="宋体"/>
          <w:b/>
          <w:color w:val="000000" w:themeColor="text1"/>
          <w:kern w:val="2"/>
          <w:szCs w:val="21"/>
          <w:u w:val="single"/>
        </w:rPr>
        <w:t xml:space="preserve">           </w:t>
      </w:r>
      <w:r>
        <w:rPr>
          <w:rFonts w:hint="eastAsia" w:ascii="宋体" w:hAnsi="宋体"/>
          <w:color w:val="000000" w:themeColor="text1"/>
          <w:kern w:val="2"/>
          <w:szCs w:val="21"/>
        </w:rPr>
        <w:t>（征集人）</w:t>
      </w:r>
    </w:p>
    <w:p w14:paraId="1A2B1FED">
      <w:pPr>
        <w:pStyle w:val="63"/>
        <w:spacing w:before="0" w:after="0" w:line="420" w:lineRule="exact"/>
        <w:ind w:firstLineChars="200"/>
        <w:jc w:val="both"/>
        <w:rPr>
          <w:rFonts w:ascii="宋体" w:hAnsi="宋体"/>
          <w:color w:val="000000" w:themeColor="text1"/>
          <w:kern w:val="2"/>
          <w:szCs w:val="21"/>
        </w:rPr>
      </w:pPr>
      <w:r>
        <w:rPr>
          <w:rFonts w:hint="eastAsia" w:ascii="宋体" w:hAnsi="宋体"/>
          <w:color w:val="000000" w:themeColor="text1"/>
          <w:kern w:val="2"/>
          <w:szCs w:val="21"/>
        </w:rPr>
        <w:t>根据贵方的</w:t>
      </w:r>
      <w:r>
        <w:rPr>
          <w:rFonts w:hint="eastAsia" w:ascii="宋体" w:hAnsi="宋体"/>
          <w:b/>
          <w:color w:val="000000" w:themeColor="text1"/>
          <w:sz w:val="36"/>
          <w:u w:val="single"/>
        </w:rPr>
        <w:t xml:space="preserve">           </w:t>
      </w:r>
      <w:r>
        <w:rPr>
          <w:rFonts w:hint="eastAsia" w:ascii="宋体" w:hAnsi="宋体"/>
          <w:color w:val="000000" w:themeColor="text1"/>
          <w:kern w:val="2"/>
          <w:szCs w:val="21"/>
        </w:rPr>
        <w:t>框架协议</w:t>
      </w:r>
      <w:r>
        <w:rPr>
          <w:rFonts w:ascii="宋体" w:hAnsi="宋体"/>
          <w:color w:val="000000" w:themeColor="text1"/>
          <w:kern w:val="2"/>
          <w:szCs w:val="21"/>
        </w:rPr>
        <w:t>采购征集</w:t>
      </w:r>
      <w:r>
        <w:rPr>
          <w:rFonts w:hint="eastAsia" w:ascii="宋体" w:hAnsi="宋体"/>
          <w:color w:val="000000" w:themeColor="text1"/>
          <w:kern w:val="2"/>
          <w:szCs w:val="21"/>
        </w:rPr>
        <w:t>公告，正式授权_________________(姓名)代表我方______________（供应商的名称），全权处理本次项目响应的有关事宜。</w:t>
      </w:r>
    </w:p>
    <w:p w14:paraId="16610AA9">
      <w:pPr>
        <w:pStyle w:val="63"/>
        <w:spacing w:before="0" w:after="0" w:line="420" w:lineRule="exact"/>
        <w:jc w:val="both"/>
        <w:rPr>
          <w:rFonts w:ascii="宋体" w:hAnsi="宋体"/>
          <w:color w:val="000000" w:themeColor="text1"/>
          <w:kern w:val="2"/>
          <w:szCs w:val="21"/>
        </w:rPr>
      </w:pPr>
      <w:r>
        <w:rPr>
          <w:rFonts w:hint="eastAsia" w:ascii="宋体" w:hAnsi="宋体"/>
          <w:color w:val="000000" w:themeColor="text1"/>
          <w:kern w:val="2"/>
          <w:szCs w:val="21"/>
        </w:rPr>
        <w:t>1.按</w:t>
      </w:r>
      <w:r>
        <w:rPr>
          <w:rFonts w:ascii="宋体" w:hAnsi="宋体"/>
          <w:color w:val="000000" w:themeColor="text1"/>
          <w:kern w:val="2"/>
          <w:szCs w:val="21"/>
        </w:rPr>
        <w:t>征集</w:t>
      </w:r>
      <w:r>
        <w:rPr>
          <w:rFonts w:hint="eastAsia" w:ascii="宋体" w:hAnsi="宋体"/>
          <w:color w:val="000000" w:themeColor="text1"/>
          <w:kern w:val="2"/>
          <w:szCs w:val="21"/>
        </w:rPr>
        <w:t>文件规定的各项要求，向征集人提供所需货物与服务。</w:t>
      </w:r>
    </w:p>
    <w:p w14:paraId="62CA694E">
      <w:pPr>
        <w:pStyle w:val="63"/>
        <w:spacing w:before="0" w:after="0" w:line="420" w:lineRule="exact"/>
        <w:ind w:firstLineChars="200"/>
        <w:jc w:val="both"/>
        <w:rPr>
          <w:rFonts w:ascii="宋体" w:hAnsi="宋体"/>
          <w:color w:val="000000" w:themeColor="text1"/>
          <w:kern w:val="2"/>
          <w:szCs w:val="21"/>
        </w:rPr>
      </w:pPr>
      <w:r>
        <w:rPr>
          <w:rFonts w:hint="eastAsia" w:ascii="宋体" w:hAnsi="宋体"/>
          <w:color w:val="000000" w:themeColor="text1"/>
          <w:kern w:val="2"/>
          <w:szCs w:val="21"/>
        </w:rPr>
        <w:t>2.我们完全理解征集人不一定将采购合同授予协议价格</w:t>
      </w:r>
      <w:r>
        <w:rPr>
          <w:rFonts w:ascii="宋体" w:hAnsi="宋体"/>
          <w:color w:val="000000" w:themeColor="text1"/>
          <w:kern w:val="2"/>
          <w:szCs w:val="21"/>
        </w:rPr>
        <w:t>最低</w:t>
      </w:r>
      <w:r>
        <w:rPr>
          <w:rFonts w:hint="eastAsia" w:ascii="宋体" w:hAnsi="宋体"/>
          <w:color w:val="000000" w:themeColor="text1"/>
          <w:kern w:val="2"/>
          <w:szCs w:val="21"/>
        </w:rPr>
        <w:t>的供应商。</w:t>
      </w:r>
    </w:p>
    <w:p w14:paraId="146C9F56">
      <w:pPr>
        <w:pStyle w:val="63"/>
        <w:spacing w:before="0" w:after="0" w:line="420" w:lineRule="exact"/>
        <w:ind w:firstLineChars="200"/>
        <w:jc w:val="both"/>
        <w:rPr>
          <w:rFonts w:ascii="宋体" w:hAnsi="宋体"/>
          <w:color w:val="000000" w:themeColor="text1"/>
          <w:kern w:val="2"/>
          <w:szCs w:val="21"/>
        </w:rPr>
      </w:pPr>
      <w:r>
        <w:rPr>
          <w:rFonts w:hint="eastAsia" w:ascii="宋体" w:hAnsi="宋体"/>
          <w:color w:val="000000" w:themeColor="text1"/>
          <w:kern w:val="2"/>
          <w:szCs w:val="21"/>
        </w:rPr>
        <w:t>3.我们已详细审核全部</w:t>
      </w:r>
      <w:r>
        <w:rPr>
          <w:rFonts w:ascii="宋体" w:hAnsi="宋体"/>
          <w:color w:val="000000" w:themeColor="text1"/>
          <w:kern w:val="2"/>
          <w:szCs w:val="21"/>
        </w:rPr>
        <w:t>征集</w:t>
      </w:r>
      <w:r>
        <w:rPr>
          <w:rFonts w:hint="eastAsia" w:ascii="宋体" w:hAnsi="宋体"/>
          <w:color w:val="000000" w:themeColor="text1"/>
          <w:kern w:val="2"/>
          <w:szCs w:val="21"/>
        </w:rPr>
        <w:t>文件及其有效补充文件，我们知道必须放弃提出含糊不清或误解问题的权利。</w:t>
      </w:r>
    </w:p>
    <w:p w14:paraId="50491DA9">
      <w:pPr>
        <w:pStyle w:val="63"/>
        <w:spacing w:before="0" w:after="0" w:line="420" w:lineRule="exact"/>
        <w:jc w:val="both"/>
        <w:rPr>
          <w:rFonts w:ascii="宋体" w:hAnsi="宋体"/>
          <w:color w:val="000000" w:themeColor="text1"/>
          <w:kern w:val="2"/>
          <w:szCs w:val="21"/>
        </w:rPr>
      </w:pPr>
      <w:r>
        <w:rPr>
          <w:rFonts w:hint="eastAsia" w:ascii="宋体" w:hAnsi="宋体"/>
          <w:color w:val="000000" w:themeColor="text1"/>
          <w:kern w:val="2"/>
          <w:szCs w:val="21"/>
        </w:rPr>
        <w:t>4.我们同意从规定的响应</w:t>
      </w:r>
      <w:r>
        <w:rPr>
          <w:rFonts w:ascii="宋体" w:hAnsi="宋体"/>
          <w:color w:val="000000" w:themeColor="text1"/>
          <w:kern w:val="2"/>
          <w:szCs w:val="21"/>
        </w:rPr>
        <w:t>文件开启</w:t>
      </w:r>
      <w:r>
        <w:rPr>
          <w:rFonts w:hint="eastAsia" w:ascii="宋体" w:hAnsi="宋体"/>
          <w:color w:val="000000" w:themeColor="text1"/>
          <w:kern w:val="2"/>
          <w:szCs w:val="21"/>
        </w:rPr>
        <w:t>日期起遵循本响应文件，并在规定的响应文件有效期期满之前均具有约束力。</w:t>
      </w:r>
    </w:p>
    <w:p w14:paraId="51C9ED0D">
      <w:pPr>
        <w:pStyle w:val="63"/>
        <w:spacing w:before="0" w:after="0" w:line="420" w:lineRule="exact"/>
        <w:jc w:val="both"/>
        <w:rPr>
          <w:rFonts w:ascii="宋体" w:hAnsi="宋体"/>
          <w:color w:val="000000" w:themeColor="text1"/>
          <w:kern w:val="2"/>
          <w:szCs w:val="21"/>
        </w:rPr>
      </w:pPr>
      <w:r>
        <w:rPr>
          <w:rFonts w:ascii="宋体" w:hAnsi="宋体"/>
          <w:color w:val="000000" w:themeColor="text1"/>
          <w:kern w:val="2"/>
          <w:szCs w:val="21"/>
        </w:rPr>
        <w:t>5</w:t>
      </w:r>
      <w:r>
        <w:rPr>
          <w:rFonts w:hint="eastAsia" w:ascii="宋体" w:hAnsi="宋体"/>
          <w:color w:val="000000" w:themeColor="text1"/>
          <w:kern w:val="2"/>
          <w:szCs w:val="21"/>
        </w:rPr>
        <w:t>.同意向贵方提供贵方可能另外要求的与本次采购</w:t>
      </w:r>
      <w:r>
        <w:rPr>
          <w:rFonts w:ascii="宋体" w:hAnsi="宋体"/>
          <w:color w:val="000000" w:themeColor="text1"/>
          <w:kern w:val="2"/>
          <w:szCs w:val="21"/>
        </w:rPr>
        <w:t>活动</w:t>
      </w:r>
      <w:r>
        <w:rPr>
          <w:rFonts w:hint="eastAsia" w:ascii="宋体" w:hAnsi="宋体"/>
          <w:color w:val="000000" w:themeColor="text1"/>
          <w:kern w:val="2"/>
          <w:szCs w:val="21"/>
        </w:rPr>
        <w:t>有关的任何证据或资料，并保证我方已提供和将要提供的文件是真实的、准确的。</w:t>
      </w:r>
    </w:p>
    <w:p w14:paraId="3995C0E3">
      <w:pPr>
        <w:pStyle w:val="63"/>
        <w:spacing w:before="0" w:after="0" w:line="420" w:lineRule="exact"/>
        <w:ind w:firstLineChars="200"/>
        <w:jc w:val="both"/>
        <w:rPr>
          <w:rFonts w:ascii="宋体" w:hAnsi="宋体"/>
          <w:color w:val="000000" w:themeColor="text1"/>
          <w:kern w:val="2"/>
          <w:szCs w:val="21"/>
        </w:rPr>
      </w:pPr>
      <w:r>
        <w:rPr>
          <w:rFonts w:ascii="宋体" w:hAnsi="宋体"/>
          <w:color w:val="000000" w:themeColor="text1"/>
          <w:kern w:val="2"/>
          <w:szCs w:val="21"/>
        </w:rPr>
        <w:t>6</w:t>
      </w:r>
      <w:r>
        <w:rPr>
          <w:rFonts w:hint="eastAsia" w:ascii="宋体" w:hAnsi="宋体"/>
          <w:color w:val="000000" w:themeColor="text1"/>
          <w:kern w:val="2"/>
          <w:szCs w:val="21"/>
        </w:rPr>
        <w:t>.一旦我方成为入围</w:t>
      </w:r>
      <w:r>
        <w:rPr>
          <w:rFonts w:ascii="宋体" w:hAnsi="宋体"/>
          <w:color w:val="000000" w:themeColor="text1"/>
          <w:kern w:val="2"/>
          <w:szCs w:val="21"/>
        </w:rPr>
        <w:t>供应商</w:t>
      </w:r>
      <w:r>
        <w:rPr>
          <w:rFonts w:hint="eastAsia" w:ascii="宋体" w:hAnsi="宋体"/>
          <w:color w:val="000000" w:themeColor="text1"/>
          <w:kern w:val="2"/>
          <w:szCs w:val="21"/>
        </w:rPr>
        <w:t>,我方将根据征集文件的规定，严格履行合同的责任和义务,并保证在征集文件规定的时间完成项目，交付征集人验收、使用。</w:t>
      </w:r>
    </w:p>
    <w:p w14:paraId="39914600">
      <w:pPr>
        <w:pStyle w:val="63"/>
        <w:spacing w:before="0" w:after="0" w:line="420" w:lineRule="exact"/>
        <w:ind w:firstLineChars="200"/>
        <w:jc w:val="both"/>
        <w:rPr>
          <w:rFonts w:ascii="宋体" w:hAnsi="宋体"/>
          <w:color w:val="000000" w:themeColor="text1"/>
          <w:kern w:val="2"/>
          <w:szCs w:val="21"/>
        </w:rPr>
      </w:pPr>
      <w:r>
        <w:rPr>
          <w:rFonts w:hint="eastAsia" w:ascii="宋体" w:hAnsi="宋体"/>
          <w:color w:val="000000" w:themeColor="text1"/>
          <w:kern w:val="2"/>
          <w:szCs w:val="21"/>
        </w:rPr>
        <w:t>7、我方完全满足《中华人民共和国政府采购法》第二十二条的全部要求，若有虚假，同意按政府采购法第七十七条处理。</w:t>
      </w:r>
    </w:p>
    <w:p w14:paraId="720AE4F7">
      <w:pPr>
        <w:wordWrap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8、至响应截止日，我方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186E7ADD">
      <w:pPr>
        <w:pStyle w:val="63"/>
        <w:spacing w:line="420" w:lineRule="exact"/>
        <w:jc w:val="both"/>
        <w:rPr>
          <w:rFonts w:ascii="宋体" w:hAnsi="宋体"/>
          <w:bCs/>
          <w:color w:val="000000" w:themeColor="text1"/>
        </w:rPr>
      </w:pPr>
      <w:r>
        <w:rPr>
          <w:rFonts w:hint="eastAsia" w:ascii="宋体" w:hAnsi="宋体"/>
          <w:b/>
          <w:bCs/>
          <w:color w:val="000000" w:themeColor="text1"/>
        </w:rPr>
        <w:t xml:space="preserve">                                                 </w:t>
      </w:r>
      <w:r>
        <w:rPr>
          <w:rFonts w:hint="eastAsia" w:ascii="宋体" w:hAnsi="宋体"/>
          <w:bCs/>
          <w:color w:val="000000" w:themeColor="text1"/>
        </w:rPr>
        <w:t xml:space="preserve">     供应商电子签章：</w:t>
      </w:r>
    </w:p>
    <w:p w14:paraId="755ED149">
      <w:pPr>
        <w:pStyle w:val="63"/>
        <w:spacing w:line="420" w:lineRule="exact"/>
        <w:ind w:firstLine="7660" w:firstLineChars="3192"/>
        <w:jc w:val="both"/>
        <w:rPr>
          <w:rFonts w:ascii="宋体" w:hAnsi="宋体"/>
          <w:bCs/>
          <w:color w:val="000000" w:themeColor="text1"/>
        </w:rPr>
      </w:pPr>
      <w:r>
        <w:rPr>
          <w:rFonts w:ascii="宋体" w:hAnsi="宋体"/>
          <w:bCs/>
          <w:color w:val="000000" w:themeColor="text1"/>
        </w:rPr>
        <w:t>日    期：</w:t>
      </w:r>
    </w:p>
    <w:p w14:paraId="62A386CD">
      <w:pPr>
        <w:pStyle w:val="63"/>
        <w:spacing w:line="420" w:lineRule="exact"/>
        <w:ind w:firstLine="7660" w:firstLineChars="3192"/>
        <w:jc w:val="both"/>
        <w:rPr>
          <w:rFonts w:ascii="宋体" w:hAnsi="宋体"/>
          <w:bCs/>
          <w:color w:val="000000" w:themeColor="text1"/>
        </w:rPr>
      </w:pPr>
    </w:p>
    <w:p w14:paraId="5BE728AF">
      <w:pPr>
        <w:pStyle w:val="63"/>
        <w:spacing w:line="420" w:lineRule="exact"/>
        <w:ind w:firstLine="7660" w:firstLineChars="3192"/>
        <w:jc w:val="both"/>
        <w:rPr>
          <w:rFonts w:ascii="宋体" w:hAnsi="宋体"/>
          <w:bCs/>
          <w:color w:val="000000" w:themeColor="text1"/>
        </w:rPr>
      </w:pPr>
    </w:p>
    <w:p w14:paraId="40D14D2F">
      <w:pPr>
        <w:pStyle w:val="63"/>
        <w:spacing w:line="420" w:lineRule="exact"/>
        <w:ind w:firstLine="7660" w:firstLineChars="3192"/>
        <w:jc w:val="both"/>
        <w:rPr>
          <w:rFonts w:ascii="宋体" w:hAnsi="宋体"/>
          <w:bCs/>
          <w:color w:val="000000" w:themeColor="text1"/>
        </w:rPr>
      </w:pPr>
    </w:p>
    <w:p w14:paraId="28A4C975">
      <w:pPr>
        <w:pStyle w:val="63"/>
        <w:spacing w:line="420" w:lineRule="exact"/>
        <w:ind w:firstLine="7660" w:firstLineChars="3192"/>
        <w:jc w:val="both"/>
        <w:rPr>
          <w:rFonts w:ascii="宋体" w:hAnsi="宋体"/>
          <w:bCs/>
          <w:color w:val="000000" w:themeColor="text1"/>
        </w:rPr>
      </w:pPr>
    </w:p>
    <w:p w14:paraId="6F79EAF4">
      <w:pPr>
        <w:pStyle w:val="63"/>
        <w:spacing w:line="420" w:lineRule="exact"/>
        <w:ind w:firstLine="7660" w:firstLineChars="3192"/>
        <w:jc w:val="both"/>
        <w:rPr>
          <w:rFonts w:ascii="宋体" w:hAnsi="宋体"/>
          <w:bCs/>
          <w:color w:val="000000" w:themeColor="text1"/>
        </w:rPr>
      </w:pPr>
    </w:p>
    <w:p w14:paraId="67D8DE30">
      <w:pPr>
        <w:pStyle w:val="63"/>
        <w:spacing w:line="420" w:lineRule="exact"/>
        <w:ind w:firstLine="7660" w:firstLineChars="3192"/>
        <w:jc w:val="both"/>
        <w:rPr>
          <w:rFonts w:ascii="宋体" w:hAnsi="宋体"/>
          <w:bCs/>
          <w:color w:val="000000" w:themeColor="text1"/>
        </w:rPr>
      </w:pPr>
    </w:p>
    <w:p w14:paraId="12CC5646">
      <w:pPr>
        <w:pStyle w:val="89"/>
        <w:ind w:firstLine="0" w:firstLineChars="0"/>
        <w:rPr>
          <w:rFonts w:ascii="宋体" w:hAnsi="宋体"/>
          <w:b w:val="0"/>
          <w:color w:val="000000" w:themeColor="text1"/>
        </w:rPr>
      </w:pPr>
      <w:r>
        <w:rPr>
          <w:rFonts w:hint="eastAsia" w:ascii="宋体" w:hAnsi="宋体"/>
          <w:b w:val="0"/>
          <w:color w:val="000000" w:themeColor="text1"/>
        </w:rPr>
        <w:t>4、</w:t>
      </w:r>
      <w:r>
        <w:rPr>
          <w:rFonts w:hint="eastAsia" w:ascii="宋体" w:hAnsi="宋体"/>
          <w:b w:val="0"/>
        </w:rPr>
        <w:t>项目服务方案</w:t>
      </w:r>
    </w:p>
    <w:p w14:paraId="1FF56B75">
      <w:pPr>
        <w:pStyle w:val="89"/>
        <w:ind w:firstLine="0" w:firstLineChars="0"/>
        <w:rPr>
          <w:rFonts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1）供应商简介：（不超过1000字）</w:t>
      </w:r>
    </w:p>
    <w:p w14:paraId="69368373">
      <w:pPr>
        <w:autoSpaceDN w:val="0"/>
        <w:spacing w:after="156" w:line="500" w:lineRule="exact"/>
        <w:rPr>
          <w:rFonts w:cs="华文仿宋" w:asciiTheme="minorEastAsia" w:hAnsiTheme="minorEastAsia" w:eastAsiaTheme="minorEastAsia"/>
          <w:bCs/>
          <w:sz w:val="28"/>
          <w:szCs w:val="28"/>
        </w:rPr>
      </w:pPr>
      <w:r>
        <w:rPr>
          <w:rFonts w:hint="eastAsia" w:cs="华文仿宋" w:asciiTheme="minorEastAsia" w:hAnsiTheme="minorEastAsia" w:eastAsiaTheme="minorEastAsia"/>
          <w:bCs/>
          <w:sz w:val="28"/>
          <w:szCs w:val="28"/>
        </w:rPr>
        <w:t>2）项目服务方案：（从服务范围、服务内容、安全生产、应急服务及提供其他服务要求等方面服务内容进行详细阐述并说明）</w:t>
      </w:r>
    </w:p>
    <w:p w14:paraId="1E869C50">
      <w:pPr>
        <w:autoSpaceDN w:val="0"/>
        <w:spacing w:after="156" w:line="500" w:lineRule="exact"/>
        <w:rPr>
          <w:rFonts w:cs="华文仿宋" w:asciiTheme="minorEastAsia" w:hAnsiTheme="minorEastAsia" w:eastAsiaTheme="minorEastAsia"/>
          <w:bCs/>
          <w:sz w:val="28"/>
          <w:szCs w:val="28"/>
        </w:rPr>
      </w:pPr>
    </w:p>
    <w:p w14:paraId="3701EB35">
      <w:pPr>
        <w:tabs>
          <w:tab w:val="left" w:pos="1815"/>
        </w:tabs>
        <w:snapToGrid w:val="0"/>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bCs/>
          <w:color w:val="000000" w:themeColor="text1"/>
          <w:sz w:val="28"/>
          <w:szCs w:val="28"/>
        </w:rPr>
        <w:t>5、</w:t>
      </w:r>
      <w:r>
        <w:rPr>
          <w:rFonts w:hint="eastAsia" w:cs="华文仿宋" w:asciiTheme="minorEastAsia" w:hAnsiTheme="minorEastAsia" w:eastAsiaTheme="minorEastAsia"/>
          <w:color w:val="000000" w:themeColor="text1"/>
          <w:sz w:val="28"/>
          <w:szCs w:val="28"/>
        </w:rPr>
        <w:t>服务能力一览表</w:t>
      </w:r>
    </w:p>
    <w:p w14:paraId="75B84F6A">
      <w:pPr>
        <w:tabs>
          <w:tab w:val="left" w:pos="1815"/>
        </w:tabs>
        <w:snapToGrid w:val="0"/>
        <w:rPr>
          <w:rFonts w:cs="华文仿宋" w:asciiTheme="minorEastAsia" w:hAnsiTheme="minorEastAsia" w:eastAsiaTheme="minorEastAsia"/>
          <w:bCs/>
          <w:sz w:val="28"/>
          <w:szCs w:val="28"/>
        </w:rPr>
      </w:pPr>
    </w:p>
    <w:p w14:paraId="140E8C00">
      <w:pPr>
        <w:pStyle w:val="68"/>
        <w:numPr>
          <w:ilvl w:val="0"/>
          <w:numId w:val="7"/>
        </w:numPr>
        <w:tabs>
          <w:tab w:val="left" w:pos="1815"/>
        </w:tabs>
        <w:snapToGrid w:val="0"/>
        <w:rPr>
          <w:rFonts w:cs="华文仿宋" w:asciiTheme="minorEastAsia" w:hAnsiTheme="minorEastAsia" w:eastAsiaTheme="minorEastAsia"/>
          <w:bCs/>
          <w:kern w:val="2"/>
          <w:sz w:val="28"/>
          <w:szCs w:val="28"/>
          <w:lang w:eastAsia="zh-CN" w:bidi="ar-SA"/>
        </w:rPr>
      </w:pPr>
      <w:r>
        <w:rPr>
          <w:rFonts w:hint="eastAsia" w:cs="华文仿宋" w:asciiTheme="minorEastAsia" w:hAnsiTheme="minorEastAsia" w:eastAsiaTheme="minorEastAsia"/>
          <w:bCs/>
          <w:kern w:val="2"/>
          <w:sz w:val="28"/>
          <w:szCs w:val="28"/>
          <w:lang w:eastAsia="zh-CN" w:bidi="ar-SA"/>
        </w:rPr>
        <w:t>维修服务设备表</w:t>
      </w:r>
    </w:p>
    <w:tbl>
      <w:tblPr>
        <w:tblStyle w:val="4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690"/>
        <w:gridCol w:w="2835"/>
        <w:gridCol w:w="2126"/>
      </w:tblGrid>
      <w:tr w14:paraId="3DCE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6ABBBC90">
            <w:pPr>
              <w:spacing w:line="400" w:lineRule="exact"/>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序号</w:t>
            </w:r>
          </w:p>
        </w:tc>
        <w:tc>
          <w:tcPr>
            <w:tcW w:w="2690" w:type="dxa"/>
            <w:vAlign w:val="center"/>
          </w:tcPr>
          <w:p w14:paraId="1C6EA065">
            <w:pPr>
              <w:spacing w:line="400" w:lineRule="exact"/>
              <w:ind w:left="103" w:leftChars="49"/>
              <w:jc w:val="center"/>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各类</w:t>
            </w:r>
            <w:r>
              <w:rPr>
                <w:rFonts w:cs="华文仿宋" w:asciiTheme="minorEastAsia" w:hAnsiTheme="minorEastAsia" w:eastAsiaTheme="minorEastAsia"/>
                <w:color w:val="000000" w:themeColor="text1"/>
                <w:sz w:val="28"/>
                <w:szCs w:val="28"/>
              </w:rPr>
              <w:t>仪表工具、专用设备、检测设备、通用设备名称</w:t>
            </w:r>
          </w:p>
        </w:tc>
        <w:tc>
          <w:tcPr>
            <w:tcW w:w="2835" w:type="dxa"/>
          </w:tcPr>
          <w:p w14:paraId="107F417C">
            <w:pPr>
              <w:spacing w:line="400" w:lineRule="exact"/>
              <w:jc w:val="center"/>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数量</w:t>
            </w:r>
          </w:p>
        </w:tc>
        <w:tc>
          <w:tcPr>
            <w:tcW w:w="2126" w:type="dxa"/>
            <w:vAlign w:val="center"/>
          </w:tcPr>
          <w:p w14:paraId="7AFCF7EB">
            <w:pPr>
              <w:spacing w:line="400" w:lineRule="exact"/>
              <w:jc w:val="center"/>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自有或租赁</w:t>
            </w:r>
          </w:p>
        </w:tc>
      </w:tr>
      <w:tr w14:paraId="6EAE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2A9B0A7E">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774FDDD1">
            <w:pPr>
              <w:spacing w:line="400" w:lineRule="exact"/>
              <w:rPr>
                <w:rFonts w:cs="华文仿宋" w:asciiTheme="minorEastAsia" w:hAnsiTheme="minorEastAsia" w:eastAsiaTheme="minorEastAsia"/>
                <w:color w:val="000000" w:themeColor="text1"/>
                <w:sz w:val="28"/>
                <w:szCs w:val="28"/>
              </w:rPr>
            </w:pPr>
          </w:p>
        </w:tc>
        <w:tc>
          <w:tcPr>
            <w:tcW w:w="2835" w:type="dxa"/>
          </w:tcPr>
          <w:p w14:paraId="46DBF60E">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5E2617F8">
            <w:pPr>
              <w:spacing w:line="400" w:lineRule="exact"/>
              <w:rPr>
                <w:rFonts w:cs="华文仿宋" w:asciiTheme="minorEastAsia" w:hAnsiTheme="minorEastAsia" w:eastAsiaTheme="minorEastAsia"/>
                <w:color w:val="000000" w:themeColor="text1"/>
                <w:sz w:val="28"/>
                <w:szCs w:val="28"/>
              </w:rPr>
            </w:pPr>
          </w:p>
        </w:tc>
      </w:tr>
      <w:tr w14:paraId="3E7B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7D065D0B">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632DD7E0">
            <w:pPr>
              <w:spacing w:line="400" w:lineRule="exact"/>
              <w:rPr>
                <w:rFonts w:cs="华文仿宋" w:asciiTheme="minorEastAsia" w:hAnsiTheme="minorEastAsia" w:eastAsiaTheme="minorEastAsia"/>
                <w:color w:val="000000" w:themeColor="text1"/>
                <w:sz w:val="28"/>
                <w:szCs w:val="28"/>
              </w:rPr>
            </w:pPr>
          </w:p>
        </w:tc>
        <w:tc>
          <w:tcPr>
            <w:tcW w:w="2835" w:type="dxa"/>
          </w:tcPr>
          <w:p w14:paraId="1A6737F1">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0E227E89">
            <w:pPr>
              <w:spacing w:line="400" w:lineRule="exact"/>
              <w:rPr>
                <w:rFonts w:cs="华文仿宋" w:asciiTheme="minorEastAsia" w:hAnsiTheme="minorEastAsia" w:eastAsiaTheme="minorEastAsia"/>
                <w:color w:val="000000" w:themeColor="text1"/>
                <w:sz w:val="28"/>
                <w:szCs w:val="28"/>
              </w:rPr>
            </w:pPr>
          </w:p>
        </w:tc>
      </w:tr>
      <w:tr w14:paraId="328B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1CFC5143">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46D72E17">
            <w:pPr>
              <w:spacing w:line="400" w:lineRule="exact"/>
              <w:rPr>
                <w:rFonts w:cs="华文仿宋" w:asciiTheme="minorEastAsia" w:hAnsiTheme="minorEastAsia" w:eastAsiaTheme="minorEastAsia"/>
                <w:color w:val="000000" w:themeColor="text1"/>
                <w:sz w:val="28"/>
                <w:szCs w:val="28"/>
              </w:rPr>
            </w:pPr>
          </w:p>
        </w:tc>
        <w:tc>
          <w:tcPr>
            <w:tcW w:w="2835" w:type="dxa"/>
          </w:tcPr>
          <w:p w14:paraId="006491FE">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7F20F4F9">
            <w:pPr>
              <w:spacing w:line="400" w:lineRule="exact"/>
              <w:rPr>
                <w:rFonts w:cs="华文仿宋" w:asciiTheme="minorEastAsia" w:hAnsiTheme="minorEastAsia" w:eastAsiaTheme="minorEastAsia"/>
                <w:color w:val="000000" w:themeColor="text1"/>
                <w:sz w:val="28"/>
                <w:szCs w:val="28"/>
              </w:rPr>
            </w:pPr>
          </w:p>
        </w:tc>
      </w:tr>
      <w:tr w14:paraId="699A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716EDB60">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1C7D62F3">
            <w:pPr>
              <w:spacing w:line="400" w:lineRule="exact"/>
              <w:rPr>
                <w:rFonts w:cs="华文仿宋" w:asciiTheme="minorEastAsia" w:hAnsiTheme="minorEastAsia" w:eastAsiaTheme="minorEastAsia"/>
                <w:color w:val="000000" w:themeColor="text1"/>
                <w:sz w:val="28"/>
                <w:szCs w:val="28"/>
              </w:rPr>
            </w:pPr>
          </w:p>
        </w:tc>
        <w:tc>
          <w:tcPr>
            <w:tcW w:w="2835" w:type="dxa"/>
          </w:tcPr>
          <w:p w14:paraId="5C750AB6">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0CB4782B">
            <w:pPr>
              <w:spacing w:line="400" w:lineRule="exact"/>
              <w:rPr>
                <w:rFonts w:cs="华文仿宋" w:asciiTheme="minorEastAsia" w:hAnsiTheme="minorEastAsia" w:eastAsiaTheme="minorEastAsia"/>
                <w:color w:val="000000" w:themeColor="text1"/>
                <w:sz w:val="28"/>
                <w:szCs w:val="28"/>
              </w:rPr>
            </w:pPr>
          </w:p>
        </w:tc>
      </w:tr>
    </w:tbl>
    <w:p w14:paraId="28698A54">
      <w:pPr>
        <w:tabs>
          <w:tab w:val="left" w:pos="1815"/>
        </w:tabs>
        <w:snapToGrid w:val="0"/>
        <w:rPr>
          <w:rFonts w:cs="华文仿宋" w:asciiTheme="minorEastAsia" w:hAnsiTheme="minorEastAsia" w:eastAsiaTheme="minorEastAsia"/>
          <w:color w:val="000000" w:themeColor="text1"/>
          <w:sz w:val="28"/>
          <w:szCs w:val="28"/>
        </w:rPr>
      </w:pPr>
    </w:p>
    <w:p w14:paraId="4DB8A679">
      <w:pPr>
        <w:tabs>
          <w:tab w:val="left" w:pos="1815"/>
        </w:tabs>
        <w:snapToGrid w:val="0"/>
        <w:rPr>
          <w:rFonts w:cs="华文仿宋" w:asciiTheme="minorEastAsia" w:hAnsiTheme="minorEastAsia" w:eastAsiaTheme="minorEastAsia"/>
          <w:color w:val="000000" w:themeColor="text1"/>
          <w:sz w:val="28"/>
          <w:szCs w:val="28"/>
        </w:rPr>
      </w:pPr>
    </w:p>
    <w:p w14:paraId="22E6DE2B">
      <w:pPr>
        <w:tabs>
          <w:tab w:val="left" w:pos="1815"/>
        </w:tabs>
        <w:snapToGrid w:val="0"/>
        <w:rPr>
          <w:rFonts w:cs="华文仿宋" w:asciiTheme="minorEastAsia" w:hAnsiTheme="minorEastAsia" w:eastAsiaTheme="minorEastAsia"/>
          <w:bCs/>
          <w:color w:val="000000" w:themeColor="text1"/>
          <w:sz w:val="28"/>
          <w:szCs w:val="28"/>
        </w:rPr>
      </w:pPr>
      <w:r>
        <w:rPr>
          <w:rFonts w:hint="eastAsia" w:cs="华文仿宋" w:asciiTheme="minorEastAsia" w:hAnsiTheme="minorEastAsia" w:eastAsiaTheme="minorEastAsia"/>
          <w:color w:val="000000" w:themeColor="text1"/>
          <w:sz w:val="28"/>
          <w:szCs w:val="28"/>
        </w:rPr>
        <w:t>2）维修服务团队人员名单表</w:t>
      </w:r>
    </w:p>
    <w:tbl>
      <w:tblPr>
        <w:tblStyle w:val="4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690"/>
        <w:gridCol w:w="2835"/>
        <w:gridCol w:w="2126"/>
      </w:tblGrid>
      <w:tr w14:paraId="005C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6F643250">
            <w:pPr>
              <w:spacing w:line="400" w:lineRule="exact"/>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序号</w:t>
            </w:r>
          </w:p>
        </w:tc>
        <w:tc>
          <w:tcPr>
            <w:tcW w:w="2690" w:type="dxa"/>
            <w:vAlign w:val="center"/>
          </w:tcPr>
          <w:p w14:paraId="0806D463">
            <w:pPr>
              <w:spacing w:line="400" w:lineRule="exact"/>
              <w:ind w:left="103" w:leftChars="49"/>
              <w:jc w:val="center"/>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姓名</w:t>
            </w:r>
          </w:p>
        </w:tc>
        <w:tc>
          <w:tcPr>
            <w:tcW w:w="2835" w:type="dxa"/>
          </w:tcPr>
          <w:p w14:paraId="1C14496C">
            <w:pPr>
              <w:spacing w:line="400" w:lineRule="exact"/>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团队人员类别或岗位</w:t>
            </w:r>
          </w:p>
        </w:tc>
        <w:tc>
          <w:tcPr>
            <w:tcW w:w="2126" w:type="dxa"/>
            <w:vAlign w:val="center"/>
          </w:tcPr>
          <w:p w14:paraId="0C204004">
            <w:pPr>
              <w:spacing w:line="400" w:lineRule="exact"/>
              <w:jc w:val="center"/>
              <w:rPr>
                <w:rFonts w:cs="华文仿宋" w:asciiTheme="minorEastAsia" w:hAnsiTheme="minorEastAsia" w:eastAsiaTheme="minorEastAsia"/>
                <w:color w:val="000000" w:themeColor="text1"/>
                <w:sz w:val="28"/>
                <w:szCs w:val="28"/>
              </w:rPr>
            </w:pPr>
            <w:r>
              <w:rPr>
                <w:rFonts w:hint="eastAsia" w:cs="华文仿宋" w:asciiTheme="minorEastAsia" w:hAnsiTheme="minorEastAsia" w:eastAsiaTheme="minorEastAsia"/>
                <w:color w:val="000000" w:themeColor="text1"/>
                <w:sz w:val="28"/>
                <w:szCs w:val="28"/>
              </w:rPr>
              <w:t>联系电话</w:t>
            </w:r>
          </w:p>
        </w:tc>
      </w:tr>
      <w:tr w14:paraId="563E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02E41DFF">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1A12BD63">
            <w:pPr>
              <w:spacing w:line="400" w:lineRule="exact"/>
              <w:rPr>
                <w:rFonts w:cs="华文仿宋" w:asciiTheme="minorEastAsia" w:hAnsiTheme="minorEastAsia" w:eastAsiaTheme="minorEastAsia"/>
                <w:color w:val="000000" w:themeColor="text1"/>
                <w:sz w:val="28"/>
                <w:szCs w:val="28"/>
              </w:rPr>
            </w:pPr>
          </w:p>
        </w:tc>
        <w:tc>
          <w:tcPr>
            <w:tcW w:w="2835" w:type="dxa"/>
          </w:tcPr>
          <w:p w14:paraId="2BF36878">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0839AF8E">
            <w:pPr>
              <w:spacing w:line="400" w:lineRule="exact"/>
              <w:rPr>
                <w:rFonts w:cs="华文仿宋" w:asciiTheme="minorEastAsia" w:hAnsiTheme="minorEastAsia" w:eastAsiaTheme="minorEastAsia"/>
                <w:color w:val="000000" w:themeColor="text1"/>
                <w:sz w:val="28"/>
                <w:szCs w:val="28"/>
              </w:rPr>
            </w:pPr>
          </w:p>
        </w:tc>
      </w:tr>
      <w:tr w14:paraId="31B1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2E0C493B">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3FD1FE06">
            <w:pPr>
              <w:spacing w:line="400" w:lineRule="exact"/>
              <w:rPr>
                <w:rFonts w:cs="华文仿宋" w:asciiTheme="minorEastAsia" w:hAnsiTheme="minorEastAsia" w:eastAsiaTheme="minorEastAsia"/>
                <w:color w:val="000000" w:themeColor="text1"/>
                <w:sz w:val="28"/>
                <w:szCs w:val="28"/>
              </w:rPr>
            </w:pPr>
          </w:p>
        </w:tc>
        <w:tc>
          <w:tcPr>
            <w:tcW w:w="2835" w:type="dxa"/>
          </w:tcPr>
          <w:p w14:paraId="30D10128">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51026609">
            <w:pPr>
              <w:spacing w:line="400" w:lineRule="exact"/>
              <w:rPr>
                <w:rFonts w:cs="华文仿宋" w:asciiTheme="minorEastAsia" w:hAnsiTheme="minorEastAsia" w:eastAsiaTheme="minorEastAsia"/>
                <w:color w:val="000000" w:themeColor="text1"/>
                <w:sz w:val="28"/>
                <w:szCs w:val="28"/>
              </w:rPr>
            </w:pPr>
          </w:p>
        </w:tc>
      </w:tr>
      <w:tr w14:paraId="5A1A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0D305C36">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23E2D79B">
            <w:pPr>
              <w:spacing w:line="400" w:lineRule="exact"/>
              <w:rPr>
                <w:rFonts w:cs="华文仿宋" w:asciiTheme="minorEastAsia" w:hAnsiTheme="minorEastAsia" w:eastAsiaTheme="minorEastAsia"/>
                <w:color w:val="000000" w:themeColor="text1"/>
                <w:sz w:val="28"/>
                <w:szCs w:val="28"/>
              </w:rPr>
            </w:pPr>
          </w:p>
        </w:tc>
        <w:tc>
          <w:tcPr>
            <w:tcW w:w="2835" w:type="dxa"/>
          </w:tcPr>
          <w:p w14:paraId="42CE95BB">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7085C277">
            <w:pPr>
              <w:spacing w:line="400" w:lineRule="exact"/>
              <w:rPr>
                <w:rFonts w:cs="华文仿宋" w:asciiTheme="minorEastAsia" w:hAnsiTheme="minorEastAsia" w:eastAsiaTheme="minorEastAsia"/>
                <w:color w:val="000000" w:themeColor="text1"/>
                <w:sz w:val="28"/>
                <w:szCs w:val="28"/>
              </w:rPr>
            </w:pPr>
          </w:p>
        </w:tc>
      </w:tr>
      <w:tr w14:paraId="4CFE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61F9B889">
            <w:pPr>
              <w:spacing w:line="400" w:lineRule="exact"/>
              <w:rPr>
                <w:rFonts w:cs="华文仿宋" w:asciiTheme="minorEastAsia" w:hAnsiTheme="minorEastAsia" w:eastAsiaTheme="minorEastAsia"/>
                <w:color w:val="000000" w:themeColor="text1"/>
                <w:sz w:val="28"/>
                <w:szCs w:val="28"/>
              </w:rPr>
            </w:pPr>
          </w:p>
        </w:tc>
        <w:tc>
          <w:tcPr>
            <w:tcW w:w="2690" w:type="dxa"/>
            <w:vAlign w:val="center"/>
          </w:tcPr>
          <w:p w14:paraId="490A551B">
            <w:pPr>
              <w:spacing w:line="400" w:lineRule="exact"/>
              <w:rPr>
                <w:rFonts w:cs="华文仿宋" w:asciiTheme="minorEastAsia" w:hAnsiTheme="minorEastAsia" w:eastAsiaTheme="minorEastAsia"/>
                <w:color w:val="000000" w:themeColor="text1"/>
                <w:sz w:val="28"/>
                <w:szCs w:val="28"/>
              </w:rPr>
            </w:pPr>
          </w:p>
        </w:tc>
        <w:tc>
          <w:tcPr>
            <w:tcW w:w="2835" w:type="dxa"/>
          </w:tcPr>
          <w:p w14:paraId="28137244">
            <w:pPr>
              <w:spacing w:line="400" w:lineRule="exact"/>
              <w:rPr>
                <w:rFonts w:cs="华文仿宋" w:asciiTheme="minorEastAsia" w:hAnsiTheme="minorEastAsia" w:eastAsiaTheme="minorEastAsia"/>
                <w:color w:val="000000" w:themeColor="text1"/>
                <w:sz w:val="28"/>
                <w:szCs w:val="28"/>
              </w:rPr>
            </w:pPr>
          </w:p>
        </w:tc>
        <w:tc>
          <w:tcPr>
            <w:tcW w:w="2126" w:type="dxa"/>
            <w:vAlign w:val="center"/>
          </w:tcPr>
          <w:p w14:paraId="1A9F228E">
            <w:pPr>
              <w:spacing w:line="400" w:lineRule="exact"/>
              <w:rPr>
                <w:rFonts w:cs="华文仿宋" w:asciiTheme="minorEastAsia" w:hAnsiTheme="minorEastAsia" w:eastAsiaTheme="minorEastAsia"/>
                <w:color w:val="000000" w:themeColor="text1"/>
                <w:sz w:val="28"/>
                <w:szCs w:val="28"/>
              </w:rPr>
            </w:pPr>
          </w:p>
        </w:tc>
      </w:tr>
    </w:tbl>
    <w:p w14:paraId="277EB6BA">
      <w:pPr>
        <w:pStyle w:val="89"/>
        <w:ind w:firstLine="0" w:firstLineChars="0"/>
        <w:rPr>
          <w:rFonts w:asciiTheme="minorEastAsia" w:hAnsiTheme="minorEastAsia" w:eastAsiaTheme="minorEastAsia"/>
          <w:b w:val="0"/>
          <w:bCs w:val="0"/>
          <w:color w:val="000000" w:themeColor="text1"/>
        </w:rPr>
      </w:pPr>
      <w:r>
        <w:rPr>
          <w:rFonts w:asciiTheme="minorEastAsia" w:hAnsiTheme="minorEastAsia" w:eastAsiaTheme="minorEastAsia"/>
          <w:b w:val="0"/>
          <w:bCs w:val="0"/>
          <w:color w:val="000000" w:themeColor="text1"/>
        </w:rPr>
        <w:t>备注：</w:t>
      </w:r>
      <w:r>
        <w:rPr>
          <w:rFonts w:hint="eastAsia" w:asciiTheme="minorEastAsia" w:hAnsiTheme="minorEastAsia" w:eastAsiaTheme="minorEastAsia"/>
          <w:b w:val="0"/>
          <w:bCs w:val="0"/>
          <w:color w:val="000000" w:themeColor="text1"/>
        </w:rPr>
        <w:t>维修服务团队人员需提供身份证明扫描件</w:t>
      </w:r>
    </w:p>
    <w:p w14:paraId="7C3C1C6E">
      <w:pPr>
        <w:pStyle w:val="89"/>
        <w:ind w:firstLine="0" w:firstLineChars="0"/>
        <w:rPr>
          <w:rFonts w:ascii="宋体" w:hAnsi="宋体"/>
          <w:b w:val="0"/>
          <w:bCs w:val="0"/>
          <w:color w:val="000000" w:themeColor="text1"/>
        </w:rPr>
      </w:pPr>
    </w:p>
    <w:p w14:paraId="631457A2">
      <w:pPr>
        <w:pStyle w:val="89"/>
        <w:ind w:firstLine="0" w:firstLineChars="0"/>
        <w:rPr>
          <w:rFonts w:ascii="宋体" w:hAnsi="宋体"/>
          <w:b w:val="0"/>
          <w:bCs w:val="0"/>
          <w:color w:val="000000" w:themeColor="text1"/>
        </w:rPr>
      </w:pPr>
    </w:p>
    <w:p w14:paraId="5B040964">
      <w:pPr>
        <w:wordWrap w:val="0"/>
        <w:rPr>
          <w:rFonts w:ascii="宋体" w:hAnsi="宋体" w:cs="华文仿宋"/>
          <w:color w:val="000000" w:themeColor="text1"/>
          <w:sz w:val="28"/>
          <w:szCs w:val="28"/>
        </w:rPr>
      </w:pPr>
    </w:p>
    <w:p w14:paraId="1719A7C3">
      <w:pPr>
        <w:wordWrap w:val="0"/>
        <w:rPr>
          <w:rFonts w:ascii="宋体" w:hAnsi="宋体" w:cs="华文仿宋"/>
          <w:color w:val="000000" w:themeColor="text1"/>
          <w:sz w:val="28"/>
          <w:szCs w:val="28"/>
        </w:rPr>
      </w:pPr>
    </w:p>
    <w:p w14:paraId="311ED816">
      <w:pPr>
        <w:pStyle w:val="89"/>
        <w:ind w:firstLine="0" w:firstLineChars="0"/>
        <w:rPr>
          <w:rFonts w:ascii="宋体" w:hAnsi="宋体"/>
          <w:b w:val="0"/>
          <w:bCs w:val="0"/>
          <w:color w:val="000000" w:themeColor="text1"/>
        </w:rPr>
      </w:pPr>
      <w:bookmarkStart w:id="170" w:name="_Toc393705369"/>
      <w:bookmarkStart w:id="171" w:name="_Toc400805873"/>
    </w:p>
    <w:p w14:paraId="672A1894">
      <w:pPr>
        <w:pStyle w:val="89"/>
        <w:ind w:firstLine="0" w:firstLineChars="0"/>
        <w:rPr>
          <w:rFonts w:ascii="宋体" w:hAnsi="宋体"/>
          <w:b w:val="0"/>
          <w:bCs w:val="0"/>
          <w:color w:val="000000" w:themeColor="text1"/>
        </w:rPr>
      </w:pPr>
      <w:r>
        <w:rPr>
          <w:rFonts w:hint="eastAsia" w:ascii="宋体" w:hAnsi="宋体"/>
          <w:b w:val="0"/>
          <w:bCs w:val="0"/>
          <w:color w:val="000000" w:themeColor="text1"/>
        </w:rPr>
        <w:t>6、中小企业材料</w:t>
      </w:r>
    </w:p>
    <w:p w14:paraId="6F97C3DA">
      <w:pPr>
        <w:pStyle w:val="90"/>
        <w:wordWrap w:val="0"/>
        <w:spacing w:line="432" w:lineRule="auto"/>
        <w:ind w:firstLine="560" w:firstLineChars="200"/>
        <w:jc w:val="both"/>
        <w:rPr>
          <w:color w:val="000000" w:themeColor="text1"/>
          <w:sz w:val="28"/>
          <w:szCs w:val="28"/>
        </w:rPr>
      </w:pPr>
      <w:r>
        <w:rPr>
          <w:rFonts w:hint="eastAsia"/>
          <w:color w:val="000000" w:themeColor="text1"/>
          <w:sz w:val="28"/>
          <w:szCs w:val="28"/>
        </w:rPr>
        <w:t>依据《政府采购促进中小企业发展管理办法》（财库</w:t>
      </w:r>
      <w:r>
        <w:rPr>
          <w:color w:val="000000" w:themeColor="text1"/>
          <w:sz w:val="28"/>
          <w:szCs w:val="28"/>
        </w:rPr>
        <w:t>〔2020〕</w:t>
      </w:r>
      <w:r>
        <w:rPr>
          <w:rFonts w:hint="eastAsia"/>
          <w:color w:val="000000" w:themeColor="text1"/>
          <w:sz w:val="28"/>
          <w:szCs w:val="28"/>
        </w:rPr>
        <w:t>46号），</w:t>
      </w:r>
      <w:r>
        <w:rPr>
          <w:color w:val="000000" w:themeColor="text1"/>
          <w:sz w:val="28"/>
          <w:szCs w:val="28"/>
        </w:rPr>
        <w:t>在政府采购活动中，供应商提供的货物、工程或者服务符合下列情形的，享受本办法规定的中小企业扶持政策：</w:t>
      </w:r>
    </w:p>
    <w:p w14:paraId="36E44385">
      <w:pPr>
        <w:pStyle w:val="90"/>
        <w:wordWrap w:val="0"/>
        <w:spacing w:line="432" w:lineRule="auto"/>
        <w:ind w:firstLine="420" w:firstLineChars="150"/>
        <w:jc w:val="both"/>
        <w:rPr>
          <w:color w:val="000000" w:themeColor="text1"/>
          <w:sz w:val="28"/>
          <w:szCs w:val="28"/>
        </w:rPr>
      </w:pPr>
      <w:r>
        <w:rPr>
          <w:color w:val="000000" w:themeColor="text1"/>
          <w:sz w:val="28"/>
          <w:szCs w:val="28"/>
        </w:rPr>
        <w:t>（</w:t>
      </w:r>
      <w:r>
        <w:rPr>
          <w:rFonts w:hint="eastAsia"/>
          <w:color w:val="000000" w:themeColor="text1"/>
          <w:sz w:val="28"/>
          <w:szCs w:val="28"/>
        </w:rPr>
        <w:t>一</w:t>
      </w:r>
      <w:r>
        <w:rPr>
          <w:color w:val="000000" w:themeColor="text1"/>
          <w:sz w:val="28"/>
          <w:szCs w:val="28"/>
        </w:rPr>
        <w:t>）</w:t>
      </w:r>
      <w:r>
        <w:rPr>
          <w:rFonts w:hint="eastAsia"/>
          <w:color w:val="000000" w:themeColor="text1"/>
          <w:sz w:val="28"/>
          <w:szCs w:val="28"/>
        </w:rPr>
        <w:t>、</w:t>
      </w:r>
      <w:r>
        <w:rPr>
          <w:color w:val="000000" w:themeColor="text1"/>
          <w:sz w:val="28"/>
          <w:szCs w:val="28"/>
        </w:rPr>
        <w:t>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r>
        <w:rPr>
          <w:color w:val="000000" w:themeColor="text1"/>
          <w:sz w:val="28"/>
          <w:szCs w:val="28"/>
        </w:rPr>
        <w:br w:type="textWrapping"/>
      </w:r>
      <w:r>
        <w:rPr>
          <w:rFonts w:hint="eastAsia"/>
          <w:color w:val="000000" w:themeColor="text1"/>
          <w:sz w:val="28"/>
          <w:szCs w:val="28"/>
        </w:rPr>
        <w:t xml:space="preserve">    </w:t>
      </w:r>
      <w:r>
        <w:rPr>
          <w:color w:val="000000" w:themeColor="text1"/>
          <w:sz w:val="28"/>
          <w:szCs w:val="28"/>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44BC957F">
      <w:pPr>
        <w:pStyle w:val="90"/>
        <w:wordWrap w:val="0"/>
        <w:spacing w:line="432" w:lineRule="auto"/>
        <w:jc w:val="both"/>
        <w:rPr>
          <w:color w:val="000000" w:themeColor="text1"/>
          <w:sz w:val="28"/>
          <w:szCs w:val="28"/>
        </w:rPr>
      </w:pPr>
      <w:r>
        <w:rPr>
          <w:rFonts w:hint="eastAsia"/>
          <w:color w:val="000000" w:themeColor="text1"/>
          <w:sz w:val="28"/>
          <w:szCs w:val="28"/>
        </w:rPr>
        <w:t>本项目将</w:t>
      </w:r>
      <w:r>
        <w:rPr>
          <w:color w:val="000000" w:themeColor="text1"/>
          <w:sz w:val="28"/>
          <w:szCs w:val="28"/>
        </w:rPr>
        <w:t>对排名第一的</w:t>
      </w:r>
      <w:r>
        <w:rPr>
          <w:rFonts w:hint="eastAsia"/>
          <w:color w:val="000000" w:themeColor="text1"/>
          <w:sz w:val="28"/>
          <w:szCs w:val="28"/>
        </w:rPr>
        <w:t>入围</w:t>
      </w:r>
      <w:r>
        <w:rPr>
          <w:color w:val="000000" w:themeColor="text1"/>
          <w:sz w:val="28"/>
          <w:szCs w:val="28"/>
        </w:rPr>
        <w:t>候选人提供的中小企业</w:t>
      </w:r>
      <w:r>
        <w:rPr>
          <w:rFonts w:hint="eastAsia"/>
          <w:color w:val="000000" w:themeColor="text1"/>
          <w:sz w:val="28"/>
          <w:szCs w:val="28"/>
        </w:rPr>
        <w:t>证明材料</w:t>
      </w:r>
      <w:r>
        <w:rPr>
          <w:color w:val="000000" w:themeColor="text1"/>
          <w:sz w:val="28"/>
          <w:szCs w:val="28"/>
        </w:rPr>
        <w:t>，随评审结果一并公示。</w:t>
      </w:r>
      <w:r>
        <w:rPr>
          <w:rFonts w:hint="eastAsia"/>
          <w:color w:val="000000" w:themeColor="text1"/>
          <w:sz w:val="28"/>
          <w:szCs w:val="28"/>
        </w:rPr>
        <w:t>如涉嫌造假，将由监管部门按相关规定进行处理。</w:t>
      </w:r>
    </w:p>
    <w:p w14:paraId="319C3325">
      <w:pPr>
        <w:spacing w:line="560" w:lineRule="exact"/>
        <w:ind w:firstLine="161" w:firstLineChars="50"/>
        <w:rPr>
          <w:rFonts w:ascii="黑体" w:hAnsi="黑体" w:eastAsia="黑体"/>
          <w:b/>
          <w:color w:val="000000" w:themeColor="text1"/>
          <w:sz w:val="32"/>
          <w:szCs w:val="32"/>
        </w:rPr>
      </w:pPr>
    </w:p>
    <w:p w14:paraId="22D44117">
      <w:pPr>
        <w:spacing w:line="560" w:lineRule="exact"/>
        <w:ind w:firstLine="161" w:firstLineChars="50"/>
        <w:rPr>
          <w:rFonts w:ascii="黑体" w:hAnsi="黑体" w:eastAsia="黑体"/>
          <w:b/>
          <w:color w:val="000000" w:themeColor="text1"/>
          <w:sz w:val="32"/>
          <w:szCs w:val="32"/>
        </w:rPr>
      </w:pPr>
    </w:p>
    <w:p w14:paraId="57BC8FE7">
      <w:pPr>
        <w:spacing w:line="560" w:lineRule="exact"/>
        <w:rPr>
          <w:rFonts w:ascii="黑体" w:hAnsi="黑体" w:eastAsia="黑体"/>
          <w:b/>
          <w:color w:val="000000" w:themeColor="text1"/>
          <w:sz w:val="32"/>
          <w:szCs w:val="32"/>
        </w:rPr>
      </w:pPr>
    </w:p>
    <w:p w14:paraId="3F96A66E">
      <w:pPr>
        <w:spacing w:line="560" w:lineRule="exact"/>
        <w:rPr>
          <w:rFonts w:ascii="黑体" w:hAnsi="黑体" w:eastAsia="黑体"/>
          <w:b/>
          <w:color w:val="000000" w:themeColor="text1"/>
          <w:sz w:val="32"/>
          <w:szCs w:val="32"/>
        </w:rPr>
      </w:pPr>
    </w:p>
    <w:p w14:paraId="1A44064D">
      <w:pPr>
        <w:spacing w:line="560" w:lineRule="exact"/>
        <w:rPr>
          <w:rFonts w:ascii="黑体" w:hAnsi="黑体" w:eastAsia="黑体"/>
          <w:b/>
          <w:color w:val="000000" w:themeColor="text1"/>
          <w:sz w:val="32"/>
          <w:szCs w:val="32"/>
        </w:rPr>
      </w:pPr>
    </w:p>
    <w:p w14:paraId="315C5E43">
      <w:pPr>
        <w:spacing w:line="560" w:lineRule="exact"/>
        <w:rPr>
          <w:rFonts w:ascii="黑体" w:hAnsi="黑体" w:eastAsia="黑体"/>
          <w:b/>
          <w:color w:val="000000" w:themeColor="text1"/>
          <w:sz w:val="32"/>
          <w:szCs w:val="32"/>
        </w:rPr>
      </w:pPr>
    </w:p>
    <w:p w14:paraId="7E753375">
      <w:pPr>
        <w:spacing w:line="560" w:lineRule="exact"/>
        <w:rPr>
          <w:rFonts w:ascii="黑体" w:hAnsi="黑体" w:eastAsia="黑体"/>
          <w:b/>
          <w:color w:val="000000" w:themeColor="text1"/>
          <w:sz w:val="32"/>
          <w:szCs w:val="32"/>
        </w:rPr>
      </w:pPr>
    </w:p>
    <w:p w14:paraId="779F4261">
      <w:pPr>
        <w:spacing w:line="560" w:lineRule="exact"/>
        <w:rPr>
          <w:rFonts w:ascii="黑体" w:hAnsi="黑体" w:eastAsia="黑体"/>
          <w:b/>
          <w:color w:val="000000" w:themeColor="text1"/>
          <w:sz w:val="32"/>
          <w:szCs w:val="32"/>
        </w:rPr>
      </w:pPr>
    </w:p>
    <w:p w14:paraId="37453EF9">
      <w:pPr>
        <w:spacing w:line="560" w:lineRule="exact"/>
        <w:rPr>
          <w:rFonts w:ascii="黑体" w:hAnsi="黑体" w:eastAsia="黑体"/>
          <w:b/>
          <w:color w:val="000000" w:themeColor="text1"/>
          <w:sz w:val="32"/>
          <w:szCs w:val="32"/>
        </w:rPr>
      </w:pPr>
    </w:p>
    <w:p w14:paraId="71BA5BCF">
      <w:pPr>
        <w:spacing w:line="560" w:lineRule="exact"/>
        <w:ind w:firstLine="140" w:firstLineChars="50"/>
        <w:rPr>
          <w:rFonts w:ascii="宋体" w:hAnsi="宋体" w:cs="宋体"/>
          <w:color w:val="000000" w:themeColor="text1"/>
          <w:kern w:val="0"/>
          <w:sz w:val="28"/>
          <w:szCs w:val="28"/>
        </w:rPr>
      </w:pPr>
      <w:r>
        <w:rPr>
          <w:rFonts w:hint="eastAsia" w:ascii="宋体" w:hAnsi="宋体" w:cs="宋体"/>
          <w:color w:val="000000" w:themeColor="text1"/>
          <w:kern w:val="0"/>
          <w:sz w:val="28"/>
          <w:szCs w:val="28"/>
        </w:rPr>
        <w:t>附:</w:t>
      </w:r>
    </w:p>
    <w:p w14:paraId="22C86945">
      <w:pPr>
        <w:ind w:firstLine="2800" w:firstLineChars="1000"/>
        <w:rPr>
          <w:rFonts w:ascii="宋体" w:hAnsi="宋体" w:cs="华文仿宋"/>
          <w:color w:val="000000" w:themeColor="text1"/>
          <w:sz w:val="28"/>
          <w:szCs w:val="28"/>
        </w:rPr>
      </w:pPr>
      <w:r>
        <w:rPr>
          <w:rFonts w:hint="eastAsia" w:ascii="宋体" w:hAnsi="宋体" w:cs="华文仿宋"/>
          <w:color w:val="000000" w:themeColor="text1"/>
          <w:sz w:val="28"/>
          <w:szCs w:val="28"/>
        </w:rPr>
        <w:t xml:space="preserve">  中小企业声明函（服务）</w:t>
      </w:r>
    </w:p>
    <w:p w14:paraId="5C2A50C2">
      <w:pPr>
        <w:pStyle w:val="89"/>
        <w:ind w:firstLine="840" w:firstLineChars="300"/>
        <w:rPr>
          <w:rFonts w:ascii="宋体" w:hAnsi="宋体" w:cs="宋体"/>
          <w:b w:val="0"/>
          <w:bCs w:val="0"/>
          <w:color w:val="000000" w:themeColor="text1"/>
        </w:rPr>
      </w:pPr>
      <w:r>
        <w:rPr>
          <w:rFonts w:hint="eastAsia" w:ascii="宋体" w:hAnsi="宋体"/>
          <w:b w:val="0"/>
          <w:bCs w:val="0"/>
          <w:color w:val="000000" w:themeColor="text1"/>
        </w:rPr>
        <w:t>本公司（联合体）郑重声明，根据《政府采购促进中小企业发展管理办法》（财库</w:t>
      </w:r>
      <w:r>
        <w:rPr>
          <w:color w:val="000000" w:themeColor="text1"/>
        </w:rPr>
        <w:t>〔2020〕</w:t>
      </w:r>
      <w:r>
        <w:rPr>
          <w:rFonts w:hint="eastAsia" w:ascii="宋体" w:hAnsi="宋体"/>
          <w:b w:val="0"/>
          <w:bCs w:val="0"/>
          <w:color w:val="000000" w:themeColor="text1"/>
        </w:rPr>
        <w:t>46号）的规定，本公司（联合体）参加</w:t>
      </w:r>
      <w:r>
        <w:rPr>
          <w:rFonts w:hint="eastAsia" w:ascii="宋体" w:hAnsi="宋体"/>
          <w:b w:val="0"/>
          <w:bCs w:val="0"/>
          <w:iCs/>
          <w:color w:val="000000" w:themeColor="text1"/>
          <w:u w:val="single"/>
        </w:rPr>
        <w:t>（单位名称）</w:t>
      </w:r>
      <w:r>
        <w:rPr>
          <w:rFonts w:hint="eastAsia" w:ascii="宋体" w:hAnsi="宋体"/>
          <w:b w:val="0"/>
          <w:bCs w:val="0"/>
          <w:color w:val="000000" w:themeColor="text1"/>
        </w:rPr>
        <w:t>的</w:t>
      </w:r>
      <w:r>
        <w:rPr>
          <w:rFonts w:hint="eastAsia" w:ascii="宋体" w:hAnsi="宋体"/>
          <w:b w:val="0"/>
          <w:bCs w:val="0"/>
          <w:color w:val="000000" w:themeColor="text1"/>
          <w:u w:val="single"/>
        </w:rPr>
        <w:t>（</w:t>
      </w:r>
      <w:r>
        <w:rPr>
          <w:rFonts w:hint="eastAsia" w:ascii="宋体" w:hAnsi="宋体"/>
          <w:b w:val="0"/>
          <w:bCs w:val="0"/>
          <w:iCs/>
          <w:color w:val="000000" w:themeColor="text1"/>
          <w:u w:val="single"/>
        </w:rPr>
        <w:t>项目名称</w:t>
      </w:r>
      <w:r>
        <w:rPr>
          <w:rFonts w:hint="eastAsia" w:ascii="宋体" w:hAnsi="宋体"/>
          <w:b w:val="0"/>
          <w:bCs w:val="0"/>
          <w:color w:val="000000" w:themeColor="text1"/>
          <w:u w:val="single"/>
        </w:rPr>
        <w:t>）</w:t>
      </w:r>
      <w:r>
        <w:rPr>
          <w:rFonts w:hint="eastAsia" w:ascii="宋体" w:hAnsi="宋体"/>
          <w:b w:val="0"/>
          <w:bCs w:val="0"/>
          <w:color w:val="000000" w:themeColor="text1"/>
        </w:rPr>
        <w:t>采购活动，服务全部由符合政策要求的中小企业承接。相关企业（含联合体中的中小企业</w:t>
      </w:r>
      <w:r>
        <w:rPr>
          <w:rFonts w:hint="eastAsia" w:ascii="宋体" w:hAnsi="宋体" w:cs="宋体"/>
          <w:b w:val="0"/>
          <w:bCs w:val="0"/>
          <w:color w:val="000000" w:themeColor="text1"/>
        </w:rPr>
        <w:t>、签订分包意向协议的中小企业）的具体情况如下：</w:t>
      </w:r>
    </w:p>
    <w:p w14:paraId="10DF3AB8">
      <w:pPr>
        <w:pStyle w:val="89"/>
        <w:numPr>
          <w:ilvl w:val="0"/>
          <w:numId w:val="8"/>
        </w:numPr>
        <w:ind w:firstLine="840" w:firstLineChars="300"/>
        <w:rPr>
          <w:rFonts w:ascii="宋体" w:hAnsi="宋体" w:cs="宋体"/>
          <w:b w:val="0"/>
          <w:bCs w:val="0"/>
          <w:iCs/>
          <w:color w:val="000000" w:themeColor="text1"/>
          <w:u w:val="single"/>
        </w:rPr>
      </w:pPr>
      <w:r>
        <w:rPr>
          <w:rFonts w:hint="eastAsia" w:ascii="宋体" w:hAnsi="宋体" w:cs="宋体"/>
          <w:b w:val="0"/>
          <w:bCs w:val="0"/>
          <w:iCs/>
          <w:color w:val="000000" w:themeColor="text1"/>
          <w:u w:val="single"/>
        </w:rPr>
        <w:t>（标的名称）</w:t>
      </w:r>
      <w:r>
        <w:rPr>
          <w:rFonts w:hint="eastAsia" w:ascii="宋体" w:hAnsi="宋体" w:cs="宋体"/>
          <w:b w:val="0"/>
          <w:bCs w:val="0"/>
          <w:iCs/>
          <w:color w:val="000000" w:themeColor="text1"/>
        </w:rPr>
        <w:t>，</w:t>
      </w:r>
      <w:r>
        <w:rPr>
          <w:rFonts w:hint="eastAsia" w:ascii="宋体" w:hAnsi="宋体" w:cs="宋体"/>
          <w:b w:val="0"/>
          <w:bCs w:val="0"/>
          <w:color w:val="000000" w:themeColor="text1"/>
        </w:rPr>
        <w:t>属于</w:t>
      </w:r>
      <w:r>
        <w:rPr>
          <w:rFonts w:hint="eastAsia" w:ascii="宋体" w:hAnsi="宋体"/>
          <w:b w:val="0"/>
          <w:bCs w:val="0"/>
          <w:color w:val="000000" w:themeColor="text1"/>
          <w:u w:val="single"/>
        </w:rPr>
        <w:t>其他未列明行业</w:t>
      </w:r>
      <w:r>
        <w:rPr>
          <w:rFonts w:hint="eastAsia" w:ascii="宋体" w:hAnsi="宋体" w:cs="宋体"/>
          <w:b w:val="0"/>
          <w:bCs w:val="0"/>
          <w:iCs/>
          <w:color w:val="000000" w:themeColor="text1"/>
          <w:u w:val="single"/>
        </w:rPr>
        <w:t>，</w:t>
      </w:r>
      <w:r>
        <w:rPr>
          <w:rFonts w:hint="eastAsia" w:ascii="宋体" w:hAnsi="宋体" w:cs="宋体"/>
          <w:b w:val="0"/>
          <w:bCs w:val="0"/>
          <w:color w:val="000000" w:themeColor="text1"/>
        </w:rPr>
        <w:t>承接企业为</w:t>
      </w:r>
      <w:r>
        <w:rPr>
          <w:rFonts w:hint="eastAsia" w:ascii="宋体" w:hAnsi="宋体" w:cs="宋体"/>
          <w:b w:val="0"/>
          <w:bCs w:val="0"/>
          <w:iCs/>
          <w:color w:val="000000" w:themeColor="text1"/>
          <w:u w:val="single"/>
        </w:rPr>
        <w:t>（企业名称）</w:t>
      </w:r>
      <w:r>
        <w:rPr>
          <w:rFonts w:hint="eastAsia" w:ascii="宋体" w:hAnsi="宋体" w:cs="宋体"/>
          <w:b w:val="0"/>
          <w:bCs w:val="0"/>
          <w:color w:val="000000" w:themeColor="text1"/>
        </w:rPr>
        <w:t>，从业人员</w:t>
      </w:r>
      <w:r>
        <w:rPr>
          <w:rFonts w:hint="eastAsia" w:ascii="宋体" w:hAnsi="宋体" w:cs="宋体"/>
          <w:b w:val="0"/>
          <w:bCs w:val="0"/>
          <w:color w:val="000000" w:themeColor="text1"/>
          <w:u w:val="single"/>
        </w:rPr>
        <w:t xml:space="preserve">         </w:t>
      </w:r>
      <w:r>
        <w:rPr>
          <w:rFonts w:hint="eastAsia" w:ascii="宋体" w:hAnsi="宋体" w:cs="宋体"/>
          <w:b w:val="0"/>
          <w:bCs w:val="0"/>
          <w:color w:val="000000" w:themeColor="text1"/>
        </w:rPr>
        <w:t>人，营业收入为</w:t>
      </w:r>
      <w:r>
        <w:rPr>
          <w:rFonts w:hint="eastAsia" w:ascii="宋体" w:hAnsi="宋体" w:cs="宋体"/>
          <w:b w:val="0"/>
          <w:bCs w:val="0"/>
          <w:color w:val="000000" w:themeColor="text1"/>
          <w:u w:val="single"/>
        </w:rPr>
        <w:t xml:space="preserve">       </w:t>
      </w:r>
      <w:r>
        <w:rPr>
          <w:rFonts w:hint="eastAsia" w:ascii="宋体" w:hAnsi="宋体" w:cs="宋体"/>
          <w:b w:val="0"/>
          <w:bCs w:val="0"/>
          <w:color w:val="000000" w:themeColor="text1"/>
        </w:rPr>
        <w:t>万元，资产总额为</w:t>
      </w:r>
      <w:r>
        <w:rPr>
          <w:rFonts w:hint="eastAsia" w:ascii="宋体" w:hAnsi="宋体" w:cs="宋体"/>
          <w:b w:val="0"/>
          <w:bCs w:val="0"/>
          <w:color w:val="000000" w:themeColor="text1"/>
          <w:u w:val="single"/>
        </w:rPr>
        <w:t xml:space="preserve">        </w:t>
      </w:r>
      <w:r>
        <w:rPr>
          <w:rFonts w:hint="eastAsia" w:ascii="宋体" w:hAnsi="宋体" w:cs="宋体"/>
          <w:b w:val="0"/>
          <w:bCs w:val="0"/>
          <w:color w:val="000000" w:themeColor="text1"/>
        </w:rPr>
        <w:t>万元</w:t>
      </w:r>
      <w:r>
        <w:rPr>
          <w:rFonts w:hint="eastAsia" w:ascii="宋体" w:hAnsi="宋体" w:cs="宋体"/>
          <w:b w:val="0"/>
          <w:bCs w:val="0"/>
          <w:color w:val="000000" w:themeColor="text1"/>
          <w:vertAlign w:val="superscript"/>
        </w:rPr>
        <w:t>1</w:t>
      </w:r>
      <w:r>
        <w:rPr>
          <w:rFonts w:hint="eastAsia" w:ascii="宋体" w:hAnsi="宋体" w:cs="宋体"/>
          <w:b w:val="0"/>
          <w:bCs w:val="0"/>
          <w:color w:val="000000" w:themeColor="text1"/>
        </w:rPr>
        <w:t>，属于</w:t>
      </w:r>
      <w:r>
        <w:rPr>
          <w:rFonts w:hint="eastAsia" w:ascii="宋体" w:hAnsi="宋体" w:cs="宋体"/>
          <w:b w:val="0"/>
          <w:bCs w:val="0"/>
          <w:iCs/>
          <w:color w:val="000000" w:themeColor="text1"/>
          <w:u w:val="single"/>
        </w:rPr>
        <w:t>（中型企业、小型企业、微型企业）</w:t>
      </w:r>
      <w:r>
        <w:rPr>
          <w:rFonts w:hint="eastAsia" w:ascii="宋体" w:hAnsi="宋体" w:cs="宋体"/>
          <w:b w:val="0"/>
          <w:bCs w:val="0"/>
          <w:color w:val="000000" w:themeColor="text1"/>
        </w:rPr>
        <w:t>，</w:t>
      </w:r>
    </w:p>
    <w:p w14:paraId="432A51A8">
      <w:pPr>
        <w:pStyle w:val="89"/>
        <w:ind w:firstLine="840" w:firstLineChars="300"/>
        <w:rPr>
          <w:rFonts w:ascii="Arial" w:hAnsi="Arial" w:cs="Arial"/>
          <w:b w:val="0"/>
          <w:bCs w:val="0"/>
          <w:color w:val="000000" w:themeColor="text1"/>
        </w:rPr>
      </w:pPr>
      <w:r>
        <w:rPr>
          <w:rFonts w:ascii="Arial" w:hAnsi="Arial" w:cs="Arial"/>
          <w:b w:val="0"/>
          <w:bCs w:val="0"/>
          <w:color w:val="000000" w:themeColor="text1"/>
        </w:rPr>
        <w:t>……</w:t>
      </w:r>
    </w:p>
    <w:p w14:paraId="451141E9">
      <w:pPr>
        <w:pStyle w:val="89"/>
        <w:ind w:firstLine="840" w:firstLineChars="300"/>
        <w:rPr>
          <w:rFonts w:ascii="Arial" w:hAnsi="Arial" w:cs="Arial"/>
          <w:b w:val="0"/>
          <w:bCs w:val="0"/>
          <w:color w:val="000000" w:themeColor="text1"/>
        </w:rPr>
      </w:pPr>
      <w:r>
        <w:rPr>
          <w:rFonts w:hint="eastAsia" w:ascii="Arial" w:hAnsi="Arial" w:cs="Arial"/>
          <w:b w:val="0"/>
          <w:bCs w:val="0"/>
          <w:color w:val="000000" w:themeColor="text1"/>
        </w:rPr>
        <w:t>以上企业，不属于大企业的分支机构，不存在控股股东为大企业的情形，也不存在与大企业的负责人为同一人的情形。</w:t>
      </w:r>
    </w:p>
    <w:p w14:paraId="3C59FE4B">
      <w:pPr>
        <w:pStyle w:val="89"/>
        <w:ind w:firstLine="840" w:firstLineChars="300"/>
        <w:rPr>
          <w:rFonts w:ascii="Arial" w:hAnsi="Arial" w:cs="Arial"/>
          <w:b w:val="0"/>
          <w:bCs w:val="0"/>
          <w:color w:val="000000" w:themeColor="text1"/>
        </w:rPr>
      </w:pPr>
      <w:r>
        <w:rPr>
          <w:rFonts w:hint="eastAsia" w:ascii="Arial" w:hAnsi="Arial" w:cs="Arial"/>
          <w:b w:val="0"/>
          <w:bCs w:val="0"/>
          <w:color w:val="000000" w:themeColor="text1"/>
        </w:rPr>
        <w:t>本企业对上述声明内容的真实性负责。如有虚假，将依法承担相应责任。</w:t>
      </w:r>
    </w:p>
    <w:p w14:paraId="55DE533B">
      <w:pPr>
        <w:pStyle w:val="89"/>
        <w:ind w:firstLine="5320" w:firstLineChars="1900"/>
        <w:rPr>
          <w:rFonts w:ascii="Arial" w:hAnsi="Arial" w:cs="Arial"/>
          <w:b w:val="0"/>
          <w:bCs w:val="0"/>
          <w:color w:val="000000" w:themeColor="text1"/>
        </w:rPr>
      </w:pPr>
      <w:r>
        <w:rPr>
          <w:rFonts w:hint="eastAsia" w:ascii="Arial" w:hAnsi="Arial" w:cs="Arial"/>
          <w:b w:val="0"/>
          <w:bCs w:val="0"/>
          <w:color w:val="000000" w:themeColor="text1"/>
        </w:rPr>
        <w:t>企业名称（盖章）</w:t>
      </w:r>
    </w:p>
    <w:p w14:paraId="7CC8B37F">
      <w:pPr>
        <w:pStyle w:val="89"/>
        <w:ind w:firstLine="6160" w:firstLineChars="2200"/>
        <w:rPr>
          <w:rFonts w:ascii="Arial" w:hAnsi="Arial" w:cs="Arial"/>
          <w:b w:val="0"/>
          <w:bCs w:val="0"/>
          <w:color w:val="000000" w:themeColor="text1"/>
        </w:rPr>
      </w:pPr>
      <w:r>
        <w:rPr>
          <w:rFonts w:hint="eastAsia" w:ascii="Arial" w:hAnsi="Arial" w:cs="Arial"/>
          <w:b w:val="0"/>
          <w:bCs w:val="0"/>
          <w:color w:val="000000" w:themeColor="text1"/>
        </w:rPr>
        <w:t>日期：</w:t>
      </w:r>
    </w:p>
    <w:p w14:paraId="0C9727A3">
      <w:pPr>
        <w:pStyle w:val="89"/>
        <w:ind w:firstLine="0" w:firstLineChars="0"/>
        <w:rPr>
          <w:rFonts w:ascii="Arial" w:hAnsi="Arial" w:cs="Arial"/>
          <w:b w:val="0"/>
          <w:bCs w:val="0"/>
          <w:color w:val="000000" w:themeColor="text1"/>
        </w:rPr>
      </w:pPr>
      <w:r>
        <w:rPr>
          <w:rFonts w:hint="eastAsia" w:ascii="Arial" w:hAnsi="Arial" w:cs="Arial"/>
          <w:b w:val="0"/>
          <w:bCs w:val="0"/>
          <w:color w:val="000000" w:themeColor="text1"/>
        </w:rPr>
        <w:t xml:space="preserve"> 从业人员、营业收入、资产总额填报上一年度数据，无上一年度数据的新成立企业可不填报。</w:t>
      </w:r>
    </w:p>
    <w:p w14:paraId="312F170A">
      <w:pPr>
        <w:pStyle w:val="4"/>
        <w:ind w:firstLine="0"/>
        <w:rPr>
          <w:color w:val="000000" w:themeColor="text1"/>
          <w:sz w:val="24"/>
          <w:szCs w:val="24"/>
        </w:rPr>
      </w:pPr>
    </w:p>
    <w:p w14:paraId="0533FE75">
      <w:pPr>
        <w:pStyle w:val="89"/>
        <w:ind w:firstLine="0" w:firstLineChars="0"/>
        <w:rPr>
          <w:rFonts w:ascii="宋体" w:hAnsi="宋体"/>
          <w:b w:val="0"/>
          <w:bCs w:val="0"/>
          <w:color w:val="000000" w:themeColor="text1"/>
        </w:rPr>
      </w:pPr>
    </w:p>
    <w:p w14:paraId="6B710B9E">
      <w:pPr>
        <w:pStyle w:val="89"/>
        <w:ind w:firstLine="0" w:firstLineChars="0"/>
        <w:rPr>
          <w:rFonts w:ascii="宋体" w:hAnsi="宋体"/>
          <w:b w:val="0"/>
          <w:bCs w:val="0"/>
          <w:color w:val="000000" w:themeColor="text1"/>
        </w:rPr>
      </w:pPr>
    </w:p>
    <w:p w14:paraId="3F477E88">
      <w:pPr>
        <w:pStyle w:val="89"/>
        <w:ind w:firstLine="0" w:firstLineChars="0"/>
        <w:rPr>
          <w:rFonts w:ascii="宋体" w:hAnsi="宋体"/>
          <w:b w:val="0"/>
          <w:bCs w:val="0"/>
          <w:color w:val="000000" w:themeColor="text1"/>
        </w:rPr>
      </w:pPr>
    </w:p>
    <w:p w14:paraId="59CA4299">
      <w:pPr>
        <w:pStyle w:val="89"/>
        <w:ind w:firstLine="0" w:firstLineChars="0"/>
        <w:rPr>
          <w:rFonts w:ascii="宋体" w:hAnsi="宋体"/>
          <w:b w:val="0"/>
          <w:bCs w:val="0"/>
          <w:color w:val="000000" w:themeColor="text1"/>
        </w:rPr>
      </w:pPr>
    </w:p>
    <w:p w14:paraId="648457A5">
      <w:pPr>
        <w:pStyle w:val="89"/>
        <w:ind w:firstLine="0" w:firstLineChars="0"/>
        <w:rPr>
          <w:rFonts w:ascii="宋体" w:hAnsi="宋体"/>
          <w:b w:val="0"/>
          <w:bCs w:val="0"/>
          <w:color w:val="000000" w:themeColor="text1"/>
        </w:rPr>
      </w:pPr>
      <w:r>
        <w:rPr>
          <w:rFonts w:hint="eastAsia" w:ascii="宋体" w:hAnsi="宋体"/>
          <w:b w:val="0"/>
          <w:bCs w:val="0"/>
          <w:color w:val="000000" w:themeColor="text1"/>
        </w:rPr>
        <w:t>7、</w:t>
      </w:r>
      <w:r>
        <w:rPr>
          <w:rFonts w:ascii="宋体" w:hAnsi="宋体"/>
          <w:b w:val="0"/>
          <w:bCs w:val="0"/>
          <w:color w:val="000000" w:themeColor="text1"/>
        </w:rPr>
        <w:t>提供相关服务承诺函，</w:t>
      </w:r>
      <w:r>
        <w:rPr>
          <w:rFonts w:hint="eastAsia" w:ascii="宋体" w:hAnsi="宋体"/>
          <w:b w:val="0"/>
          <w:bCs w:val="0"/>
          <w:color w:val="000000" w:themeColor="text1"/>
        </w:rPr>
        <w:t>征集文件要求的其它材料</w:t>
      </w:r>
      <w:bookmarkEnd w:id="170"/>
      <w:bookmarkEnd w:id="171"/>
      <w:r>
        <w:rPr>
          <w:rFonts w:hint="eastAsia" w:ascii="宋体" w:hAnsi="宋体"/>
          <w:b w:val="0"/>
          <w:bCs w:val="0"/>
          <w:color w:val="000000" w:themeColor="text1"/>
        </w:rPr>
        <w:t>以及</w:t>
      </w:r>
      <w:r>
        <w:rPr>
          <w:rFonts w:ascii="宋体" w:hAnsi="宋体"/>
          <w:b w:val="0"/>
          <w:bCs w:val="0"/>
          <w:color w:val="000000" w:themeColor="text1"/>
        </w:rPr>
        <w:t>以及供应商认为需要上传的与本项目相关的其他资料等。</w:t>
      </w:r>
      <w:bookmarkEnd w:id="42"/>
      <w:bookmarkEnd w:id="43"/>
      <w:bookmarkEnd w:id="169"/>
    </w:p>
    <w:p w14:paraId="48430E7E">
      <w:pPr>
        <w:pStyle w:val="89"/>
        <w:ind w:firstLine="0" w:firstLineChars="0"/>
        <w:rPr>
          <w:rFonts w:ascii="宋体" w:hAnsi="宋体"/>
          <w:b w:val="0"/>
          <w:bCs w:val="0"/>
          <w:color w:val="000000" w:themeColor="text1"/>
        </w:rPr>
      </w:pPr>
    </w:p>
    <w:p w14:paraId="68EB78D7">
      <w:pPr>
        <w:pStyle w:val="89"/>
        <w:ind w:firstLine="0" w:firstLineChars="0"/>
        <w:rPr>
          <w:rFonts w:ascii="宋体" w:hAnsi="宋体"/>
          <w:b w:val="0"/>
          <w:bCs w:val="0"/>
          <w:color w:val="000000" w:themeColor="text1"/>
        </w:rPr>
      </w:pPr>
    </w:p>
    <w:p w14:paraId="28E60F6D">
      <w:pPr>
        <w:pStyle w:val="89"/>
        <w:ind w:firstLine="0" w:firstLineChars="0"/>
        <w:rPr>
          <w:rFonts w:ascii="宋体" w:hAnsi="宋体"/>
          <w:b w:val="0"/>
          <w:bCs w:val="0"/>
          <w:color w:val="000000" w:themeColor="text1"/>
        </w:rPr>
      </w:pPr>
    </w:p>
    <w:p w14:paraId="5012591E">
      <w:pPr>
        <w:pStyle w:val="89"/>
        <w:ind w:firstLine="0" w:firstLineChars="0"/>
        <w:rPr>
          <w:rFonts w:ascii="宋体" w:hAnsi="宋体"/>
          <w:b w:val="0"/>
          <w:bCs w:val="0"/>
          <w:color w:val="000000" w:themeColor="text1"/>
        </w:rPr>
      </w:pPr>
    </w:p>
    <w:p w14:paraId="5210403D">
      <w:pPr>
        <w:pStyle w:val="89"/>
        <w:ind w:firstLine="0" w:firstLineChars="0"/>
        <w:rPr>
          <w:rFonts w:ascii="宋体" w:hAnsi="宋体"/>
          <w:b w:val="0"/>
          <w:bCs w:val="0"/>
          <w:color w:val="000000" w:themeColor="text1"/>
        </w:rPr>
      </w:pPr>
    </w:p>
    <w:p w14:paraId="37FDB38F">
      <w:pPr>
        <w:pStyle w:val="89"/>
        <w:ind w:firstLine="0" w:firstLineChars="0"/>
        <w:rPr>
          <w:rFonts w:ascii="宋体" w:hAnsi="宋体"/>
          <w:b w:val="0"/>
          <w:bCs w:val="0"/>
          <w:color w:val="000000" w:themeColor="text1"/>
        </w:rPr>
      </w:pPr>
    </w:p>
    <w:p w14:paraId="184738BA">
      <w:pPr>
        <w:pStyle w:val="89"/>
        <w:ind w:firstLine="0" w:firstLineChars="0"/>
        <w:rPr>
          <w:rFonts w:ascii="宋体" w:hAnsi="宋体"/>
          <w:b w:val="0"/>
          <w:bCs w:val="0"/>
          <w:color w:val="000000" w:themeColor="text1"/>
        </w:rPr>
      </w:pPr>
    </w:p>
    <w:p w14:paraId="4E44C734">
      <w:pPr>
        <w:pStyle w:val="89"/>
        <w:ind w:firstLine="0" w:firstLineChars="0"/>
        <w:rPr>
          <w:rFonts w:ascii="宋体" w:hAnsi="宋体"/>
          <w:b w:val="0"/>
          <w:bCs w:val="0"/>
          <w:color w:val="000000" w:themeColor="text1"/>
        </w:rPr>
      </w:pPr>
    </w:p>
    <w:p w14:paraId="46FDE830">
      <w:pPr>
        <w:pStyle w:val="89"/>
        <w:ind w:firstLine="0" w:firstLineChars="0"/>
        <w:rPr>
          <w:rFonts w:ascii="宋体" w:hAnsi="宋体"/>
          <w:b w:val="0"/>
          <w:bCs w:val="0"/>
          <w:color w:val="000000" w:themeColor="text1"/>
        </w:rPr>
      </w:pPr>
    </w:p>
    <w:p w14:paraId="0D2307A9">
      <w:pPr>
        <w:pStyle w:val="89"/>
        <w:ind w:firstLine="0" w:firstLineChars="0"/>
        <w:rPr>
          <w:rFonts w:ascii="宋体" w:hAnsi="宋体"/>
          <w:b w:val="0"/>
          <w:bCs w:val="0"/>
          <w:color w:val="000000" w:themeColor="text1"/>
        </w:rPr>
      </w:pPr>
    </w:p>
    <w:p w14:paraId="65AF9D5E">
      <w:pPr>
        <w:pStyle w:val="89"/>
        <w:ind w:firstLine="0" w:firstLineChars="0"/>
        <w:rPr>
          <w:rFonts w:ascii="宋体" w:hAnsi="宋体"/>
          <w:b w:val="0"/>
          <w:bCs w:val="0"/>
          <w:color w:val="000000" w:themeColor="text1"/>
        </w:rPr>
      </w:pPr>
    </w:p>
    <w:p w14:paraId="20E480F3">
      <w:pPr>
        <w:pStyle w:val="89"/>
        <w:ind w:firstLine="0" w:firstLineChars="0"/>
        <w:rPr>
          <w:rFonts w:ascii="宋体" w:hAnsi="宋体"/>
          <w:b w:val="0"/>
          <w:bCs w:val="0"/>
          <w:color w:val="000000" w:themeColor="text1"/>
        </w:rPr>
      </w:pPr>
    </w:p>
    <w:p w14:paraId="500BB5FC">
      <w:pPr>
        <w:pStyle w:val="89"/>
        <w:ind w:firstLine="0" w:firstLineChars="0"/>
        <w:rPr>
          <w:rFonts w:ascii="宋体" w:hAnsi="宋体"/>
          <w:b w:val="0"/>
          <w:bCs w:val="0"/>
          <w:color w:val="000000" w:themeColor="text1"/>
        </w:rPr>
      </w:pPr>
    </w:p>
    <w:p w14:paraId="09744D26">
      <w:pPr>
        <w:pStyle w:val="89"/>
        <w:ind w:firstLine="0" w:firstLineChars="0"/>
        <w:rPr>
          <w:rFonts w:ascii="宋体" w:hAnsi="宋体"/>
          <w:b w:val="0"/>
          <w:bCs w:val="0"/>
          <w:color w:val="000000" w:themeColor="text1"/>
        </w:rPr>
      </w:pPr>
    </w:p>
    <w:p w14:paraId="6F59CEB9">
      <w:pPr>
        <w:pStyle w:val="89"/>
        <w:ind w:firstLine="0" w:firstLineChars="0"/>
        <w:rPr>
          <w:rFonts w:ascii="宋体" w:hAnsi="宋体"/>
          <w:b w:val="0"/>
          <w:bCs w:val="0"/>
          <w:color w:val="000000" w:themeColor="text1"/>
        </w:rPr>
      </w:pPr>
    </w:p>
    <w:p w14:paraId="3CF86362">
      <w:pPr>
        <w:pStyle w:val="89"/>
        <w:ind w:firstLine="0" w:firstLineChars="0"/>
        <w:rPr>
          <w:rFonts w:ascii="宋体" w:hAnsi="宋体"/>
          <w:b w:val="0"/>
          <w:bCs w:val="0"/>
          <w:color w:val="000000" w:themeColor="text1"/>
        </w:rPr>
      </w:pPr>
    </w:p>
    <w:p w14:paraId="5BC69750">
      <w:pPr>
        <w:pStyle w:val="89"/>
        <w:ind w:firstLine="0" w:firstLineChars="0"/>
        <w:rPr>
          <w:rFonts w:ascii="宋体" w:hAnsi="宋体"/>
          <w:b w:val="0"/>
          <w:bCs w:val="0"/>
          <w:color w:val="000000" w:themeColor="text1"/>
        </w:rPr>
      </w:pPr>
    </w:p>
    <w:p w14:paraId="7F457118">
      <w:pPr>
        <w:pStyle w:val="89"/>
        <w:ind w:firstLine="0" w:firstLineChars="0"/>
        <w:rPr>
          <w:rFonts w:ascii="宋体" w:hAnsi="宋体"/>
          <w:b w:val="0"/>
          <w:bCs w:val="0"/>
          <w:color w:val="000000" w:themeColor="text1"/>
        </w:rPr>
      </w:pPr>
    </w:p>
    <w:p w14:paraId="3A5A0AD0">
      <w:pPr>
        <w:pStyle w:val="89"/>
        <w:ind w:firstLine="0" w:firstLineChars="0"/>
        <w:rPr>
          <w:rFonts w:ascii="宋体" w:hAnsi="宋体"/>
          <w:b w:val="0"/>
          <w:bCs w:val="0"/>
          <w:color w:val="000000" w:themeColor="text1"/>
        </w:rPr>
      </w:pPr>
    </w:p>
    <w:p w14:paraId="187A39A3">
      <w:pPr>
        <w:pStyle w:val="89"/>
        <w:ind w:firstLine="0" w:firstLineChars="0"/>
        <w:rPr>
          <w:rFonts w:ascii="宋体" w:hAnsi="宋体"/>
          <w:b w:val="0"/>
          <w:bCs w:val="0"/>
          <w:color w:val="000000" w:themeColor="text1"/>
        </w:rPr>
      </w:pPr>
    </w:p>
    <w:p w14:paraId="7AB7DC45">
      <w:pPr>
        <w:pStyle w:val="89"/>
        <w:ind w:firstLine="0" w:firstLineChars="0"/>
        <w:rPr>
          <w:rFonts w:ascii="宋体" w:hAnsi="宋体"/>
          <w:b w:val="0"/>
          <w:bCs w:val="0"/>
          <w:color w:val="000000" w:themeColor="text1"/>
        </w:rPr>
      </w:pPr>
    </w:p>
    <w:p w14:paraId="36C01277">
      <w:pPr>
        <w:pStyle w:val="89"/>
        <w:ind w:firstLine="0" w:firstLineChars="0"/>
        <w:rPr>
          <w:rFonts w:ascii="宋体" w:hAnsi="宋体"/>
          <w:b w:val="0"/>
          <w:bCs w:val="0"/>
          <w:color w:val="000000" w:themeColor="text1"/>
        </w:rPr>
      </w:pPr>
    </w:p>
    <w:p w14:paraId="0740A0F1">
      <w:pPr>
        <w:pStyle w:val="89"/>
        <w:ind w:firstLine="0" w:firstLineChars="0"/>
        <w:rPr>
          <w:rFonts w:ascii="宋体" w:hAnsi="宋体"/>
          <w:b w:val="0"/>
          <w:bCs w:val="0"/>
          <w:color w:val="000000" w:themeColor="text1"/>
        </w:rPr>
      </w:pPr>
    </w:p>
    <w:p w14:paraId="7D752452">
      <w:pPr>
        <w:rPr>
          <w:rFonts w:ascii="宋体" w:hAnsi="宋体"/>
          <w:color w:val="000000" w:themeColor="text1"/>
          <w:sz w:val="28"/>
          <w:szCs w:val="28"/>
        </w:rPr>
      </w:pPr>
      <w:r>
        <w:rPr>
          <w:rFonts w:hint="eastAsia" w:ascii="宋体" w:hAnsi="宋体"/>
          <w:color w:val="000000" w:themeColor="text1"/>
          <w:sz w:val="28"/>
          <w:szCs w:val="28"/>
        </w:rPr>
        <w:t>二、报价部分</w:t>
      </w:r>
    </w:p>
    <w:p w14:paraId="27FBAF98">
      <w:pPr>
        <w:pStyle w:val="89"/>
        <w:ind w:firstLine="0" w:firstLineChars="0"/>
        <w:rPr>
          <w:rFonts w:ascii="宋体" w:hAnsi="宋体"/>
          <w:color w:val="000000" w:themeColor="text1"/>
        </w:rPr>
      </w:pPr>
      <w:bookmarkStart w:id="172" w:name="_Toc395875073"/>
      <w:r>
        <w:rPr>
          <w:rFonts w:hint="eastAsia" w:ascii="宋体" w:hAnsi="宋体"/>
          <w:b w:val="0"/>
          <w:color w:val="000000" w:themeColor="text1"/>
        </w:rPr>
        <w:t>1、响应报价表</w:t>
      </w:r>
      <w:bookmarkEnd w:id="172"/>
      <w:r>
        <w:rPr>
          <w:rFonts w:hint="eastAsia" w:ascii="宋体" w:hAnsi="宋体"/>
          <w:b w:val="0"/>
          <w:color w:val="000000" w:themeColor="text1"/>
          <w:sz w:val="24"/>
          <w:szCs w:val="24"/>
        </w:rPr>
        <w:t xml:space="preserve"> </w:t>
      </w:r>
      <w:r>
        <w:rPr>
          <w:rFonts w:hint="eastAsia"/>
          <w:b w:val="0"/>
          <w:bCs w:val="0"/>
        </w:rPr>
        <w:t>(本项目为固定单价，不作为评审打分依据）</w:t>
      </w:r>
      <w:r>
        <w:rPr>
          <w:rFonts w:hint="eastAsia" w:ascii="宋体" w:hAnsi="宋体"/>
          <w:b w:val="0"/>
          <w:color w:val="000000" w:themeColor="text1"/>
          <w:sz w:val="24"/>
          <w:szCs w:val="24"/>
        </w:rPr>
        <w:t xml:space="preserve">  </w:t>
      </w:r>
      <w:r>
        <w:rPr>
          <w:rFonts w:hint="eastAsia" w:ascii="宋体" w:hAnsi="宋体"/>
          <w:color w:val="000000" w:themeColor="text1"/>
          <w:sz w:val="24"/>
          <w:szCs w:val="24"/>
        </w:rPr>
        <w:t xml:space="preserve">                       </w:t>
      </w:r>
    </w:p>
    <w:tbl>
      <w:tblPr>
        <w:tblStyle w:val="43"/>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2"/>
      </w:tblGrid>
      <w:tr w14:paraId="7075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912" w:type="dxa"/>
            <w:vAlign w:val="center"/>
          </w:tcPr>
          <w:p w14:paraId="19407381">
            <w:pPr>
              <w:snapToGrid w:val="0"/>
              <w:jc w:val="center"/>
              <w:rPr>
                <w:rFonts w:ascii="宋体" w:hAnsi="宋体"/>
                <w:color w:val="000000" w:themeColor="text1"/>
                <w:sz w:val="28"/>
                <w:szCs w:val="28"/>
              </w:rPr>
            </w:pPr>
            <w:r>
              <w:rPr>
                <w:rFonts w:hint="eastAsia" w:ascii="宋体" w:hAnsi="宋体"/>
                <w:color w:val="000000" w:themeColor="text1"/>
                <w:sz w:val="28"/>
                <w:szCs w:val="28"/>
              </w:rPr>
              <w:t>铜陵市公务用车维修保养服务框架协议采购</w:t>
            </w:r>
          </w:p>
        </w:tc>
      </w:tr>
      <w:tr w14:paraId="20C6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8912" w:type="dxa"/>
            <w:vAlign w:val="center"/>
          </w:tcPr>
          <w:p w14:paraId="0F3E1D63">
            <w:pPr>
              <w:snapToGrid w:val="0"/>
              <w:jc w:val="center"/>
              <w:rPr>
                <w:rFonts w:ascii="宋体" w:hAnsi="宋体"/>
                <w:color w:val="000000" w:themeColor="text1"/>
                <w:sz w:val="28"/>
                <w:szCs w:val="28"/>
              </w:rPr>
            </w:pPr>
            <w:r>
              <w:rPr>
                <w:rFonts w:hint="eastAsia" w:ascii="宋体" w:hAnsi="宋体"/>
                <w:color w:val="000000" w:themeColor="text1"/>
                <w:sz w:val="28"/>
                <w:szCs w:val="28"/>
              </w:rPr>
              <w:t>维修工时单价为5元</w:t>
            </w:r>
          </w:p>
        </w:tc>
      </w:tr>
    </w:tbl>
    <w:p w14:paraId="54FA8EB2">
      <w:pPr>
        <w:rPr>
          <w:rFonts w:ascii="宋体" w:hAnsi="宋体"/>
          <w:b/>
          <w:color w:val="000000" w:themeColor="text1"/>
          <w:sz w:val="28"/>
          <w:szCs w:val="28"/>
        </w:rPr>
      </w:pPr>
    </w:p>
    <w:p w14:paraId="39A53BC2">
      <w:pPr>
        <w:rPr>
          <w:rFonts w:ascii="宋体" w:hAnsi="宋体"/>
          <w:color w:val="000000" w:themeColor="text1"/>
          <w:sz w:val="24"/>
          <w:szCs w:val="24"/>
        </w:rPr>
      </w:pPr>
    </w:p>
    <w:p w14:paraId="6919F839">
      <w:pPr>
        <w:ind w:right="560" w:firstLine="6090" w:firstLineChars="2175"/>
        <w:rPr>
          <w:rFonts w:cs="华文仿宋"/>
          <w:bCs/>
          <w:color w:val="000000" w:themeColor="text1"/>
          <w:sz w:val="28"/>
          <w:szCs w:val="28"/>
        </w:rPr>
      </w:pPr>
      <w:r>
        <w:rPr>
          <w:rFonts w:hint="eastAsia" w:cs="华文仿宋"/>
          <w:bCs/>
          <w:color w:val="000000" w:themeColor="text1"/>
          <w:sz w:val="28"/>
          <w:szCs w:val="28"/>
        </w:rPr>
        <w:t>供应商电子签章：</w:t>
      </w:r>
    </w:p>
    <w:p w14:paraId="1BCBF56D">
      <w:pPr>
        <w:ind w:firstLine="480"/>
        <w:rPr>
          <w:rFonts w:cs="华文仿宋"/>
          <w:bCs/>
          <w:color w:val="000000" w:themeColor="text1"/>
          <w:sz w:val="28"/>
          <w:szCs w:val="28"/>
        </w:rPr>
      </w:pPr>
      <w:r>
        <w:rPr>
          <w:rFonts w:hint="eastAsia" w:cs="华文仿宋"/>
          <w:bCs/>
          <w:color w:val="000000" w:themeColor="text1"/>
          <w:sz w:val="28"/>
          <w:szCs w:val="28"/>
        </w:rPr>
        <w:t xml:space="preserve">                                           日期： </w:t>
      </w:r>
    </w:p>
    <w:p w14:paraId="15308F28">
      <w:pPr>
        <w:ind w:firstLine="480"/>
        <w:rPr>
          <w:rFonts w:cs="华文仿宋"/>
          <w:bCs/>
          <w:color w:val="000000" w:themeColor="text1"/>
          <w:sz w:val="28"/>
          <w:szCs w:val="28"/>
        </w:rPr>
      </w:pPr>
    </w:p>
    <w:p w14:paraId="273B71E3">
      <w:pPr>
        <w:ind w:firstLine="480"/>
        <w:rPr>
          <w:rFonts w:cs="华文仿宋"/>
          <w:bCs/>
          <w:color w:val="000000" w:themeColor="text1"/>
          <w:sz w:val="28"/>
          <w:szCs w:val="28"/>
        </w:rPr>
      </w:pPr>
    </w:p>
    <w:p w14:paraId="69555E1F">
      <w:pPr>
        <w:ind w:firstLine="480"/>
        <w:rPr>
          <w:rFonts w:cs="华文仿宋"/>
          <w:bCs/>
          <w:color w:val="000000" w:themeColor="text1"/>
          <w:sz w:val="28"/>
          <w:szCs w:val="28"/>
        </w:rPr>
      </w:pPr>
    </w:p>
    <w:p w14:paraId="1E7DFF8F">
      <w:pPr>
        <w:ind w:firstLine="480"/>
        <w:rPr>
          <w:rFonts w:cs="华文仿宋"/>
          <w:bCs/>
          <w:color w:val="000000" w:themeColor="text1"/>
          <w:sz w:val="28"/>
          <w:szCs w:val="28"/>
        </w:rPr>
      </w:pPr>
    </w:p>
    <w:p w14:paraId="1633D2AE">
      <w:pPr>
        <w:ind w:firstLine="480"/>
        <w:rPr>
          <w:rFonts w:cs="华文仿宋"/>
          <w:bCs/>
          <w:color w:val="000000" w:themeColor="text1"/>
          <w:sz w:val="28"/>
          <w:szCs w:val="28"/>
        </w:rPr>
      </w:pPr>
    </w:p>
    <w:p w14:paraId="37A51D0C">
      <w:pPr>
        <w:ind w:firstLine="480"/>
        <w:rPr>
          <w:rFonts w:cs="华文仿宋"/>
          <w:bCs/>
          <w:color w:val="000000" w:themeColor="text1"/>
          <w:sz w:val="28"/>
          <w:szCs w:val="28"/>
        </w:rPr>
      </w:pPr>
    </w:p>
    <w:p w14:paraId="467E5499">
      <w:pPr>
        <w:ind w:firstLine="480"/>
        <w:rPr>
          <w:rFonts w:cs="华文仿宋"/>
          <w:bCs/>
          <w:color w:val="000000" w:themeColor="text1"/>
          <w:sz w:val="28"/>
          <w:szCs w:val="28"/>
        </w:rPr>
      </w:pPr>
    </w:p>
    <w:p w14:paraId="04D021FF">
      <w:pPr>
        <w:ind w:firstLine="480"/>
        <w:rPr>
          <w:rFonts w:cs="华文仿宋"/>
          <w:bCs/>
          <w:color w:val="000000" w:themeColor="text1"/>
          <w:sz w:val="28"/>
          <w:szCs w:val="28"/>
        </w:rPr>
      </w:pPr>
    </w:p>
    <w:p w14:paraId="131E8C73">
      <w:pPr>
        <w:ind w:firstLine="480"/>
        <w:rPr>
          <w:rFonts w:cs="华文仿宋"/>
          <w:bCs/>
          <w:color w:val="000000" w:themeColor="text1"/>
          <w:sz w:val="28"/>
          <w:szCs w:val="28"/>
        </w:rPr>
      </w:pPr>
    </w:p>
    <w:p w14:paraId="5AC1D711">
      <w:pPr>
        <w:ind w:firstLine="480"/>
        <w:rPr>
          <w:rFonts w:cs="华文仿宋"/>
          <w:bCs/>
          <w:color w:val="000000" w:themeColor="text1"/>
          <w:sz w:val="28"/>
          <w:szCs w:val="28"/>
        </w:rPr>
      </w:pPr>
    </w:p>
    <w:p w14:paraId="4E6E908C">
      <w:pPr>
        <w:ind w:firstLine="480"/>
        <w:rPr>
          <w:rFonts w:cs="华文仿宋"/>
          <w:bCs/>
          <w:color w:val="000000" w:themeColor="text1"/>
          <w:sz w:val="28"/>
          <w:szCs w:val="28"/>
        </w:rPr>
      </w:pPr>
    </w:p>
    <w:p w14:paraId="330DDC19">
      <w:pPr>
        <w:ind w:firstLine="480"/>
        <w:rPr>
          <w:rFonts w:cs="华文仿宋"/>
          <w:bCs/>
          <w:color w:val="000000" w:themeColor="text1"/>
          <w:sz w:val="28"/>
          <w:szCs w:val="28"/>
        </w:rPr>
      </w:pPr>
    </w:p>
    <w:p w14:paraId="18267E2E">
      <w:pPr>
        <w:spacing w:line="360" w:lineRule="auto"/>
        <w:jc w:val="center"/>
        <w:rPr>
          <w:rFonts w:ascii="宋体" w:hAnsi="宋体"/>
          <w:bCs/>
          <w:sz w:val="28"/>
          <w:szCs w:val="28"/>
        </w:rPr>
      </w:pPr>
      <w:r>
        <w:rPr>
          <w:rFonts w:hint="eastAsia" w:ascii="宋体" w:hAnsi="宋体"/>
          <w:bCs/>
          <w:sz w:val="28"/>
          <w:szCs w:val="28"/>
        </w:rPr>
        <w:t>2.主要标的一览表（服务）</w:t>
      </w:r>
    </w:p>
    <w:p w14:paraId="65BAAFBE">
      <w:pPr>
        <w:spacing w:line="360" w:lineRule="auto"/>
        <w:ind w:firstLine="560" w:firstLineChars="200"/>
        <w:rPr>
          <w:rFonts w:ascii="宋体" w:hAnsi="宋体"/>
          <w:sz w:val="28"/>
          <w:szCs w:val="28"/>
        </w:rPr>
      </w:pPr>
      <w:r>
        <w:rPr>
          <w:rFonts w:hint="eastAsia" w:ascii="宋体" w:hAnsi="宋体"/>
          <w:sz w:val="28"/>
          <w:szCs w:val="28"/>
        </w:rPr>
        <w:t>此表中名称、服务范围、服务要求由征集人列出，服务时间、服务标准由供应商填写，将随入围结果公告一并公告，接受社会监督。</w:t>
      </w:r>
    </w:p>
    <w:tbl>
      <w:tblPr>
        <w:tblStyle w:val="43"/>
        <w:tblW w:w="9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9"/>
      </w:tblGrid>
      <w:tr w14:paraId="63E74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 w:hRule="atLeast"/>
          <w:jc w:val="center"/>
        </w:trPr>
        <w:tc>
          <w:tcPr>
            <w:tcW w:w="9109" w:type="dxa"/>
            <w:vAlign w:val="center"/>
          </w:tcPr>
          <w:p w14:paraId="4C9985B3">
            <w:pPr>
              <w:widowControl/>
              <w:shd w:val="clear" w:color="auto" w:fill="FFFFFF"/>
              <w:snapToGrid w:val="0"/>
              <w:spacing w:line="360" w:lineRule="auto"/>
              <w:jc w:val="center"/>
              <w:rPr>
                <w:rFonts w:ascii="宋体" w:hAnsi="宋体"/>
              </w:rPr>
            </w:pPr>
            <w:r>
              <w:rPr>
                <w:rFonts w:hint="eastAsia" w:ascii="宋体" w:hAnsi="宋体"/>
                <w:sz w:val="28"/>
                <w:szCs w:val="28"/>
                <w:lang w:val="zh-CN"/>
              </w:rPr>
              <w:t>服务类</w:t>
            </w:r>
          </w:p>
        </w:tc>
      </w:tr>
      <w:tr w14:paraId="7D4C8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6" w:hRule="atLeast"/>
          <w:jc w:val="center"/>
        </w:trPr>
        <w:tc>
          <w:tcPr>
            <w:tcW w:w="9109" w:type="dxa"/>
            <w:vAlign w:val="center"/>
          </w:tcPr>
          <w:p w14:paraId="2DE0A5EE">
            <w:pPr>
              <w:snapToGrid w:val="0"/>
              <w:spacing w:line="360" w:lineRule="auto"/>
              <w:rPr>
                <w:rFonts w:ascii="宋体" w:hAnsi="宋体"/>
                <w:sz w:val="28"/>
                <w:szCs w:val="28"/>
              </w:rPr>
            </w:pPr>
            <w:r>
              <w:rPr>
                <w:rFonts w:hint="eastAsia" w:ascii="宋体" w:hAnsi="宋体"/>
                <w:b/>
                <w:sz w:val="28"/>
                <w:szCs w:val="28"/>
                <w:lang w:val="zh-CN"/>
              </w:rPr>
              <w:t>名称</w:t>
            </w:r>
            <w:r>
              <w:rPr>
                <w:rFonts w:hint="eastAsia" w:ascii="宋体" w:hAnsi="宋体"/>
                <w:sz w:val="28"/>
                <w:szCs w:val="28"/>
                <w:lang w:val="zh-CN"/>
              </w:rPr>
              <w:t>：</w:t>
            </w:r>
            <w:r>
              <w:rPr>
                <w:rFonts w:hint="eastAsia" w:ascii="宋体" w:hAnsi="宋体"/>
                <w:sz w:val="28"/>
                <w:szCs w:val="28"/>
              </w:rPr>
              <w:t>2025-2027年度铜陵市公务用车维修保养服务框架协议采购</w:t>
            </w:r>
          </w:p>
          <w:p w14:paraId="2BE4E7B7">
            <w:pPr>
              <w:snapToGrid w:val="0"/>
              <w:spacing w:line="360" w:lineRule="auto"/>
              <w:rPr>
                <w:rFonts w:ascii="仿宋" w:hAnsi="仿宋" w:eastAsia="仿宋"/>
                <w:color w:val="000000" w:themeColor="text1"/>
                <w:sz w:val="28"/>
                <w:szCs w:val="28"/>
                <w:lang w:val="zh-CN" w:bidi="zh-CN"/>
              </w:rPr>
            </w:pPr>
            <w:r>
              <w:rPr>
                <w:rFonts w:hint="eastAsia" w:ascii="宋体" w:hAnsi="宋体"/>
                <w:b/>
                <w:sz w:val="28"/>
                <w:szCs w:val="28"/>
                <w:lang w:val="zh-CN"/>
              </w:rPr>
              <w:t>服务范围</w:t>
            </w:r>
            <w:r>
              <w:rPr>
                <w:rFonts w:hint="eastAsia" w:ascii="宋体" w:hAnsi="宋体"/>
                <w:sz w:val="28"/>
                <w:szCs w:val="28"/>
              </w:rPr>
              <w:t>：各档各类轿车、SUV、客货车、工程车等车辆的一级、二级车辆维护和保养，大、中、小修理，维修救援、年审、24 小时应急服务，以及《机动车维修管理规定》（中华人民共和国交通运输部令2023年第14号）中规定的汽车维修服务项目(保险维修、新购车辆免费维护保养除外)。</w:t>
            </w:r>
          </w:p>
          <w:p w14:paraId="45F8AD69">
            <w:pPr>
              <w:snapToGrid w:val="0"/>
              <w:spacing w:line="360" w:lineRule="auto"/>
              <w:rPr>
                <w:rFonts w:ascii="宋体" w:hAnsi="宋体"/>
                <w:sz w:val="28"/>
                <w:szCs w:val="28"/>
                <w:lang w:val="zh-CN"/>
              </w:rPr>
            </w:pPr>
            <w:r>
              <w:rPr>
                <w:rFonts w:hint="eastAsia" w:ascii="宋体" w:hAnsi="宋体"/>
                <w:b/>
                <w:sz w:val="28"/>
                <w:szCs w:val="28"/>
                <w:lang w:val="zh-CN"/>
              </w:rPr>
              <w:t>服务要求</w:t>
            </w:r>
            <w:r>
              <w:rPr>
                <w:rFonts w:hint="eastAsia" w:ascii="宋体" w:hAnsi="宋体"/>
                <w:sz w:val="28"/>
                <w:szCs w:val="28"/>
                <w:lang w:val="zh-CN"/>
              </w:rPr>
              <w:t>：根据国家及地方相关法律要求、</w:t>
            </w:r>
            <w:r>
              <w:rPr>
                <w:rFonts w:hint="eastAsia" w:ascii="宋体" w:hAnsi="宋体"/>
                <w:sz w:val="28"/>
                <w:szCs w:val="28"/>
              </w:rPr>
              <w:t>征集</w:t>
            </w:r>
            <w:r>
              <w:rPr>
                <w:rFonts w:hint="eastAsia" w:ascii="宋体" w:hAnsi="宋体"/>
                <w:sz w:val="28"/>
                <w:szCs w:val="28"/>
                <w:lang w:val="zh-CN"/>
              </w:rPr>
              <w:t>文件的约定、征集人的要求以及采购合同等相关约定承担</w:t>
            </w:r>
            <w:r>
              <w:rPr>
                <w:rFonts w:hint="eastAsia" w:ascii="宋体" w:hAnsi="宋体"/>
                <w:sz w:val="28"/>
                <w:szCs w:val="28"/>
              </w:rPr>
              <w:t>本项目</w:t>
            </w:r>
            <w:r>
              <w:rPr>
                <w:rFonts w:hint="eastAsia" w:ascii="宋体" w:hAnsi="宋体"/>
                <w:sz w:val="28"/>
                <w:szCs w:val="28"/>
                <w:lang w:val="zh-CN"/>
              </w:rPr>
              <w:t>。</w:t>
            </w:r>
          </w:p>
          <w:p w14:paraId="6B13ADCD">
            <w:pPr>
              <w:snapToGrid w:val="0"/>
              <w:spacing w:line="360" w:lineRule="auto"/>
              <w:rPr>
                <w:rFonts w:ascii="宋体" w:hAnsi="宋体"/>
                <w:sz w:val="28"/>
                <w:szCs w:val="28"/>
                <w:lang w:val="zh-CN"/>
              </w:rPr>
            </w:pPr>
            <w:r>
              <w:rPr>
                <w:rFonts w:hint="eastAsia" w:ascii="宋体" w:hAnsi="宋体"/>
                <w:sz w:val="28"/>
                <w:szCs w:val="28"/>
                <w:lang w:val="zh-CN"/>
              </w:rPr>
              <w:t>服务时间：</w:t>
            </w:r>
          </w:p>
          <w:p w14:paraId="7EF883FC">
            <w:pPr>
              <w:snapToGrid w:val="0"/>
              <w:spacing w:line="360" w:lineRule="auto"/>
            </w:pPr>
            <w:r>
              <w:rPr>
                <w:rFonts w:hint="eastAsia" w:ascii="宋体" w:hAnsi="宋体"/>
                <w:sz w:val="28"/>
                <w:szCs w:val="28"/>
                <w:lang w:val="zh-CN"/>
              </w:rPr>
              <w:t>服务标准：</w:t>
            </w:r>
          </w:p>
        </w:tc>
      </w:tr>
    </w:tbl>
    <w:p w14:paraId="106F55DD">
      <w:pPr>
        <w:rPr>
          <w:rFonts w:ascii="宋体" w:hAnsi="宋体"/>
          <w:b/>
          <w:bCs/>
          <w:spacing w:val="1"/>
        </w:rPr>
      </w:pPr>
    </w:p>
    <w:p w14:paraId="3805FCAB">
      <w:pPr>
        <w:rPr>
          <w:rFonts w:ascii="宋体" w:hAnsi="宋体"/>
          <w:b/>
          <w:bCs/>
          <w:spacing w:val="1"/>
        </w:rPr>
      </w:pPr>
    </w:p>
    <w:sectPr>
      <w:headerReference r:id="rId5" w:type="first"/>
      <w:headerReference r:id="rId4" w:type="default"/>
      <w:footerReference r:id="rId6" w:type="default"/>
      <w:footerReference r:id="rId7" w:type="even"/>
      <w:pgSz w:w="11906" w:h="16838"/>
      <w:pgMar w:top="1418" w:right="1588" w:bottom="1418" w:left="1365" w:header="851" w:footer="907" w:gutter="0"/>
      <w:pgNumType w:fmt="numberInDas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howcard Gothic">
    <w:panose1 w:val="04020904020102020604"/>
    <w:charset w:val="00"/>
    <w:family w:val="decorative"/>
    <w:pitch w:val="default"/>
    <w:sig w:usb0="00000003" w:usb1="00000000" w:usb2="00000000" w:usb3="00000000" w:csb0="2000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595B">
    <w:pPr>
      <w:pStyle w:val="2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5DB2">
    <w:pPr>
      <w:pStyle w:val="27"/>
      <w:jc w:val="center"/>
    </w:pPr>
    <w:r>
      <w:fldChar w:fldCharType="begin"/>
    </w:r>
    <w:r>
      <w:instrText xml:space="preserve"> PAGE   \* MERGEFORMAT </w:instrText>
    </w:r>
    <w:r>
      <w:fldChar w:fldCharType="separate"/>
    </w:r>
    <w:r>
      <w:rPr>
        <w:lang w:val="zh-CN"/>
      </w:rPr>
      <w:t>-</w:t>
    </w:r>
    <w:r>
      <w:t xml:space="preserve"> 16 -</w:t>
    </w:r>
    <w:r>
      <w:fldChar w:fldCharType="end"/>
    </w:r>
  </w:p>
  <w:p w14:paraId="1D06A97F">
    <w:pPr>
      <w:pStyle w:val="27"/>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6789">
    <w:pPr>
      <w:pStyle w:val="27"/>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14:paraId="1CBADB63">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3C79">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C590">
    <w:pPr>
      <w:pStyle w:val="28"/>
      <w:jc w:val="both"/>
    </w:pPr>
    <w:r>
      <w:rPr>
        <w:rFonts w:hint="eastAsia"/>
      </w:rPr>
      <w:t>政府采购框架协议--</w:t>
    </w:r>
    <w:r>
      <w:t>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DBB9F"/>
    <w:multiLevelType w:val="singleLevel"/>
    <w:tmpl w:val="BB4DBB9F"/>
    <w:lvl w:ilvl="0" w:tentative="0">
      <w:start w:val="1"/>
      <w:numFmt w:val="decimal"/>
      <w:lvlText w:val="%1."/>
      <w:lvlJc w:val="left"/>
      <w:pPr>
        <w:tabs>
          <w:tab w:val="left" w:pos="312"/>
        </w:tabs>
      </w:pPr>
    </w:lvl>
  </w:abstractNum>
  <w:abstractNum w:abstractNumId="1">
    <w:nsid w:val="DD0AB150"/>
    <w:multiLevelType w:val="singleLevel"/>
    <w:tmpl w:val="DD0AB150"/>
    <w:lvl w:ilvl="0" w:tentative="0">
      <w:start w:val="1"/>
      <w:numFmt w:val="chineseCounting"/>
      <w:suff w:val="space"/>
      <w:lvlText w:val="第%1章"/>
      <w:lvlJc w:val="left"/>
      <w:rPr>
        <w:rFonts w:hint="eastAsia"/>
      </w:rPr>
    </w:lvl>
  </w:abstractNum>
  <w:abstractNum w:abstractNumId="2">
    <w:nsid w:val="EB312478"/>
    <w:multiLevelType w:val="singleLevel"/>
    <w:tmpl w:val="EB312478"/>
    <w:lvl w:ilvl="0" w:tentative="0">
      <w:start w:val="1"/>
      <w:numFmt w:val="chineseCounting"/>
      <w:suff w:val="nothing"/>
      <w:lvlText w:val="%1、"/>
      <w:lvlJc w:val="left"/>
      <w:rPr>
        <w:rFonts w:hint="eastAsia"/>
      </w:rPr>
    </w:lvl>
  </w:abstractNum>
  <w:abstractNum w:abstractNumId="3">
    <w:nsid w:val="0D2C108F"/>
    <w:multiLevelType w:val="multilevel"/>
    <w:tmpl w:val="0D2C108F"/>
    <w:lvl w:ilvl="0" w:tentative="0">
      <w:start w:val="1"/>
      <w:numFmt w:val="decimal"/>
      <w:lvlText w:val="%1"/>
      <w:lvlJc w:val="left"/>
      <w:pPr>
        <w:ind w:left="540" w:hanging="54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4">
    <w:nsid w:val="4F271E0D"/>
    <w:multiLevelType w:val="singleLevel"/>
    <w:tmpl w:val="4F271E0D"/>
    <w:lvl w:ilvl="0" w:tentative="0">
      <w:start w:val="2"/>
      <w:numFmt w:val="chineseCounting"/>
      <w:suff w:val="nothing"/>
      <w:lvlText w:val="（%1）"/>
      <w:lvlJc w:val="left"/>
      <w:rPr>
        <w:rFonts w:hint="eastAsia"/>
      </w:rPr>
    </w:lvl>
  </w:abstractNum>
  <w:abstractNum w:abstractNumId="5">
    <w:nsid w:val="5ADC0452"/>
    <w:multiLevelType w:val="multilevel"/>
    <w:tmpl w:val="5ADC045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3A2C14"/>
    <w:multiLevelType w:val="multilevel"/>
    <w:tmpl w:val="6D3A2C1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BA05F3"/>
    <w:multiLevelType w:val="singleLevel"/>
    <w:tmpl w:val="6FBA05F3"/>
    <w:lvl w:ilvl="0" w:tentative="0">
      <w:start w:val="1"/>
      <w:numFmt w:val="japaneseCounting"/>
      <w:lvlText w:val="第%1章"/>
      <w:lvlJc w:val="left"/>
      <w:pPr>
        <w:tabs>
          <w:tab w:val="left" w:pos="2008"/>
        </w:tabs>
        <w:ind w:left="2008" w:hanging="1440"/>
      </w:pPr>
      <w:rPr>
        <w:rFonts w:hint="eastAsia" w:ascii="黑体" w:eastAsia="黑体"/>
        <w:b w:val="0"/>
        <w:sz w:val="36"/>
      </w:rPr>
    </w:lvl>
  </w:abstractNum>
  <w:num w:numId="1">
    <w:abstractNumId w:val="7"/>
  </w:num>
  <w:num w:numId="2">
    <w:abstractNumId w:val="2"/>
  </w:num>
  <w:num w:numId="3">
    <w:abstractNumId w:val="4"/>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1228"/>
    <w:rsid w:val="00001C8C"/>
    <w:rsid w:val="000021F1"/>
    <w:rsid w:val="00002FC6"/>
    <w:rsid w:val="00003046"/>
    <w:rsid w:val="00003671"/>
    <w:rsid w:val="00003EA2"/>
    <w:rsid w:val="00003F2F"/>
    <w:rsid w:val="0000447B"/>
    <w:rsid w:val="00004CDD"/>
    <w:rsid w:val="00005139"/>
    <w:rsid w:val="0000580A"/>
    <w:rsid w:val="000060F7"/>
    <w:rsid w:val="000065F6"/>
    <w:rsid w:val="00006B61"/>
    <w:rsid w:val="00006BCB"/>
    <w:rsid w:val="00007D2A"/>
    <w:rsid w:val="000125B2"/>
    <w:rsid w:val="00012B1C"/>
    <w:rsid w:val="00015439"/>
    <w:rsid w:val="0001558A"/>
    <w:rsid w:val="00015C34"/>
    <w:rsid w:val="00015F55"/>
    <w:rsid w:val="0001609A"/>
    <w:rsid w:val="000163DC"/>
    <w:rsid w:val="00016776"/>
    <w:rsid w:val="000168B1"/>
    <w:rsid w:val="000179DF"/>
    <w:rsid w:val="0002021C"/>
    <w:rsid w:val="00020646"/>
    <w:rsid w:val="00020C65"/>
    <w:rsid w:val="00021067"/>
    <w:rsid w:val="000210A1"/>
    <w:rsid w:val="00021BC0"/>
    <w:rsid w:val="0002271B"/>
    <w:rsid w:val="000229C3"/>
    <w:rsid w:val="00022AD0"/>
    <w:rsid w:val="0002343C"/>
    <w:rsid w:val="00023FC6"/>
    <w:rsid w:val="000242A5"/>
    <w:rsid w:val="00024E29"/>
    <w:rsid w:val="00025349"/>
    <w:rsid w:val="000263C5"/>
    <w:rsid w:val="00026BBB"/>
    <w:rsid w:val="00026CEE"/>
    <w:rsid w:val="000270C3"/>
    <w:rsid w:val="000276E8"/>
    <w:rsid w:val="000279BD"/>
    <w:rsid w:val="00027F43"/>
    <w:rsid w:val="00031E43"/>
    <w:rsid w:val="00032092"/>
    <w:rsid w:val="00032396"/>
    <w:rsid w:val="00032C0E"/>
    <w:rsid w:val="00036863"/>
    <w:rsid w:val="000376C2"/>
    <w:rsid w:val="000434B4"/>
    <w:rsid w:val="0004388E"/>
    <w:rsid w:val="000440A4"/>
    <w:rsid w:val="00044BC8"/>
    <w:rsid w:val="00045EA2"/>
    <w:rsid w:val="00046B9E"/>
    <w:rsid w:val="0004725E"/>
    <w:rsid w:val="0004796E"/>
    <w:rsid w:val="00047AD6"/>
    <w:rsid w:val="0005153E"/>
    <w:rsid w:val="00051E3F"/>
    <w:rsid w:val="00052B90"/>
    <w:rsid w:val="000544A7"/>
    <w:rsid w:val="00054DF3"/>
    <w:rsid w:val="00055040"/>
    <w:rsid w:val="00055BC4"/>
    <w:rsid w:val="000561AF"/>
    <w:rsid w:val="00056AE9"/>
    <w:rsid w:val="00056E97"/>
    <w:rsid w:val="0005780E"/>
    <w:rsid w:val="00057ADA"/>
    <w:rsid w:val="0006121F"/>
    <w:rsid w:val="00061647"/>
    <w:rsid w:val="00062851"/>
    <w:rsid w:val="0006451D"/>
    <w:rsid w:val="00065768"/>
    <w:rsid w:val="00065B61"/>
    <w:rsid w:val="00065F98"/>
    <w:rsid w:val="0006657E"/>
    <w:rsid w:val="00066E0B"/>
    <w:rsid w:val="00066F16"/>
    <w:rsid w:val="000670D1"/>
    <w:rsid w:val="000677DC"/>
    <w:rsid w:val="00067EE2"/>
    <w:rsid w:val="000710A8"/>
    <w:rsid w:val="00071631"/>
    <w:rsid w:val="00072428"/>
    <w:rsid w:val="00073CD4"/>
    <w:rsid w:val="00073CEE"/>
    <w:rsid w:val="0007426E"/>
    <w:rsid w:val="0007563D"/>
    <w:rsid w:val="00076A17"/>
    <w:rsid w:val="00077208"/>
    <w:rsid w:val="00080780"/>
    <w:rsid w:val="00080D41"/>
    <w:rsid w:val="00080DE4"/>
    <w:rsid w:val="000819E2"/>
    <w:rsid w:val="000824BA"/>
    <w:rsid w:val="00082C5C"/>
    <w:rsid w:val="00082F11"/>
    <w:rsid w:val="0008366C"/>
    <w:rsid w:val="000837A2"/>
    <w:rsid w:val="00083BC2"/>
    <w:rsid w:val="00084B83"/>
    <w:rsid w:val="00084C9F"/>
    <w:rsid w:val="00084E12"/>
    <w:rsid w:val="00084EEF"/>
    <w:rsid w:val="0008594C"/>
    <w:rsid w:val="00085AAC"/>
    <w:rsid w:val="00085FD8"/>
    <w:rsid w:val="00086339"/>
    <w:rsid w:val="00086E7E"/>
    <w:rsid w:val="0009066D"/>
    <w:rsid w:val="000909BA"/>
    <w:rsid w:val="00090BB5"/>
    <w:rsid w:val="00091519"/>
    <w:rsid w:val="00091CB6"/>
    <w:rsid w:val="00093792"/>
    <w:rsid w:val="000948A5"/>
    <w:rsid w:val="00094B1A"/>
    <w:rsid w:val="00094CD5"/>
    <w:rsid w:val="000956B3"/>
    <w:rsid w:val="00095845"/>
    <w:rsid w:val="000966BA"/>
    <w:rsid w:val="00096A17"/>
    <w:rsid w:val="000972CC"/>
    <w:rsid w:val="000A07ED"/>
    <w:rsid w:val="000A0871"/>
    <w:rsid w:val="000A1699"/>
    <w:rsid w:val="000A1DB6"/>
    <w:rsid w:val="000A2FC6"/>
    <w:rsid w:val="000A357A"/>
    <w:rsid w:val="000A41F7"/>
    <w:rsid w:val="000A5510"/>
    <w:rsid w:val="000A5684"/>
    <w:rsid w:val="000B0413"/>
    <w:rsid w:val="000B07B1"/>
    <w:rsid w:val="000B090B"/>
    <w:rsid w:val="000B1517"/>
    <w:rsid w:val="000B16A7"/>
    <w:rsid w:val="000B1DA5"/>
    <w:rsid w:val="000B2088"/>
    <w:rsid w:val="000B2BC7"/>
    <w:rsid w:val="000B3278"/>
    <w:rsid w:val="000B3A7E"/>
    <w:rsid w:val="000B40B8"/>
    <w:rsid w:val="000B41EC"/>
    <w:rsid w:val="000B5C36"/>
    <w:rsid w:val="000B7669"/>
    <w:rsid w:val="000C0760"/>
    <w:rsid w:val="000C0CA5"/>
    <w:rsid w:val="000C0FB5"/>
    <w:rsid w:val="000C11A4"/>
    <w:rsid w:val="000C1440"/>
    <w:rsid w:val="000C1703"/>
    <w:rsid w:val="000C1BC2"/>
    <w:rsid w:val="000C26A6"/>
    <w:rsid w:val="000C2FF3"/>
    <w:rsid w:val="000C3B7F"/>
    <w:rsid w:val="000C483D"/>
    <w:rsid w:val="000C4A8C"/>
    <w:rsid w:val="000C6605"/>
    <w:rsid w:val="000C6DBE"/>
    <w:rsid w:val="000C7D2E"/>
    <w:rsid w:val="000D004D"/>
    <w:rsid w:val="000D0FF7"/>
    <w:rsid w:val="000D12F6"/>
    <w:rsid w:val="000D1860"/>
    <w:rsid w:val="000D24A9"/>
    <w:rsid w:val="000D4075"/>
    <w:rsid w:val="000D5CD6"/>
    <w:rsid w:val="000D5F74"/>
    <w:rsid w:val="000D640F"/>
    <w:rsid w:val="000D6717"/>
    <w:rsid w:val="000D6C6E"/>
    <w:rsid w:val="000E0296"/>
    <w:rsid w:val="000E099E"/>
    <w:rsid w:val="000E1348"/>
    <w:rsid w:val="000E2396"/>
    <w:rsid w:val="000E31FE"/>
    <w:rsid w:val="000E369F"/>
    <w:rsid w:val="000E3CDE"/>
    <w:rsid w:val="000E43CB"/>
    <w:rsid w:val="000E4679"/>
    <w:rsid w:val="000E6362"/>
    <w:rsid w:val="000E673A"/>
    <w:rsid w:val="000E6F72"/>
    <w:rsid w:val="000E7BEF"/>
    <w:rsid w:val="000F0624"/>
    <w:rsid w:val="000F0FD0"/>
    <w:rsid w:val="000F17DF"/>
    <w:rsid w:val="000F1C96"/>
    <w:rsid w:val="000F28EF"/>
    <w:rsid w:val="000F299B"/>
    <w:rsid w:val="000F30FA"/>
    <w:rsid w:val="000F3822"/>
    <w:rsid w:val="000F41C7"/>
    <w:rsid w:val="000F5749"/>
    <w:rsid w:val="000F5DEE"/>
    <w:rsid w:val="000F6DDC"/>
    <w:rsid w:val="000F7AE6"/>
    <w:rsid w:val="00100037"/>
    <w:rsid w:val="0010086A"/>
    <w:rsid w:val="00100F7C"/>
    <w:rsid w:val="00101213"/>
    <w:rsid w:val="001020C6"/>
    <w:rsid w:val="00103BC8"/>
    <w:rsid w:val="0010432D"/>
    <w:rsid w:val="0010474F"/>
    <w:rsid w:val="00105C21"/>
    <w:rsid w:val="001062AB"/>
    <w:rsid w:val="00106600"/>
    <w:rsid w:val="00106A54"/>
    <w:rsid w:val="00106B1A"/>
    <w:rsid w:val="00106B9E"/>
    <w:rsid w:val="00107752"/>
    <w:rsid w:val="001110F1"/>
    <w:rsid w:val="00112962"/>
    <w:rsid w:val="0011298B"/>
    <w:rsid w:val="00113AE6"/>
    <w:rsid w:val="00113C44"/>
    <w:rsid w:val="00115161"/>
    <w:rsid w:val="00115293"/>
    <w:rsid w:val="00115439"/>
    <w:rsid w:val="00115727"/>
    <w:rsid w:val="001166B2"/>
    <w:rsid w:val="00116946"/>
    <w:rsid w:val="00116CC8"/>
    <w:rsid w:val="0011781D"/>
    <w:rsid w:val="00117FC4"/>
    <w:rsid w:val="0012075F"/>
    <w:rsid w:val="001209A8"/>
    <w:rsid w:val="00120B27"/>
    <w:rsid w:val="00120EEB"/>
    <w:rsid w:val="001217DF"/>
    <w:rsid w:val="001218CF"/>
    <w:rsid w:val="001220F0"/>
    <w:rsid w:val="0012288B"/>
    <w:rsid w:val="0012335D"/>
    <w:rsid w:val="00123945"/>
    <w:rsid w:val="00123977"/>
    <w:rsid w:val="00123F54"/>
    <w:rsid w:val="00126079"/>
    <w:rsid w:val="00126102"/>
    <w:rsid w:val="00126D5A"/>
    <w:rsid w:val="00127670"/>
    <w:rsid w:val="00127CC7"/>
    <w:rsid w:val="001319A2"/>
    <w:rsid w:val="00131A8E"/>
    <w:rsid w:val="00131E1E"/>
    <w:rsid w:val="00132552"/>
    <w:rsid w:val="00132C8C"/>
    <w:rsid w:val="001331C3"/>
    <w:rsid w:val="00133AAA"/>
    <w:rsid w:val="00134C5A"/>
    <w:rsid w:val="00135234"/>
    <w:rsid w:val="00135483"/>
    <w:rsid w:val="001354C6"/>
    <w:rsid w:val="0013557D"/>
    <w:rsid w:val="00136201"/>
    <w:rsid w:val="00136BA4"/>
    <w:rsid w:val="00137CF4"/>
    <w:rsid w:val="00137D5C"/>
    <w:rsid w:val="00137D79"/>
    <w:rsid w:val="00142155"/>
    <w:rsid w:val="00142339"/>
    <w:rsid w:val="0014305A"/>
    <w:rsid w:val="00143AE7"/>
    <w:rsid w:val="001443DF"/>
    <w:rsid w:val="0014483C"/>
    <w:rsid w:val="001462D7"/>
    <w:rsid w:val="00146B7F"/>
    <w:rsid w:val="00146DD8"/>
    <w:rsid w:val="001471B3"/>
    <w:rsid w:val="001474D5"/>
    <w:rsid w:val="00147B72"/>
    <w:rsid w:val="001501E4"/>
    <w:rsid w:val="001503E1"/>
    <w:rsid w:val="00151A5C"/>
    <w:rsid w:val="00151BCA"/>
    <w:rsid w:val="00151DF6"/>
    <w:rsid w:val="0015339B"/>
    <w:rsid w:val="0015366A"/>
    <w:rsid w:val="001542EE"/>
    <w:rsid w:val="001545B9"/>
    <w:rsid w:val="00155193"/>
    <w:rsid w:val="001553EC"/>
    <w:rsid w:val="00155CB8"/>
    <w:rsid w:val="00156045"/>
    <w:rsid w:val="00156750"/>
    <w:rsid w:val="001569DC"/>
    <w:rsid w:val="00156FED"/>
    <w:rsid w:val="00157682"/>
    <w:rsid w:val="00157965"/>
    <w:rsid w:val="00157D54"/>
    <w:rsid w:val="00157EA0"/>
    <w:rsid w:val="00161885"/>
    <w:rsid w:val="00162263"/>
    <w:rsid w:val="00162353"/>
    <w:rsid w:val="001627E3"/>
    <w:rsid w:val="00163DB6"/>
    <w:rsid w:val="00163ED5"/>
    <w:rsid w:val="00164ABA"/>
    <w:rsid w:val="00164EDB"/>
    <w:rsid w:val="0016506B"/>
    <w:rsid w:val="00165F73"/>
    <w:rsid w:val="00166751"/>
    <w:rsid w:val="00167B47"/>
    <w:rsid w:val="001705EF"/>
    <w:rsid w:val="0017062E"/>
    <w:rsid w:val="001706BB"/>
    <w:rsid w:val="00170855"/>
    <w:rsid w:val="00170948"/>
    <w:rsid w:val="00171A00"/>
    <w:rsid w:val="0017277D"/>
    <w:rsid w:val="001734DD"/>
    <w:rsid w:val="001736E7"/>
    <w:rsid w:val="001752DD"/>
    <w:rsid w:val="001755CE"/>
    <w:rsid w:val="00180009"/>
    <w:rsid w:val="001806F1"/>
    <w:rsid w:val="00181408"/>
    <w:rsid w:val="00181970"/>
    <w:rsid w:val="00181A33"/>
    <w:rsid w:val="00181C1D"/>
    <w:rsid w:val="001830F4"/>
    <w:rsid w:val="001836C1"/>
    <w:rsid w:val="00183A41"/>
    <w:rsid w:val="00184C98"/>
    <w:rsid w:val="00185B7D"/>
    <w:rsid w:val="001860E5"/>
    <w:rsid w:val="0018667B"/>
    <w:rsid w:val="00186D9D"/>
    <w:rsid w:val="001874AA"/>
    <w:rsid w:val="001901DF"/>
    <w:rsid w:val="0019083D"/>
    <w:rsid w:val="001909F8"/>
    <w:rsid w:val="001912BC"/>
    <w:rsid w:val="001916EA"/>
    <w:rsid w:val="0019175E"/>
    <w:rsid w:val="0019222C"/>
    <w:rsid w:val="00192491"/>
    <w:rsid w:val="001924E0"/>
    <w:rsid w:val="0019270C"/>
    <w:rsid w:val="001934B7"/>
    <w:rsid w:val="00193C5F"/>
    <w:rsid w:val="001943E8"/>
    <w:rsid w:val="00194422"/>
    <w:rsid w:val="00197156"/>
    <w:rsid w:val="00197325"/>
    <w:rsid w:val="001976AD"/>
    <w:rsid w:val="00197B96"/>
    <w:rsid w:val="001A021F"/>
    <w:rsid w:val="001A0F57"/>
    <w:rsid w:val="001A121B"/>
    <w:rsid w:val="001A16F7"/>
    <w:rsid w:val="001A2510"/>
    <w:rsid w:val="001A2797"/>
    <w:rsid w:val="001A2930"/>
    <w:rsid w:val="001A4E0B"/>
    <w:rsid w:val="001A5BDF"/>
    <w:rsid w:val="001A7E89"/>
    <w:rsid w:val="001B2C2A"/>
    <w:rsid w:val="001B2DEF"/>
    <w:rsid w:val="001B42E2"/>
    <w:rsid w:val="001B5050"/>
    <w:rsid w:val="001B67B7"/>
    <w:rsid w:val="001B7E61"/>
    <w:rsid w:val="001C14B1"/>
    <w:rsid w:val="001C1FA8"/>
    <w:rsid w:val="001C4129"/>
    <w:rsid w:val="001C4ACF"/>
    <w:rsid w:val="001C54E7"/>
    <w:rsid w:val="001C5C56"/>
    <w:rsid w:val="001C5C6B"/>
    <w:rsid w:val="001C5F27"/>
    <w:rsid w:val="001C61F9"/>
    <w:rsid w:val="001C7218"/>
    <w:rsid w:val="001C749F"/>
    <w:rsid w:val="001D01DB"/>
    <w:rsid w:val="001D06B5"/>
    <w:rsid w:val="001D0C83"/>
    <w:rsid w:val="001D1657"/>
    <w:rsid w:val="001D1F12"/>
    <w:rsid w:val="001D280C"/>
    <w:rsid w:val="001D31A7"/>
    <w:rsid w:val="001D3460"/>
    <w:rsid w:val="001D4409"/>
    <w:rsid w:val="001D4A32"/>
    <w:rsid w:val="001D6B89"/>
    <w:rsid w:val="001D6E74"/>
    <w:rsid w:val="001E0C90"/>
    <w:rsid w:val="001E13DE"/>
    <w:rsid w:val="001E1981"/>
    <w:rsid w:val="001E2637"/>
    <w:rsid w:val="001E3B5C"/>
    <w:rsid w:val="001E53C7"/>
    <w:rsid w:val="001E5959"/>
    <w:rsid w:val="001E61A6"/>
    <w:rsid w:val="001E6BFB"/>
    <w:rsid w:val="001E6C60"/>
    <w:rsid w:val="001E755F"/>
    <w:rsid w:val="001E7A57"/>
    <w:rsid w:val="001E7D7B"/>
    <w:rsid w:val="001F110F"/>
    <w:rsid w:val="001F15A6"/>
    <w:rsid w:val="001F1A85"/>
    <w:rsid w:val="001F2972"/>
    <w:rsid w:val="001F3A4C"/>
    <w:rsid w:val="001F3C7C"/>
    <w:rsid w:val="001F3E1F"/>
    <w:rsid w:val="001F4035"/>
    <w:rsid w:val="001F52ED"/>
    <w:rsid w:val="001F670C"/>
    <w:rsid w:val="002015B0"/>
    <w:rsid w:val="0020186C"/>
    <w:rsid w:val="00201992"/>
    <w:rsid w:val="00201E97"/>
    <w:rsid w:val="0020211E"/>
    <w:rsid w:val="0020229B"/>
    <w:rsid w:val="0020396C"/>
    <w:rsid w:val="00203A07"/>
    <w:rsid w:val="00204344"/>
    <w:rsid w:val="00205D1B"/>
    <w:rsid w:val="002065DE"/>
    <w:rsid w:val="00206D15"/>
    <w:rsid w:val="00207A2E"/>
    <w:rsid w:val="00210168"/>
    <w:rsid w:val="00210A44"/>
    <w:rsid w:val="00210ECA"/>
    <w:rsid w:val="002115E8"/>
    <w:rsid w:val="0021195C"/>
    <w:rsid w:val="00211A1F"/>
    <w:rsid w:val="00211A2F"/>
    <w:rsid w:val="00212105"/>
    <w:rsid w:val="00212117"/>
    <w:rsid w:val="00213130"/>
    <w:rsid w:val="00213237"/>
    <w:rsid w:val="00213DA1"/>
    <w:rsid w:val="00213E9A"/>
    <w:rsid w:val="002148A7"/>
    <w:rsid w:val="00215AA2"/>
    <w:rsid w:val="00215C57"/>
    <w:rsid w:val="002173E8"/>
    <w:rsid w:val="00217582"/>
    <w:rsid w:val="002178D7"/>
    <w:rsid w:val="00217A24"/>
    <w:rsid w:val="002209F7"/>
    <w:rsid w:val="00222066"/>
    <w:rsid w:val="0022260A"/>
    <w:rsid w:val="0022262E"/>
    <w:rsid w:val="00223B19"/>
    <w:rsid w:val="00224FB4"/>
    <w:rsid w:val="00225AFD"/>
    <w:rsid w:val="002304A7"/>
    <w:rsid w:val="00230D01"/>
    <w:rsid w:val="002324B7"/>
    <w:rsid w:val="00232556"/>
    <w:rsid w:val="00232BD8"/>
    <w:rsid w:val="00233012"/>
    <w:rsid w:val="002330E9"/>
    <w:rsid w:val="00233A73"/>
    <w:rsid w:val="00234032"/>
    <w:rsid w:val="00234A04"/>
    <w:rsid w:val="00235AC3"/>
    <w:rsid w:val="00236202"/>
    <w:rsid w:val="0023786D"/>
    <w:rsid w:val="00243056"/>
    <w:rsid w:val="00243068"/>
    <w:rsid w:val="0024324A"/>
    <w:rsid w:val="002440FD"/>
    <w:rsid w:val="00244357"/>
    <w:rsid w:val="002448DD"/>
    <w:rsid w:val="00244C9A"/>
    <w:rsid w:val="00244FFE"/>
    <w:rsid w:val="00246B91"/>
    <w:rsid w:val="00247653"/>
    <w:rsid w:val="00247923"/>
    <w:rsid w:val="00247D1B"/>
    <w:rsid w:val="00247DF9"/>
    <w:rsid w:val="00251DCE"/>
    <w:rsid w:val="002522AE"/>
    <w:rsid w:val="00252E68"/>
    <w:rsid w:val="00253C45"/>
    <w:rsid w:val="0025431E"/>
    <w:rsid w:val="00254F9E"/>
    <w:rsid w:val="002555B6"/>
    <w:rsid w:val="00255674"/>
    <w:rsid w:val="0025577D"/>
    <w:rsid w:val="002561D3"/>
    <w:rsid w:val="00256269"/>
    <w:rsid w:val="0025667E"/>
    <w:rsid w:val="00256D17"/>
    <w:rsid w:val="002571F3"/>
    <w:rsid w:val="00260723"/>
    <w:rsid w:val="002607A3"/>
    <w:rsid w:val="002609A9"/>
    <w:rsid w:val="002617E4"/>
    <w:rsid w:val="0026195C"/>
    <w:rsid w:val="00261B21"/>
    <w:rsid w:val="00261B56"/>
    <w:rsid w:val="00262FF0"/>
    <w:rsid w:val="00264C4F"/>
    <w:rsid w:val="002664E2"/>
    <w:rsid w:val="002665C8"/>
    <w:rsid w:val="002675DD"/>
    <w:rsid w:val="002700D9"/>
    <w:rsid w:val="0027038C"/>
    <w:rsid w:val="002708C7"/>
    <w:rsid w:val="002716FB"/>
    <w:rsid w:val="0027286D"/>
    <w:rsid w:val="00272B84"/>
    <w:rsid w:val="002736B8"/>
    <w:rsid w:val="002739F1"/>
    <w:rsid w:val="00273D86"/>
    <w:rsid w:val="00273D89"/>
    <w:rsid w:val="0027505D"/>
    <w:rsid w:val="002750F3"/>
    <w:rsid w:val="00275258"/>
    <w:rsid w:val="002756C1"/>
    <w:rsid w:val="00276228"/>
    <w:rsid w:val="00276940"/>
    <w:rsid w:val="00281581"/>
    <w:rsid w:val="002818A3"/>
    <w:rsid w:val="00282DAE"/>
    <w:rsid w:val="00283EF5"/>
    <w:rsid w:val="00284213"/>
    <w:rsid w:val="0028546B"/>
    <w:rsid w:val="00285B1E"/>
    <w:rsid w:val="00286536"/>
    <w:rsid w:val="00286988"/>
    <w:rsid w:val="00290002"/>
    <w:rsid w:val="00290C2B"/>
    <w:rsid w:val="002910ED"/>
    <w:rsid w:val="00291D3C"/>
    <w:rsid w:val="00291FEA"/>
    <w:rsid w:val="0029219F"/>
    <w:rsid w:val="002937E8"/>
    <w:rsid w:val="00293B8C"/>
    <w:rsid w:val="00293E8A"/>
    <w:rsid w:val="00295203"/>
    <w:rsid w:val="00296089"/>
    <w:rsid w:val="00296189"/>
    <w:rsid w:val="00296F36"/>
    <w:rsid w:val="002975F4"/>
    <w:rsid w:val="002976E3"/>
    <w:rsid w:val="002A0AD1"/>
    <w:rsid w:val="002A0B75"/>
    <w:rsid w:val="002A18CD"/>
    <w:rsid w:val="002A1D98"/>
    <w:rsid w:val="002A1F4B"/>
    <w:rsid w:val="002A2FE1"/>
    <w:rsid w:val="002A31C4"/>
    <w:rsid w:val="002A3483"/>
    <w:rsid w:val="002A41A6"/>
    <w:rsid w:val="002A45E8"/>
    <w:rsid w:val="002A5EB4"/>
    <w:rsid w:val="002B0718"/>
    <w:rsid w:val="002B3027"/>
    <w:rsid w:val="002B3283"/>
    <w:rsid w:val="002B3493"/>
    <w:rsid w:val="002B3A14"/>
    <w:rsid w:val="002B3C42"/>
    <w:rsid w:val="002B4083"/>
    <w:rsid w:val="002B43F5"/>
    <w:rsid w:val="002B526E"/>
    <w:rsid w:val="002B5887"/>
    <w:rsid w:val="002B5D3D"/>
    <w:rsid w:val="002B6EAD"/>
    <w:rsid w:val="002B7C5D"/>
    <w:rsid w:val="002B7F55"/>
    <w:rsid w:val="002B7F6B"/>
    <w:rsid w:val="002C10BD"/>
    <w:rsid w:val="002C14F9"/>
    <w:rsid w:val="002C17AF"/>
    <w:rsid w:val="002C2E3C"/>
    <w:rsid w:val="002C371D"/>
    <w:rsid w:val="002C3CB1"/>
    <w:rsid w:val="002C57E1"/>
    <w:rsid w:val="002C5A53"/>
    <w:rsid w:val="002C5DC3"/>
    <w:rsid w:val="002C6121"/>
    <w:rsid w:val="002C639D"/>
    <w:rsid w:val="002C683D"/>
    <w:rsid w:val="002C70B6"/>
    <w:rsid w:val="002D0B69"/>
    <w:rsid w:val="002D1003"/>
    <w:rsid w:val="002D10AB"/>
    <w:rsid w:val="002D1662"/>
    <w:rsid w:val="002D26B6"/>
    <w:rsid w:val="002D2864"/>
    <w:rsid w:val="002D2D7E"/>
    <w:rsid w:val="002D337E"/>
    <w:rsid w:val="002D39CB"/>
    <w:rsid w:val="002D4102"/>
    <w:rsid w:val="002D49D4"/>
    <w:rsid w:val="002D5071"/>
    <w:rsid w:val="002D5A0E"/>
    <w:rsid w:val="002D6427"/>
    <w:rsid w:val="002D64FE"/>
    <w:rsid w:val="002D69BB"/>
    <w:rsid w:val="002D6D84"/>
    <w:rsid w:val="002D74CF"/>
    <w:rsid w:val="002D763A"/>
    <w:rsid w:val="002D7C63"/>
    <w:rsid w:val="002D7C92"/>
    <w:rsid w:val="002E0D36"/>
    <w:rsid w:val="002E113E"/>
    <w:rsid w:val="002E1215"/>
    <w:rsid w:val="002E1BAA"/>
    <w:rsid w:val="002E206A"/>
    <w:rsid w:val="002E32E7"/>
    <w:rsid w:val="002E36AE"/>
    <w:rsid w:val="002E44DB"/>
    <w:rsid w:val="002E5278"/>
    <w:rsid w:val="002E578A"/>
    <w:rsid w:val="002E654A"/>
    <w:rsid w:val="002E6A27"/>
    <w:rsid w:val="002E7D17"/>
    <w:rsid w:val="002F0DAF"/>
    <w:rsid w:val="002F160B"/>
    <w:rsid w:val="002F39C9"/>
    <w:rsid w:val="002F4358"/>
    <w:rsid w:val="002F5991"/>
    <w:rsid w:val="002F75FF"/>
    <w:rsid w:val="002F7F24"/>
    <w:rsid w:val="0030004D"/>
    <w:rsid w:val="003000E3"/>
    <w:rsid w:val="003005AB"/>
    <w:rsid w:val="00300FDC"/>
    <w:rsid w:val="00301F24"/>
    <w:rsid w:val="0030300C"/>
    <w:rsid w:val="00303B22"/>
    <w:rsid w:val="00304757"/>
    <w:rsid w:val="00304E76"/>
    <w:rsid w:val="003055DD"/>
    <w:rsid w:val="00305902"/>
    <w:rsid w:val="003068FC"/>
    <w:rsid w:val="00306E9E"/>
    <w:rsid w:val="00307D8B"/>
    <w:rsid w:val="00307F4E"/>
    <w:rsid w:val="003102E4"/>
    <w:rsid w:val="00310D4E"/>
    <w:rsid w:val="00311404"/>
    <w:rsid w:val="00311D71"/>
    <w:rsid w:val="00311E59"/>
    <w:rsid w:val="00311F7A"/>
    <w:rsid w:val="003122AC"/>
    <w:rsid w:val="00312544"/>
    <w:rsid w:val="00313638"/>
    <w:rsid w:val="00313FC1"/>
    <w:rsid w:val="00314CE0"/>
    <w:rsid w:val="00316121"/>
    <w:rsid w:val="003161E0"/>
    <w:rsid w:val="003173A2"/>
    <w:rsid w:val="00317F4A"/>
    <w:rsid w:val="00320AF9"/>
    <w:rsid w:val="003211E5"/>
    <w:rsid w:val="003215CB"/>
    <w:rsid w:val="003220EC"/>
    <w:rsid w:val="00322547"/>
    <w:rsid w:val="0032284B"/>
    <w:rsid w:val="00322C31"/>
    <w:rsid w:val="00323470"/>
    <w:rsid w:val="003234C1"/>
    <w:rsid w:val="0032383B"/>
    <w:rsid w:val="00323AEE"/>
    <w:rsid w:val="00324629"/>
    <w:rsid w:val="00324942"/>
    <w:rsid w:val="003256DA"/>
    <w:rsid w:val="00325F10"/>
    <w:rsid w:val="003278E2"/>
    <w:rsid w:val="00327C83"/>
    <w:rsid w:val="00327CB4"/>
    <w:rsid w:val="003314A2"/>
    <w:rsid w:val="0033180A"/>
    <w:rsid w:val="003324AE"/>
    <w:rsid w:val="00332755"/>
    <w:rsid w:val="00332758"/>
    <w:rsid w:val="00333D26"/>
    <w:rsid w:val="003341F5"/>
    <w:rsid w:val="00334BBF"/>
    <w:rsid w:val="00335FD3"/>
    <w:rsid w:val="00340404"/>
    <w:rsid w:val="003416A9"/>
    <w:rsid w:val="00341B1F"/>
    <w:rsid w:val="00341C70"/>
    <w:rsid w:val="00342232"/>
    <w:rsid w:val="0034234D"/>
    <w:rsid w:val="0034294C"/>
    <w:rsid w:val="00342DD7"/>
    <w:rsid w:val="00342F58"/>
    <w:rsid w:val="0034425F"/>
    <w:rsid w:val="00344A42"/>
    <w:rsid w:val="0034505B"/>
    <w:rsid w:val="00345847"/>
    <w:rsid w:val="00345904"/>
    <w:rsid w:val="00346BE9"/>
    <w:rsid w:val="00346DB2"/>
    <w:rsid w:val="00351551"/>
    <w:rsid w:val="00351E99"/>
    <w:rsid w:val="003527AD"/>
    <w:rsid w:val="00352805"/>
    <w:rsid w:val="00352E10"/>
    <w:rsid w:val="003540F0"/>
    <w:rsid w:val="003568E3"/>
    <w:rsid w:val="003570F9"/>
    <w:rsid w:val="00357BF0"/>
    <w:rsid w:val="00357F10"/>
    <w:rsid w:val="00361259"/>
    <w:rsid w:val="00361414"/>
    <w:rsid w:val="00361930"/>
    <w:rsid w:val="0036235C"/>
    <w:rsid w:val="00362AD2"/>
    <w:rsid w:val="0036323C"/>
    <w:rsid w:val="003637A9"/>
    <w:rsid w:val="00364C10"/>
    <w:rsid w:val="00364D92"/>
    <w:rsid w:val="003651A8"/>
    <w:rsid w:val="00365344"/>
    <w:rsid w:val="00365624"/>
    <w:rsid w:val="003658DD"/>
    <w:rsid w:val="0036697F"/>
    <w:rsid w:val="00370538"/>
    <w:rsid w:val="00370B38"/>
    <w:rsid w:val="00370D6F"/>
    <w:rsid w:val="00370EE3"/>
    <w:rsid w:val="00371214"/>
    <w:rsid w:val="00371669"/>
    <w:rsid w:val="00371CF5"/>
    <w:rsid w:val="003727CE"/>
    <w:rsid w:val="00372AE2"/>
    <w:rsid w:val="00372DB9"/>
    <w:rsid w:val="0037316E"/>
    <w:rsid w:val="0037402E"/>
    <w:rsid w:val="00374A1A"/>
    <w:rsid w:val="0037542D"/>
    <w:rsid w:val="003757DC"/>
    <w:rsid w:val="003757FE"/>
    <w:rsid w:val="00376BFC"/>
    <w:rsid w:val="0037701D"/>
    <w:rsid w:val="00380344"/>
    <w:rsid w:val="003805CF"/>
    <w:rsid w:val="00380C44"/>
    <w:rsid w:val="003813A4"/>
    <w:rsid w:val="00381482"/>
    <w:rsid w:val="0038155D"/>
    <w:rsid w:val="00381865"/>
    <w:rsid w:val="00381B85"/>
    <w:rsid w:val="00381E12"/>
    <w:rsid w:val="0038206F"/>
    <w:rsid w:val="00382C6A"/>
    <w:rsid w:val="003837C7"/>
    <w:rsid w:val="00383877"/>
    <w:rsid w:val="003843FB"/>
    <w:rsid w:val="00384B1E"/>
    <w:rsid w:val="00384FA3"/>
    <w:rsid w:val="0038630C"/>
    <w:rsid w:val="00386BE7"/>
    <w:rsid w:val="00386DF4"/>
    <w:rsid w:val="00387E7E"/>
    <w:rsid w:val="00390B0B"/>
    <w:rsid w:val="00391430"/>
    <w:rsid w:val="003916E3"/>
    <w:rsid w:val="00391A1F"/>
    <w:rsid w:val="00391E2B"/>
    <w:rsid w:val="00392065"/>
    <w:rsid w:val="003920B6"/>
    <w:rsid w:val="003942FB"/>
    <w:rsid w:val="003955A2"/>
    <w:rsid w:val="00396B4C"/>
    <w:rsid w:val="00397821"/>
    <w:rsid w:val="00397903"/>
    <w:rsid w:val="00397B8E"/>
    <w:rsid w:val="00397DFA"/>
    <w:rsid w:val="003A09F4"/>
    <w:rsid w:val="003A1061"/>
    <w:rsid w:val="003A10F5"/>
    <w:rsid w:val="003A1A6E"/>
    <w:rsid w:val="003A3662"/>
    <w:rsid w:val="003A3758"/>
    <w:rsid w:val="003A454B"/>
    <w:rsid w:val="003A4B3C"/>
    <w:rsid w:val="003A4E67"/>
    <w:rsid w:val="003A5ED9"/>
    <w:rsid w:val="003A6386"/>
    <w:rsid w:val="003A6402"/>
    <w:rsid w:val="003A6564"/>
    <w:rsid w:val="003A683B"/>
    <w:rsid w:val="003A72E5"/>
    <w:rsid w:val="003B12A8"/>
    <w:rsid w:val="003B253C"/>
    <w:rsid w:val="003B367D"/>
    <w:rsid w:val="003B3E7D"/>
    <w:rsid w:val="003B559E"/>
    <w:rsid w:val="003B5659"/>
    <w:rsid w:val="003B59D9"/>
    <w:rsid w:val="003B5D45"/>
    <w:rsid w:val="003B6549"/>
    <w:rsid w:val="003B6952"/>
    <w:rsid w:val="003B6B60"/>
    <w:rsid w:val="003B7271"/>
    <w:rsid w:val="003B79CA"/>
    <w:rsid w:val="003B7C93"/>
    <w:rsid w:val="003B7EA3"/>
    <w:rsid w:val="003C0590"/>
    <w:rsid w:val="003C10DD"/>
    <w:rsid w:val="003C1190"/>
    <w:rsid w:val="003C1289"/>
    <w:rsid w:val="003C277C"/>
    <w:rsid w:val="003C2F13"/>
    <w:rsid w:val="003C3300"/>
    <w:rsid w:val="003C3481"/>
    <w:rsid w:val="003C3791"/>
    <w:rsid w:val="003C3EDA"/>
    <w:rsid w:val="003C422D"/>
    <w:rsid w:val="003C4D2F"/>
    <w:rsid w:val="003C5ABF"/>
    <w:rsid w:val="003C5CB5"/>
    <w:rsid w:val="003C62B7"/>
    <w:rsid w:val="003C6377"/>
    <w:rsid w:val="003C7198"/>
    <w:rsid w:val="003D10D2"/>
    <w:rsid w:val="003D137A"/>
    <w:rsid w:val="003D1E45"/>
    <w:rsid w:val="003D300E"/>
    <w:rsid w:val="003D38A0"/>
    <w:rsid w:val="003D4248"/>
    <w:rsid w:val="003D430B"/>
    <w:rsid w:val="003D4BD2"/>
    <w:rsid w:val="003D5A9D"/>
    <w:rsid w:val="003D60B9"/>
    <w:rsid w:val="003D60DB"/>
    <w:rsid w:val="003D647D"/>
    <w:rsid w:val="003D67E1"/>
    <w:rsid w:val="003D6C22"/>
    <w:rsid w:val="003D77C8"/>
    <w:rsid w:val="003D7B1B"/>
    <w:rsid w:val="003D7B35"/>
    <w:rsid w:val="003E01CB"/>
    <w:rsid w:val="003E01D7"/>
    <w:rsid w:val="003E11C1"/>
    <w:rsid w:val="003E15AA"/>
    <w:rsid w:val="003E2BFA"/>
    <w:rsid w:val="003E45FD"/>
    <w:rsid w:val="003E46E0"/>
    <w:rsid w:val="003E5F8D"/>
    <w:rsid w:val="003E6829"/>
    <w:rsid w:val="003E744E"/>
    <w:rsid w:val="003E7467"/>
    <w:rsid w:val="003F0E5A"/>
    <w:rsid w:val="003F10BC"/>
    <w:rsid w:val="003F15D5"/>
    <w:rsid w:val="003F2914"/>
    <w:rsid w:val="003F2F87"/>
    <w:rsid w:val="003F3AD2"/>
    <w:rsid w:val="003F3D20"/>
    <w:rsid w:val="003F3D3D"/>
    <w:rsid w:val="003F4191"/>
    <w:rsid w:val="003F4477"/>
    <w:rsid w:val="003F45B8"/>
    <w:rsid w:val="003F4820"/>
    <w:rsid w:val="003F4A55"/>
    <w:rsid w:val="003F4FAB"/>
    <w:rsid w:val="003F5594"/>
    <w:rsid w:val="003F55E7"/>
    <w:rsid w:val="003F5CA7"/>
    <w:rsid w:val="003F6096"/>
    <w:rsid w:val="003F7971"/>
    <w:rsid w:val="003F79CD"/>
    <w:rsid w:val="003F7D1B"/>
    <w:rsid w:val="004007DB"/>
    <w:rsid w:val="00400880"/>
    <w:rsid w:val="004009FF"/>
    <w:rsid w:val="00400C8B"/>
    <w:rsid w:val="004012CC"/>
    <w:rsid w:val="00401A89"/>
    <w:rsid w:val="00401AC9"/>
    <w:rsid w:val="00401F06"/>
    <w:rsid w:val="004024F1"/>
    <w:rsid w:val="00402843"/>
    <w:rsid w:val="00402F7C"/>
    <w:rsid w:val="00403433"/>
    <w:rsid w:val="00403EE9"/>
    <w:rsid w:val="004043A2"/>
    <w:rsid w:val="004048AF"/>
    <w:rsid w:val="004050FD"/>
    <w:rsid w:val="00405121"/>
    <w:rsid w:val="00406119"/>
    <w:rsid w:val="00406C2F"/>
    <w:rsid w:val="00407F6E"/>
    <w:rsid w:val="0041079B"/>
    <w:rsid w:val="00410D40"/>
    <w:rsid w:val="00411141"/>
    <w:rsid w:val="004125F3"/>
    <w:rsid w:val="00412922"/>
    <w:rsid w:val="00412A51"/>
    <w:rsid w:val="00414707"/>
    <w:rsid w:val="00414E62"/>
    <w:rsid w:val="00415BBD"/>
    <w:rsid w:val="00416102"/>
    <w:rsid w:val="0041786D"/>
    <w:rsid w:val="004200F1"/>
    <w:rsid w:val="004205F7"/>
    <w:rsid w:val="00420ECB"/>
    <w:rsid w:val="004218B7"/>
    <w:rsid w:val="0042200D"/>
    <w:rsid w:val="00422355"/>
    <w:rsid w:val="00422B09"/>
    <w:rsid w:val="00422DCF"/>
    <w:rsid w:val="00423031"/>
    <w:rsid w:val="0042315C"/>
    <w:rsid w:val="00423691"/>
    <w:rsid w:val="0042460B"/>
    <w:rsid w:val="004248C4"/>
    <w:rsid w:val="004248EB"/>
    <w:rsid w:val="0042583E"/>
    <w:rsid w:val="0042591B"/>
    <w:rsid w:val="00426DC2"/>
    <w:rsid w:val="00427452"/>
    <w:rsid w:val="004274B0"/>
    <w:rsid w:val="00427D01"/>
    <w:rsid w:val="0043080D"/>
    <w:rsid w:val="004308C9"/>
    <w:rsid w:val="00430F0B"/>
    <w:rsid w:val="00431297"/>
    <w:rsid w:val="00431481"/>
    <w:rsid w:val="00431D1A"/>
    <w:rsid w:val="00431FCE"/>
    <w:rsid w:val="00432A39"/>
    <w:rsid w:val="00432F0F"/>
    <w:rsid w:val="00432FA3"/>
    <w:rsid w:val="00433227"/>
    <w:rsid w:val="0043379B"/>
    <w:rsid w:val="00433959"/>
    <w:rsid w:val="00434521"/>
    <w:rsid w:val="00435338"/>
    <w:rsid w:val="00435C59"/>
    <w:rsid w:val="00435E78"/>
    <w:rsid w:val="004364DC"/>
    <w:rsid w:val="00436A23"/>
    <w:rsid w:val="004373CD"/>
    <w:rsid w:val="004374CC"/>
    <w:rsid w:val="00437A7F"/>
    <w:rsid w:val="00440AE4"/>
    <w:rsid w:val="00440C79"/>
    <w:rsid w:val="00440FBB"/>
    <w:rsid w:val="00441801"/>
    <w:rsid w:val="00441A24"/>
    <w:rsid w:val="00442C53"/>
    <w:rsid w:val="0044338F"/>
    <w:rsid w:val="00443C0F"/>
    <w:rsid w:val="00444AAB"/>
    <w:rsid w:val="00445268"/>
    <w:rsid w:val="00445A89"/>
    <w:rsid w:val="00445C03"/>
    <w:rsid w:val="00446354"/>
    <w:rsid w:val="004467D3"/>
    <w:rsid w:val="00447E03"/>
    <w:rsid w:val="00450486"/>
    <w:rsid w:val="004508BA"/>
    <w:rsid w:val="00450F98"/>
    <w:rsid w:val="00451132"/>
    <w:rsid w:val="00451205"/>
    <w:rsid w:val="00453C5E"/>
    <w:rsid w:val="00453D48"/>
    <w:rsid w:val="004541C8"/>
    <w:rsid w:val="0045494F"/>
    <w:rsid w:val="00455142"/>
    <w:rsid w:val="0045516F"/>
    <w:rsid w:val="00455782"/>
    <w:rsid w:val="00455B4E"/>
    <w:rsid w:val="00455CB6"/>
    <w:rsid w:val="00457372"/>
    <w:rsid w:val="00457DFE"/>
    <w:rsid w:val="00460001"/>
    <w:rsid w:val="00461C4E"/>
    <w:rsid w:val="0046208D"/>
    <w:rsid w:val="00462D75"/>
    <w:rsid w:val="00463081"/>
    <w:rsid w:val="0046396B"/>
    <w:rsid w:val="00465878"/>
    <w:rsid w:val="004668EC"/>
    <w:rsid w:val="00467020"/>
    <w:rsid w:val="0047140D"/>
    <w:rsid w:val="00472192"/>
    <w:rsid w:val="00472FDE"/>
    <w:rsid w:val="00474B80"/>
    <w:rsid w:val="00474C74"/>
    <w:rsid w:val="00475C95"/>
    <w:rsid w:val="004765B6"/>
    <w:rsid w:val="00476BC5"/>
    <w:rsid w:val="00480871"/>
    <w:rsid w:val="004808B0"/>
    <w:rsid w:val="00480B02"/>
    <w:rsid w:val="00481BCD"/>
    <w:rsid w:val="0048224C"/>
    <w:rsid w:val="00482264"/>
    <w:rsid w:val="004822C8"/>
    <w:rsid w:val="00482715"/>
    <w:rsid w:val="00482CE8"/>
    <w:rsid w:val="004837DF"/>
    <w:rsid w:val="0048386D"/>
    <w:rsid w:val="004838FA"/>
    <w:rsid w:val="00486AAF"/>
    <w:rsid w:val="00486BE9"/>
    <w:rsid w:val="00487716"/>
    <w:rsid w:val="0048793C"/>
    <w:rsid w:val="004900E3"/>
    <w:rsid w:val="004912D9"/>
    <w:rsid w:val="0049146C"/>
    <w:rsid w:val="00491887"/>
    <w:rsid w:val="00491A79"/>
    <w:rsid w:val="00491CDA"/>
    <w:rsid w:val="0049212F"/>
    <w:rsid w:val="0049301E"/>
    <w:rsid w:val="004939DA"/>
    <w:rsid w:val="0049427E"/>
    <w:rsid w:val="00494B59"/>
    <w:rsid w:val="00494C4F"/>
    <w:rsid w:val="00495A03"/>
    <w:rsid w:val="00495AC8"/>
    <w:rsid w:val="00496DA3"/>
    <w:rsid w:val="00497469"/>
    <w:rsid w:val="004976BB"/>
    <w:rsid w:val="0049786B"/>
    <w:rsid w:val="004A08DA"/>
    <w:rsid w:val="004A099A"/>
    <w:rsid w:val="004A12AA"/>
    <w:rsid w:val="004A4FFF"/>
    <w:rsid w:val="004A5947"/>
    <w:rsid w:val="004A5A84"/>
    <w:rsid w:val="004A5B1A"/>
    <w:rsid w:val="004A7991"/>
    <w:rsid w:val="004A7C68"/>
    <w:rsid w:val="004B0612"/>
    <w:rsid w:val="004B0715"/>
    <w:rsid w:val="004B23E3"/>
    <w:rsid w:val="004B262F"/>
    <w:rsid w:val="004B2C74"/>
    <w:rsid w:val="004B3D8E"/>
    <w:rsid w:val="004B4BBB"/>
    <w:rsid w:val="004B4EFA"/>
    <w:rsid w:val="004B57E2"/>
    <w:rsid w:val="004B5C27"/>
    <w:rsid w:val="004B5E0A"/>
    <w:rsid w:val="004B6408"/>
    <w:rsid w:val="004B642D"/>
    <w:rsid w:val="004B6BE7"/>
    <w:rsid w:val="004C0943"/>
    <w:rsid w:val="004C0CED"/>
    <w:rsid w:val="004C1A8F"/>
    <w:rsid w:val="004C21A0"/>
    <w:rsid w:val="004C3746"/>
    <w:rsid w:val="004C37E9"/>
    <w:rsid w:val="004C4882"/>
    <w:rsid w:val="004C4907"/>
    <w:rsid w:val="004C51B3"/>
    <w:rsid w:val="004C5381"/>
    <w:rsid w:val="004C5ED2"/>
    <w:rsid w:val="004C6583"/>
    <w:rsid w:val="004C6730"/>
    <w:rsid w:val="004D139B"/>
    <w:rsid w:val="004D13A1"/>
    <w:rsid w:val="004D1559"/>
    <w:rsid w:val="004D1961"/>
    <w:rsid w:val="004D21EC"/>
    <w:rsid w:val="004D2366"/>
    <w:rsid w:val="004D36A3"/>
    <w:rsid w:val="004D510B"/>
    <w:rsid w:val="004D51AB"/>
    <w:rsid w:val="004D5335"/>
    <w:rsid w:val="004D5346"/>
    <w:rsid w:val="004D5AC9"/>
    <w:rsid w:val="004D6107"/>
    <w:rsid w:val="004D67F4"/>
    <w:rsid w:val="004D6D01"/>
    <w:rsid w:val="004D74F0"/>
    <w:rsid w:val="004D7CEE"/>
    <w:rsid w:val="004E093A"/>
    <w:rsid w:val="004E2472"/>
    <w:rsid w:val="004E2A8A"/>
    <w:rsid w:val="004E2C0E"/>
    <w:rsid w:val="004E2C93"/>
    <w:rsid w:val="004E2F8E"/>
    <w:rsid w:val="004E30F4"/>
    <w:rsid w:val="004E4130"/>
    <w:rsid w:val="004E48A8"/>
    <w:rsid w:val="004E6117"/>
    <w:rsid w:val="004E6338"/>
    <w:rsid w:val="004E6D99"/>
    <w:rsid w:val="004E6DA9"/>
    <w:rsid w:val="004E6F8D"/>
    <w:rsid w:val="004E7DA3"/>
    <w:rsid w:val="004F0157"/>
    <w:rsid w:val="004F05B3"/>
    <w:rsid w:val="004F0636"/>
    <w:rsid w:val="004F1309"/>
    <w:rsid w:val="004F190B"/>
    <w:rsid w:val="004F2BCE"/>
    <w:rsid w:val="004F2C95"/>
    <w:rsid w:val="004F34A8"/>
    <w:rsid w:val="004F4AE0"/>
    <w:rsid w:val="004F526C"/>
    <w:rsid w:val="004F53DE"/>
    <w:rsid w:val="004F54BA"/>
    <w:rsid w:val="004F6E7B"/>
    <w:rsid w:val="004F7BE4"/>
    <w:rsid w:val="005000FE"/>
    <w:rsid w:val="00500D41"/>
    <w:rsid w:val="005012E8"/>
    <w:rsid w:val="005022B1"/>
    <w:rsid w:val="00503685"/>
    <w:rsid w:val="005043DE"/>
    <w:rsid w:val="00504FB2"/>
    <w:rsid w:val="0050697C"/>
    <w:rsid w:val="00506B42"/>
    <w:rsid w:val="0050738C"/>
    <w:rsid w:val="00507696"/>
    <w:rsid w:val="00510C9A"/>
    <w:rsid w:val="005118AB"/>
    <w:rsid w:val="00511F55"/>
    <w:rsid w:val="00512034"/>
    <w:rsid w:val="005127A4"/>
    <w:rsid w:val="00513E13"/>
    <w:rsid w:val="005142D5"/>
    <w:rsid w:val="005147EB"/>
    <w:rsid w:val="00514D3A"/>
    <w:rsid w:val="00514F73"/>
    <w:rsid w:val="0051630C"/>
    <w:rsid w:val="00516587"/>
    <w:rsid w:val="00516C44"/>
    <w:rsid w:val="005202A5"/>
    <w:rsid w:val="005207DD"/>
    <w:rsid w:val="0052198A"/>
    <w:rsid w:val="00521B8C"/>
    <w:rsid w:val="005223B9"/>
    <w:rsid w:val="00522F14"/>
    <w:rsid w:val="00523256"/>
    <w:rsid w:val="00523BAC"/>
    <w:rsid w:val="005247A2"/>
    <w:rsid w:val="005263FC"/>
    <w:rsid w:val="005266BB"/>
    <w:rsid w:val="00526A9B"/>
    <w:rsid w:val="00527175"/>
    <w:rsid w:val="00527C3A"/>
    <w:rsid w:val="00527F41"/>
    <w:rsid w:val="00530047"/>
    <w:rsid w:val="00530A1C"/>
    <w:rsid w:val="00530C9C"/>
    <w:rsid w:val="005318B3"/>
    <w:rsid w:val="00532923"/>
    <w:rsid w:val="005329A6"/>
    <w:rsid w:val="00532ED5"/>
    <w:rsid w:val="00532F88"/>
    <w:rsid w:val="005333FE"/>
    <w:rsid w:val="00533FB8"/>
    <w:rsid w:val="005340AF"/>
    <w:rsid w:val="00535141"/>
    <w:rsid w:val="005352D5"/>
    <w:rsid w:val="00535524"/>
    <w:rsid w:val="00535946"/>
    <w:rsid w:val="00536125"/>
    <w:rsid w:val="005361E9"/>
    <w:rsid w:val="005376EB"/>
    <w:rsid w:val="0053791D"/>
    <w:rsid w:val="00540244"/>
    <w:rsid w:val="00540770"/>
    <w:rsid w:val="0054082E"/>
    <w:rsid w:val="0054132B"/>
    <w:rsid w:val="00541D5A"/>
    <w:rsid w:val="005426C9"/>
    <w:rsid w:val="00542A09"/>
    <w:rsid w:val="00542A4C"/>
    <w:rsid w:val="00542B88"/>
    <w:rsid w:val="005434F0"/>
    <w:rsid w:val="005448F9"/>
    <w:rsid w:val="00545C97"/>
    <w:rsid w:val="00546111"/>
    <w:rsid w:val="0054631A"/>
    <w:rsid w:val="0054642D"/>
    <w:rsid w:val="005465BD"/>
    <w:rsid w:val="005474A7"/>
    <w:rsid w:val="00547A83"/>
    <w:rsid w:val="00550159"/>
    <w:rsid w:val="005509AF"/>
    <w:rsid w:val="00551078"/>
    <w:rsid w:val="005528D7"/>
    <w:rsid w:val="0055319A"/>
    <w:rsid w:val="005537F4"/>
    <w:rsid w:val="005538D4"/>
    <w:rsid w:val="00553A93"/>
    <w:rsid w:val="00553E41"/>
    <w:rsid w:val="00555925"/>
    <w:rsid w:val="0055605B"/>
    <w:rsid w:val="005566D9"/>
    <w:rsid w:val="00556ACF"/>
    <w:rsid w:val="00556B93"/>
    <w:rsid w:val="00557A2E"/>
    <w:rsid w:val="00560DE7"/>
    <w:rsid w:val="005611E9"/>
    <w:rsid w:val="005619A4"/>
    <w:rsid w:val="00563148"/>
    <w:rsid w:val="005636D0"/>
    <w:rsid w:val="00563BAA"/>
    <w:rsid w:val="00564925"/>
    <w:rsid w:val="00565404"/>
    <w:rsid w:val="005669E8"/>
    <w:rsid w:val="00566DA5"/>
    <w:rsid w:val="005704A3"/>
    <w:rsid w:val="00570B35"/>
    <w:rsid w:val="00570DA0"/>
    <w:rsid w:val="00572AAC"/>
    <w:rsid w:val="00572BAA"/>
    <w:rsid w:val="00574854"/>
    <w:rsid w:val="00576136"/>
    <w:rsid w:val="005764D5"/>
    <w:rsid w:val="005765A1"/>
    <w:rsid w:val="00576728"/>
    <w:rsid w:val="00576A34"/>
    <w:rsid w:val="00576B06"/>
    <w:rsid w:val="00576D12"/>
    <w:rsid w:val="0058049C"/>
    <w:rsid w:val="00580792"/>
    <w:rsid w:val="005810D8"/>
    <w:rsid w:val="0058113B"/>
    <w:rsid w:val="00581334"/>
    <w:rsid w:val="00581616"/>
    <w:rsid w:val="00582386"/>
    <w:rsid w:val="0058274E"/>
    <w:rsid w:val="00582A77"/>
    <w:rsid w:val="005837DC"/>
    <w:rsid w:val="00583B02"/>
    <w:rsid w:val="00583CF2"/>
    <w:rsid w:val="005841F7"/>
    <w:rsid w:val="00584E4B"/>
    <w:rsid w:val="0058538A"/>
    <w:rsid w:val="00585B72"/>
    <w:rsid w:val="00587D61"/>
    <w:rsid w:val="00590317"/>
    <w:rsid w:val="00590DF9"/>
    <w:rsid w:val="00591315"/>
    <w:rsid w:val="0059175E"/>
    <w:rsid w:val="00592F02"/>
    <w:rsid w:val="005930B9"/>
    <w:rsid w:val="00593C07"/>
    <w:rsid w:val="00594161"/>
    <w:rsid w:val="00594E60"/>
    <w:rsid w:val="00595052"/>
    <w:rsid w:val="0059507A"/>
    <w:rsid w:val="00595D1B"/>
    <w:rsid w:val="00596874"/>
    <w:rsid w:val="0059768A"/>
    <w:rsid w:val="00597A56"/>
    <w:rsid w:val="00597F82"/>
    <w:rsid w:val="005A027C"/>
    <w:rsid w:val="005A0302"/>
    <w:rsid w:val="005A0E90"/>
    <w:rsid w:val="005A1B17"/>
    <w:rsid w:val="005A26D5"/>
    <w:rsid w:val="005A337D"/>
    <w:rsid w:val="005A3964"/>
    <w:rsid w:val="005A397E"/>
    <w:rsid w:val="005A3E3D"/>
    <w:rsid w:val="005A4A8C"/>
    <w:rsid w:val="005A5060"/>
    <w:rsid w:val="005A6286"/>
    <w:rsid w:val="005A71B8"/>
    <w:rsid w:val="005A72C9"/>
    <w:rsid w:val="005A73D1"/>
    <w:rsid w:val="005B0841"/>
    <w:rsid w:val="005B0D42"/>
    <w:rsid w:val="005B1BCB"/>
    <w:rsid w:val="005B1D57"/>
    <w:rsid w:val="005B2003"/>
    <w:rsid w:val="005B296B"/>
    <w:rsid w:val="005B2A20"/>
    <w:rsid w:val="005B317C"/>
    <w:rsid w:val="005B348A"/>
    <w:rsid w:val="005B364C"/>
    <w:rsid w:val="005B39B6"/>
    <w:rsid w:val="005B5728"/>
    <w:rsid w:val="005B5A28"/>
    <w:rsid w:val="005B6660"/>
    <w:rsid w:val="005B666F"/>
    <w:rsid w:val="005B6B13"/>
    <w:rsid w:val="005B713F"/>
    <w:rsid w:val="005C1315"/>
    <w:rsid w:val="005C1AC2"/>
    <w:rsid w:val="005C226F"/>
    <w:rsid w:val="005C245F"/>
    <w:rsid w:val="005C3E4B"/>
    <w:rsid w:val="005C54A5"/>
    <w:rsid w:val="005C5E1B"/>
    <w:rsid w:val="005C600A"/>
    <w:rsid w:val="005C704B"/>
    <w:rsid w:val="005C7F76"/>
    <w:rsid w:val="005D0E31"/>
    <w:rsid w:val="005D0FF6"/>
    <w:rsid w:val="005D1701"/>
    <w:rsid w:val="005D1814"/>
    <w:rsid w:val="005D2582"/>
    <w:rsid w:val="005D2F4F"/>
    <w:rsid w:val="005D31A0"/>
    <w:rsid w:val="005D4680"/>
    <w:rsid w:val="005D4F77"/>
    <w:rsid w:val="005D50E5"/>
    <w:rsid w:val="005D6723"/>
    <w:rsid w:val="005D6ADC"/>
    <w:rsid w:val="005D6EAC"/>
    <w:rsid w:val="005D74B4"/>
    <w:rsid w:val="005D7875"/>
    <w:rsid w:val="005D7A7D"/>
    <w:rsid w:val="005E041E"/>
    <w:rsid w:val="005E066A"/>
    <w:rsid w:val="005E08F0"/>
    <w:rsid w:val="005E0AC9"/>
    <w:rsid w:val="005E171D"/>
    <w:rsid w:val="005E17B9"/>
    <w:rsid w:val="005E209B"/>
    <w:rsid w:val="005E2853"/>
    <w:rsid w:val="005E29DB"/>
    <w:rsid w:val="005E3525"/>
    <w:rsid w:val="005E3789"/>
    <w:rsid w:val="005E58AD"/>
    <w:rsid w:val="005E6190"/>
    <w:rsid w:val="005E6856"/>
    <w:rsid w:val="005E6B85"/>
    <w:rsid w:val="005E6D04"/>
    <w:rsid w:val="005E711C"/>
    <w:rsid w:val="005E78FF"/>
    <w:rsid w:val="005E7B35"/>
    <w:rsid w:val="005F0485"/>
    <w:rsid w:val="005F0FB2"/>
    <w:rsid w:val="005F1F14"/>
    <w:rsid w:val="005F2D59"/>
    <w:rsid w:val="005F35C2"/>
    <w:rsid w:val="005F4702"/>
    <w:rsid w:val="005F5F5F"/>
    <w:rsid w:val="005F65D9"/>
    <w:rsid w:val="005F688B"/>
    <w:rsid w:val="00600EF7"/>
    <w:rsid w:val="006013D6"/>
    <w:rsid w:val="00601FFA"/>
    <w:rsid w:val="0060211B"/>
    <w:rsid w:val="0060313A"/>
    <w:rsid w:val="00605458"/>
    <w:rsid w:val="0060612E"/>
    <w:rsid w:val="00606422"/>
    <w:rsid w:val="006073FA"/>
    <w:rsid w:val="00610966"/>
    <w:rsid w:val="00611412"/>
    <w:rsid w:val="00611A6B"/>
    <w:rsid w:val="00611B75"/>
    <w:rsid w:val="00612785"/>
    <w:rsid w:val="00615124"/>
    <w:rsid w:val="00615F1A"/>
    <w:rsid w:val="0061613C"/>
    <w:rsid w:val="00616A37"/>
    <w:rsid w:val="00616CF1"/>
    <w:rsid w:val="00617A49"/>
    <w:rsid w:val="00617E8B"/>
    <w:rsid w:val="00620D23"/>
    <w:rsid w:val="0062494A"/>
    <w:rsid w:val="006253F1"/>
    <w:rsid w:val="00625550"/>
    <w:rsid w:val="0062588D"/>
    <w:rsid w:val="00625D3E"/>
    <w:rsid w:val="0062628B"/>
    <w:rsid w:val="006264B1"/>
    <w:rsid w:val="006269C8"/>
    <w:rsid w:val="00626C32"/>
    <w:rsid w:val="00630DAC"/>
    <w:rsid w:val="00630E1C"/>
    <w:rsid w:val="006319BA"/>
    <w:rsid w:val="0063335C"/>
    <w:rsid w:val="00634790"/>
    <w:rsid w:val="00635980"/>
    <w:rsid w:val="006359EA"/>
    <w:rsid w:val="00635F47"/>
    <w:rsid w:val="00636249"/>
    <w:rsid w:val="00636FC8"/>
    <w:rsid w:val="00637543"/>
    <w:rsid w:val="006377D7"/>
    <w:rsid w:val="00637A0C"/>
    <w:rsid w:val="0064007E"/>
    <w:rsid w:val="00640268"/>
    <w:rsid w:val="00640359"/>
    <w:rsid w:val="00640DEB"/>
    <w:rsid w:val="0064259B"/>
    <w:rsid w:val="00643270"/>
    <w:rsid w:val="00643300"/>
    <w:rsid w:val="006433F9"/>
    <w:rsid w:val="006435C5"/>
    <w:rsid w:val="0064371D"/>
    <w:rsid w:val="006439B3"/>
    <w:rsid w:val="00643CB6"/>
    <w:rsid w:val="00644070"/>
    <w:rsid w:val="0064411E"/>
    <w:rsid w:val="00644909"/>
    <w:rsid w:val="00644F15"/>
    <w:rsid w:val="00646034"/>
    <w:rsid w:val="006478F1"/>
    <w:rsid w:val="006502FA"/>
    <w:rsid w:val="00650C43"/>
    <w:rsid w:val="0065126D"/>
    <w:rsid w:val="00651A76"/>
    <w:rsid w:val="00651B78"/>
    <w:rsid w:val="00651D3F"/>
    <w:rsid w:val="00651EDB"/>
    <w:rsid w:val="00652DD2"/>
    <w:rsid w:val="00653120"/>
    <w:rsid w:val="0065369D"/>
    <w:rsid w:val="00653D99"/>
    <w:rsid w:val="006542F9"/>
    <w:rsid w:val="00654444"/>
    <w:rsid w:val="00654E03"/>
    <w:rsid w:val="0065533B"/>
    <w:rsid w:val="00657D73"/>
    <w:rsid w:val="006605C3"/>
    <w:rsid w:val="006624B4"/>
    <w:rsid w:val="0066259C"/>
    <w:rsid w:val="00662E80"/>
    <w:rsid w:val="00663333"/>
    <w:rsid w:val="00663536"/>
    <w:rsid w:val="00663932"/>
    <w:rsid w:val="006646FE"/>
    <w:rsid w:val="00664AD9"/>
    <w:rsid w:val="00664F00"/>
    <w:rsid w:val="0066550E"/>
    <w:rsid w:val="006655F4"/>
    <w:rsid w:val="00666262"/>
    <w:rsid w:val="006672E1"/>
    <w:rsid w:val="0066747F"/>
    <w:rsid w:val="00670379"/>
    <w:rsid w:val="00671016"/>
    <w:rsid w:val="00671C9E"/>
    <w:rsid w:val="006721A6"/>
    <w:rsid w:val="0067233C"/>
    <w:rsid w:val="006726BA"/>
    <w:rsid w:val="00672F92"/>
    <w:rsid w:val="006730DF"/>
    <w:rsid w:val="006734E2"/>
    <w:rsid w:val="00673969"/>
    <w:rsid w:val="006745D4"/>
    <w:rsid w:val="00674DA6"/>
    <w:rsid w:val="00674E96"/>
    <w:rsid w:val="00675047"/>
    <w:rsid w:val="006757A0"/>
    <w:rsid w:val="00675AAA"/>
    <w:rsid w:val="00677195"/>
    <w:rsid w:val="006772C8"/>
    <w:rsid w:val="0068010E"/>
    <w:rsid w:val="006805F5"/>
    <w:rsid w:val="006809A1"/>
    <w:rsid w:val="00681716"/>
    <w:rsid w:val="00681B18"/>
    <w:rsid w:val="00681E38"/>
    <w:rsid w:val="00682057"/>
    <w:rsid w:val="00682478"/>
    <w:rsid w:val="00682B2A"/>
    <w:rsid w:val="0068357F"/>
    <w:rsid w:val="00683E2D"/>
    <w:rsid w:val="00684434"/>
    <w:rsid w:val="00684CE6"/>
    <w:rsid w:val="00684FD9"/>
    <w:rsid w:val="006852A3"/>
    <w:rsid w:val="00685DAB"/>
    <w:rsid w:val="006862B8"/>
    <w:rsid w:val="00686340"/>
    <w:rsid w:val="006865A6"/>
    <w:rsid w:val="006867BF"/>
    <w:rsid w:val="006868C7"/>
    <w:rsid w:val="006874AE"/>
    <w:rsid w:val="006912AE"/>
    <w:rsid w:val="00691307"/>
    <w:rsid w:val="00691490"/>
    <w:rsid w:val="006926C2"/>
    <w:rsid w:val="0069271C"/>
    <w:rsid w:val="00692A47"/>
    <w:rsid w:val="0069416E"/>
    <w:rsid w:val="00694BB8"/>
    <w:rsid w:val="00697A44"/>
    <w:rsid w:val="00697D68"/>
    <w:rsid w:val="006A0505"/>
    <w:rsid w:val="006A0FC7"/>
    <w:rsid w:val="006A12F4"/>
    <w:rsid w:val="006A2C45"/>
    <w:rsid w:val="006A3428"/>
    <w:rsid w:val="006A3B3D"/>
    <w:rsid w:val="006A40D6"/>
    <w:rsid w:val="006A46FB"/>
    <w:rsid w:val="006A5238"/>
    <w:rsid w:val="006A5990"/>
    <w:rsid w:val="006A5FD7"/>
    <w:rsid w:val="006A611E"/>
    <w:rsid w:val="006A6344"/>
    <w:rsid w:val="006A6A8C"/>
    <w:rsid w:val="006A7CD2"/>
    <w:rsid w:val="006B005C"/>
    <w:rsid w:val="006B04DF"/>
    <w:rsid w:val="006B076A"/>
    <w:rsid w:val="006B0896"/>
    <w:rsid w:val="006B0BFF"/>
    <w:rsid w:val="006B1B6A"/>
    <w:rsid w:val="006B1F13"/>
    <w:rsid w:val="006B21C1"/>
    <w:rsid w:val="006B2322"/>
    <w:rsid w:val="006B31B9"/>
    <w:rsid w:val="006B35FC"/>
    <w:rsid w:val="006B37DC"/>
    <w:rsid w:val="006B466E"/>
    <w:rsid w:val="006B4E2A"/>
    <w:rsid w:val="006B5BF4"/>
    <w:rsid w:val="006B6BDE"/>
    <w:rsid w:val="006B6F41"/>
    <w:rsid w:val="006B6FBD"/>
    <w:rsid w:val="006B70F0"/>
    <w:rsid w:val="006B76AA"/>
    <w:rsid w:val="006C0485"/>
    <w:rsid w:val="006C1590"/>
    <w:rsid w:val="006C2552"/>
    <w:rsid w:val="006C27B8"/>
    <w:rsid w:val="006C2D12"/>
    <w:rsid w:val="006C2FD7"/>
    <w:rsid w:val="006C3AAD"/>
    <w:rsid w:val="006C411B"/>
    <w:rsid w:val="006C4BEC"/>
    <w:rsid w:val="006C4C3F"/>
    <w:rsid w:val="006C6A72"/>
    <w:rsid w:val="006C6EF8"/>
    <w:rsid w:val="006C7DB1"/>
    <w:rsid w:val="006D156E"/>
    <w:rsid w:val="006D3461"/>
    <w:rsid w:val="006D3599"/>
    <w:rsid w:val="006D40B2"/>
    <w:rsid w:val="006D4BF1"/>
    <w:rsid w:val="006D4FDD"/>
    <w:rsid w:val="006D527B"/>
    <w:rsid w:val="006D5A23"/>
    <w:rsid w:val="006D5A75"/>
    <w:rsid w:val="006E04C0"/>
    <w:rsid w:val="006E16B0"/>
    <w:rsid w:val="006E2011"/>
    <w:rsid w:val="006E288A"/>
    <w:rsid w:val="006E3B5F"/>
    <w:rsid w:val="006E493E"/>
    <w:rsid w:val="006E4B96"/>
    <w:rsid w:val="006E5D2F"/>
    <w:rsid w:val="006E6694"/>
    <w:rsid w:val="006E70F1"/>
    <w:rsid w:val="006E76C4"/>
    <w:rsid w:val="006F0421"/>
    <w:rsid w:val="006F11BC"/>
    <w:rsid w:val="006F11BE"/>
    <w:rsid w:val="006F2244"/>
    <w:rsid w:val="006F2513"/>
    <w:rsid w:val="006F2888"/>
    <w:rsid w:val="006F2C72"/>
    <w:rsid w:val="006F2EAF"/>
    <w:rsid w:val="006F39A6"/>
    <w:rsid w:val="006F3A2A"/>
    <w:rsid w:val="006F3AD0"/>
    <w:rsid w:val="006F3F3A"/>
    <w:rsid w:val="006F531B"/>
    <w:rsid w:val="006F5AB1"/>
    <w:rsid w:val="006F5B1F"/>
    <w:rsid w:val="006F603C"/>
    <w:rsid w:val="006F693C"/>
    <w:rsid w:val="006F69F9"/>
    <w:rsid w:val="006F7164"/>
    <w:rsid w:val="006F7C9C"/>
    <w:rsid w:val="007003F6"/>
    <w:rsid w:val="00700977"/>
    <w:rsid w:val="00700AB7"/>
    <w:rsid w:val="00700E18"/>
    <w:rsid w:val="00700E84"/>
    <w:rsid w:val="0070123A"/>
    <w:rsid w:val="007018A5"/>
    <w:rsid w:val="007019DA"/>
    <w:rsid w:val="007027BB"/>
    <w:rsid w:val="00703613"/>
    <w:rsid w:val="007036D5"/>
    <w:rsid w:val="00703B69"/>
    <w:rsid w:val="007042AD"/>
    <w:rsid w:val="0070457E"/>
    <w:rsid w:val="007067E9"/>
    <w:rsid w:val="00706F4F"/>
    <w:rsid w:val="00707B5F"/>
    <w:rsid w:val="00707F7E"/>
    <w:rsid w:val="0071001E"/>
    <w:rsid w:val="00710E23"/>
    <w:rsid w:val="00711682"/>
    <w:rsid w:val="00712C44"/>
    <w:rsid w:val="0071350E"/>
    <w:rsid w:val="00713650"/>
    <w:rsid w:val="0071405C"/>
    <w:rsid w:val="00714409"/>
    <w:rsid w:val="00714457"/>
    <w:rsid w:val="007150B2"/>
    <w:rsid w:val="00715E2D"/>
    <w:rsid w:val="007160CA"/>
    <w:rsid w:val="00717537"/>
    <w:rsid w:val="00717E8B"/>
    <w:rsid w:val="007205A8"/>
    <w:rsid w:val="007208F5"/>
    <w:rsid w:val="0072099B"/>
    <w:rsid w:val="00720AAE"/>
    <w:rsid w:val="00721B81"/>
    <w:rsid w:val="00722852"/>
    <w:rsid w:val="00722C29"/>
    <w:rsid w:val="00723AD7"/>
    <w:rsid w:val="00725106"/>
    <w:rsid w:val="0072565E"/>
    <w:rsid w:val="00726746"/>
    <w:rsid w:val="00726A73"/>
    <w:rsid w:val="0073051F"/>
    <w:rsid w:val="0073205D"/>
    <w:rsid w:val="00732E43"/>
    <w:rsid w:val="00733D97"/>
    <w:rsid w:val="00734A8D"/>
    <w:rsid w:val="00734AAC"/>
    <w:rsid w:val="00734C39"/>
    <w:rsid w:val="007363BE"/>
    <w:rsid w:val="00737723"/>
    <w:rsid w:val="0073782C"/>
    <w:rsid w:val="00737902"/>
    <w:rsid w:val="00740F5D"/>
    <w:rsid w:val="0074172D"/>
    <w:rsid w:val="00741C57"/>
    <w:rsid w:val="007421CD"/>
    <w:rsid w:val="0074243F"/>
    <w:rsid w:val="00742A78"/>
    <w:rsid w:val="007436C1"/>
    <w:rsid w:val="00744352"/>
    <w:rsid w:val="00745384"/>
    <w:rsid w:val="007454F1"/>
    <w:rsid w:val="0074612B"/>
    <w:rsid w:val="00746183"/>
    <w:rsid w:val="00746D56"/>
    <w:rsid w:val="00746DBE"/>
    <w:rsid w:val="00747EEB"/>
    <w:rsid w:val="00750002"/>
    <w:rsid w:val="00751994"/>
    <w:rsid w:val="007526D9"/>
    <w:rsid w:val="007527F4"/>
    <w:rsid w:val="007544E5"/>
    <w:rsid w:val="007560E8"/>
    <w:rsid w:val="007565CD"/>
    <w:rsid w:val="007569DB"/>
    <w:rsid w:val="00756DB7"/>
    <w:rsid w:val="0075724F"/>
    <w:rsid w:val="007576CD"/>
    <w:rsid w:val="007618E5"/>
    <w:rsid w:val="00761B03"/>
    <w:rsid w:val="00762D54"/>
    <w:rsid w:val="00762E7D"/>
    <w:rsid w:val="007631A3"/>
    <w:rsid w:val="00764B6D"/>
    <w:rsid w:val="007656B3"/>
    <w:rsid w:val="00766051"/>
    <w:rsid w:val="00766122"/>
    <w:rsid w:val="00766268"/>
    <w:rsid w:val="00766753"/>
    <w:rsid w:val="00766F33"/>
    <w:rsid w:val="0076772A"/>
    <w:rsid w:val="0076781D"/>
    <w:rsid w:val="00770110"/>
    <w:rsid w:val="0077182E"/>
    <w:rsid w:val="00771E8F"/>
    <w:rsid w:val="007729B6"/>
    <w:rsid w:val="0077328B"/>
    <w:rsid w:val="00773963"/>
    <w:rsid w:val="00773DD0"/>
    <w:rsid w:val="0077485B"/>
    <w:rsid w:val="00775AB0"/>
    <w:rsid w:val="0078081B"/>
    <w:rsid w:val="00781234"/>
    <w:rsid w:val="00781432"/>
    <w:rsid w:val="007816EC"/>
    <w:rsid w:val="00783A8D"/>
    <w:rsid w:val="00784C9B"/>
    <w:rsid w:val="00785824"/>
    <w:rsid w:val="00785E00"/>
    <w:rsid w:val="007862E7"/>
    <w:rsid w:val="0078681D"/>
    <w:rsid w:val="007868B4"/>
    <w:rsid w:val="007872C2"/>
    <w:rsid w:val="0078788E"/>
    <w:rsid w:val="00790456"/>
    <w:rsid w:val="00790C9C"/>
    <w:rsid w:val="00791200"/>
    <w:rsid w:val="00791A56"/>
    <w:rsid w:val="00792334"/>
    <w:rsid w:val="007926F2"/>
    <w:rsid w:val="00792726"/>
    <w:rsid w:val="0079372E"/>
    <w:rsid w:val="00793DAA"/>
    <w:rsid w:val="007948AD"/>
    <w:rsid w:val="00795BCB"/>
    <w:rsid w:val="00796140"/>
    <w:rsid w:val="0079693F"/>
    <w:rsid w:val="007970B0"/>
    <w:rsid w:val="007978FB"/>
    <w:rsid w:val="007A0C22"/>
    <w:rsid w:val="007A0C69"/>
    <w:rsid w:val="007A0D1B"/>
    <w:rsid w:val="007A35EA"/>
    <w:rsid w:val="007A39B5"/>
    <w:rsid w:val="007A4E34"/>
    <w:rsid w:val="007A6074"/>
    <w:rsid w:val="007A66DE"/>
    <w:rsid w:val="007A6C2F"/>
    <w:rsid w:val="007A6C95"/>
    <w:rsid w:val="007A724A"/>
    <w:rsid w:val="007B0EFF"/>
    <w:rsid w:val="007B1250"/>
    <w:rsid w:val="007B24F5"/>
    <w:rsid w:val="007B262D"/>
    <w:rsid w:val="007B2D3C"/>
    <w:rsid w:val="007B330A"/>
    <w:rsid w:val="007B3392"/>
    <w:rsid w:val="007B3BB4"/>
    <w:rsid w:val="007B428D"/>
    <w:rsid w:val="007B5192"/>
    <w:rsid w:val="007B5CFB"/>
    <w:rsid w:val="007B613E"/>
    <w:rsid w:val="007B716C"/>
    <w:rsid w:val="007B792E"/>
    <w:rsid w:val="007B7B82"/>
    <w:rsid w:val="007C047A"/>
    <w:rsid w:val="007C2FF3"/>
    <w:rsid w:val="007C3338"/>
    <w:rsid w:val="007C33AC"/>
    <w:rsid w:val="007C4703"/>
    <w:rsid w:val="007C6419"/>
    <w:rsid w:val="007C6FBB"/>
    <w:rsid w:val="007D0AC1"/>
    <w:rsid w:val="007D1182"/>
    <w:rsid w:val="007D17D5"/>
    <w:rsid w:val="007D29A0"/>
    <w:rsid w:val="007D2B49"/>
    <w:rsid w:val="007D3ECA"/>
    <w:rsid w:val="007D3FF5"/>
    <w:rsid w:val="007D4BB6"/>
    <w:rsid w:val="007D539A"/>
    <w:rsid w:val="007D57D4"/>
    <w:rsid w:val="007D77F3"/>
    <w:rsid w:val="007D78AA"/>
    <w:rsid w:val="007D7B4A"/>
    <w:rsid w:val="007D7F35"/>
    <w:rsid w:val="007E053C"/>
    <w:rsid w:val="007E086A"/>
    <w:rsid w:val="007E094B"/>
    <w:rsid w:val="007E0A34"/>
    <w:rsid w:val="007E0DC0"/>
    <w:rsid w:val="007E13A4"/>
    <w:rsid w:val="007E15B4"/>
    <w:rsid w:val="007E31B1"/>
    <w:rsid w:val="007E3BDA"/>
    <w:rsid w:val="007E3FDF"/>
    <w:rsid w:val="007E4057"/>
    <w:rsid w:val="007E40FB"/>
    <w:rsid w:val="007E4B93"/>
    <w:rsid w:val="007E4FD4"/>
    <w:rsid w:val="007E5425"/>
    <w:rsid w:val="007E5F65"/>
    <w:rsid w:val="007E6E06"/>
    <w:rsid w:val="007E76E1"/>
    <w:rsid w:val="007F015D"/>
    <w:rsid w:val="007F0EF3"/>
    <w:rsid w:val="007F0FFA"/>
    <w:rsid w:val="007F1502"/>
    <w:rsid w:val="007F1A41"/>
    <w:rsid w:val="007F2F27"/>
    <w:rsid w:val="007F34A3"/>
    <w:rsid w:val="007F3CBF"/>
    <w:rsid w:val="007F3FF3"/>
    <w:rsid w:val="007F4941"/>
    <w:rsid w:val="007F5B3A"/>
    <w:rsid w:val="007F61D0"/>
    <w:rsid w:val="007F6CDB"/>
    <w:rsid w:val="007F7178"/>
    <w:rsid w:val="007F762F"/>
    <w:rsid w:val="007F79B7"/>
    <w:rsid w:val="00800412"/>
    <w:rsid w:val="008006D8"/>
    <w:rsid w:val="00801A93"/>
    <w:rsid w:val="00801E8F"/>
    <w:rsid w:val="0080295C"/>
    <w:rsid w:val="00803461"/>
    <w:rsid w:val="00804038"/>
    <w:rsid w:val="00804CB9"/>
    <w:rsid w:val="00804FD1"/>
    <w:rsid w:val="0080520B"/>
    <w:rsid w:val="00805308"/>
    <w:rsid w:val="00805348"/>
    <w:rsid w:val="00805771"/>
    <w:rsid w:val="00806034"/>
    <w:rsid w:val="008068F1"/>
    <w:rsid w:val="00806934"/>
    <w:rsid w:val="00807832"/>
    <w:rsid w:val="008106A3"/>
    <w:rsid w:val="00810A8D"/>
    <w:rsid w:val="00810F19"/>
    <w:rsid w:val="00811858"/>
    <w:rsid w:val="00811B7F"/>
    <w:rsid w:val="00812C3C"/>
    <w:rsid w:val="0081300E"/>
    <w:rsid w:val="00813189"/>
    <w:rsid w:val="00813241"/>
    <w:rsid w:val="00814080"/>
    <w:rsid w:val="00814B58"/>
    <w:rsid w:val="008151CB"/>
    <w:rsid w:val="00815E0E"/>
    <w:rsid w:val="00817230"/>
    <w:rsid w:val="008179F9"/>
    <w:rsid w:val="00817EC4"/>
    <w:rsid w:val="00820A46"/>
    <w:rsid w:val="008216F7"/>
    <w:rsid w:val="00821B77"/>
    <w:rsid w:val="00821F5A"/>
    <w:rsid w:val="00821F65"/>
    <w:rsid w:val="008220F7"/>
    <w:rsid w:val="00822AF1"/>
    <w:rsid w:val="00822CAC"/>
    <w:rsid w:val="00822E9C"/>
    <w:rsid w:val="008244A2"/>
    <w:rsid w:val="008249BE"/>
    <w:rsid w:val="00824A0D"/>
    <w:rsid w:val="00824BC4"/>
    <w:rsid w:val="00824F16"/>
    <w:rsid w:val="00825E64"/>
    <w:rsid w:val="00826376"/>
    <w:rsid w:val="0082691B"/>
    <w:rsid w:val="008301B3"/>
    <w:rsid w:val="00830B78"/>
    <w:rsid w:val="00830DE4"/>
    <w:rsid w:val="00831673"/>
    <w:rsid w:val="00831C73"/>
    <w:rsid w:val="00831ED5"/>
    <w:rsid w:val="00831FC4"/>
    <w:rsid w:val="00833243"/>
    <w:rsid w:val="00833A7D"/>
    <w:rsid w:val="00834808"/>
    <w:rsid w:val="00834C5A"/>
    <w:rsid w:val="0083559D"/>
    <w:rsid w:val="00836173"/>
    <w:rsid w:val="0083676C"/>
    <w:rsid w:val="00837214"/>
    <w:rsid w:val="00840FA4"/>
    <w:rsid w:val="00842314"/>
    <w:rsid w:val="00844726"/>
    <w:rsid w:val="00844D3B"/>
    <w:rsid w:val="0084587F"/>
    <w:rsid w:val="00846239"/>
    <w:rsid w:val="00846D22"/>
    <w:rsid w:val="00847364"/>
    <w:rsid w:val="008473C8"/>
    <w:rsid w:val="008473F8"/>
    <w:rsid w:val="00847A42"/>
    <w:rsid w:val="008510BB"/>
    <w:rsid w:val="00851D63"/>
    <w:rsid w:val="00852C7C"/>
    <w:rsid w:val="00852DCA"/>
    <w:rsid w:val="00853727"/>
    <w:rsid w:val="00856B7C"/>
    <w:rsid w:val="00857455"/>
    <w:rsid w:val="0086025E"/>
    <w:rsid w:val="00860414"/>
    <w:rsid w:val="008618CB"/>
    <w:rsid w:val="0086203B"/>
    <w:rsid w:val="00862C32"/>
    <w:rsid w:val="0086330B"/>
    <w:rsid w:val="00864383"/>
    <w:rsid w:val="00864C4D"/>
    <w:rsid w:val="00866542"/>
    <w:rsid w:val="00867687"/>
    <w:rsid w:val="008719D1"/>
    <w:rsid w:val="00871A21"/>
    <w:rsid w:val="008721D4"/>
    <w:rsid w:val="00872CFE"/>
    <w:rsid w:val="008733B6"/>
    <w:rsid w:val="00873837"/>
    <w:rsid w:val="00873C3E"/>
    <w:rsid w:val="00874229"/>
    <w:rsid w:val="008746B5"/>
    <w:rsid w:val="008753E1"/>
    <w:rsid w:val="00875843"/>
    <w:rsid w:val="00875D02"/>
    <w:rsid w:val="00875E35"/>
    <w:rsid w:val="00877162"/>
    <w:rsid w:val="0088029B"/>
    <w:rsid w:val="008807D2"/>
    <w:rsid w:val="00881BEB"/>
    <w:rsid w:val="00882129"/>
    <w:rsid w:val="00882A0F"/>
    <w:rsid w:val="008832F8"/>
    <w:rsid w:val="0088416D"/>
    <w:rsid w:val="008849A5"/>
    <w:rsid w:val="00884C6E"/>
    <w:rsid w:val="0088504F"/>
    <w:rsid w:val="00885852"/>
    <w:rsid w:val="008858D1"/>
    <w:rsid w:val="00885EA5"/>
    <w:rsid w:val="00886772"/>
    <w:rsid w:val="00887A46"/>
    <w:rsid w:val="0089007D"/>
    <w:rsid w:val="0089057C"/>
    <w:rsid w:val="008906BD"/>
    <w:rsid w:val="00892845"/>
    <w:rsid w:val="00892AFD"/>
    <w:rsid w:val="008931CC"/>
    <w:rsid w:val="0089490E"/>
    <w:rsid w:val="00894B19"/>
    <w:rsid w:val="00894E34"/>
    <w:rsid w:val="0089586F"/>
    <w:rsid w:val="00895E0C"/>
    <w:rsid w:val="00897744"/>
    <w:rsid w:val="008A0540"/>
    <w:rsid w:val="008A21E7"/>
    <w:rsid w:val="008A26E2"/>
    <w:rsid w:val="008A365E"/>
    <w:rsid w:val="008A397D"/>
    <w:rsid w:val="008A3B85"/>
    <w:rsid w:val="008A63E4"/>
    <w:rsid w:val="008B00CE"/>
    <w:rsid w:val="008B0543"/>
    <w:rsid w:val="008B1028"/>
    <w:rsid w:val="008B1D69"/>
    <w:rsid w:val="008B3333"/>
    <w:rsid w:val="008B372D"/>
    <w:rsid w:val="008B386E"/>
    <w:rsid w:val="008B3D5C"/>
    <w:rsid w:val="008B5F92"/>
    <w:rsid w:val="008B624A"/>
    <w:rsid w:val="008B75AF"/>
    <w:rsid w:val="008B7BC9"/>
    <w:rsid w:val="008C0397"/>
    <w:rsid w:val="008C0837"/>
    <w:rsid w:val="008C0883"/>
    <w:rsid w:val="008C119D"/>
    <w:rsid w:val="008C1442"/>
    <w:rsid w:val="008C1804"/>
    <w:rsid w:val="008C1A80"/>
    <w:rsid w:val="008C207B"/>
    <w:rsid w:val="008C256E"/>
    <w:rsid w:val="008C25C6"/>
    <w:rsid w:val="008C3066"/>
    <w:rsid w:val="008C3DE4"/>
    <w:rsid w:val="008C3EC0"/>
    <w:rsid w:val="008C492A"/>
    <w:rsid w:val="008C4D0D"/>
    <w:rsid w:val="008C5803"/>
    <w:rsid w:val="008C612B"/>
    <w:rsid w:val="008C6625"/>
    <w:rsid w:val="008C79A8"/>
    <w:rsid w:val="008C7B2D"/>
    <w:rsid w:val="008D1585"/>
    <w:rsid w:val="008D21A7"/>
    <w:rsid w:val="008D28BE"/>
    <w:rsid w:val="008D2978"/>
    <w:rsid w:val="008D39CC"/>
    <w:rsid w:val="008D3D31"/>
    <w:rsid w:val="008D67AC"/>
    <w:rsid w:val="008D6F71"/>
    <w:rsid w:val="008D789D"/>
    <w:rsid w:val="008D7BF1"/>
    <w:rsid w:val="008D7EF0"/>
    <w:rsid w:val="008E0215"/>
    <w:rsid w:val="008E0911"/>
    <w:rsid w:val="008E0A1C"/>
    <w:rsid w:val="008E0E05"/>
    <w:rsid w:val="008E0F9B"/>
    <w:rsid w:val="008E1149"/>
    <w:rsid w:val="008E1AC0"/>
    <w:rsid w:val="008E1D72"/>
    <w:rsid w:val="008E2364"/>
    <w:rsid w:val="008E369E"/>
    <w:rsid w:val="008E3B36"/>
    <w:rsid w:val="008E498C"/>
    <w:rsid w:val="008E4D49"/>
    <w:rsid w:val="008E6D4E"/>
    <w:rsid w:val="008E7611"/>
    <w:rsid w:val="008E7CEA"/>
    <w:rsid w:val="008E7E42"/>
    <w:rsid w:val="008F0127"/>
    <w:rsid w:val="008F0698"/>
    <w:rsid w:val="008F08EE"/>
    <w:rsid w:val="008F0FE1"/>
    <w:rsid w:val="008F105F"/>
    <w:rsid w:val="008F10B8"/>
    <w:rsid w:val="008F17E7"/>
    <w:rsid w:val="008F2469"/>
    <w:rsid w:val="008F260F"/>
    <w:rsid w:val="008F2A5D"/>
    <w:rsid w:val="008F2DD5"/>
    <w:rsid w:val="008F56EF"/>
    <w:rsid w:val="008F5F71"/>
    <w:rsid w:val="008F67DF"/>
    <w:rsid w:val="008F682E"/>
    <w:rsid w:val="008F6873"/>
    <w:rsid w:val="008F6BD2"/>
    <w:rsid w:val="008F7004"/>
    <w:rsid w:val="008F72A4"/>
    <w:rsid w:val="008F7B07"/>
    <w:rsid w:val="008F7B43"/>
    <w:rsid w:val="00900246"/>
    <w:rsid w:val="009004B9"/>
    <w:rsid w:val="00901C9E"/>
    <w:rsid w:val="00901EDD"/>
    <w:rsid w:val="00901F60"/>
    <w:rsid w:val="00902060"/>
    <w:rsid w:val="00902A5B"/>
    <w:rsid w:val="00902D64"/>
    <w:rsid w:val="009031BD"/>
    <w:rsid w:val="009033EF"/>
    <w:rsid w:val="00904BE6"/>
    <w:rsid w:val="00905439"/>
    <w:rsid w:val="00907018"/>
    <w:rsid w:val="0090703D"/>
    <w:rsid w:val="009076A7"/>
    <w:rsid w:val="00907895"/>
    <w:rsid w:val="00907B42"/>
    <w:rsid w:val="00910089"/>
    <w:rsid w:val="00912315"/>
    <w:rsid w:val="00912604"/>
    <w:rsid w:val="0091382B"/>
    <w:rsid w:val="009139C8"/>
    <w:rsid w:val="00914E35"/>
    <w:rsid w:val="009170C0"/>
    <w:rsid w:val="00917CFF"/>
    <w:rsid w:val="00920221"/>
    <w:rsid w:val="009204FF"/>
    <w:rsid w:val="009205DA"/>
    <w:rsid w:val="00920912"/>
    <w:rsid w:val="00922C4A"/>
    <w:rsid w:val="00922D59"/>
    <w:rsid w:val="00923010"/>
    <w:rsid w:val="009231B3"/>
    <w:rsid w:val="009238A5"/>
    <w:rsid w:val="0092395E"/>
    <w:rsid w:val="00924023"/>
    <w:rsid w:val="0092464C"/>
    <w:rsid w:val="00924DCF"/>
    <w:rsid w:val="00927CB2"/>
    <w:rsid w:val="009307C6"/>
    <w:rsid w:val="00930B5F"/>
    <w:rsid w:val="0093155F"/>
    <w:rsid w:val="0093330F"/>
    <w:rsid w:val="00933521"/>
    <w:rsid w:val="009336C7"/>
    <w:rsid w:val="009336D5"/>
    <w:rsid w:val="00933D24"/>
    <w:rsid w:val="00933F39"/>
    <w:rsid w:val="0093439E"/>
    <w:rsid w:val="00934C1E"/>
    <w:rsid w:val="009353F4"/>
    <w:rsid w:val="009357E0"/>
    <w:rsid w:val="00935BA7"/>
    <w:rsid w:val="00936FE2"/>
    <w:rsid w:val="0093789A"/>
    <w:rsid w:val="00940E61"/>
    <w:rsid w:val="0094153D"/>
    <w:rsid w:val="009422CE"/>
    <w:rsid w:val="009423BE"/>
    <w:rsid w:val="009425A1"/>
    <w:rsid w:val="00942994"/>
    <w:rsid w:val="009431B1"/>
    <w:rsid w:val="00944AD3"/>
    <w:rsid w:val="009450F7"/>
    <w:rsid w:val="00945241"/>
    <w:rsid w:val="00945901"/>
    <w:rsid w:val="00945957"/>
    <w:rsid w:val="00946A03"/>
    <w:rsid w:val="009475D3"/>
    <w:rsid w:val="009476B7"/>
    <w:rsid w:val="00950791"/>
    <w:rsid w:val="00951D07"/>
    <w:rsid w:val="00952F16"/>
    <w:rsid w:val="0095318A"/>
    <w:rsid w:val="00953603"/>
    <w:rsid w:val="00953D4F"/>
    <w:rsid w:val="00953D99"/>
    <w:rsid w:val="009540B3"/>
    <w:rsid w:val="009565F3"/>
    <w:rsid w:val="009576F9"/>
    <w:rsid w:val="00960007"/>
    <w:rsid w:val="0096083D"/>
    <w:rsid w:val="009611DC"/>
    <w:rsid w:val="009614B9"/>
    <w:rsid w:val="009615EB"/>
    <w:rsid w:val="00961B5B"/>
    <w:rsid w:val="00961C6D"/>
    <w:rsid w:val="009625BD"/>
    <w:rsid w:val="00962E84"/>
    <w:rsid w:val="009631D0"/>
    <w:rsid w:val="00964BD1"/>
    <w:rsid w:val="00965665"/>
    <w:rsid w:val="009657A8"/>
    <w:rsid w:val="009657AC"/>
    <w:rsid w:val="00965AB4"/>
    <w:rsid w:val="00967BFF"/>
    <w:rsid w:val="00967E3C"/>
    <w:rsid w:val="009700B6"/>
    <w:rsid w:val="00970DDE"/>
    <w:rsid w:val="00972B53"/>
    <w:rsid w:val="00972BBD"/>
    <w:rsid w:val="00973CD7"/>
    <w:rsid w:val="00974130"/>
    <w:rsid w:val="00974204"/>
    <w:rsid w:val="009742AE"/>
    <w:rsid w:val="009745DD"/>
    <w:rsid w:val="009756F2"/>
    <w:rsid w:val="009757C8"/>
    <w:rsid w:val="009759EB"/>
    <w:rsid w:val="00975CA1"/>
    <w:rsid w:val="0097621B"/>
    <w:rsid w:val="00976444"/>
    <w:rsid w:val="00977021"/>
    <w:rsid w:val="00977F06"/>
    <w:rsid w:val="00980B2F"/>
    <w:rsid w:val="00982FB2"/>
    <w:rsid w:val="0098338B"/>
    <w:rsid w:val="0098379B"/>
    <w:rsid w:val="00983B7B"/>
    <w:rsid w:val="00983C2E"/>
    <w:rsid w:val="0098501D"/>
    <w:rsid w:val="00985049"/>
    <w:rsid w:val="00985057"/>
    <w:rsid w:val="00985097"/>
    <w:rsid w:val="0098525D"/>
    <w:rsid w:val="009853BC"/>
    <w:rsid w:val="00986AC6"/>
    <w:rsid w:val="00990498"/>
    <w:rsid w:val="00990942"/>
    <w:rsid w:val="00990E34"/>
    <w:rsid w:val="009911AA"/>
    <w:rsid w:val="00991EAA"/>
    <w:rsid w:val="00991F34"/>
    <w:rsid w:val="00991FAC"/>
    <w:rsid w:val="009922DE"/>
    <w:rsid w:val="0099238F"/>
    <w:rsid w:val="00992537"/>
    <w:rsid w:val="00992A6C"/>
    <w:rsid w:val="00992E3E"/>
    <w:rsid w:val="00993DE6"/>
    <w:rsid w:val="00994401"/>
    <w:rsid w:val="0099474A"/>
    <w:rsid w:val="00994BD6"/>
    <w:rsid w:val="00995658"/>
    <w:rsid w:val="00995774"/>
    <w:rsid w:val="00995BA7"/>
    <w:rsid w:val="0099727E"/>
    <w:rsid w:val="009976EC"/>
    <w:rsid w:val="009A12C4"/>
    <w:rsid w:val="009A268F"/>
    <w:rsid w:val="009A36A4"/>
    <w:rsid w:val="009A48EC"/>
    <w:rsid w:val="009A4BB3"/>
    <w:rsid w:val="009A530D"/>
    <w:rsid w:val="009A6363"/>
    <w:rsid w:val="009A6510"/>
    <w:rsid w:val="009A65DB"/>
    <w:rsid w:val="009A6BDD"/>
    <w:rsid w:val="009B0B41"/>
    <w:rsid w:val="009B0D22"/>
    <w:rsid w:val="009B0D35"/>
    <w:rsid w:val="009B1A15"/>
    <w:rsid w:val="009B1E73"/>
    <w:rsid w:val="009B2BFE"/>
    <w:rsid w:val="009B5D52"/>
    <w:rsid w:val="009B6AE7"/>
    <w:rsid w:val="009B7A54"/>
    <w:rsid w:val="009C0036"/>
    <w:rsid w:val="009C04F4"/>
    <w:rsid w:val="009C0E3E"/>
    <w:rsid w:val="009C1580"/>
    <w:rsid w:val="009C1A00"/>
    <w:rsid w:val="009C2A65"/>
    <w:rsid w:val="009C2B6F"/>
    <w:rsid w:val="009C2C0C"/>
    <w:rsid w:val="009C2EB5"/>
    <w:rsid w:val="009C3C60"/>
    <w:rsid w:val="009C4A2D"/>
    <w:rsid w:val="009C5274"/>
    <w:rsid w:val="009C53F0"/>
    <w:rsid w:val="009C5839"/>
    <w:rsid w:val="009C62C0"/>
    <w:rsid w:val="009C6772"/>
    <w:rsid w:val="009C79C1"/>
    <w:rsid w:val="009D08A4"/>
    <w:rsid w:val="009D21C7"/>
    <w:rsid w:val="009D2762"/>
    <w:rsid w:val="009D2DC5"/>
    <w:rsid w:val="009D3787"/>
    <w:rsid w:val="009D4973"/>
    <w:rsid w:val="009D4D00"/>
    <w:rsid w:val="009D55B7"/>
    <w:rsid w:val="009D5F1E"/>
    <w:rsid w:val="009D64D3"/>
    <w:rsid w:val="009D7265"/>
    <w:rsid w:val="009D7458"/>
    <w:rsid w:val="009D75AF"/>
    <w:rsid w:val="009D7620"/>
    <w:rsid w:val="009E040B"/>
    <w:rsid w:val="009E0A45"/>
    <w:rsid w:val="009E108F"/>
    <w:rsid w:val="009E1102"/>
    <w:rsid w:val="009E12F9"/>
    <w:rsid w:val="009E1318"/>
    <w:rsid w:val="009E181A"/>
    <w:rsid w:val="009E25FD"/>
    <w:rsid w:val="009E34A9"/>
    <w:rsid w:val="009E3E74"/>
    <w:rsid w:val="009E4AEC"/>
    <w:rsid w:val="009E5265"/>
    <w:rsid w:val="009E54CA"/>
    <w:rsid w:val="009E5511"/>
    <w:rsid w:val="009E60CC"/>
    <w:rsid w:val="009E61D7"/>
    <w:rsid w:val="009E692A"/>
    <w:rsid w:val="009E6DAE"/>
    <w:rsid w:val="009E719F"/>
    <w:rsid w:val="009E7215"/>
    <w:rsid w:val="009E7268"/>
    <w:rsid w:val="009E7C25"/>
    <w:rsid w:val="009F007C"/>
    <w:rsid w:val="009F0942"/>
    <w:rsid w:val="009F0FC5"/>
    <w:rsid w:val="009F143B"/>
    <w:rsid w:val="009F1664"/>
    <w:rsid w:val="009F2F70"/>
    <w:rsid w:val="009F31E0"/>
    <w:rsid w:val="009F3AFC"/>
    <w:rsid w:val="009F41D1"/>
    <w:rsid w:val="009F42A9"/>
    <w:rsid w:val="009F4533"/>
    <w:rsid w:val="009F530F"/>
    <w:rsid w:val="009F5353"/>
    <w:rsid w:val="009F5A54"/>
    <w:rsid w:val="009F6A3C"/>
    <w:rsid w:val="009F6DCB"/>
    <w:rsid w:val="009F7410"/>
    <w:rsid w:val="009F7B4F"/>
    <w:rsid w:val="00A0079C"/>
    <w:rsid w:val="00A01945"/>
    <w:rsid w:val="00A0293E"/>
    <w:rsid w:val="00A02D07"/>
    <w:rsid w:val="00A052A2"/>
    <w:rsid w:val="00A055CF"/>
    <w:rsid w:val="00A05900"/>
    <w:rsid w:val="00A05A8F"/>
    <w:rsid w:val="00A068BA"/>
    <w:rsid w:val="00A069F9"/>
    <w:rsid w:val="00A0742A"/>
    <w:rsid w:val="00A0798A"/>
    <w:rsid w:val="00A07AE0"/>
    <w:rsid w:val="00A07FB4"/>
    <w:rsid w:val="00A101F9"/>
    <w:rsid w:val="00A116C5"/>
    <w:rsid w:val="00A12484"/>
    <w:rsid w:val="00A1344C"/>
    <w:rsid w:val="00A13AED"/>
    <w:rsid w:val="00A13B45"/>
    <w:rsid w:val="00A13BDB"/>
    <w:rsid w:val="00A13D69"/>
    <w:rsid w:val="00A13E35"/>
    <w:rsid w:val="00A1439E"/>
    <w:rsid w:val="00A148FE"/>
    <w:rsid w:val="00A14A56"/>
    <w:rsid w:val="00A14CFF"/>
    <w:rsid w:val="00A16DF9"/>
    <w:rsid w:val="00A16F24"/>
    <w:rsid w:val="00A17021"/>
    <w:rsid w:val="00A174FC"/>
    <w:rsid w:val="00A17718"/>
    <w:rsid w:val="00A177AD"/>
    <w:rsid w:val="00A17B4F"/>
    <w:rsid w:val="00A218A5"/>
    <w:rsid w:val="00A21B14"/>
    <w:rsid w:val="00A21F45"/>
    <w:rsid w:val="00A2253E"/>
    <w:rsid w:val="00A22A94"/>
    <w:rsid w:val="00A23EB4"/>
    <w:rsid w:val="00A245F7"/>
    <w:rsid w:val="00A254CF"/>
    <w:rsid w:val="00A25824"/>
    <w:rsid w:val="00A25B0A"/>
    <w:rsid w:val="00A272FD"/>
    <w:rsid w:val="00A27338"/>
    <w:rsid w:val="00A27524"/>
    <w:rsid w:val="00A27669"/>
    <w:rsid w:val="00A277F3"/>
    <w:rsid w:val="00A2786B"/>
    <w:rsid w:val="00A30002"/>
    <w:rsid w:val="00A306D2"/>
    <w:rsid w:val="00A317F5"/>
    <w:rsid w:val="00A326E4"/>
    <w:rsid w:val="00A3287C"/>
    <w:rsid w:val="00A32882"/>
    <w:rsid w:val="00A32D44"/>
    <w:rsid w:val="00A33040"/>
    <w:rsid w:val="00A33C12"/>
    <w:rsid w:val="00A34FE4"/>
    <w:rsid w:val="00A35638"/>
    <w:rsid w:val="00A374D9"/>
    <w:rsid w:val="00A41518"/>
    <w:rsid w:val="00A41F25"/>
    <w:rsid w:val="00A430B2"/>
    <w:rsid w:val="00A438FE"/>
    <w:rsid w:val="00A43BA9"/>
    <w:rsid w:val="00A4415C"/>
    <w:rsid w:val="00A45170"/>
    <w:rsid w:val="00A4657E"/>
    <w:rsid w:val="00A469D5"/>
    <w:rsid w:val="00A46D59"/>
    <w:rsid w:val="00A46EE5"/>
    <w:rsid w:val="00A4735C"/>
    <w:rsid w:val="00A47E27"/>
    <w:rsid w:val="00A47F5C"/>
    <w:rsid w:val="00A51234"/>
    <w:rsid w:val="00A515A5"/>
    <w:rsid w:val="00A51940"/>
    <w:rsid w:val="00A5361F"/>
    <w:rsid w:val="00A53BE7"/>
    <w:rsid w:val="00A53F78"/>
    <w:rsid w:val="00A5420C"/>
    <w:rsid w:val="00A545B6"/>
    <w:rsid w:val="00A549A8"/>
    <w:rsid w:val="00A54EDC"/>
    <w:rsid w:val="00A5589E"/>
    <w:rsid w:val="00A55DAE"/>
    <w:rsid w:val="00A56063"/>
    <w:rsid w:val="00A57110"/>
    <w:rsid w:val="00A5773C"/>
    <w:rsid w:val="00A57A14"/>
    <w:rsid w:val="00A60B81"/>
    <w:rsid w:val="00A6150E"/>
    <w:rsid w:val="00A621DF"/>
    <w:rsid w:val="00A6275E"/>
    <w:rsid w:val="00A62BB3"/>
    <w:rsid w:val="00A63510"/>
    <w:rsid w:val="00A635BE"/>
    <w:rsid w:val="00A64979"/>
    <w:rsid w:val="00A64EB8"/>
    <w:rsid w:val="00A65037"/>
    <w:rsid w:val="00A65171"/>
    <w:rsid w:val="00A65993"/>
    <w:rsid w:val="00A659DF"/>
    <w:rsid w:val="00A65FE0"/>
    <w:rsid w:val="00A66388"/>
    <w:rsid w:val="00A670BB"/>
    <w:rsid w:val="00A672C9"/>
    <w:rsid w:val="00A6780D"/>
    <w:rsid w:val="00A70254"/>
    <w:rsid w:val="00A7034C"/>
    <w:rsid w:val="00A70CA2"/>
    <w:rsid w:val="00A70D7C"/>
    <w:rsid w:val="00A70F2A"/>
    <w:rsid w:val="00A710FB"/>
    <w:rsid w:val="00A719CB"/>
    <w:rsid w:val="00A71D22"/>
    <w:rsid w:val="00A72438"/>
    <w:rsid w:val="00A72BA0"/>
    <w:rsid w:val="00A73127"/>
    <w:rsid w:val="00A73159"/>
    <w:rsid w:val="00A7440D"/>
    <w:rsid w:val="00A74FAB"/>
    <w:rsid w:val="00A751FA"/>
    <w:rsid w:val="00A7763E"/>
    <w:rsid w:val="00A801B2"/>
    <w:rsid w:val="00A8045D"/>
    <w:rsid w:val="00A806DA"/>
    <w:rsid w:val="00A80BD4"/>
    <w:rsid w:val="00A8123C"/>
    <w:rsid w:val="00A813A5"/>
    <w:rsid w:val="00A815BA"/>
    <w:rsid w:val="00A81744"/>
    <w:rsid w:val="00A822FA"/>
    <w:rsid w:val="00A82BEB"/>
    <w:rsid w:val="00A83C3B"/>
    <w:rsid w:val="00A8483F"/>
    <w:rsid w:val="00A84D9E"/>
    <w:rsid w:val="00A84DC5"/>
    <w:rsid w:val="00A854CC"/>
    <w:rsid w:val="00A855DD"/>
    <w:rsid w:val="00A85845"/>
    <w:rsid w:val="00A87414"/>
    <w:rsid w:val="00A878DD"/>
    <w:rsid w:val="00A87D9C"/>
    <w:rsid w:val="00A90378"/>
    <w:rsid w:val="00A9089C"/>
    <w:rsid w:val="00A90FB1"/>
    <w:rsid w:val="00A911C5"/>
    <w:rsid w:val="00A9142D"/>
    <w:rsid w:val="00A92DAF"/>
    <w:rsid w:val="00A93247"/>
    <w:rsid w:val="00A932DB"/>
    <w:rsid w:val="00A934C5"/>
    <w:rsid w:val="00A939BF"/>
    <w:rsid w:val="00A93FE3"/>
    <w:rsid w:val="00A9688C"/>
    <w:rsid w:val="00A97664"/>
    <w:rsid w:val="00AA07E9"/>
    <w:rsid w:val="00AA101F"/>
    <w:rsid w:val="00AA15A5"/>
    <w:rsid w:val="00AA1D71"/>
    <w:rsid w:val="00AA1E45"/>
    <w:rsid w:val="00AA400C"/>
    <w:rsid w:val="00AA4F41"/>
    <w:rsid w:val="00AA524C"/>
    <w:rsid w:val="00AA5269"/>
    <w:rsid w:val="00AA69CF"/>
    <w:rsid w:val="00AA6B9A"/>
    <w:rsid w:val="00AA7EA9"/>
    <w:rsid w:val="00AB046A"/>
    <w:rsid w:val="00AB0801"/>
    <w:rsid w:val="00AB220A"/>
    <w:rsid w:val="00AB2561"/>
    <w:rsid w:val="00AB26ED"/>
    <w:rsid w:val="00AB274F"/>
    <w:rsid w:val="00AB2D2A"/>
    <w:rsid w:val="00AB2D95"/>
    <w:rsid w:val="00AB2E0E"/>
    <w:rsid w:val="00AB3B1C"/>
    <w:rsid w:val="00AB4105"/>
    <w:rsid w:val="00AB41CE"/>
    <w:rsid w:val="00AB4886"/>
    <w:rsid w:val="00AB4E74"/>
    <w:rsid w:val="00AB4F39"/>
    <w:rsid w:val="00AB59EA"/>
    <w:rsid w:val="00AB5F26"/>
    <w:rsid w:val="00AB6270"/>
    <w:rsid w:val="00AB71D2"/>
    <w:rsid w:val="00AB7939"/>
    <w:rsid w:val="00AC02C7"/>
    <w:rsid w:val="00AC198A"/>
    <w:rsid w:val="00AC1D60"/>
    <w:rsid w:val="00AC2905"/>
    <w:rsid w:val="00AC30F3"/>
    <w:rsid w:val="00AC3E81"/>
    <w:rsid w:val="00AC59DA"/>
    <w:rsid w:val="00AC5BB7"/>
    <w:rsid w:val="00AC6588"/>
    <w:rsid w:val="00AC6AA0"/>
    <w:rsid w:val="00AC6F7A"/>
    <w:rsid w:val="00AC6FC4"/>
    <w:rsid w:val="00AC7547"/>
    <w:rsid w:val="00AC7703"/>
    <w:rsid w:val="00AC779B"/>
    <w:rsid w:val="00AC7B9F"/>
    <w:rsid w:val="00AD08BB"/>
    <w:rsid w:val="00AD0C62"/>
    <w:rsid w:val="00AD195E"/>
    <w:rsid w:val="00AD20DB"/>
    <w:rsid w:val="00AD2DE0"/>
    <w:rsid w:val="00AD31A0"/>
    <w:rsid w:val="00AD4439"/>
    <w:rsid w:val="00AD7E7D"/>
    <w:rsid w:val="00AE029B"/>
    <w:rsid w:val="00AE1579"/>
    <w:rsid w:val="00AE160D"/>
    <w:rsid w:val="00AE22C8"/>
    <w:rsid w:val="00AE2971"/>
    <w:rsid w:val="00AE29AF"/>
    <w:rsid w:val="00AE2AF0"/>
    <w:rsid w:val="00AE343B"/>
    <w:rsid w:val="00AE3657"/>
    <w:rsid w:val="00AE3DE8"/>
    <w:rsid w:val="00AE5295"/>
    <w:rsid w:val="00AE5624"/>
    <w:rsid w:val="00AE5977"/>
    <w:rsid w:val="00AE5C2B"/>
    <w:rsid w:val="00AE6164"/>
    <w:rsid w:val="00AE6616"/>
    <w:rsid w:val="00AE6694"/>
    <w:rsid w:val="00AE6F19"/>
    <w:rsid w:val="00AE7655"/>
    <w:rsid w:val="00AE798F"/>
    <w:rsid w:val="00AF06CA"/>
    <w:rsid w:val="00AF219F"/>
    <w:rsid w:val="00AF23F8"/>
    <w:rsid w:val="00AF3C23"/>
    <w:rsid w:val="00AF4A1F"/>
    <w:rsid w:val="00AF5109"/>
    <w:rsid w:val="00AF57E4"/>
    <w:rsid w:val="00AF6738"/>
    <w:rsid w:val="00AF6E6F"/>
    <w:rsid w:val="00AF7EE3"/>
    <w:rsid w:val="00B00069"/>
    <w:rsid w:val="00B0027F"/>
    <w:rsid w:val="00B002A5"/>
    <w:rsid w:val="00B005C4"/>
    <w:rsid w:val="00B01B10"/>
    <w:rsid w:val="00B03899"/>
    <w:rsid w:val="00B03DBE"/>
    <w:rsid w:val="00B04E8A"/>
    <w:rsid w:val="00B050DA"/>
    <w:rsid w:val="00B052DC"/>
    <w:rsid w:val="00B05684"/>
    <w:rsid w:val="00B058BC"/>
    <w:rsid w:val="00B05B95"/>
    <w:rsid w:val="00B05EB2"/>
    <w:rsid w:val="00B06082"/>
    <w:rsid w:val="00B065B8"/>
    <w:rsid w:val="00B06745"/>
    <w:rsid w:val="00B069A1"/>
    <w:rsid w:val="00B06F0C"/>
    <w:rsid w:val="00B10097"/>
    <w:rsid w:val="00B10155"/>
    <w:rsid w:val="00B10B2B"/>
    <w:rsid w:val="00B11808"/>
    <w:rsid w:val="00B11D4D"/>
    <w:rsid w:val="00B13380"/>
    <w:rsid w:val="00B13B0D"/>
    <w:rsid w:val="00B13D69"/>
    <w:rsid w:val="00B1492A"/>
    <w:rsid w:val="00B15A74"/>
    <w:rsid w:val="00B162DF"/>
    <w:rsid w:val="00B166AD"/>
    <w:rsid w:val="00B16832"/>
    <w:rsid w:val="00B16BE0"/>
    <w:rsid w:val="00B17262"/>
    <w:rsid w:val="00B20032"/>
    <w:rsid w:val="00B20055"/>
    <w:rsid w:val="00B2038C"/>
    <w:rsid w:val="00B2143A"/>
    <w:rsid w:val="00B219A1"/>
    <w:rsid w:val="00B22DE7"/>
    <w:rsid w:val="00B231F4"/>
    <w:rsid w:val="00B23C78"/>
    <w:rsid w:val="00B2425A"/>
    <w:rsid w:val="00B245AB"/>
    <w:rsid w:val="00B24F07"/>
    <w:rsid w:val="00B2583C"/>
    <w:rsid w:val="00B25AA0"/>
    <w:rsid w:val="00B25BAB"/>
    <w:rsid w:val="00B260BA"/>
    <w:rsid w:val="00B26136"/>
    <w:rsid w:val="00B262CE"/>
    <w:rsid w:val="00B26BE5"/>
    <w:rsid w:val="00B27193"/>
    <w:rsid w:val="00B275CC"/>
    <w:rsid w:val="00B2769E"/>
    <w:rsid w:val="00B301A6"/>
    <w:rsid w:val="00B3041C"/>
    <w:rsid w:val="00B305CD"/>
    <w:rsid w:val="00B31CB8"/>
    <w:rsid w:val="00B31F85"/>
    <w:rsid w:val="00B33E75"/>
    <w:rsid w:val="00B3408E"/>
    <w:rsid w:val="00B35352"/>
    <w:rsid w:val="00B359E9"/>
    <w:rsid w:val="00B35DF2"/>
    <w:rsid w:val="00B35EE6"/>
    <w:rsid w:val="00B36910"/>
    <w:rsid w:val="00B36FE3"/>
    <w:rsid w:val="00B37191"/>
    <w:rsid w:val="00B37840"/>
    <w:rsid w:val="00B37A4D"/>
    <w:rsid w:val="00B37C3B"/>
    <w:rsid w:val="00B4007F"/>
    <w:rsid w:val="00B41247"/>
    <w:rsid w:val="00B42595"/>
    <w:rsid w:val="00B4386D"/>
    <w:rsid w:val="00B43BD2"/>
    <w:rsid w:val="00B43D0C"/>
    <w:rsid w:val="00B446F3"/>
    <w:rsid w:val="00B44C75"/>
    <w:rsid w:val="00B46385"/>
    <w:rsid w:val="00B47722"/>
    <w:rsid w:val="00B478CA"/>
    <w:rsid w:val="00B50C50"/>
    <w:rsid w:val="00B5276C"/>
    <w:rsid w:val="00B52F51"/>
    <w:rsid w:val="00B537FE"/>
    <w:rsid w:val="00B53B58"/>
    <w:rsid w:val="00B541EF"/>
    <w:rsid w:val="00B54AF8"/>
    <w:rsid w:val="00B552BB"/>
    <w:rsid w:val="00B55C65"/>
    <w:rsid w:val="00B57615"/>
    <w:rsid w:val="00B604B7"/>
    <w:rsid w:val="00B6150C"/>
    <w:rsid w:val="00B61A2C"/>
    <w:rsid w:val="00B61AC3"/>
    <w:rsid w:val="00B62C7E"/>
    <w:rsid w:val="00B6330B"/>
    <w:rsid w:val="00B63F50"/>
    <w:rsid w:val="00B6422E"/>
    <w:rsid w:val="00B65148"/>
    <w:rsid w:val="00B65159"/>
    <w:rsid w:val="00B66178"/>
    <w:rsid w:val="00B66330"/>
    <w:rsid w:val="00B66B46"/>
    <w:rsid w:val="00B66D0E"/>
    <w:rsid w:val="00B67007"/>
    <w:rsid w:val="00B6744E"/>
    <w:rsid w:val="00B677FA"/>
    <w:rsid w:val="00B67BF7"/>
    <w:rsid w:val="00B67D48"/>
    <w:rsid w:val="00B701C5"/>
    <w:rsid w:val="00B70202"/>
    <w:rsid w:val="00B7127A"/>
    <w:rsid w:val="00B718AC"/>
    <w:rsid w:val="00B71DD3"/>
    <w:rsid w:val="00B720D2"/>
    <w:rsid w:val="00B72A56"/>
    <w:rsid w:val="00B733EB"/>
    <w:rsid w:val="00B73C5B"/>
    <w:rsid w:val="00B74466"/>
    <w:rsid w:val="00B74492"/>
    <w:rsid w:val="00B756CE"/>
    <w:rsid w:val="00B75D89"/>
    <w:rsid w:val="00B76CC1"/>
    <w:rsid w:val="00B8030E"/>
    <w:rsid w:val="00B808F9"/>
    <w:rsid w:val="00B80FF2"/>
    <w:rsid w:val="00B81666"/>
    <w:rsid w:val="00B82ED6"/>
    <w:rsid w:val="00B83205"/>
    <w:rsid w:val="00B849FF"/>
    <w:rsid w:val="00B85948"/>
    <w:rsid w:val="00B861C9"/>
    <w:rsid w:val="00B86B36"/>
    <w:rsid w:val="00B87147"/>
    <w:rsid w:val="00B90539"/>
    <w:rsid w:val="00B90992"/>
    <w:rsid w:val="00B9099D"/>
    <w:rsid w:val="00B9123E"/>
    <w:rsid w:val="00B9156A"/>
    <w:rsid w:val="00B928F9"/>
    <w:rsid w:val="00B92AEB"/>
    <w:rsid w:val="00B92E11"/>
    <w:rsid w:val="00B93296"/>
    <w:rsid w:val="00B937C3"/>
    <w:rsid w:val="00B938DC"/>
    <w:rsid w:val="00B93F55"/>
    <w:rsid w:val="00B95247"/>
    <w:rsid w:val="00B95B1F"/>
    <w:rsid w:val="00B95B91"/>
    <w:rsid w:val="00B95DDF"/>
    <w:rsid w:val="00B96314"/>
    <w:rsid w:val="00B968AA"/>
    <w:rsid w:val="00B97B1B"/>
    <w:rsid w:val="00BA23E5"/>
    <w:rsid w:val="00BA2481"/>
    <w:rsid w:val="00BA2527"/>
    <w:rsid w:val="00BA3988"/>
    <w:rsid w:val="00BA3A6A"/>
    <w:rsid w:val="00BA3CBD"/>
    <w:rsid w:val="00BA4130"/>
    <w:rsid w:val="00BA42CD"/>
    <w:rsid w:val="00BA4D0A"/>
    <w:rsid w:val="00BA5093"/>
    <w:rsid w:val="00BA6957"/>
    <w:rsid w:val="00BA75EE"/>
    <w:rsid w:val="00BB0753"/>
    <w:rsid w:val="00BB091B"/>
    <w:rsid w:val="00BB18F2"/>
    <w:rsid w:val="00BB1B50"/>
    <w:rsid w:val="00BB2C25"/>
    <w:rsid w:val="00BB352D"/>
    <w:rsid w:val="00BB35C3"/>
    <w:rsid w:val="00BB3CAB"/>
    <w:rsid w:val="00BB3CE1"/>
    <w:rsid w:val="00BB5854"/>
    <w:rsid w:val="00BB6A8C"/>
    <w:rsid w:val="00BB7E3F"/>
    <w:rsid w:val="00BC014B"/>
    <w:rsid w:val="00BC0234"/>
    <w:rsid w:val="00BC0D43"/>
    <w:rsid w:val="00BC13F6"/>
    <w:rsid w:val="00BC1B6B"/>
    <w:rsid w:val="00BC2661"/>
    <w:rsid w:val="00BC39E5"/>
    <w:rsid w:val="00BC3ACB"/>
    <w:rsid w:val="00BC3CD3"/>
    <w:rsid w:val="00BC3D29"/>
    <w:rsid w:val="00BC4133"/>
    <w:rsid w:val="00BC425C"/>
    <w:rsid w:val="00BC4790"/>
    <w:rsid w:val="00BC576C"/>
    <w:rsid w:val="00BC62B5"/>
    <w:rsid w:val="00BC6D75"/>
    <w:rsid w:val="00BC72C6"/>
    <w:rsid w:val="00BD07D3"/>
    <w:rsid w:val="00BD12B4"/>
    <w:rsid w:val="00BD1CDB"/>
    <w:rsid w:val="00BD23EE"/>
    <w:rsid w:val="00BD2563"/>
    <w:rsid w:val="00BD275E"/>
    <w:rsid w:val="00BD2BB1"/>
    <w:rsid w:val="00BD3651"/>
    <w:rsid w:val="00BD4018"/>
    <w:rsid w:val="00BD4B00"/>
    <w:rsid w:val="00BD4F6A"/>
    <w:rsid w:val="00BD5640"/>
    <w:rsid w:val="00BD6526"/>
    <w:rsid w:val="00BD7047"/>
    <w:rsid w:val="00BD7120"/>
    <w:rsid w:val="00BD75B4"/>
    <w:rsid w:val="00BD79DD"/>
    <w:rsid w:val="00BE067C"/>
    <w:rsid w:val="00BE1D67"/>
    <w:rsid w:val="00BE20C0"/>
    <w:rsid w:val="00BE21E3"/>
    <w:rsid w:val="00BE2634"/>
    <w:rsid w:val="00BE2D68"/>
    <w:rsid w:val="00BE2DAB"/>
    <w:rsid w:val="00BE343C"/>
    <w:rsid w:val="00BE4440"/>
    <w:rsid w:val="00BE459E"/>
    <w:rsid w:val="00BE48DC"/>
    <w:rsid w:val="00BE4E79"/>
    <w:rsid w:val="00BE4FB6"/>
    <w:rsid w:val="00BE563A"/>
    <w:rsid w:val="00BE5BF4"/>
    <w:rsid w:val="00BE5F7D"/>
    <w:rsid w:val="00BE6334"/>
    <w:rsid w:val="00BE63D2"/>
    <w:rsid w:val="00BE655B"/>
    <w:rsid w:val="00BE65B9"/>
    <w:rsid w:val="00BE721E"/>
    <w:rsid w:val="00BE7241"/>
    <w:rsid w:val="00BE776F"/>
    <w:rsid w:val="00BE7CCF"/>
    <w:rsid w:val="00BF03A6"/>
    <w:rsid w:val="00BF05DD"/>
    <w:rsid w:val="00BF098B"/>
    <w:rsid w:val="00BF13F1"/>
    <w:rsid w:val="00BF160E"/>
    <w:rsid w:val="00BF1E0C"/>
    <w:rsid w:val="00BF2190"/>
    <w:rsid w:val="00BF30A9"/>
    <w:rsid w:val="00BF3B89"/>
    <w:rsid w:val="00BF3FCB"/>
    <w:rsid w:val="00BF407D"/>
    <w:rsid w:val="00BF542E"/>
    <w:rsid w:val="00BF5ED7"/>
    <w:rsid w:val="00BF6622"/>
    <w:rsid w:val="00BF7806"/>
    <w:rsid w:val="00BF7F23"/>
    <w:rsid w:val="00C0020F"/>
    <w:rsid w:val="00C0056A"/>
    <w:rsid w:val="00C00635"/>
    <w:rsid w:val="00C00913"/>
    <w:rsid w:val="00C00C6E"/>
    <w:rsid w:val="00C00DC6"/>
    <w:rsid w:val="00C01BCE"/>
    <w:rsid w:val="00C038A6"/>
    <w:rsid w:val="00C038C5"/>
    <w:rsid w:val="00C05238"/>
    <w:rsid w:val="00C05556"/>
    <w:rsid w:val="00C05FE4"/>
    <w:rsid w:val="00C07EE5"/>
    <w:rsid w:val="00C102E5"/>
    <w:rsid w:val="00C116E6"/>
    <w:rsid w:val="00C11B62"/>
    <w:rsid w:val="00C13432"/>
    <w:rsid w:val="00C1372B"/>
    <w:rsid w:val="00C13B01"/>
    <w:rsid w:val="00C14238"/>
    <w:rsid w:val="00C14773"/>
    <w:rsid w:val="00C14975"/>
    <w:rsid w:val="00C153E1"/>
    <w:rsid w:val="00C15B22"/>
    <w:rsid w:val="00C163C2"/>
    <w:rsid w:val="00C170B7"/>
    <w:rsid w:val="00C17443"/>
    <w:rsid w:val="00C1777F"/>
    <w:rsid w:val="00C203EB"/>
    <w:rsid w:val="00C209FA"/>
    <w:rsid w:val="00C20BD7"/>
    <w:rsid w:val="00C214D8"/>
    <w:rsid w:val="00C21933"/>
    <w:rsid w:val="00C2244B"/>
    <w:rsid w:val="00C22796"/>
    <w:rsid w:val="00C22CFD"/>
    <w:rsid w:val="00C233A4"/>
    <w:rsid w:val="00C23B43"/>
    <w:rsid w:val="00C23CAF"/>
    <w:rsid w:val="00C24264"/>
    <w:rsid w:val="00C24638"/>
    <w:rsid w:val="00C24B0D"/>
    <w:rsid w:val="00C2674C"/>
    <w:rsid w:val="00C26C59"/>
    <w:rsid w:val="00C26D1F"/>
    <w:rsid w:val="00C27C9A"/>
    <w:rsid w:val="00C302D0"/>
    <w:rsid w:val="00C309BD"/>
    <w:rsid w:val="00C311BC"/>
    <w:rsid w:val="00C319A5"/>
    <w:rsid w:val="00C32837"/>
    <w:rsid w:val="00C33980"/>
    <w:rsid w:val="00C34AAA"/>
    <w:rsid w:val="00C354B1"/>
    <w:rsid w:val="00C4067F"/>
    <w:rsid w:val="00C4199B"/>
    <w:rsid w:val="00C41BAC"/>
    <w:rsid w:val="00C4262C"/>
    <w:rsid w:val="00C429C1"/>
    <w:rsid w:val="00C42A82"/>
    <w:rsid w:val="00C42B1B"/>
    <w:rsid w:val="00C439B6"/>
    <w:rsid w:val="00C43DE8"/>
    <w:rsid w:val="00C4476E"/>
    <w:rsid w:val="00C46407"/>
    <w:rsid w:val="00C46772"/>
    <w:rsid w:val="00C468BD"/>
    <w:rsid w:val="00C47053"/>
    <w:rsid w:val="00C47119"/>
    <w:rsid w:val="00C4762B"/>
    <w:rsid w:val="00C51075"/>
    <w:rsid w:val="00C52F65"/>
    <w:rsid w:val="00C530B6"/>
    <w:rsid w:val="00C5319A"/>
    <w:rsid w:val="00C533F5"/>
    <w:rsid w:val="00C537E7"/>
    <w:rsid w:val="00C53917"/>
    <w:rsid w:val="00C539E6"/>
    <w:rsid w:val="00C54B8A"/>
    <w:rsid w:val="00C56861"/>
    <w:rsid w:val="00C570F6"/>
    <w:rsid w:val="00C57D5C"/>
    <w:rsid w:val="00C57DB4"/>
    <w:rsid w:val="00C60B35"/>
    <w:rsid w:val="00C60CE4"/>
    <w:rsid w:val="00C60ECA"/>
    <w:rsid w:val="00C61FF4"/>
    <w:rsid w:val="00C6231D"/>
    <w:rsid w:val="00C6304B"/>
    <w:rsid w:val="00C6417F"/>
    <w:rsid w:val="00C64C09"/>
    <w:rsid w:val="00C65365"/>
    <w:rsid w:val="00C65D18"/>
    <w:rsid w:val="00C66993"/>
    <w:rsid w:val="00C678F3"/>
    <w:rsid w:val="00C67C3E"/>
    <w:rsid w:val="00C722C8"/>
    <w:rsid w:val="00C727E5"/>
    <w:rsid w:val="00C72A17"/>
    <w:rsid w:val="00C73A3A"/>
    <w:rsid w:val="00C73CBF"/>
    <w:rsid w:val="00C74005"/>
    <w:rsid w:val="00C74501"/>
    <w:rsid w:val="00C7629C"/>
    <w:rsid w:val="00C76AA4"/>
    <w:rsid w:val="00C771BC"/>
    <w:rsid w:val="00C77464"/>
    <w:rsid w:val="00C777BF"/>
    <w:rsid w:val="00C80075"/>
    <w:rsid w:val="00C8093A"/>
    <w:rsid w:val="00C8169D"/>
    <w:rsid w:val="00C81E80"/>
    <w:rsid w:val="00C81F3E"/>
    <w:rsid w:val="00C83B96"/>
    <w:rsid w:val="00C85430"/>
    <w:rsid w:val="00C85CAB"/>
    <w:rsid w:val="00C866C8"/>
    <w:rsid w:val="00C86775"/>
    <w:rsid w:val="00C86C62"/>
    <w:rsid w:val="00C8703E"/>
    <w:rsid w:val="00C877E8"/>
    <w:rsid w:val="00C87CBF"/>
    <w:rsid w:val="00C90398"/>
    <w:rsid w:val="00C9051A"/>
    <w:rsid w:val="00C9055C"/>
    <w:rsid w:val="00C921AC"/>
    <w:rsid w:val="00C92D92"/>
    <w:rsid w:val="00C93017"/>
    <w:rsid w:val="00C947D2"/>
    <w:rsid w:val="00C94BCC"/>
    <w:rsid w:val="00C953D3"/>
    <w:rsid w:val="00C97BF9"/>
    <w:rsid w:val="00C97FC1"/>
    <w:rsid w:val="00CA0DCF"/>
    <w:rsid w:val="00CA0ED4"/>
    <w:rsid w:val="00CA1014"/>
    <w:rsid w:val="00CA1138"/>
    <w:rsid w:val="00CA15B7"/>
    <w:rsid w:val="00CA2149"/>
    <w:rsid w:val="00CA23A3"/>
    <w:rsid w:val="00CA256A"/>
    <w:rsid w:val="00CA2ED1"/>
    <w:rsid w:val="00CA32A0"/>
    <w:rsid w:val="00CA46F9"/>
    <w:rsid w:val="00CA6FCC"/>
    <w:rsid w:val="00CA7540"/>
    <w:rsid w:val="00CB03DC"/>
    <w:rsid w:val="00CB0854"/>
    <w:rsid w:val="00CB2283"/>
    <w:rsid w:val="00CB295A"/>
    <w:rsid w:val="00CB2B89"/>
    <w:rsid w:val="00CB3491"/>
    <w:rsid w:val="00CB39AB"/>
    <w:rsid w:val="00CB5813"/>
    <w:rsid w:val="00CB6070"/>
    <w:rsid w:val="00CB64C0"/>
    <w:rsid w:val="00CB708A"/>
    <w:rsid w:val="00CB7882"/>
    <w:rsid w:val="00CC0A9A"/>
    <w:rsid w:val="00CC0C4C"/>
    <w:rsid w:val="00CC1ED0"/>
    <w:rsid w:val="00CC38D7"/>
    <w:rsid w:val="00CC4110"/>
    <w:rsid w:val="00CC4457"/>
    <w:rsid w:val="00CC4C65"/>
    <w:rsid w:val="00CC4CB8"/>
    <w:rsid w:val="00CC4E32"/>
    <w:rsid w:val="00CC5C60"/>
    <w:rsid w:val="00CC5E5B"/>
    <w:rsid w:val="00CC6611"/>
    <w:rsid w:val="00CC712D"/>
    <w:rsid w:val="00CD0808"/>
    <w:rsid w:val="00CD0B4A"/>
    <w:rsid w:val="00CD0BAF"/>
    <w:rsid w:val="00CD0BB6"/>
    <w:rsid w:val="00CD0EB1"/>
    <w:rsid w:val="00CD10EC"/>
    <w:rsid w:val="00CD38E4"/>
    <w:rsid w:val="00CD3A22"/>
    <w:rsid w:val="00CD3B9D"/>
    <w:rsid w:val="00CD4C60"/>
    <w:rsid w:val="00CD4DF5"/>
    <w:rsid w:val="00CD52F9"/>
    <w:rsid w:val="00CD5BC2"/>
    <w:rsid w:val="00CD6992"/>
    <w:rsid w:val="00CD7581"/>
    <w:rsid w:val="00CE0331"/>
    <w:rsid w:val="00CE04D9"/>
    <w:rsid w:val="00CE11E4"/>
    <w:rsid w:val="00CE1A6D"/>
    <w:rsid w:val="00CE1D4E"/>
    <w:rsid w:val="00CE22B8"/>
    <w:rsid w:val="00CE2CC3"/>
    <w:rsid w:val="00CE3068"/>
    <w:rsid w:val="00CE3D9B"/>
    <w:rsid w:val="00CE54C2"/>
    <w:rsid w:val="00CE6495"/>
    <w:rsid w:val="00CF0117"/>
    <w:rsid w:val="00CF0711"/>
    <w:rsid w:val="00CF1D01"/>
    <w:rsid w:val="00CF2059"/>
    <w:rsid w:val="00CF21D5"/>
    <w:rsid w:val="00CF2417"/>
    <w:rsid w:val="00CF3162"/>
    <w:rsid w:val="00CF367F"/>
    <w:rsid w:val="00CF3BF2"/>
    <w:rsid w:val="00CF3D91"/>
    <w:rsid w:val="00CF5001"/>
    <w:rsid w:val="00CF6BBC"/>
    <w:rsid w:val="00CF7379"/>
    <w:rsid w:val="00D00AF5"/>
    <w:rsid w:val="00D0129A"/>
    <w:rsid w:val="00D01DBB"/>
    <w:rsid w:val="00D021FC"/>
    <w:rsid w:val="00D02428"/>
    <w:rsid w:val="00D03E02"/>
    <w:rsid w:val="00D05012"/>
    <w:rsid w:val="00D050C2"/>
    <w:rsid w:val="00D056E5"/>
    <w:rsid w:val="00D0629A"/>
    <w:rsid w:val="00D06763"/>
    <w:rsid w:val="00D06AA5"/>
    <w:rsid w:val="00D06B74"/>
    <w:rsid w:val="00D0707F"/>
    <w:rsid w:val="00D07080"/>
    <w:rsid w:val="00D07106"/>
    <w:rsid w:val="00D10634"/>
    <w:rsid w:val="00D10827"/>
    <w:rsid w:val="00D111D5"/>
    <w:rsid w:val="00D118AD"/>
    <w:rsid w:val="00D118B1"/>
    <w:rsid w:val="00D11AAC"/>
    <w:rsid w:val="00D11CEC"/>
    <w:rsid w:val="00D138A0"/>
    <w:rsid w:val="00D13CB5"/>
    <w:rsid w:val="00D14D39"/>
    <w:rsid w:val="00D15D13"/>
    <w:rsid w:val="00D17568"/>
    <w:rsid w:val="00D17891"/>
    <w:rsid w:val="00D17D1D"/>
    <w:rsid w:val="00D20407"/>
    <w:rsid w:val="00D20E60"/>
    <w:rsid w:val="00D2138A"/>
    <w:rsid w:val="00D23157"/>
    <w:rsid w:val="00D23991"/>
    <w:rsid w:val="00D23EB7"/>
    <w:rsid w:val="00D23F5B"/>
    <w:rsid w:val="00D241F0"/>
    <w:rsid w:val="00D25267"/>
    <w:rsid w:val="00D26601"/>
    <w:rsid w:val="00D27747"/>
    <w:rsid w:val="00D27B74"/>
    <w:rsid w:val="00D27FAF"/>
    <w:rsid w:val="00D3126F"/>
    <w:rsid w:val="00D31598"/>
    <w:rsid w:val="00D31780"/>
    <w:rsid w:val="00D3210A"/>
    <w:rsid w:val="00D32C72"/>
    <w:rsid w:val="00D33264"/>
    <w:rsid w:val="00D341F4"/>
    <w:rsid w:val="00D3437C"/>
    <w:rsid w:val="00D34849"/>
    <w:rsid w:val="00D351D8"/>
    <w:rsid w:val="00D36012"/>
    <w:rsid w:val="00D360E8"/>
    <w:rsid w:val="00D36685"/>
    <w:rsid w:val="00D37FEE"/>
    <w:rsid w:val="00D405F4"/>
    <w:rsid w:val="00D40ED6"/>
    <w:rsid w:val="00D41990"/>
    <w:rsid w:val="00D42502"/>
    <w:rsid w:val="00D42716"/>
    <w:rsid w:val="00D42B9B"/>
    <w:rsid w:val="00D44058"/>
    <w:rsid w:val="00D44B82"/>
    <w:rsid w:val="00D44E89"/>
    <w:rsid w:val="00D45970"/>
    <w:rsid w:val="00D45B06"/>
    <w:rsid w:val="00D45B4E"/>
    <w:rsid w:val="00D464E3"/>
    <w:rsid w:val="00D4675A"/>
    <w:rsid w:val="00D46EA2"/>
    <w:rsid w:val="00D46F38"/>
    <w:rsid w:val="00D5089E"/>
    <w:rsid w:val="00D52750"/>
    <w:rsid w:val="00D529F8"/>
    <w:rsid w:val="00D52A88"/>
    <w:rsid w:val="00D530C1"/>
    <w:rsid w:val="00D53E1B"/>
    <w:rsid w:val="00D54C3E"/>
    <w:rsid w:val="00D54F82"/>
    <w:rsid w:val="00D555A5"/>
    <w:rsid w:val="00D5567B"/>
    <w:rsid w:val="00D556E6"/>
    <w:rsid w:val="00D55988"/>
    <w:rsid w:val="00D55B3E"/>
    <w:rsid w:val="00D5645B"/>
    <w:rsid w:val="00D57A17"/>
    <w:rsid w:val="00D60539"/>
    <w:rsid w:val="00D6172D"/>
    <w:rsid w:val="00D62CA8"/>
    <w:rsid w:val="00D6374A"/>
    <w:rsid w:val="00D65D73"/>
    <w:rsid w:val="00D6662A"/>
    <w:rsid w:val="00D66767"/>
    <w:rsid w:val="00D66E21"/>
    <w:rsid w:val="00D679B9"/>
    <w:rsid w:val="00D679E6"/>
    <w:rsid w:val="00D67D1D"/>
    <w:rsid w:val="00D707D0"/>
    <w:rsid w:val="00D71F2D"/>
    <w:rsid w:val="00D72355"/>
    <w:rsid w:val="00D724E9"/>
    <w:rsid w:val="00D72BBD"/>
    <w:rsid w:val="00D72DDF"/>
    <w:rsid w:val="00D73102"/>
    <w:rsid w:val="00D7352D"/>
    <w:rsid w:val="00D7540F"/>
    <w:rsid w:val="00D75490"/>
    <w:rsid w:val="00D75A0D"/>
    <w:rsid w:val="00D75EE3"/>
    <w:rsid w:val="00D7608D"/>
    <w:rsid w:val="00D763E6"/>
    <w:rsid w:val="00D76D37"/>
    <w:rsid w:val="00D76F78"/>
    <w:rsid w:val="00D777A8"/>
    <w:rsid w:val="00D77F56"/>
    <w:rsid w:val="00D80F09"/>
    <w:rsid w:val="00D813AF"/>
    <w:rsid w:val="00D813B6"/>
    <w:rsid w:val="00D81482"/>
    <w:rsid w:val="00D816E0"/>
    <w:rsid w:val="00D81A5D"/>
    <w:rsid w:val="00D81B74"/>
    <w:rsid w:val="00D83E03"/>
    <w:rsid w:val="00D8437D"/>
    <w:rsid w:val="00D853EA"/>
    <w:rsid w:val="00D863CB"/>
    <w:rsid w:val="00D86C32"/>
    <w:rsid w:val="00D86C36"/>
    <w:rsid w:val="00D87032"/>
    <w:rsid w:val="00D879CA"/>
    <w:rsid w:val="00D901BB"/>
    <w:rsid w:val="00D914A3"/>
    <w:rsid w:val="00D91A83"/>
    <w:rsid w:val="00D92B15"/>
    <w:rsid w:val="00D92EA0"/>
    <w:rsid w:val="00D93ECD"/>
    <w:rsid w:val="00D94997"/>
    <w:rsid w:val="00D96127"/>
    <w:rsid w:val="00D969FC"/>
    <w:rsid w:val="00DA0739"/>
    <w:rsid w:val="00DA132E"/>
    <w:rsid w:val="00DA184E"/>
    <w:rsid w:val="00DA217B"/>
    <w:rsid w:val="00DA2ADF"/>
    <w:rsid w:val="00DA43D8"/>
    <w:rsid w:val="00DA4861"/>
    <w:rsid w:val="00DA5BB0"/>
    <w:rsid w:val="00DA6158"/>
    <w:rsid w:val="00DA6A64"/>
    <w:rsid w:val="00DA6C7F"/>
    <w:rsid w:val="00DA70A5"/>
    <w:rsid w:val="00DA7FB5"/>
    <w:rsid w:val="00DB0B30"/>
    <w:rsid w:val="00DB22EC"/>
    <w:rsid w:val="00DB2D21"/>
    <w:rsid w:val="00DB34C7"/>
    <w:rsid w:val="00DB3FD7"/>
    <w:rsid w:val="00DB4A13"/>
    <w:rsid w:val="00DB4DCC"/>
    <w:rsid w:val="00DB5149"/>
    <w:rsid w:val="00DB5830"/>
    <w:rsid w:val="00DB6319"/>
    <w:rsid w:val="00DB708C"/>
    <w:rsid w:val="00DC00C9"/>
    <w:rsid w:val="00DC0D67"/>
    <w:rsid w:val="00DC1868"/>
    <w:rsid w:val="00DC1E7D"/>
    <w:rsid w:val="00DC2BCA"/>
    <w:rsid w:val="00DC3032"/>
    <w:rsid w:val="00DC3C21"/>
    <w:rsid w:val="00DC3D72"/>
    <w:rsid w:val="00DC3F9F"/>
    <w:rsid w:val="00DC5456"/>
    <w:rsid w:val="00DC6282"/>
    <w:rsid w:val="00DC62C5"/>
    <w:rsid w:val="00DC6713"/>
    <w:rsid w:val="00DD02EC"/>
    <w:rsid w:val="00DD0AD0"/>
    <w:rsid w:val="00DD13F8"/>
    <w:rsid w:val="00DD19BE"/>
    <w:rsid w:val="00DD2841"/>
    <w:rsid w:val="00DD2D7C"/>
    <w:rsid w:val="00DD2F31"/>
    <w:rsid w:val="00DD3208"/>
    <w:rsid w:val="00DD3248"/>
    <w:rsid w:val="00DD3DF9"/>
    <w:rsid w:val="00DD3F25"/>
    <w:rsid w:val="00DD3F35"/>
    <w:rsid w:val="00DD4504"/>
    <w:rsid w:val="00DD50F6"/>
    <w:rsid w:val="00DD55E5"/>
    <w:rsid w:val="00DD5B0C"/>
    <w:rsid w:val="00DD5EF1"/>
    <w:rsid w:val="00DD645A"/>
    <w:rsid w:val="00DD65CE"/>
    <w:rsid w:val="00DD660A"/>
    <w:rsid w:val="00DD6776"/>
    <w:rsid w:val="00DD732C"/>
    <w:rsid w:val="00DD7A40"/>
    <w:rsid w:val="00DE0372"/>
    <w:rsid w:val="00DE06DA"/>
    <w:rsid w:val="00DE0A51"/>
    <w:rsid w:val="00DE13AE"/>
    <w:rsid w:val="00DE152E"/>
    <w:rsid w:val="00DE1CA0"/>
    <w:rsid w:val="00DE1D38"/>
    <w:rsid w:val="00DE4C1D"/>
    <w:rsid w:val="00DE4E0E"/>
    <w:rsid w:val="00DE53A7"/>
    <w:rsid w:val="00DE56CB"/>
    <w:rsid w:val="00DE56E4"/>
    <w:rsid w:val="00DE59DE"/>
    <w:rsid w:val="00DE626E"/>
    <w:rsid w:val="00DE742B"/>
    <w:rsid w:val="00DF1854"/>
    <w:rsid w:val="00DF1A7C"/>
    <w:rsid w:val="00DF1AF8"/>
    <w:rsid w:val="00DF1F97"/>
    <w:rsid w:val="00DF208C"/>
    <w:rsid w:val="00DF237D"/>
    <w:rsid w:val="00DF260A"/>
    <w:rsid w:val="00DF2681"/>
    <w:rsid w:val="00DF2E79"/>
    <w:rsid w:val="00DF2EFA"/>
    <w:rsid w:val="00DF3A76"/>
    <w:rsid w:val="00DF4439"/>
    <w:rsid w:val="00DF6CB4"/>
    <w:rsid w:val="00DF76C7"/>
    <w:rsid w:val="00E00B85"/>
    <w:rsid w:val="00E00F4B"/>
    <w:rsid w:val="00E012D5"/>
    <w:rsid w:val="00E016D7"/>
    <w:rsid w:val="00E01E85"/>
    <w:rsid w:val="00E03687"/>
    <w:rsid w:val="00E03799"/>
    <w:rsid w:val="00E03A36"/>
    <w:rsid w:val="00E03E1D"/>
    <w:rsid w:val="00E04178"/>
    <w:rsid w:val="00E045E8"/>
    <w:rsid w:val="00E046E7"/>
    <w:rsid w:val="00E0507F"/>
    <w:rsid w:val="00E05449"/>
    <w:rsid w:val="00E05692"/>
    <w:rsid w:val="00E05C4C"/>
    <w:rsid w:val="00E05C87"/>
    <w:rsid w:val="00E06691"/>
    <w:rsid w:val="00E066FA"/>
    <w:rsid w:val="00E06995"/>
    <w:rsid w:val="00E06CA9"/>
    <w:rsid w:val="00E06E0B"/>
    <w:rsid w:val="00E06F34"/>
    <w:rsid w:val="00E0729B"/>
    <w:rsid w:val="00E07FCD"/>
    <w:rsid w:val="00E103CE"/>
    <w:rsid w:val="00E10800"/>
    <w:rsid w:val="00E108A9"/>
    <w:rsid w:val="00E10C25"/>
    <w:rsid w:val="00E1119E"/>
    <w:rsid w:val="00E11662"/>
    <w:rsid w:val="00E12331"/>
    <w:rsid w:val="00E135C9"/>
    <w:rsid w:val="00E15484"/>
    <w:rsid w:val="00E1552E"/>
    <w:rsid w:val="00E15BF8"/>
    <w:rsid w:val="00E15C09"/>
    <w:rsid w:val="00E15D27"/>
    <w:rsid w:val="00E167C1"/>
    <w:rsid w:val="00E178E5"/>
    <w:rsid w:val="00E216DE"/>
    <w:rsid w:val="00E21EEA"/>
    <w:rsid w:val="00E22142"/>
    <w:rsid w:val="00E227A3"/>
    <w:rsid w:val="00E23173"/>
    <w:rsid w:val="00E23180"/>
    <w:rsid w:val="00E236A2"/>
    <w:rsid w:val="00E236B6"/>
    <w:rsid w:val="00E253A4"/>
    <w:rsid w:val="00E25CEE"/>
    <w:rsid w:val="00E25D6E"/>
    <w:rsid w:val="00E2632E"/>
    <w:rsid w:val="00E26579"/>
    <w:rsid w:val="00E27F1E"/>
    <w:rsid w:val="00E30739"/>
    <w:rsid w:val="00E316B7"/>
    <w:rsid w:val="00E31869"/>
    <w:rsid w:val="00E32A02"/>
    <w:rsid w:val="00E32A85"/>
    <w:rsid w:val="00E32EBE"/>
    <w:rsid w:val="00E33690"/>
    <w:rsid w:val="00E33880"/>
    <w:rsid w:val="00E3491B"/>
    <w:rsid w:val="00E35BFA"/>
    <w:rsid w:val="00E360BC"/>
    <w:rsid w:val="00E36DBF"/>
    <w:rsid w:val="00E37549"/>
    <w:rsid w:val="00E400BF"/>
    <w:rsid w:val="00E40745"/>
    <w:rsid w:val="00E40AEB"/>
    <w:rsid w:val="00E41914"/>
    <w:rsid w:val="00E41DF2"/>
    <w:rsid w:val="00E41EE5"/>
    <w:rsid w:val="00E42F35"/>
    <w:rsid w:val="00E4366D"/>
    <w:rsid w:val="00E43A04"/>
    <w:rsid w:val="00E441CB"/>
    <w:rsid w:val="00E44253"/>
    <w:rsid w:val="00E44680"/>
    <w:rsid w:val="00E4480C"/>
    <w:rsid w:val="00E4484F"/>
    <w:rsid w:val="00E4542F"/>
    <w:rsid w:val="00E45526"/>
    <w:rsid w:val="00E45622"/>
    <w:rsid w:val="00E45FB3"/>
    <w:rsid w:val="00E47FE6"/>
    <w:rsid w:val="00E51BC3"/>
    <w:rsid w:val="00E51D6F"/>
    <w:rsid w:val="00E5204A"/>
    <w:rsid w:val="00E5294C"/>
    <w:rsid w:val="00E538E2"/>
    <w:rsid w:val="00E54E53"/>
    <w:rsid w:val="00E55849"/>
    <w:rsid w:val="00E55D96"/>
    <w:rsid w:val="00E56672"/>
    <w:rsid w:val="00E568F2"/>
    <w:rsid w:val="00E56EF7"/>
    <w:rsid w:val="00E56FA1"/>
    <w:rsid w:val="00E57162"/>
    <w:rsid w:val="00E57379"/>
    <w:rsid w:val="00E60058"/>
    <w:rsid w:val="00E6080F"/>
    <w:rsid w:val="00E609DE"/>
    <w:rsid w:val="00E616DC"/>
    <w:rsid w:val="00E6218F"/>
    <w:rsid w:val="00E62890"/>
    <w:rsid w:val="00E62905"/>
    <w:rsid w:val="00E635A9"/>
    <w:rsid w:val="00E644DA"/>
    <w:rsid w:val="00E645E7"/>
    <w:rsid w:val="00E64F4B"/>
    <w:rsid w:val="00E66137"/>
    <w:rsid w:val="00E668C9"/>
    <w:rsid w:val="00E66930"/>
    <w:rsid w:val="00E6792B"/>
    <w:rsid w:val="00E70B63"/>
    <w:rsid w:val="00E71494"/>
    <w:rsid w:val="00E7164F"/>
    <w:rsid w:val="00E719AB"/>
    <w:rsid w:val="00E723E5"/>
    <w:rsid w:val="00E729A4"/>
    <w:rsid w:val="00E729DC"/>
    <w:rsid w:val="00E74488"/>
    <w:rsid w:val="00E754E5"/>
    <w:rsid w:val="00E75814"/>
    <w:rsid w:val="00E75A80"/>
    <w:rsid w:val="00E75B22"/>
    <w:rsid w:val="00E75D21"/>
    <w:rsid w:val="00E75FA0"/>
    <w:rsid w:val="00E7637E"/>
    <w:rsid w:val="00E772E6"/>
    <w:rsid w:val="00E77DCC"/>
    <w:rsid w:val="00E77F4F"/>
    <w:rsid w:val="00E81394"/>
    <w:rsid w:val="00E816BF"/>
    <w:rsid w:val="00E81B67"/>
    <w:rsid w:val="00E82551"/>
    <w:rsid w:val="00E82599"/>
    <w:rsid w:val="00E82F04"/>
    <w:rsid w:val="00E83DAD"/>
    <w:rsid w:val="00E847CA"/>
    <w:rsid w:val="00E84A4E"/>
    <w:rsid w:val="00E84B8E"/>
    <w:rsid w:val="00E8533E"/>
    <w:rsid w:val="00E8594C"/>
    <w:rsid w:val="00E87475"/>
    <w:rsid w:val="00E87E93"/>
    <w:rsid w:val="00E87F9C"/>
    <w:rsid w:val="00E90653"/>
    <w:rsid w:val="00E911A8"/>
    <w:rsid w:val="00E91AD5"/>
    <w:rsid w:val="00E91B4E"/>
    <w:rsid w:val="00E92926"/>
    <w:rsid w:val="00E93252"/>
    <w:rsid w:val="00E94215"/>
    <w:rsid w:val="00E95320"/>
    <w:rsid w:val="00E9538C"/>
    <w:rsid w:val="00E953E1"/>
    <w:rsid w:val="00E95750"/>
    <w:rsid w:val="00E957E9"/>
    <w:rsid w:val="00E971E0"/>
    <w:rsid w:val="00E9799E"/>
    <w:rsid w:val="00E97A04"/>
    <w:rsid w:val="00E97B59"/>
    <w:rsid w:val="00EA0467"/>
    <w:rsid w:val="00EA08D7"/>
    <w:rsid w:val="00EA2217"/>
    <w:rsid w:val="00EA2495"/>
    <w:rsid w:val="00EA2767"/>
    <w:rsid w:val="00EA2DEA"/>
    <w:rsid w:val="00EA2DFD"/>
    <w:rsid w:val="00EA2F88"/>
    <w:rsid w:val="00EA4158"/>
    <w:rsid w:val="00EA4814"/>
    <w:rsid w:val="00EA4C64"/>
    <w:rsid w:val="00EA4F81"/>
    <w:rsid w:val="00EA56B7"/>
    <w:rsid w:val="00EA5D39"/>
    <w:rsid w:val="00EA768F"/>
    <w:rsid w:val="00EB07CB"/>
    <w:rsid w:val="00EB1143"/>
    <w:rsid w:val="00EB1564"/>
    <w:rsid w:val="00EB17E3"/>
    <w:rsid w:val="00EB3866"/>
    <w:rsid w:val="00EB4141"/>
    <w:rsid w:val="00EB4180"/>
    <w:rsid w:val="00EB4FAD"/>
    <w:rsid w:val="00EB52B6"/>
    <w:rsid w:val="00EB5418"/>
    <w:rsid w:val="00EB578C"/>
    <w:rsid w:val="00EB5CFF"/>
    <w:rsid w:val="00EB685C"/>
    <w:rsid w:val="00EB6ECC"/>
    <w:rsid w:val="00EB721A"/>
    <w:rsid w:val="00EC0355"/>
    <w:rsid w:val="00EC1B66"/>
    <w:rsid w:val="00EC2292"/>
    <w:rsid w:val="00EC2DF4"/>
    <w:rsid w:val="00EC46A4"/>
    <w:rsid w:val="00EC4769"/>
    <w:rsid w:val="00EC4CBC"/>
    <w:rsid w:val="00EC527F"/>
    <w:rsid w:val="00EC5930"/>
    <w:rsid w:val="00EC5BE3"/>
    <w:rsid w:val="00EC5E1C"/>
    <w:rsid w:val="00EC6385"/>
    <w:rsid w:val="00EC6508"/>
    <w:rsid w:val="00EC689A"/>
    <w:rsid w:val="00EC728E"/>
    <w:rsid w:val="00EC77F3"/>
    <w:rsid w:val="00EC7ED9"/>
    <w:rsid w:val="00ED065B"/>
    <w:rsid w:val="00ED0855"/>
    <w:rsid w:val="00ED1115"/>
    <w:rsid w:val="00ED1E69"/>
    <w:rsid w:val="00ED22F6"/>
    <w:rsid w:val="00ED2BBB"/>
    <w:rsid w:val="00ED2DC9"/>
    <w:rsid w:val="00ED352C"/>
    <w:rsid w:val="00ED392A"/>
    <w:rsid w:val="00ED45F2"/>
    <w:rsid w:val="00ED51C8"/>
    <w:rsid w:val="00ED5F16"/>
    <w:rsid w:val="00ED64F6"/>
    <w:rsid w:val="00ED7B1D"/>
    <w:rsid w:val="00EE078E"/>
    <w:rsid w:val="00EE0973"/>
    <w:rsid w:val="00EE0B3D"/>
    <w:rsid w:val="00EE2533"/>
    <w:rsid w:val="00EE2A56"/>
    <w:rsid w:val="00EE2D0C"/>
    <w:rsid w:val="00EE2F55"/>
    <w:rsid w:val="00EE4239"/>
    <w:rsid w:val="00EE4BA0"/>
    <w:rsid w:val="00EE533C"/>
    <w:rsid w:val="00EE5A2A"/>
    <w:rsid w:val="00EE5EB2"/>
    <w:rsid w:val="00EF1206"/>
    <w:rsid w:val="00EF1390"/>
    <w:rsid w:val="00EF205B"/>
    <w:rsid w:val="00EF2926"/>
    <w:rsid w:val="00EF2969"/>
    <w:rsid w:val="00EF298C"/>
    <w:rsid w:val="00EF310E"/>
    <w:rsid w:val="00EF390B"/>
    <w:rsid w:val="00EF3B34"/>
    <w:rsid w:val="00EF3F43"/>
    <w:rsid w:val="00EF4193"/>
    <w:rsid w:val="00EF5801"/>
    <w:rsid w:val="00EF5CEE"/>
    <w:rsid w:val="00EF69F3"/>
    <w:rsid w:val="00F0035A"/>
    <w:rsid w:val="00F00797"/>
    <w:rsid w:val="00F01175"/>
    <w:rsid w:val="00F020C5"/>
    <w:rsid w:val="00F021D7"/>
    <w:rsid w:val="00F02D71"/>
    <w:rsid w:val="00F02DA0"/>
    <w:rsid w:val="00F037A1"/>
    <w:rsid w:val="00F03D0B"/>
    <w:rsid w:val="00F04417"/>
    <w:rsid w:val="00F04BF1"/>
    <w:rsid w:val="00F04EF5"/>
    <w:rsid w:val="00F053AC"/>
    <w:rsid w:val="00F07001"/>
    <w:rsid w:val="00F07C66"/>
    <w:rsid w:val="00F110C3"/>
    <w:rsid w:val="00F12C7A"/>
    <w:rsid w:val="00F12F80"/>
    <w:rsid w:val="00F12FCD"/>
    <w:rsid w:val="00F1323F"/>
    <w:rsid w:val="00F133F0"/>
    <w:rsid w:val="00F14797"/>
    <w:rsid w:val="00F14FC9"/>
    <w:rsid w:val="00F150F1"/>
    <w:rsid w:val="00F161E6"/>
    <w:rsid w:val="00F167F2"/>
    <w:rsid w:val="00F17771"/>
    <w:rsid w:val="00F17A1E"/>
    <w:rsid w:val="00F202F9"/>
    <w:rsid w:val="00F20956"/>
    <w:rsid w:val="00F20D5E"/>
    <w:rsid w:val="00F21223"/>
    <w:rsid w:val="00F23819"/>
    <w:rsid w:val="00F23A7D"/>
    <w:rsid w:val="00F24032"/>
    <w:rsid w:val="00F24412"/>
    <w:rsid w:val="00F24852"/>
    <w:rsid w:val="00F248CB"/>
    <w:rsid w:val="00F24B7E"/>
    <w:rsid w:val="00F25323"/>
    <w:rsid w:val="00F257E3"/>
    <w:rsid w:val="00F259E4"/>
    <w:rsid w:val="00F25F93"/>
    <w:rsid w:val="00F260D1"/>
    <w:rsid w:val="00F26746"/>
    <w:rsid w:val="00F30E60"/>
    <w:rsid w:val="00F31145"/>
    <w:rsid w:val="00F314F7"/>
    <w:rsid w:val="00F31A21"/>
    <w:rsid w:val="00F32044"/>
    <w:rsid w:val="00F3214C"/>
    <w:rsid w:val="00F32484"/>
    <w:rsid w:val="00F3303E"/>
    <w:rsid w:val="00F33253"/>
    <w:rsid w:val="00F34A82"/>
    <w:rsid w:val="00F34B05"/>
    <w:rsid w:val="00F34F72"/>
    <w:rsid w:val="00F35146"/>
    <w:rsid w:val="00F35F02"/>
    <w:rsid w:val="00F36186"/>
    <w:rsid w:val="00F367E9"/>
    <w:rsid w:val="00F36D75"/>
    <w:rsid w:val="00F3734B"/>
    <w:rsid w:val="00F3737D"/>
    <w:rsid w:val="00F4097C"/>
    <w:rsid w:val="00F41B04"/>
    <w:rsid w:val="00F42EEA"/>
    <w:rsid w:val="00F4352E"/>
    <w:rsid w:val="00F43DFE"/>
    <w:rsid w:val="00F451DA"/>
    <w:rsid w:val="00F4566C"/>
    <w:rsid w:val="00F45E76"/>
    <w:rsid w:val="00F46660"/>
    <w:rsid w:val="00F46758"/>
    <w:rsid w:val="00F46B34"/>
    <w:rsid w:val="00F47115"/>
    <w:rsid w:val="00F50E50"/>
    <w:rsid w:val="00F52093"/>
    <w:rsid w:val="00F545FC"/>
    <w:rsid w:val="00F549EE"/>
    <w:rsid w:val="00F54EE1"/>
    <w:rsid w:val="00F558F6"/>
    <w:rsid w:val="00F562E1"/>
    <w:rsid w:val="00F56DF8"/>
    <w:rsid w:val="00F57D77"/>
    <w:rsid w:val="00F602A2"/>
    <w:rsid w:val="00F60482"/>
    <w:rsid w:val="00F607A9"/>
    <w:rsid w:val="00F624D8"/>
    <w:rsid w:val="00F63AC5"/>
    <w:rsid w:val="00F64964"/>
    <w:rsid w:val="00F64B73"/>
    <w:rsid w:val="00F64DC4"/>
    <w:rsid w:val="00F64E04"/>
    <w:rsid w:val="00F65E4E"/>
    <w:rsid w:val="00F6715B"/>
    <w:rsid w:val="00F70F3A"/>
    <w:rsid w:val="00F7122A"/>
    <w:rsid w:val="00F7258A"/>
    <w:rsid w:val="00F72AA6"/>
    <w:rsid w:val="00F72D18"/>
    <w:rsid w:val="00F730E3"/>
    <w:rsid w:val="00F73F6F"/>
    <w:rsid w:val="00F740F2"/>
    <w:rsid w:val="00F7451A"/>
    <w:rsid w:val="00F74655"/>
    <w:rsid w:val="00F74902"/>
    <w:rsid w:val="00F75623"/>
    <w:rsid w:val="00F7566D"/>
    <w:rsid w:val="00F7741F"/>
    <w:rsid w:val="00F77926"/>
    <w:rsid w:val="00F8077C"/>
    <w:rsid w:val="00F810CE"/>
    <w:rsid w:val="00F82A78"/>
    <w:rsid w:val="00F82B31"/>
    <w:rsid w:val="00F82C9E"/>
    <w:rsid w:val="00F830B6"/>
    <w:rsid w:val="00F8459A"/>
    <w:rsid w:val="00F84762"/>
    <w:rsid w:val="00F85996"/>
    <w:rsid w:val="00F85B06"/>
    <w:rsid w:val="00F85B29"/>
    <w:rsid w:val="00F85BB3"/>
    <w:rsid w:val="00F85C3B"/>
    <w:rsid w:val="00F8624A"/>
    <w:rsid w:val="00F8692A"/>
    <w:rsid w:val="00F86B17"/>
    <w:rsid w:val="00F86BE7"/>
    <w:rsid w:val="00F870C4"/>
    <w:rsid w:val="00F87BF8"/>
    <w:rsid w:val="00F87D22"/>
    <w:rsid w:val="00F906DA"/>
    <w:rsid w:val="00F907EF"/>
    <w:rsid w:val="00F909D7"/>
    <w:rsid w:val="00F90AC9"/>
    <w:rsid w:val="00F911C3"/>
    <w:rsid w:val="00F91684"/>
    <w:rsid w:val="00F91CEF"/>
    <w:rsid w:val="00F9221D"/>
    <w:rsid w:val="00F92B92"/>
    <w:rsid w:val="00F946D6"/>
    <w:rsid w:val="00F95124"/>
    <w:rsid w:val="00F9588C"/>
    <w:rsid w:val="00F958CC"/>
    <w:rsid w:val="00F959A1"/>
    <w:rsid w:val="00F95A88"/>
    <w:rsid w:val="00F95B50"/>
    <w:rsid w:val="00F95EA9"/>
    <w:rsid w:val="00F968F8"/>
    <w:rsid w:val="00F96A51"/>
    <w:rsid w:val="00F973BF"/>
    <w:rsid w:val="00F97BC7"/>
    <w:rsid w:val="00F97BD9"/>
    <w:rsid w:val="00F97C45"/>
    <w:rsid w:val="00F97F22"/>
    <w:rsid w:val="00FA0C7A"/>
    <w:rsid w:val="00FA169A"/>
    <w:rsid w:val="00FA2641"/>
    <w:rsid w:val="00FA29C8"/>
    <w:rsid w:val="00FA2A37"/>
    <w:rsid w:val="00FA2BB6"/>
    <w:rsid w:val="00FA34F4"/>
    <w:rsid w:val="00FA4041"/>
    <w:rsid w:val="00FA4460"/>
    <w:rsid w:val="00FA471F"/>
    <w:rsid w:val="00FA4EB4"/>
    <w:rsid w:val="00FA52C0"/>
    <w:rsid w:val="00FA6763"/>
    <w:rsid w:val="00FA6A26"/>
    <w:rsid w:val="00FA7DEC"/>
    <w:rsid w:val="00FB0532"/>
    <w:rsid w:val="00FB1349"/>
    <w:rsid w:val="00FB1BFB"/>
    <w:rsid w:val="00FB3554"/>
    <w:rsid w:val="00FB3D8D"/>
    <w:rsid w:val="00FB3DEA"/>
    <w:rsid w:val="00FB41A1"/>
    <w:rsid w:val="00FB5C3D"/>
    <w:rsid w:val="00FB615B"/>
    <w:rsid w:val="00FB682E"/>
    <w:rsid w:val="00FB6BAB"/>
    <w:rsid w:val="00FB79F4"/>
    <w:rsid w:val="00FC05DB"/>
    <w:rsid w:val="00FC078E"/>
    <w:rsid w:val="00FC1768"/>
    <w:rsid w:val="00FC1A22"/>
    <w:rsid w:val="00FC20E0"/>
    <w:rsid w:val="00FC3B65"/>
    <w:rsid w:val="00FC3FC5"/>
    <w:rsid w:val="00FC4119"/>
    <w:rsid w:val="00FC4755"/>
    <w:rsid w:val="00FC530C"/>
    <w:rsid w:val="00FC548F"/>
    <w:rsid w:val="00FC6C00"/>
    <w:rsid w:val="00FC70FB"/>
    <w:rsid w:val="00FC77CD"/>
    <w:rsid w:val="00FD03E8"/>
    <w:rsid w:val="00FD17CD"/>
    <w:rsid w:val="00FD1EC2"/>
    <w:rsid w:val="00FD23FC"/>
    <w:rsid w:val="00FD289F"/>
    <w:rsid w:val="00FD2DAF"/>
    <w:rsid w:val="00FD3F45"/>
    <w:rsid w:val="00FD4524"/>
    <w:rsid w:val="00FD453D"/>
    <w:rsid w:val="00FD570F"/>
    <w:rsid w:val="00FD5B41"/>
    <w:rsid w:val="00FD5F29"/>
    <w:rsid w:val="00FD6025"/>
    <w:rsid w:val="00FD6524"/>
    <w:rsid w:val="00FD6A38"/>
    <w:rsid w:val="00FD70E7"/>
    <w:rsid w:val="00FD79C4"/>
    <w:rsid w:val="00FD7DE5"/>
    <w:rsid w:val="00FE0232"/>
    <w:rsid w:val="00FE0873"/>
    <w:rsid w:val="00FE1237"/>
    <w:rsid w:val="00FE15C7"/>
    <w:rsid w:val="00FE184E"/>
    <w:rsid w:val="00FE1ADC"/>
    <w:rsid w:val="00FE1B05"/>
    <w:rsid w:val="00FE363F"/>
    <w:rsid w:val="00FE3CB1"/>
    <w:rsid w:val="00FE3F8F"/>
    <w:rsid w:val="00FE4E51"/>
    <w:rsid w:val="00FE5014"/>
    <w:rsid w:val="00FE53F0"/>
    <w:rsid w:val="00FE543B"/>
    <w:rsid w:val="00FE5B12"/>
    <w:rsid w:val="00FE5DF8"/>
    <w:rsid w:val="00FE6A4E"/>
    <w:rsid w:val="00FE7E15"/>
    <w:rsid w:val="00FF0859"/>
    <w:rsid w:val="00FF15C6"/>
    <w:rsid w:val="00FF17D5"/>
    <w:rsid w:val="00FF2264"/>
    <w:rsid w:val="00FF2980"/>
    <w:rsid w:val="00FF34E8"/>
    <w:rsid w:val="00FF4EF7"/>
    <w:rsid w:val="00FF6A26"/>
    <w:rsid w:val="00FF6EF0"/>
    <w:rsid w:val="00FF6FDC"/>
    <w:rsid w:val="00FF7691"/>
    <w:rsid w:val="040D5C06"/>
    <w:rsid w:val="0733166A"/>
    <w:rsid w:val="0EAA74FC"/>
    <w:rsid w:val="0FD84042"/>
    <w:rsid w:val="13B32786"/>
    <w:rsid w:val="18AC09EC"/>
    <w:rsid w:val="243C3C75"/>
    <w:rsid w:val="2A3A7044"/>
    <w:rsid w:val="2A5517B6"/>
    <w:rsid w:val="2D770BC5"/>
    <w:rsid w:val="34A668B2"/>
    <w:rsid w:val="37E46B59"/>
    <w:rsid w:val="3B0F1D9E"/>
    <w:rsid w:val="42E77890"/>
    <w:rsid w:val="53EF7FBB"/>
    <w:rsid w:val="6B040620"/>
    <w:rsid w:val="7DB714DF"/>
    <w:rsid w:val="7F4C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1"/>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semiHidden/>
    <w:qFormat/>
    <w:uiPriority w:val="0"/>
    <w:pPr>
      <w:shd w:val="clear" w:color="auto" w:fill="000080"/>
    </w:pPr>
  </w:style>
  <w:style w:type="paragraph" w:styleId="15">
    <w:name w:val="annotation text"/>
    <w:basedOn w:val="1"/>
    <w:link w:val="93"/>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link w:val="108"/>
    <w:qFormat/>
    <w:uiPriority w:val="0"/>
    <w:rPr>
      <w:rFonts w:ascii="楷体_GB2312" w:hAnsi="Arial" w:eastAsia="楷体_GB2312"/>
      <w:sz w:val="28"/>
      <w:szCs w:val="28"/>
    </w:rPr>
  </w:style>
  <w:style w:type="paragraph" w:styleId="18">
    <w:name w:val="Body Text Indent"/>
    <w:basedOn w:val="1"/>
    <w:link w:val="113"/>
    <w:qFormat/>
    <w:uiPriority w:val="99"/>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5"/>
    <w:basedOn w:val="1"/>
    <w:next w:val="1"/>
    <w:semiHidden/>
    <w:qFormat/>
    <w:uiPriority w:val="0"/>
    <w:pPr>
      <w:ind w:left="840"/>
      <w:jc w:val="left"/>
    </w:pPr>
  </w:style>
  <w:style w:type="paragraph" w:styleId="21">
    <w:name w:val="toc 3"/>
    <w:basedOn w:val="1"/>
    <w:next w:val="1"/>
    <w:semiHidden/>
    <w:qFormat/>
    <w:uiPriority w:val="0"/>
    <w:pPr>
      <w:ind w:left="420"/>
      <w:jc w:val="left"/>
    </w:pPr>
    <w:rPr>
      <w:i/>
      <w:iCs/>
      <w:szCs w:val="24"/>
    </w:rPr>
  </w:style>
  <w:style w:type="paragraph" w:styleId="22">
    <w:name w:val="Plain Text"/>
    <w:basedOn w:val="1"/>
    <w:link w:val="52"/>
    <w:qFormat/>
    <w:uiPriority w:val="0"/>
    <w:rPr>
      <w:rFonts w:ascii="宋体" w:hAnsi="Courier New"/>
    </w:rPr>
  </w:style>
  <w:style w:type="paragraph" w:styleId="23">
    <w:name w:val="toc 8"/>
    <w:basedOn w:val="1"/>
    <w:next w:val="1"/>
    <w:semiHidden/>
    <w:qFormat/>
    <w:uiPriority w:val="0"/>
    <w:pPr>
      <w:ind w:left="1470"/>
      <w:jc w:val="left"/>
    </w:pPr>
  </w:style>
  <w:style w:type="paragraph" w:styleId="24">
    <w:name w:val="Date"/>
    <w:basedOn w:val="1"/>
    <w:next w:val="1"/>
    <w:qFormat/>
    <w:uiPriority w:val="0"/>
    <w:rPr>
      <w:sz w:val="24"/>
      <w:szCs w:val="24"/>
    </w:rPr>
  </w:style>
  <w:style w:type="paragraph" w:styleId="25">
    <w:name w:val="Body Text Indent 2"/>
    <w:basedOn w:val="1"/>
    <w:qFormat/>
    <w:uiPriority w:val="0"/>
    <w:pPr>
      <w:ind w:left="630" w:firstLine="645"/>
    </w:pPr>
    <w:rPr>
      <w:rFonts w:ascii="Arial" w:hAnsi="Arial" w:eastAsia="仿宋_GB2312" w:cs="Arial"/>
      <w:sz w:val="32"/>
      <w:szCs w:val="32"/>
    </w:rPr>
  </w:style>
  <w:style w:type="paragraph" w:styleId="26">
    <w:name w:val="Balloon Text"/>
    <w:basedOn w:val="1"/>
    <w:semiHidden/>
    <w:qFormat/>
    <w:uiPriority w:val="0"/>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0">
    <w:name w:val="toc 4"/>
    <w:basedOn w:val="1"/>
    <w:next w:val="1"/>
    <w:semiHidden/>
    <w:qFormat/>
    <w:uiPriority w:val="0"/>
    <w:pPr>
      <w:ind w:left="630"/>
      <w:jc w:val="left"/>
    </w:pPr>
  </w:style>
  <w:style w:type="paragraph" w:styleId="31">
    <w:name w:val="List"/>
    <w:basedOn w:val="1"/>
    <w:qFormat/>
    <w:uiPriority w:val="0"/>
    <w:pPr>
      <w:ind w:left="200" w:hanging="200" w:hangingChars="200"/>
    </w:pPr>
  </w:style>
  <w:style w:type="paragraph" w:styleId="32">
    <w:name w:val="toc 6"/>
    <w:basedOn w:val="1"/>
    <w:next w:val="1"/>
    <w:semiHidden/>
    <w:qFormat/>
    <w:uiPriority w:val="0"/>
    <w:pPr>
      <w:ind w:left="1050"/>
      <w:jc w:val="left"/>
    </w:pPr>
  </w:style>
  <w:style w:type="paragraph" w:styleId="33">
    <w:name w:val="Body Text Indent 3"/>
    <w:basedOn w:val="1"/>
    <w:qFormat/>
    <w:uiPriority w:val="0"/>
    <w:pPr>
      <w:ind w:left="645" w:firstLine="645"/>
    </w:pPr>
    <w:rPr>
      <w:rFonts w:ascii="Arial" w:hAnsi="Arial" w:eastAsia="仿宋_GB2312" w:cs="Arial"/>
      <w:color w:val="FFFF00"/>
      <w:sz w:val="32"/>
      <w:szCs w:val="32"/>
    </w:rPr>
  </w:style>
  <w:style w:type="paragraph" w:styleId="34">
    <w:name w:val="table of figures"/>
    <w:basedOn w:val="1"/>
    <w:next w:val="1"/>
    <w:semiHidden/>
    <w:qFormat/>
    <w:uiPriority w:val="0"/>
    <w:pPr>
      <w:ind w:left="840" w:hanging="420"/>
    </w:pPr>
  </w:style>
  <w:style w:type="paragraph" w:styleId="35">
    <w:name w:val="toc 2"/>
    <w:basedOn w:val="1"/>
    <w:next w:val="1"/>
    <w:semiHidden/>
    <w:qFormat/>
    <w:uiPriority w:val="0"/>
    <w:pPr>
      <w:ind w:left="210"/>
      <w:jc w:val="left"/>
    </w:pPr>
    <w:rPr>
      <w:smallCaps/>
      <w:szCs w:val="24"/>
    </w:rPr>
  </w:style>
  <w:style w:type="paragraph" w:styleId="36">
    <w:name w:val="toc 9"/>
    <w:basedOn w:val="1"/>
    <w:next w:val="1"/>
    <w:semiHidden/>
    <w:qFormat/>
    <w:uiPriority w:val="0"/>
    <w:pPr>
      <w:ind w:left="1680"/>
      <w:jc w:val="left"/>
    </w:pPr>
  </w:style>
  <w:style w:type="paragraph" w:styleId="37">
    <w:name w:val="Body Text 2"/>
    <w:basedOn w:val="1"/>
    <w:qFormat/>
    <w:uiPriority w:val="0"/>
    <w:pPr>
      <w:widowControl/>
      <w:jc w:val="center"/>
    </w:pPr>
    <w:rPr>
      <w:rFonts w:ascii="楷体_GB2312" w:eastAsia="楷体_GB2312"/>
      <w:sz w:val="28"/>
      <w:szCs w:val="28"/>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semiHidden/>
    <w:qFormat/>
    <w:uiPriority w:val="0"/>
    <w:pPr>
      <w:spacing w:line="240" w:lineRule="atLeast"/>
    </w:pPr>
    <w:rPr>
      <w:b/>
      <w:bCs/>
    </w:rPr>
  </w:style>
  <w:style w:type="paragraph" w:styleId="40">
    <w:name w:val="annotation subject"/>
    <w:basedOn w:val="15"/>
    <w:next w:val="15"/>
    <w:semiHidden/>
    <w:qFormat/>
    <w:uiPriority w:val="0"/>
    <w:rPr>
      <w:b/>
      <w:bCs/>
    </w:rPr>
  </w:style>
  <w:style w:type="paragraph" w:styleId="41">
    <w:name w:val="Body Text First Indent"/>
    <w:basedOn w:val="1"/>
    <w:qFormat/>
    <w:uiPriority w:val="0"/>
    <w:pPr>
      <w:spacing w:line="360" w:lineRule="auto"/>
      <w:ind w:firstLine="200" w:firstLineChars="200"/>
    </w:pPr>
    <w:rPr>
      <w:rFonts w:ascii="仿宋_GB2312" w:eastAsia="仿宋_GB2312"/>
      <w:sz w:val="30"/>
      <w:szCs w:val="30"/>
    </w:rPr>
  </w:style>
  <w:style w:type="paragraph" w:styleId="42">
    <w:name w:val="Body Text First Indent 2"/>
    <w:basedOn w:val="18"/>
    <w:link w:val="114"/>
    <w:qFormat/>
    <w:uiPriority w:val="0"/>
    <w:pPr>
      <w:spacing w:line="360" w:lineRule="auto"/>
      <w:ind w:firstLine="420" w:firstLineChars="200"/>
    </w:pPr>
    <w:rPr>
      <w:rFonts w:ascii="宋体" w:hAnsi="宋体" w:eastAsia="宋体"/>
      <w:sz w:val="21"/>
      <w:szCs w:val="20"/>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customStyle="1" w:styleId="51">
    <w:name w:val="正文缩进 Char"/>
    <w:link w:val="4"/>
    <w:qFormat/>
    <w:uiPriority w:val="0"/>
    <w:rPr>
      <w:kern w:val="2"/>
      <w:sz w:val="21"/>
      <w:szCs w:val="21"/>
    </w:rPr>
  </w:style>
  <w:style w:type="character" w:customStyle="1" w:styleId="52">
    <w:name w:val="纯文本 Char"/>
    <w:link w:val="22"/>
    <w:qFormat/>
    <w:uiPriority w:val="0"/>
    <w:rPr>
      <w:rFonts w:ascii="宋体" w:hAnsi="Courier New" w:cs="Courier New"/>
      <w:kern w:val="2"/>
      <w:sz w:val="21"/>
      <w:szCs w:val="21"/>
    </w:rPr>
  </w:style>
  <w:style w:type="character" w:customStyle="1" w:styleId="53">
    <w:name w:val="font5 Char"/>
    <w:qFormat/>
    <w:uiPriority w:val="0"/>
    <w:rPr>
      <w:rFonts w:ascii="宋体" w:hAnsi="宋体" w:eastAsia="宋体"/>
      <w:sz w:val="28"/>
      <w:szCs w:val="28"/>
      <w:lang w:val="en-US" w:eastAsia="zh-CN" w:bidi="ar-SA"/>
    </w:r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列出段落 Char"/>
    <w:link w:val="57"/>
    <w:qFormat/>
    <w:locked/>
    <w:uiPriority w:val="0"/>
    <w:rPr>
      <w:rFonts w:ascii="Calibri" w:hAnsi="Calibri"/>
      <w:sz w:val="24"/>
      <w:szCs w:val="24"/>
      <w:lang w:eastAsia="en-US" w:bidi="en-US"/>
    </w:rPr>
  </w:style>
  <w:style w:type="paragraph" w:customStyle="1" w:styleId="57">
    <w:name w:val="列出段落1"/>
    <w:basedOn w:val="1"/>
    <w:link w:val="56"/>
    <w:qFormat/>
    <w:uiPriority w:val="0"/>
    <w:pPr>
      <w:widowControl/>
      <w:ind w:left="720"/>
      <w:contextualSpacing/>
      <w:jc w:val="left"/>
    </w:pPr>
    <w:rPr>
      <w:rFonts w:ascii="Calibri" w:hAnsi="Calibri"/>
      <w:kern w:val="0"/>
      <w:sz w:val="24"/>
      <w:szCs w:val="24"/>
      <w:lang w:eastAsia="en-US" w:bidi="en-US"/>
    </w:rPr>
  </w:style>
  <w:style w:type="paragraph" w:customStyle="1" w:styleId="58">
    <w:name w:val="Body Text(ch)"/>
    <w:basedOn w:val="1"/>
    <w:next w:val="17"/>
    <w:qFormat/>
    <w:uiPriority w:val="0"/>
    <w:pPr>
      <w:spacing w:after="120"/>
    </w:pPr>
    <w:rPr>
      <w:rFonts w:ascii="宋体" w:hAnsi="Arial"/>
      <w:bCs/>
      <w:iCs/>
      <w:szCs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1">
    <w:name w:val="Char"/>
    <w:basedOn w:val="1"/>
    <w:qFormat/>
    <w:uiPriority w:val="0"/>
    <w:pPr>
      <w:tabs>
        <w:tab w:val="left" w:pos="360"/>
      </w:tabs>
      <w:ind w:firstLine="200" w:firstLineChars="200"/>
    </w:pPr>
    <w:rPr>
      <w:sz w:val="28"/>
      <w:szCs w:val="30"/>
    </w:rPr>
  </w:style>
  <w:style w:type="paragraph" w:customStyle="1" w:styleId="62">
    <w:name w:val="Char1"/>
    <w:basedOn w:val="14"/>
    <w:qFormat/>
    <w:uiPriority w:val="0"/>
    <w:rPr>
      <w:rFonts w:ascii="Tahoma" w:hAnsi="Tahoma"/>
      <w:sz w:val="24"/>
      <w:szCs w:val="24"/>
    </w:rPr>
  </w:style>
  <w:style w:type="paragraph" w:customStyle="1" w:styleId="6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4">
    <w:name w:val="table_lines"/>
    <w:basedOn w:val="1"/>
    <w:qFormat/>
    <w:uiPriority w:val="0"/>
    <w:pPr>
      <w:widowControl/>
      <w:jc w:val="left"/>
    </w:pPr>
    <w:rPr>
      <w:kern w:val="0"/>
      <w:sz w:val="20"/>
      <w:szCs w:val="20"/>
      <w:lang w:val="de-DE" w:eastAsia="de-DE"/>
    </w:rPr>
  </w:style>
  <w:style w:type="paragraph" w:customStyle="1" w:styleId="6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66">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7">
    <w:name w:val="Char Char Char Char"/>
    <w:basedOn w:val="14"/>
    <w:qFormat/>
    <w:uiPriority w:val="0"/>
    <w:pPr>
      <w:adjustRightInd w:val="0"/>
      <w:snapToGrid w:val="0"/>
      <w:spacing w:line="360" w:lineRule="auto"/>
    </w:pPr>
    <w:rPr>
      <w:rFonts w:ascii="Tahoma" w:hAnsi="Tahoma"/>
      <w:sz w:val="24"/>
      <w:szCs w:val="24"/>
    </w:rPr>
  </w:style>
  <w:style w:type="paragraph" w:styleId="68">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69">
    <w:name w:val="4"/>
    <w:basedOn w:val="1"/>
    <w:next w:val="33"/>
    <w:qFormat/>
    <w:uiPriority w:val="0"/>
    <w:pPr>
      <w:spacing w:line="360" w:lineRule="auto"/>
      <w:ind w:firstLine="420"/>
    </w:pPr>
    <w:rPr>
      <w:color w:val="FF0000"/>
      <w:sz w:val="24"/>
      <w:szCs w:val="24"/>
    </w:rPr>
  </w:style>
  <w:style w:type="paragraph" w:customStyle="1" w:styleId="7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1">
    <w:name w:val="Char Char Char Char Char Char Char Char Char Char"/>
    <w:basedOn w:val="1"/>
    <w:qFormat/>
    <w:uiPriority w:val="0"/>
    <w:pPr>
      <w:adjustRightInd w:val="0"/>
      <w:spacing w:line="360" w:lineRule="auto"/>
    </w:pPr>
    <w:rPr>
      <w:kern w:val="0"/>
      <w:sz w:val="24"/>
      <w:szCs w:val="20"/>
    </w:rPr>
  </w:style>
  <w:style w:type="paragraph" w:customStyle="1" w:styleId="72">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7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4">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7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7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9">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3">
    <w:name w:val="Char Char Char Char1"/>
    <w:basedOn w:val="14"/>
    <w:qFormat/>
    <w:uiPriority w:val="0"/>
    <w:pPr>
      <w:adjustRightInd w:val="0"/>
      <w:snapToGrid w:val="0"/>
      <w:spacing w:line="360" w:lineRule="auto"/>
    </w:pPr>
    <w:rPr>
      <w:rFonts w:ascii="Tahoma" w:hAnsi="Tahoma"/>
      <w:sz w:val="24"/>
      <w:szCs w:val="24"/>
    </w:rPr>
  </w:style>
  <w:style w:type="paragraph" w:customStyle="1" w:styleId="84">
    <w:name w:val="table_1stline"/>
    <w:basedOn w:val="1"/>
    <w:qFormat/>
    <w:uiPriority w:val="0"/>
    <w:pPr>
      <w:widowControl/>
      <w:spacing w:before="120"/>
      <w:jc w:val="left"/>
    </w:pPr>
    <w:rPr>
      <w:bCs/>
      <w:kern w:val="0"/>
      <w:sz w:val="20"/>
      <w:szCs w:val="20"/>
      <w:lang w:val="de-DE" w:eastAsia="de-DE"/>
    </w:rPr>
  </w:style>
  <w:style w:type="paragraph" w:customStyle="1" w:styleId="85">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7">
    <w:name w:val="Revision"/>
    <w:semiHidden/>
    <w:qFormat/>
    <w:uiPriority w:val="99"/>
    <w:rPr>
      <w:rFonts w:ascii="Times New Roman" w:hAnsi="Times New Roman" w:eastAsia="宋体" w:cs="Times New Roman"/>
      <w:kern w:val="2"/>
      <w:sz w:val="21"/>
      <w:szCs w:val="21"/>
      <w:lang w:val="en-US" w:eastAsia="zh-CN" w:bidi="ar-SA"/>
    </w:rPr>
  </w:style>
  <w:style w:type="paragraph" w:styleId="88">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02标题二"/>
    <w:basedOn w:val="1"/>
    <w:qFormat/>
    <w:uiPriority w:val="0"/>
    <w:pPr>
      <w:ind w:firstLine="562" w:firstLineChars="200"/>
    </w:pPr>
    <w:rPr>
      <w:rFonts w:cs="华文仿宋"/>
      <w:b/>
      <w:bCs/>
      <w:sz w:val="28"/>
      <w:szCs w:val="28"/>
    </w:rPr>
  </w:style>
  <w:style w:type="paragraph" w:customStyle="1" w:styleId="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GW-正文"/>
    <w:basedOn w:val="1"/>
    <w:qFormat/>
    <w:uiPriority w:val="0"/>
    <w:pPr>
      <w:spacing w:line="360" w:lineRule="auto"/>
      <w:ind w:firstLine="200" w:firstLineChars="200"/>
      <w:contextualSpacing/>
    </w:pPr>
    <w:rPr>
      <w:rFonts w:eastAsia="Times New Roman"/>
      <w:szCs w:val="24"/>
    </w:rPr>
  </w:style>
  <w:style w:type="character" w:customStyle="1" w:styleId="93">
    <w:name w:val="批注文字 Char"/>
    <w:link w:val="15"/>
    <w:uiPriority w:val="0"/>
    <w:rPr>
      <w:kern w:val="2"/>
      <w:sz w:val="21"/>
      <w:szCs w:val="21"/>
    </w:rPr>
  </w:style>
  <w:style w:type="character" w:customStyle="1" w:styleId="94">
    <w:name w:val="页脚 Char"/>
    <w:basedOn w:val="45"/>
    <w:link w:val="27"/>
    <w:qFormat/>
    <w:uiPriority w:val="0"/>
    <w:rPr>
      <w:kern w:val="2"/>
      <w:sz w:val="18"/>
      <w:szCs w:val="18"/>
    </w:rPr>
  </w:style>
  <w:style w:type="character" w:customStyle="1" w:styleId="95">
    <w:name w:val="页眉 Char"/>
    <w:basedOn w:val="45"/>
    <w:link w:val="28"/>
    <w:qFormat/>
    <w:uiPriority w:val="0"/>
    <w:rPr>
      <w:kern w:val="2"/>
      <w:sz w:val="18"/>
      <w:szCs w:val="18"/>
    </w:rPr>
  </w:style>
  <w:style w:type="character" w:customStyle="1" w:styleId="96">
    <w:name w:val="正文文本 (5)_"/>
    <w:basedOn w:val="45"/>
    <w:link w:val="97"/>
    <w:uiPriority w:val="0"/>
    <w:rPr>
      <w:rFonts w:ascii="宋体" w:hAnsi="宋体" w:eastAsia="宋体" w:cs="宋体"/>
      <w:shd w:val="clear" w:color="auto" w:fill="FFFFFF"/>
    </w:rPr>
  </w:style>
  <w:style w:type="paragraph" w:customStyle="1" w:styleId="97">
    <w:name w:val="正文文本 (5)"/>
    <w:basedOn w:val="1"/>
    <w:link w:val="96"/>
    <w:uiPriority w:val="0"/>
    <w:pPr>
      <w:shd w:val="clear" w:color="auto" w:fill="FFFFFF"/>
      <w:spacing w:before="1020" w:after="420" w:line="0" w:lineRule="atLeast"/>
      <w:jc w:val="left"/>
    </w:pPr>
    <w:rPr>
      <w:rFonts w:ascii="宋体" w:hAnsi="宋体" w:eastAsia="宋体" w:cs="宋体"/>
      <w:kern w:val="0"/>
      <w:sz w:val="20"/>
      <w:szCs w:val="20"/>
    </w:rPr>
  </w:style>
  <w:style w:type="character" w:customStyle="1" w:styleId="98">
    <w:name w:val="正文文本 (2)_"/>
    <w:basedOn w:val="45"/>
    <w:link w:val="99"/>
    <w:uiPriority w:val="0"/>
    <w:rPr>
      <w:rFonts w:ascii="宋体" w:hAnsi="宋体" w:eastAsia="宋体" w:cs="宋体"/>
      <w:sz w:val="22"/>
      <w:shd w:val="clear" w:color="auto" w:fill="FFFFFF"/>
    </w:rPr>
  </w:style>
  <w:style w:type="paragraph" w:customStyle="1" w:styleId="99">
    <w:name w:val="正文文本 (2)"/>
    <w:basedOn w:val="1"/>
    <w:link w:val="98"/>
    <w:uiPriority w:val="0"/>
    <w:pPr>
      <w:shd w:val="clear" w:color="auto" w:fill="FFFFFF"/>
      <w:spacing w:before="420" w:after="420" w:line="701" w:lineRule="exact"/>
      <w:jc w:val="distribute"/>
    </w:pPr>
    <w:rPr>
      <w:rFonts w:ascii="宋体" w:hAnsi="宋体" w:eastAsia="宋体" w:cs="宋体"/>
      <w:kern w:val="0"/>
      <w:sz w:val="22"/>
      <w:szCs w:val="20"/>
    </w:rPr>
  </w:style>
  <w:style w:type="paragraph" w:customStyle="1" w:styleId="100">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101">
    <w:name w:val="标题 #2_"/>
    <w:basedOn w:val="45"/>
    <w:link w:val="102"/>
    <w:uiPriority w:val="0"/>
    <w:rPr>
      <w:rFonts w:ascii="宋体" w:hAnsi="宋体" w:eastAsia="宋体" w:cs="宋体"/>
      <w:sz w:val="28"/>
      <w:szCs w:val="28"/>
      <w:shd w:val="clear" w:color="auto" w:fill="FFFFFF"/>
    </w:rPr>
  </w:style>
  <w:style w:type="paragraph" w:customStyle="1" w:styleId="102">
    <w:name w:val="标题 #2"/>
    <w:basedOn w:val="1"/>
    <w:link w:val="101"/>
    <w:uiPriority w:val="0"/>
    <w:pPr>
      <w:shd w:val="clear" w:color="auto" w:fill="FFFFFF"/>
      <w:spacing w:after="1020" w:line="0" w:lineRule="atLeast"/>
      <w:jc w:val="center"/>
      <w:outlineLvl w:val="1"/>
    </w:pPr>
    <w:rPr>
      <w:rFonts w:ascii="宋体" w:hAnsi="宋体" w:eastAsia="宋体" w:cs="宋体"/>
      <w:kern w:val="0"/>
      <w:sz w:val="28"/>
      <w:szCs w:val="28"/>
    </w:rPr>
  </w:style>
  <w:style w:type="character" w:customStyle="1" w:styleId="103">
    <w:name w:val="标题 #4_"/>
    <w:basedOn w:val="45"/>
    <w:link w:val="104"/>
    <w:uiPriority w:val="0"/>
    <w:rPr>
      <w:rFonts w:ascii="宋体" w:hAnsi="宋体" w:eastAsia="宋体" w:cs="宋体"/>
      <w:b/>
      <w:bCs/>
      <w:shd w:val="clear" w:color="auto" w:fill="FFFFFF"/>
    </w:rPr>
  </w:style>
  <w:style w:type="paragraph" w:customStyle="1" w:styleId="104">
    <w:name w:val="标题 #4"/>
    <w:basedOn w:val="1"/>
    <w:link w:val="103"/>
    <w:uiPriority w:val="0"/>
    <w:pPr>
      <w:shd w:val="clear" w:color="auto" w:fill="FFFFFF"/>
      <w:spacing w:line="547" w:lineRule="exact"/>
      <w:jc w:val="distribute"/>
      <w:outlineLvl w:val="3"/>
    </w:pPr>
    <w:rPr>
      <w:rFonts w:ascii="宋体" w:hAnsi="宋体" w:eastAsia="宋体" w:cs="宋体"/>
      <w:b/>
      <w:bCs/>
      <w:kern w:val="0"/>
      <w:sz w:val="20"/>
      <w:szCs w:val="20"/>
    </w:rPr>
  </w:style>
  <w:style w:type="character" w:customStyle="1" w:styleId="105">
    <w:name w:val="正文文本 (3)_"/>
    <w:basedOn w:val="45"/>
    <w:link w:val="106"/>
    <w:uiPriority w:val="0"/>
    <w:rPr>
      <w:rFonts w:ascii="宋体" w:hAnsi="宋体" w:eastAsia="宋体" w:cs="宋体"/>
      <w:sz w:val="28"/>
      <w:szCs w:val="28"/>
      <w:shd w:val="clear" w:color="auto" w:fill="FFFFFF"/>
    </w:rPr>
  </w:style>
  <w:style w:type="paragraph" w:customStyle="1" w:styleId="106">
    <w:name w:val="正文文本 (3)"/>
    <w:basedOn w:val="1"/>
    <w:link w:val="105"/>
    <w:uiPriority w:val="0"/>
    <w:pPr>
      <w:shd w:val="clear" w:color="auto" w:fill="FFFFFF"/>
      <w:spacing w:before="1140" w:after="1740" w:line="0" w:lineRule="atLeast"/>
      <w:jc w:val="center"/>
    </w:pPr>
    <w:rPr>
      <w:rFonts w:ascii="宋体" w:hAnsi="宋体" w:eastAsia="宋体" w:cs="宋体"/>
      <w:kern w:val="0"/>
      <w:sz w:val="28"/>
      <w:szCs w:val="28"/>
    </w:rPr>
  </w:style>
  <w:style w:type="character" w:customStyle="1" w:styleId="107">
    <w:name w:val="正文文本 (3) + 间距 2 pt"/>
    <w:basedOn w:val="105"/>
    <w:uiPriority w:val="0"/>
    <w:rPr>
      <w:color w:val="000000"/>
      <w:spacing w:val="50"/>
      <w:w w:val="100"/>
      <w:position w:val="0"/>
      <w:lang w:val="zh-CN" w:eastAsia="zh-CN" w:bidi="zh-CN"/>
    </w:rPr>
  </w:style>
  <w:style w:type="character" w:customStyle="1" w:styleId="108">
    <w:name w:val="正文文本 Char"/>
    <w:basedOn w:val="45"/>
    <w:link w:val="17"/>
    <w:qFormat/>
    <w:uiPriority w:val="0"/>
    <w:rPr>
      <w:rFonts w:ascii="楷体_GB2312" w:hAnsi="Arial" w:eastAsia="楷体_GB2312"/>
      <w:kern w:val="2"/>
      <w:sz w:val="28"/>
      <w:szCs w:val="28"/>
    </w:rPr>
  </w:style>
  <w:style w:type="paragraph" w:customStyle="1" w:styleId="109">
    <w:name w:val="Body Text First Indent 21"/>
    <w:basedOn w:val="1"/>
    <w:qFormat/>
    <w:uiPriority w:val="0"/>
    <w:pPr>
      <w:ind w:left="420" w:firstLine="420" w:firstLineChars="200"/>
      <w:jc w:val="left"/>
    </w:pPr>
    <w:rPr>
      <w:rFonts w:ascii="Calibri" w:hAnsi="Calibri" w:eastAsia="Calibri" w:cs="宋体"/>
      <w:kern w:val="0"/>
      <w:sz w:val="32"/>
      <w:szCs w:val="20"/>
      <w:lang w:eastAsia="en-US"/>
    </w:rPr>
  </w:style>
  <w:style w:type="paragraph" w:customStyle="1" w:styleId="110">
    <w:name w:val="Char Char Char Char Char Char Char1 Char_1"/>
    <w:basedOn w:val="1"/>
    <w:qFormat/>
    <w:uiPriority w:val="0"/>
    <w:rPr>
      <w:rFonts w:ascii="Tahoma" w:hAnsi="Tahoma"/>
      <w:sz w:val="24"/>
      <w:szCs w:val="20"/>
    </w:rPr>
  </w:style>
  <w:style w:type="paragraph" w:customStyle="1" w:styleId="111">
    <w:name w:val="trs_editor"/>
    <w:basedOn w:val="1"/>
    <w:qFormat/>
    <w:uiPriority w:val="0"/>
    <w:pPr>
      <w:widowControl/>
      <w:spacing w:beforeAutospacing="1" w:afterAutospacing="1"/>
      <w:jc w:val="left"/>
    </w:pPr>
    <w:rPr>
      <w:rFonts w:hint="eastAsia" w:ascii="宋体" w:hAnsi="宋体" w:cs="宋体"/>
      <w:kern w:val="0"/>
      <w:sz w:val="24"/>
      <w:szCs w:val="24"/>
    </w:rPr>
  </w:style>
  <w:style w:type="paragraph" w:customStyle="1" w:styleId="112">
    <w:name w:val="Table Paragraph"/>
    <w:basedOn w:val="1"/>
    <w:qFormat/>
    <w:uiPriority w:val="0"/>
    <w:pPr>
      <w:jc w:val="left"/>
    </w:pPr>
    <w:rPr>
      <w:rFonts w:ascii="Calibri" w:hAnsi="Calibri" w:eastAsia="Calibri" w:cs="宋体"/>
      <w:kern w:val="0"/>
      <w:sz w:val="24"/>
      <w:szCs w:val="24"/>
      <w:lang w:eastAsia="en-US"/>
    </w:rPr>
  </w:style>
  <w:style w:type="character" w:customStyle="1" w:styleId="113">
    <w:name w:val="正文文本缩进 Char"/>
    <w:basedOn w:val="45"/>
    <w:link w:val="18"/>
    <w:uiPriority w:val="99"/>
    <w:rPr>
      <w:rFonts w:ascii="楷体_GB2312" w:eastAsia="楷体_GB2312"/>
      <w:kern w:val="2"/>
      <w:sz w:val="32"/>
      <w:szCs w:val="32"/>
    </w:rPr>
  </w:style>
  <w:style w:type="character" w:customStyle="1" w:styleId="114">
    <w:name w:val="正文首行缩进 2 Char"/>
    <w:basedOn w:val="113"/>
    <w:link w:val="42"/>
    <w:uiPriority w:val="0"/>
    <w:rPr>
      <w:rFonts w:ascii="宋体" w:hAnsi="宋体"/>
      <w:sz w:val="21"/>
    </w:rPr>
  </w:style>
  <w:style w:type="character" w:customStyle="1" w:styleId="115">
    <w:name w:val="font41"/>
    <w:basedOn w:val="45"/>
    <w:qFormat/>
    <w:uiPriority w:val="0"/>
    <w:rPr>
      <w:rFonts w:hint="eastAsia" w:ascii="宋体" w:hAnsi="宋体" w:eastAsia="宋体" w:cs="宋体"/>
      <w:color w:val="000000"/>
      <w:sz w:val="20"/>
      <w:szCs w:val="20"/>
      <w:u w:val="none"/>
    </w:rPr>
  </w:style>
  <w:style w:type="character" w:customStyle="1" w:styleId="116">
    <w:name w:val="font31"/>
    <w:basedOn w:val="45"/>
    <w:qFormat/>
    <w:uiPriority w:val="0"/>
    <w:rPr>
      <w:rFonts w:hint="default" w:ascii="Times New Roman" w:hAnsi="Times New Roman" w:cs="Times New Roman"/>
      <w:color w:val="000000"/>
      <w:sz w:val="20"/>
      <w:szCs w:val="20"/>
      <w:u w:val="none"/>
    </w:rPr>
  </w:style>
  <w:style w:type="paragraph" w:customStyle="1" w:styleId="117">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8">
    <w:name w:val="bookmark-item"/>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822C-E688-43B8-805A-D2107526F5C2}">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75</Pages>
  <Words>16673</Words>
  <Characters>18198</Characters>
  <Lines>322</Lines>
  <Paragraphs>90</Paragraphs>
  <TotalTime>0</TotalTime>
  <ScaleCrop>false</ScaleCrop>
  <LinksUpToDate>false</LinksUpToDate>
  <CharactersWithSpaces>18285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2025-12-08T07:50:00Z</dcterms:created>
  <dc:creator>lenovo1</dc:creator>
  <cp:lastModifiedBy>SY</cp:lastModifiedBy>
  <cp:lastPrinted>2025-12-08T08:40:00Z</cp:lastPrinted>
  <dcterms:modified xsi:type="dcterms:W3CDTF">2025-12-16T02:25:15Z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B11AA041FD1B44FE9D531C351B1CB327</vt:lpwstr>
  </property>
  <property fmtid="{D5CDD505-2E9C-101B-9397-08002B2CF9AE}" pid="4" name="KSOTemplateDocerSaveRecord">
    <vt:lpwstr>eyJoZGlkIjoiOTZiMTQ2MjRhZTcwYjk2NWMzZjBkOWQ4MWVjMWI5N2QiLCJ1c2VySWQiOiIyNTU3NjUyNDQifQ==</vt:lpwstr>
  </property>
</Properties>
</file>