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宋体" w:hAnsi="宋体" w:cs="宋体"/>
          <w:sz w:val="28"/>
          <w:szCs w:val="28"/>
        </w:rPr>
      </w:pPr>
      <w:r>
        <w:rPr>
          <w:rFonts w:hint="eastAsia" w:ascii="宋体" w:hAnsi="宋体" w:cs="宋体"/>
          <w:sz w:val="28"/>
          <w:szCs w:val="28"/>
        </w:rPr>
        <w:t>附件1：</w:t>
      </w:r>
    </w:p>
    <w:p>
      <w:pPr>
        <w:jc w:val="center"/>
        <w:rPr>
          <w:rFonts w:hint="eastAsia" w:ascii="宋体" w:hAnsi="宋体" w:cs="宋体"/>
          <w:b/>
          <w:sz w:val="28"/>
          <w:szCs w:val="28"/>
          <w:lang w:val="en-US" w:eastAsia="zh-CN"/>
        </w:rPr>
      </w:pPr>
      <w:bookmarkStart w:id="0" w:name="OLE_LINK6"/>
      <w:r>
        <w:rPr>
          <w:rFonts w:hint="eastAsia" w:ascii="宋体" w:hAnsi="宋体" w:cs="宋体"/>
          <w:b/>
          <w:sz w:val="28"/>
          <w:szCs w:val="28"/>
          <w:lang w:val="en-US" w:eastAsia="zh-CN"/>
        </w:rPr>
        <w:t>安徽职业技术大学2025年大气环境监测与治理技术实训室升级改造项目采购需求</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color w:val="auto"/>
          <w:sz w:val="24"/>
          <w:szCs w:val="24"/>
          <w:highlight w:val="none"/>
        </w:rPr>
      </w:pPr>
      <w:bookmarkStart w:id="1" w:name="_Toc30373"/>
      <w:bookmarkStart w:id="2" w:name="_Toc32151"/>
      <w:bookmarkStart w:id="3" w:name="_Toc2554"/>
      <w:r>
        <w:rPr>
          <w:rFonts w:hint="eastAsia" w:ascii="宋体" w:hAnsi="宋体" w:eastAsia="宋体" w:cs="宋体"/>
          <w:b/>
          <w:color w:val="auto"/>
          <w:sz w:val="24"/>
          <w:szCs w:val="24"/>
          <w:highlight w:val="none"/>
        </w:rPr>
        <w:t>一、采购需求前附表</w:t>
      </w:r>
      <w:bookmarkEnd w:id="1"/>
      <w:bookmarkEnd w:id="2"/>
      <w:bookmarkEnd w:id="3"/>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序号</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条款名称</w:t>
            </w:r>
          </w:p>
        </w:tc>
        <w:tc>
          <w:tcPr>
            <w:tcW w:w="3217"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付款方式</w:t>
            </w:r>
          </w:p>
        </w:tc>
        <w:tc>
          <w:tcPr>
            <w:tcW w:w="3217"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项目安装、调试完毕，所有设备使用无质量问题，能正常运行，验收合格后一次性支付至合同总价的100%。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供货及安装地点</w:t>
            </w:r>
          </w:p>
        </w:tc>
        <w:tc>
          <w:tcPr>
            <w:tcW w:w="3217"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安徽职业技术大学</w:t>
            </w:r>
            <w:r>
              <w:rPr>
                <w:rFonts w:hint="eastAsia" w:ascii="宋体" w:hAnsi="宋体" w:cs="宋体"/>
                <w:b w:val="0"/>
                <w:bCs/>
                <w:color w:val="auto"/>
                <w:kern w:val="0"/>
                <w:sz w:val="24"/>
                <w:szCs w:val="24"/>
                <w:highlight w:val="none"/>
                <w:u w:val="none"/>
                <w:lang w:val="en-US" w:eastAsia="zh-CN" w:bidi="ar-SA"/>
              </w:rPr>
              <w:t>至精楼409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供货及安装期限</w:t>
            </w:r>
          </w:p>
        </w:tc>
        <w:tc>
          <w:tcPr>
            <w:tcW w:w="3217"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sz w:val="24"/>
                <w:szCs w:val="24"/>
              </w:rPr>
              <w:t>合同签订后120日历天内，完成供货安装及调试</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p>
        </w:tc>
        <w:tc>
          <w:tcPr>
            <w:tcW w:w="1192"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免费质保期</w:t>
            </w:r>
          </w:p>
        </w:tc>
        <w:tc>
          <w:tcPr>
            <w:tcW w:w="3217"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验收合格之日起</w:t>
            </w:r>
            <w:r>
              <w:rPr>
                <w:rFonts w:hint="eastAsia" w:ascii="宋体" w:hAnsi="宋体" w:cs="宋体"/>
                <w:b w:val="0"/>
                <w:bCs/>
                <w:color w:val="auto"/>
                <w:kern w:val="0"/>
                <w:sz w:val="24"/>
                <w:szCs w:val="24"/>
                <w:highlight w:val="none"/>
                <w:u w:val="none"/>
                <w:lang w:val="en-US" w:eastAsia="zh-CN" w:bidi="ar-SA"/>
              </w:rPr>
              <w:t>3年</w:t>
            </w:r>
            <w:r>
              <w:rPr>
                <w:rFonts w:hint="eastAsia" w:ascii="宋体" w:hAnsi="宋体" w:eastAsia="宋体" w:cs="宋体"/>
                <w:b w:val="0"/>
                <w:bCs/>
                <w:color w:val="auto"/>
                <w:kern w:val="0"/>
                <w:sz w:val="24"/>
                <w:szCs w:val="24"/>
                <w:highlight w:val="none"/>
                <w:u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4" w:name="_Toc7671"/>
      <w:bookmarkStart w:id="5" w:name="_Toc5944"/>
      <w:bookmarkStart w:id="6" w:name="_Toc22395"/>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w:t>
      </w:r>
      <w:r>
        <w:rPr>
          <w:rFonts w:hint="eastAsia" w:ascii="宋体" w:hAnsi="宋体" w:eastAsia="宋体" w:cs="宋体"/>
          <w:b/>
          <w:bCs/>
          <w:color w:val="auto"/>
          <w:sz w:val="24"/>
          <w:szCs w:val="24"/>
          <w:highlight w:val="none"/>
        </w:rPr>
        <w:t>需求</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（一）货物指标重要性表述</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328"/>
        <w:gridCol w:w="5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标识重要性</w:t>
            </w: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标识符号</w:t>
            </w:r>
          </w:p>
        </w:tc>
        <w:tc>
          <w:tcPr>
            <w:tcW w:w="31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关键性指标项</w:t>
            </w: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w:t>
            </w:r>
          </w:p>
        </w:tc>
        <w:tc>
          <w:tcPr>
            <w:tcW w:w="31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sz w:val="24"/>
                <w:szCs w:val="24"/>
              </w:rPr>
              <w:t>未响应或负偏离该指标项</w:t>
            </w:r>
            <w:r>
              <w:rPr>
                <w:rFonts w:hint="eastAsia" w:ascii="宋体" w:hAnsi="宋体" w:eastAsia="宋体" w:cs="宋体"/>
                <w:sz w:val="24"/>
                <w:szCs w:val="24"/>
                <w:lang w:val="en-US" w:eastAsia="zh-CN"/>
              </w:rPr>
              <w:t>则视为</w:t>
            </w:r>
            <w:r>
              <w:rPr>
                <w:rFonts w:hint="eastAsia" w:ascii="宋体" w:hAnsi="宋体" w:eastAsia="宋体" w:cs="宋体"/>
                <w:sz w:val="24"/>
                <w:szCs w:val="24"/>
              </w:rPr>
              <w:t>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重要指标项</w:t>
            </w: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w:t>
            </w:r>
          </w:p>
        </w:tc>
        <w:tc>
          <w:tcPr>
            <w:tcW w:w="31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sz w:val="24"/>
                <w:szCs w:val="24"/>
              </w:rPr>
              <w:t>评分项，每满足一项得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一般指标项</w:t>
            </w: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w:t>
            </w:r>
          </w:p>
        </w:tc>
        <w:tc>
          <w:tcPr>
            <w:tcW w:w="31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sz w:val="24"/>
                <w:szCs w:val="24"/>
              </w:rPr>
              <w:t>评分项，每满足一项得1分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无标识项</w:t>
            </w: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31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lang w:eastAsia="zh-CN"/>
              </w:rPr>
            </w:pPr>
            <w:r>
              <w:rPr>
                <w:rFonts w:hint="eastAsia" w:ascii="宋体" w:hAnsi="宋体" w:eastAsia="宋体" w:cs="宋体"/>
                <w:sz w:val="24"/>
                <w:szCs w:val="24"/>
              </w:rPr>
              <w:t>无标识项为基础项，超过5项未响应或负偏离</w:t>
            </w:r>
            <w:r>
              <w:rPr>
                <w:rFonts w:hint="eastAsia" w:ascii="宋体" w:hAnsi="宋体" w:eastAsia="宋体" w:cs="宋体"/>
                <w:sz w:val="24"/>
                <w:szCs w:val="24"/>
                <w:lang w:val="en-US" w:eastAsia="zh-CN"/>
              </w:rPr>
              <w:t>则视为</w:t>
            </w:r>
            <w:r>
              <w:rPr>
                <w:rFonts w:hint="eastAsia" w:ascii="宋体" w:hAnsi="宋体" w:eastAsia="宋体" w:cs="宋体"/>
                <w:sz w:val="24"/>
                <w:szCs w:val="24"/>
              </w:rPr>
              <w:t>投标无效</w:t>
            </w:r>
            <w:bookmarkStart w:id="34" w:name="_GoBack"/>
            <w:bookmarkEnd w:id="34"/>
          </w:p>
        </w:tc>
      </w:tr>
    </w:tbl>
    <w:p>
      <w:pPr>
        <w:rPr>
          <w:rFonts w:hint="eastAsia"/>
          <w:b w:val="0"/>
          <w:i w:val="0"/>
          <w:iCs w:val="0"/>
          <w:color w:val="auto"/>
          <w:sz w:val="24"/>
          <w:szCs w:val="24"/>
        </w:rPr>
      </w:pPr>
      <w:r>
        <w:rPr>
          <w:rFonts w:hint="eastAsia"/>
          <w:b w:val="0"/>
          <w:i w:val="0"/>
          <w:iCs w:val="0"/>
          <w:color w:val="auto"/>
          <w:sz w:val="24"/>
          <w:szCs w:val="24"/>
        </w:rPr>
        <w:br w:type="page"/>
      </w:r>
    </w:p>
    <w:p>
      <w:pPr>
        <w:pStyle w:val="5"/>
        <w:spacing w:before="312" w:beforeLines="100" w:after="312" w:afterLines="100"/>
        <w:rPr>
          <w:b w:val="0"/>
          <w:i w:val="0"/>
          <w:iCs w:val="0"/>
          <w:color w:val="auto"/>
          <w:sz w:val="24"/>
          <w:szCs w:val="24"/>
        </w:rPr>
      </w:pPr>
      <w:r>
        <w:rPr>
          <w:rFonts w:hint="eastAsia"/>
          <w:b w:val="0"/>
          <w:i w:val="0"/>
          <w:iCs w:val="0"/>
          <w:color w:val="auto"/>
          <w:sz w:val="24"/>
          <w:szCs w:val="24"/>
        </w:rPr>
        <w:t>（二）技术参数及要求</w:t>
      </w:r>
    </w:p>
    <w:tbl>
      <w:tblPr>
        <w:tblStyle w:val="13"/>
        <w:tblW w:w="56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696"/>
        <w:gridCol w:w="6621"/>
        <w:gridCol w:w="787"/>
        <w:gridCol w:w="481"/>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63" w:type="pct"/>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3459" w:type="pct"/>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技术参数及要求</w:t>
            </w:r>
          </w:p>
        </w:tc>
        <w:tc>
          <w:tcPr>
            <w:tcW w:w="411" w:type="pct"/>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数量（单位）</w:t>
            </w:r>
          </w:p>
        </w:tc>
        <w:tc>
          <w:tcPr>
            <w:tcW w:w="251" w:type="pct"/>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所属行业</w:t>
            </w:r>
          </w:p>
        </w:tc>
        <w:tc>
          <w:tcPr>
            <w:tcW w:w="277" w:type="pct"/>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jc w:val="center"/>
        </w:trPr>
        <w:tc>
          <w:tcPr>
            <w:tcW w:w="237" w:type="pc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3" w:type="pct"/>
            <w:shd w:val="clear" w:color="auto" w:fill="auto"/>
            <w:vAlign w:val="center"/>
          </w:tcPr>
          <w:p>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kern w:val="0"/>
                <w:sz w:val="24"/>
                <w:szCs w:val="24"/>
                <w:highlight w:val="none"/>
                <w:lang w:bidi="ar"/>
              </w:rPr>
              <w:t>半实物仿真工厂实训装置</w:t>
            </w:r>
          </w:p>
        </w:tc>
        <w:tc>
          <w:tcPr>
            <w:tcW w:w="3459" w:type="pct"/>
          </w:tcPr>
          <w:p>
            <w:pPr>
              <w:pStyle w:val="4"/>
              <w:spacing w:before="156" w:after="156" w:line="360" w:lineRule="auto"/>
              <w:rPr>
                <w:rFonts w:hint="eastAsia" w:ascii="宋体" w:hAnsi="宋体" w:eastAsia="宋体" w:cs="宋体"/>
                <w:color w:val="auto"/>
                <w:sz w:val="24"/>
                <w:szCs w:val="24"/>
                <w:highlight w:val="none"/>
              </w:rPr>
            </w:pPr>
            <w:bookmarkStart w:id="7" w:name="_Toc6976"/>
            <w:bookmarkStart w:id="8" w:name="_Toc25533"/>
            <w:bookmarkStart w:id="9" w:name="_Toc19421"/>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实训装置</w:t>
            </w:r>
          </w:p>
          <w:p>
            <w:pPr>
              <w:pStyle w:val="4"/>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工艺</w:t>
            </w:r>
            <w:bookmarkEnd w:id="7"/>
            <w:bookmarkEnd w:id="8"/>
            <w:r>
              <w:rPr>
                <w:rFonts w:hint="eastAsia" w:ascii="宋体" w:hAnsi="宋体" w:eastAsia="宋体" w:cs="宋体"/>
                <w:color w:val="auto"/>
                <w:sz w:val="24"/>
                <w:szCs w:val="24"/>
                <w:highlight w:val="none"/>
              </w:rPr>
              <w:t>说明</w:t>
            </w:r>
            <w:bookmarkEnd w:id="9"/>
          </w:p>
          <w:p>
            <w:pPr>
              <w:spacing w:before="62" w:after="62"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工艺主要采取SCR脱硝+静电除尘+湿法脱硫+湿式静电除尘相组合的烟气处理方法</w:t>
            </w:r>
            <w:r>
              <w:rPr>
                <w:rFonts w:hint="eastAsia" w:ascii="宋体" w:hAnsi="宋体" w:eastAsia="宋体" w:cs="宋体"/>
                <w:color w:val="auto"/>
                <w:sz w:val="24"/>
                <w:szCs w:val="24"/>
                <w:highlight w:val="none"/>
                <w:lang w:eastAsia="zh-CN"/>
              </w:rPr>
              <w:t>。</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主要设备包括：SCR脱硝反应器、静电除尘器、脱硫吸收塔、湿式电除尘装置以及附属的氨储存、蒸发、缓冲、氨气/空气混合系统；石膏旋流、石膏脱水系统等组成。</w:t>
            </w:r>
          </w:p>
          <w:p>
            <w:pPr>
              <w:pStyle w:val="4"/>
              <w:numPr>
                <w:ilvl w:val="0"/>
                <w:numId w:val="0"/>
              </w:numPr>
              <w:spacing w:before="156" w:after="156" w:line="360" w:lineRule="auto"/>
              <w:rPr>
                <w:rFonts w:hint="eastAsia" w:ascii="宋体" w:hAnsi="宋体" w:eastAsia="宋体" w:cs="宋体"/>
                <w:b/>
                <w:bCs/>
                <w:color w:val="auto"/>
                <w:sz w:val="24"/>
                <w:szCs w:val="24"/>
                <w:highlight w:val="none"/>
              </w:rPr>
            </w:pPr>
            <w:bookmarkStart w:id="10" w:name="_Toc23847"/>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半实物加工工艺设备清单</w:t>
            </w:r>
            <w:bookmarkEnd w:id="10"/>
          </w:p>
          <w:p>
            <w:pPr>
              <w:spacing w:before="62" w:after="62"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★表2.1 设备清单</w:t>
            </w:r>
          </w:p>
          <w:tbl>
            <w:tblPr>
              <w:tblStyle w:val="13"/>
              <w:tblW w:w="41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451"/>
              <w:gridCol w:w="882"/>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288"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设备名称</w:t>
                  </w:r>
                </w:p>
              </w:tc>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锅炉</w:t>
                  </w:r>
                </w:p>
              </w:tc>
              <w:tc>
                <w:tcPr>
                  <w:tcW w:w="8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空预器</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SCR脱硝塔</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氨气/空气混合器</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静电除尘器</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脱硫+电除尘一体设备</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事故浆液箱</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石灰石浆液箱</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溢流水箱</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废液储罐</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烟囱</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氨气稀释风机</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2288" w:type="pct"/>
                  <w:tcBorders>
                    <w:top w:val="nil"/>
                    <w:left w:val="single" w:color="auto" w:sz="4" w:space="0"/>
                    <w:bottom w:val="nil"/>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锅炉风机</w:t>
                  </w:r>
                </w:p>
              </w:tc>
              <w:tc>
                <w:tcPr>
                  <w:tcW w:w="823" w:type="pct"/>
                  <w:tcBorders>
                    <w:top w:val="nil"/>
                    <w:left w:val="single" w:color="auto" w:sz="4" w:space="0"/>
                    <w:bottom w:val="nil"/>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228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引风机</w:t>
                  </w:r>
                </w:p>
              </w:tc>
              <w:tc>
                <w:tcPr>
                  <w:tcW w:w="82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浆液循环泵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石膏排出泵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氧化风机</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石膏旋流器</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石灰石浆液输送泵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事故浆液泵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3"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2288"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石灰石供浆泵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bl>
          <w:p>
            <w:pPr>
              <w:pStyle w:val="4"/>
              <w:numPr>
                <w:ilvl w:val="0"/>
                <w:numId w:val="0"/>
              </w:numPr>
              <w:spacing w:before="156" w:after="156"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硬件说明</w:t>
            </w:r>
          </w:p>
          <w:p>
            <w:pPr>
              <w:numPr>
                <w:ilvl w:val="0"/>
                <w:numId w:val="0"/>
              </w:numPr>
              <w:spacing w:before="62" w:after="62" w:line="360" w:lineRule="auto"/>
              <w:ind w:left="48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设备布局</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设备的分布严格按照项目工艺流程：管道的排布，阀门、仪表的安装均符合工艺要求及相关国家标准。</w:t>
            </w:r>
          </w:p>
          <w:p>
            <w:pPr>
              <w:numPr>
                <w:ilvl w:val="0"/>
                <w:numId w:val="0"/>
              </w:numPr>
              <w:spacing w:before="62" w:after="62" w:line="360" w:lineRule="auto"/>
              <w:ind w:left="480" w:leftChars="0"/>
              <w:rPr>
                <w:rFonts w:hint="eastAsia" w:ascii="宋体" w:hAnsi="宋体" w:eastAsia="宋体" w:cs="宋体"/>
                <w:color w:val="auto"/>
                <w:sz w:val="24"/>
                <w:szCs w:val="24"/>
                <w:highlight w:val="none"/>
              </w:rPr>
            </w:pPr>
            <w:bookmarkStart w:id="11" w:name="_Toc26027"/>
            <w:bookmarkStart w:id="12" w:name="_Toc15140"/>
            <w:bookmarkStart w:id="13" w:name="_Toc7610"/>
            <w:bookmarkStart w:id="14" w:name="_Toc32318"/>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工艺管路</w:t>
            </w:r>
            <w:bookmarkEnd w:id="11"/>
            <w:bookmarkEnd w:id="12"/>
            <w:bookmarkEnd w:id="13"/>
            <w:bookmarkEnd w:id="14"/>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艺管道：工艺管道均采用符合国家标准的工业管路，公用工程管道材质为碳钢，工艺管道材质为304不锈钢。工艺管道基本识别色及基本信息参照《SHT3043-2014设备管道钢结构表面色和标志规定》，布管设计参照《SHT3012-2011金属管道布置设计规范》。</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管件：管件包括弯头，三通，法兰等，均需采用标准件。</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（1）法兰执行HG20592标准，欧洲体系B系列；工艺管路法兰材质为304不锈钢。</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（2）各类弯头、三通、大小头管件，执行GBT12459，均为标准件，材质与管道一致，颜色与工艺管道颜色保持一致。</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（3）主设备和管路之间、阀门与管路之间均采用法兰连接方式，管路的分支或转弯处采用焊接的连接方式。</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八种常见物质识别色如下：</w:t>
            </w:r>
          </w:p>
          <w:tbl>
            <w:tblPr>
              <w:tblStyle w:val="13"/>
              <w:tblW w:w="6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453"/>
              <w:gridCol w:w="1453"/>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物质种类</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管路颜色</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色样</w:t>
                  </w:r>
                </w:p>
              </w:tc>
              <w:tc>
                <w:tcPr>
                  <w:tcW w:w="170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颜色标准编号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艳绿色</w:t>
                  </w:r>
                </w:p>
              </w:tc>
              <w:tc>
                <w:tcPr>
                  <w:tcW w:w="1453" w:type="dxa"/>
                  <w:shd w:val="clear" w:color="auto" w:fill="00B050"/>
                  <w:vAlign w:val="center"/>
                </w:tcPr>
                <w:p>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水蒸气</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大红色</w:t>
                  </w:r>
                </w:p>
              </w:tc>
              <w:tc>
                <w:tcPr>
                  <w:tcW w:w="1453" w:type="dxa"/>
                  <w:shd w:val="clear" w:color="auto" w:fill="FF0000"/>
                  <w:vAlign w:val="center"/>
                </w:tcPr>
                <w:p>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空气</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淡灰色</w:t>
                  </w:r>
                </w:p>
              </w:tc>
              <w:tc>
                <w:tcPr>
                  <w:tcW w:w="1453" w:type="dxa"/>
                  <w:shd w:val="clear" w:color="auto" w:fill="C3BD96" w:themeFill="background2" w:themeFillShade="BF"/>
                  <w:vAlign w:val="center"/>
                </w:tcPr>
                <w:p>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中黄色</w:t>
                  </w:r>
                </w:p>
              </w:tc>
              <w:tc>
                <w:tcPr>
                  <w:tcW w:w="1453" w:type="dxa"/>
                  <w:shd w:val="clear" w:color="auto" w:fill="8064A2" w:themeFill="accent4"/>
                  <w:vAlign w:val="center"/>
                </w:tcPr>
                <w:p>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酸或碱</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紫色</w:t>
                  </w:r>
                </w:p>
              </w:tc>
              <w:tc>
                <w:tcPr>
                  <w:tcW w:w="1453" w:type="dxa"/>
                  <w:shd w:val="clear" w:color="auto" w:fill="7030A0"/>
                  <w:vAlign w:val="center"/>
                </w:tcPr>
                <w:p>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可燃液体</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w:t>
                  </w:r>
                </w:p>
              </w:tc>
              <w:tc>
                <w:tcPr>
                  <w:tcW w:w="1453" w:type="dxa"/>
                  <w:shd w:val="clear" w:color="auto" w:fill="632423" w:themeFill="accent2" w:themeFillShade="80"/>
                  <w:vAlign w:val="center"/>
                </w:tcPr>
                <w:p>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YR05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其他液体</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黑色</w:t>
                  </w:r>
                </w:p>
              </w:tc>
              <w:tc>
                <w:tcPr>
                  <w:tcW w:w="1453" w:type="dxa"/>
                  <w:shd w:val="clear" w:color="auto" w:fill="000000" w:themeFill="text1"/>
                  <w:vAlign w:val="center"/>
                </w:tcPr>
                <w:p>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pPr>
                    <w:spacing w:before="62" w:after="62"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w:t>
                  </w:r>
                </w:p>
              </w:tc>
              <w:tc>
                <w:tcPr>
                  <w:tcW w:w="1453"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淡蓝色</w:t>
                  </w:r>
                </w:p>
              </w:tc>
              <w:tc>
                <w:tcPr>
                  <w:tcW w:w="1453" w:type="dxa"/>
                  <w:shd w:val="clear" w:color="auto" w:fill="00B0F0"/>
                  <w:vAlign w:val="center"/>
                </w:tcPr>
                <w:p>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PB06</w:t>
                  </w:r>
                </w:p>
              </w:tc>
            </w:tr>
          </w:tbl>
          <w:p>
            <w:pPr>
              <w:numPr>
                <w:ilvl w:val="0"/>
                <w:numId w:val="0"/>
              </w:numPr>
              <w:spacing w:before="62" w:after="62" w:line="360" w:lineRule="auto"/>
              <w:ind w:left="480" w:leftChars="0"/>
              <w:rPr>
                <w:rFonts w:hint="eastAsia" w:ascii="宋体" w:hAnsi="宋体" w:eastAsia="宋体" w:cs="宋体"/>
                <w:color w:val="auto"/>
                <w:sz w:val="24"/>
                <w:szCs w:val="24"/>
                <w:highlight w:val="none"/>
              </w:rPr>
            </w:pPr>
            <w:bookmarkStart w:id="15" w:name="_Toc23531"/>
            <w:bookmarkStart w:id="16" w:name="_Toc11022"/>
            <w:bookmarkStart w:id="17" w:name="_Toc8491"/>
            <w:bookmarkStart w:id="18" w:name="_Toc138584750"/>
            <w:bookmarkStart w:id="19" w:name="_Toc17448"/>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仿真阀门</w:t>
            </w:r>
            <w:bookmarkEnd w:id="15"/>
            <w:bookmarkEnd w:id="16"/>
            <w:bookmarkEnd w:id="17"/>
            <w:bookmarkEnd w:id="18"/>
            <w:bookmarkEnd w:id="19"/>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本装置现场阀门分为手动开关阀（不少于20台）、手动调节阀（不少于5台）、仿真气动开关阀（不少于1台）、仿真气动调节阀（不少于5台）。</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（1）各类阀门口径与工艺管路保持一致，执行GB12225标准，可拆卸，所有阀门安装微型通讯信号端，可采集学员对阀门的操作并接收中控系统的通讯信号，或显示当前开度状态或执行阀门调节指令。</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（2）现场阀门连接方式采用法兰连接。设计安装参考《SHT3012-2011金属管道布置设计规范》。</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手动开关阀由真实球阀或闸阀改造，信号类型为开关量输入信号（DI），由现场手动操作开关阀门，将阀门信号传向控制室的信号，具有开、关两种状态显示，并有现场状态显示。主要用于放空、导淋、各设备或调节阀及仪表的检修用阀门。</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手动调节阀由截止阀改造，信号类型为连续阀位输入信号（AI），从现场手动操作阀门向控制室传递连续变化的阀位量值信号。采用特制电子阀，转换阀门的阀位，0-100开度显示。主要用于调节阀组或计量阀组的副线，便于在主线无法正常工作时进行手动调节。</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（5）远程控制阀由气动薄膜阀改造。</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（6）远程切断阀由电磁阀改造。</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（7）所有阀门均配有标牌标注阀门位号等阀门信息，便于学员了解阀门在工艺流程：中的位置和作用。</w:t>
            </w:r>
          </w:p>
          <w:p>
            <w:pPr>
              <w:spacing w:before="62" w:after="62" w:line="360" w:lineRule="auto"/>
              <w:ind w:firstLine="480"/>
              <w:rPr>
                <w:rFonts w:hint="eastAsia" w:ascii="宋体" w:hAnsi="宋体" w:eastAsia="宋体" w:cs="宋体"/>
                <w:color w:val="auto"/>
                <w:sz w:val="24"/>
                <w:szCs w:val="24"/>
                <w:highlight w:val="none"/>
              </w:rPr>
            </w:pPr>
            <w:bookmarkStart w:id="20" w:name="_Toc7354"/>
            <w:bookmarkStart w:id="21" w:name="_Toc27529"/>
            <w:bookmarkStart w:id="22" w:name="_Toc17224"/>
            <w:bookmarkStart w:id="23" w:name="_Toc1278"/>
            <w:r>
              <w:rPr>
                <w:rFonts w:hint="eastAsia" w:ascii="宋体" w:hAnsi="宋体" w:eastAsia="宋体" w:cs="宋体"/>
                <w:color w:val="auto"/>
                <w:sz w:val="24"/>
                <w:szCs w:val="24"/>
                <w:highlight w:val="none"/>
                <w:lang w:val="en-US" w:eastAsia="zh-CN"/>
              </w:rPr>
              <w:t xml:space="preserve">3.4 </w:t>
            </w:r>
            <w:r>
              <w:rPr>
                <w:rFonts w:hint="eastAsia" w:ascii="宋体" w:hAnsi="宋体" w:eastAsia="宋体" w:cs="宋体"/>
                <w:color w:val="auto"/>
                <w:sz w:val="24"/>
                <w:szCs w:val="24"/>
                <w:highlight w:val="none"/>
              </w:rPr>
              <w:t>仿真仪表</w:t>
            </w:r>
            <w:bookmarkEnd w:id="20"/>
            <w:bookmarkEnd w:id="21"/>
            <w:bookmarkEnd w:id="22"/>
            <w:bookmarkEnd w:id="23"/>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本装置仪表分为仿真流量显示表（不少于5台）、仿真温度显示表（不少于3台）、仿真压力显示表（不少于5台）、仿真液位显示表（不少于3台）。</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（1）温度、流量仿真仪表采用数显式，真实变送器外壳，信号类型为连续输出信号（AO），并通过内装数字显示仪接收控制信号并于现场显示工艺变量的实时数据。</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（2）压力仿真仪表采用指针式或数显式，信号类型为连续输出信号（AO），接收中央控制室信号并通过机械指针转动或数字显示仪显示压力变化。</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（3）液位仪表要求采用柱形仿磁翻板式，信号类型为连续输出信号（AO），收中央控制室信号并于通过灯柱变化显示现场液位计动态变化效果。</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（4）所有仪表均支持Modbus或4-20mA信号。</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（5）所有仪表均支持显示与检测信号相对应的多种单位（如流量单位应支持m³/h、L/h、t/h、kg/h等）。</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（6）所有仪表均带亚克力标识牌，上注温度、压力、流量、型号、使用条件信息。</w:t>
            </w:r>
          </w:p>
          <w:p>
            <w:pPr>
              <w:spacing w:before="62" w:after="62" w:line="360" w:lineRule="auto"/>
              <w:ind w:firstLine="480"/>
              <w:rPr>
                <w:rFonts w:hint="eastAsia" w:ascii="宋体" w:hAnsi="宋体" w:eastAsia="宋体" w:cs="宋体"/>
                <w:color w:val="auto"/>
                <w:sz w:val="24"/>
                <w:szCs w:val="24"/>
                <w:highlight w:val="none"/>
              </w:rPr>
            </w:pPr>
            <w:bookmarkStart w:id="24" w:name="_Toc12822"/>
            <w:bookmarkStart w:id="25" w:name="_Toc30901"/>
            <w:bookmarkStart w:id="26" w:name="_Toc3933"/>
            <w:bookmarkStart w:id="27" w:name="_Toc30031"/>
            <w:r>
              <w:rPr>
                <w:rFonts w:hint="eastAsia" w:ascii="宋体" w:hAnsi="宋体" w:eastAsia="宋体" w:cs="宋体"/>
                <w:color w:val="auto"/>
                <w:sz w:val="24"/>
                <w:szCs w:val="24"/>
                <w:highlight w:val="none"/>
                <w:lang w:val="en-US" w:eastAsia="zh-CN"/>
              </w:rPr>
              <w:t xml:space="preserve">3.5 </w:t>
            </w:r>
            <w:r>
              <w:rPr>
                <w:rFonts w:hint="eastAsia" w:ascii="宋体" w:hAnsi="宋体" w:eastAsia="宋体" w:cs="宋体"/>
                <w:color w:val="auto"/>
                <w:sz w:val="24"/>
                <w:szCs w:val="24"/>
                <w:highlight w:val="none"/>
              </w:rPr>
              <w:t>安全文化宣传</w:t>
            </w:r>
            <w:bookmarkEnd w:id="24"/>
            <w:bookmarkEnd w:id="25"/>
            <w:bookmarkEnd w:id="26"/>
            <w:bookmarkEnd w:id="27"/>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（1）安全标志</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依据GB2894-2025《安全色和安全标志》在装置内部放置相关安全标志，主要包含四类表示，禁止标识、警告标识、指令标识、提示标识。</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（2）危化品标志</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依据GB 30000.1—2024《化学品分类和标签规范 第1部分：通则》对装置内的危化品暂存罐等设施进行标识。</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（3）职业危害标志</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依据《GBZ158-2003 工作场所职业病危害警示标识》对装置内的存在的职业病危害因素进行警示标识。</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（4）其他标识</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地面警示标识。</w:t>
            </w:r>
          </w:p>
          <w:p>
            <w:pPr>
              <w:spacing w:before="62" w:after="62" w:line="360" w:lineRule="auto"/>
              <w:ind w:firstLine="480"/>
              <w:rPr>
                <w:rFonts w:hint="eastAsia" w:ascii="宋体" w:hAnsi="宋体" w:eastAsia="宋体" w:cs="宋体"/>
                <w:color w:val="auto"/>
                <w:sz w:val="24"/>
                <w:szCs w:val="24"/>
                <w:highlight w:val="none"/>
              </w:rPr>
            </w:pPr>
            <w:bookmarkStart w:id="28" w:name="_Toc4677"/>
            <w:bookmarkStart w:id="29" w:name="_Toc4051"/>
            <w:bookmarkStart w:id="30" w:name="_Toc25268"/>
            <w:bookmarkStart w:id="31" w:name="_Toc14633"/>
            <w:r>
              <w:rPr>
                <w:rFonts w:hint="eastAsia" w:ascii="宋体" w:hAnsi="宋体" w:eastAsia="宋体" w:cs="宋体"/>
                <w:color w:val="auto"/>
                <w:sz w:val="24"/>
                <w:szCs w:val="24"/>
                <w:highlight w:val="none"/>
                <w:lang w:val="en-US" w:eastAsia="zh-CN"/>
              </w:rPr>
              <w:t xml:space="preserve">3.6 </w:t>
            </w:r>
            <w:r>
              <w:rPr>
                <w:rFonts w:hint="eastAsia" w:ascii="宋体" w:hAnsi="宋体" w:eastAsia="宋体" w:cs="宋体"/>
                <w:color w:val="auto"/>
                <w:kern w:val="0"/>
                <w:sz w:val="24"/>
                <w:szCs w:val="24"/>
                <w:highlight w:val="none"/>
                <w:lang w:bidi="ar"/>
              </w:rPr>
              <w:t>半实物平台配套控制系统</w:t>
            </w:r>
            <w:bookmarkEnd w:id="28"/>
            <w:bookmarkEnd w:id="29"/>
            <w:bookmarkEnd w:id="30"/>
            <w:bookmarkEnd w:id="31"/>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测控系统是半实物仿真装置数据信息通讯的桥梁部分，通过OPC服务器，可以实现仿真软件与设备装置测控系统的数据交换通讯，使硬件装置与仿真软件联合为一体。测控系统一方面对操作设备的各类模拟电信号（例如阀门开关、泵的开关）进行实时采集，并传送到OPC服务器中，另一方面将仿真软件的数学仿真模型运算结果转变成模拟电信号，并传送到现场的各种仪表进行模拟与数字多种方式的实时显示。</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电气机柜和PLC，非标件：</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（1）电器机柜实现现场各类模拟量仪表、阀门的通讯，电气柜内带PLC控制系统、交直流转换器、信号电缆、开关、风扇、照明。</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（2）对操作设备的各类模拟电信号（例如阀门开关、泵的开关）进行实时采集，并传送到OPC服务器中。</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（3）将仿真软件的数学仿真模型运算结果转变成模拟电信号，并传送到现场的各种仪表进行模拟与数字多种方式的实时显示。</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动力柜，非标件：</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动力柜实现现场各类按钮开关、机泵等动设备运转及供电，动力柜内带中间继电器、交流接触器、开关、风扇、照明。</w:t>
            </w:r>
          </w:p>
          <w:p>
            <w:p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★为保证学生集中综合模拟实训的角色交互性、岗位的互相协作性、产品使用的延续性，要求</w:t>
            </w:r>
            <w:r>
              <w:rPr>
                <w:rFonts w:hint="eastAsia" w:ascii="宋体" w:hAnsi="宋体" w:eastAsia="宋体" w:cs="宋体"/>
                <w:b/>
                <w:bCs w:val="0"/>
                <w:color w:val="auto"/>
                <w:kern w:val="0"/>
                <w:sz w:val="24"/>
                <w:szCs w:val="24"/>
                <w:highlight w:val="none"/>
                <w:lang w:bidi="ar"/>
              </w:rPr>
              <w:t>半实物仿真工厂实训装置</w:t>
            </w:r>
            <w:r>
              <w:rPr>
                <w:rFonts w:hint="eastAsia" w:ascii="宋体" w:hAnsi="宋体" w:eastAsia="宋体" w:cs="宋体"/>
                <w:b/>
                <w:bCs w:val="0"/>
                <w:color w:val="auto"/>
                <w:sz w:val="24"/>
                <w:szCs w:val="24"/>
                <w:highlight w:val="none"/>
              </w:rPr>
              <w:t>与</w:t>
            </w:r>
            <w:r>
              <w:rPr>
                <w:rFonts w:hint="eastAsia" w:ascii="宋体" w:hAnsi="宋体" w:eastAsia="宋体" w:cs="宋体"/>
                <w:b/>
                <w:bCs w:val="0"/>
                <w:color w:val="auto"/>
                <w:kern w:val="0"/>
                <w:sz w:val="24"/>
                <w:szCs w:val="24"/>
                <w:highlight w:val="none"/>
                <w:lang w:bidi="ar"/>
              </w:rPr>
              <w:t>半实物平台配套控制系统</w:t>
            </w:r>
            <w:r>
              <w:rPr>
                <w:rFonts w:hint="eastAsia" w:ascii="宋体" w:hAnsi="宋体" w:eastAsia="宋体" w:cs="宋体"/>
                <w:b/>
                <w:bCs w:val="0"/>
                <w:color w:val="auto"/>
                <w:sz w:val="24"/>
                <w:szCs w:val="24"/>
                <w:highlight w:val="none"/>
              </w:rPr>
              <w:t>必须出自同一个制造厂商开发，同一品牌（需提供承诺函并加盖公章）。</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3.7 </w:t>
            </w:r>
            <w:r>
              <w:rPr>
                <w:rFonts w:hint="eastAsia" w:ascii="宋体" w:hAnsi="宋体" w:eastAsia="宋体" w:cs="宋体"/>
                <w:bCs/>
                <w:color w:val="auto"/>
                <w:sz w:val="24"/>
                <w:szCs w:val="24"/>
                <w:highlight w:val="none"/>
              </w:rPr>
              <w:t>配套仪表自动化课程学习账号（不少于1个）：</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题库建设</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依托培训管理平台，依据培训体系构建题库细目表，形成各岗位知识技能覆盖完备、分布科学的题库资源。提供线上题库平台，题目类型包含判断题、单选题、多选题，题库内容涵盖变送器、调节阀、复杂串级、仪表自动化基础知识等题目数量不少于1000道。</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视频课件资源：包括不少于40个仪表自动化知识点视频资源以及不少于150页PPT课件资源，视频课件资源应采用MG动画或3D动画等技术形式，覆盖液位仪表、流量仪表、温度仪表、传感器、压力仪表、控制规律、复杂控制等内容；PPT课件资源应涵盖仪表基础知识、压力检测仪表、流量检测仪表、温度检测仪表、物位检测仪表、气动执行器、控制系统、集散型控制系统（DCS）、分析仪表等章节内容。</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配套设施</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bidi="ar"/>
              </w:rPr>
              <w:t>液晶拼接屏</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显示器</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拼缝：≤3.5mm                                                          </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分辨率：≥1920*1080                                                                         </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对比度：≥4000:1                                                                               </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亮度:≥500cd/㎡                                                                      </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具有开机延迟功能，防止同时启动产生的大电涌烧毁供电线路</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内置拼接控制器</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纯硬件架构、一体机架构；</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运行稳定可靠，平均无故障时间（MTBF）大于6万小时；</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输入信号支持DVI/VGA/AV输入，支持1024*768～1080p的常用分辨率，输出分辨率支持1024*768～1080p；</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支持双电源100VA～240VAC，50/60Hz，更加可靠的双电源备份工作模式；</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断电前状态记忆功能：通过控制软件的提前设置，能在现场断电的情况下，能自动记忆设备关机前的工作状态。</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HDMI高清矩阵</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支持≥4路HDMI输入、≥4路HDMI输出，设备支持HDMI1.3协议版本，每个通道均支持1920x1080@60Hz分辨率；</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图像色彩增强,支持48/36/30/24-bit，对流经 HDMI 插孔的信号色深予以增强；</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音视频同步切换，支持LPCM 7.1CH, 杜比True HD, 杜比数字+和DTS-HD Master Audio 传输，支持音视频信号同步切换；</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前面板LCD显示屏能够实时显示矩阵信号切换状态及系统配置；</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支持按键、RS232、红外遥控、上位机软件自由切换信号源；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包含拼接控制软件、液压前维护支架、其他配套线材和控制转换器等设备</w:t>
            </w:r>
          </w:p>
          <w:p>
            <w:pPr>
              <w:spacing w:line="360" w:lineRule="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kern w:val="0"/>
                <w:sz w:val="24"/>
                <w:szCs w:val="24"/>
                <w:highlight w:val="none"/>
                <w:lang w:bidi="ar"/>
              </w:rPr>
              <w:t>半实物装置控制终端</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CPU：核心：≥14核，总线程数：≥20，运行频率：≥2.6GHz</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电源：≥500瓦</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内存: ≥</w:t>
            </w:r>
            <w:r>
              <w:rPr>
                <w:rFonts w:hint="eastAsia" w:ascii="宋体" w:hAnsi="宋体" w:eastAsia="宋体" w:cs="宋体"/>
                <w:color w:val="auto"/>
                <w:sz w:val="24"/>
                <w:szCs w:val="24"/>
                <w:highlight w:val="none"/>
                <w:lang w:val="en-US" w:eastAsia="zh-CN"/>
              </w:rPr>
              <w:t>不低于32GB</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ascii="宋体" w:hAnsi="宋体" w:eastAsia="宋体" w:cs="宋体"/>
                <w:color w:val="auto"/>
                <w:sz w:val="24"/>
                <w:szCs w:val="24"/>
                <w:highlight w:val="none"/>
              </w:rPr>
              <w:t xml:space="preserve">硬盘: ≥1T 固态硬盘 </w:t>
            </w:r>
            <w:r>
              <w:rPr>
                <w:rFonts w:hint="eastAsia" w:ascii="宋体" w:hAnsi="宋体" w:eastAsia="宋体" w:cs="宋体"/>
                <w:color w:val="auto"/>
                <w:sz w:val="24"/>
                <w:szCs w:val="24"/>
                <w:highlight w:val="none"/>
                <w:lang w:val="en-US" w:eastAsia="zh-CN"/>
              </w:rPr>
              <w:t>+2T机械硬盘</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显卡: ≥1660S 独显  6G</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显示器：≥23.8吋液晶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操作系统≥win10</w:t>
            </w:r>
            <w:r>
              <w:rPr>
                <w:rFonts w:hint="eastAsia" w:ascii="宋体" w:hAnsi="宋体" w:eastAsia="宋体" w:cs="宋体"/>
                <w:color w:val="auto"/>
                <w:sz w:val="24"/>
                <w:szCs w:val="24"/>
                <w:highlight w:val="none"/>
                <w:lang w:val="en-US" w:eastAsia="zh-CN"/>
              </w:rPr>
              <w:t>及以上64位操作系统</w:t>
            </w:r>
          </w:p>
          <w:p>
            <w:pPr>
              <w:spacing w:line="360" w:lineRule="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3、</w:t>
            </w:r>
            <w:r>
              <w:rPr>
                <w:rFonts w:hint="eastAsia" w:ascii="宋体" w:hAnsi="宋体" w:eastAsia="宋体" w:cs="宋体"/>
                <w:b/>
                <w:bCs/>
                <w:color w:val="auto"/>
                <w:kern w:val="0"/>
                <w:sz w:val="24"/>
                <w:szCs w:val="24"/>
                <w:highlight w:val="none"/>
                <w:lang w:bidi="ar"/>
              </w:rPr>
              <w:t>双联中控操作台（含椅子）</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控制台</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材质：框架采用冷轧钢，下面有调节地脚，≥25mm桌面E1级防火板聚氨酯封边，侧板高密度纤维板喷漆，抽屉扶手采用环保橡胶漆，台面前沿有支撑防止台面变形。尺寸：双联≥1650*950*750mm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长*宽*高）</w:t>
            </w:r>
            <w:r>
              <w:rPr>
                <w:rFonts w:hint="eastAsia" w:ascii="宋体" w:hAnsi="宋体" w:eastAsia="宋体" w:cs="宋体"/>
                <w:color w:val="auto"/>
                <w:sz w:val="24"/>
                <w:szCs w:val="24"/>
                <w:highlight w:val="none"/>
              </w:rPr>
              <w:t>。</w:t>
            </w:r>
          </w:p>
          <w:p>
            <w:pPr>
              <w:spacing w:before="62" w:after="62"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椅子</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椅背：新款尼龙透气网背，</w:t>
            </w:r>
            <w:r>
              <w:rPr>
                <w:rFonts w:hint="eastAsia" w:ascii="宋体" w:hAnsi="宋体" w:eastAsia="宋体" w:cs="宋体"/>
                <w:color w:val="auto"/>
                <w:sz w:val="24"/>
                <w:szCs w:val="24"/>
                <w:highlight w:val="none"/>
                <w:lang w:val="en-US" w:eastAsia="zh-CN"/>
              </w:rPr>
              <w:t>采用人体工学设计，高弹网布，微循环透气</w:t>
            </w:r>
            <w:r>
              <w:rPr>
                <w:rFonts w:hint="eastAsia" w:ascii="宋体" w:hAnsi="宋体" w:eastAsia="宋体" w:cs="宋体"/>
                <w:color w:val="auto"/>
                <w:sz w:val="24"/>
                <w:szCs w:val="24"/>
                <w:highlight w:val="none"/>
              </w:rPr>
              <w:t>；</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座垫：</w:t>
            </w:r>
            <w:r>
              <w:rPr>
                <w:rFonts w:hint="eastAsia" w:ascii="宋体" w:hAnsi="宋体" w:eastAsia="宋体" w:cs="宋体"/>
                <w:color w:val="auto"/>
                <w:sz w:val="24"/>
                <w:szCs w:val="24"/>
                <w:highlight w:val="none"/>
                <w:lang w:val="en-US" w:eastAsia="zh-CN"/>
              </w:rPr>
              <w:t>加厚海绵坐垫，内填充高回弹海绵，透气性强</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（3）框架：采用优质钢管框架，1.5mm壁厚，可承重300KG。</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（4）坐垫尺寸：≥490*450mm（长*宽）；整体尺寸（含椅背）：≥590*450*830mm（长*宽*高）。</w:t>
            </w:r>
          </w:p>
          <w:p>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音箱系统</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智能音频主机：</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设备采用音频处理器和数字功率放大器一体式设计,高度≥1U。</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设备接口具有不少于6路吊麦输入、3路音频输入、8路音频输出。</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主机内置软件至少</w:t>
            </w:r>
            <w:r>
              <w:rPr>
                <w:rFonts w:hint="eastAsia" w:ascii="宋体" w:hAnsi="宋体" w:eastAsia="宋体" w:cs="宋体"/>
                <w:color w:val="auto"/>
                <w:sz w:val="24"/>
                <w:szCs w:val="24"/>
                <w:highlight w:val="none"/>
                <w:lang w:val="en-US" w:eastAsia="zh-CN"/>
              </w:rPr>
              <w:t>具备6输入接口和8输出接口的</w:t>
            </w:r>
            <w:r>
              <w:rPr>
                <w:rFonts w:hint="eastAsia" w:ascii="宋体" w:hAnsi="宋体" w:eastAsia="宋体" w:cs="宋体"/>
                <w:color w:val="auto"/>
                <w:sz w:val="24"/>
                <w:szCs w:val="24"/>
                <w:highlight w:val="none"/>
              </w:rPr>
              <w:t>音频矩阵功能，每路输入通道带扩展器、自动增益、参数均衡模块，每路输出通道带高低通、参数均衡、限幅器模块功能。</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具有空间去混响算法功能。</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主机可支持U盘录音功能，至少满足1000小时的录音的容量。</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要求主机软件可支持白噪声消除功能、麦克风60段频谱实时显示分析功能。</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信噪比≥97dB。</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功率放大器的输出功率≥2*120W。</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频率响应：20Hz-20kHz（±2</w:t>
            </w:r>
            <w:r>
              <w:rPr>
                <w:rFonts w:hint="eastAsia" w:ascii="宋体" w:hAnsi="宋体" w:eastAsia="宋体" w:cs="宋体"/>
                <w:color w:val="auto"/>
                <w:sz w:val="24"/>
                <w:szCs w:val="24"/>
                <w:highlight w:val="none"/>
                <w:lang w:val="en-US" w:eastAsia="zh-CN"/>
              </w:rPr>
              <w:t>Hz</w:t>
            </w:r>
            <w:r>
              <w:rPr>
                <w:rFonts w:hint="eastAsia" w:ascii="宋体" w:hAnsi="宋体" w:eastAsia="宋体" w:cs="宋体"/>
                <w:color w:val="auto"/>
                <w:sz w:val="24"/>
                <w:szCs w:val="24"/>
                <w:highlight w:val="none"/>
              </w:rPr>
              <w:t>）。</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总谐波失真≤0.1%。</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增益差≤0.2dB。</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音箱</w:t>
            </w:r>
          </w:p>
          <w:p>
            <w:pPr>
              <w:spacing w:before="62" w:after="62"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室内壁挂式安装，角度可万向调节；</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单导向管、音柱型箱体设计；</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（3）高中低三分频</w:t>
            </w:r>
            <w:r>
              <w:rPr>
                <w:rFonts w:hint="eastAsia" w:ascii="宋体" w:hAnsi="宋体" w:eastAsia="宋体" w:cs="宋体"/>
                <w:color w:val="auto"/>
                <w:sz w:val="24"/>
                <w:szCs w:val="24"/>
                <w:highlight w:val="none"/>
              </w:rPr>
              <w:t>单元，内置1×4.5吋低音单元，1×4.5吋中音单元，1×3吋进口纸盆高音单元，采用HIFI分频器；</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面网：模压钢制平面型面网；表面处理：白色颗粒状树脂喷涂； </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频率响应范围：50Hz-20kHz；灵敏度≥87dB；</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额定输入功率（RMS）≥65W</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路由器</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1、支持基于源目的地址、端口定义防火墙过滤策略</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2、支持WEB管理页面，支持云简网络管理平台远程管理</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3、支持AP管理</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4、支持L2TP VPN，支持IPSec VPN</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5、LAN以太口：≥4*GE</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6、WAN以太口：≥1*GE COMBO+1*GE电+1*GE光</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24口交换机</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1、固定端口：≥24*1000Base-T以太网端口；≥4*1000 Base-X SFP光口</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2、包转发率：≥126Mpps</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3、支持静态路由</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机柜</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22U网络机柜，采用优质冷轧钢板，加厚板材，承重力强，静电粉末喷塑，不易变形；透气网孔门，顶部底部均设有通风口，增大机柜通风率；配备散热风扇，加快散热；带脚轮，可自由移动。</w:t>
            </w:r>
          </w:p>
        </w:tc>
        <w:tc>
          <w:tcPr>
            <w:tcW w:w="411" w:type="pct"/>
            <w:shd w:val="clear" w:color="auto" w:fill="auto"/>
            <w:vAlign w:val="center"/>
          </w:tcPr>
          <w:p>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251" w:type="pct"/>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工业</w:t>
            </w:r>
          </w:p>
        </w:tc>
        <w:tc>
          <w:tcPr>
            <w:tcW w:w="277" w:type="pct"/>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37" w:type="pc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3" w:type="pct"/>
            <w:shd w:val="clear" w:color="auto" w:fill="auto"/>
            <w:vAlign w:val="center"/>
          </w:tcPr>
          <w:p>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半实物平台配套控制系统</w:t>
            </w:r>
          </w:p>
        </w:tc>
        <w:tc>
          <w:tcPr>
            <w:tcW w:w="3459" w:type="pct"/>
          </w:tcPr>
          <w:p>
            <w:p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一、控制系统内容和功能</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控制站数量 ：配置 5 个控制站（DCS界面），分别负责锅炉系统、SCR 脱硝系统、静电除尘系统、脱硫电除尘系统以及浆液输送与处理系统的自动化控制。</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操作便捷性（仿DCS） ：提供直观、友好的图形化操作界面，操作人员可通过鼠标、键盘等设备方便地进行操作。界面布局合理，将关键工艺参数、设备运行状态、报警信息等集中显示，便于操作人员快速获取系统运行情况。</w:t>
            </w:r>
          </w:p>
          <w:p>
            <w:p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二、控制系统设备卡片</w:t>
            </w:r>
          </w:p>
          <w:tbl>
            <w:tblPr>
              <w:tblStyle w:val="13"/>
              <w:tblW w:w="32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41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907"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before="62" w:after="62"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锅炉</w:t>
                  </w:r>
                </w:p>
              </w:tc>
              <w:tc>
                <w:tcPr>
                  <w:tcW w:w="1046"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空预器</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SCR脱硝塔</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氨气/空气混合器</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静电除尘器</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脱硫+电除尘一体设备</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事故浆液箱</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石灰石浆液箱</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溢流水箱</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废液储罐</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烟囱</w:t>
                  </w:r>
                </w:p>
              </w:tc>
              <w:tc>
                <w:tcPr>
                  <w:tcW w:w="1046"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2907" w:type="pct"/>
                  <w:tcBorders>
                    <w:top w:val="nil"/>
                    <w:left w:val="single" w:color="auto" w:sz="4" w:space="0"/>
                    <w:bottom w:val="single" w:color="auto" w:sz="4" w:space="0"/>
                    <w:right w:val="single" w:color="auto" w:sz="4" w:space="0"/>
                  </w:tcBorders>
                  <w:noWrap/>
                  <w:vAlign w:val="center"/>
                </w:tcPr>
                <w:p>
                  <w:pPr>
                    <w:widowControl/>
                    <w:adjustRightInd w:val="0"/>
                    <w:spacing w:before="62" w:after="62"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氨气稀释风机</w:t>
                  </w:r>
                </w:p>
              </w:tc>
              <w:tc>
                <w:tcPr>
                  <w:tcW w:w="1159" w:type="dxa"/>
                  <w:tcBorders>
                    <w:top w:val="nil"/>
                    <w:left w:val="single" w:color="auto" w:sz="4" w:space="0"/>
                    <w:bottom w:val="single" w:color="auto" w:sz="4" w:space="0"/>
                    <w:right w:val="single" w:color="auto" w:sz="4" w:space="0"/>
                  </w:tcBorders>
                  <w:noWrap/>
                  <w:vAlign w:val="center"/>
                </w:tcPr>
                <w:p>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2907" w:type="pct"/>
                  <w:tcBorders>
                    <w:top w:val="nil"/>
                    <w:left w:val="single" w:color="auto" w:sz="4" w:space="0"/>
                    <w:bottom w:val="nil"/>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锅炉风机</w:t>
                  </w:r>
                </w:p>
              </w:tc>
              <w:tc>
                <w:tcPr>
                  <w:tcW w:w="1159" w:type="dxa"/>
                  <w:tcBorders>
                    <w:top w:val="nil"/>
                    <w:left w:val="single" w:color="auto" w:sz="4" w:space="0"/>
                    <w:bottom w:val="nil"/>
                    <w:right w:val="single" w:color="auto" w:sz="4" w:space="0"/>
                  </w:tcBorders>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2907" w:type="pct"/>
                  <w:tcBorders>
                    <w:top w:val="single" w:color="auto" w:sz="4" w:space="0"/>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引风机</w:t>
                  </w:r>
                </w:p>
              </w:tc>
              <w:tc>
                <w:tcPr>
                  <w:tcW w:w="1159" w:type="dxa"/>
                  <w:tcBorders>
                    <w:top w:val="single" w:color="auto" w:sz="4" w:space="0"/>
                    <w:left w:val="single" w:color="auto" w:sz="4" w:space="0"/>
                    <w:bottom w:val="single" w:color="auto" w:sz="4" w:space="0"/>
                    <w:right w:val="single" w:color="auto" w:sz="4" w:space="0"/>
                  </w:tcBorders>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浆液循环泵</w:t>
                  </w:r>
                </w:p>
              </w:tc>
              <w:tc>
                <w:tcPr>
                  <w:tcW w:w="1159" w:type="dxa"/>
                  <w:tcBorders>
                    <w:top w:val="nil"/>
                    <w:left w:val="single" w:color="auto" w:sz="4" w:space="0"/>
                    <w:bottom w:val="single" w:color="auto" w:sz="4" w:space="0"/>
                    <w:right w:val="single" w:color="auto" w:sz="4" w:space="0"/>
                  </w:tcBorders>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石膏排出泵</w:t>
                  </w:r>
                </w:p>
              </w:tc>
              <w:tc>
                <w:tcPr>
                  <w:tcW w:w="1159" w:type="dxa"/>
                  <w:tcBorders>
                    <w:top w:val="nil"/>
                    <w:left w:val="single" w:color="auto" w:sz="4" w:space="0"/>
                    <w:bottom w:val="single" w:color="auto" w:sz="4" w:space="0"/>
                    <w:right w:val="single" w:color="auto" w:sz="4" w:space="0"/>
                  </w:tcBorders>
                  <w:noWrap/>
                  <w:vAlign w:val="center"/>
                </w:tcPr>
                <w:p>
                  <w:pPr>
                    <w:widowControl/>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氧化风机</w:t>
                  </w:r>
                </w:p>
              </w:tc>
              <w:tc>
                <w:tcPr>
                  <w:tcW w:w="1159" w:type="dxa"/>
                  <w:tcBorders>
                    <w:top w:val="nil"/>
                    <w:left w:val="single" w:color="auto" w:sz="4" w:space="0"/>
                    <w:bottom w:val="single" w:color="auto" w:sz="4" w:space="0"/>
                    <w:right w:val="single" w:color="auto" w:sz="4" w:space="0"/>
                  </w:tcBorders>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石膏旋流器</w:t>
                  </w:r>
                </w:p>
              </w:tc>
              <w:tc>
                <w:tcPr>
                  <w:tcW w:w="1159" w:type="dxa"/>
                  <w:tcBorders>
                    <w:top w:val="nil"/>
                    <w:left w:val="single" w:color="auto" w:sz="4" w:space="0"/>
                    <w:bottom w:val="single" w:color="auto" w:sz="4" w:space="0"/>
                    <w:right w:val="single" w:color="auto" w:sz="4" w:space="0"/>
                  </w:tcBorders>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石灰石浆液输送泵</w:t>
                  </w:r>
                </w:p>
              </w:tc>
              <w:tc>
                <w:tcPr>
                  <w:tcW w:w="1159" w:type="dxa"/>
                  <w:tcBorders>
                    <w:top w:val="nil"/>
                    <w:left w:val="single" w:color="auto" w:sz="4" w:space="0"/>
                    <w:bottom w:val="single" w:color="auto" w:sz="4" w:space="0"/>
                    <w:right w:val="single" w:color="auto" w:sz="4" w:space="0"/>
                  </w:tcBorders>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事故浆液泵</w:t>
                  </w:r>
                </w:p>
              </w:tc>
              <w:tc>
                <w:tcPr>
                  <w:tcW w:w="1159" w:type="dxa"/>
                  <w:tcBorders>
                    <w:top w:val="nil"/>
                    <w:left w:val="single" w:color="auto" w:sz="4" w:space="0"/>
                    <w:bottom w:val="single" w:color="auto" w:sz="4" w:space="0"/>
                    <w:right w:val="single" w:color="auto" w:sz="4" w:space="0"/>
                  </w:tcBorders>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46" w:type="pct"/>
                  <w:noWrap/>
                  <w:vAlign w:val="center"/>
                </w:tcPr>
                <w:p>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2907" w:type="pct"/>
                  <w:tcBorders>
                    <w:top w:val="nil"/>
                    <w:left w:val="single" w:color="auto" w:sz="4" w:space="0"/>
                    <w:bottom w:val="single" w:color="auto" w:sz="4" w:space="0"/>
                    <w:right w:val="single" w:color="auto" w:sz="4" w:space="0"/>
                  </w:tcBorders>
                  <w:noWrap/>
                  <w:vAlign w:val="center"/>
                </w:tcPr>
                <w:p>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石灰石供浆泵</w:t>
                  </w:r>
                </w:p>
              </w:tc>
              <w:tc>
                <w:tcPr>
                  <w:tcW w:w="1159" w:type="dxa"/>
                  <w:tcBorders>
                    <w:top w:val="nil"/>
                    <w:left w:val="single" w:color="auto" w:sz="4" w:space="0"/>
                    <w:bottom w:val="single" w:color="auto" w:sz="4" w:space="0"/>
                    <w:right w:val="single" w:color="auto" w:sz="4" w:space="0"/>
                  </w:tcBorders>
                  <w:noWrap/>
                  <w:vAlign w:val="center"/>
                </w:tcPr>
                <w:p>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bl>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离心泵性能测定实验流程模拟设计软件：（1）提供不少于27种设备或仪表供用户选择，至少包含以下设备或仪表：闪蒸罐、水槽、三通（分支）、弯管、三通（混合）、分支、混合、PID控制器、开关、原料、产品、不同型号的离心泵（至少包含8种型号离心泵）、不同量程的压力表（压力表A、压力表B）、不同扬程的流量表（流量表A、流量表B）、不同扬程的温度表（温度表A、温度表B）、不同量程的功率表（功率表A、功率表B）、换热器、阀门、记录离心泵进口压力、出口压力、电机功率、体积流量、两压力表高差，计算离心泵压头、轴功率、效率。（2）用户可根据不同实验任务自主选择不同型号的设备进行离心泵流程搭建，可以添加选择不同物质进行分离，可查看不少于5500种化学物质的基础物性。（3）软件可判定流程搭建过程中的设备或仪表连接安装的位置准确性。流程图搭建成功后，可运行项目，动态模拟离心泵实验的开停车操作。软件可通过搭建模块、参数设置的变化进行动态精确计算，并为所有计算结果绘制出趋势线</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提供功能截图展示佐证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tc>
        <w:tc>
          <w:tcPr>
            <w:tcW w:w="411" w:type="pct"/>
            <w:shd w:val="clear" w:color="auto" w:fill="auto"/>
            <w:vAlign w:val="center"/>
          </w:tcPr>
          <w:p>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251" w:type="pct"/>
            <w:vAlign w:val="center"/>
          </w:tcPr>
          <w:p>
            <w:pPr>
              <w:spacing w:line="360" w:lineRule="auto"/>
              <w:jc w:val="center"/>
              <w:rPr>
                <w:rFonts w:hint="eastAsia" w:ascii="宋体" w:hAnsi="宋体" w:eastAsia="宋体" w:cs="宋体"/>
                <w:bCs/>
                <w:color w:val="auto"/>
                <w:sz w:val="24"/>
                <w:szCs w:val="24"/>
                <w:highlight w:val="none"/>
              </w:rPr>
            </w:pPr>
          </w:p>
        </w:tc>
        <w:tc>
          <w:tcPr>
            <w:tcW w:w="277" w:type="pct"/>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63" w:type="pct"/>
            <w:shd w:val="clear" w:color="auto" w:fill="auto"/>
            <w:vAlign w:val="center"/>
          </w:tcPr>
          <w:p>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环境工程3D虚拟现实仿真软件（脱硫脱硝工艺半实物教学软件）</w:t>
            </w:r>
          </w:p>
        </w:tc>
        <w:tc>
          <w:tcPr>
            <w:tcW w:w="3459" w:type="pct"/>
          </w:tcPr>
          <w:p>
            <w:pPr>
              <w:spacing w:before="62" w:after="62"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1、工艺简介</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艺主要采取SCR脱硝+静电除尘+湿法脱硫+湿式静电除尘相组合的烟气处理方法，主要设备包括：SCR脱硝反应器、静电除尘器、脱硫吸收塔、湿式电除尘装置以及附属的氨储存、蒸发、缓冲、氨气/空气混合系统；石膏旋流、石膏脱水系统等组成。</w:t>
            </w:r>
          </w:p>
          <w:p>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■村镇生活垃圾处理模式及智慧管理虚拟仿真软件包含垃圾处理概念模块、四分法垃圾分类模块和智慧管理模块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提供功能截图展示佐证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pPr>
              <w:numPr>
                <w:ilvl w:val="0"/>
                <w:numId w:val="0"/>
              </w:num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垃圾处理模块针对村镇生活的背景、处理现状与土壤污染、水污染、大气污染三种危害介绍知识点。</w:t>
            </w:r>
          </w:p>
          <w:p>
            <w:pPr>
              <w:numPr>
                <w:ilvl w:val="0"/>
                <w:numId w:val="0"/>
              </w:num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智慧管理模块包含对四类垃圾预测分类数据与对应垃圾类型分析，以决策树和K近邻两种数学模型计算预测垃圾产量，进行经济成本核算确定最优收运与处理方式。</w:t>
            </w:r>
          </w:p>
          <w:p>
            <w:pPr>
              <w:spacing w:before="62" w:after="62"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软件通过自主开发的国产三维引擎和编辑器开发，通过自主开发的国产三维引擎和编辑器，在web浏览器中上传和编辑三维模型资源，制作交互界面和编写程序，完成可视化知识点、程序的制作。可将制作内容发布到自研应用商店。通过微信小程序或者手机扫码程序，可以在应用商店中学习、使用相应的可视化知识点和程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提供功能截图展示佐证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pPr>
              <w:spacing w:before="62" w:after="62"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烟气处理工艺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提供功能截图展示佐证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p>
          <w:p>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锅炉系统。展示锅炉系统的运行原理。</w:t>
            </w:r>
          </w:p>
          <w:p>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SCR脱硝过程。</w:t>
            </w:r>
          </w:p>
          <w:p>
            <w:pPr>
              <w:numPr>
                <w:ilvl w:val="0"/>
                <w:numId w:val="1"/>
              </w:num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烟气静电除尘过程。</w:t>
            </w:r>
          </w:p>
          <w:p>
            <w:pPr>
              <w:numPr>
                <w:ilvl w:val="0"/>
                <w:numId w:val="2"/>
              </w:num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湿法脱硫过程。</w:t>
            </w:r>
          </w:p>
          <w:p>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湿式静电除尘器过程。</w:t>
            </w:r>
          </w:p>
          <w:p>
            <w:pPr>
              <w:pStyle w:val="7"/>
              <w:spacing w:before="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软件内设备需要具有自动化控制功能:</w:t>
            </w:r>
            <w:r>
              <w:rPr>
                <w:rFonts w:hint="eastAsia" w:ascii="宋体" w:hAnsi="宋体" w:eastAsia="宋体" w:cs="宋体"/>
                <w:b/>
                <w:bCs/>
                <w:color w:val="auto"/>
                <w:sz w:val="24"/>
                <w:szCs w:val="24"/>
                <w:highlight w:val="none"/>
                <w:u w:val="single"/>
              </w:rPr>
              <w:t>现场视频演示</w:t>
            </w:r>
            <w:r>
              <w:rPr>
                <w:rFonts w:hint="eastAsia" w:ascii="宋体" w:hAnsi="宋体" w:eastAsia="宋体" w:cs="宋体"/>
                <w:b/>
                <w:bCs/>
                <w:color w:val="auto"/>
                <w:sz w:val="24"/>
                <w:szCs w:val="24"/>
                <w:highlight w:val="none"/>
              </w:rPr>
              <w:t>至少两款PLC编程软件中间件直接与虚拟仿真软件进行数据通讯，可以通过编程软件控制仿真场景动作并采集仿真场景的信号。</w:t>
            </w:r>
          </w:p>
          <w:p>
            <w:pPr>
              <w:spacing w:before="62" w:after="62"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2、培训项目</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正常运行：能够训练按正确步骤开关相应的阀门、设备和仪表，运行整个流程。</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参数调节：能够训练正确控制和调节工况参数。</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事故处理：废气指标排放异常情况处理。</w:t>
            </w:r>
          </w:p>
          <w:p>
            <w:pPr>
              <w:spacing w:before="62" w:after="62"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配套资源：（1）配套水质评估系统资源，评估系统内容需包含：①单项水质评价涵盖水质监测指标和单项水质评价；②总体水质质量评估涵盖：通过选择</w:t>
            </w:r>
            <w:bookmarkStart w:id="32" w:name="OLE_LINK7"/>
            <w:r>
              <w:rPr>
                <w:rFonts w:hint="eastAsia" w:ascii="宋体" w:hAnsi="宋体" w:eastAsia="宋体" w:cs="宋体"/>
                <w:color w:val="auto"/>
                <w:sz w:val="24"/>
                <w:szCs w:val="24"/>
                <w:highlight w:val="none"/>
              </w:rPr>
              <w:t>微量元素</w:t>
            </w:r>
            <w:bookmarkEnd w:id="32"/>
            <w:r>
              <w:rPr>
                <w:rFonts w:hint="eastAsia" w:ascii="宋体" w:hAnsi="宋体" w:eastAsia="宋体" w:cs="宋体"/>
                <w:color w:val="auto"/>
                <w:sz w:val="24"/>
                <w:szCs w:val="24"/>
                <w:highlight w:val="none"/>
              </w:rPr>
              <w:t>进行总体水质质量评估，计算水质中各元素的 WQI值及权重分布，对总体水质质量评估，具备预警、报警功能；③健康风险评价涵盖：风险识别、暴露评估、</w:t>
            </w:r>
            <w:bookmarkStart w:id="33" w:name="OLE_LINK8"/>
            <w:r>
              <w:rPr>
                <w:rFonts w:hint="eastAsia" w:ascii="宋体" w:hAnsi="宋体" w:eastAsia="宋体" w:cs="宋体"/>
                <w:color w:val="auto"/>
                <w:sz w:val="24"/>
                <w:szCs w:val="24"/>
                <w:highlight w:val="none"/>
              </w:rPr>
              <w:t>剂量效应反应</w:t>
            </w:r>
            <w:bookmarkEnd w:id="33"/>
            <w:r>
              <w:rPr>
                <w:rFonts w:hint="eastAsia" w:ascii="宋体" w:hAnsi="宋体" w:eastAsia="宋体" w:cs="宋体"/>
                <w:color w:val="auto"/>
                <w:sz w:val="24"/>
                <w:szCs w:val="24"/>
                <w:highlight w:val="none"/>
              </w:rPr>
              <w:t>和健康风险评价。（2）配套环境污染事件应急检测视频资源，视频内容涵盖：涵盖环境应急、大气监测、土壤监测和水质监测四个部分内容。配套废气高浓度颗粒物测定视频资源，视频内容涵盖：设备选择与准备、安全用具穿戴、采样前准备、设备功能与气密性检查、流量与烟气组分校准、现场情况查看与布点、工况测量与含湿量测量、烟气测定与采样和采样后处理与数据分析。</w:t>
            </w:r>
          </w:p>
          <w:p>
            <w:pPr>
              <w:spacing w:before="62" w:after="62"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2.5提供视频截图展示</w:t>
            </w:r>
            <w:r>
              <w:rPr>
                <w:rFonts w:hint="eastAsia" w:ascii="宋体" w:hAnsi="宋体" w:eastAsia="宋体" w:cs="宋体"/>
                <w:b/>
                <w:bCs/>
                <w:color w:val="auto"/>
                <w:sz w:val="24"/>
                <w:szCs w:val="24"/>
                <w:highlight w:val="none"/>
              </w:rPr>
              <w:t>安全巡查，包含以下内容：在实验室巡查过程中，可以用手机端对实验室隐患情况进行拍照并上传，添加为隐患点，描述隐患状况，对隐患进行分级，并对隐患点进行分类（分类标准依据教育部颁发的《高校教学实验室安全工作检查要点（2022版）》进行），在手机端查看安全督导台账。管理端可导出督导台账、巡查报告和整改通知。</w:t>
            </w:r>
          </w:p>
          <w:p>
            <w:pPr>
              <w:spacing w:before="0"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u w:val="single"/>
                <w:lang w:val="en-US" w:eastAsia="zh-CN"/>
              </w:rPr>
              <w:t>提供</w:t>
            </w:r>
            <w:r>
              <w:rPr>
                <w:rFonts w:hint="eastAsia" w:ascii="宋体" w:hAnsi="宋体" w:cs="宋体"/>
                <w:b/>
                <w:bCs/>
                <w:color w:val="auto"/>
                <w:sz w:val="24"/>
                <w:szCs w:val="24"/>
                <w:highlight w:val="none"/>
                <w:u w:val="single"/>
                <w:lang w:val="en-US" w:eastAsia="zh-CN"/>
              </w:rPr>
              <w:t>现场</w:t>
            </w:r>
            <w:r>
              <w:rPr>
                <w:rFonts w:hint="eastAsia" w:ascii="宋体" w:hAnsi="宋体" w:eastAsia="宋体" w:cs="宋体"/>
                <w:b/>
                <w:bCs/>
                <w:color w:val="auto"/>
                <w:sz w:val="24"/>
                <w:szCs w:val="24"/>
                <w:highlight w:val="none"/>
                <w:u w:val="single"/>
                <w:lang w:val="en-US" w:eastAsia="zh-CN"/>
              </w:rPr>
              <w:t>视频</w:t>
            </w:r>
            <w:r>
              <w:rPr>
                <w:rFonts w:hint="eastAsia" w:ascii="宋体" w:hAnsi="宋体" w:cs="宋体"/>
                <w:b/>
                <w:bCs/>
                <w:color w:val="auto"/>
                <w:sz w:val="24"/>
                <w:szCs w:val="24"/>
                <w:highlight w:val="none"/>
                <w:u w:val="single"/>
                <w:lang w:val="en-US" w:eastAsia="zh-CN"/>
              </w:rPr>
              <w:t>演示</w:t>
            </w:r>
            <w:r>
              <w:rPr>
                <w:rFonts w:hint="eastAsia" w:ascii="宋体" w:hAnsi="宋体" w:eastAsia="宋体" w:cs="宋体"/>
                <w:b/>
                <w:bCs/>
                <w:color w:val="auto"/>
                <w:sz w:val="24"/>
                <w:szCs w:val="24"/>
                <w:highlight w:val="none"/>
                <w:lang w:val="en-US" w:eastAsia="zh-CN"/>
              </w:rPr>
              <w:t>软件操作全流程。</w:t>
            </w:r>
          </w:p>
          <w:p>
            <w:pPr>
              <w:spacing w:before="62" w:after="62"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3、配套学员能力测评系统账号（至少一个）</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 </w:t>
            </w:r>
            <w:r>
              <w:rPr>
                <w:rFonts w:hint="eastAsia" w:ascii="宋体" w:hAnsi="宋体" w:eastAsia="宋体" w:cs="宋体"/>
                <w:color w:val="auto"/>
                <w:sz w:val="24"/>
                <w:szCs w:val="24"/>
                <w:highlight w:val="none"/>
              </w:rPr>
              <w:t>管理员可自由定义评分维度及评分标准，实现评分维度与评分标准的绑定、编辑；</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 </w:t>
            </w:r>
            <w:r>
              <w:rPr>
                <w:rFonts w:hint="eastAsia" w:ascii="宋体" w:hAnsi="宋体" w:eastAsia="宋体" w:cs="宋体"/>
                <w:color w:val="auto"/>
                <w:sz w:val="24"/>
                <w:szCs w:val="24"/>
                <w:highlight w:val="none"/>
              </w:rPr>
              <w:t>系统可通过AI智能算法，对学员成绩进行分析，计算出学员真实能力值及题目难易度；</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 </w:t>
            </w:r>
            <w:r>
              <w:rPr>
                <w:rFonts w:hint="eastAsia" w:ascii="宋体" w:hAnsi="宋体" w:eastAsia="宋体" w:cs="宋体"/>
                <w:color w:val="auto"/>
                <w:sz w:val="24"/>
                <w:szCs w:val="24"/>
                <w:highlight w:val="none"/>
              </w:rPr>
              <w:t>通过雷达图展示学员各维度的掌握程度，为教学管理、教材更新等提供数据支撑；</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 </w:t>
            </w:r>
            <w:r>
              <w:rPr>
                <w:rFonts w:hint="eastAsia" w:ascii="宋体" w:hAnsi="宋体" w:eastAsia="宋体" w:cs="宋体"/>
                <w:color w:val="auto"/>
                <w:sz w:val="24"/>
                <w:szCs w:val="24"/>
                <w:highlight w:val="none"/>
              </w:rPr>
              <w:t>系统支持SGD，牛顿法等多种优化算法，提升算法收敛速度、计算精准度，提供源代码佐证；</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3.5提供功能截图展示</w:t>
            </w:r>
            <w:r>
              <w:rPr>
                <w:rFonts w:hint="eastAsia" w:ascii="宋体" w:hAnsi="宋体" w:eastAsia="宋体" w:cs="宋体"/>
                <w:b/>
                <w:bCs/>
                <w:color w:val="auto"/>
                <w:sz w:val="24"/>
                <w:szCs w:val="24"/>
                <w:highlight w:val="none"/>
              </w:rPr>
              <w:t>以上学员能力测评系统内容。</w:t>
            </w:r>
          </w:p>
          <w:p>
            <w:pPr>
              <w:spacing w:before="62" w:after="62"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4、配套AI助教账号（至少一个）</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AI助教需支持软件管理界面和手机扫描二维码两种方式启动，与软件系统完全兼容，不允许外链展示或链接公共通用大模型平台；可根据软件考核模式、软件配置参数进行显隐控制；针对学员问题，AI助教以内置窗口形式，展示文本，视频，三维程序和H5应用程序等格式的回答内容。</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管理员可自由上传任意资料创建相关专业知识库，至少支持word、pdf、ppt、pptx、excel、png、jpeg、jpg、gif、mp4、wav和mov等格式;至少支持预览并上传fbx、dwg、dxf、obj、sol和grdecl等三维格式。支持上传H5应用。管理员可通过模块拖拽和连线方式完成问答机器人过程定义，模块结构支持用户输入、聊天记录、AI对话、知识库搜索、指定回复、问题分类和文本内容等模块。连线结构连接不同的模块，表示数据的输入输出关系。</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教师技能练习模块：（1）教师技能练习模块包含教学设计、课堂导入、课堂讲解、课堂板书、课堂提问、课堂结束、说课评课7项技能培训。（2）教师教学实战模块具备填写教学目标、教学重难点功能。（3）具备导课、说课、巩固练习、归纳小结、作业安排五个环节的注意事项、学习方式、内容/安排填写功能;（4）具备生成教案的功能，教案未提交前可进行不限次数修改;（5）在填写过程中具备随时查看勾选的电子教材和课件PPT功能;（6）具备师生互动功能：支持用户预设不少于10个问题的内容、学生回答及问题回复;（7）具备添加自主回答功能：每个预设问题支持添加不少于10个回答，并支持随机分配给场景内的学生，分配数量不少于10人（提供功能截图展示佐证）。</w:t>
            </w:r>
          </w:p>
          <w:p>
            <w:pPr>
              <w:pStyle w:val="7"/>
              <w:spacing w:before="62"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、配套教学管理平台（账号数量不少于1个，使用期限不少于12个月）</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6.1 </w:t>
            </w:r>
            <w:r>
              <w:rPr>
                <w:rFonts w:hint="eastAsia" w:ascii="宋体" w:hAnsi="宋体" w:eastAsia="宋体" w:cs="宋体"/>
                <w:color w:val="auto"/>
                <w:sz w:val="24"/>
                <w:szCs w:val="24"/>
                <w:highlight w:val="none"/>
              </w:rPr>
              <w:t>用户端（PC&amp;小程序）</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登录：支持账号密码登录，支持数字安全验证功能，支持微信登录；</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个人中心：支持课程开课、考试通知等消息推送；支持学生自行完善个人信息；</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学习中心：支持平台所有学习内容，包含已分配给该学员的题库练习、考试、培训、课程学习、仿真练习(仅PC端)等内容。</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6.2 </w:t>
            </w:r>
            <w:r>
              <w:rPr>
                <w:rFonts w:hint="eastAsia" w:ascii="宋体" w:hAnsi="宋体" w:eastAsia="宋体" w:cs="宋体"/>
                <w:color w:val="auto"/>
                <w:sz w:val="24"/>
                <w:szCs w:val="24"/>
                <w:highlight w:val="none"/>
              </w:rPr>
              <w:t>管理员端(PC)</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组织架构管理：</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组织及角色管理：支持修改学校基本信息，支持创建无限级组织节点(院系/班级)；支持用户自定义创建角色，为角色进行授权；</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人员管理：包括用户信息的添加、删除、编辑、查询、excel批量导入导出、修改密码；</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考试管理</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题库管理：支持题库设置多级分类；支持单个添加、编辑、预览、删除题目；支持批量导入题库题目，批量导入题目实现题目查重功能；题目类型支持单选、多选、判断、填空、简答题，题目属性包括所属知识点、难度系数，便于用户对题目进行分类管理；</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试卷管理：用户可以创建试卷，填写试卷设置、内容设置信息；配置各类题型数量、分数、占比等；</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考试管理：用户可以根据需要创建、编辑理论考试，考试信息包含：基本信息、试卷、考试时间、考试次数、得分规则、防作弊(人脸识别、定时抓拍、防切屏)、成绩发放规则、阅卷人、参与人等；支持对客观题进行自动评分；支持成绩发放及成绩导出；</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考试分析：完成率、应考人员、参考人员、最高分、平均分、最低分、成绩分段人员统计、成绩分段人员占比、题型占比、题型正确率统计、成绩排名、参考时间统计、考试时长统计、错题统计TOP5、缺考统计、平台统计、操作系统。</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课程管理</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课程资源：可根据不同资源进行分类管理；可批量上传/下载/删除资源；可编辑资源基础信息以及预览资源。</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课程制作：用户可以根据需要创建、编辑课程，课程信息包含：基本信息、课程介绍、章节内容(知识点、理论题库、测验、仿真考试、仿真练习等内容)、课程学时、总分、合格分数等；</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课管理:可将课程进行开课：输入开课名称、选择开课开始和结束日期，合格方式、成绩发放方式、是否开启人脸验证、是否开启定时抓拍、选择对应班级或者组织范围；开课完成后可在开课列表查看开课设置页面以及开课详情。</w:t>
            </w:r>
          </w:p>
          <w:p>
            <w:pPr>
              <w:pStyle w:val="7"/>
              <w:spacing w:before="62" w:line="360" w:lineRule="auto"/>
              <w:ind w:firstLine="48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开课详情：开课详情默认显示开课列表及对应课程学习人员情况列表；学习人员详情列表包含学员信息、是否参与课程、参与时长、完成度、学时、自动抓拍</w:t>
            </w:r>
            <w:r>
              <w:rPr>
                <w:rFonts w:hint="eastAsia" w:ascii="宋体" w:hAnsi="宋体" w:eastAsia="宋体" w:cs="宋体"/>
                <w:b/>
                <w:bCs/>
                <w:color w:val="auto"/>
                <w:sz w:val="24"/>
                <w:szCs w:val="24"/>
                <w:highlight w:val="none"/>
                <w:lang w:val="en-US" w:eastAsia="zh-CN"/>
              </w:rPr>
              <w:t>课程学习过程</w:t>
            </w:r>
            <w:r>
              <w:rPr>
                <w:rFonts w:hint="eastAsia" w:ascii="宋体" w:hAnsi="宋体" w:eastAsia="宋体" w:cs="宋体"/>
                <w:b/>
                <w:bCs/>
                <w:color w:val="auto"/>
                <w:sz w:val="24"/>
                <w:szCs w:val="24"/>
                <w:highlight w:val="none"/>
              </w:rPr>
              <w:t>、分数、课程状态、课程证书等，可进行姓名、学号、参与课程状态筛选，点击查看详情可进行对应人员学习记录明细查询，成绩列表可导出；课程学习过程中可针对学习情况自动统计分析(每日0点)，统计分析内容包含：参与统计情况、参与时长统计、完成度、参与人员趋势、课程分数统计、各组织参课及合格情况统计（提供功能截图展示佐证）</w:t>
            </w:r>
            <w:r>
              <w:rPr>
                <w:rFonts w:hint="eastAsia" w:ascii="宋体" w:hAnsi="宋体" w:eastAsia="宋体" w:cs="宋体"/>
                <w:b/>
                <w:bCs/>
                <w:color w:val="auto"/>
                <w:sz w:val="24"/>
                <w:szCs w:val="24"/>
                <w:highlight w:val="none"/>
                <w:lang w:eastAsia="zh-CN"/>
              </w:rPr>
              <w:t>。</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6.4 </w:t>
            </w:r>
            <w:r>
              <w:rPr>
                <w:rFonts w:hint="eastAsia" w:ascii="宋体" w:hAnsi="宋体" w:eastAsia="宋体" w:cs="宋体"/>
                <w:color w:val="auto"/>
                <w:sz w:val="24"/>
                <w:szCs w:val="24"/>
                <w:highlight w:val="none"/>
              </w:rPr>
              <w:t>培训管理</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培训计划制定：培训计划设置包含基本设置(名称、编号、类型等)、培训计划设置(可根据不同阶段设置不同培训内容：题库、测验、仿真、课程、线下培训、考试等)、添加培训人员、上传附件资料等；</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培训管理：进行中的培训可进行培训过程管理；培训过程中可随时发起课堂测验、问卷调查；可新增培训附件、培训人员以及综合素质评价表等内容；线下培训可发起签到、课堂测验、问卷调查、评价、作业等功能，也可将培训过程中的一些影像资料全部上传至平台进行统一管理；</w:t>
            </w:r>
          </w:p>
          <w:p>
            <w:pPr>
              <w:pStyle w:val="7"/>
              <w:spacing w:before="62"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培训结果查看：已结束的培训可查看进行培训结果，内容包含培训计划整体信息，学员成绩(学员培训详情)，奖惩信息以及本次培训结果数据统计，数据统计包含线下培训基础数据、考勤统计、签到情况统计、奖惩占比、奖惩统计、各课程合格人员统计及各课程成绩分段统计等多维度数据分析；线上统计包含人员统计、培训时长统计、成绩分段统计等；支持对应全部模块学习完毕并考核合格后，获得对应的荣誉证书，推动用户学习的积极性（提供功能截图展示佐证）</w:t>
            </w:r>
            <w:r>
              <w:rPr>
                <w:rFonts w:hint="eastAsia" w:ascii="宋体" w:hAnsi="宋体" w:eastAsia="宋体" w:cs="宋体"/>
                <w:b/>
                <w:bCs/>
                <w:color w:val="auto"/>
                <w:sz w:val="24"/>
                <w:szCs w:val="24"/>
                <w:highlight w:val="none"/>
                <w:lang w:eastAsia="zh-CN"/>
              </w:rPr>
              <w:t>。</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6.5 </w:t>
            </w:r>
            <w:r>
              <w:rPr>
                <w:rFonts w:hint="eastAsia" w:ascii="宋体" w:hAnsi="宋体" w:eastAsia="宋体" w:cs="宋体"/>
                <w:color w:val="auto"/>
                <w:sz w:val="24"/>
                <w:szCs w:val="24"/>
                <w:highlight w:val="none"/>
              </w:rPr>
              <w:t>仿真管理</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仿真练习</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学员可以在线练习仿真软件，系统会实时收集练习成绩，管理员可以从后台查询、统计学员的练习成绩。支持批量导出练习结果，并导出表格。同时满足班级不少于50人数的仿真练习。</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仿真考试</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试卷管理：用户可以创建仿真试卷，将多个软件作为多个题目组合成一个试卷，支持固定题目仿真试卷和随机题目仿真试卷两种试卷类型；可以设置每个题目的分数权重，可以设置用户交卷后是否允许查看成绩；</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创建仿真考试：根据已创建的仿真试卷资源，进行仿真考试的创建，可将试卷分配给对应的组织，并可设置考试名称、所属分类、考试试卷、考试有效时间、考试总分、合格成绩、答题顺序、是否允许查看分数、允许查看考试次数、是否开启人脸验证、考试负责老师及考试参与范围等信息；</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仿真成绩：默认展示所有仿真考试列表，支持查询仿真练习成绩、仿真考试成绩，支持根据考试名称查询成绩列表及导出；</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6.6 </w:t>
            </w:r>
            <w:r>
              <w:rPr>
                <w:rFonts w:hint="eastAsia" w:ascii="宋体" w:hAnsi="宋体" w:eastAsia="宋体" w:cs="宋体"/>
                <w:color w:val="auto"/>
                <w:sz w:val="24"/>
                <w:szCs w:val="24"/>
                <w:highlight w:val="none"/>
              </w:rPr>
              <w:t>档案管理</w:t>
            </w:r>
          </w:p>
          <w:p>
            <w:pPr>
              <w:pStyle w:val="7"/>
              <w:spacing w:before="62"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个人档案：包含学校内部人员档案列表、列表支持通过学员姓名、账号、学校、身份证等信息进行筛选；档案内容包含学员基础信息，培训记录、培训考核记录、工伤事故记录、安全奖惩记录取得证书情况等。支持个人档案导出，可导出Word或PDF两种文件格式（提供功能截图展示佐证）</w:t>
            </w:r>
            <w:r>
              <w:rPr>
                <w:rFonts w:hint="eastAsia" w:ascii="宋体" w:hAnsi="宋体" w:eastAsia="宋体" w:cs="宋体"/>
                <w:color w:val="auto"/>
                <w:sz w:val="24"/>
                <w:szCs w:val="24"/>
                <w:highlight w:val="none"/>
                <w:lang w:eastAsia="zh-CN"/>
              </w:rPr>
              <w:t>；</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学校档案：包含该学校下所有培训计划列表，可通过学校名称、培训计划名称、培训时间等信息查询；培训计划包含培训计划内容、学员名单、参训率、合格率、学员档案查看等信息。同时支持学校档案导出，可导出Word或PDF两种文件格式；</w:t>
            </w:r>
          </w:p>
          <w:p>
            <w:pPr>
              <w:pStyle w:val="7"/>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6.7 </w:t>
            </w:r>
            <w:r>
              <w:rPr>
                <w:rFonts w:hint="eastAsia" w:ascii="宋体" w:hAnsi="宋体" w:eastAsia="宋体" w:cs="宋体"/>
                <w:color w:val="auto"/>
                <w:sz w:val="24"/>
                <w:szCs w:val="24"/>
                <w:highlight w:val="none"/>
              </w:rPr>
              <w:t>数据大屏：包含注册账号数、学习人次、各功能模块学习人数情况、热门课程分类统计、理论考试成绩分布统计、仿真考试分类统计、月度学习人员趋势、每日学习人员趋势图、每日学习时长统计图等。</w:t>
            </w:r>
          </w:p>
          <w:p>
            <w:pPr>
              <w:pStyle w:val="2"/>
              <w:spacing w:before="62" w:after="62"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设备检维修技能培训系统</w:t>
            </w:r>
          </w:p>
          <w:p>
            <w:pPr>
              <w:pStyle w:val="4"/>
              <w:spacing w:before="156" w:after="156" w:line="360" w:lineRule="auto"/>
              <w:rPr>
                <w:rFonts w:hint="eastAsia" w:ascii="宋体" w:hAnsi="宋体" w:eastAsia="宋体" w:cs="宋体"/>
                <w:color w:val="auto"/>
                <w:sz w:val="24"/>
                <w:szCs w:val="24"/>
                <w:highlight w:val="none"/>
              </w:rPr>
            </w:pPr>
            <w:r>
              <w:rPr>
                <w:rStyle w:val="36"/>
                <w:rFonts w:hint="eastAsia" w:ascii="宋体" w:hAnsi="宋体" w:eastAsia="宋体" w:cs="宋体"/>
                <w:b/>
                <w:bCs w:val="0"/>
                <w:color w:val="auto"/>
                <w:sz w:val="24"/>
                <w:szCs w:val="24"/>
                <w:highlight w:val="none"/>
                <w:lang w:val="en-US" w:eastAsia="zh-CN"/>
              </w:rPr>
              <w:t>7.1</w:t>
            </w:r>
            <w:r>
              <w:rPr>
                <w:rStyle w:val="36"/>
                <w:rFonts w:hint="eastAsia" w:ascii="宋体" w:hAnsi="宋体" w:eastAsia="宋体" w:cs="宋体"/>
                <w:b/>
                <w:bCs w:val="0"/>
                <w:color w:val="auto"/>
                <w:sz w:val="24"/>
                <w:szCs w:val="24"/>
                <w:highlight w:val="none"/>
              </w:rPr>
              <w:t>设备检维修基础理论培训模块：</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教学PPT课件，对学员进行检维修基础技能培训，培训内容涵盖化工管路检维修基础知识、化工设备检维修基础知识、化工机器检维修基础知识，重点讲解常用管路、设备、机械的原理、结构与维修维护方法，课程课件总页数≥220页。</w:t>
            </w:r>
          </w:p>
          <w:p>
            <w:pPr>
              <w:pStyle w:val="4"/>
              <w:spacing w:before="156" w:after="156" w:line="360" w:lineRule="auto"/>
              <w:rPr>
                <w:rStyle w:val="36"/>
                <w:rFonts w:hint="eastAsia" w:ascii="宋体" w:hAnsi="宋体" w:eastAsia="宋体" w:cs="宋体"/>
                <w:b/>
                <w:bCs w:val="0"/>
                <w:color w:val="auto"/>
                <w:sz w:val="24"/>
                <w:szCs w:val="24"/>
                <w:highlight w:val="none"/>
              </w:rPr>
            </w:pPr>
            <w:r>
              <w:rPr>
                <w:rStyle w:val="36"/>
                <w:rFonts w:hint="eastAsia" w:ascii="宋体" w:hAnsi="宋体" w:eastAsia="宋体" w:cs="宋体"/>
                <w:b/>
                <w:bCs w:val="0"/>
                <w:color w:val="auto"/>
                <w:sz w:val="24"/>
                <w:szCs w:val="24"/>
                <w:highlight w:val="none"/>
                <w:lang w:val="en-US" w:eastAsia="zh-CN"/>
              </w:rPr>
              <w:t xml:space="preserve">7.2 </w:t>
            </w:r>
            <w:r>
              <w:rPr>
                <w:rStyle w:val="36"/>
                <w:rFonts w:hint="eastAsia" w:ascii="宋体" w:hAnsi="宋体" w:eastAsia="宋体" w:cs="宋体"/>
                <w:b/>
                <w:bCs w:val="0"/>
                <w:color w:val="auto"/>
                <w:sz w:val="24"/>
                <w:szCs w:val="24"/>
                <w:highlight w:val="none"/>
              </w:rPr>
              <w:t>设备检维修理论题库练习模块：</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论题库培训模块，采用刷题练习形式，对重点知识进行强化练习和训练。练习题库分为：阀门维修故障类题库、管路维修故障类题库、换热器维修故障类题库、机泵维修故障类四类题库，每类题库均包含单选/多选/判断，题目总数≥1000道。</w:t>
            </w:r>
          </w:p>
          <w:p>
            <w:pPr>
              <w:pStyle w:val="4"/>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检维修设备结构学习模块：</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按照培训要点分为阀门类、机泵类、管件类、换热器类四部分，通过3D设备视频讲解，重点讲述相关设备的结构、原理和运行状态，资源总数≥45个。</w:t>
            </w:r>
          </w:p>
          <w:p>
            <w:pPr>
              <w:pStyle w:val="4"/>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7.4 </w:t>
            </w:r>
            <w:r>
              <w:rPr>
                <w:rFonts w:hint="eastAsia" w:ascii="宋体" w:hAnsi="宋体" w:eastAsia="宋体" w:cs="宋体"/>
                <w:color w:val="auto"/>
                <w:sz w:val="24"/>
                <w:szCs w:val="24"/>
                <w:highlight w:val="none"/>
              </w:rPr>
              <w:t>检维修仿真培训模块：</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检维修仿真培训资源，学员通过电脑端启动设备拆装仿真培训软件进行练习，包含离心泵拆装、往复式压缩机拆装、截止阀拆装、固定管板式换热器拆装、板翅式换热器拆装、加热炉拆装、固定床拆装、U型管换热器拆装等练习项目≥8个。</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检维修现场设备实操培训模块：由培训人员现场培训操作讲解视频，方便学员快速掌握实训基地设备的操作方法和注意事项，内容主要包括：浮头换热器拆装培训、管路拆装培训、机泵拆装培训三大类。</w:t>
            </w:r>
          </w:p>
          <w:p>
            <w:pPr>
              <w:pStyle w:val="4"/>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检维修课程理论考核模块：</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论考核题库模块，作为课程培训的重要组成部分，对阀门维修故障类、管路维修故障、换热器维修故障、机泵维修故障，分别建立考核试卷。学员需在规定答题时间内进行考试作答，学员通过课程考试模块，在考试界面可查看相关考试信息，包括：考试次数、考试时长等内容。学员作答完毕后可手动交卷或者等待考试结束系统自动收卷。</w:t>
            </w:r>
          </w:p>
          <w:p>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7.6 </w:t>
            </w:r>
            <w:r>
              <w:rPr>
                <w:rFonts w:hint="eastAsia" w:ascii="宋体" w:hAnsi="宋体" w:eastAsia="宋体" w:cs="宋体"/>
                <w:b/>
                <w:bCs/>
                <w:color w:val="auto"/>
                <w:sz w:val="24"/>
                <w:szCs w:val="24"/>
                <w:highlight w:val="none"/>
              </w:rPr>
              <w:t>课程建设要求：</w:t>
            </w:r>
          </w:p>
          <w:p>
            <w:p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投标单位需承诺所有课程资源，不存在版权相关问题。</w:t>
            </w:r>
          </w:p>
          <w:p>
            <w:p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配套课程资源，学员可通过网络学习平台进行学习，课程可设置学时，课程学习完毕后，学员获得学时，系统可自动颁发课程学习证书，计入学员学习档案。</w:t>
            </w:r>
          </w:p>
          <w:p>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7.7</w:t>
            </w:r>
            <w:r>
              <w:rPr>
                <w:rFonts w:hint="eastAsia" w:ascii="宋体" w:hAnsi="宋体" w:eastAsia="宋体" w:cs="宋体"/>
                <w:b/>
                <w:bCs/>
                <w:color w:val="auto"/>
                <w:sz w:val="24"/>
                <w:szCs w:val="24"/>
                <w:highlight w:val="none"/>
              </w:rPr>
              <w:t>通过实训基地线上培训平台（PC端和移动端），截图展示上述课程模块、培训内容和课程建设相关要求。</w:t>
            </w:r>
          </w:p>
          <w:p>
            <w:pPr>
              <w:pStyle w:val="4"/>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7.8</w:t>
            </w:r>
            <w:r>
              <w:rPr>
                <w:rFonts w:hint="eastAsia" w:ascii="宋体" w:hAnsi="宋体" w:eastAsia="宋体" w:cs="宋体"/>
                <w:color w:val="auto"/>
                <w:sz w:val="24"/>
                <w:szCs w:val="24"/>
                <w:highlight w:val="none"/>
              </w:rPr>
              <w:t>设备检维修数字资源库</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化工设备3D视频对真实设备进行3D建模，并通过视频的形式进行三维展示，利用动画、特效等形式展示设备的内外部各个结构以及工作原理，清晰明了学习设备。</w:t>
            </w:r>
          </w:p>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至少包括以下几类：</w:t>
            </w:r>
          </w:p>
          <w:p>
            <w:pPr>
              <w:spacing w:before="62" w:after="62"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典型化工阀门设备3D素材库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4"/>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x闸阀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蝶阀演示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气动调节阀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自力式调节阀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气动蝶阀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升降式止回阀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弹簧式安全阀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旋转卸料阀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隔膜阀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角阀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笼式调节阀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旋塞阀</w:t>
                  </w:r>
                </w:p>
              </w:tc>
            </w:tr>
          </w:tbl>
          <w:p>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典型化工容器设备3D素材库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离心式气液分离器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丝网分离式气液分离器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填料分离式气液分离器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微孔过滤分离式气液分离器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折流分离式气液分离器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重力式气液分离器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激冷水过滤器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沉降槽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真空闪蒸罐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纤维分离器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静电除尘器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旋风分离器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T型过滤器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Y型过滤器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抗性消音器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篮式过滤器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锥形过滤器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阻抗复合消音器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阻性消音器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波纹管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倒吊桶式疏水器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杠杆浮球式疏水器</w:t>
                  </w:r>
                </w:p>
              </w:tc>
            </w:tr>
          </w:tbl>
          <w:p>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典型化工反应器设备3D素材库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德士古气化炉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东方气化炉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对置式多喷嘴气化炉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晋华气化炉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壳牌气化炉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06"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鲁奇气化炉</w:t>
                  </w:r>
                </w:p>
              </w:tc>
            </w:tr>
          </w:tbl>
          <w:p>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典型化工换热器设备3D素材库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4"/>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U型管换热器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螺旋绕管式换热器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热虹吸式换热器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蒸发式冷凝器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99"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釜式换热器</w:t>
                  </w:r>
                </w:p>
              </w:tc>
            </w:tr>
          </w:tbl>
          <w:p>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典型化工泵/压缩机设备3D素材库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2"/>
              <w:gridCol w:w="5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往复式压缩机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离心式压缩机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离心式风机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水环式真空泵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单级离心泵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射流泵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立式多级离心泵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屏蔽泵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184" w:type="pct"/>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往复泵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18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高速离心机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18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压滤机</w:t>
                  </w:r>
                </w:p>
              </w:tc>
            </w:tr>
          </w:tbl>
          <w:p>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0"/>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惰性气体发生器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刮板捞渣机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辊盘式磨煤机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螺旋输送机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开工引射器</w:t>
                  </w:r>
                </w:p>
              </w:tc>
            </w:tr>
          </w:tbl>
          <w:p>
            <w:pPr>
              <w:spacing w:line="360" w:lineRule="auto"/>
              <w:rPr>
                <w:rFonts w:hint="eastAsia" w:ascii="宋体" w:hAnsi="宋体" w:eastAsia="宋体" w:cs="宋体"/>
                <w:bCs/>
                <w:color w:val="auto"/>
                <w:sz w:val="24"/>
                <w:szCs w:val="24"/>
                <w:highlight w:val="none"/>
              </w:rPr>
            </w:pPr>
          </w:p>
        </w:tc>
        <w:tc>
          <w:tcPr>
            <w:tcW w:w="411" w:type="pct"/>
            <w:shd w:val="clear" w:color="auto" w:fill="auto"/>
            <w:vAlign w:val="center"/>
          </w:tcPr>
          <w:p>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251" w:type="pct"/>
            <w:vAlign w:val="center"/>
          </w:tcPr>
          <w:p>
            <w:pPr>
              <w:spacing w:line="360" w:lineRule="auto"/>
              <w:jc w:val="center"/>
              <w:rPr>
                <w:rFonts w:hint="eastAsia" w:ascii="宋体" w:hAnsi="宋体" w:eastAsia="宋体" w:cs="宋体"/>
                <w:bCs/>
                <w:color w:val="auto"/>
                <w:sz w:val="24"/>
                <w:szCs w:val="24"/>
                <w:highlight w:val="none"/>
              </w:rPr>
            </w:pPr>
          </w:p>
        </w:tc>
        <w:tc>
          <w:tcPr>
            <w:tcW w:w="277" w:type="pct"/>
            <w:vAlign w:val="center"/>
          </w:tcPr>
          <w:p>
            <w:pPr>
              <w:spacing w:line="360" w:lineRule="auto"/>
              <w:jc w:val="center"/>
              <w:rPr>
                <w:rFonts w:hint="eastAsia" w:ascii="宋体" w:hAnsi="宋体" w:eastAsia="宋体" w:cs="宋体"/>
                <w:bCs/>
                <w:color w:val="auto"/>
                <w:sz w:val="24"/>
                <w:szCs w:val="24"/>
                <w:highlight w:val="none"/>
              </w:rPr>
            </w:pPr>
          </w:p>
        </w:tc>
      </w:tr>
    </w:tbl>
    <w:p>
      <w:pPr>
        <w:spacing w:line="576" w:lineRule="exact"/>
        <w:ind w:firstLine="3840" w:firstLineChars="1600"/>
        <w:rPr>
          <w:rFonts w:hint="eastAsia" w:ascii="宋体" w:hAnsi="宋体" w:cs="宋体"/>
          <w:sz w:val="24"/>
        </w:rPr>
      </w:pPr>
      <w:r>
        <w:rPr>
          <w:rFonts w:hint="eastAsia" w:ascii="宋体" w:hAnsi="宋体"/>
          <w:sz w:val="24"/>
        </w:rPr>
        <w:br w:type="page"/>
      </w:r>
      <w:bookmarkEnd w:id="0"/>
    </w:p>
    <w:p>
      <w:pPr>
        <w:spacing w:line="360" w:lineRule="auto"/>
        <w:rPr>
          <w:rFonts w:hint="eastAsia" w:ascii="宋体" w:hAnsi="宋体" w:cs="宋体"/>
          <w:sz w:val="28"/>
          <w:szCs w:val="28"/>
        </w:rPr>
      </w:pPr>
      <w:r>
        <w:rPr>
          <w:rFonts w:hint="eastAsia" w:ascii="宋体" w:hAnsi="宋体" w:cs="宋体"/>
          <w:sz w:val="28"/>
          <w:szCs w:val="28"/>
        </w:rPr>
        <w:t>附件2：</w:t>
      </w:r>
    </w:p>
    <w:p>
      <w:pPr>
        <w:jc w:val="center"/>
        <w:rPr>
          <w:rFonts w:hint="eastAsia" w:ascii="宋体" w:hAnsi="宋体" w:cs="宋体"/>
          <w:b/>
          <w:sz w:val="28"/>
          <w:szCs w:val="28"/>
          <w:lang w:eastAsia="zh-CN"/>
        </w:rPr>
      </w:pPr>
      <w:r>
        <w:rPr>
          <w:rFonts w:hint="eastAsia" w:ascii="宋体" w:hAnsi="宋体" w:cs="宋体"/>
          <w:b/>
          <w:sz w:val="28"/>
          <w:szCs w:val="28"/>
          <w:lang w:val="en-US" w:eastAsia="zh-CN"/>
        </w:rPr>
        <w:t>安徽职业技术大学2025年大气环境监测与治理技术实训室升级改造项目采购需求反馈意见书</w:t>
      </w:r>
    </w:p>
    <w:p>
      <w:pPr>
        <w:spacing w:line="576" w:lineRule="exact"/>
        <w:rPr>
          <w:rFonts w:ascii="宋体" w:hAnsi="宋体" w:cs="宋体"/>
          <w:sz w:val="24"/>
        </w:rPr>
      </w:pPr>
      <w:r>
        <w:rPr>
          <w:rFonts w:hint="eastAsia" w:ascii="宋体" w:hAnsi="宋体" w:cs="宋体"/>
          <w:sz w:val="24"/>
        </w:rPr>
        <w:t>安徽职业技术大学</w:t>
      </w:r>
    </w:p>
    <w:p>
      <w:pPr>
        <w:spacing w:line="576" w:lineRule="exact"/>
        <w:rPr>
          <w:rFonts w:hint="eastAsia" w:ascii="宋体" w:hAnsi="宋体" w:cs="宋体"/>
          <w:sz w:val="24"/>
        </w:rPr>
      </w:pPr>
      <w:r>
        <w:rPr>
          <w:rFonts w:hint="eastAsia" w:ascii="宋体" w:hAnsi="宋体" w:cs="宋体"/>
          <w:sz w:val="24"/>
          <w:lang w:eastAsia="zh-CN"/>
        </w:rPr>
        <w:t>安徽广电项目管理有限公司</w:t>
      </w:r>
      <w:r>
        <w:rPr>
          <w:rFonts w:hint="eastAsia" w:ascii="宋体" w:hAnsi="宋体" w:cs="宋体"/>
          <w:sz w:val="24"/>
        </w:rPr>
        <w:t>：</w:t>
      </w:r>
    </w:p>
    <w:p>
      <w:pPr>
        <w:spacing w:line="576" w:lineRule="exact"/>
        <w:ind w:firstLine="480" w:firstLineChars="200"/>
        <w:rPr>
          <w:rFonts w:hint="eastAsia" w:ascii="宋体" w:hAnsi="宋体" w:cs="宋体"/>
          <w:sz w:val="24"/>
        </w:rPr>
      </w:pPr>
      <w:r>
        <w:rPr>
          <w:rFonts w:hint="eastAsia" w:ascii="宋体" w:hAnsi="宋体" w:cs="宋体"/>
          <w:sz w:val="24"/>
        </w:rPr>
        <w:t>针对</w:t>
      </w:r>
      <w:r>
        <w:rPr>
          <w:rFonts w:hint="eastAsia" w:ascii="宋体" w:hAnsi="宋体" w:cs="宋体"/>
          <w:sz w:val="24"/>
          <w:lang w:eastAsia="zh-CN"/>
        </w:rPr>
        <w:t>安徽职业技术大学2025年大气环境监测与治理技术实训室升级改造项目</w:t>
      </w:r>
      <w:r>
        <w:rPr>
          <w:rFonts w:hint="eastAsia" w:ascii="宋体" w:hAnsi="宋体" w:cs="宋体"/>
          <w:sz w:val="24"/>
        </w:rPr>
        <w:t>采购需求公示，我单位反馈意见如下：</w:t>
      </w:r>
    </w:p>
    <w:p>
      <w:pPr>
        <w:spacing w:line="576" w:lineRule="exact"/>
        <w:ind w:left="555"/>
        <w:outlineLvl w:val="0"/>
        <w:rPr>
          <w:rFonts w:hint="eastAsia" w:ascii="宋体" w:hAnsi="宋体" w:cs="宋体"/>
          <w:sz w:val="24"/>
        </w:rPr>
      </w:pPr>
      <w:r>
        <w:rPr>
          <w:rFonts w:hint="eastAsia" w:ascii="宋体" w:hAnsi="宋体" w:cs="宋体"/>
          <w:sz w:val="24"/>
        </w:rPr>
        <w:t>1、</w:t>
      </w:r>
    </w:p>
    <w:p>
      <w:pPr>
        <w:spacing w:line="576" w:lineRule="exact"/>
        <w:ind w:left="555"/>
        <w:outlineLvl w:val="0"/>
        <w:rPr>
          <w:rFonts w:hint="eastAsia" w:ascii="宋体" w:hAnsi="宋体" w:cs="宋体"/>
          <w:sz w:val="24"/>
        </w:rPr>
      </w:pPr>
      <w:r>
        <w:rPr>
          <w:rFonts w:hint="eastAsia" w:ascii="宋体" w:hAnsi="宋体" w:cs="宋体"/>
          <w:sz w:val="24"/>
        </w:rPr>
        <w:t>2、</w:t>
      </w:r>
    </w:p>
    <w:p>
      <w:pPr>
        <w:spacing w:line="576" w:lineRule="exact"/>
        <w:ind w:left="555"/>
        <w:rPr>
          <w:rFonts w:hint="eastAsia" w:ascii="宋体" w:hAnsi="宋体" w:cs="宋体"/>
          <w:sz w:val="24"/>
        </w:rPr>
      </w:pPr>
      <w:r>
        <w:rPr>
          <w:rFonts w:hint="eastAsia" w:ascii="宋体" w:hAnsi="宋体" w:cs="宋体"/>
          <w:sz w:val="24"/>
        </w:rPr>
        <w:t>…</w:t>
      </w:r>
    </w:p>
    <w:p>
      <w:pPr>
        <w:spacing w:line="576" w:lineRule="exact"/>
        <w:ind w:left="554" w:leftChars="264" w:firstLine="480" w:firstLineChars="200"/>
        <w:rPr>
          <w:rFonts w:hint="eastAsia" w:ascii="宋体" w:hAnsi="宋体" w:cs="宋体"/>
          <w:sz w:val="24"/>
        </w:rPr>
      </w:pPr>
    </w:p>
    <w:p>
      <w:pPr>
        <w:spacing w:line="576" w:lineRule="exact"/>
        <w:ind w:left="554" w:leftChars="264" w:firstLine="480" w:firstLineChars="200"/>
        <w:rPr>
          <w:rFonts w:hint="eastAsia" w:ascii="宋体" w:hAnsi="宋体" w:cs="宋体"/>
          <w:sz w:val="24"/>
        </w:rPr>
      </w:pPr>
    </w:p>
    <w:p>
      <w:pPr>
        <w:spacing w:line="576" w:lineRule="exact"/>
        <w:ind w:left="554" w:leftChars="264" w:firstLine="480" w:firstLineChars="200"/>
        <w:rPr>
          <w:rFonts w:hint="eastAsia" w:ascii="宋体" w:hAnsi="宋体" w:cs="宋体"/>
          <w:sz w:val="24"/>
        </w:rPr>
      </w:pPr>
      <w:r>
        <w:rPr>
          <w:rFonts w:hint="eastAsia" w:ascii="宋体" w:hAnsi="宋体" w:cs="宋体"/>
          <w:sz w:val="24"/>
        </w:rPr>
        <w:t>特此函告</w:t>
      </w:r>
    </w:p>
    <w:p>
      <w:pPr>
        <w:spacing w:line="576" w:lineRule="exact"/>
        <w:ind w:firstLine="3840" w:firstLineChars="1600"/>
        <w:rPr>
          <w:rFonts w:ascii="宋体" w:hAnsi="宋体" w:cs="宋体"/>
          <w:sz w:val="24"/>
        </w:rPr>
      </w:pPr>
    </w:p>
    <w:p>
      <w:pPr>
        <w:spacing w:line="576" w:lineRule="exact"/>
        <w:ind w:firstLine="3840" w:firstLineChars="1600"/>
        <w:rPr>
          <w:rFonts w:hint="eastAsia" w:ascii="宋体" w:hAnsi="宋体" w:cs="宋体"/>
          <w:sz w:val="24"/>
        </w:rPr>
      </w:pPr>
      <w:r>
        <w:rPr>
          <w:rFonts w:hint="eastAsia" w:ascii="宋体" w:hAnsi="宋体" w:cs="宋体"/>
          <w:sz w:val="24"/>
        </w:rPr>
        <w:t>单位名称（公章）：</w:t>
      </w:r>
    </w:p>
    <w:p>
      <w:pPr>
        <w:spacing w:line="576" w:lineRule="exact"/>
        <w:ind w:firstLine="3840" w:firstLineChars="1600"/>
        <w:rPr>
          <w:rFonts w:hint="eastAsia" w:ascii="宋体" w:hAnsi="宋体" w:cs="宋体"/>
          <w:sz w:val="24"/>
        </w:rPr>
      </w:pPr>
      <w:r>
        <w:rPr>
          <w:rFonts w:hint="eastAsia" w:ascii="宋体" w:hAnsi="宋体" w:cs="宋体"/>
          <w:sz w:val="24"/>
        </w:rPr>
        <w:t>联系人：</w:t>
      </w:r>
    </w:p>
    <w:p>
      <w:pPr>
        <w:spacing w:line="576" w:lineRule="exact"/>
        <w:ind w:firstLine="3840" w:firstLineChars="1600"/>
        <w:rPr>
          <w:rFonts w:hint="eastAsia" w:ascii="宋体" w:hAnsi="宋体" w:cs="宋体"/>
          <w:sz w:val="24"/>
        </w:rPr>
      </w:pPr>
      <w:r>
        <w:rPr>
          <w:rFonts w:hint="eastAsia" w:ascii="宋体" w:hAnsi="宋体" w:cs="宋体"/>
          <w:sz w:val="24"/>
        </w:rPr>
        <w:t>联系电话：</w:t>
      </w:r>
    </w:p>
    <w:p>
      <w:pPr>
        <w:spacing w:line="576" w:lineRule="exact"/>
        <w:ind w:firstLine="3840" w:firstLineChars="1600"/>
        <w:rPr>
          <w:rFonts w:hint="eastAsia" w:ascii="宋体" w:hAnsi="宋体" w:cs="宋体"/>
          <w:sz w:val="24"/>
        </w:rPr>
      </w:pPr>
      <w:r>
        <w:rPr>
          <w:rFonts w:hint="eastAsia" w:ascii="宋体" w:hAnsi="宋体" w:cs="宋体"/>
          <w:sz w:val="24"/>
        </w:rPr>
        <w:t>年  月  日</w:t>
      </w:r>
    </w:p>
    <w:p>
      <w:pPr>
        <w:spacing w:line="576" w:lineRule="exact"/>
        <w:ind w:firstLine="3840" w:firstLineChars="1600"/>
        <w:rPr>
          <w:rFonts w:hint="eastAsia" w:ascii="宋体" w:hAnsi="宋体" w:cs="宋体"/>
          <w:sz w:val="24"/>
        </w:rPr>
      </w:pPr>
    </w:p>
    <w:p>
      <w:pPr>
        <w:spacing w:line="576" w:lineRule="exact"/>
        <w:ind w:firstLine="3840" w:firstLineChars="1600"/>
        <w:rPr>
          <w:rFonts w:hint="eastAsia" w:ascii="宋体" w:hAnsi="宋体"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3A4D7"/>
    <w:multiLevelType w:val="singleLevel"/>
    <w:tmpl w:val="B433A4D7"/>
    <w:lvl w:ilvl="0" w:tentative="0">
      <w:start w:val="4"/>
      <w:numFmt w:val="decimal"/>
      <w:suff w:val="nothing"/>
      <w:lvlText w:val="（%1）"/>
      <w:lvlJc w:val="left"/>
    </w:lvl>
  </w:abstractNum>
  <w:abstractNum w:abstractNumId="1">
    <w:nsid w:val="68BD12D7"/>
    <w:multiLevelType w:val="singleLevel"/>
    <w:tmpl w:val="68BD12D7"/>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ZDY5Yjg3MWRhZGQ5Yzk4ZmVhMDI4YjU3NjI4OTgifQ=="/>
  </w:docVars>
  <w:rsids>
    <w:rsidRoot w:val="00A2171E"/>
    <w:rsid w:val="000B7568"/>
    <w:rsid w:val="001D6D6C"/>
    <w:rsid w:val="00211A41"/>
    <w:rsid w:val="004A0A6D"/>
    <w:rsid w:val="004D00ED"/>
    <w:rsid w:val="00535D9F"/>
    <w:rsid w:val="00551BB6"/>
    <w:rsid w:val="0057395B"/>
    <w:rsid w:val="00651876"/>
    <w:rsid w:val="0067245A"/>
    <w:rsid w:val="006E751E"/>
    <w:rsid w:val="00702635"/>
    <w:rsid w:val="00753C1F"/>
    <w:rsid w:val="007D491A"/>
    <w:rsid w:val="008F6BA8"/>
    <w:rsid w:val="009C57F4"/>
    <w:rsid w:val="00A2171E"/>
    <w:rsid w:val="00AC46DD"/>
    <w:rsid w:val="00B756FD"/>
    <w:rsid w:val="00C04CC9"/>
    <w:rsid w:val="00D12658"/>
    <w:rsid w:val="00DC3078"/>
    <w:rsid w:val="00DD3DAA"/>
    <w:rsid w:val="00E362D7"/>
    <w:rsid w:val="00E419A0"/>
    <w:rsid w:val="00E74CC7"/>
    <w:rsid w:val="00EA3A83"/>
    <w:rsid w:val="00FC00E7"/>
    <w:rsid w:val="01A7589D"/>
    <w:rsid w:val="01EF01E0"/>
    <w:rsid w:val="01F36FCC"/>
    <w:rsid w:val="028D5673"/>
    <w:rsid w:val="034877EC"/>
    <w:rsid w:val="035B4911"/>
    <w:rsid w:val="035C5045"/>
    <w:rsid w:val="03636026"/>
    <w:rsid w:val="037753BD"/>
    <w:rsid w:val="037C1244"/>
    <w:rsid w:val="046046C1"/>
    <w:rsid w:val="04A96068"/>
    <w:rsid w:val="04E452F2"/>
    <w:rsid w:val="05081453"/>
    <w:rsid w:val="051C0CEF"/>
    <w:rsid w:val="05557F9E"/>
    <w:rsid w:val="05940AC6"/>
    <w:rsid w:val="05B161E7"/>
    <w:rsid w:val="05DA38E6"/>
    <w:rsid w:val="05FB0B46"/>
    <w:rsid w:val="06277B8D"/>
    <w:rsid w:val="069845E6"/>
    <w:rsid w:val="06DF12EA"/>
    <w:rsid w:val="06E4782C"/>
    <w:rsid w:val="07921036"/>
    <w:rsid w:val="08C6368D"/>
    <w:rsid w:val="099C43EE"/>
    <w:rsid w:val="0A0914CB"/>
    <w:rsid w:val="0A124961"/>
    <w:rsid w:val="0A557AA3"/>
    <w:rsid w:val="0A5F7AC8"/>
    <w:rsid w:val="0B176BBD"/>
    <w:rsid w:val="0B6E0171"/>
    <w:rsid w:val="0BD065D0"/>
    <w:rsid w:val="0C566AD6"/>
    <w:rsid w:val="0C615DE3"/>
    <w:rsid w:val="0CB35CD6"/>
    <w:rsid w:val="0D7D0092"/>
    <w:rsid w:val="0EC304F3"/>
    <w:rsid w:val="0F292508"/>
    <w:rsid w:val="0F5C2242"/>
    <w:rsid w:val="10B71B0D"/>
    <w:rsid w:val="115832F0"/>
    <w:rsid w:val="116B0FB8"/>
    <w:rsid w:val="12411FD6"/>
    <w:rsid w:val="14357918"/>
    <w:rsid w:val="1494103A"/>
    <w:rsid w:val="14BD497F"/>
    <w:rsid w:val="14F0383F"/>
    <w:rsid w:val="15363948"/>
    <w:rsid w:val="15610299"/>
    <w:rsid w:val="15C301DF"/>
    <w:rsid w:val="15D218F7"/>
    <w:rsid w:val="163C4EB0"/>
    <w:rsid w:val="169052DA"/>
    <w:rsid w:val="16D43419"/>
    <w:rsid w:val="17283764"/>
    <w:rsid w:val="17563E2E"/>
    <w:rsid w:val="17AD77C6"/>
    <w:rsid w:val="18787DD4"/>
    <w:rsid w:val="189759C0"/>
    <w:rsid w:val="18E44A63"/>
    <w:rsid w:val="19BE215E"/>
    <w:rsid w:val="19CF7EC7"/>
    <w:rsid w:val="1B2B737F"/>
    <w:rsid w:val="1B4D5548"/>
    <w:rsid w:val="1B845674"/>
    <w:rsid w:val="1B8B42C2"/>
    <w:rsid w:val="1BF34341"/>
    <w:rsid w:val="1C2E5379"/>
    <w:rsid w:val="1C5D5C5E"/>
    <w:rsid w:val="1C9F0025"/>
    <w:rsid w:val="1CA35E55"/>
    <w:rsid w:val="1D386549"/>
    <w:rsid w:val="1D44297A"/>
    <w:rsid w:val="1D8202F5"/>
    <w:rsid w:val="1E6A6411"/>
    <w:rsid w:val="1E875215"/>
    <w:rsid w:val="1E882EFC"/>
    <w:rsid w:val="1F093E7B"/>
    <w:rsid w:val="1F9A0F77"/>
    <w:rsid w:val="1FD20CBF"/>
    <w:rsid w:val="2059673D"/>
    <w:rsid w:val="212925B3"/>
    <w:rsid w:val="216E446A"/>
    <w:rsid w:val="23A8219E"/>
    <w:rsid w:val="23DF51AB"/>
    <w:rsid w:val="244D6157"/>
    <w:rsid w:val="24507E57"/>
    <w:rsid w:val="24C34ACD"/>
    <w:rsid w:val="24EA382D"/>
    <w:rsid w:val="25F334BE"/>
    <w:rsid w:val="26233A75"/>
    <w:rsid w:val="272555CB"/>
    <w:rsid w:val="273A5EF1"/>
    <w:rsid w:val="277F2F2D"/>
    <w:rsid w:val="27EE3C0E"/>
    <w:rsid w:val="27FD61DD"/>
    <w:rsid w:val="28793E20"/>
    <w:rsid w:val="28F9286B"/>
    <w:rsid w:val="2A1B4A63"/>
    <w:rsid w:val="2A1B700F"/>
    <w:rsid w:val="2B2D63A8"/>
    <w:rsid w:val="2B631DDB"/>
    <w:rsid w:val="2BD001FB"/>
    <w:rsid w:val="2BEF1E49"/>
    <w:rsid w:val="2BFF463C"/>
    <w:rsid w:val="2C41345C"/>
    <w:rsid w:val="2C9A41EB"/>
    <w:rsid w:val="2CBC1C86"/>
    <w:rsid w:val="2CDD4252"/>
    <w:rsid w:val="2E444588"/>
    <w:rsid w:val="2E8B665B"/>
    <w:rsid w:val="2EC85359"/>
    <w:rsid w:val="2ED578D6"/>
    <w:rsid w:val="2F17343D"/>
    <w:rsid w:val="2FA33A80"/>
    <w:rsid w:val="2FB43990"/>
    <w:rsid w:val="2FC736C3"/>
    <w:rsid w:val="30565EAE"/>
    <w:rsid w:val="30C419B0"/>
    <w:rsid w:val="30D140CD"/>
    <w:rsid w:val="313F7A87"/>
    <w:rsid w:val="31540F86"/>
    <w:rsid w:val="31880C30"/>
    <w:rsid w:val="31884531"/>
    <w:rsid w:val="31B71515"/>
    <w:rsid w:val="31C74566"/>
    <w:rsid w:val="31D04385"/>
    <w:rsid w:val="32892EB1"/>
    <w:rsid w:val="32E225C2"/>
    <w:rsid w:val="32FB0D84"/>
    <w:rsid w:val="33022380"/>
    <w:rsid w:val="330D5DEB"/>
    <w:rsid w:val="33307EBA"/>
    <w:rsid w:val="334B460B"/>
    <w:rsid w:val="33643F4E"/>
    <w:rsid w:val="33B968A3"/>
    <w:rsid w:val="33FE342B"/>
    <w:rsid w:val="344A041F"/>
    <w:rsid w:val="346239BA"/>
    <w:rsid w:val="347418D4"/>
    <w:rsid w:val="34CE1050"/>
    <w:rsid w:val="35645510"/>
    <w:rsid w:val="35EA1EB9"/>
    <w:rsid w:val="36121410"/>
    <w:rsid w:val="36B76DD7"/>
    <w:rsid w:val="37337890"/>
    <w:rsid w:val="374E46CA"/>
    <w:rsid w:val="37FA215C"/>
    <w:rsid w:val="38044D88"/>
    <w:rsid w:val="38481119"/>
    <w:rsid w:val="385C3770"/>
    <w:rsid w:val="387164D9"/>
    <w:rsid w:val="38985DEE"/>
    <w:rsid w:val="38D26C34"/>
    <w:rsid w:val="38DE0ED9"/>
    <w:rsid w:val="38FC369A"/>
    <w:rsid w:val="3902751A"/>
    <w:rsid w:val="396E4BAF"/>
    <w:rsid w:val="398B5761"/>
    <w:rsid w:val="3AA328F4"/>
    <w:rsid w:val="3ABC73FE"/>
    <w:rsid w:val="3B2F5111"/>
    <w:rsid w:val="3BA91667"/>
    <w:rsid w:val="3C0417FB"/>
    <w:rsid w:val="3C2679C3"/>
    <w:rsid w:val="3C335C3C"/>
    <w:rsid w:val="3C9127FA"/>
    <w:rsid w:val="3D3659E4"/>
    <w:rsid w:val="3D595B76"/>
    <w:rsid w:val="3D7604D6"/>
    <w:rsid w:val="3E1D0952"/>
    <w:rsid w:val="3E5E3444"/>
    <w:rsid w:val="3F1C50AD"/>
    <w:rsid w:val="3F612297"/>
    <w:rsid w:val="3F794A24"/>
    <w:rsid w:val="3F834CD3"/>
    <w:rsid w:val="3FB77012"/>
    <w:rsid w:val="3FF83425"/>
    <w:rsid w:val="402B55A8"/>
    <w:rsid w:val="40C96B6F"/>
    <w:rsid w:val="411A4C6D"/>
    <w:rsid w:val="412F10C8"/>
    <w:rsid w:val="41596C87"/>
    <w:rsid w:val="415F35A4"/>
    <w:rsid w:val="41D933E3"/>
    <w:rsid w:val="41FA2CBC"/>
    <w:rsid w:val="42733236"/>
    <w:rsid w:val="429513FF"/>
    <w:rsid w:val="42F04887"/>
    <w:rsid w:val="43397FDC"/>
    <w:rsid w:val="435412BA"/>
    <w:rsid w:val="438D20D6"/>
    <w:rsid w:val="444E5D09"/>
    <w:rsid w:val="44644011"/>
    <w:rsid w:val="45101210"/>
    <w:rsid w:val="45431740"/>
    <w:rsid w:val="45444A13"/>
    <w:rsid w:val="45521829"/>
    <w:rsid w:val="45643EB5"/>
    <w:rsid w:val="45A100BA"/>
    <w:rsid w:val="45EB1610"/>
    <w:rsid w:val="463B050F"/>
    <w:rsid w:val="464376AC"/>
    <w:rsid w:val="46FA3F26"/>
    <w:rsid w:val="47863CC8"/>
    <w:rsid w:val="480037BE"/>
    <w:rsid w:val="481A6BC6"/>
    <w:rsid w:val="484511D1"/>
    <w:rsid w:val="48C20A74"/>
    <w:rsid w:val="494F46F6"/>
    <w:rsid w:val="49B91E77"/>
    <w:rsid w:val="4A1756C1"/>
    <w:rsid w:val="4AB72582"/>
    <w:rsid w:val="4B1B0A4A"/>
    <w:rsid w:val="4BB328F5"/>
    <w:rsid w:val="4BD84585"/>
    <w:rsid w:val="4BFA06BB"/>
    <w:rsid w:val="4C2A0E0A"/>
    <w:rsid w:val="4C2C34AA"/>
    <w:rsid w:val="4D186EB4"/>
    <w:rsid w:val="4D1C1A9B"/>
    <w:rsid w:val="4D7A7B6F"/>
    <w:rsid w:val="4E1E499E"/>
    <w:rsid w:val="4EAA0C6A"/>
    <w:rsid w:val="4EB250E6"/>
    <w:rsid w:val="4F0771E0"/>
    <w:rsid w:val="4F196F13"/>
    <w:rsid w:val="4F9C201E"/>
    <w:rsid w:val="4FFF25AD"/>
    <w:rsid w:val="50F26ED8"/>
    <w:rsid w:val="51493AE0"/>
    <w:rsid w:val="51CE76CE"/>
    <w:rsid w:val="528B0128"/>
    <w:rsid w:val="52A336C4"/>
    <w:rsid w:val="52D33705"/>
    <w:rsid w:val="53487DC7"/>
    <w:rsid w:val="5354676C"/>
    <w:rsid w:val="540E1011"/>
    <w:rsid w:val="541F6D7A"/>
    <w:rsid w:val="542B1BC3"/>
    <w:rsid w:val="54324CFF"/>
    <w:rsid w:val="54393149"/>
    <w:rsid w:val="54CB0E8F"/>
    <w:rsid w:val="55E54761"/>
    <w:rsid w:val="564B3E56"/>
    <w:rsid w:val="564E3947"/>
    <w:rsid w:val="56BC2FA6"/>
    <w:rsid w:val="56D95C90"/>
    <w:rsid w:val="56E6223F"/>
    <w:rsid w:val="56FA762A"/>
    <w:rsid w:val="570263F2"/>
    <w:rsid w:val="573E7E5F"/>
    <w:rsid w:val="574F0909"/>
    <w:rsid w:val="57E74053"/>
    <w:rsid w:val="57EE6A93"/>
    <w:rsid w:val="582E1C82"/>
    <w:rsid w:val="58311772"/>
    <w:rsid w:val="58A65CBC"/>
    <w:rsid w:val="58AE5773"/>
    <w:rsid w:val="58E862D4"/>
    <w:rsid w:val="592E7412"/>
    <w:rsid w:val="59EA754B"/>
    <w:rsid w:val="59EC3BA2"/>
    <w:rsid w:val="5A3A2B60"/>
    <w:rsid w:val="5AB81CD6"/>
    <w:rsid w:val="5B0B068C"/>
    <w:rsid w:val="5B413A7A"/>
    <w:rsid w:val="5B57329D"/>
    <w:rsid w:val="5B57504B"/>
    <w:rsid w:val="5B6F28A6"/>
    <w:rsid w:val="5B995664"/>
    <w:rsid w:val="5C1B251D"/>
    <w:rsid w:val="5C5D48E3"/>
    <w:rsid w:val="5C732359"/>
    <w:rsid w:val="5C91458D"/>
    <w:rsid w:val="5DC42740"/>
    <w:rsid w:val="5E0F7E5F"/>
    <w:rsid w:val="5EB427B5"/>
    <w:rsid w:val="5F0B4ACB"/>
    <w:rsid w:val="5F217E4A"/>
    <w:rsid w:val="5F381B77"/>
    <w:rsid w:val="5F3833E6"/>
    <w:rsid w:val="5FC9073E"/>
    <w:rsid w:val="5FD41360"/>
    <w:rsid w:val="600C0AFA"/>
    <w:rsid w:val="60471B32"/>
    <w:rsid w:val="605430C5"/>
    <w:rsid w:val="60795A64"/>
    <w:rsid w:val="60FF240D"/>
    <w:rsid w:val="61131F9A"/>
    <w:rsid w:val="612B51A7"/>
    <w:rsid w:val="61F6082D"/>
    <w:rsid w:val="623139CC"/>
    <w:rsid w:val="62465E1A"/>
    <w:rsid w:val="624F4CCE"/>
    <w:rsid w:val="625B7B17"/>
    <w:rsid w:val="6300246C"/>
    <w:rsid w:val="631D6B7A"/>
    <w:rsid w:val="633914DA"/>
    <w:rsid w:val="639E7C98"/>
    <w:rsid w:val="643779AA"/>
    <w:rsid w:val="649278CF"/>
    <w:rsid w:val="64BC23C3"/>
    <w:rsid w:val="64D15E6F"/>
    <w:rsid w:val="64DB027A"/>
    <w:rsid w:val="64E96C8C"/>
    <w:rsid w:val="661A1A97"/>
    <w:rsid w:val="66903B07"/>
    <w:rsid w:val="669E7FD2"/>
    <w:rsid w:val="67572A25"/>
    <w:rsid w:val="677D408C"/>
    <w:rsid w:val="68277EB4"/>
    <w:rsid w:val="684C3DDB"/>
    <w:rsid w:val="68CD4B9F"/>
    <w:rsid w:val="6934718B"/>
    <w:rsid w:val="696A4AE4"/>
    <w:rsid w:val="6A49294B"/>
    <w:rsid w:val="6A4964A7"/>
    <w:rsid w:val="6ADA17F5"/>
    <w:rsid w:val="6AEF52A0"/>
    <w:rsid w:val="6C691082"/>
    <w:rsid w:val="6C847C6A"/>
    <w:rsid w:val="6CAD0258"/>
    <w:rsid w:val="6CB247D7"/>
    <w:rsid w:val="6CB87914"/>
    <w:rsid w:val="6CE34991"/>
    <w:rsid w:val="6D341690"/>
    <w:rsid w:val="6D8C4CB1"/>
    <w:rsid w:val="6E037DAA"/>
    <w:rsid w:val="6E166FE8"/>
    <w:rsid w:val="6E657628"/>
    <w:rsid w:val="6EDC5B3C"/>
    <w:rsid w:val="6F2179F2"/>
    <w:rsid w:val="6FD25D83"/>
    <w:rsid w:val="6FF55737"/>
    <w:rsid w:val="708A15C7"/>
    <w:rsid w:val="71094BE2"/>
    <w:rsid w:val="71552B5F"/>
    <w:rsid w:val="71AF5789"/>
    <w:rsid w:val="722C2936"/>
    <w:rsid w:val="72802C82"/>
    <w:rsid w:val="732C4583"/>
    <w:rsid w:val="74A470FC"/>
    <w:rsid w:val="754D7793"/>
    <w:rsid w:val="76085468"/>
    <w:rsid w:val="7610256F"/>
    <w:rsid w:val="76742AFE"/>
    <w:rsid w:val="76902883"/>
    <w:rsid w:val="769A6A08"/>
    <w:rsid w:val="76A5715B"/>
    <w:rsid w:val="76C770D1"/>
    <w:rsid w:val="77231A47"/>
    <w:rsid w:val="784C26DF"/>
    <w:rsid w:val="78F00C0D"/>
    <w:rsid w:val="79265F18"/>
    <w:rsid w:val="792720A9"/>
    <w:rsid w:val="79975302"/>
    <w:rsid w:val="79BA2F1D"/>
    <w:rsid w:val="79C93160"/>
    <w:rsid w:val="79DA35C0"/>
    <w:rsid w:val="79F44681"/>
    <w:rsid w:val="7A291E51"/>
    <w:rsid w:val="7A7E219D"/>
    <w:rsid w:val="7AA716F4"/>
    <w:rsid w:val="7AB12572"/>
    <w:rsid w:val="7B890ADF"/>
    <w:rsid w:val="7CE87DA1"/>
    <w:rsid w:val="7D7B0C16"/>
    <w:rsid w:val="7DAC0DCF"/>
    <w:rsid w:val="7E5A6A7D"/>
    <w:rsid w:val="7E722019"/>
    <w:rsid w:val="7F4245B3"/>
    <w:rsid w:val="7F431560"/>
    <w:rsid w:val="7F995383"/>
    <w:rsid w:val="7FA2692E"/>
    <w:rsid w:val="7FE93E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semiHidden/>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36"/>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8"/>
    <w:pPr>
      <w:keepNext/>
      <w:keepLines/>
      <w:spacing w:before="200"/>
      <w:outlineLvl w:val="3"/>
    </w:pPr>
    <w:rPr>
      <w:rFonts w:ascii="Calibri" w:hAnsi="Calibri" w:cs="Arial"/>
      <w:b/>
      <w:bCs/>
      <w:i/>
      <w:iCs/>
      <w:color w:val="7E97AD"/>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link w:val="32"/>
    <w:qFormat/>
    <w:uiPriority w:val="0"/>
    <w:pPr>
      <w:jc w:val="left"/>
    </w:pPr>
  </w:style>
  <w:style w:type="paragraph" w:styleId="7">
    <w:name w:val="Body Text"/>
    <w:basedOn w:val="1"/>
    <w:next w:val="1"/>
    <w:qFormat/>
    <w:uiPriority w:val="0"/>
    <w:pPr>
      <w:spacing w:after="120"/>
    </w:pPr>
  </w:style>
  <w:style w:type="paragraph" w:styleId="8">
    <w:name w:val="Body Text Indent"/>
    <w:basedOn w:val="1"/>
    <w:link w:val="28"/>
    <w:qFormat/>
    <w:uiPriority w:val="0"/>
    <w:pPr>
      <w:spacing w:after="120"/>
      <w:ind w:left="420" w:leftChars="200"/>
    </w:pPr>
  </w:style>
  <w:style w:type="paragraph" w:styleId="9">
    <w:name w:val="footer"/>
    <w:basedOn w:val="1"/>
    <w:link w:val="26"/>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link w:val="29"/>
    <w:unhideWhenUsed/>
    <w:qFormat/>
    <w:uiPriority w:val="99"/>
    <w:pPr>
      <w:spacing w:after="0"/>
      <w:ind w:leftChars="0" w:firstLine="420" w:firstLineChars="200"/>
    </w:pPr>
    <w:rPr>
      <w:rFonts w:ascii="Times New Roman" w:hAnsi="@仿宋_GB2312" w:eastAsia="楷体_GB2312"/>
      <w:sz w:val="32"/>
      <w:szCs w:val="20"/>
    </w:rPr>
  </w:style>
  <w:style w:type="character" w:styleId="15">
    <w:name w:val="Strong"/>
    <w:basedOn w:val="14"/>
    <w:qFormat/>
    <w:uiPriority w:val="0"/>
    <w:rPr>
      <w:b/>
    </w:rPr>
  </w:style>
  <w:style w:type="character" w:styleId="16">
    <w:name w:val="annotation reference"/>
    <w:qFormat/>
    <w:uiPriority w:val="0"/>
    <w:rPr>
      <w:sz w:val="21"/>
      <w:szCs w:val="21"/>
    </w:rPr>
  </w:style>
  <w:style w:type="character" w:styleId="17">
    <w:name w:val="HTML Sample"/>
    <w:basedOn w:val="14"/>
    <w:qFormat/>
    <w:uiPriority w:val="0"/>
    <w:rPr>
      <w:rFonts w:ascii="Courier New" w:hAnsi="Courier New"/>
    </w:rPr>
  </w:style>
  <w:style w:type="paragraph" w:customStyle="1" w:styleId="18">
    <w:name w:val="正文1"/>
    <w:qFormat/>
    <w:uiPriority w:val="0"/>
    <w:pPr>
      <w:widowControl w:val="0"/>
      <w:jc w:val="both"/>
    </w:pPr>
    <w:rPr>
      <w:rFonts w:ascii="Times New Roman" w:hAnsi="Times New Roman" w:eastAsia="宋体" w:cs="Times New Roman"/>
      <w:sz w:val="21"/>
      <w:szCs w:val="21"/>
      <w:lang w:val="en-US" w:eastAsia="zh-CN" w:bidi="ar-SA"/>
    </w:rPr>
  </w:style>
  <w:style w:type="character" w:customStyle="1" w:styleId="19">
    <w:name w:val="font51"/>
    <w:qFormat/>
    <w:uiPriority w:val="0"/>
    <w:rPr>
      <w:rFonts w:hint="eastAsia" w:ascii="宋体" w:hAnsi="宋体" w:eastAsia="宋体" w:cs="宋体"/>
      <w:color w:val="000000"/>
      <w:sz w:val="22"/>
      <w:szCs w:val="22"/>
      <w:u w:val="none"/>
    </w:rPr>
  </w:style>
  <w:style w:type="character" w:customStyle="1" w:styleId="20">
    <w:name w:val="font61"/>
    <w:qFormat/>
    <w:uiPriority w:val="0"/>
    <w:rPr>
      <w:rFonts w:hint="eastAsia" w:ascii="宋体" w:hAnsi="宋体" w:eastAsia="宋体" w:cs="宋体"/>
      <w:color w:val="000000"/>
      <w:sz w:val="22"/>
      <w:szCs w:val="22"/>
      <w:u w:val="none"/>
    </w:rPr>
  </w:style>
  <w:style w:type="character" w:customStyle="1" w:styleId="21">
    <w:name w:val="font01"/>
    <w:qFormat/>
    <w:uiPriority w:val="0"/>
    <w:rPr>
      <w:rFonts w:hint="eastAsia" w:ascii="宋体" w:hAnsi="宋体" w:eastAsia="宋体" w:cs="宋体"/>
      <w:color w:val="000000"/>
      <w:sz w:val="22"/>
      <w:szCs w:val="22"/>
      <w:u w:val="none"/>
    </w:rPr>
  </w:style>
  <w:style w:type="character" w:customStyle="1" w:styleId="22">
    <w:name w:val="font41"/>
    <w:qFormat/>
    <w:uiPriority w:val="0"/>
    <w:rPr>
      <w:rFonts w:hint="eastAsia" w:ascii="宋体" w:hAnsi="宋体" w:eastAsia="宋体" w:cs="宋体"/>
      <w:color w:val="000000"/>
      <w:sz w:val="22"/>
      <w:szCs w:val="22"/>
      <w:u w:val="none"/>
    </w:rPr>
  </w:style>
  <w:style w:type="character" w:customStyle="1" w:styleId="23">
    <w:name w:val="font21"/>
    <w:qFormat/>
    <w:uiPriority w:val="0"/>
    <w:rPr>
      <w:rFonts w:hint="eastAsia" w:ascii="宋体" w:hAnsi="宋体" w:eastAsia="宋体" w:cs="宋体"/>
      <w:b/>
      <w:bCs/>
      <w:color w:val="000000"/>
      <w:sz w:val="22"/>
      <w:szCs w:val="22"/>
      <w:u w:val="none"/>
    </w:rPr>
  </w:style>
  <w:style w:type="character" w:customStyle="1" w:styleId="24">
    <w:name w:val="font11"/>
    <w:qFormat/>
    <w:uiPriority w:val="0"/>
    <w:rPr>
      <w:rFonts w:hint="eastAsia" w:ascii="宋体" w:hAnsi="宋体" w:eastAsia="宋体" w:cs="宋体"/>
      <w:b/>
      <w:bCs/>
      <w:color w:val="000000"/>
      <w:sz w:val="22"/>
      <w:szCs w:val="22"/>
      <w:u w:val="none"/>
    </w:rPr>
  </w:style>
  <w:style w:type="character" w:customStyle="1" w:styleId="25">
    <w:name w:val="页眉 字符"/>
    <w:link w:val="10"/>
    <w:qFormat/>
    <w:uiPriority w:val="0"/>
    <w:rPr>
      <w:rFonts w:ascii="Calibri" w:hAnsi="Calibri"/>
      <w:kern w:val="2"/>
      <w:sz w:val="18"/>
      <w:szCs w:val="18"/>
    </w:rPr>
  </w:style>
  <w:style w:type="character" w:customStyle="1" w:styleId="26">
    <w:name w:val="页脚 字符"/>
    <w:link w:val="9"/>
    <w:qFormat/>
    <w:uiPriority w:val="0"/>
    <w:rPr>
      <w:rFonts w:ascii="Calibri" w:hAnsi="Calibri"/>
      <w:kern w:val="2"/>
      <w:sz w:val="18"/>
      <w:szCs w:val="18"/>
    </w:rPr>
  </w:style>
  <w:style w:type="character" w:customStyle="1" w:styleId="27">
    <w:name w:val="标题 2 字符"/>
    <w:link w:val="3"/>
    <w:semiHidden/>
    <w:qFormat/>
    <w:uiPriority w:val="0"/>
    <w:rPr>
      <w:rFonts w:ascii="等线 Light" w:hAnsi="等线 Light" w:eastAsia="等线 Light" w:cs="Times New Roman"/>
      <w:b/>
      <w:bCs/>
      <w:kern w:val="2"/>
      <w:sz w:val="32"/>
      <w:szCs w:val="32"/>
    </w:rPr>
  </w:style>
  <w:style w:type="character" w:customStyle="1" w:styleId="28">
    <w:name w:val="正文文本缩进 字符"/>
    <w:link w:val="8"/>
    <w:qFormat/>
    <w:uiPriority w:val="0"/>
    <w:rPr>
      <w:rFonts w:ascii="Calibri" w:hAnsi="Calibri"/>
      <w:kern w:val="2"/>
      <w:sz w:val="21"/>
      <w:szCs w:val="24"/>
    </w:rPr>
  </w:style>
  <w:style w:type="character" w:customStyle="1" w:styleId="29">
    <w:name w:val="正文文本首行缩进 2 字符"/>
    <w:link w:val="12"/>
    <w:qFormat/>
    <w:uiPriority w:val="99"/>
    <w:rPr>
      <w:rFonts w:ascii="Calibri" w:hAnsi="@仿宋_GB2312" w:eastAsia="楷体_GB2312"/>
      <w:kern w:val="2"/>
      <w:sz w:val="32"/>
      <w:szCs w:val="24"/>
    </w:rPr>
  </w:style>
  <w:style w:type="paragraph" w:customStyle="1" w:styleId="30">
    <w:name w:val="D&amp;L"/>
    <w:basedOn w:val="10"/>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kern w:val="0"/>
      <w:sz w:val="24"/>
      <w:szCs w:val="20"/>
    </w:rPr>
  </w:style>
  <w:style w:type="paragraph" w:customStyle="1" w:styleId="31">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character" w:customStyle="1" w:styleId="32">
    <w:name w:val="批注文字 字符"/>
    <w:link w:val="6"/>
    <w:qFormat/>
    <w:uiPriority w:val="0"/>
    <w:rPr>
      <w:rFonts w:ascii="Calibri" w:hAnsi="Calibri"/>
      <w:kern w:val="2"/>
      <w:sz w:val="21"/>
      <w:szCs w:val="24"/>
    </w:rPr>
  </w:style>
  <w:style w:type="paragraph" w:customStyle="1" w:styleId="33">
    <w:name w:val="表"/>
    <w:basedOn w:val="1"/>
    <w:link w:val="34"/>
    <w:qFormat/>
    <w:uiPriority w:val="0"/>
    <w:rPr>
      <w:rFonts w:ascii="宋体" w:hAnsi="宋体"/>
      <w:bCs/>
      <w:sz w:val="24"/>
    </w:rPr>
  </w:style>
  <w:style w:type="character" w:customStyle="1" w:styleId="34">
    <w:name w:val="表 字符"/>
    <w:link w:val="33"/>
    <w:qFormat/>
    <w:uiPriority w:val="0"/>
    <w:rPr>
      <w:rFonts w:ascii="宋体" w:hAnsi="宋体"/>
      <w:bCs/>
      <w:kern w:val="2"/>
      <w:sz w:val="24"/>
      <w:szCs w:val="24"/>
    </w:rPr>
  </w:style>
  <w:style w:type="paragraph" w:customStyle="1" w:styleId="35">
    <w:name w:val="文档结构图1"/>
    <w:basedOn w:val="1"/>
    <w:qFormat/>
    <w:uiPriority w:val="0"/>
    <w:rPr>
      <w:rFonts w:ascii="宋体" w:hAnsi="Times New Roman"/>
      <w:kern w:val="0"/>
      <w:sz w:val="18"/>
      <w:szCs w:val="18"/>
    </w:rPr>
  </w:style>
  <w:style w:type="character" w:customStyle="1" w:styleId="36">
    <w:name w:val="标题 3 字符"/>
    <w:link w:val="4"/>
    <w:qFormat/>
    <w:uiPriority w:val="0"/>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5073</Words>
  <Characters>5850</Characters>
  <Lines>137</Lines>
  <Paragraphs>38</Paragraphs>
  <TotalTime>17</TotalTime>
  <ScaleCrop>false</ScaleCrop>
  <LinksUpToDate>false</LinksUpToDate>
  <CharactersWithSpaces>6179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2023-10-18T04:06:00Z</dcterms:created>
  <dc:creator>admin</dc:creator>
  <cp:lastModifiedBy>LIVING</cp:lastModifiedBy>
  <cp:lastPrinted>2024-01-23T08:39:00Z</cp:lastPrinted>
  <dcterms:modified xsi:type="dcterms:W3CDTF">2025-11-13T10:08:56Z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BC756F16F09D45DCB13E06616882108C_13</vt:lpwstr>
  </property>
  <property fmtid="{D5CDD505-2E9C-101B-9397-08002B2CF9AE}" pid="4" name="KSOTemplateDocerSaveRecord">
    <vt:lpwstr>eyJoZGlkIjoiN2Y5MzMwMWZlMDc0YWQ3ZjkxNzJjZDJjYWEyOGE2YjQiLCJ1c2VySWQiOiIxMTczODQ5ODU1In0=</vt:lpwstr>
  </property>
</Properties>
</file>