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宋体" w:hAnsi="宋体" w:cs="宋体"/>
          <w:sz w:val="28"/>
          <w:szCs w:val="28"/>
          <w:highlight w:val="none"/>
        </w:rPr>
      </w:pPr>
      <w:r>
        <w:rPr>
          <w:rFonts w:hint="eastAsia" w:ascii="宋体" w:hAnsi="宋体" w:cs="宋体"/>
          <w:sz w:val="28"/>
          <w:szCs w:val="28"/>
          <w:highlight w:val="none"/>
        </w:rPr>
        <w:t>附件1：</w:t>
      </w:r>
    </w:p>
    <w:p>
      <w:pPr>
        <w:jc w:val="center"/>
        <w:rPr>
          <w:rFonts w:hint="eastAsia" w:ascii="宋体" w:hAnsi="宋体" w:cs="宋体"/>
          <w:b/>
          <w:sz w:val="28"/>
          <w:szCs w:val="28"/>
          <w:highlight w:val="none"/>
          <w:lang w:val="en-US" w:eastAsia="zh-CN"/>
        </w:rPr>
      </w:pPr>
      <w:bookmarkStart w:id="7" w:name="_GoBack"/>
      <w:bookmarkStart w:id="0" w:name="OLE_LINK6"/>
      <w:r>
        <w:rPr>
          <w:rFonts w:hint="eastAsia" w:ascii="宋体" w:hAnsi="宋体" w:cs="宋体"/>
          <w:b/>
          <w:sz w:val="28"/>
          <w:szCs w:val="28"/>
          <w:highlight w:val="none"/>
          <w:lang w:val="en-US" w:eastAsia="zh-CN"/>
        </w:rPr>
        <w:t>安徽职业技术大学2025年汽车振动测试实验室建设项目采购需求</w:t>
      </w:r>
      <w:bookmarkEnd w:id="7"/>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color w:val="auto"/>
          <w:sz w:val="24"/>
          <w:szCs w:val="24"/>
          <w:highlight w:val="none"/>
        </w:rPr>
      </w:pPr>
      <w:bookmarkStart w:id="1" w:name="_Toc30373"/>
      <w:bookmarkStart w:id="2" w:name="_Toc32151"/>
      <w:bookmarkStart w:id="3" w:name="_Toc2554"/>
      <w:r>
        <w:rPr>
          <w:rFonts w:hint="eastAsia" w:ascii="宋体" w:hAnsi="宋体" w:eastAsia="宋体" w:cs="宋体"/>
          <w:b/>
          <w:color w:val="auto"/>
          <w:sz w:val="24"/>
          <w:szCs w:val="24"/>
          <w:highlight w:val="none"/>
        </w:rPr>
        <w:t>一、采购需求前附表</w:t>
      </w:r>
      <w:bookmarkEnd w:id="1"/>
      <w:bookmarkEnd w:id="2"/>
      <w:bookmarkEnd w:id="3"/>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序号</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条款名称</w:t>
            </w:r>
          </w:p>
        </w:tc>
        <w:tc>
          <w:tcPr>
            <w:tcW w:w="3217"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付款方式</w:t>
            </w:r>
          </w:p>
        </w:tc>
        <w:tc>
          <w:tcPr>
            <w:tcW w:w="5484" w:type="dxa"/>
            <w:noWrap w:val="0"/>
            <w:vAlign w:val="center"/>
          </w:tcPr>
          <w:p>
            <w:pPr>
              <w:spacing w:line="360" w:lineRule="auto"/>
              <w:jc w:val="left"/>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Cs/>
                <w:kern w:val="0"/>
                <w:sz w:val="24"/>
                <w:szCs w:val="24"/>
                <w:highlight w:val="none"/>
              </w:rPr>
              <w:t>合同生效后，采购人将向中标人支付合同金额的60%做为预付款，同时中标人须向</w:t>
            </w:r>
            <w:r>
              <w:rPr>
                <w:rFonts w:hint="eastAsia" w:ascii="宋体" w:hAnsi="宋体" w:eastAsia="宋体" w:cs="宋体"/>
                <w:bCs/>
                <w:kern w:val="0"/>
                <w:sz w:val="24"/>
                <w:szCs w:val="24"/>
                <w:highlight w:val="none"/>
                <w:lang w:val="en-US" w:eastAsia="zh-CN"/>
              </w:rPr>
              <w:t>采购人</w:t>
            </w:r>
            <w:r>
              <w:rPr>
                <w:rFonts w:hint="eastAsia" w:ascii="宋体" w:hAnsi="宋体" w:eastAsia="宋体" w:cs="宋体"/>
                <w:bCs/>
                <w:kern w:val="0"/>
                <w:sz w:val="24"/>
                <w:szCs w:val="24"/>
                <w:highlight w:val="none"/>
              </w:rPr>
              <w:t>提供等额见索即付的预付款担保，经验收合格后，付清合同款。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供货及安装地点</w:t>
            </w:r>
          </w:p>
        </w:tc>
        <w:tc>
          <w:tcPr>
            <w:tcW w:w="5484" w:type="dxa"/>
            <w:noWrap w:val="0"/>
            <w:vAlign w:val="center"/>
          </w:tcPr>
          <w:p>
            <w:pPr>
              <w:pStyle w:val="9"/>
              <w:widowControl w:val="0"/>
              <w:spacing w:before="0" w:beforeAutospacing="0" w:after="0" w:afterAutospacing="0" w:line="360" w:lineRule="auto"/>
              <w:jc w:val="both"/>
              <w:rPr>
                <w:rFonts w:hint="default" w:ascii="宋体" w:hAnsi="宋体" w:eastAsia="宋体" w:cs="宋体"/>
                <w:b w:val="0"/>
                <w:bCs/>
                <w:color w:val="auto"/>
                <w:kern w:val="0"/>
                <w:sz w:val="24"/>
                <w:szCs w:val="24"/>
                <w:highlight w:val="none"/>
                <w:u w:val="none"/>
                <w:lang w:val="en-US" w:eastAsia="zh-CN" w:bidi="ar-SA"/>
              </w:rPr>
            </w:pPr>
            <w:r>
              <w:rPr>
                <w:rFonts w:hint="eastAsia" w:ascii="宋体" w:hAnsi="宋体" w:eastAsia="宋体"/>
                <w:b w:val="0"/>
                <w:sz w:val="24"/>
                <w:highlight w:val="none"/>
              </w:rPr>
              <w:t>安徽职业技术大学汽车工程学院，采购人指定地点。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供货及安装期限</w:t>
            </w:r>
          </w:p>
        </w:tc>
        <w:tc>
          <w:tcPr>
            <w:tcW w:w="5484" w:type="dxa"/>
            <w:noWrap w:val="0"/>
            <w:vAlign w:val="center"/>
          </w:tcPr>
          <w:p>
            <w:pPr>
              <w:pStyle w:val="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b w:val="0"/>
                <w:sz w:val="24"/>
                <w:highlight w:val="none"/>
              </w:rPr>
              <w:t>签订合同后30个日历日内完成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免费质保期</w:t>
            </w:r>
          </w:p>
        </w:tc>
        <w:tc>
          <w:tcPr>
            <w:tcW w:w="5484" w:type="dxa"/>
            <w:noWrap w:val="0"/>
            <w:vAlign w:val="center"/>
          </w:tcPr>
          <w:p>
            <w:pPr>
              <w:pStyle w:val="9"/>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验收合格之日起3年。</w:t>
            </w:r>
          </w:p>
          <w:p>
            <w:pPr>
              <w:jc w:val="left"/>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bCs/>
                <w:kern w:val="0"/>
                <w:sz w:val="24"/>
                <w:szCs w:val="28"/>
                <w:highlight w:val="none"/>
              </w:rPr>
              <w:t>（</w:t>
            </w:r>
            <w:r>
              <w:rPr>
                <w:rFonts w:hint="eastAsia" w:ascii="宋体" w:hAnsi="宋体" w:eastAsia="宋体"/>
                <w:sz w:val="24"/>
                <w:szCs w:val="24"/>
                <w:highlight w:val="none"/>
              </w:rPr>
              <w:t>货物指标要求中如有特殊要求的，以货物指标要求为准。</w:t>
            </w:r>
            <w:r>
              <w:rPr>
                <w:rFonts w:hint="eastAsia" w:ascii="宋体" w:hAnsi="宋体" w:eastAsia="宋体"/>
                <w:bCs/>
                <w:kern w:val="0"/>
                <w:sz w:val="24"/>
                <w:szCs w:val="28"/>
                <w:highlight w:val="none"/>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 w:name="_Toc5944"/>
      <w:bookmarkStart w:id="5" w:name="_Toc7671"/>
      <w:bookmarkStart w:id="6" w:name="_Toc22395"/>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（一）货物指标重要性表述</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328"/>
        <w:gridCol w:w="5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标识重要性</w:t>
            </w: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标识符号</w:t>
            </w:r>
          </w:p>
        </w:tc>
        <w:tc>
          <w:tcPr>
            <w:tcW w:w="31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56" w:type="dxa"/>
            <w:noWrap w:val="0"/>
            <w:vAlign w:val="top"/>
          </w:tcPr>
          <w:p>
            <w:pPr>
              <w:pStyle w:val="6"/>
              <w:spacing w:line="50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themeFill="background1"/>
              </w:rPr>
              <w:t>关键性指标项</w:t>
            </w:r>
          </w:p>
        </w:tc>
        <w:tc>
          <w:tcPr>
            <w:tcW w:w="1328" w:type="dxa"/>
            <w:noWrap w:val="0"/>
            <w:vAlign w:val="top"/>
          </w:tcPr>
          <w:p>
            <w:pPr>
              <w:pStyle w:val="6"/>
              <w:spacing w:line="500" w:lineRule="exact"/>
              <w:ind w:left="0" w:leftChars="0" w:firstLine="0" w:firstLineChars="0"/>
              <w:jc w:val="center"/>
              <w:rPr>
                <w:rFonts w:hint="eastAsia" w:ascii="宋体" w:hAnsi="宋体" w:eastAsia="宋体" w:cs="宋体"/>
                <w:bCs/>
                <w:sz w:val="24"/>
                <w:szCs w:val="24"/>
                <w:highlight w:val="none"/>
              </w:rPr>
            </w:pPr>
            <w:r>
              <w:rPr>
                <w:rFonts w:hint="eastAsia" w:ascii="宋体" w:hAnsi="宋体" w:eastAsia="宋体" w:cs="宋体"/>
                <w:b/>
                <w:bCs/>
                <w:sz w:val="28"/>
                <w:szCs w:val="28"/>
                <w:highlight w:val="none"/>
                <w:shd w:val="clear" w:color="auto" w:fill="FFFFFF" w:themeFill="background1"/>
              </w:rPr>
              <w:t>★</w:t>
            </w:r>
          </w:p>
        </w:tc>
        <w:tc>
          <w:tcPr>
            <w:tcW w:w="5336" w:type="dxa"/>
            <w:noWrap w:val="0"/>
            <w:vAlign w:val="top"/>
          </w:tcPr>
          <w:p>
            <w:pPr>
              <w:pStyle w:val="6"/>
              <w:spacing w:line="500" w:lineRule="exact"/>
              <w:ind w:left="0" w:leftChars="0" w:firstLine="0" w:firstLineChars="0"/>
              <w:rPr>
                <w:rFonts w:hint="eastAsia" w:ascii="宋体" w:hAnsi="宋体" w:eastAsia="宋体" w:cs="宋体"/>
                <w:bCs/>
                <w:sz w:val="24"/>
                <w:szCs w:val="24"/>
                <w:highlight w:val="none"/>
              </w:rPr>
            </w:pPr>
            <w:r>
              <w:rPr>
                <w:rFonts w:hint="eastAsia" w:ascii="宋体" w:hAnsi="宋体" w:eastAsia="宋体" w:cs="宋体"/>
                <w:sz w:val="24"/>
                <w:szCs w:val="24"/>
                <w:highlight w:val="none"/>
                <w:shd w:val="clear" w:color="auto" w:fill="FFFFFF" w:themeFill="background1"/>
              </w:rPr>
              <w:t>负偏离或未响应该指标项将导致投标无效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top"/>
          </w:tcPr>
          <w:p>
            <w:pPr>
              <w:pStyle w:val="6"/>
              <w:spacing w:line="50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themeFill="background1"/>
              </w:rPr>
              <w:t>重要指标项</w:t>
            </w:r>
          </w:p>
        </w:tc>
        <w:tc>
          <w:tcPr>
            <w:tcW w:w="1328" w:type="dxa"/>
            <w:noWrap w:val="0"/>
            <w:vAlign w:val="top"/>
          </w:tcPr>
          <w:p>
            <w:pPr>
              <w:pStyle w:val="6"/>
              <w:spacing w:line="500" w:lineRule="exact"/>
              <w:ind w:left="0" w:leftChars="0" w:firstLine="0" w:firstLineChars="0"/>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shd w:val="clear" w:color="auto" w:fill="FFFFFF" w:themeFill="background1"/>
              </w:rPr>
              <w:t>■</w:t>
            </w:r>
          </w:p>
        </w:tc>
        <w:tc>
          <w:tcPr>
            <w:tcW w:w="5336" w:type="dxa"/>
            <w:noWrap w:val="0"/>
            <w:vAlign w:val="top"/>
          </w:tcPr>
          <w:p>
            <w:pPr>
              <w:pStyle w:val="6"/>
              <w:spacing w:line="500" w:lineRule="exact"/>
              <w:ind w:left="0" w:leftChars="0" w:firstLine="0" w:firstLineChars="0"/>
              <w:rPr>
                <w:rFonts w:hint="eastAsia" w:ascii="宋体" w:hAnsi="宋体" w:eastAsia="宋体" w:cs="宋体"/>
                <w:bCs/>
                <w:sz w:val="24"/>
                <w:szCs w:val="24"/>
                <w:highlight w:val="none"/>
              </w:rPr>
            </w:pPr>
            <w:r>
              <w:rPr>
                <w:rFonts w:hint="eastAsia" w:ascii="宋体" w:hAnsi="宋体" w:eastAsia="宋体" w:cs="宋体"/>
                <w:sz w:val="24"/>
                <w:szCs w:val="24"/>
                <w:highlight w:val="none"/>
                <w:shd w:val="clear" w:color="auto" w:fill="FFFFFF" w:themeFill="background1"/>
              </w:rPr>
              <w:t>评分项，每满足一项得2分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56" w:type="dxa"/>
            <w:noWrap w:val="0"/>
            <w:vAlign w:val="top"/>
          </w:tcPr>
          <w:p>
            <w:pPr>
              <w:pStyle w:val="6"/>
              <w:spacing w:line="50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themeFill="background1"/>
              </w:rPr>
              <w:t>一般指标项</w:t>
            </w:r>
          </w:p>
        </w:tc>
        <w:tc>
          <w:tcPr>
            <w:tcW w:w="1328" w:type="dxa"/>
            <w:noWrap w:val="0"/>
            <w:vAlign w:val="top"/>
          </w:tcPr>
          <w:p>
            <w:pPr>
              <w:pStyle w:val="6"/>
              <w:spacing w:line="500" w:lineRule="exact"/>
              <w:ind w:left="0" w:leftChars="0" w:firstLine="0" w:firstLineChars="0"/>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shd w:val="clear" w:color="auto" w:fill="FFFFFF" w:themeFill="background1"/>
              </w:rPr>
              <w:t>●</w:t>
            </w:r>
          </w:p>
        </w:tc>
        <w:tc>
          <w:tcPr>
            <w:tcW w:w="5336" w:type="dxa"/>
            <w:noWrap w:val="0"/>
            <w:vAlign w:val="top"/>
          </w:tcPr>
          <w:p>
            <w:pPr>
              <w:pStyle w:val="6"/>
              <w:spacing w:line="500" w:lineRule="exact"/>
              <w:ind w:left="0" w:leftChars="0" w:firstLine="0" w:firstLineChars="0"/>
              <w:rPr>
                <w:rFonts w:hint="eastAsia" w:ascii="宋体" w:hAnsi="宋体" w:eastAsia="宋体" w:cs="宋体"/>
                <w:bCs/>
                <w:sz w:val="24"/>
                <w:szCs w:val="24"/>
                <w:highlight w:val="none"/>
              </w:rPr>
            </w:pPr>
            <w:r>
              <w:rPr>
                <w:rFonts w:hint="eastAsia" w:ascii="宋体" w:hAnsi="宋体" w:eastAsia="宋体" w:cs="宋体"/>
                <w:sz w:val="24"/>
                <w:szCs w:val="24"/>
                <w:highlight w:val="none"/>
                <w:shd w:val="clear" w:color="auto" w:fill="FFFFFF" w:themeFill="background1"/>
              </w:rPr>
              <w:t>评分项，每满足一项得1分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top"/>
          </w:tcPr>
          <w:p>
            <w:pPr>
              <w:pStyle w:val="6"/>
              <w:spacing w:line="50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themeFill="background1"/>
              </w:rPr>
              <w:t>无标识项</w:t>
            </w:r>
          </w:p>
        </w:tc>
        <w:tc>
          <w:tcPr>
            <w:tcW w:w="1328" w:type="dxa"/>
            <w:noWrap w:val="0"/>
            <w:vAlign w:val="top"/>
          </w:tcPr>
          <w:p>
            <w:pPr>
              <w:pStyle w:val="6"/>
              <w:spacing w:line="500" w:lineRule="exact"/>
              <w:ind w:left="0" w:leftChars="0" w:firstLine="0" w:firstLineChars="0"/>
              <w:jc w:val="center"/>
              <w:rPr>
                <w:rFonts w:hint="eastAsia" w:ascii="宋体" w:hAnsi="宋体" w:eastAsia="宋体" w:cs="宋体"/>
                <w:bCs/>
                <w:sz w:val="24"/>
                <w:szCs w:val="24"/>
                <w:highlight w:val="none"/>
              </w:rPr>
            </w:pPr>
          </w:p>
        </w:tc>
        <w:tc>
          <w:tcPr>
            <w:tcW w:w="5336" w:type="dxa"/>
            <w:noWrap w:val="0"/>
            <w:vAlign w:val="top"/>
          </w:tcPr>
          <w:p>
            <w:pPr>
              <w:pStyle w:val="6"/>
              <w:spacing w:line="500" w:lineRule="exact"/>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shd w:val="clear" w:color="auto" w:fill="FFFFFF" w:themeFill="background1"/>
              </w:rPr>
              <w:t>无标识项超过5项负偏离或未响应</w:t>
            </w:r>
            <w:r>
              <w:rPr>
                <w:rFonts w:hint="eastAsia" w:ascii="宋体" w:hAnsi="宋体" w:eastAsia="宋体"/>
                <w:sz w:val="24"/>
                <w:szCs w:val="24"/>
                <w:highlight w:val="none"/>
              </w:rPr>
              <w:t>的，投标无效</w:t>
            </w:r>
          </w:p>
        </w:tc>
      </w:tr>
    </w:tbl>
    <w:p>
      <w:pPr>
        <w:rPr>
          <w:rFonts w:hint="eastAsia"/>
          <w:b w:val="0"/>
          <w:i w:val="0"/>
          <w:iCs w:val="0"/>
          <w:color w:val="auto"/>
          <w:sz w:val="24"/>
          <w:szCs w:val="24"/>
          <w:highlight w:val="none"/>
        </w:rPr>
      </w:pPr>
      <w:r>
        <w:rPr>
          <w:rFonts w:hint="eastAsia"/>
          <w:b w:val="0"/>
          <w:i w:val="0"/>
          <w:iCs w:val="0"/>
          <w:color w:val="auto"/>
          <w:sz w:val="24"/>
          <w:szCs w:val="24"/>
          <w:highlight w:val="none"/>
        </w:rPr>
        <w:br w:type="page"/>
      </w:r>
    </w:p>
    <w:p>
      <w:pPr>
        <w:pStyle w:val="2"/>
        <w:spacing w:before="312" w:beforeLines="100" w:after="312" w:afterLines="100"/>
        <w:rPr>
          <w:b w:val="0"/>
          <w:i w:val="0"/>
          <w:iCs w:val="0"/>
          <w:color w:val="auto"/>
          <w:sz w:val="24"/>
          <w:szCs w:val="24"/>
          <w:highlight w:val="none"/>
        </w:rPr>
      </w:pPr>
      <w:r>
        <w:rPr>
          <w:rFonts w:hint="eastAsia"/>
          <w:b w:val="0"/>
          <w:i w:val="0"/>
          <w:iCs w:val="0"/>
          <w:color w:val="auto"/>
          <w:sz w:val="24"/>
          <w:szCs w:val="24"/>
          <w:highlight w:val="none"/>
        </w:rPr>
        <w:t>（二）技术参数及要求</w:t>
      </w:r>
    </w:p>
    <w:tbl>
      <w:tblPr>
        <w:tblStyle w:val="7"/>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999"/>
        <w:gridCol w:w="5089"/>
        <w:gridCol w:w="1079"/>
        <w:gridCol w:w="810"/>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9"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524"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货物</w:t>
            </w:r>
          </w:p>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名称</w:t>
            </w:r>
          </w:p>
        </w:tc>
        <w:tc>
          <w:tcPr>
            <w:tcW w:w="2670" w:type="pct"/>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技术参数及要求</w:t>
            </w:r>
          </w:p>
        </w:tc>
        <w:tc>
          <w:tcPr>
            <w:tcW w:w="566"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数量</w:t>
            </w:r>
          </w:p>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（单位）</w:t>
            </w:r>
          </w:p>
        </w:tc>
        <w:tc>
          <w:tcPr>
            <w:tcW w:w="425"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所属行业</w:t>
            </w:r>
          </w:p>
        </w:tc>
        <w:tc>
          <w:tcPr>
            <w:tcW w:w="405"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pct"/>
            <w:vAlign w:val="center"/>
          </w:tcPr>
          <w:p>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524"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振动噪声数据分析软件平台</w:t>
            </w:r>
          </w:p>
        </w:tc>
        <w:tc>
          <w:tcPr>
            <w:tcW w:w="2670" w:type="pct"/>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
                <w:sz w:val="24"/>
                <w:szCs w:val="24"/>
                <w:highlight w:val="none"/>
              </w:rPr>
              <w:t>信号的频谱特征分析功能</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设计要求</w:t>
            </w:r>
            <w:r>
              <w:rPr>
                <w:rFonts w:hint="eastAsia" w:ascii="宋体" w:hAnsi="宋体" w:eastAsia="宋体" w:cs="宋体"/>
                <w:sz w:val="24"/>
                <w:szCs w:val="24"/>
                <w:highlight w:val="none"/>
              </w:rPr>
              <w:t>：可实时进行信号的采集、存储及在线分析</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1.1在线测量、信号示波采样、INV高精度频率计、时域分析、自谱分析信号发生器、格式转换器、波形连接器，变时基，AVD和虚拟通道，倍频程(CPB)，编辑滤波，波形微积分，公式运算，波形全景，概率，自相关，互相关，XY图，互谱，LFFT，传函FRF，时间谱阵，幅域统计，时变参量TVP，零漂趋势项消除，雨流法计数，疲劳统计，峰值计数，变程计数；</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1.2可进行小波分析，冲击响应谱分析，倒谱分析，包络谱分析，传递函数分析；</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1.3可以将时域信号与频域信号实时动态关联，以了解每一时刻的信号特征。</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bCs/>
                <w:sz w:val="24"/>
                <w:szCs w:val="24"/>
                <w:highlight w:val="none"/>
              </w:rPr>
              <w:t>兼容性要求：</w:t>
            </w:r>
            <w:r>
              <w:rPr>
                <w:rFonts w:hint="eastAsia" w:ascii="宋体" w:hAnsi="宋体" w:eastAsia="宋体" w:cs="宋体"/>
                <w:sz w:val="24"/>
                <w:szCs w:val="24"/>
                <w:highlight w:val="none"/>
              </w:rPr>
              <w:t>数据格式支持txt、excel、matlab、access、sts、UFF58/58b、tsp、DAS-100A数据（*.CSV）-Kyowa DES100A、WAV格式的导入与导出，需要有将UNV、UFF、txt、excel、mat格式的试验数据的格式文件转换为本软件格式进行分析计算得功能</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b/>
                <w:bCs/>
                <w:kern w:val="0"/>
                <w:sz w:val="24"/>
                <w:szCs w:val="24"/>
                <w:highlight w:val="none"/>
              </w:rPr>
              <w:t>。</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2.1具备多种格式文件数据导出功能；以满足于其他工业软件的数据交互，如基于导出的测试数据进行后续的数据编程处理等工作；</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2.2与其他测试软件兼容：其他模态测试软件、阶次分析软件、TPA软件、MATLAB软件不冲突。</w:t>
            </w:r>
          </w:p>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3、FFT分析要求：</w:t>
            </w:r>
            <w:r>
              <w:rPr>
                <w:rFonts w:hint="eastAsia" w:ascii="宋体" w:hAnsi="宋体" w:eastAsia="宋体" w:cs="宋体"/>
                <w:sz w:val="24"/>
                <w:szCs w:val="24"/>
                <w:highlight w:val="none"/>
              </w:rPr>
              <w:t>进行FFT分析时支持多种窗函数和计权方式，支持声级分析和振级分析</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3.1需满足瞬时滚动分析功能，在波形滚动同时进行倍频程分析；倍频程曲线绘制方式≥6种且包含折线、标记、折线+标记、实心柱图、空心柱图、台阶图、面积图和点图，可以进行1/n倍频程分析、窄带谱RMS分析；</w:t>
            </w:r>
          </w:p>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3.2显示频谱形式≥4种且必须包含单峰值幅值谱、有效值谱、功率谱、功率谱密度；支持矩形、hanning、hamming、平顶等11种窗函数可选；</w:t>
            </w:r>
          </w:p>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3.3支持加窗、频谱平滑、INV频率计和阻尼计、改变谱线条数进行细化等多种频谱校正方法；多种尺度方式、自动收极值标注等；支持长数据LFFT分析，LFFT分析点数≥64MHz，多档可选。</w:t>
            </w:r>
          </w:p>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b/>
                <w:bCs/>
                <w:sz w:val="24"/>
                <w:szCs w:val="24"/>
                <w:highlight w:val="none"/>
              </w:rPr>
              <w:t>倒谱分析：</w:t>
            </w:r>
            <w:r>
              <w:rPr>
                <w:rFonts w:hint="eastAsia" w:ascii="宋体" w:hAnsi="宋体" w:eastAsia="宋体" w:cs="宋体"/>
                <w:sz w:val="24"/>
                <w:szCs w:val="24"/>
                <w:highlight w:val="none"/>
              </w:rPr>
              <w:t>倒谱形式≥4种，至少包含CFF倒富富谱、CEF倒熵富谱、CFE倒富熵谱、CEE倒熵熵谱。</w:t>
            </w:r>
          </w:p>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b/>
                <w:bCs/>
                <w:sz w:val="24"/>
                <w:szCs w:val="24"/>
                <w:highlight w:val="none"/>
              </w:rPr>
              <w:t>软件分析频率精度</w:t>
            </w:r>
            <w:r>
              <w:rPr>
                <w:rFonts w:hint="eastAsia" w:ascii="宋体" w:hAnsi="宋体" w:eastAsia="宋体" w:cs="宋体"/>
                <w:sz w:val="24"/>
                <w:szCs w:val="24"/>
                <w:highlight w:val="none"/>
              </w:rPr>
              <w:t>:频率分析数量级≥10</w:t>
            </w:r>
            <w:r>
              <w:rPr>
                <w:rFonts w:hint="eastAsia" w:ascii="宋体" w:hAnsi="宋体" w:eastAsia="宋体" w:cs="宋体"/>
                <w:sz w:val="24"/>
                <w:szCs w:val="24"/>
                <w:highlight w:val="none"/>
                <w:vertAlign w:val="superscript"/>
              </w:rPr>
              <w:t>-12</w:t>
            </w:r>
            <w:r>
              <w:rPr>
                <w:rFonts w:hint="eastAsia" w:ascii="宋体" w:hAnsi="宋体" w:eastAsia="宋体" w:cs="宋体"/>
                <w:sz w:val="24"/>
                <w:szCs w:val="24"/>
                <w:highlight w:val="none"/>
              </w:rPr>
              <w:t>，幅值分析精度≥10</w:t>
            </w:r>
            <w:r>
              <w:rPr>
                <w:rFonts w:hint="eastAsia" w:ascii="宋体" w:hAnsi="宋体" w:eastAsia="宋体" w:cs="宋体"/>
                <w:sz w:val="24"/>
                <w:szCs w:val="24"/>
                <w:highlight w:val="none"/>
                <w:vertAlign w:val="superscript"/>
              </w:rPr>
              <w:t>-12</w:t>
            </w:r>
            <w:r>
              <w:rPr>
                <w:rFonts w:hint="eastAsia" w:ascii="宋体" w:hAnsi="宋体" w:eastAsia="宋体" w:cs="宋体"/>
                <w:sz w:val="24"/>
                <w:szCs w:val="24"/>
                <w:highlight w:val="none"/>
              </w:rPr>
              <w:t>数量级；在动态测试条件下，测试系统频率精度≥10</w:t>
            </w:r>
            <w:r>
              <w:rPr>
                <w:rFonts w:hint="eastAsia" w:ascii="宋体" w:hAnsi="宋体" w:eastAsia="宋体" w:cs="宋体"/>
                <w:sz w:val="24"/>
                <w:szCs w:val="24"/>
                <w:highlight w:val="none"/>
                <w:vertAlign w:val="superscript"/>
              </w:rPr>
              <w:t>-8</w:t>
            </w:r>
            <w:r>
              <w:rPr>
                <w:rFonts w:hint="eastAsia" w:ascii="宋体" w:hAnsi="宋体" w:eastAsia="宋体" w:cs="宋体"/>
                <w:sz w:val="24"/>
                <w:szCs w:val="24"/>
                <w:highlight w:val="none"/>
              </w:rPr>
              <w:t>数量级，测试系统幅值精度≥10</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数量级</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bCs/>
                <w:sz w:val="24"/>
                <w:szCs w:val="24"/>
                <w:highlight w:val="none"/>
              </w:rPr>
              <w:t>阻尼测试分析</w:t>
            </w:r>
            <w:r>
              <w:rPr>
                <w:rFonts w:hint="eastAsia" w:ascii="宋体" w:hAnsi="宋体" w:eastAsia="宋体" w:cs="宋体"/>
                <w:sz w:val="24"/>
                <w:szCs w:val="24"/>
                <w:highlight w:val="none"/>
              </w:rPr>
              <w:t>：测试完进行波形预处理，可对阻尼进行测试和分析，不少于4种方法进行阻尼分析、半功率带宽法、时域法、高精度阻尼计、包络线拟合法、在线共振曲线测量，阻尼特性计算。</w:t>
            </w:r>
          </w:p>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b/>
                <w:bCs/>
                <w:sz w:val="24"/>
                <w:szCs w:val="24"/>
                <w:highlight w:val="none"/>
              </w:rPr>
              <w:t>声学测试分析</w:t>
            </w:r>
            <w:r>
              <w:rPr>
                <w:rFonts w:hint="eastAsia" w:ascii="宋体" w:hAnsi="宋体" w:eastAsia="宋体" w:cs="宋体"/>
                <w:sz w:val="24"/>
                <w:szCs w:val="24"/>
                <w:highlight w:val="none"/>
              </w:rPr>
              <w:t>：具备声强测量计算/三维声强法噪声源识别/声强提取声压功能，声强法声功率测试功能，声压法声功率测试，声品质/响度和尖锐度测试分析功能</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二、模态测试分析系统</w:t>
            </w:r>
          </w:p>
          <w:p>
            <w:pPr>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力锤法模态测试分析设计要求：（</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1)具有含变时基专利/锤击、激振器EMA和环境激励OMA（RDT）/含MIMO多输入多输出模态试验/多种频域拟合/随机减量法RDT提取自由衰减响应/ERA特征系统实现算法/结构生成/三维振型动画/自动报告功能；</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2)具有应变模态测试分析，先进模态提纯算法、模态验证算法等；</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3)支持移动敲击点、移动响应点及同时移动敲击点及响应点模态测试；</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4)具有用户灵活设定试验相关信息：测量点描述、力锤敲击点、传感器组、几何特征描述、测点数量、其他相关信息描述；</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5)具有三种自动调整量程功能：关闭自动调整量程、每次测量都自动调整量程、每个测量步自动调整量程；</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6)支持窗函数包括：矩形窗、力窗/用户自定义力窗、指数窗/用户自定义指数窗；        </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7)支持在测试过程中可以交互的在图形界面方便的更改窗函数设定。</w:t>
            </w:r>
          </w:p>
          <w:p>
            <w:pPr>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2.激振器法模态测试分析设计要求：</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激振器法结构振动模态分析功能激振器法支持SIMO和MIMO的两种模态测试方法，在线进行互易性、相干性及频响函数分析显示。</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1)具有模态试验的数据采集、基于FFT变换的所有分析（时域分析、自谱、互谱、相关性、相干性等分析），以及FRF分析、传递函数（矩阵）分析等功能；</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2)具有基于FRF 数据和测量点的定义，实现结构的模态参数识别以及结构动力有限元模型的验证与修改；</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3)具有利用互谱计算方法进行激振器相干性检查；</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4)支持4点同时激振、多个点响应的同时测量分析；</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5)支持输出信号包括：正弦信号、方波、三角波以及锯齿波、随机信号（白噪声）、窄带随机和任意合成波；</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6)具有MIMO分析可以计算：结构激振力、频响函数、振动响应，每一种结果都可由另外两组数据推导得到，从而实现传递路径的分析以及传递路径的合成。</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b/>
                <w:bCs/>
                <w:sz w:val="24"/>
                <w:szCs w:val="24"/>
                <w:highlight w:val="none"/>
              </w:rPr>
              <w:t>功能要求:</w:t>
            </w:r>
            <w:r>
              <w:rPr>
                <w:rFonts w:hint="eastAsia" w:ascii="宋体" w:hAnsi="宋体" w:eastAsia="宋体" w:cs="宋体"/>
                <w:sz w:val="24"/>
                <w:szCs w:val="24"/>
                <w:highlight w:val="none"/>
              </w:rPr>
              <w:t xml:space="preserve"> 具有应用点、线和面等几何工具在屏幕上交互地描画一个3D结构模型的功能，结合分析结果，可直接利用结构模型动态显示振动形状：</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1)具有可定义单个部件和多个部件的装配体几何模型，每个部件可以定义为不同的颜色，以三维方式显示，结果显示时可以只显示某个部件；</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2)支持3种不同的坐标系：笛卡尔直角坐标系、柱坐标系、极坐标系；同时支持多种格式导入，包括：.stl格式，NASTRAN格式，UFF格式，OBJ格式，DXF格式，3DS格式等等</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3)具有几何模型上的点标识应在测试中与测试通道的标识直接对应，无需人为后期手动匹配，可支持CAD等软件导入。</w:t>
            </w:r>
          </w:p>
          <w:p>
            <w:pPr>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★4、</w:t>
            </w:r>
            <w:r>
              <w:rPr>
                <w:rFonts w:hint="eastAsia" w:ascii="宋体" w:hAnsi="宋体" w:eastAsia="宋体" w:cs="宋体"/>
                <w:b/>
                <w:bCs/>
                <w:sz w:val="24"/>
                <w:szCs w:val="24"/>
                <w:highlight w:val="none"/>
              </w:rPr>
              <w:t>实时工作振型（ODS）要求:</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1)具有ODS分析功能，即设备工作状态下实时振型和形变，进行振源分析，当被测物工作状态（转速或者作用力等）发生变化时，可以立刻观察到振动模态和形变的改变，不同于后处理方式的ODS；</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2)具有实时看到被测物各点随时间或转速变化的振幅、相位；</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3)具有可以跟踪时间、频率以及阶次，了解各个振动分量的幅值、相位及贡献量；</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4)具有结合激振器，进行结构的异常振动、噪声信号（Squeak&amp;Rattle）的定位分析；</w:t>
            </w:r>
          </w:p>
          <w:p>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5)支持将动画输出成AVI视频格式；</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5、信号源功能：</w:t>
            </w:r>
            <w:r>
              <w:rPr>
                <w:rFonts w:hint="eastAsia" w:ascii="宋体" w:hAnsi="宋体" w:eastAsia="宋体" w:cs="宋体"/>
                <w:sz w:val="24"/>
                <w:szCs w:val="24"/>
                <w:highlight w:val="none"/>
              </w:rPr>
              <w:t>支持发生30种以上各类信号，连接 D/A 卡可以输出为模拟信号</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 具有的信号基本形式：随机信号（白噪声）、窄带随机、正弦波、方波、三角波和任意合成波；</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 支持周期信号：正弦波、三角波和方波信号具有波形偏置功能，并可以进行频率调制和幅度调制，调制的形式和方向：线性单向、线性双向、对数单向、对数双向、分段单向、分段双向、单脉冲、半脉冲、阻尼衰减和猝发信号等；</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 具有合成信号功能：多个上述各种信号可以分别乘以某个系数合成新的波形；</w:t>
            </w:r>
          </w:p>
          <w:p>
            <w:pPr>
              <w:widowControl/>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 参数可调要求：频率（起止频率）、幅值（起止幅值），初始相位、扫描方式、扫描周期、衰减阻尼比、猝发数目等。</w:t>
            </w:r>
          </w:p>
          <w:p>
            <w:pPr>
              <w:widowControl/>
              <w:spacing w:line="360" w:lineRule="auto"/>
              <w:ind w:firstLine="480" w:firstLineChars="200"/>
              <w:rPr>
                <w:rFonts w:ascii="宋体" w:hAnsi="宋体" w:eastAsia="宋体" w:cs="宋体"/>
                <w:sz w:val="24"/>
                <w:szCs w:val="24"/>
                <w:highlight w:val="none"/>
              </w:rPr>
            </w:pP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b/>
                <w:sz w:val="24"/>
                <w:szCs w:val="24"/>
                <w:highlight w:val="none"/>
              </w:rPr>
              <w:t>旋转机械信号特征分析系统</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设计要求：</w:t>
            </w:r>
            <w:r>
              <w:rPr>
                <w:rFonts w:hint="eastAsia" w:ascii="宋体" w:hAnsi="宋体" w:eastAsia="宋体" w:cs="宋体"/>
                <w:sz w:val="24"/>
                <w:szCs w:val="24"/>
                <w:highlight w:val="none"/>
              </w:rPr>
              <w:t>具有阶次跟踪测试分析功能，可进行阶次跟踪、阶次分析，坎贝尔分析等</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b/>
                <w:bCs/>
                <w:kern w:val="0"/>
                <w:sz w:val="24"/>
                <w:szCs w:val="24"/>
                <w:highlight w:val="none"/>
              </w:rPr>
              <w:t>。</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1)具备频谱图，伯德图，极坐标图，时间谱阵，转速谱阵，时间幅值转速曲线，提纯轴心轨迹，分岔图，阶次分析，阶次谱阵，涡动比，切片图等功能；</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2)具有动平衡分析功能（时下最新一代动平衡），多转速平衡，多配重方案等；</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3)支持FFT阶次计算、数字阶次跟踪和Kalman滤波器三种阶次分析功能；</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4)支持变转速机械使用数字阶次跟踪功能，实现信号的等角度/等旋转周期的重采样，并在角度域进行FFT分析，以能够保证分析结果的精确性。</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bCs/>
                <w:sz w:val="24"/>
                <w:szCs w:val="24"/>
                <w:highlight w:val="none"/>
              </w:rPr>
              <w:t>功能要求</w:t>
            </w:r>
            <w:r>
              <w:rPr>
                <w:rFonts w:hint="eastAsia" w:ascii="宋体" w:hAnsi="宋体" w:eastAsia="宋体" w:cs="宋体"/>
                <w:sz w:val="24"/>
                <w:szCs w:val="24"/>
                <w:highlight w:val="none"/>
              </w:rPr>
              <w:t>：具有扭转振动测试分析功能等</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b/>
                <w:bCs/>
                <w:kern w:val="0"/>
                <w:sz w:val="24"/>
                <w:szCs w:val="24"/>
                <w:highlight w:val="none"/>
              </w:rPr>
              <w:t>。</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1)对测试得到的扭振信号可以进行时域、频域和阶次域的分析，并从结果中分析直接得到轴系扭振的固有频率；</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2)通过同时测试轴两端及中间各点的扭振信号，可以得到整个轴系的相对扭振，并以几何模型进行动态显示；</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3)支持独立的扭振分析测试界面，一键自动分析，不需要输入函数公式；</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4)具有扭振分析通过采集转速脉冲信号，求得轴系旋转角速度的波动，从而分析得到扭转振动的角度、角速度以及角加速度；</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5)支持多种转速传感器：磁电式、霍尔式、光电式、激光式以及光电编码式；</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6)具有高速的转速通道采样（最高700kPulse/s）, 用于转速脉冲的上升（下降）沿的测量，以确保转速脉冲信号的采集精度；</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7)支持对脉冲信号进行自适应修正：删除多脉冲、填充缺脉冲以及码带首末端接缝修正；</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8)支持高通和低通滤波器，从而消除直流和混频信号的干扰；</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9)具有对扭振信号进行时频和阶次分析，查看三维彩图，二维切片，总量图等；</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10)可进行包络分析、解调分析等；</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11)支持对采集到的脉冲信号进行修正，支持删除多脉冲，填补缺齿，码条接缝修复等功能；修正好的转速信号，可以保存成新的转速通道，用于其他分析，如扭振，转速跟踪等；</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12)具有直接计算两个扭振信号的差值；</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13)支持动态显示扭振视频动画。</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b/>
                <w:bCs/>
                <w:sz w:val="24"/>
                <w:szCs w:val="24"/>
                <w:highlight w:val="none"/>
              </w:rPr>
              <w:t>兼容性要求</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1)具有将振动噪声信号、旋转机械的转角、旋转机械的工作周期结合起来的功能，进而从角度域找到信号发生的规律和原因，方便快捷的找到振动和噪声的根源所在；</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2)具有脉冲均等分工作周期功能，将周期内的时域信号在角度域表征出来；</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3)支持多种转速脉冲传感器：磁电式、霍尔式、光电式、激光式以及光电编码式；</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4)支持高速的转速通道采样（最高700Kpulse/s）, 用于转速脉冲的上升（下降）沿的测量，以确保角度信号的精确表征；</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5)具有对脉冲信号进行自适应修正：删除多脉冲、填充缺脉冲以及码带首末端接缝修正；</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6)具有自定义角度分辨率、信号延时时间、周期长度、周期起始位置以及用于进行分析的周期个数；</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7)支持对信号做微、积分处理，设置滤波；截取信号分析，并对信号做偏置、归一化处理；</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可导出频谱图/伯德图/极坐标图/时间谱阵/转速谱阵/时间幅值转速曲线/提纯轴心轨迹/分岔图；阶次分析/阶次谱阵/涡动比/切片图，第三代动平衡测试分析/多转速平衡/多配重方案/影响系数法/三次试重法/配重合成等。</w:t>
            </w:r>
          </w:p>
          <w:p>
            <w:pPr>
              <w:widowControl/>
              <w:tabs>
                <w:tab w:val="left" w:pos="720"/>
              </w:tabs>
              <w:spacing w:line="360" w:lineRule="auto"/>
              <w:ind w:firstLine="480" w:firstLineChars="200"/>
              <w:rPr>
                <w:rFonts w:ascii="宋体" w:hAnsi="宋体" w:eastAsia="宋体" w:cs="宋体"/>
                <w:sz w:val="24"/>
                <w:szCs w:val="24"/>
                <w:highlight w:val="none"/>
              </w:rPr>
            </w:pP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四、传递路径分析/合成</w:t>
            </w:r>
            <w:r>
              <w:rPr>
                <w:rFonts w:hint="eastAsia" w:ascii="宋体" w:hAnsi="宋体" w:eastAsia="宋体" w:cs="宋体"/>
                <w:b/>
                <w:sz w:val="24"/>
                <w:szCs w:val="24"/>
                <w:highlight w:val="none"/>
              </w:rPr>
              <w:t>系统</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设计要求</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具有传递路径分析（TPA，Transfer Path Analysis）功能，可用于对整个结构的噪声源和振动源进行分解，了解各个噪声或振动源到响应点的传递特性，并对不同路径的贡献量进行排序，以生成整个系统的传递函数矩阵。结构传递函数的测试可以通过工况激励法获得，如汽车的加速、滑行等工况，试验无需对测试对象进行拆解。</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bCs/>
                <w:sz w:val="24"/>
                <w:szCs w:val="24"/>
                <w:highlight w:val="none"/>
              </w:rPr>
              <w:t>功能要求</w:t>
            </w:r>
            <w:r>
              <w:rPr>
                <w:rFonts w:hint="eastAsia" w:ascii="宋体" w:hAnsi="宋体" w:eastAsia="宋体" w:cs="宋体"/>
                <w:sz w:val="24"/>
                <w:szCs w:val="24"/>
                <w:highlight w:val="none"/>
              </w:rPr>
              <w:t>：</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1)具有对产品进行改进或更改某部件时，只需要替换相应的噪声或振动源数据，或更改传递矩阵中的某一个元素，系统可以利用传递路径合成功能直接计算得到关心点的响应；</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持结构传递函数的测量，可以通过以下方式确定：激振器法、力锤法、发动机自身激励法（阶次求解传递函数法），空气声传递函数的测量可以通过宽频激励声源作为激励，测量响应来进行求解，两种传递函数的求解均可用互易法来进行测定；</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3)具有串扰消除功能：在传递函数的求解过程中，难以避免的路径串扰现象，可以通过传递路径的串扰消除功能来进行修正；</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4)支持通过噪声、振动源及相应的传递函数，可以分析出各信号源对关心点响应的贡献量，从而进行分解排序，并可对分解出的各部件信号进行进一步的分析；</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5)支持传递函数矩阵生成功能：改变零部件的相关特性，相应调整噪声源、振动源或传递函数，可以模拟合成得到关心点的振动或噪声，并可以对合成的声音进行回放及主观评价；</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6)具有传递路经分析／合成功能，通过进行车辆通过噪声时的车内、车外噪声来源分析以及合成，为了解整车的噪声特性以及进行相应的改进提供可靠的实验分析依据；</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7)支持合成的数据可以储存为时域数据格式，以用于进一步的分析；传递函数可以通过测试或仿真等方法得到。</w:t>
            </w:r>
          </w:p>
          <w:p>
            <w:pPr>
              <w:widowControl/>
              <w:tabs>
                <w:tab w:val="left" w:pos="720"/>
              </w:tabs>
              <w:spacing w:line="360" w:lineRule="auto"/>
              <w:ind w:firstLine="480" w:firstLineChars="200"/>
              <w:rPr>
                <w:rFonts w:ascii="宋体" w:hAnsi="宋体" w:eastAsia="宋体" w:cs="宋体"/>
                <w:sz w:val="24"/>
                <w:szCs w:val="24"/>
                <w:highlight w:val="none"/>
              </w:rPr>
            </w:pP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五、硬件要求：</w:t>
            </w:r>
            <w:r>
              <w:rPr>
                <w:rFonts w:hint="eastAsia" w:ascii="宋体" w:hAnsi="宋体" w:eastAsia="宋体" w:cs="宋体"/>
                <w:sz w:val="24"/>
                <w:szCs w:val="24"/>
                <w:highlight w:val="none"/>
              </w:rPr>
              <w:t>高度≥80mm，宽度≥280mm，长度≥250mm；电池容量≥90Wh；专用测试仪，处理器核心数≥24核，处理器</w:t>
            </w:r>
            <w:r>
              <w:rPr>
                <w:rFonts w:hint="eastAsia" w:ascii="宋体" w:hAnsi="宋体" w:eastAsia="宋体" w:cs="宋体"/>
                <w:color w:val="222222"/>
                <w:sz w:val="24"/>
                <w:szCs w:val="24"/>
                <w:highlight w:val="none"/>
                <w:shd w:val="clear" w:color="auto" w:fill="FFFFFF"/>
              </w:rPr>
              <w:t>线程</w:t>
            </w:r>
            <w:r>
              <w:rPr>
                <w:rFonts w:hint="eastAsia" w:ascii="宋体" w:hAnsi="宋体" w:eastAsia="宋体" w:cs="宋体"/>
                <w:sz w:val="24"/>
                <w:szCs w:val="24"/>
                <w:highlight w:val="none"/>
              </w:rPr>
              <w:t>数≥32，硬盘容量≥1TB，独立显卡。</w:t>
            </w:r>
          </w:p>
        </w:tc>
        <w:tc>
          <w:tcPr>
            <w:tcW w:w="566"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425"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05" w:type="pct"/>
            <w:vAlign w:val="center"/>
          </w:tcPr>
          <w:p>
            <w:pPr>
              <w:spacing w:line="360" w:lineRule="auto"/>
              <w:jc w:val="cente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09" w:type="pct"/>
            <w:vAlign w:val="center"/>
          </w:tcPr>
          <w:p>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524"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sz w:val="24"/>
                <w:szCs w:val="24"/>
                <w:highlight w:val="none"/>
              </w:rPr>
              <w:t>振动噪声数据采集器</w:t>
            </w:r>
          </w:p>
        </w:tc>
        <w:tc>
          <w:tcPr>
            <w:tcW w:w="2670" w:type="pct"/>
          </w:tcPr>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一、多通道数据采集前端</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设计要求</w:t>
            </w:r>
            <w:r>
              <w:rPr>
                <w:rFonts w:hint="eastAsia" w:ascii="宋体" w:hAnsi="宋体" w:eastAsia="宋体" w:cs="宋体"/>
                <w:sz w:val="24"/>
                <w:szCs w:val="24"/>
                <w:highlight w:val="none"/>
              </w:rPr>
              <w:t>：电压/ICP/TEDS/应变传感器输入通道≥40个；高精度转速通道≥4个，输入带宽0.2～100kHz；能与下述便捷式前端相连接以扩大通道数；与上述信号的频谱特征分析功能，模态测试分析系统，旋转机械信号特征分析系统，传递路径分析/合成系统完全兼容，顺利使用</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提供上述功能的证明材料并加盖投标单位公章；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2、以太网传输模式要求：</w:t>
            </w:r>
            <w:r>
              <w:rPr>
                <w:rFonts w:hint="eastAsia" w:ascii="宋体" w:hAnsi="宋体" w:eastAsia="宋体" w:cs="宋体"/>
                <w:kern w:val="0"/>
                <w:sz w:val="24"/>
                <w:szCs w:val="24"/>
                <w:highlight w:val="none"/>
              </w:rPr>
              <w:t>采集仪器支持至少两个标准1000M以太网接口，内置同步交换机，可多台支持串行、并行网络级联同步，</w:t>
            </w:r>
            <w:r>
              <w:rPr>
                <w:rFonts w:hint="eastAsia" w:ascii="宋体" w:hAnsi="宋体" w:eastAsia="宋体" w:cs="宋体"/>
                <w:sz w:val="24"/>
                <w:szCs w:val="24"/>
                <w:highlight w:val="none"/>
              </w:rPr>
              <w:t>支持PTP IEEE 1588-2008V2同步协议；单次连续测量时间最长≥24小时以上，数据不失真</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提供上述功能的证明材料并加盖投标单位公章；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3、供电要求：</w:t>
            </w:r>
            <w:r>
              <w:rPr>
                <w:rFonts w:hint="eastAsia" w:ascii="宋体" w:hAnsi="宋体" w:eastAsia="宋体" w:cs="宋体"/>
                <w:sz w:val="24"/>
                <w:szCs w:val="24"/>
                <w:highlight w:val="none"/>
              </w:rPr>
              <w:t>支持多种供电模式，供电方式包括：220VAC交流供电、10～30 VDC直流供电。</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4、工作环境温度要求：</w:t>
            </w:r>
            <w:r>
              <w:rPr>
                <w:rFonts w:hint="eastAsia" w:ascii="宋体" w:hAnsi="宋体" w:eastAsia="宋体" w:cs="宋体"/>
                <w:sz w:val="24"/>
                <w:szCs w:val="24"/>
                <w:highlight w:val="none"/>
              </w:rPr>
              <w:t>-30℃～60℃</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5、电压/ICP/TEDS/应变输入通道要求：（</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电压/ICP/TEDS输入通道≥40个，每通道均兼容4种信号输入方式：ICP、电压、应变、TEDS，并支持TEDS智能传感器识别</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采样速率≥256</w:t>
            </w:r>
            <w:r>
              <w:rPr>
                <w:rFonts w:hint="eastAsia" w:ascii="宋体" w:hAnsi="宋体" w:eastAsia="宋体" w:cs="宋体"/>
                <w:sz w:val="24"/>
                <w:szCs w:val="24"/>
                <w:highlight w:val="none"/>
              </w:rPr>
              <w:t xml:space="preserve">k </w:t>
            </w:r>
            <w:r>
              <w:rPr>
                <w:rFonts w:hint="eastAsia" w:ascii="宋体" w:hAnsi="宋体" w:eastAsia="宋体" w:cs="宋体"/>
                <w:kern w:val="0"/>
                <w:sz w:val="24"/>
                <w:szCs w:val="24"/>
                <w:highlight w:val="none"/>
              </w:rPr>
              <w:t>Hz（采样率在1Hz～256kHz之间任意可调）；</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2)最大分析带宽</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100 kHz；</w:t>
            </w:r>
          </w:p>
          <w:p>
            <w:pPr>
              <w:pStyle w:val="10"/>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3)每通道输入24位AD或更优，输入最大量程范围±10V，动态范围优于120dB@10V；每通道内置抗混叠滤波器并至少支持1/10/100倍3档信号增益放大档位；</w:t>
            </w:r>
          </w:p>
          <w:p>
            <w:pPr>
              <w:pStyle w:val="10"/>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4)每台采集仪内置≥16GB存储空间，上下位机同时存储数据，提升系统存储可靠性，支持离线采集功能；</w:t>
            </w:r>
          </w:p>
          <w:p>
            <w:pPr>
              <w:pStyle w:val="10"/>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kern w:val="0"/>
                <w:sz w:val="24"/>
                <w:szCs w:val="24"/>
                <w:highlight w:val="none"/>
              </w:rPr>
              <w:t>具有OLED状态显示采集系统目前工作状态和基本信息</w:t>
            </w:r>
            <w:r>
              <w:rPr>
                <w:rFonts w:hint="eastAsia" w:ascii="宋体" w:hAnsi="宋体" w:eastAsia="宋体" w:cs="宋体"/>
                <w:sz w:val="24"/>
                <w:szCs w:val="24"/>
                <w:highlight w:val="none"/>
              </w:rPr>
              <w:t>；</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6)可选电压输入范围：±40V，±10 V，±1.0 V，±100 mV；</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7)相位匹配：优于0.2°@10kHz；</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8)幅值线性度≥0.025%。</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6、高精度转速通道要求：</w:t>
            </w:r>
            <w:r>
              <w:rPr>
                <w:rFonts w:hint="eastAsia" w:ascii="宋体" w:hAnsi="宋体" w:eastAsia="宋体" w:cs="宋体"/>
                <w:sz w:val="24"/>
                <w:szCs w:val="24"/>
                <w:highlight w:val="none"/>
              </w:rPr>
              <w:t>支持12或24VDC传感器供电，输入电压范围≤±30 V,转速通道可以支持模拟脉冲信号、TTL数字信号、增量式编码器信号。支持的脉冲频率不低于700k Pulses/s，满足扭振测试高精度要求</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提供上述功能的证明材料并加盖投标单位公章；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7、信号输出通道要求：</w:t>
            </w:r>
            <w:r>
              <w:rPr>
                <w:rFonts w:hint="eastAsia" w:ascii="宋体" w:hAnsi="宋体" w:eastAsia="宋体" w:cs="宋体"/>
                <w:sz w:val="24"/>
                <w:szCs w:val="24"/>
                <w:highlight w:val="none"/>
              </w:rPr>
              <w:t>每台仪器DA输出≥2通道；DA输出要求精度不低于32位DA，DA动态范围不低于107dB，DA输出频率要求0.001Hz～80KHz任意可调，输出电压量程不小于10V。DA输出支持信号类型支持随机、窄带随机、正弦扫频等信号。</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8、CAN/CAN FD车载总线采集通道要求：</w:t>
            </w:r>
            <w:r>
              <w:rPr>
                <w:rFonts w:hint="eastAsia" w:ascii="宋体" w:hAnsi="宋体" w:eastAsia="宋体" w:cs="宋体"/>
                <w:sz w:val="24"/>
                <w:szCs w:val="24"/>
                <w:highlight w:val="none"/>
              </w:rPr>
              <w:t>车载数字总线采集通道1个，兼容CAN 2.0B及CAN FD协议终端电阻：120Ω</w:t>
            </w: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b/>
                <w:sz w:val="24"/>
                <w:szCs w:val="24"/>
                <w:highlight w:val="none"/>
              </w:rPr>
              <w:t>便携式数据采集前端</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1、设计要求：</w:t>
            </w:r>
            <w:r>
              <w:rPr>
                <w:rFonts w:hint="eastAsia" w:ascii="宋体" w:hAnsi="宋体" w:eastAsia="宋体" w:cs="宋体"/>
                <w:sz w:val="24"/>
                <w:szCs w:val="24"/>
                <w:highlight w:val="none"/>
              </w:rPr>
              <w:t>便携式数采前端≥2套，通道数≥16，能与上述前端相连接以扩大通道数；与上述信号的频谱特征分析功能，模态测试分析系统，旋转机械信号特征分析系统，传递路径分析/合成系统完全兼容，顺利使用需满足便携要求</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提供上述功能的证明材料并加盖投标单位公章；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2.多种数据传输模式要求：</w:t>
            </w:r>
            <w:r>
              <w:rPr>
                <w:rFonts w:hint="eastAsia" w:ascii="宋体" w:hAnsi="宋体" w:eastAsia="宋体" w:cs="宋体"/>
                <w:sz w:val="24"/>
                <w:szCs w:val="24"/>
                <w:highlight w:val="none"/>
              </w:rPr>
              <w:t>以太网接口≥2个，以太网接口支持PTP IEEE 1588-2008V2同步协议。</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3、模拟量输入通道要求：</w:t>
            </w:r>
            <w:r>
              <w:rPr>
                <w:rFonts w:hint="eastAsia" w:ascii="宋体" w:hAnsi="宋体" w:eastAsia="宋体" w:cs="宋体"/>
                <w:sz w:val="24"/>
                <w:szCs w:val="24"/>
                <w:highlight w:val="none"/>
              </w:rPr>
              <w:t xml:space="preserve"> </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1)ICP/模拟量输入通道≥16个，每通道均可兼容ICP、电压、电流、热电偶等输入方式，并支持TEDS智能传感器识别；</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2)最大采样率≥4MHz，最大分析带宽≥100 kHz；</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3)单通道24bit A/D,单通道采样率≥满足1～256kS/s，且任意可调,支持所有通道256kS/s同步记录数据，所有通道同时工作时，每个通道可以根据需要单独设置采样频率，不同通道可设置不同采样频率；</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4)可选电压输入范围：±20V；</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5)动态范围≥130dB；</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6)单台内置存储容量≥8GB；</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7)采集仪具有OLED状态显示，内置电池≥3.25Ah（35.1Wh）；</w:t>
            </w:r>
          </w:p>
          <w:p>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8)支持GPS/北斗同步,可实时记录GPS/北斗信息，可通过GPS信号记录车速信息。</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4、高精度转速通道要求：</w:t>
            </w:r>
            <w:r>
              <w:rPr>
                <w:rFonts w:hint="eastAsia" w:ascii="宋体" w:hAnsi="宋体" w:eastAsia="宋体" w:cs="宋体"/>
                <w:sz w:val="24"/>
                <w:szCs w:val="24"/>
                <w:highlight w:val="none"/>
              </w:rPr>
              <w:t>高精度独立转速通道≥4个，输入频率≥0.2～200kHz；传感器供电电压：12V。</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5、硬件外观要求：</w:t>
            </w:r>
            <w:r>
              <w:rPr>
                <w:rFonts w:hint="eastAsia" w:ascii="宋体" w:hAnsi="宋体" w:eastAsia="宋体" w:cs="宋体"/>
                <w:sz w:val="24"/>
                <w:szCs w:val="24"/>
                <w:highlight w:val="none"/>
              </w:rPr>
              <w:t>设备内置电池和内部存储，长度≤180mm，宽度≤120mm，高度≤100mm。</w:t>
            </w:r>
          </w:p>
        </w:tc>
        <w:tc>
          <w:tcPr>
            <w:tcW w:w="566"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425"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05" w:type="pct"/>
            <w:vAlign w:val="center"/>
          </w:tcPr>
          <w:p>
            <w:pPr>
              <w:spacing w:line="360" w:lineRule="auto"/>
              <w:jc w:val="cente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pct"/>
            <w:vAlign w:val="center"/>
          </w:tcPr>
          <w:p>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524"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sz w:val="24"/>
                <w:szCs w:val="24"/>
                <w:highlight w:val="none"/>
              </w:rPr>
              <w:t>汽车传感器套件</w:t>
            </w:r>
          </w:p>
        </w:tc>
        <w:tc>
          <w:tcPr>
            <w:tcW w:w="2670" w:type="pct"/>
          </w:tcPr>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一、高灵敏度压电式单向加速度传感器（含线束、磁座），20组</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★1、灵敏度≤10mV/g/(m/s²)</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2、量程：±500g</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3、频率范围：0.5Hz～12k Hz</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4、非线性：≤1%</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5、工作温度：-40 - 120°C</w:t>
            </w:r>
          </w:p>
          <w:p>
            <w:pPr>
              <w:widowControl/>
              <w:numPr>
                <w:ilvl w:val="0"/>
                <w:numId w:val="1"/>
              </w:numPr>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线缆带屏蔽，线缆数量≥24条，其中6米线缆≥12条，10米线缆≥12条。</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7、可以粘接；磁座磁力链接；螺纹连接（安装螺纹,安装谐振频率≥25k Hz，分辨率</w:t>
            </w:r>
            <w:r>
              <w:rPr>
                <w:rFonts w:hint="eastAsia" w:ascii="宋体" w:hAnsi="宋体" w:eastAsia="宋体" w:cs="宋体"/>
                <w:b/>
                <w:bCs/>
                <w:sz w:val="24"/>
                <w:szCs w:val="24"/>
                <w:highlight w:val="none"/>
              </w:rPr>
              <w:t>0.5mg</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二、低灵敏度压电式单向加速度传感器（含线束、磁座），20组</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1、灵敏度≤100mV/g/(m/s²)</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2、量程：±50g</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3、频率范围：0.1-8k Hz</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4、非线性：≤1%</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5、工作温度：-40 - 120°C</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6、固定方式，绝缘底座可以粘接，磁座磁力链接，螺纹连接（安装螺纹,安装谐振频率≥25kHz，分辨率</w:t>
            </w:r>
            <w:r>
              <w:rPr>
                <w:rFonts w:hint="eastAsia" w:ascii="宋体" w:hAnsi="宋体" w:eastAsia="宋体" w:cs="宋体"/>
                <w:b/>
                <w:bCs/>
                <w:sz w:val="24"/>
                <w:szCs w:val="24"/>
                <w:highlight w:val="none"/>
              </w:rPr>
              <w:t>0.5mg</w:t>
            </w:r>
            <w:r>
              <w:rPr>
                <w:rFonts w:hint="eastAsia" w:ascii="宋体" w:hAnsi="宋体" w:eastAsia="宋体" w:cs="宋体"/>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7、线缆带屏蔽，线缆数量≥24条，其中6米线缆≥12条，10米线缆≥12条</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★8、本底噪声：5～315Hz≤44dB、5～8000Hz≤48dB；</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三、高灵敏度压电式三向加速度传感器（含线束、磁座），20组</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★1、灵敏度≤10mV/g/(m/s²)</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2、量程：±500g</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3、频率范围：0.5～9k Hz、0.4～10k Hz</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4、非线性：≤1%</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5、工作温度：-40 -120°C</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6、线缆带屏蔽，接头形式为4 针脚插头转3个BNC公头（标有X、Y、Z），线缆数量≥24条，其中6米线缆≥12条，10米线缆≥12条</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7、固定方式，绝缘底座可以粘接，磁座磁力链接，螺纹连接（安装螺纹,安装谐振频率≥25kHz，分辨率</w:t>
            </w:r>
            <w:r>
              <w:rPr>
                <w:rFonts w:hint="eastAsia" w:ascii="宋体" w:hAnsi="宋体" w:eastAsia="宋体" w:cs="宋体"/>
                <w:b/>
                <w:bCs/>
                <w:sz w:val="24"/>
                <w:szCs w:val="24"/>
                <w:highlight w:val="none"/>
              </w:rPr>
              <w:t>0.5mg</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四、低灵敏度压电式三向加速度传感器（含线束、磁座），20组</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1、灵敏度≤100mV/(m/s²)</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2、量程：±50g</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3、频率范围：0.5-7k Hz(±1dB)，0.4-10k Hz(±3dB)</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4、非线性：≤1%</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5、工作温度：-40 - 120°C</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6、线缆带屏蔽，接头形式为4 针脚插头转3个BNC公头（标有X、Y、Z）；线缆带屏蔽，线缆数量≥24条，其中6米线缆≥12条，10米线缆≥12条</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7、可以粘接；磁座磁力链接；螺纹连接（安装螺纹,安装谐振频率≥25kHz，分辨率</w:t>
            </w:r>
            <w:r>
              <w:rPr>
                <w:rFonts w:hint="eastAsia" w:ascii="宋体" w:hAnsi="宋体" w:eastAsia="宋体" w:cs="宋体"/>
                <w:b/>
                <w:bCs/>
                <w:sz w:val="24"/>
                <w:szCs w:val="24"/>
                <w:highlight w:val="none"/>
              </w:rPr>
              <w:t>0.5mg</w:t>
            </w:r>
            <w:r>
              <w:rPr>
                <w:rFonts w:hint="eastAsia" w:ascii="宋体" w:hAnsi="宋体" w:eastAsia="宋体" w:cs="宋体"/>
                <w:sz w:val="24"/>
                <w:szCs w:val="24"/>
                <w:highlight w:val="none"/>
              </w:rPr>
              <w:t>）</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8、耐冲击≤5000g（不供电）；</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五、声学传感器（麦克风），10组</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 频率响应特性：自由场</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●2、灵敏度≤50mV/Pa</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★3、频率范围：</w:t>
            </w:r>
            <w:r>
              <w:rPr>
                <w:rFonts w:hint="eastAsia" w:ascii="宋体" w:hAnsi="宋体" w:eastAsia="宋体" w:cs="宋体"/>
                <w:b/>
                <w:bCs/>
                <w:sz w:val="24"/>
                <w:szCs w:val="24"/>
                <w:highlight w:val="none"/>
              </w:rPr>
              <w:t>10Hz～10k Hz（±1dB）/4Hz～25k Hz（±2dB）</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●4、本底噪声≤15.5dB(A)参考值20µPa</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5、动态范围≥160dB参考值20µPa</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6、符合 IEC61672和GBT3785的一级精度/符合IEC1094-4标准</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7、麦克风名义尺寸：1/2"英寸</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8、工作温度：-40 -120°C</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9、线缆带屏蔽，线缆数量≥12条，线缆长度≥10m。</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10、配套支架：便于携带，工作高度：860-1900mm；角架节数≥3；最大负荷≥7kg；收缩高度≤830mm；自带云台；产品重量≤4kg；</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六、振动校准器，1套</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1、最大振动加速度输出值≥50.0m/s</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 xml:space="preserve"> (100克负载，160Hz（±1 %）)</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2、被测传感器支持重量≤200克（10.0 m/s</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，160Hz时）</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3、重量≤5kg</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4、工作温度：-10-55°C，</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七、声学传感器校准器，1套</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1、输出声压级：94及114dB±0.2dB</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2、输出频率：1k Hz±0.5%</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●3、符合IEC60942-1:2003, Class1标准；</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八、激光转速传感器，10套</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1、转速测量范围：1-200k RPM</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2、光束类型：可见红色激光 </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3、最大工作距离≥1米</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4、供电电压：4–15Vdc</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5、同型号带屏蔽功能的线缆长度≥3米，数量≥12条</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6、专用固定装置；</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九、大型激振器（含功放），1套</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1、最大激振力≥200N</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2、频率范围： 0-2k Hz </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3、振幅≤±10mm</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4、工作温度：-30℃-70℃</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5、功放输出功率≤200W</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6、功放输出电流≤10A</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7、功放工作频率范围：0-10k Hz</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8、功放输入信号幅度：0-20V</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9、功放输出信噪比≥76dB；</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十、小型激振器（含功放），1套</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1、最大激振力≥50N</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2、频率范围： 0-5k Hz </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3、振幅≤±7.5mm，加速度≥20 g</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4、工作温度： -30℃-70℃</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5、功放输出功率≥20W</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6、功放最大输出电流≤7 Arms</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7、功放工作频率范围：0-5k Hz；</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十一、小型力锤，1台</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 mV/N</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2、量程：0-500N </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3、线性度：≤1%；</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十二、大型力锤，1台</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 mV/N</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2、量程：0-5k N </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3、线性度≤1%；</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十三、应变片，2000片</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1、应用于金属与车用保险杠场景，阻值120Ω；</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2、免焊接，每个应变片自带导线≥200mm</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3、长度≥7mm，宽度≥4mm</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4、使用温度范围-30~80℃；</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十四、声强传感器，1套</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1、1/3倍频程中心频率测量范围≥50-6.3k Hz</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●2、声强测量精度为1级，按照JJG992-2004标准</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3、传声器≥2支，幅值、相位响应需匹配，并提供独立的相位校正曲线</w:t>
            </w:r>
          </w:p>
          <w:p>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支架1套，隔离柱≥4种（对应4种频率范围）；支架尺寸≤1500*1500mm，框架材料需为铝合金；配套落地三脚架高度需可调节，调节范围至少满足1.3-1.8m；传声器固定座≥100个，横杆上激光打尺寸刻度，横向纵向间距可调节，横向间距≤45mm，纵向间距≤60mm；</w:t>
            </w:r>
            <w:r>
              <w:rPr>
                <w:rFonts w:hint="eastAsia" w:ascii="宋体" w:hAnsi="宋体" w:eastAsia="宋体" w:cs="宋体"/>
                <w:b/>
                <w:bCs/>
                <w:sz w:val="24"/>
                <w:szCs w:val="24"/>
                <w:highlight w:val="none"/>
              </w:rPr>
              <w:t>附有质量检验报告</w:t>
            </w:r>
            <w:r>
              <w:rPr>
                <w:rFonts w:hint="eastAsia" w:ascii="宋体" w:hAnsi="宋体" w:eastAsia="宋体" w:cs="宋体"/>
                <w:b/>
                <w:bCs/>
                <w:sz w:val="24"/>
                <w:szCs w:val="24"/>
                <w:highlight w:val="none"/>
              </w:rPr>
              <w:t>。</w:t>
            </w:r>
          </w:p>
        </w:tc>
        <w:tc>
          <w:tcPr>
            <w:tcW w:w="566"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425" w:type="pct"/>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05" w:type="pct"/>
            <w:vAlign w:val="center"/>
          </w:tcPr>
          <w:p>
            <w:pPr>
              <w:spacing w:line="360" w:lineRule="auto"/>
              <w:jc w:val="center"/>
              <w:rPr>
                <w:rFonts w:ascii="宋体" w:hAnsi="宋体" w:eastAsia="宋体" w:cs="宋体"/>
                <w:bCs/>
                <w:sz w:val="24"/>
                <w:szCs w:val="24"/>
                <w:highlight w:val="none"/>
              </w:rPr>
            </w:pPr>
          </w:p>
        </w:tc>
      </w:tr>
    </w:tbl>
    <w:p>
      <w:pPr>
        <w:pStyle w:val="6"/>
        <w:spacing w:line="360" w:lineRule="auto"/>
        <w:ind w:left="0" w:firstLine="0" w:firstLineChars="0"/>
        <w:rPr>
          <w:rFonts w:ascii="宋体" w:hAnsi="宋体" w:eastAsia="宋体" w:cs="宋体"/>
          <w:bCs/>
          <w:kern w:val="0"/>
          <w:sz w:val="24"/>
          <w:szCs w:val="24"/>
          <w:highlight w:val="none"/>
          <w:shd w:val="clear" w:color="auto" w:fill="FFFFFF" w:themeFill="background1"/>
        </w:rPr>
      </w:pPr>
      <w:r>
        <w:rPr>
          <w:rFonts w:hint="eastAsia" w:ascii="宋体" w:hAnsi="宋体" w:eastAsia="宋体" w:cs="宋体"/>
          <w:bCs/>
          <w:kern w:val="0"/>
          <w:sz w:val="24"/>
          <w:szCs w:val="24"/>
          <w:highlight w:val="none"/>
          <w:shd w:val="clear" w:color="auto" w:fill="FFFFFF" w:themeFill="background1"/>
        </w:rPr>
        <w:t>注：1.</w:t>
      </w:r>
      <w:r>
        <w:rPr>
          <w:rFonts w:hint="eastAsia" w:ascii="宋体" w:hAnsi="宋体" w:eastAsia="宋体" w:cs="宋体"/>
          <w:bCs/>
          <w:sz w:val="24"/>
          <w:szCs w:val="24"/>
          <w:highlight w:val="none"/>
          <w:shd w:val="clear" w:color="auto" w:fill="FFFFFF" w:themeFill="background1"/>
        </w:rPr>
        <w:t>货物指标要求清单中</w:t>
      </w:r>
      <w:r>
        <w:rPr>
          <w:rFonts w:hint="eastAsia" w:ascii="宋体" w:hAnsi="宋体" w:eastAsia="宋体" w:cs="宋体"/>
          <w:bCs/>
          <w:kern w:val="0"/>
          <w:sz w:val="24"/>
          <w:szCs w:val="24"/>
          <w:highlight w:val="none"/>
          <w:shd w:val="clear" w:color="auto" w:fill="FFFFFF" w:themeFill="background1"/>
        </w:rPr>
        <w:t>如某项标识中包含多条技术参数或要求，则该项标识所含内容均需满足或优于招标文件要求，否则不予认可。</w:t>
      </w:r>
    </w:p>
    <w:p>
      <w:pPr>
        <w:widowControl/>
        <w:spacing w:line="360" w:lineRule="auto"/>
        <w:jc w:val="left"/>
        <w:rPr>
          <w:rFonts w:ascii="宋体" w:hAnsi="宋体" w:eastAsia="宋体"/>
          <w:bCs/>
          <w:sz w:val="24"/>
          <w:szCs w:val="24"/>
          <w:highlight w:val="none"/>
          <w:shd w:val="clear" w:color="auto" w:fill="FFFFFF" w:themeFill="background1"/>
        </w:rPr>
      </w:pPr>
      <w:r>
        <w:rPr>
          <w:rFonts w:hint="eastAsia" w:ascii="宋体" w:hAnsi="宋体" w:eastAsia="宋体" w:cs="宋体"/>
          <w:bCs/>
          <w:kern w:val="0"/>
          <w:sz w:val="24"/>
          <w:szCs w:val="24"/>
          <w:highlight w:val="none"/>
          <w:shd w:val="clear" w:color="auto" w:fill="FFFFFF" w:themeFill="background1"/>
        </w:rPr>
        <w:t>2.所有产品的技术参数及要求，采购人验收时将逐条核对，如发现与实际情况不符、虚假响应等，采购人有权报监管部门按规定处理，由此产生的责任与后果均由中标人自行承担。</w:t>
      </w:r>
    </w:p>
    <w:p>
      <w:pPr>
        <w:spacing w:line="360" w:lineRule="auto"/>
        <w:outlineLvl w:val="1"/>
        <w:rPr>
          <w:rFonts w:ascii="宋体" w:hAnsi="宋体" w:eastAsia="宋体"/>
          <w:b/>
          <w:bCs/>
          <w:sz w:val="24"/>
          <w:szCs w:val="24"/>
          <w:highlight w:val="none"/>
        </w:rPr>
      </w:pPr>
      <w:r>
        <w:rPr>
          <w:rFonts w:hint="eastAsia" w:ascii="宋体" w:hAnsi="宋体" w:eastAsia="宋体"/>
          <w:b/>
          <w:bCs/>
          <w:sz w:val="24"/>
          <w:szCs w:val="24"/>
          <w:highlight w:val="none"/>
        </w:rPr>
        <w:t>三、安装调试、质保及售后服务要求</w:t>
      </w:r>
    </w:p>
    <w:p>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1、安装调试要求：所有设备均应按出厂标准及国家有关要求进行包装及运输，送货至采购人指定的交货地点，由中标人负责派人负责设备的现场安装和调试。</w:t>
      </w:r>
    </w:p>
    <w:p>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2、售后服务要求：</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（1）中标人对合同货物的质量保修期为：自项目终验合格之日起不少于3年。</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（2）中标人在合同货物的质量保修期内，免费为采购人提供合同货物的技术指导和维修服务，</w:t>
      </w:r>
      <w:r>
        <w:rPr>
          <w:rFonts w:hint="eastAsia" w:ascii="宋体" w:hAnsi="宋体" w:eastAsia="宋体" w:cs="宋体"/>
          <w:sz w:val="24"/>
          <w:szCs w:val="24"/>
          <w:highlight w:val="none"/>
        </w:rPr>
        <w:t>服务响应时间为7×24h</w:t>
      </w:r>
      <w:r>
        <w:rPr>
          <w:rFonts w:hint="eastAsia" w:ascii="宋体" w:hAnsi="宋体" w:eastAsia="宋体" w:cs="宋体"/>
          <w:bCs/>
          <w:sz w:val="24"/>
          <w:szCs w:val="24"/>
          <w:highlight w:val="none"/>
        </w:rPr>
        <w:t>。</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3）中标人保证在合同货物出现故障和缺陷时，或接到采购人提出的技术服务要求后1小时内予以答复，如采购人有要求或必要时，中标人应在接到采购人通知后24小时内派员至采购人处免费维修和提供现场指导。</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（4）如中标人在接到采购人维修通知后24小时仍不能修复有关货物，中标人应提供与该货物同一型号的备用货物。</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5）如中标人在接到采购人提出的技术服务要求或维修通知后2小时内没有响应、拒绝或没有派员到达采购人提供技术服务、修理或退换货物，采购人有权委托第三方对合同货物进行维修或提供技术服务，因此产生的相关费用由中标人承担。</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（6）在合同货物保修期届满后，如果因合同货物硬件或软件的固有缺陷和瑕疵出现紧急故障和事故，中标人应在接到采购人通知之后24小时内到达现场。</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（7）项目验收后，根据采购人的请求，中标人应当为采购人指定的人员提供培训，并向采购人提供培训相关资料。</w:t>
      </w:r>
    </w:p>
    <w:p>
      <w:pPr>
        <w:spacing w:line="360" w:lineRule="auto"/>
        <w:outlineLvl w:val="1"/>
        <w:rPr>
          <w:rFonts w:ascii="宋体" w:hAnsi="宋体" w:eastAsia="宋体"/>
          <w:b/>
          <w:bCs/>
          <w:sz w:val="24"/>
          <w:szCs w:val="24"/>
          <w:highlight w:val="none"/>
        </w:rPr>
      </w:pPr>
      <w:r>
        <w:rPr>
          <w:rFonts w:hint="eastAsia" w:ascii="宋体" w:hAnsi="宋体" w:eastAsia="宋体"/>
          <w:b/>
          <w:bCs/>
          <w:sz w:val="24"/>
          <w:szCs w:val="24"/>
          <w:highlight w:val="none"/>
        </w:rPr>
        <w:t>四、报价要求</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本项目报投标总价，报价包含完成本项目的所有费用。</w:t>
      </w:r>
    </w:p>
    <w:p>
      <w:pPr>
        <w:spacing w:line="360" w:lineRule="auto"/>
        <w:outlineLvl w:val="1"/>
        <w:rPr>
          <w:rFonts w:ascii="宋体" w:hAnsi="宋体" w:eastAsia="宋体"/>
          <w:b/>
          <w:bCs/>
          <w:sz w:val="24"/>
          <w:szCs w:val="24"/>
          <w:highlight w:val="none"/>
        </w:rPr>
      </w:pPr>
      <w:r>
        <w:rPr>
          <w:rFonts w:hint="eastAsia" w:ascii="宋体" w:hAnsi="宋体" w:eastAsia="宋体"/>
          <w:b/>
          <w:bCs/>
          <w:sz w:val="24"/>
          <w:szCs w:val="24"/>
          <w:highlight w:val="none"/>
        </w:rPr>
        <w:t>五、其他要求</w:t>
      </w:r>
    </w:p>
    <w:p>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1、包装和运输要求：中标人交付的全部货物，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w:t>
      </w:r>
    </w:p>
    <w:p>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2、验收要求：</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货物交付前，中标人应对货物的质量、数量等方面进行详细、全面的检验，并向甲方出具证明货物符合合同约定的文件；货物交付时，中标人在约定时间内组织验收，并可依法邀请相关方参加，验收应出具验收书。</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2）合同期满或者履行完毕后，采购人有权组织（包括依法邀请国家认可的质量检测机构参加）对中标人履约的验收，即：按照合同约定的技术、服务、安全标准，组织对每一项技术、服务、安全标准的履约情况的验收，并出具验收书。</w:t>
      </w:r>
    </w:p>
    <w:p>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3、知识产权要求：中标人应保证采购人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76" w:lineRule="exact"/>
        <w:ind w:firstLine="3840" w:firstLineChars="1600"/>
        <w:rPr>
          <w:rFonts w:hint="eastAsia" w:ascii="宋体" w:hAnsi="宋体" w:cs="宋体"/>
          <w:sz w:val="24"/>
          <w:highlight w:val="none"/>
        </w:rPr>
      </w:pPr>
      <w:r>
        <w:rPr>
          <w:rFonts w:hint="eastAsia" w:ascii="宋体" w:hAnsi="宋体"/>
          <w:sz w:val="24"/>
          <w:highlight w:val="none"/>
        </w:rPr>
        <w:br w:type="page"/>
      </w:r>
      <w:bookmarkEnd w:id="0"/>
    </w:p>
    <w:p>
      <w:pPr>
        <w:spacing w:line="360" w:lineRule="auto"/>
        <w:rPr>
          <w:rFonts w:hint="eastAsia" w:ascii="宋体" w:hAnsi="宋体" w:cs="宋体"/>
          <w:sz w:val="28"/>
          <w:szCs w:val="28"/>
          <w:highlight w:val="none"/>
        </w:rPr>
      </w:pPr>
      <w:r>
        <w:rPr>
          <w:rFonts w:hint="eastAsia" w:ascii="宋体" w:hAnsi="宋体" w:cs="宋体"/>
          <w:sz w:val="28"/>
          <w:szCs w:val="28"/>
          <w:highlight w:val="none"/>
        </w:rPr>
        <w:t>附件2：</w:t>
      </w:r>
    </w:p>
    <w:p>
      <w:pPr>
        <w:jc w:val="center"/>
        <w:rPr>
          <w:rFonts w:hint="eastAsia" w:ascii="宋体" w:hAnsi="宋体" w:cs="宋体"/>
          <w:b/>
          <w:sz w:val="28"/>
          <w:szCs w:val="28"/>
          <w:highlight w:val="none"/>
          <w:lang w:eastAsia="zh-CN"/>
        </w:rPr>
      </w:pPr>
      <w:r>
        <w:rPr>
          <w:rFonts w:hint="eastAsia" w:ascii="宋体" w:hAnsi="宋体" w:cs="宋体"/>
          <w:b/>
          <w:sz w:val="28"/>
          <w:szCs w:val="28"/>
          <w:highlight w:val="none"/>
          <w:lang w:val="en-US" w:eastAsia="zh-CN"/>
        </w:rPr>
        <w:t>安徽职业技术大学2025年汽车振动测试实验室建设项目采购需求反馈意见书</w:t>
      </w:r>
    </w:p>
    <w:p>
      <w:pPr>
        <w:spacing w:line="576" w:lineRule="exact"/>
        <w:rPr>
          <w:rFonts w:ascii="宋体" w:hAnsi="宋体" w:cs="宋体"/>
          <w:sz w:val="24"/>
          <w:highlight w:val="none"/>
        </w:rPr>
      </w:pPr>
      <w:r>
        <w:rPr>
          <w:rFonts w:hint="eastAsia" w:ascii="宋体" w:hAnsi="宋体" w:cs="宋体"/>
          <w:sz w:val="24"/>
          <w:highlight w:val="none"/>
        </w:rPr>
        <w:t>安徽职业技术大学</w:t>
      </w:r>
    </w:p>
    <w:p>
      <w:pPr>
        <w:spacing w:line="576" w:lineRule="exact"/>
        <w:rPr>
          <w:rFonts w:hint="eastAsia" w:ascii="宋体" w:hAnsi="宋体" w:cs="宋体"/>
          <w:sz w:val="24"/>
          <w:highlight w:val="none"/>
        </w:rPr>
      </w:pPr>
      <w:r>
        <w:rPr>
          <w:rFonts w:hint="eastAsia" w:ascii="宋体" w:hAnsi="宋体" w:cs="宋体"/>
          <w:sz w:val="24"/>
          <w:highlight w:val="none"/>
          <w:lang w:eastAsia="zh-CN"/>
        </w:rPr>
        <w:t>安徽广电项目管理有限公司</w:t>
      </w:r>
      <w:r>
        <w:rPr>
          <w:rFonts w:hint="eastAsia" w:ascii="宋体" w:hAnsi="宋体" w:cs="宋体"/>
          <w:sz w:val="24"/>
          <w:highlight w:val="none"/>
        </w:rPr>
        <w:t>：</w:t>
      </w:r>
    </w:p>
    <w:p>
      <w:pPr>
        <w:spacing w:line="576" w:lineRule="exact"/>
        <w:ind w:firstLine="480" w:firstLineChars="200"/>
        <w:rPr>
          <w:rFonts w:hint="eastAsia" w:ascii="宋体" w:hAnsi="宋体" w:cs="宋体"/>
          <w:sz w:val="24"/>
          <w:highlight w:val="none"/>
        </w:rPr>
      </w:pPr>
      <w:r>
        <w:rPr>
          <w:rFonts w:hint="eastAsia" w:ascii="宋体" w:hAnsi="宋体" w:cs="宋体"/>
          <w:sz w:val="24"/>
          <w:highlight w:val="none"/>
        </w:rPr>
        <w:t>针对</w:t>
      </w:r>
      <w:r>
        <w:rPr>
          <w:rFonts w:hint="eastAsia" w:ascii="宋体" w:hAnsi="宋体" w:cs="宋体"/>
          <w:sz w:val="24"/>
          <w:highlight w:val="none"/>
          <w:lang w:eastAsia="zh-CN"/>
        </w:rPr>
        <w:t>安徽职业技术大学2025年汽车振动测试实验室建设项目</w:t>
      </w:r>
      <w:r>
        <w:rPr>
          <w:rFonts w:hint="eastAsia" w:ascii="宋体" w:hAnsi="宋体" w:cs="宋体"/>
          <w:sz w:val="24"/>
          <w:highlight w:val="none"/>
        </w:rPr>
        <w:t>采购需求公示，我单位反馈意见如下：</w:t>
      </w:r>
    </w:p>
    <w:p>
      <w:pPr>
        <w:spacing w:line="576" w:lineRule="exact"/>
        <w:ind w:left="555"/>
        <w:outlineLvl w:val="0"/>
        <w:rPr>
          <w:rFonts w:hint="eastAsia" w:ascii="宋体" w:hAnsi="宋体" w:cs="宋体"/>
          <w:sz w:val="24"/>
          <w:highlight w:val="none"/>
        </w:rPr>
      </w:pPr>
      <w:r>
        <w:rPr>
          <w:rFonts w:hint="eastAsia" w:ascii="宋体" w:hAnsi="宋体" w:cs="宋体"/>
          <w:sz w:val="24"/>
          <w:highlight w:val="none"/>
        </w:rPr>
        <w:t>1、</w:t>
      </w:r>
    </w:p>
    <w:p>
      <w:pPr>
        <w:spacing w:line="576" w:lineRule="exact"/>
        <w:ind w:left="555"/>
        <w:outlineLvl w:val="0"/>
        <w:rPr>
          <w:rFonts w:hint="eastAsia" w:ascii="宋体" w:hAnsi="宋体" w:cs="宋体"/>
          <w:sz w:val="24"/>
          <w:highlight w:val="none"/>
        </w:rPr>
      </w:pPr>
      <w:r>
        <w:rPr>
          <w:rFonts w:hint="eastAsia" w:ascii="宋体" w:hAnsi="宋体" w:cs="宋体"/>
          <w:sz w:val="24"/>
          <w:highlight w:val="none"/>
        </w:rPr>
        <w:t>2、</w:t>
      </w:r>
    </w:p>
    <w:p>
      <w:pPr>
        <w:spacing w:line="576" w:lineRule="exact"/>
        <w:ind w:left="555"/>
        <w:rPr>
          <w:rFonts w:hint="eastAsia" w:ascii="宋体" w:hAnsi="宋体" w:cs="宋体"/>
          <w:sz w:val="24"/>
          <w:highlight w:val="none"/>
        </w:rPr>
      </w:pPr>
      <w:r>
        <w:rPr>
          <w:rFonts w:hint="eastAsia" w:ascii="宋体" w:hAnsi="宋体" w:cs="宋体"/>
          <w:sz w:val="24"/>
          <w:highlight w:val="none"/>
        </w:rPr>
        <w:t>…</w:t>
      </w:r>
    </w:p>
    <w:p>
      <w:pPr>
        <w:spacing w:line="576" w:lineRule="exact"/>
        <w:ind w:left="554" w:leftChars="264" w:firstLine="480" w:firstLineChars="200"/>
        <w:rPr>
          <w:rFonts w:hint="eastAsia" w:ascii="宋体" w:hAnsi="宋体" w:cs="宋体"/>
          <w:sz w:val="24"/>
          <w:highlight w:val="none"/>
        </w:rPr>
      </w:pPr>
    </w:p>
    <w:p>
      <w:pPr>
        <w:spacing w:line="576" w:lineRule="exact"/>
        <w:ind w:left="554" w:leftChars="264" w:firstLine="480" w:firstLineChars="200"/>
        <w:rPr>
          <w:rFonts w:hint="eastAsia" w:ascii="宋体" w:hAnsi="宋体" w:cs="宋体"/>
          <w:sz w:val="24"/>
          <w:highlight w:val="none"/>
        </w:rPr>
      </w:pPr>
    </w:p>
    <w:p>
      <w:pPr>
        <w:spacing w:line="576" w:lineRule="exact"/>
        <w:ind w:left="554" w:leftChars="264" w:firstLine="480" w:firstLineChars="200"/>
        <w:rPr>
          <w:rFonts w:hint="eastAsia" w:ascii="宋体" w:hAnsi="宋体" w:cs="宋体"/>
          <w:sz w:val="24"/>
          <w:highlight w:val="none"/>
        </w:rPr>
      </w:pPr>
      <w:r>
        <w:rPr>
          <w:rFonts w:hint="eastAsia" w:ascii="宋体" w:hAnsi="宋体" w:cs="宋体"/>
          <w:sz w:val="24"/>
          <w:highlight w:val="none"/>
        </w:rPr>
        <w:t>特此函告</w:t>
      </w:r>
    </w:p>
    <w:p>
      <w:pPr>
        <w:spacing w:line="576" w:lineRule="exact"/>
        <w:ind w:firstLine="3840" w:firstLineChars="1600"/>
        <w:rPr>
          <w:rFonts w:ascii="宋体" w:hAnsi="宋体" w:cs="宋体"/>
          <w:sz w:val="24"/>
          <w:highlight w:val="none"/>
        </w:rPr>
      </w:pPr>
    </w:p>
    <w:p>
      <w:pPr>
        <w:spacing w:line="576" w:lineRule="exact"/>
        <w:ind w:firstLine="3840" w:firstLineChars="1600"/>
        <w:rPr>
          <w:rFonts w:hint="eastAsia" w:ascii="宋体" w:hAnsi="宋体" w:cs="宋体"/>
          <w:sz w:val="24"/>
          <w:highlight w:val="none"/>
        </w:rPr>
      </w:pPr>
      <w:r>
        <w:rPr>
          <w:rFonts w:hint="eastAsia" w:ascii="宋体" w:hAnsi="宋体" w:cs="宋体"/>
          <w:sz w:val="24"/>
          <w:highlight w:val="none"/>
        </w:rPr>
        <w:t>单位名称（公章）：</w:t>
      </w:r>
    </w:p>
    <w:p>
      <w:pPr>
        <w:spacing w:line="576" w:lineRule="exact"/>
        <w:ind w:firstLine="3840" w:firstLineChars="1600"/>
        <w:rPr>
          <w:rFonts w:hint="eastAsia" w:ascii="宋体" w:hAnsi="宋体" w:cs="宋体"/>
          <w:sz w:val="24"/>
          <w:highlight w:val="none"/>
        </w:rPr>
      </w:pPr>
      <w:r>
        <w:rPr>
          <w:rFonts w:hint="eastAsia" w:ascii="宋体" w:hAnsi="宋体" w:cs="宋体"/>
          <w:sz w:val="24"/>
          <w:highlight w:val="none"/>
        </w:rPr>
        <w:t>联系人：</w:t>
      </w:r>
    </w:p>
    <w:p>
      <w:pPr>
        <w:spacing w:line="576" w:lineRule="exact"/>
        <w:ind w:firstLine="3840" w:firstLineChars="1600"/>
        <w:rPr>
          <w:rFonts w:hint="eastAsia" w:ascii="宋体" w:hAnsi="宋体" w:cs="宋体"/>
          <w:sz w:val="24"/>
          <w:highlight w:val="none"/>
        </w:rPr>
      </w:pPr>
      <w:r>
        <w:rPr>
          <w:rFonts w:hint="eastAsia" w:ascii="宋体" w:hAnsi="宋体" w:cs="宋体"/>
          <w:sz w:val="24"/>
          <w:highlight w:val="none"/>
        </w:rPr>
        <w:t>联系电话：</w:t>
      </w:r>
    </w:p>
    <w:p>
      <w:pPr>
        <w:spacing w:line="576" w:lineRule="exact"/>
        <w:ind w:firstLine="3840" w:firstLineChars="1600"/>
        <w:rPr>
          <w:rFonts w:hint="eastAsia" w:ascii="宋体" w:hAnsi="宋体" w:cs="宋体"/>
          <w:sz w:val="24"/>
          <w:highlight w:val="none"/>
        </w:rPr>
      </w:pPr>
      <w:r>
        <w:rPr>
          <w:rFonts w:hint="eastAsia" w:ascii="宋体" w:hAnsi="宋体" w:cs="宋体"/>
          <w:sz w:val="24"/>
          <w:highlight w:val="none"/>
        </w:rPr>
        <w:t>年  月  日</w:t>
      </w:r>
    </w:p>
    <w:p>
      <w:pPr>
        <w:spacing w:line="576" w:lineRule="exact"/>
        <w:ind w:firstLine="3840" w:firstLineChars="1600"/>
        <w:rPr>
          <w:rFonts w:hint="eastAsia" w:ascii="宋体" w:hAnsi="宋体" w:cs="宋体"/>
          <w:sz w:val="24"/>
          <w:highlight w:val="none"/>
        </w:rPr>
      </w:pPr>
    </w:p>
    <w:p>
      <w:pPr>
        <w:spacing w:line="576" w:lineRule="exact"/>
        <w:ind w:firstLine="3840" w:firstLineChars="1600"/>
        <w:rPr>
          <w:rFonts w:hint="eastAsia" w:ascii="宋体" w:hAnsi="宋体" w:cs="宋体"/>
          <w:sz w:val="24"/>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AF41E"/>
    <w:multiLevelType w:val="singleLevel"/>
    <w:tmpl w:val="7E0AF41E"/>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A6220"/>
    <w:rsid w:val="141A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18"/>
    <w:pPr>
      <w:keepNext/>
      <w:keepLines/>
      <w:spacing w:before="200"/>
      <w:outlineLvl w:val="3"/>
    </w:pPr>
    <w:rPr>
      <w:rFonts w:ascii="Calibri" w:hAnsi="Calibri" w:cs="Arial"/>
      <w:b/>
      <w:bCs/>
      <w:i/>
      <w:iCs/>
      <w:color w:val="7E97AD"/>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99"/>
    <w:pPr>
      <w:snapToGrid w:val="0"/>
    </w:pPr>
    <w:rPr>
      <w:rFonts w:ascii="Arial" w:hAnsi="Arial" w:cs="Arial"/>
    </w:rPr>
  </w:style>
  <w:style w:type="paragraph" w:styleId="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6">
    <w:name w:val="Body Text First Indent 2"/>
    <w:basedOn w:val="3"/>
    <w:unhideWhenUsed/>
    <w:qFormat/>
    <w:uiPriority w:val="99"/>
    <w:pPr>
      <w:spacing w:after="0"/>
      <w:ind w:leftChars="0" w:firstLine="420" w:firstLineChars="200"/>
    </w:pPr>
    <w:rPr>
      <w:rFonts w:ascii="Times New Roman" w:hAnsi="@仿宋_GB2312" w:eastAsia="楷体_GB2312"/>
      <w:sz w:val="32"/>
      <w:szCs w:val="20"/>
    </w:rPr>
  </w:style>
  <w:style w:type="paragraph" w:customStyle="1" w:styleId="9">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2025-11-08T13:56:00Z</dcterms:created>
  <dc:creator>LIVING</dc:creator>
  <cp:lastModifiedBy>LIVING</cp:lastModifiedBy>
  <dcterms:modified xsi:type="dcterms:W3CDTF">2025-11-08T13:57:12Z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