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4189A">
      <w:pPr>
        <w:spacing w:line="360" w:lineRule="auto"/>
        <w:jc w:val="center"/>
        <w:outlineLvl w:val="0"/>
        <w:rPr>
          <w:rFonts w:hint="eastAsia" w:asciiTheme="minorEastAsia" w:hAnsiTheme="minorEastAsia" w:eastAsiaTheme="minorEastAsia"/>
          <w:b/>
          <w:sz w:val="28"/>
        </w:rPr>
      </w:pPr>
      <w:bookmarkStart w:id="0" w:name="_Toc32151"/>
      <w:bookmarkStart w:id="1" w:name="_Toc30373"/>
      <w:bookmarkStart w:id="2" w:name="_Toc2554"/>
      <w:r>
        <w:rPr>
          <w:rFonts w:hint="eastAsia" w:asciiTheme="minorEastAsia" w:hAnsiTheme="minorEastAsia" w:eastAsiaTheme="minorEastAsia"/>
          <w:b/>
          <w:sz w:val="28"/>
        </w:rPr>
        <w:t>采购需求</w:t>
      </w:r>
    </w:p>
    <w:p w14:paraId="1E89334A">
      <w:pPr>
        <w:spacing w:line="360" w:lineRule="auto"/>
        <w:rPr>
          <w:rFonts w:hint="eastAsia" w:asciiTheme="minorEastAsia" w:hAnsiTheme="minorEastAsia" w:eastAsiaTheme="minorEastAsia"/>
          <w:b/>
          <w:sz w:val="24"/>
        </w:rPr>
      </w:pPr>
      <w:r>
        <w:rPr>
          <w:rFonts w:hint="eastAsia" w:asciiTheme="minorEastAsia" w:hAnsiTheme="minorEastAsia" w:eastAsiaTheme="minorEastAsia"/>
          <w:b/>
          <w:sz w:val="24"/>
        </w:rPr>
        <w:t>前注：</w:t>
      </w:r>
    </w:p>
    <w:p w14:paraId="5F6F4547">
      <w:pPr>
        <w:spacing w:line="360" w:lineRule="auto"/>
        <w:ind w:firstLine="435"/>
        <w:rPr>
          <w:rFonts w:hint="eastAsia" w:ascii="宋体" w:hAnsi="宋体" w:eastAsia="宋体"/>
          <w:sz w:val="24"/>
          <w:szCs w:val="18"/>
        </w:rPr>
      </w:pPr>
      <w:r>
        <w:rPr>
          <w:rFonts w:hint="eastAsia" w:asciiTheme="minorEastAsia" w:hAnsiTheme="minorEastAsia" w:eastAsiaTheme="minorEastAsia"/>
          <w:sz w:val="24"/>
        </w:rPr>
        <w:t>1.</w:t>
      </w:r>
      <w:r>
        <w:rPr>
          <w:rFonts w:ascii="宋体" w:hAnsi="宋体" w:eastAsia="宋体"/>
          <w:sz w:val="24"/>
          <w:szCs w:val="18"/>
        </w:rPr>
        <w:t>根据《</w:t>
      </w:r>
      <w:r>
        <w:rPr>
          <w:rFonts w:hint="eastAsia" w:ascii="宋体" w:hAnsi="宋体" w:eastAsia="宋体"/>
          <w:sz w:val="24"/>
          <w:szCs w:val="18"/>
        </w:rPr>
        <w:t>政府采购进口产品管理办法</w:t>
      </w:r>
      <w:r>
        <w:rPr>
          <w:rFonts w:ascii="宋体" w:hAnsi="宋体" w:eastAsia="宋体"/>
          <w:sz w:val="24"/>
          <w:szCs w:val="18"/>
        </w:rPr>
        <w:t>》及政府采购管理部门的相关规定，下列采购需求中</w:t>
      </w:r>
      <w:r>
        <w:rPr>
          <w:rFonts w:hint="eastAsia" w:ascii="宋体" w:hAnsi="宋体" w:eastAsia="宋体"/>
          <w:sz w:val="24"/>
          <w:szCs w:val="18"/>
        </w:rPr>
        <w:t>标注进口产品的货物均</w:t>
      </w:r>
      <w:r>
        <w:rPr>
          <w:rFonts w:ascii="宋体" w:hAnsi="宋体" w:eastAsia="宋体"/>
          <w:sz w:val="24"/>
          <w:szCs w:val="18"/>
        </w:rPr>
        <w:t>已履行相关论证手续，经核准采购进口</w:t>
      </w:r>
      <w:r>
        <w:rPr>
          <w:rFonts w:hint="eastAsia" w:ascii="宋体" w:hAnsi="宋体" w:eastAsia="宋体"/>
          <w:sz w:val="24"/>
          <w:szCs w:val="18"/>
        </w:rPr>
        <w:t>产品</w:t>
      </w:r>
      <w:r>
        <w:rPr>
          <w:rFonts w:ascii="宋体" w:hAnsi="宋体" w:eastAsia="宋体"/>
          <w:sz w:val="24"/>
          <w:szCs w:val="18"/>
        </w:rPr>
        <w:t>，但不限制满足招标文件要求的国内产品参与竞争</w:t>
      </w:r>
      <w:r>
        <w:rPr>
          <w:rFonts w:hint="eastAsia" w:ascii="宋体" w:hAnsi="宋体" w:eastAsia="宋体"/>
          <w:sz w:val="24"/>
          <w:szCs w:val="18"/>
        </w:rPr>
        <w:t>。未标注进口产品的货物均</w:t>
      </w:r>
      <w:r>
        <w:rPr>
          <w:rFonts w:ascii="宋体" w:hAnsi="宋体" w:eastAsia="宋体"/>
          <w:sz w:val="24"/>
          <w:szCs w:val="18"/>
        </w:rPr>
        <w:t>为拒绝采购进口产品</w:t>
      </w:r>
      <w:r>
        <w:rPr>
          <w:rFonts w:hint="eastAsia" w:ascii="宋体" w:hAnsi="宋体" w:eastAsia="宋体"/>
          <w:sz w:val="24"/>
          <w:szCs w:val="18"/>
        </w:rPr>
        <w:t>。</w:t>
      </w:r>
    </w:p>
    <w:p w14:paraId="21FB875C">
      <w:pPr>
        <w:spacing w:line="360" w:lineRule="auto"/>
        <w:ind w:firstLine="435"/>
        <w:rPr>
          <w:rFonts w:hint="eastAsia" w:ascii="宋体" w:hAnsi="宋体" w:eastAsia="宋体"/>
          <w:sz w:val="24"/>
          <w:szCs w:val="18"/>
        </w:rPr>
      </w:pPr>
      <w:r>
        <w:rPr>
          <w:rFonts w:hint="eastAsia" w:ascii="宋体" w:hAnsi="宋体" w:eastAsia="宋体"/>
          <w:sz w:val="24"/>
          <w:szCs w:val="18"/>
        </w:rPr>
        <w:t>2.</w:t>
      </w:r>
      <w:r>
        <w:rPr>
          <w:rFonts w:ascii="宋体" w:hAnsi="宋体" w:eastAsia="宋体" w:cs="宋体"/>
          <w:sz w:val="24"/>
          <w:szCs w:val="24"/>
        </w:rPr>
        <w:t>政府采购政策（包括但不限于下列具体政策要求</w:t>
      </w:r>
      <w:r>
        <w:rPr>
          <w:rFonts w:hint="eastAsia" w:ascii="宋体" w:hAnsi="宋体" w:eastAsia="宋体" w:cs="宋体"/>
          <w:sz w:val="24"/>
          <w:szCs w:val="24"/>
        </w:rPr>
        <w:t>）</w:t>
      </w:r>
      <w:r>
        <w:rPr>
          <w:rFonts w:hint="eastAsia" w:ascii="宋体" w:hAnsi="宋体" w:eastAsia="宋体"/>
          <w:sz w:val="24"/>
          <w:szCs w:val="18"/>
        </w:rPr>
        <w:t>：</w:t>
      </w:r>
    </w:p>
    <w:p w14:paraId="3D517B81">
      <w:pPr>
        <w:spacing w:line="360" w:lineRule="auto"/>
        <w:ind w:firstLine="435"/>
        <w:rPr>
          <w:rFonts w:hint="eastAsia" w:ascii="宋体" w:hAnsi="宋体" w:eastAsia="宋体" w:cs="宋体"/>
          <w:sz w:val="24"/>
          <w:szCs w:val="24"/>
        </w:rPr>
      </w:pPr>
      <w:r>
        <w:rPr>
          <w:rFonts w:hint="eastAsia" w:ascii="宋体" w:hAnsi="宋体" w:eastAsia="宋体" w:cs="宋体"/>
          <w:sz w:val="24"/>
          <w:szCs w:val="24"/>
        </w:rPr>
        <w:t>（1）如属于《节能产品政府采购品目清单》中政府强制采购的节能产品，则投标人所投产品须具有市场监管总局公布的《参与实施政府采购节能产品认证机构目录》中的认证机构出具的、处于有效期内的节能产品认证证书。</w:t>
      </w:r>
    </w:p>
    <w:p w14:paraId="5103AA4C">
      <w:pPr>
        <w:spacing w:line="360" w:lineRule="auto"/>
        <w:ind w:firstLine="435"/>
        <w:rPr>
          <w:rFonts w:hint="eastAsia" w:ascii="宋体" w:hAnsi="宋体" w:eastAsia="宋体" w:cs="宋体"/>
          <w:sz w:val="24"/>
          <w:szCs w:val="24"/>
        </w:rPr>
      </w:pPr>
      <w:r>
        <w:rPr>
          <w:rFonts w:hint="eastAsia" w:ascii="宋体" w:hAnsi="宋体" w:eastAsia="宋体" w:cs="宋体"/>
          <w:sz w:val="24"/>
          <w:szCs w:val="24"/>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3FA05128">
      <w:pPr>
        <w:spacing w:line="360" w:lineRule="auto"/>
        <w:ind w:firstLine="437"/>
        <w:outlineLvl w:val="1"/>
        <w:rPr>
          <w:rFonts w:hint="eastAsia" w:ascii="宋体" w:hAnsi="宋体" w:eastAsia="宋体" w:cs="宋体"/>
          <w:sz w:val="24"/>
          <w:szCs w:val="24"/>
        </w:rPr>
      </w:pPr>
      <w:r>
        <w:rPr>
          <w:rFonts w:hint="eastAsia" w:ascii="宋体" w:hAnsi="宋体" w:eastAsia="宋体" w:cs="宋体"/>
          <w:sz w:val="24"/>
          <w:szCs w:val="24"/>
        </w:rPr>
        <w:t>3.技术参数中如某项参数以具体数值展现，则该数值为本项目所需的最低要求，相同或者优于该项参数均视为满足。</w:t>
      </w:r>
    </w:p>
    <w:p w14:paraId="2193BE51">
      <w:pPr>
        <w:spacing w:line="360" w:lineRule="auto"/>
        <w:ind w:firstLine="437"/>
        <w:outlineLvl w:val="1"/>
        <w:rPr>
          <w:rFonts w:ascii="宋体" w:hAnsi="宋体" w:eastAsia="宋体"/>
          <w:b/>
          <w:color w:val="auto"/>
          <w:sz w:val="24"/>
          <w:szCs w:val="18"/>
          <w:highlight w:val="none"/>
        </w:rPr>
      </w:pPr>
      <w:r>
        <w:rPr>
          <w:rFonts w:hint="eastAsia" w:ascii="宋体" w:hAnsi="宋体" w:eastAsia="宋体"/>
          <w:b/>
          <w:color w:val="auto"/>
          <w:sz w:val="24"/>
          <w:szCs w:val="18"/>
          <w:highlight w:val="none"/>
        </w:rPr>
        <w:t>一、采购需求前附表</w:t>
      </w:r>
      <w:bookmarkEnd w:id="0"/>
      <w:bookmarkEnd w:id="1"/>
      <w:bookmarkEnd w:id="2"/>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14:paraId="45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05755760">
            <w:pPr>
              <w:pStyle w:val="29"/>
              <w:pBdr>
                <w:bottom w:val="none" w:color="auto" w:sz="0" w:space="0"/>
              </w:pBdr>
              <w:tabs>
                <w:tab w:val="clear" w:pos="4153"/>
                <w:tab w:val="clear" w:pos="8306"/>
              </w:tabs>
              <w:adjustRightInd/>
              <w:spacing w:line="240" w:lineRule="auto"/>
              <w:textAlignment w:val="auto"/>
              <w:rPr>
                <w:rFonts w:ascii="宋体" w:hAnsi="宋体" w:eastAsia="宋体"/>
                <w:b/>
                <w:color w:val="auto"/>
                <w:kern w:val="2"/>
                <w:highlight w:val="none"/>
              </w:rPr>
            </w:pPr>
            <w:r>
              <w:rPr>
                <w:rFonts w:hint="eastAsia" w:ascii="宋体" w:hAnsi="宋体" w:eastAsia="宋体"/>
                <w:b/>
                <w:color w:val="auto"/>
                <w:kern w:val="2"/>
                <w:highlight w:val="none"/>
              </w:rPr>
              <w:t>序号</w:t>
            </w:r>
          </w:p>
        </w:tc>
        <w:tc>
          <w:tcPr>
            <w:tcW w:w="1192" w:type="pct"/>
            <w:noWrap w:val="0"/>
            <w:vAlign w:val="center"/>
          </w:tcPr>
          <w:p w14:paraId="5E44D1E2">
            <w:pPr>
              <w:pStyle w:val="30"/>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条款名称</w:t>
            </w:r>
          </w:p>
        </w:tc>
        <w:tc>
          <w:tcPr>
            <w:tcW w:w="3217" w:type="pct"/>
            <w:noWrap w:val="0"/>
            <w:vAlign w:val="center"/>
          </w:tcPr>
          <w:p w14:paraId="2F21E58E">
            <w:pPr>
              <w:pStyle w:val="30"/>
              <w:widowControl w:val="0"/>
              <w:spacing w:before="0" w:beforeAutospacing="0" w:after="0" w:afterAutospacing="0" w:line="360" w:lineRule="auto"/>
              <w:rPr>
                <w:rFonts w:ascii="宋体" w:hAnsi="宋体" w:eastAsia="宋体"/>
                <w:bCs w:val="0"/>
                <w:color w:val="auto"/>
                <w:sz w:val="24"/>
                <w:highlight w:val="none"/>
              </w:rPr>
            </w:pPr>
            <w:r>
              <w:rPr>
                <w:rFonts w:hint="eastAsia" w:ascii="宋体" w:hAnsi="宋体" w:eastAsia="宋体"/>
                <w:bCs w:val="0"/>
                <w:color w:val="auto"/>
                <w:sz w:val="24"/>
                <w:highlight w:val="none"/>
              </w:rPr>
              <w:t>内容、说明与要求</w:t>
            </w:r>
          </w:p>
        </w:tc>
      </w:tr>
      <w:tr w14:paraId="3A0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4139AC13">
            <w:pPr>
              <w:pStyle w:val="29"/>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1</w:t>
            </w:r>
          </w:p>
        </w:tc>
        <w:tc>
          <w:tcPr>
            <w:tcW w:w="1192" w:type="pct"/>
            <w:noWrap w:val="0"/>
            <w:vAlign w:val="center"/>
          </w:tcPr>
          <w:p w14:paraId="32BE7AB6">
            <w:pPr>
              <w:pStyle w:val="30"/>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付款方式</w:t>
            </w:r>
          </w:p>
        </w:tc>
        <w:tc>
          <w:tcPr>
            <w:tcW w:w="3217" w:type="pct"/>
            <w:noWrap w:val="0"/>
            <w:vAlign w:val="center"/>
          </w:tcPr>
          <w:p w14:paraId="383811C8">
            <w:pPr>
              <w:pStyle w:val="30"/>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合同签订后，采购人向中标人按合同金额60%支付预付款（中标人须提交银行、保险公司、担保公司等金融机构出具的不低于预付款金额的保函或其他担保措施，预付款在合同、担保措施生效后支付）。</w:t>
            </w:r>
          </w:p>
          <w:p w14:paraId="539A97AD">
            <w:pPr>
              <w:pStyle w:val="30"/>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项目验收合格后，采购人一次性付清尾款。</w:t>
            </w:r>
          </w:p>
        </w:tc>
      </w:tr>
      <w:tr w14:paraId="63C6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4B3CDD6B">
            <w:pPr>
              <w:pStyle w:val="29"/>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2</w:t>
            </w:r>
          </w:p>
        </w:tc>
        <w:tc>
          <w:tcPr>
            <w:tcW w:w="1192" w:type="pct"/>
            <w:noWrap w:val="0"/>
            <w:vAlign w:val="center"/>
          </w:tcPr>
          <w:p w14:paraId="19CE969A">
            <w:pPr>
              <w:pStyle w:val="30"/>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供货及安装地点</w:t>
            </w:r>
          </w:p>
        </w:tc>
        <w:tc>
          <w:tcPr>
            <w:tcW w:w="3217" w:type="pct"/>
            <w:noWrap w:val="0"/>
            <w:vAlign w:val="center"/>
          </w:tcPr>
          <w:p w14:paraId="13D7C671">
            <w:pPr>
              <w:pStyle w:val="30"/>
              <w:widowControl w:val="0"/>
              <w:spacing w:before="0" w:beforeAutospacing="0" w:after="0" w:afterAutospacing="0" w:line="360" w:lineRule="auto"/>
              <w:jc w:val="both"/>
              <w:rPr>
                <w:rFonts w:hint="default" w:ascii="宋体" w:hAnsi="宋体" w:eastAsia="宋体"/>
                <w:b w:val="0"/>
                <w:color w:val="auto"/>
                <w:sz w:val="24"/>
                <w:highlight w:val="none"/>
                <w:u w:val="none"/>
                <w:lang w:val="en-US" w:eastAsia="zh-CN"/>
              </w:rPr>
            </w:pPr>
            <w:r>
              <w:rPr>
                <w:rFonts w:hint="eastAsia"/>
                <w:b w:val="0"/>
                <w:color w:val="auto"/>
                <w:sz w:val="24"/>
                <w:highlight w:val="none"/>
                <w:u w:val="none"/>
                <w:lang w:val="en-US" w:eastAsia="zh-CN"/>
              </w:rPr>
              <w:t>采购人指定地点</w:t>
            </w:r>
          </w:p>
        </w:tc>
      </w:tr>
      <w:tr w14:paraId="2D376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20D19E7E">
            <w:pPr>
              <w:pStyle w:val="29"/>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3</w:t>
            </w:r>
          </w:p>
        </w:tc>
        <w:tc>
          <w:tcPr>
            <w:tcW w:w="1192" w:type="pct"/>
            <w:noWrap w:val="0"/>
            <w:vAlign w:val="center"/>
          </w:tcPr>
          <w:p w14:paraId="4D2E81DD">
            <w:pPr>
              <w:pStyle w:val="30"/>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供货及安装期限</w:t>
            </w:r>
          </w:p>
        </w:tc>
        <w:tc>
          <w:tcPr>
            <w:tcW w:w="3217" w:type="pct"/>
            <w:noWrap w:val="0"/>
            <w:vAlign w:val="center"/>
          </w:tcPr>
          <w:p w14:paraId="5C0E7A40">
            <w:pPr>
              <w:pStyle w:val="30"/>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合同签订后</w:t>
            </w:r>
            <w:r>
              <w:rPr>
                <w:rFonts w:hint="eastAsia"/>
                <w:b w:val="0"/>
                <w:color w:val="auto"/>
                <w:sz w:val="24"/>
                <w:highlight w:val="none"/>
                <w:u w:val="none"/>
                <w:lang w:val="en-US" w:eastAsia="zh-CN"/>
              </w:rPr>
              <w:t>6</w:t>
            </w:r>
            <w:r>
              <w:rPr>
                <w:rFonts w:hint="eastAsia" w:ascii="宋体" w:hAnsi="宋体" w:eastAsia="宋体"/>
                <w:b w:val="0"/>
                <w:color w:val="auto"/>
                <w:sz w:val="24"/>
                <w:highlight w:val="none"/>
                <w:u w:val="none"/>
              </w:rPr>
              <w:t>0个</w:t>
            </w:r>
            <w:r>
              <w:rPr>
                <w:rFonts w:hint="eastAsia"/>
                <w:b w:val="0"/>
                <w:color w:val="auto"/>
                <w:sz w:val="24"/>
                <w:highlight w:val="none"/>
                <w:u w:val="none"/>
                <w:lang w:val="en-US" w:eastAsia="zh-CN"/>
              </w:rPr>
              <w:t>日历</w:t>
            </w:r>
            <w:r>
              <w:rPr>
                <w:rFonts w:hint="eastAsia" w:ascii="宋体" w:hAnsi="宋体" w:eastAsia="宋体"/>
                <w:b w:val="0"/>
                <w:color w:val="auto"/>
                <w:sz w:val="24"/>
                <w:highlight w:val="none"/>
                <w:u w:val="none"/>
              </w:rPr>
              <w:t>日内完成供货安装及调试</w:t>
            </w:r>
          </w:p>
        </w:tc>
      </w:tr>
      <w:tr w14:paraId="1EF7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noWrap w:val="0"/>
            <w:vAlign w:val="center"/>
          </w:tcPr>
          <w:p w14:paraId="34107B7F">
            <w:pPr>
              <w:pStyle w:val="29"/>
              <w:pBdr>
                <w:bottom w:val="none" w:color="auto" w:sz="0" w:space="0"/>
              </w:pBdr>
              <w:tabs>
                <w:tab w:val="clear" w:pos="4153"/>
                <w:tab w:val="clear" w:pos="8306"/>
              </w:tabs>
              <w:adjustRightInd/>
              <w:spacing w:line="240" w:lineRule="auto"/>
              <w:textAlignment w:val="auto"/>
              <w:rPr>
                <w:rFonts w:ascii="宋体" w:hAnsi="宋体" w:eastAsia="宋体"/>
                <w:bCs/>
                <w:color w:val="auto"/>
                <w:kern w:val="2"/>
                <w:highlight w:val="none"/>
              </w:rPr>
            </w:pPr>
            <w:r>
              <w:rPr>
                <w:rFonts w:hint="eastAsia" w:ascii="宋体" w:hAnsi="宋体" w:eastAsia="宋体"/>
                <w:bCs/>
                <w:color w:val="auto"/>
                <w:kern w:val="2"/>
                <w:highlight w:val="none"/>
              </w:rPr>
              <w:t>4</w:t>
            </w:r>
          </w:p>
        </w:tc>
        <w:tc>
          <w:tcPr>
            <w:tcW w:w="1192" w:type="pct"/>
            <w:noWrap w:val="0"/>
            <w:vAlign w:val="center"/>
          </w:tcPr>
          <w:p w14:paraId="6B27ABFA">
            <w:pPr>
              <w:pStyle w:val="30"/>
              <w:widowControl w:val="0"/>
              <w:spacing w:before="0" w:beforeAutospacing="0" w:after="0" w:afterAutospacing="0" w:line="360" w:lineRule="auto"/>
              <w:rPr>
                <w:rFonts w:ascii="宋体" w:hAnsi="宋体" w:eastAsia="宋体"/>
                <w:b w:val="0"/>
                <w:color w:val="auto"/>
                <w:sz w:val="24"/>
                <w:highlight w:val="none"/>
              </w:rPr>
            </w:pPr>
            <w:r>
              <w:rPr>
                <w:rFonts w:hint="eastAsia" w:ascii="宋体" w:hAnsi="宋体" w:eastAsia="宋体"/>
                <w:b w:val="0"/>
                <w:color w:val="auto"/>
                <w:sz w:val="24"/>
                <w:highlight w:val="none"/>
              </w:rPr>
              <w:t>免费质保期</w:t>
            </w:r>
          </w:p>
        </w:tc>
        <w:tc>
          <w:tcPr>
            <w:tcW w:w="3217" w:type="pct"/>
            <w:noWrap w:val="0"/>
            <w:vAlign w:val="center"/>
          </w:tcPr>
          <w:p w14:paraId="59834DA2">
            <w:pPr>
              <w:pStyle w:val="30"/>
              <w:widowControl w:val="0"/>
              <w:spacing w:before="0" w:beforeAutospacing="0" w:after="0" w:afterAutospacing="0" w:line="360" w:lineRule="auto"/>
              <w:jc w:val="both"/>
              <w:rPr>
                <w:rFonts w:hint="eastAsia" w:ascii="宋体" w:hAnsi="宋体" w:eastAsia="宋体"/>
                <w:b w:val="0"/>
                <w:color w:val="auto"/>
                <w:sz w:val="24"/>
                <w:highlight w:val="none"/>
                <w:u w:val="none"/>
              </w:rPr>
            </w:pPr>
            <w:r>
              <w:rPr>
                <w:rFonts w:hint="eastAsia" w:ascii="宋体" w:hAnsi="宋体" w:eastAsia="宋体"/>
                <w:b w:val="0"/>
                <w:color w:val="auto"/>
                <w:sz w:val="24"/>
                <w:highlight w:val="none"/>
                <w:u w:val="none"/>
              </w:rPr>
              <w:t>自验收合格之日起3年。</w:t>
            </w:r>
          </w:p>
        </w:tc>
      </w:tr>
    </w:tbl>
    <w:p w14:paraId="665F60E7">
      <w:pPr>
        <w:pageBreakBefore w:val="0"/>
        <w:kinsoku/>
        <w:wordWrap/>
        <w:overflowPunct/>
        <w:topLinePunct w:val="0"/>
        <w:bidi w:val="0"/>
        <w:snapToGrid/>
        <w:spacing w:line="360" w:lineRule="auto"/>
        <w:ind w:firstLine="437"/>
        <w:textAlignment w:val="auto"/>
        <w:outlineLvl w:val="1"/>
        <w:rPr>
          <w:rFonts w:hint="eastAsia" w:ascii="宋体" w:hAnsi="宋体" w:eastAsia="宋体" w:cs="宋体"/>
          <w:b/>
          <w:bCs/>
          <w:color w:val="auto"/>
          <w:sz w:val="24"/>
          <w:szCs w:val="24"/>
          <w:highlight w:val="none"/>
        </w:rPr>
      </w:pPr>
      <w:bookmarkStart w:id="3" w:name="_Toc22395"/>
      <w:bookmarkStart w:id="4" w:name="_Toc7671"/>
      <w:bookmarkStart w:id="5" w:name="_Toc5944"/>
      <w:r>
        <w:rPr>
          <w:rFonts w:hint="eastAsia" w:ascii="宋体" w:hAnsi="宋体" w:eastAsia="宋体" w:cs="宋体"/>
          <w:b/>
          <w:bCs/>
          <w:color w:val="auto"/>
          <w:sz w:val="24"/>
          <w:szCs w:val="24"/>
          <w:highlight w:val="none"/>
        </w:rPr>
        <w:t>二、</w:t>
      </w:r>
      <w:r>
        <w:rPr>
          <w:rFonts w:hint="eastAsia" w:ascii="宋体" w:hAnsi="宋体" w:eastAsia="宋体" w:cs="宋体"/>
          <w:b/>
          <w:color w:val="auto"/>
          <w:sz w:val="24"/>
          <w:szCs w:val="24"/>
          <w:highlight w:val="none"/>
        </w:rPr>
        <w:t>货物</w:t>
      </w:r>
      <w:r>
        <w:rPr>
          <w:rFonts w:hint="eastAsia" w:ascii="宋体" w:hAnsi="宋体" w:eastAsia="宋体" w:cs="宋体"/>
          <w:b/>
          <w:bCs/>
          <w:color w:val="auto"/>
          <w:sz w:val="24"/>
          <w:szCs w:val="24"/>
          <w:highlight w:val="none"/>
        </w:rPr>
        <w:t>需求</w:t>
      </w:r>
      <w:bookmarkEnd w:id="3"/>
      <w:bookmarkEnd w:id="4"/>
      <w:bookmarkEnd w:id="5"/>
    </w:p>
    <w:p w14:paraId="184D68BF">
      <w:pPr>
        <w:pStyle w:val="4"/>
        <w:spacing w:before="0" w:beforeLines="-2147483648" w:after="0" w:afterLines="-2147483648" w:line="240" w:lineRule="auto"/>
        <w:rPr>
          <w:rFonts w:hint="eastAsia" w:ascii="宋体" w:hAnsi="宋体" w:eastAsia="宋体" w:cs="宋体"/>
          <w:b/>
          <w:i w:val="0"/>
          <w:iCs w:val="0"/>
          <w:color w:val="000000" w:themeColor="text1"/>
          <w:sz w:val="24"/>
          <w:szCs w:val="24"/>
          <w14:textFill>
            <w14:solidFill>
              <w14:schemeClr w14:val="tx1"/>
            </w14:solidFill>
          </w14:textFill>
        </w:rPr>
      </w:pPr>
      <w:r>
        <w:rPr>
          <w:rFonts w:hint="eastAsia" w:ascii="宋体" w:hAnsi="宋体" w:eastAsia="宋体" w:cs="宋体"/>
          <w:b/>
          <w:i w:val="0"/>
          <w:iCs w:val="0"/>
          <w:color w:val="000000" w:themeColor="text1"/>
          <w:sz w:val="24"/>
          <w:szCs w:val="24"/>
          <w14:textFill>
            <w14:solidFill>
              <w14:schemeClr w14:val="tx1"/>
            </w14:solidFill>
          </w14:textFill>
        </w:rPr>
        <w:t>（一）货物指标重要性表述</w:t>
      </w:r>
    </w:p>
    <w:tbl>
      <w:tblPr>
        <w:tblStyle w:val="32"/>
        <w:tblW w:w="9024" w:type="dxa"/>
        <w:tblInd w:w="64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9"/>
        <w:gridCol w:w="1405"/>
        <w:gridCol w:w="5650"/>
      </w:tblGrid>
      <w:tr w14:paraId="1BCCF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969" w:type="dxa"/>
            <w:vAlign w:val="top"/>
          </w:tcPr>
          <w:p w14:paraId="4C199719">
            <w:pPr>
              <w:pStyle w:val="31"/>
              <w:spacing w:before="119" w:line="220" w:lineRule="auto"/>
              <w:ind w:left="391"/>
            </w:pPr>
            <w:r>
              <w:rPr>
                <w:spacing w:val="-3"/>
              </w:rPr>
              <w:t>标识重要性</w:t>
            </w:r>
          </w:p>
        </w:tc>
        <w:tc>
          <w:tcPr>
            <w:tcW w:w="1405" w:type="dxa"/>
            <w:vAlign w:val="top"/>
          </w:tcPr>
          <w:p w14:paraId="1F173764">
            <w:pPr>
              <w:pStyle w:val="31"/>
              <w:spacing w:before="120" w:line="219" w:lineRule="auto"/>
              <w:ind w:left="229"/>
            </w:pPr>
            <w:r>
              <w:rPr>
                <w:spacing w:val="-3"/>
              </w:rPr>
              <w:t>标识符号</w:t>
            </w:r>
          </w:p>
        </w:tc>
        <w:tc>
          <w:tcPr>
            <w:tcW w:w="5650" w:type="dxa"/>
            <w:vAlign w:val="top"/>
          </w:tcPr>
          <w:p w14:paraId="48174227">
            <w:pPr>
              <w:pStyle w:val="31"/>
              <w:spacing w:before="120" w:line="219" w:lineRule="auto"/>
              <w:ind w:left="2350"/>
            </w:pPr>
            <w:r>
              <w:rPr>
                <w:spacing w:val="-3"/>
              </w:rPr>
              <w:t>符号说明</w:t>
            </w:r>
          </w:p>
        </w:tc>
      </w:tr>
      <w:tr w14:paraId="44BF5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969" w:type="dxa"/>
            <w:vAlign w:val="top"/>
          </w:tcPr>
          <w:p w14:paraId="7A50F333">
            <w:pPr>
              <w:pStyle w:val="31"/>
              <w:spacing w:before="115" w:line="220" w:lineRule="auto"/>
              <w:ind w:left="391"/>
            </w:pPr>
            <w:r>
              <w:rPr>
                <w:spacing w:val="-3"/>
              </w:rPr>
              <w:t>重要指标项</w:t>
            </w:r>
          </w:p>
        </w:tc>
        <w:tc>
          <w:tcPr>
            <w:tcW w:w="1405" w:type="dxa"/>
            <w:vAlign w:val="top"/>
          </w:tcPr>
          <w:p w14:paraId="6E57D054">
            <w:pPr>
              <w:pStyle w:val="31"/>
              <w:spacing w:before="114" w:line="227" w:lineRule="auto"/>
              <w:ind w:left="589"/>
            </w:pPr>
            <w:r>
              <w:rPr>
                <w:b/>
                <w:bCs/>
                <w:spacing w:val="-3"/>
              </w:rPr>
              <w:t>★</w:t>
            </w:r>
          </w:p>
        </w:tc>
        <w:tc>
          <w:tcPr>
            <w:tcW w:w="5650" w:type="dxa"/>
            <w:vAlign w:val="top"/>
          </w:tcPr>
          <w:p w14:paraId="495C12F0">
            <w:pPr>
              <w:pStyle w:val="31"/>
              <w:spacing w:before="115" w:line="219" w:lineRule="auto"/>
              <w:ind w:left="1627"/>
            </w:pPr>
            <w:r>
              <w:rPr>
                <w:spacing w:val="-1"/>
              </w:rPr>
              <w:t>评分项，详见评分标准</w:t>
            </w:r>
          </w:p>
        </w:tc>
      </w:tr>
      <w:tr w14:paraId="59374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969" w:type="dxa"/>
            <w:vAlign w:val="top"/>
          </w:tcPr>
          <w:p w14:paraId="55D8E33C">
            <w:pPr>
              <w:pStyle w:val="31"/>
              <w:spacing w:before="116" w:line="220" w:lineRule="auto"/>
              <w:ind w:left="393"/>
            </w:pPr>
            <w:r>
              <w:rPr>
                <w:spacing w:val="-3"/>
              </w:rPr>
              <w:t>一般指标项</w:t>
            </w:r>
          </w:p>
        </w:tc>
        <w:tc>
          <w:tcPr>
            <w:tcW w:w="1405" w:type="dxa"/>
            <w:vAlign w:val="top"/>
          </w:tcPr>
          <w:p w14:paraId="2401F474">
            <w:pPr>
              <w:pStyle w:val="31"/>
              <w:spacing w:before="115" w:line="239" w:lineRule="auto"/>
              <w:ind w:left="610"/>
            </w:pPr>
            <w:r>
              <w:rPr>
                <w:b/>
                <w:bCs/>
                <w:spacing w:val="-3"/>
              </w:rPr>
              <w:t>■</w:t>
            </w:r>
          </w:p>
        </w:tc>
        <w:tc>
          <w:tcPr>
            <w:tcW w:w="5650" w:type="dxa"/>
            <w:vAlign w:val="top"/>
          </w:tcPr>
          <w:p w14:paraId="71638F1D">
            <w:pPr>
              <w:pStyle w:val="31"/>
              <w:spacing w:before="116" w:line="219" w:lineRule="auto"/>
              <w:ind w:left="1627"/>
            </w:pPr>
            <w:r>
              <w:rPr>
                <w:spacing w:val="-1"/>
              </w:rPr>
              <w:t>评分项，详见评分标准</w:t>
            </w:r>
          </w:p>
        </w:tc>
      </w:tr>
      <w:tr w14:paraId="0EC4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1969" w:type="dxa"/>
            <w:vAlign w:val="center"/>
          </w:tcPr>
          <w:p w14:paraId="1E5EDB80">
            <w:pPr>
              <w:pStyle w:val="31"/>
              <w:spacing w:before="78" w:line="220" w:lineRule="auto"/>
              <w:ind w:left="512"/>
              <w:jc w:val="center"/>
            </w:pPr>
            <w:r>
              <w:rPr>
                <w:spacing w:val="-3"/>
              </w:rPr>
              <w:t>无标识项</w:t>
            </w:r>
          </w:p>
        </w:tc>
        <w:tc>
          <w:tcPr>
            <w:tcW w:w="1405" w:type="dxa"/>
            <w:vAlign w:val="center"/>
          </w:tcPr>
          <w:p w14:paraId="2C58C4DE">
            <w:pPr>
              <w:jc w:val="center"/>
              <w:rPr>
                <w:rFonts w:ascii="Arial"/>
                <w:sz w:val="21"/>
              </w:rPr>
            </w:pPr>
          </w:p>
        </w:tc>
        <w:tc>
          <w:tcPr>
            <w:tcW w:w="5650" w:type="dxa"/>
            <w:vAlign w:val="center"/>
          </w:tcPr>
          <w:p w14:paraId="57832785">
            <w:pPr>
              <w:pStyle w:val="31"/>
              <w:spacing w:before="182" w:line="347" w:lineRule="auto"/>
              <w:ind w:left="114" w:right="108"/>
              <w:jc w:val="left"/>
            </w:pPr>
            <w:r>
              <w:rPr>
                <w:rFonts w:hint="eastAsia" w:ascii="宋体" w:hAnsi="宋体" w:eastAsia="宋体" w:cs="宋体"/>
                <w:color w:val="auto"/>
                <w:sz w:val="24"/>
                <w:szCs w:val="24"/>
                <w:highlight w:val="none"/>
              </w:rPr>
              <w:t>无标识项的技术参数及要求</w:t>
            </w:r>
            <w:r>
              <w:rPr>
                <w:rFonts w:hint="default"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条及以上</w:t>
            </w:r>
            <w:r>
              <w:rPr>
                <w:rFonts w:hint="eastAsia" w:ascii="宋体" w:hAnsi="宋体" w:eastAsia="宋体" w:cs="宋体"/>
                <w:color w:val="auto"/>
                <w:sz w:val="24"/>
                <w:szCs w:val="24"/>
                <w:highlight w:val="none"/>
              </w:rPr>
              <w:t>未响应或负偏离，</w:t>
            </w:r>
            <w:r>
              <w:rPr>
                <w:rFonts w:hint="eastAsia" w:ascii="宋体" w:hAnsi="宋体" w:eastAsia="宋体" w:cs="宋体"/>
                <w:b/>
                <w:bCs/>
                <w:color w:val="auto"/>
                <w:sz w:val="24"/>
                <w:szCs w:val="24"/>
                <w:highlight w:val="none"/>
              </w:rPr>
              <w:t>将</w:t>
            </w:r>
            <w:r>
              <w:rPr>
                <w:rFonts w:hint="eastAsia" w:ascii="宋体" w:hAnsi="宋体" w:eastAsia="宋体" w:cs="宋体"/>
                <w:b/>
                <w:bCs/>
                <w:color w:val="auto"/>
                <w:kern w:val="0"/>
                <w:sz w:val="24"/>
                <w:szCs w:val="24"/>
                <w:highlight w:val="none"/>
                <w:lang w:bidi="ar"/>
              </w:rPr>
              <w:t>导致投标</w:t>
            </w:r>
            <w:r>
              <w:rPr>
                <w:rFonts w:hint="eastAsia" w:ascii="宋体" w:hAnsi="宋体" w:eastAsia="宋体" w:cs="宋体"/>
                <w:b/>
                <w:bCs/>
                <w:color w:val="auto"/>
                <w:kern w:val="0"/>
                <w:sz w:val="24"/>
                <w:szCs w:val="24"/>
                <w:highlight w:val="none"/>
                <w:lang w:val="en-US" w:eastAsia="zh-CN" w:bidi="ar"/>
              </w:rPr>
              <w:t>无效</w:t>
            </w:r>
            <w:r>
              <w:rPr>
                <w:rFonts w:hint="eastAsia" w:cs="宋体"/>
                <w:b/>
                <w:bCs/>
                <w:color w:val="auto"/>
                <w:kern w:val="0"/>
                <w:sz w:val="24"/>
                <w:szCs w:val="24"/>
                <w:highlight w:val="none"/>
                <w:lang w:val="en-US" w:eastAsia="zh-CN" w:bidi="ar"/>
              </w:rPr>
              <w:t>。</w:t>
            </w:r>
          </w:p>
        </w:tc>
      </w:tr>
    </w:tbl>
    <w:p w14:paraId="0A45A3AC">
      <w:pPr>
        <w:autoSpaceDE w:val="0"/>
        <w:autoSpaceDN w:val="0"/>
        <w:adjustRightInd w:val="0"/>
        <w:spacing w:line="360" w:lineRule="auto"/>
        <w:jc w:val="left"/>
        <w:rPr>
          <w:rFonts w:hint="eastAsia" w:ascii="宋体" w:hAnsi="宋体" w:eastAsia="宋体" w:cs="宋体"/>
          <w:b/>
          <w:color w:val="000000"/>
          <w:sz w:val="24"/>
          <w:szCs w:val="24"/>
          <w:highlight w:val="none"/>
        </w:rPr>
      </w:pPr>
    </w:p>
    <w:p w14:paraId="19C54313">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（二）技术参数及要求</w:t>
      </w:r>
    </w:p>
    <w:tbl>
      <w:tblPr>
        <w:tblStyle w:val="10"/>
        <w:tblW w:w="46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002"/>
        <w:gridCol w:w="4279"/>
        <w:gridCol w:w="749"/>
        <w:gridCol w:w="830"/>
        <w:gridCol w:w="532"/>
      </w:tblGrid>
      <w:tr w14:paraId="07B7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Align w:val="center"/>
          </w:tcPr>
          <w:p w14:paraId="0E145A51">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序号</w:t>
            </w:r>
          </w:p>
        </w:tc>
        <w:tc>
          <w:tcPr>
            <w:tcW w:w="629" w:type="pct"/>
            <w:vAlign w:val="center"/>
          </w:tcPr>
          <w:p w14:paraId="7FD75FE5">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货物名称</w:t>
            </w:r>
          </w:p>
        </w:tc>
        <w:tc>
          <w:tcPr>
            <w:tcW w:w="2686" w:type="pct"/>
            <w:vAlign w:val="center"/>
          </w:tcPr>
          <w:p w14:paraId="64A8F5DA">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技术参数及要求</w:t>
            </w:r>
          </w:p>
        </w:tc>
        <w:tc>
          <w:tcPr>
            <w:tcW w:w="470" w:type="pct"/>
            <w:vAlign w:val="center"/>
          </w:tcPr>
          <w:p w14:paraId="5E152BF3">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数量（单位）</w:t>
            </w:r>
          </w:p>
        </w:tc>
        <w:tc>
          <w:tcPr>
            <w:tcW w:w="521" w:type="pct"/>
            <w:vAlign w:val="center"/>
          </w:tcPr>
          <w:p w14:paraId="47193370">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所属行业</w:t>
            </w:r>
          </w:p>
        </w:tc>
        <w:tc>
          <w:tcPr>
            <w:tcW w:w="334" w:type="pct"/>
            <w:vAlign w:val="center"/>
          </w:tcPr>
          <w:p w14:paraId="255A6B82">
            <w:pPr>
              <w:spacing w:line="360" w:lineRule="auto"/>
              <w:jc w:val="center"/>
              <w:rPr>
                <w:bCs/>
                <w:color w:val="000000" w:themeColor="text1"/>
                <w:sz w:val="24"/>
                <w:szCs w:val="18"/>
                <w14:textFill>
                  <w14:solidFill>
                    <w14:schemeClr w14:val="tx1"/>
                  </w14:solidFill>
                </w14:textFill>
              </w:rPr>
            </w:pPr>
            <w:r>
              <w:rPr>
                <w:bCs/>
                <w:color w:val="000000" w:themeColor="text1"/>
                <w:sz w:val="24"/>
                <w:szCs w:val="18"/>
                <w14:textFill>
                  <w14:solidFill>
                    <w14:schemeClr w14:val="tx1"/>
                  </w14:solidFill>
                </w14:textFill>
              </w:rPr>
              <w:t>备注</w:t>
            </w:r>
          </w:p>
        </w:tc>
      </w:tr>
      <w:tr w14:paraId="5731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358" w:type="pct"/>
            <w:vAlign w:val="center"/>
          </w:tcPr>
          <w:p w14:paraId="78B6E70F">
            <w:pPr>
              <w:spacing w:line="360" w:lineRule="auto"/>
              <w:jc w:val="center"/>
              <w:rPr>
                <w:rFonts w:hint="eastAsia" w:eastAsia="宋体"/>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1</w:t>
            </w:r>
          </w:p>
        </w:tc>
        <w:tc>
          <w:tcPr>
            <w:tcW w:w="629" w:type="pct"/>
            <w:vAlign w:val="center"/>
          </w:tcPr>
          <w:p w14:paraId="430A2815">
            <w:pPr>
              <w:spacing w:line="360" w:lineRule="auto"/>
              <w:jc w:val="center"/>
              <w:rPr>
                <w:rFonts w:hint="eastAsia"/>
                <w:bCs/>
                <w:color w:val="000000" w:themeColor="text1"/>
                <w:sz w:val="24"/>
                <w:szCs w:val="18"/>
                <w14:textFill>
                  <w14:solidFill>
                    <w14:schemeClr w14:val="tx1"/>
                  </w14:solidFill>
                </w14:textFill>
              </w:rPr>
            </w:pPr>
            <w:r>
              <w:rPr>
                <w:rFonts w:hint="eastAsia"/>
                <w:bCs/>
                <w:color w:val="000000" w:themeColor="text1"/>
                <w:sz w:val="24"/>
                <w:szCs w:val="18"/>
                <w14:textFill>
                  <w14:solidFill>
                    <w14:schemeClr w14:val="tx1"/>
                  </w14:solidFill>
                </w14:textFill>
              </w:rPr>
              <w:t>▲</w:t>
            </w:r>
          </w:p>
          <w:p w14:paraId="5FD9B5EF">
            <w:pPr>
              <w:spacing w:line="360" w:lineRule="auto"/>
              <w:jc w:val="center"/>
              <w:rPr>
                <w:rFonts w:hint="eastAsia"/>
                <w:bCs/>
                <w:color w:val="000000" w:themeColor="text1"/>
                <w:sz w:val="24"/>
                <w:szCs w:val="18"/>
                <w14:textFill>
                  <w14:solidFill>
                    <w14:schemeClr w14:val="tx1"/>
                  </w14:solidFill>
                </w14:textFill>
              </w:rPr>
            </w:pPr>
            <w:r>
              <w:rPr>
                <w:rFonts w:hint="eastAsia"/>
                <w:bCs/>
                <w:color w:val="000000" w:themeColor="text1"/>
                <w:sz w:val="24"/>
                <w:szCs w:val="18"/>
                <w14:textFill>
                  <w14:solidFill>
                    <w14:schemeClr w14:val="tx1"/>
                  </w14:solidFill>
                </w14:textFill>
              </w:rPr>
              <w:t>消费</w:t>
            </w:r>
          </w:p>
          <w:p w14:paraId="2FBE5CBD">
            <w:pPr>
              <w:spacing w:line="360" w:lineRule="auto"/>
              <w:jc w:val="center"/>
              <w:rPr>
                <w:bCs/>
                <w:color w:val="000000" w:themeColor="text1"/>
                <w:sz w:val="24"/>
                <w:szCs w:val="18"/>
                <w14:textFill>
                  <w14:solidFill>
                    <w14:schemeClr w14:val="tx1"/>
                  </w14:solidFill>
                </w14:textFill>
              </w:rPr>
            </w:pPr>
            <w:r>
              <w:rPr>
                <w:rFonts w:hint="eastAsia"/>
                <w:bCs/>
                <w:color w:val="000000" w:themeColor="text1"/>
                <w:sz w:val="24"/>
                <w:szCs w:val="18"/>
                <w14:textFill>
                  <w14:solidFill>
                    <w14:schemeClr w14:val="tx1"/>
                  </w14:solidFill>
                </w14:textFill>
              </w:rPr>
              <w:t>者心理与行为研究脑电设备（进口设备）</w:t>
            </w:r>
          </w:p>
        </w:tc>
        <w:tc>
          <w:tcPr>
            <w:tcW w:w="2686" w:type="pct"/>
            <w:tcBorders/>
          </w:tcPr>
          <w:p w14:paraId="12269C74">
            <w:pPr>
              <w:numPr>
                <w:ilvl w:val="0"/>
                <w:numId w:val="0"/>
              </w:numPr>
              <w:spacing w:line="360" w:lineRule="auto"/>
              <w:jc w:val="left"/>
              <w:rPr>
                <w:rFonts w:hint="eastAsia"/>
                <w:color w:val="000000" w:themeColor="text1"/>
                <w:sz w:val="24"/>
                <w14:textFill>
                  <w14:solidFill>
                    <w14:schemeClr w14:val="tx1"/>
                  </w14:solidFill>
                </w14:textFill>
              </w:rPr>
            </w:pPr>
            <w:r>
              <w:rPr>
                <w:rFonts w:hint="eastAsia" w:ascii="宋体" w:hAnsi="宋体" w:eastAsia="宋体" w:cs="宋体"/>
                <w:color w:val="000000" w:themeColor="text1"/>
                <w:sz w:val="24"/>
                <w:szCs w:val="24"/>
                <w:lang w:val="en-US" w:eastAsia="zh-CN" w:bidi="ar-SA"/>
                <w14:textFill>
                  <w14:solidFill>
                    <w14:schemeClr w14:val="tx1"/>
                  </w14:solidFill>
                </w14:textFill>
              </w:rPr>
              <w:t>1.</w:t>
            </w:r>
            <w:r>
              <w:rPr>
                <w:rFonts w:hint="eastAsia"/>
                <w:color w:val="000000" w:themeColor="text1"/>
                <w:sz w:val="24"/>
                <w14:textFill>
                  <w14:solidFill>
                    <w14:schemeClr w14:val="tx1"/>
                  </w14:solidFill>
                </w14:textFill>
              </w:rPr>
              <w:t>放大器系统技术参数：</w:t>
            </w:r>
          </w:p>
          <w:p w14:paraId="48258751">
            <w:pPr>
              <w:pStyle w:val="2"/>
              <w:numPr>
                <w:numId w:val="0"/>
              </w:numPr>
              <w:rPr>
                <w:rFonts w:hint="eastAsia"/>
              </w:rPr>
            </w:pPr>
            <w:r>
              <w:rPr>
                <w:rFonts w:hint="eastAsia"/>
              </w:rPr>
              <w:t>★1.1 单体≥ 70 导联放大器，包含≥ 64 个脑电数据通道；≥ 6 个双极通道，设备可同步采集 EEG、ERP、ECOG、皮电、呼吸、心电、加速度、温度等生理数据；</w:t>
            </w:r>
          </w:p>
          <w:p w14:paraId="125152F0">
            <w:pPr>
              <w:pStyle w:val="2"/>
              <w:numPr>
                <w:numId w:val="0"/>
              </w:numPr>
              <w:rPr>
                <w:rFonts w:hint="eastAsia"/>
              </w:rPr>
            </w:pPr>
            <w:r>
              <w:rPr>
                <w:rFonts w:hint="eastAsia"/>
              </w:rPr>
              <w:t>★1.2 64 通道同时采集时最大采样速率不低于 45000Hz/通道（非存储速率）；</w:t>
            </w:r>
          </w:p>
          <w:p w14:paraId="09282B8E">
            <w:pPr>
              <w:pStyle w:val="2"/>
              <w:numPr>
                <w:numId w:val="0"/>
              </w:numPr>
              <w:rPr>
                <w:rFonts w:hint="eastAsia"/>
              </w:rPr>
            </w:pPr>
            <w:r>
              <w:rPr>
                <w:rFonts w:hint="eastAsia"/>
              </w:rPr>
              <w:t>1.3 A/D 转换:≥24 位；</w:t>
            </w:r>
          </w:p>
          <w:p w14:paraId="3C6709FA">
            <w:pPr>
              <w:pStyle w:val="2"/>
              <w:numPr>
                <w:numId w:val="0"/>
              </w:numPr>
              <w:rPr>
                <w:rFonts w:hint="eastAsia"/>
              </w:rPr>
            </w:pPr>
            <w:r>
              <w:rPr>
                <w:rFonts w:hint="eastAsia"/>
              </w:rPr>
              <w:t>1.4 共模抑制比≥100 dB；</w:t>
            </w:r>
          </w:p>
          <w:p w14:paraId="369F52E2">
            <w:pPr>
              <w:pStyle w:val="2"/>
              <w:numPr>
                <w:numId w:val="0"/>
              </w:numPr>
              <w:rPr>
                <w:rFonts w:hint="eastAsia"/>
              </w:rPr>
            </w:pPr>
            <w:r>
              <w:rPr>
                <w:rFonts w:hint="eastAsia"/>
              </w:rPr>
              <w:t>1.5 EEG 信号输入范围≥±300 mV ；</w:t>
            </w:r>
          </w:p>
          <w:p w14:paraId="1144F04A">
            <w:pPr>
              <w:pStyle w:val="2"/>
              <w:numPr>
                <w:numId w:val="0"/>
              </w:numPr>
              <w:rPr>
                <w:rFonts w:hint="eastAsia"/>
              </w:rPr>
            </w:pPr>
            <w:r>
              <w:rPr>
                <w:rFonts w:hint="eastAsia"/>
              </w:rPr>
              <w:t>1.6 放大器噪声≤2 μVpp；</w:t>
            </w:r>
          </w:p>
          <w:p w14:paraId="1B972B7D">
            <w:pPr>
              <w:pStyle w:val="2"/>
              <w:numPr>
                <w:numId w:val="0"/>
              </w:numPr>
              <w:rPr>
                <w:rFonts w:hint="eastAsia"/>
              </w:rPr>
            </w:pPr>
            <w:r>
              <w:rPr>
                <w:rFonts w:hint="eastAsia"/>
              </w:rPr>
              <w:t>1.7 频带宽度≥DC-6000Hz，同时支持 AC/DC 采集模式；；</w:t>
            </w:r>
          </w:p>
          <w:p w14:paraId="4A5AFEBA">
            <w:pPr>
              <w:pStyle w:val="2"/>
              <w:numPr>
                <w:numId w:val="0"/>
              </w:numPr>
              <w:rPr>
                <w:rFonts w:hint="eastAsia"/>
              </w:rPr>
            </w:pPr>
            <w:r>
              <w:rPr>
                <w:rFonts w:hint="eastAsia"/>
              </w:rPr>
              <w:t>■1.8 支持在非屏蔽室环境下准确记录脑电信号；</w:t>
            </w:r>
          </w:p>
          <w:p w14:paraId="35FB81E1">
            <w:pPr>
              <w:pStyle w:val="2"/>
              <w:numPr>
                <w:numId w:val="0"/>
              </w:numPr>
              <w:rPr>
                <w:rFonts w:hint="eastAsia"/>
              </w:rPr>
            </w:pPr>
            <w:r>
              <w:rPr>
                <w:rFonts w:hint="eastAsia"/>
              </w:rPr>
              <w:t>1.9 系统模块化设计，后期可直接拓展为 160 通道，不要另外购置放大器与头盒；</w:t>
            </w:r>
          </w:p>
          <w:p w14:paraId="2AD608D1">
            <w:pPr>
              <w:pStyle w:val="2"/>
              <w:numPr>
                <w:numId w:val="0"/>
              </w:numPr>
              <w:rPr>
                <w:rFonts w:hint="eastAsia"/>
              </w:rPr>
            </w:pPr>
            <w:r>
              <w:rPr>
                <w:rFonts w:hint="eastAsia"/>
              </w:rPr>
              <w:t>■1.10 电源为可充电电池供电，避免市电干扰；电源为可更换设计，方便用户自行更换；</w:t>
            </w:r>
          </w:p>
          <w:p w14:paraId="4DAA0CF0">
            <w:pPr>
              <w:pStyle w:val="2"/>
              <w:numPr>
                <w:numId w:val="0"/>
              </w:numPr>
              <w:rPr>
                <w:rFonts w:hint="eastAsia"/>
              </w:rPr>
            </w:pPr>
            <w:r>
              <w:rPr>
                <w:rFonts w:hint="eastAsia"/>
              </w:rPr>
              <w:t>■1.11 为方便携带，放大器与电源重量不能超过 2kg；</w:t>
            </w:r>
          </w:p>
          <w:p w14:paraId="278E6E83">
            <w:pPr>
              <w:pStyle w:val="2"/>
              <w:numPr>
                <w:numId w:val="0"/>
              </w:numPr>
              <w:rPr>
                <w:rFonts w:hint="eastAsia"/>
              </w:rPr>
            </w:pPr>
            <w:r>
              <w:rPr>
                <w:rFonts w:hint="eastAsia"/>
              </w:rPr>
              <w:t>★1.12 放大器可以与实验室近红外脑成像设备进行同步采集并提供全套采集方案；支持拓展与 TMS 设备同步采集；</w:t>
            </w:r>
          </w:p>
          <w:p w14:paraId="444F27EC">
            <w:pPr>
              <w:pStyle w:val="2"/>
              <w:numPr>
                <w:numId w:val="0"/>
              </w:numPr>
              <w:rPr>
                <w:rFonts w:hint="eastAsia"/>
              </w:rPr>
            </w:pPr>
            <w:r>
              <w:rPr>
                <w:rFonts w:hint="eastAsia"/>
              </w:rPr>
              <w:t>2.电极帽系统</w:t>
            </w:r>
          </w:p>
          <w:p w14:paraId="2B28402E">
            <w:pPr>
              <w:pStyle w:val="2"/>
              <w:numPr>
                <w:numId w:val="0"/>
              </w:numPr>
              <w:rPr>
                <w:rFonts w:hint="eastAsia"/>
              </w:rPr>
            </w:pPr>
            <w:r>
              <w:rPr>
                <w:rFonts w:hint="eastAsia"/>
              </w:rPr>
              <w:t>2.1 配备≥2顶原装64导电极帽，电极系统材质 为Ag/AgCl 电极，导电介质为膏状；</w:t>
            </w:r>
          </w:p>
          <w:p w14:paraId="3F9FC052">
            <w:pPr>
              <w:pStyle w:val="2"/>
              <w:numPr>
                <w:numId w:val="0"/>
              </w:numPr>
              <w:rPr>
                <w:rFonts w:hint="eastAsia"/>
              </w:rPr>
            </w:pPr>
            <w:r>
              <w:rPr>
                <w:rFonts w:hint="eastAsia"/>
              </w:rPr>
              <w:t>2.2 电极采用模块化设计，单根电极可拆卸设计，替换更为方便；</w:t>
            </w:r>
          </w:p>
          <w:p w14:paraId="4D5B65E2">
            <w:pPr>
              <w:pStyle w:val="2"/>
              <w:numPr>
                <w:numId w:val="0"/>
              </w:numPr>
              <w:rPr>
                <w:rFonts w:hint="eastAsia"/>
              </w:rPr>
            </w:pPr>
            <w:r>
              <w:rPr>
                <w:rFonts w:hint="eastAsia"/>
              </w:rPr>
              <w:t>■2.3 可以通过观察电极帽上的电极灯光颜色即可实时监控到到电极与头皮的接触情况；</w:t>
            </w:r>
          </w:p>
          <w:p w14:paraId="20F68206">
            <w:pPr>
              <w:pStyle w:val="2"/>
              <w:numPr>
                <w:numId w:val="0"/>
              </w:numPr>
              <w:rPr>
                <w:rFonts w:hint="eastAsia"/>
              </w:rPr>
            </w:pPr>
            <w:r>
              <w:rPr>
                <w:rFonts w:hint="eastAsia"/>
              </w:rPr>
              <w:t>2.4 导电介质为膏状不易挥发也不需要实验中途添加，阻抗≤ 5KOhms 且可稳定维持≧1.5时；</w:t>
            </w:r>
          </w:p>
          <w:p w14:paraId="6B6658C6">
            <w:pPr>
              <w:pStyle w:val="2"/>
              <w:numPr>
                <w:numId w:val="0"/>
              </w:numPr>
              <w:rPr>
                <w:rFonts w:hint="eastAsia"/>
              </w:rPr>
            </w:pPr>
            <w:r>
              <w:rPr>
                <w:rFonts w:hint="eastAsia"/>
              </w:rPr>
              <w:t>2.5 电极系统直接支持与 TMS、fNIRS 设备同步采集,无需更换电极系统；</w:t>
            </w:r>
          </w:p>
          <w:p w14:paraId="7679B538">
            <w:pPr>
              <w:pStyle w:val="2"/>
              <w:numPr>
                <w:numId w:val="0"/>
              </w:numPr>
              <w:rPr>
                <w:rFonts w:hint="eastAsia"/>
              </w:rPr>
            </w:pPr>
            <w:r>
              <w:rPr>
                <w:rFonts w:hint="eastAsia"/>
              </w:rPr>
              <w:t>2.6 设备可支持常规电极系统、主动电极系统、盐水电极系统及干电极系统；</w:t>
            </w:r>
          </w:p>
          <w:p w14:paraId="28D89934">
            <w:pPr>
              <w:pStyle w:val="2"/>
              <w:numPr>
                <w:numId w:val="0"/>
              </w:numPr>
              <w:rPr>
                <w:rFonts w:hint="eastAsia"/>
              </w:rPr>
            </w:pPr>
            <w:r>
              <w:rPr>
                <w:rFonts w:hint="eastAsia"/>
              </w:rPr>
              <w:t>3.刺激与采集软件</w:t>
            </w:r>
          </w:p>
          <w:p w14:paraId="3523D36F">
            <w:pPr>
              <w:pStyle w:val="2"/>
              <w:numPr>
                <w:numId w:val="0"/>
              </w:numPr>
              <w:rPr>
                <w:rFonts w:hint="eastAsia"/>
              </w:rPr>
            </w:pPr>
            <w:r>
              <w:rPr>
                <w:rFonts w:hint="eastAsia"/>
              </w:rPr>
              <w:t>3.1 刺激软件可自由编程，可实现声音、文字、文本、图片等不同类型的实验程序；</w:t>
            </w:r>
          </w:p>
          <w:p w14:paraId="4938D80A">
            <w:pPr>
              <w:pStyle w:val="2"/>
              <w:numPr>
                <w:numId w:val="0"/>
              </w:numPr>
              <w:rPr>
                <w:rFonts w:hint="eastAsia"/>
              </w:rPr>
            </w:pPr>
            <w:r>
              <w:rPr>
                <w:rFonts w:hint="eastAsia"/>
              </w:rPr>
              <w:t>3.2 具有独立的数据采集软件，保证数据采集时可以同时分析其它数据；</w:t>
            </w:r>
          </w:p>
          <w:p w14:paraId="06F9FBD8">
            <w:pPr>
              <w:pStyle w:val="2"/>
              <w:numPr>
                <w:numId w:val="0"/>
              </w:numPr>
              <w:rPr>
                <w:rFonts w:hint="eastAsia"/>
              </w:rPr>
            </w:pPr>
            <w:r>
              <w:rPr>
                <w:rFonts w:hint="eastAsia"/>
              </w:rPr>
              <w:t>3.3 采集软件可直接在数据上显示事件相关标记，可自动进行阻抗测试，采用鲜明的颜色区分阻抗的好与坏；</w:t>
            </w:r>
          </w:p>
          <w:p w14:paraId="6330A212">
            <w:pPr>
              <w:pStyle w:val="2"/>
              <w:numPr>
                <w:numId w:val="0"/>
              </w:numPr>
              <w:rPr>
                <w:rFonts w:hint="eastAsia"/>
              </w:rPr>
            </w:pPr>
            <w:r>
              <w:rPr>
                <w:rFonts w:hint="eastAsia"/>
              </w:rPr>
              <w:t>3.4 可配套开源采集软件，提供 RDA 开发包，支持matlab、 python、c 环境下的开发工具；</w:t>
            </w:r>
          </w:p>
          <w:p w14:paraId="238092ED">
            <w:pPr>
              <w:pStyle w:val="2"/>
              <w:numPr>
                <w:numId w:val="0"/>
              </w:numPr>
              <w:rPr>
                <w:rFonts w:hint="eastAsia"/>
              </w:rPr>
            </w:pPr>
            <w:r>
              <w:rPr>
                <w:rFonts w:hint="eastAsia"/>
              </w:rPr>
              <w:t>3.5 采集软件自带在线分析功能，可实时观测实验数据，提供选配视频同步采集模块；</w:t>
            </w:r>
          </w:p>
          <w:p w14:paraId="2F8804B3">
            <w:pPr>
              <w:pStyle w:val="2"/>
              <w:numPr>
                <w:numId w:val="0"/>
              </w:numPr>
              <w:rPr>
                <w:rFonts w:hint="eastAsia"/>
              </w:rPr>
            </w:pPr>
            <w:r>
              <w:rPr>
                <w:rFonts w:hint="eastAsia"/>
              </w:rPr>
              <w:t>3.6 可自由设置采集软件的相关参数，如滤波、基线校准等功能；</w:t>
            </w:r>
          </w:p>
          <w:p w14:paraId="69CCBD85">
            <w:pPr>
              <w:pStyle w:val="2"/>
              <w:numPr>
                <w:numId w:val="0"/>
              </w:numPr>
              <w:rPr>
                <w:rFonts w:hint="eastAsia"/>
              </w:rPr>
            </w:pPr>
            <w:r>
              <w:rPr>
                <w:rFonts w:hint="eastAsia"/>
              </w:rPr>
              <w:t>3.7 刺激软件报告计时精度可达毫秒级精度；</w:t>
            </w:r>
          </w:p>
          <w:p w14:paraId="401F6B6A">
            <w:pPr>
              <w:pStyle w:val="2"/>
              <w:numPr>
                <w:numId w:val="0"/>
              </w:numPr>
              <w:rPr>
                <w:rFonts w:hint="eastAsia"/>
              </w:rPr>
            </w:pPr>
            <w:r>
              <w:rPr>
                <w:rFonts w:hint="eastAsia"/>
              </w:rPr>
              <w:t>3.8 刺激软件可选配脑电、眼动仪的专用扩展插件；</w:t>
            </w:r>
          </w:p>
          <w:p w14:paraId="61B0005C">
            <w:pPr>
              <w:pStyle w:val="2"/>
              <w:numPr>
                <w:numId w:val="0"/>
              </w:numPr>
              <w:rPr>
                <w:rFonts w:hint="eastAsia"/>
              </w:rPr>
            </w:pPr>
            <w:r>
              <w:rPr>
                <w:rFonts w:hint="eastAsia"/>
              </w:rPr>
              <w:t>4.分析软件</w:t>
            </w:r>
          </w:p>
          <w:p w14:paraId="087961C3">
            <w:pPr>
              <w:pStyle w:val="2"/>
              <w:numPr>
                <w:numId w:val="0"/>
              </w:numPr>
              <w:rPr>
                <w:rFonts w:hint="eastAsia"/>
              </w:rPr>
            </w:pPr>
            <w:r>
              <w:rPr>
                <w:rFonts w:hint="eastAsia"/>
              </w:rPr>
              <w:t>4.1 采用独立的分析软件，保证采集数据不受影响，软件采用加密狗形式进行认证，可直接兼容可读取和处理多种格式的脑电数据，如十进制文本、ASCII 类型等超过 25 种数据格式；</w:t>
            </w:r>
          </w:p>
          <w:p w14:paraId="03CAE891">
            <w:pPr>
              <w:pStyle w:val="2"/>
              <w:numPr>
                <w:numId w:val="0"/>
              </w:numPr>
              <w:rPr>
                <w:rFonts w:hint="eastAsia"/>
              </w:rPr>
            </w:pPr>
            <w:r>
              <w:rPr>
                <w:rFonts w:hint="eastAsia"/>
              </w:rPr>
              <w:t>4.2 具备眼动伪迹函数校正、基线自动校正、ICA/PCA、FFT、小波变换、叠加平均、参考电极更换、滤波、二维脑电地形图制作等功能；</w:t>
            </w:r>
          </w:p>
          <w:p w14:paraId="7D9CCE28">
            <w:pPr>
              <w:pStyle w:val="2"/>
              <w:numPr>
                <w:numId w:val="0"/>
              </w:numPr>
              <w:rPr>
                <w:rFonts w:hint="eastAsia"/>
              </w:rPr>
            </w:pPr>
            <w:r>
              <w:rPr>
                <w:rFonts w:hint="eastAsia"/>
              </w:rPr>
              <w:t>■4.3 软件提供 2D 脑地形图、3D 脑地形图，支持修正核磁干扰、修正 TMS 干扰、修正心电干扰等功能；</w:t>
            </w:r>
          </w:p>
          <w:p w14:paraId="1CA44812">
            <w:pPr>
              <w:pStyle w:val="2"/>
              <w:numPr>
                <w:numId w:val="0"/>
              </w:numPr>
              <w:rPr>
                <w:rFonts w:hint="eastAsia"/>
              </w:rPr>
            </w:pPr>
            <w:r>
              <w:rPr>
                <w:rFonts w:hint="eastAsia"/>
              </w:rPr>
              <w:t>4.4 模块化结构的脑事件相关电位分析软件，可提供时域、频域、时频域的各种数据分析模式；</w:t>
            </w:r>
          </w:p>
          <w:p w14:paraId="64AE1CCB">
            <w:pPr>
              <w:pStyle w:val="2"/>
              <w:numPr>
                <w:numId w:val="0"/>
              </w:numPr>
              <w:rPr>
                <w:rFonts w:hint="eastAsia"/>
              </w:rPr>
            </w:pPr>
            <w:r>
              <w:rPr>
                <w:rFonts w:hint="eastAsia"/>
              </w:rPr>
              <w:t>★4.5 分析软件直接集成 Loreta 源定位算法，并可实时与Matlab 相互转换；</w:t>
            </w:r>
          </w:p>
          <w:p w14:paraId="6E144D27">
            <w:pPr>
              <w:pStyle w:val="2"/>
              <w:numPr>
                <w:numId w:val="0"/>
              </w:numPr>
              <w:rPr>
                <w:rFonts w:hint="eastAsia"/>
              </w:rPr>
            </w:pPr>
            <w:r>
              <w:rPr>
                <w:rFonts w:hint="eastAsia"/>
              </w:rPr>
              <w:t>★4.6 采用“树状目录 ”记录方式，可自动记录数据处理的每个操作，并可基于这些操作 生产操作模版，能自动此模版进行数据批处理，</w:t>
            </w:r>
            <w:r>
              <w:rPr>
                <w:rFonts w:hint="eastAsia"/>
                <w:b/>
                <w:bCs/>
              </w:rPr>
              <w:t>树状结构软件界面提供产品截图</w:t>
            </w:r>
            <w:r>
              <w:rPr>
                <w:rFonts w:hint="eastAsia"/>
              </w:rPr>
              <w:t>；</w:t>
            </w:r>
          </w:p>
          <w:p w14:paraId="5271519A">
            <w:pPr>
              <w:pStyle w:val="2"/>
              <w:numPr>
                <w:numId w:val="0"/>
              </w:numPr>
            </w:pPr>
            <w:r>
              <w:rPr>
                <w:rFonts w:hint="eastAsia"/>
              </w:rPr>
              <w:t>4.7 兼容世界多种厂家 EEG/ERP 数据分析，便于学术交流。</w:t>
            </w:r>
          </w:p>
        </w:tc>
        <w:tc>
          <w:tcPr>
            <w:tcW w:w="470" w:type="pct"/>
            <w:vAlign w:val="center"/>
          </w:tcPr>
          <w:p w14:paraId="1B890304">
            <w:pPr>
              <w:spacing w:line="360" w:lineRule="auto"/>
              <w:jc w:val="center"/>
              <w:rPr>
                <w:bCs/>
                <w:color w:val="000000" w:themeColor="text1"/>
                <w:sz w:val="24"/>
                <w:szCs w:val="18"/>
                <w14:textFill>
                  <w14:solidFill>
                    <w14:schemeClr w14:val="tx1"/>
                  </w14:solidFill>
                </w14:textFill>
              </w:rPr>
            </w:pPr>
            <w:r>
              <w:rPr>
                <w:rFonts w:hint="eastAsia"/>
                <w:bCs/>
                <w:color w:val="000000" w:themeColor="text1"/>
                <w:sz w:val="24"/>
                <w:szCs w:val="18"/>
                <w:lang w:val="en-US" w:eastAsia="zh-CN"/>
                <w14:textFill>
                  <w14:solidFill>
                    <w14:schemeClr w14:val="tx1"/>
                  </w14:solidFill>
                </w14:textFill>
              </w:rPr>
              <w:t>2</w:t>
            </w:r>
            <w:r>
              <w:rPr>
                <w:bCs/>
                <w:color w:val="000000" w:themeColor="text1"/>
                <w:sz w:val="24"/>
                <w:szCs w:val="18"/>
                <w14:textFill>
                  <w14:solidFill>
                    <w14:schemeClr w14:val="tx1"/>
                  </w14:solidFill>
                </w14:textFill>
              </w:rPr>
              <w:t>套</w:t>
            </w:r>
          </w:p>
        </w:tc>
        <w:tc>
          <w:tcPr>
            <w:tcW w:w="521" w:type="pct"/>
            <w:vAlign w:val="center"/>
          </w:tcPr>
          <w:p w14:paraId="014E20DF">
            <w:pPr>
              <w:spacing w:line="360" w:lineRule="auto"/>
              <w:jc w:val="center"/>
              <w:rPr>
                <w:rFonts w:hint="default" w:eastAsia="宋体"/>
                <w:bCs/>
                <w:color w:val="000000" w:themeColor="text1"/>
                <w:sz w:val="24"/>
                <w:szCs w:val="18"/>
                <w:lang w:val="en-US" w:eastAsia="zh-CN"/>
                <w14:textFill>
                  <w14:solidFill>
                    <w14:schemeClr w14:val="tx1"/>
                  </w14:solidFill>
                </w14:textFill>
              </w:rPr>
            </w:pPr>
            <w:r>
              <w:rPr>
                <w:rFonts w:hint="eastAsia"/>
                <w:bCs/>
                <w:color w:val="000000" w:themeColor="text1"/>
                <w:sz w:val="24"/>
                <w:szCs w:val="18"/>
                <w:lang w:val="en-US" w:eastAsia="zh-CN"/>
                <w14:textFill>
                  <w14:solidFill>
                    <w14:schemeClr w14:val="tx1"/>
                  </w14:solidFill>
                </w14:textFill>
              </w:rPr>
              <w:t>工业</w:t>
            </w:r>
          </w:p>
        </w:tc>
        <w:tc>
          <w:tcPr>
            <w:tcW w:w="334" w:type="pct"/>
            <w:vAlign w:val="center"/>
          </w:tcPr>
          <w:p w14:paraId="720ECC85">
            <w:pPr>
              <w:spacing w:line="360" w:lineRule="auto"/>
              <w:jc w:val="center"/>
              <w:rPr>
                <w:bCs/>
                <w:color w:val="000000" w:themeColor="text1"/>
                <w:sz w:val="24"/>
                <w:szCs w:val="18"/>
                <w14:textFill>
                  <w14:solidFill>
                    <w14:schemeClr w14:val="tx1"/>
                  </w14:solidFill>
                </w14:textFill>
              </w:rPr>
            </w:pPr>
          </w:p>
        </w:tc>
      </w:tr>
    </w:tbl>
    <w:p w14:paraId="76353EAE">
      <w:pPr>
        <w:spacing w:line="360" w:lineRule="auto"/>
        <w:ind w:firstLine="437"/>
        <w:outlineLvl w:val="1"/>
        <w:rPr>
          <w:rFonts w:hint="eastAsia" w:ascii="宋体" w:hAnsi="宋体" w:eastAsia="宋体" w:cs="宋体"/>
          <w:b/>
          <w:color w:val="auto"/>
          <w:kern w:val="0"/>
          <w:sz w:val="24"/>
          <w:szCs w:val="18"/>
          <w:highlight w:val="none"/>
        </w:rPr>
      </w:pPr>
      <w:r>
        <w:rPr>
          <w:rFonts w:hint="eastAsia" w:ascii="宋体" w:hAnsi="宋体" w:eastAsia="宋体" w:cs="宋体"/>
          <w:b/>
          <w:color w:val="auto"/>
          <w:kern w:val="0"/>
          <w:sz w:val="24"/>
          <w:szCs w:val="18"/>
          <w:highlight w:val="none"/>
        </w:rPr>
        <w:t>三、安装调试、质保及售后服务要求</w:t>
      </w:r>
    </w:p>
    <w:p w14:paraId="7A7D6EF0">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安装调试：</w:t>
      </w:r>
      <w:r>
        <w:rPr>
          <w:rFonts w:hint="eastAsia" w:cs="宋体"/>
          <w:b w:val="0"/>
          <w:bCs/>
          <w:color w:val="auto"/>
          <w:kern w:val="0"/>
          <w:sz w:val="24"/>
          <w:szCs w:val="18"/>
          <w:highlight w:val="none"/>
          <w:lang w:val="en-US" w:eastAsia="zh-CN"/>
        </w:rPr>
        <w:t>中标</w:t>
      </w:r>
      <w:r>
        <w:rPr>
          <w:rFonts w:hint="eastAsia" w:ascii="宋体" w:hAnsi="宋体" w:eastAsia="宋体" w:cs="宋体"/>
          <w:b w:val="0"/>
          <w:bCs/>
          <w:color w:val="auto"/>
          <w:kern w:val="0"/>
          <w:sz w:val="24"/>
          <w:szCs w:val="18"/>
          <w:highlight w:val="none"/>
        </w:rPr>
        <w:t>供应商须提供全新的设备，所有设备均须由</w:t>
      </w:r>
      <w:r>
        <w:rPr>
          <w:rFonts w:hint="eastAsia" w:cs="宋体"/>
          <w:b w:val="0"/>
          <w:bCs/>
          <w:color w:val="auto"/>
          <w:kern w:val="0"/>
          <w:sz w:val="24"/>
          <w:szCs w:val="18"/>
          <w:highlight w:val="none"/>
          <w:lang w:eastAsia="zh-CN"/>
        </w:rPr>
        <w:t>中标供应商</w:t>
      </w:r>
      <w:r>
        <w:rPr>
          <w:rFonts w:hint="eastAsia" w:ascii="宋体" w:hAnsi="宋体" w:eastAsia="宋体" w:cs="宋体"/>
          <w:b w:val="0"/>
          <w:bCs/>
          <w:color w:val="auto"/>
          <w:kern w:val="0"/>
          <w:sz w:val="24"/>
          <w:szCs w:val="18"/>
          <w:highlight w:val="none"/>
        </w:rPr>
        <w:t>送货到指定地点并安装调试，采购人不再支付任何费用。</w:t>
      </w:r>
    </w:p>
    <w:p w14:paraId="444F6AE6">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售后服务：电话、Email、QQ 故障报修服务设专职服务人员，由资深技术工程师人员为用户提供技术援助电话，用于用户报告故障。学校可以通过电话、Email、QQ 或传真等方式进行故障报告。如电话支持无法解决，要求</w:t>
      </w:r>
      <w:r>
        <w:rPr>
          <w:rFonts w:hint="eastAsia" w:cs="宋体"/>
          <w:b w:val="0"/>
          <w:bCs/>
          <w:color w:val="auto"/>
          <w:kern w:val="0"/>
          <w:sz w:val="24"/>
          <w:szCs w:val="18"/>
          <w:highlight w:val="none"/>
          <w:lang w:eastAsia="zh-CN"/>
        </w:rPr>
        <w:t>中标供应商</w:t>
      </w:r>
      <w:r>
        <w:rPr>
          <w:rFonts w:hint="eastAsia" w:ascii="宋体" w:hAnsi="宋体" w:eastAsia="宋体" w:cs="宋体"/>
          <w:b w:val="0"/>
          <w:bCs/>
          <w:color w:val="auto"/>
          <w:kern w:val="0"/>
          <w:sz w:val="24"/>
          <w:szCs w:val="18"/>
          <w:highlight w:val="none"/>
        </w:rPr>
        <w:t>将在接到通知后 2 小时内做出响应，并采取行动排除故障。</w:t>
      </w:r>
    </w:p>
    <w:p w14:paraId="0D69808B">
      <w:pPr>
        <w:numPr>
          <w:ilvl w:val="0"/>
          <w:numId w:val="0"/>
        </w:numPr>
        <w:spacing w:line="360" w:lineRule="auto"/>
        <w:ind w:firstLine="437" w:firstLineChars="0"/>
        <w:outlineLvl w:val="1"/>
        <w:rPr>
          <w:rFonts w:hint="eastAsia" w:ascii="宋体" w:hAnsi="宋体" w:eastAsia="宋体" w:cs="宋体"/>
          <w:b/>
          <w:color w:val="auto"/>
          <w:kern w:val="0"/>
          <w:sz w:val="24"/>
          <w:szCs w:val="18"/>
          <w:highlight w:val="none"/>
        </w:rPr>
      </w:pPr>
      <w:r>
        <w:rPr>
          <w:rFonts w:hint="eastAsia" w:ascii="宋体" w:hAnsi="宋体" w:eastAsia="宋体" w:cs="宋体"/>
          <w:b/>
          <w:color w:val="auto"/>
          <w:kern w:val="0"/>
          <w:sz w:val="24"/>
          <w:szCs w:val="18"/>
          <w:highlight w:val="none"/>
        </w:rPr>
        <w:t>四、报价要求</w:t>
      </w:r>
    </w:p>
    <w:p w14:paraId="6E765280">
      <w:pPr>
        <w:spacing w:line="360" w:lineRule="auto"/>
        <w:ind w:firstLine="437"/>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本项目报总价，报价为完成本项目所需产品成本、辅材费、运输费、人工费、装卸费、安装调试费、培训费、包装物清除费及各种应纳的税费等完成本项目所需的全部费用，采购人后期不追加费用。</w:t>
      </w:r>
    </w:p>
    <w:p w14:paraId="1A6F4707">
      <w:pPr>
        <w:numPr>
          <w:ilvl w:val="0"/>
          <w:numId w:val="0"/>
        </w:numPr>
        <w:spacing w:line="360" w:lineRule="auto"/>
        <w:ind w:firstLine="437" w:firstLineChars="0"/>
        <w:outlineLvl w:val="1"/>
        <w:rPr>
          <w:rFonts w:hint="eastAsia" w:ascii="宋体" w:hAnsi="宋体" w:eastAsia="宋体" w:cs="宋体"/>
          <w:b/>
          <w:color w:val="auto"/>
          <w:kern w:val="0"/>
          <w:sz w:val="24"/>
          <w:szCs w:val="18"/>
          <w:highlight w:val="none"/>
        </w:rPr>
      </w:pPr>
      <w:r>
        <w:rPr>
          <w:rFonts w:hint="eastAsia" w:ascii="宋体" w:hAnsi="宋体" w:eastAsia="宋体" w:cs="宋体"/>
          <w:b/>
          <w:color w:val="auto"/>
          <w:kern w:val="0"/>
          <w:sz w:val="24"/>
          <w:szCs w:val="18"/>
          <w:highlight w:val="none"/>
        </w:rPr>
        <w:t>五、其他要求</w:t>
      </w:r>
    </w:p>
    <w:p w14:paraId="75E8D0E0">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1.本项目采购清单中所有货物应包含安装以及安装所需全部辅材及配件，对于文件未列明，而供应商认为必需的费用也需列入磋商报价。在合同实施时，采购人将不予支付</w:t>
      </w:r>
      <w:r>
        <w:rPr>
          <w:rFonts w:hint="eastAsia" w:cs="宋体"/>
          <w:b w:val="0"/>
          <w:bCs/>
          <w:color w:val="auto"/>
          <w:kern w:val="0"/>
          <w:sz w:val="24"/>
          <w:szCs w:val="18"/>
          <w:highlight w:val="none"/>
          <w:lang w:eastAsia="zh-CN"/>
        </w:rPr>
        <w:t>中标供应商</w:t>
      </w:r>
      <w:r>
        <w:rPr>
          <w:rFonts w:hint="eastAsia" w:ascii="宋体" w:hAnsi="宋体" w:eastAsia="宋体" w:cs="宋体"/>
          <w:b w:val="0"/>
          <w:bCs/>
          <w:color w:val="auto"/>
          <w:kern w:val="0"/>
          <w:sz w:val="24"/>
          <w:szCs w:val="18"/>
          <w:highlight w:val="none"/>
        </w:rPr>
        <w:t>没有列入的项目费用，并认为此项目的费用已包括在磋商报价中。</w:t>
      </w:r>
    </w:p>
    <w:p w14:paraId="24B51B8A">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2.货物必须是全新的、未使用过的，符合国家有关标准要求的货物，并能够按照货物合同规定的品牌、产地、质量、价格和有效期等，有质量问题，无条件退换货。</w:t>
      </w:r>
    </w:p>
    <w:p w14:paraId="19409FD7">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3.</w:t>
      </w:r>
      <w:r>
        <w:rPr>
          <w:rFonts w:hint="eastAsia" w:cs="宋体"/>
          <w:b w:val="0"/>
          <w:bCs/>
          <w:color w:val="auto"/>
          <w:kern w:val="0"/>
          <w:sz w:val="24"/>
          <w:szCs w:val="18"/>
          <w:highlight w:val="none"/>
          <w:lang w:eastAsia="zh-CN"/>
        </w:rPr>
        <w:t>中标供应商</w:t>
      </w:r>
      <w:r>
        <w:rPr>
          <w:rFonts w:hint="eastAsia" w:ascii="宋体" w:hAnsi="宋体" w:eastAsia="宋体" w:cs="宋体"/>
          <w:b w:val="0"/>
          <w:bCs/>
          <w:color w:val="auto"/>
          <w:kern w:val="0"/>
          <w:sz w:val="24"/>
          <w:szCs w:val="18"/>
          <w:highlight w:val="none"/>
        </w:rPr>
        <w:t>需针对采购人具体需求展开线上及线下培训。</w:t>
      </w:r>
    </w:p>
    <w:p w14:paraId="557A762E">
      <w:pPr>
        <w:spacing w:line="360" w:lineRule="auto"/>
        <w:ind w:firstLine="437"/>
        <w:outlineLvl w:val="1"/>
        <w:rPr>
          <w:rFonts w:hint="eastAsia" w:ascii="宋体" w:hAnsi="宋体" w:eastAsia="宋体" w:cs="宋体"/>
          <w:b w:val="0"/>
          <w:bCs/>
          <w:color w:val="auto"/>
          <w:kern w:val="0"/>
          <w:sz w:val="24"/>
          <w:szCs w:val="18"/>
          <w:highlight w:val="none"/>
        </w:rPr>
      </w:pPr>
      <w:r>
        <w:rPr>
          <w:rFonts w:hint="eastAsia" w:ascii="宋体" w:hAnsi="宋体" w:eastAsia="宋体" w:cs="宋体"/>
          <w:b w:val="0"/>
          <w:bCs/>
          <w:color w:val="auto"/>
          <w:kern w:val="0"/>
          <w:sz w:val="24"/>
          <w:szCs w:val="18"/>
          <w:highlight w:val="none"/>
        </w:rPr>
        <w:t>培训类型为：管理部门、教师以及学生三类培训。培训内容包括但不限于平台涉及到的各项功能。在通过验收后，开展对用户的培训工作，培训教师和培训教材须由</w:t>
      </w:r>
      <w:r>
        <w:rPr>
          <w:rFonts w:hint="eastAsia" w:cs="宋体"/>
          <w:b w:val="0"/>
          <w:bCs/>
          <w:color w:val="auto"/>
          <w:kern w:val="0"/>
          <w:sz w:val="24"/>
          <w:szCs w:val="18"/>
          <w:highlight w:val="none"/>
          <w:lang w:eastAsia="zh-CN"/>
        </w:rPr>
        <w:t>中标供应商</w:t>
      </w:r>
      <w:r>
        <w:rPr>
          <w:rFonts w:hint="eastAsia" w:ascii="宋体" w:hAnsi="宋体" w:eastAsia="宋体" w:cs="宋体"/>
          <w:b w:val="0"/>
          <w:bCs/>
          <w:color w:val="auto"/>
          <w:kern w:val="0"/>
          <w:sz w:val="24"/>
          <w:szCs w:val="18"/>
          <w:highlight w:val="none"/>
        </w:rPr>
        <w:t>负责。</w:t>
      </w:r>
    </w:p>
    <w:p w14:paraId="2EF41126">
      <w:pPr>
        <w:numPr>
          <w:ilvl w:val="0"/>
          <w:numId w:val="0"/>
        </w:numPr>
        <w:spacing w:line="360" w:lineRule="auto"/>
        <w:ind w:firstLine="437" w:firstLineChars="0"/>
        <w:outlineLvl w:val="1"/>
        <w:rPr>
          <w:rFonts w:hint="eastAsia" w:ascii="宋体" w:hAnsi="宋体" w:eastAsia="宋体" w:cs="宋体"/>
          <w:b/>
          <w:bCs w:val="0"/>
          <w:color w:val="auto"/>
          <w:kern w:val="0"/>
          <w:sz w:val="24"/>
          <w:szCs w:val="18"/>
          <w:highlight w:val="none"/>
        </w:rPr>
      </w:pPr>
      <w:r>
        <w:rPr>
          <w:rFonts w:hint="eastAsia" w:ascii="宋体" w:hAnsi="宋体" w:eastAsia="宋体" w:cs="宋体"/>
          <w:b/>
          <w:bCs w:val="0"/>
          <w:color w:val="auto"/>
          <w:kern w:val="0"/>
          <w:sz w:val="24"/>
          <w:szCs w:val="18"/>
          <w:lang w:val="en-US" w:eastAsia="zh-CN" w:bidi="ar-SA"/>
        </w:rPr>
        <w:t>4.</w:t>
      </w:r>
      <w:r>
        <w:rPr>
          <w:rFonts w:hint="eastAsia" w:ascii="宋体" w:hAnsi="宋体" w:eastAsia="宋体" w:cs="宋体"/>
          <w:b/>
          <w:bCs w:val="0"/>
          <w:color w:val="auto"/>
          <w:kern w:val="0"/>
          <w:sz w:val="24"/>
          <w:szCs w:val="18"/>
          <w:highlight w:val="none"/>
        </w:rPr>
        <w:t>若供应商提供的产品为进口产品，则必须取得制造商或国内总代理出具的针对本项目的产品销售许可授权，投标文件中提供授权书扫描件，否则投标无效。</w:t>
      </w:r>
    </w:p>
    <w:p w14:paraId="0E7B46F2">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color w:val="000000" w:themeColor="text1"/>
          <w14:textFill>
            <w14:solidFill>
              <w14:schemeClr w14:val="tx1"/>
            </w14:solidFill>
          </w14:textFill>
        </w:rPr>
      </w:pPr>
      <w:bookmarkStart w:id="6" w:name="_GoBack"/>
      <w:bookmarkEnd w:id="6"/>
    </w:p>
    <w:sectPr>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E4A544-0407-495E-8B3E-61B2284FEADD}"/>
  </w:font>
  <w:font w:name="Arial">
    <w:panose1 w:val="020B0604020202020204"/>
    <w:charset w:val="01"/>
    <w:family w:val="swiss"/>
    <w:pitch w:val="default"/>
    <w:sig w:usb0="E0002EFF" w:usb1="C000785B" w:usb2="00000009" w:usb3="00000000" w:csb0="400001FF" w:csb1="FFFF0000"/>
    <w:embedRegular r:id="rId2" w:fontKey="{AE47D29B-89C5-4E2C-A761-BB36D31F569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940BAA7-6D02-4E5F-A0B7-FC6F63DDA4E8}"/>
  </w:font>
  <w:font w:name="Symbol">
    <w:panose1 w:val="05050102010706020507"/>
    <w:charset w:val="02"/>
    <w:family w:val="roman"/>
    <w:pitch w:val="default"/>
    <w:sig w:usb0="00000000" w:usb1="00000000" w:usb2="00000000" w:usb3="00000000" w:csb0="80000000" w:csb1="00000000"/>
    <w:embedRegular r:id="rId4" w:fontKey="{0E849EF4-FAA9-43B5-88B3-7ADFC182642F}"/>
  </w:font>
  <w:font w:name="Calibri">
    <w:panose1 w:val="020F0502020204030204"/>
    <w:charset w:val="00"/>
    <w:family w:val="swiss"/>
    <w:pitch w:val="default"/>
    <w:sig w:usb0="E4002EFF" w:usb1="C000247B" w:usb2="00000009" w:usb3="00000000" w:csb0="200001FF" w:csb1="00000000"/>
    <w:embedRegular r:id="rId5" w:fontKey="{2A344BE7-F977-44B9-8BB2-83C780122FF0}"/>
  </w:font>
  <w:font w:name="等线">
    <w:panose1 w:val="02010600030101010101"/>
    <w:charset w:val="86"/>
    <w:family w:val="auto"/>
    <w:pitch w:val="default"/>
    <w:sig w:usb0="A00002BF" w:usb1="38CF7CFA" w:usb2="00000016" w:usb3="00000000" w:csb0="0004000F" w:csb1="00000000"/>
    <w:embedRegular r:id="rId6" w:fontKey="{589DB95F-819C-4EE7-A2BD-509B989D695F}"/>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3C3"/>
    <w:rsid w:val="00001559"/>
    <w:rsid w:val="000049FE"/>
    <w:rsid w:val="00017671"/>
    <w:rsid w:val="00021A41"/>
    <w:rsid w:val="00044493"/>
    <w:rsid w:val="000504C1"/>
    <w:rsid w:val="00054E9C"/>
    <w:rsid w:val="00056AD5"/>
    <w:rsid w:val="00083ED3"/>
    <w:rsid w:val="00091040"/>
    <w:rsid w:val="000970BB"/>
    <w:rsid w:val="000A395D"/>
    <w:rsid w:val="000B1165"/>
    <w:rsid w:val="000B29FD"/>
    <w:rsid w:val="000B3A31"/>
    <w:rsid w:val="000B6A41"/>
    <w:rsid w:val="000B7BA9"/>
    <w:rsid w:val="000F6641"/>
    <w:rsid w:val="00116792"/>
    <w:rsid w:val="0012393D"/>
    <w:rsid w:val="001378DB"/>
    <w:rsid w:val="00146119"/>
    <w:rsid w:val="001479FD"/>
    <w:rsid w:val="00162560"/>
    <w:rsid w:val="00191159"/>
    <w:rsid w:val="00196F1D"/>
    <w:rsid w:val="001B7129"/>
    <w:rsid w:val="001B735F"/>
    <w:rsid w:val="001E0218"/>
    <w:rsid w:val="001E0DE9"/>
    <w:rsid w:val="001E1B2F"/>
    <w:rsid w:val="001E5E28"/>
    <w:rsid w:val="00203D9E"/>
    <w:rsid w:val="0027671B"/>
    <w:rsid w:val="00281EE0"/>
    <w:rsid w:val="002873F5"/>
    <w:rsid w:val="002A4919"/>
    <w:rsid w:val="002B4A7C"/>
    <w:rsid w:val="002B7B76"/>
    <w:rsid w:val="002E77CD"/>
    <w:rsid w:val="00306710"/>
    <w:rsid w:val="00334F39"/>
    <w:rsid w:val="00352686"/>
    <w:rsid w:val="00364CBD"/>
    <w:rsid w:val="003774D9"/>
    <w:rsid w:val="0039208F"/>
    <w:rsid w:val="003D610D"/>
    <w:rsid w:val="003E74C5"/>
    <w:rsid w:val="003F2105"/>
    <w:rsid w:val="003F41D4"/>
    <w:rsid w:val="004022FE"/>
    <w:rsid w:val="004042DB"/>
    <w:rsid w:val="00435F1C"/>
    <w:rsid w:val="00446D37"/>
    <w:rsid w:val="00462771"/>
    <w:rsid w:val="004677F0"/>
    <w:rsid w:val="004A2CEC"/>
    <w:rsid w:val="004A7C83"/>
    <w:rsid w:val="004B4104"/>
    <w:rsid w:val="004D3182"/>
    <w:rsid w:val="004D362D"/>
    <w:rsid w:val="004D73F5"/>
    <w:rsid w:val="004E7F3C"/>
    <w:rsid w:val="004F2E7E"/>
    <w:rsid w:val="004F5478"/>
    <w:rsid w:val="004F7131"/>
    <w:rsid w:val="00516B2E"/>
    <w:rsid w:val="00561EBD"/>
    <w:rsid w:val="00567DB9"/>
    <w:rsid w:val="005928C6"/>
    <w:rsid w:val="005A6E30"/>
    <w:rsid w:val="005F1D26"/>
    <w:rsid w:val="00604B91"/>
    <w:rsid w:val="00630CEF"/>
    <w:rsid w:val="006424D9"/>
    <w:rsid w:val="006501DC"/>
    <w:rsid w:val="00650588"/>
    <w:rsid w:val="00655A73"/>
    <w:rsid w:val="00674921"/>
    <w:rsid w:val="00674A6E"/>
    <w:rsid w:val="0067735C"/>
    <w:rsid w:val="00684668"/>
    <w:rsid w:val="00686212"/>
    <w:rsid w:val="00692046"/>
    <w:rsid w:val="006A19C3"/>
    <w:rsid w:val="006B1F26"/>
    <w:rsid w:val="006E29C7"/>
    <w:rsid w:val="006F2F8B"/>
    <w:rsid w:val="0070595D"/>
    <w:rsid w:val="00717C7D"/>
    <w:rsid w:val="0076026F"/>
    <w:rsid w:val="007712B4"/>
    <w:rsid w:val="007864F1"/>
    <w:rsid w:val="007A3EC7"/>
    <w:rsid w:val="007A46E7"/>
    <w:rsid w:val="007A5F0E"/>
    <w:rsid w:val="007D5192"/>
    <w:rsid w:val="007E66B1"/>
    <w:rsid w:val="00823ACB"/>
    <w:rsid w:val="00827F27"/>
    <w:rsid w:val="00832CAC"/>
    <w:rsid w:val="008405E2"/>
    <w:rsid w:val="00846DBF"/>
    <w:rsid w:val="00847271"/>
    <w:rsid w:val="00852B70"/>
    <w:rsid w:val="0086187B"/>
    <w:rsid w:val="008714AC"/>
    <w:rsid w:val="008741E6"/>
    <w:rsid w:val="008821B5"/>
    <w:rsid w:val="00882E96"/>
    <w:rsid w:val="00890766"/>
    <w:rsid w:val="00891A42"/>
    <w:rsid w:val="008A042D"/>
    <w:rsid w:val="008C0A68"/>
    <w:rsid w:val="008C54EB"/>
    <w:rsid w:val="008D600B"/>
    <w:rsid w:val="008E6078"/>
    <w:rsid w:val="008F2589"/>
    <w:rsid w:val="00903EA9"/>
    <w:rsid w:val="0090462D"/>
    <w:rsid w:val="009055D5"/>
    <w:rsid w:val="0090607C"/>
    <w:rsid w:val="0095626A"/>
    <w:rsid w:val="009652D7"/>
    <w:rsid w:val="0097153F"/>
    <w:rsid w:val="0098217F"/>
    <w:rsid w:val="009A060F"/>
    <w:rsid w:val="009A20FA"/>
    <w:rsid w:val="009B1DE1"/>
    <w:rsid w:val="009B29C2"/>
    <w:rsid w:val="009E2957"/>
    <w:rsid w:val="009F14FA"/>
    <w:rsid w:val="00A106C9"/>
    <w:rsid w:val="00A20C21"/>
    <w:rsid w:val="00A35D6B"/>
    <w:rsid w:val="00A42F38"/>
    <w:rsid w:val="00A57CF2"/>
    <w:rsid w:val="00A63028"/>
    <w:rsid w:val="00A97E1D"/>
    <w:rsid w:val="00AC05ED"/>
    <w:rsid w:val="00AE455C"/>
    <w:rsid w:val="00AF30BE"/>
    <w:rsid w:val="00B13E7F"/>
    <w:rsid w:val="00B2504A"/>
    <w:rsid w:val="00B36D96"/>
    <w:rsid w:val="00B45C48"/>
    <w:rsid w:val="00B82DC8"/>
    <w:rsid w:val="00B85B7C"/>
    <w:rsid w:val="00B96E74"/>
    <w:rsid w:val="00BA485E"/>
    <w:rsid w:val="00BB59C0"/>
    <w:rsid w:val="00BC5E7A"/>
    <w:rsid w:val="00BD74A1"/>
    <w:rsid w:val="00BE3076"/>
    <w:rsid w:val="00BE443A"/>
    <w:rsid w:val="00BF1AF2"/>
    <w:rsid w:val="00C21300"/>
    <w:rsid w:val="00C353F2"/>
    <w:rsid w:val="00C45F24"/>
    <w:rsid w:val="00C51098"/>
    <w:rsid w:val="00C525FE"/>
    <w:rsid w:val="00C53947"/>
    <w:rsid w:val="00C76269"/>
    <w:rsid w:val="00C8120F"/>
    <w:rsid w:val="00C84941"/>
    <w:rsid w:val="00C86A43"/>
    <w:rsid w:val="00C92EAC"/>
    <w:rsid w:val="00CA221C"/>
    <w:rsid w:val="00CA23C3"/>
    <w:rsid w:val="00CA4EA3"/>
    <w:rsid w:val="00CA5E37"/>
    <w:rsid w:val="00CB040F"/>
    <w:rsid w:val="00CC770B"/>
    <w:rsid w:val="00CF2877"/>
    <w:rsid w:val="00CF789B"/>
    <w:rsid w:val="00D02196"/>
    <w:rsid w:val="00D112D0"/>
    <w:rsid w:val="00D20DFF"/>
    <w:rsid w:val="00D2396A"/>
    <w:rsid w:val="00D3387E"/>
    <w:rsid w:val="00D40FC0"/>
    <w:rsid w:val="00D425C1"/>
    <w:rsid w:val="00D56F10"/>
    <w:rsid w:val="00D72A09"/>
    <w:rsid w:val="00D85C43"/>
    <w:rsid w:val="00D94319"/>
    <w:rsid w:val="00DA37CC"/>
    <w:rsid w:val="00DB24AD"/>
    <w:rsid w:val="00DD2D88"/>
    <w:rsid w:val="00DD41FC"/>
    <w:rsid w:val="00DF293B"/>
    <w:rsid w:val="00E13DCB"/>
    <w:rsid w:val="00E57543"/>
    <w:rsid w:val="00E74245"/>
    <w:rsid w:val="00E76864"/>
    <w:rsid w:val="00E77F13"/>
    <w:rsid w:val="00E84DD9"/>
    <w:rsid w:val="00EB2291"/>
    <w:rsid w:val="00EB6BEE"/>
    <w:rsid w:val="00EC446B"/>
    <w:rsid w:val="00ED5F8E"/>
    <w:rsid w:val="00EE5544"/>
    <w:rsid w:val="00EF2B95"/>
    <w:rsid w:val="00F047F9"/>
    <w:rsid w:val="00F159C1"/>
    <w:rsid w:val="00F35D1C"/>
    <w:rsid w:val="00F45C56"/>
    <w:rsid w:val="00F720A2"/>
    <w:rsid w:val="00F763D0"/>
    <w:rsid w:val="00F8459C"/>
    <w:rsid w:val="00F92081"/>
    <w:rsid w:val="00F941D7"/>
    <w:rsid w:val="00FC6379"/>
    <w:rsid w:val="00FD477E"/>
    <w:rsid w:val="00FE1C65"/>
    <w:rsid w:val="0AB12223"/>
    <w:rsid w:val="253170E8"/>
    <w:rsid w:val="27FC2593"/>
    <w:rsid w:val="2AA406FD"/>
    <w:rsid w:val="48D03332"/>
    <w:rsid w:val="507C14B9"/>
    <w:rsid w:val="58016235"/>
    <w:rsid w:val="5F044A6E"/>
    <w:rsid w:val="5FB22810"/>
    <w:rsid w:val="6370608E"/>
    <w:rsid w:val="6EED01A5"/>
    <w:rsid w:val="7052180C"/>
    <w:rsid w:val="709F1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3">
    <w:name w:val="heading 1"/>
    <w:basedOn w:val="1"/>
    <w:link w:val="14"/>
    <w:qFormat/>
    <w:uiPriority w:val="9"/>
    <w:pPr>
      <w:spacing w:before="100" w:beforeAutospacing="1" w:after="100" w:afterAutospacing="1"/>
      <w:outlineLvl w:val="0"/>
    </w:pPr>
    <w:rPr>
      <w:b/>
      <w:bCs/>
      <w:kern w:val="36"/>
      <w:sz w:val="48"/>
      <w:szCs w:val="48"/>
    </w:rPr>
  </w:style>
  <w:style w:type="paragraph" w:styleId="4">
    <w:name w:val="heading 4"/>
    <w:basedOn w:val="1"/>
    <w:next w:val="1"/>
    <w:link w:val="15"/>
    <w:qFormat/>
    <w:uiPriority w:val="9"/>
    <w:pPr>
      <w:spacing w:before="100" w:beforeAutospacing="1" w:after="100" w:afterAutospacing="1"/>
      <w:outlineLvl w:val="3"/>
    </w:pPr>
    <w:rPr>
      <w:b/>
      <w:bCs/>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宋体" w:hAnsi="宋体" w:eastAsia="宋体" w:cs="宋体"/>
      <w:sz w:val="24"/>
      <w:szCs w:val="24"/>
      <w:lang w:val="en-US" w:eastAsia="en-US" w:bidi="ar-SA"/>
    </w:rPr>
  </w:style>
  <w:style w:type="paragraph" w:styleId="5">
    <w:name w:val="annotation text"/>
    <w:basedOn w:val="1"/>
    <w:link w:val="21"/>
    <w:semiHidden/>
    <w:unhideWhenUsed/>
    <w:qFormat/>
    <w:uiPriority w:val="99"/>
  </w:style>
  <w:style w:type="paragraph" w:styleId="6">
    <w:name w:val="footer"/>
    <w:basedOn w:val="1"/>
    <w:link w:val="24"/>
    <w:unhideWhenUsed/>
    <w:qFormat/>
    <w:uiPriority w:val="99"/>
    <w:pPr>
      <w:tabs>
        <w:tab w:val="center" w:pos="4153"/>
        <w:tab w:val="right" w:pos="8306"/>
      </w:tabs>
      <w:snapToGrid w:val="0"/>
    </w:pPr>
    <w:rPr>
      <w:sz w:val="18"/>
      <w:szCs w:val="18"/>
    </w:rPr>
  </w:style>
  <w:style w:type="paragraph" w:styleId="7">
    <w:name w:val="header"/>
    <w:basedOn w:val="1"/>
    <w:link w:val="23"/>
    <w:unhideWhenUsed/>
    <w:qFormat/>
    <w:uiPriority w:val="99"/>
    <w:pP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annotation subject"/>
    <w:basedOn w:val="5"/>
    <w:next w:val="5"/>
    <w:link w:val="22"/>
    <w:semiHidden/>
    <w:unhideWhenUsed/>
    <w:qFormat/>
    <w:uiPriority w:val="99"/>
    <w:rPr>
      <w:b/>
      <w:bCs/>
    </w:rPr>
  </w:style>
  <w:style w:type="character" w:styleId="12">
    <w:name w:val="Strong"/>
    <w:basedOn w:val="11"/>
    <w:qFormat/>
    <w:uiPriority w:val="22"/>
    <w:rPr>
      <w:b/>
      <w:bCs/>
    </w:rPr>
  </w:style>
  <w:style w:type="character" w:styleId="13">
    <w:name w:val="annotation reference"/>
    <w:basedOn w:val="11"/>
    <w:semiHidden/>
    <w:unhideWhenUsed/>
    <w:qFormat/>
    <w:uiPriority w:val="99"/>
    <w:rPr>
      <w:sz w:val="21"/>
      <w:szCs w:val="21"/>
    </w:rPr>
  </w:style>
  <w:style w:type="character" w:customStyle="1" w:styleId="14">
    <w:name w:val="标题 1 字符"/>
    <w:basedOn w:val="11"/>
    <w:link w:val="3"/>
    <w:qFormat/>
    <w:locked/>
    <w:uiPriority w:val="9"/>
    <w:rPr>
      <w:rFonts w:hint="eastAsia" w:asciiTheme="majorHAnsi" w:hAnsiTheme="majorHAnsi" w:eastAsiaTheme="majorEastAsia" w:cstheme="majorBidi"/>
      <w:color w:val="2F5597" w:themeColor="accent1" w:themeShade="BF"/>
      <w:sz w:val="48"/>
      <w:szCs w:val="48"/>
    </w:rPr>
  </w:style>
  <w:style w:type="character" w:customStyle="1" w:styleId="15">
    <w:name w:val="标题 4 字符"/>
    <w:basedOn w:val="11"/>
    <w:link w:val="4"/>
    <w:semiHidden/>
    <w:qFormat/>
    <w:locked/>
    <w:uiPriority w:val="9"/>
    <w:rPr>
      <w:rFonts w:hint="eastAsia" w:asciiTheme="minorHAnsi" w:hAnsiTheme="minorHAnsi" w:eastAsiaTheme="minorEastAsia" w:cstheme="majorBidi"/>
      <w:color w:val="2F5597" w:themeColor="accent1" w:themeShade="BF"/>
      <w:sz w:val="28"/>
      <w:szCs w:val="28"/>
    </w:rPr>
  </w:style>
  <w:style w:type="paragraph" w:customStyle="1" w:styleId="16">
    <w:name w:val="msonormal"/>
    <w:basedOn w:val="1"/>
    <w:semiHidden/>
    <w:qFormat/>
    <w:uiPriority w:val="99"/>
    <w:pPr>
      <w:spacing w:before="100" w:beforeAutospacing="1" w:after="100" w:afterAutospacing="1"/>
    </w:pPr>
  </w:style>
  <w:style w:type="paragraph" w:customStyle="1" w:styleId="17">
    <w:name w:val="btn-download"/>
    <w:basedOn w:val="1"/>
    <w:semiHidden/>
    <w:qFormat/>
    <w:uiPriority w:val="99"/>
    <w:pPr>
      <w:shd w:val="clear" w:color="auto" w:fill="4CAF50"/>
      <w:spacing w:before="300" w:after="300"/>
      <w:jc w:val="center"/>
    </w:pPr>
    <w:rPr>
      <w:color w:val="FFFFFF"/>
    </w:rPr>
  </w:style>
  <w:style w:type="paragraph" w:customStyle="1" w:styleId="18">
    <w:name w:val="section-title"/>
    <w:basedOn w:val="1"/>
    <w:semiHidden/>
    <w:qFormat/>
    <w:uiPriority w:val="99"/>
    <w:pPr>
      <w:pBdr>
        <w:left w:val="single" w:color="31708F" w:sz="36" w:space="8"/>
      </w:pBdr>
      <w:shd w:val="clear" w:color="auto" w:fill="D9EDF7"/>
      <w:spacing w:before="300" w:after="100" w:afterAutospacing="1"/>
    </w:pPr>
    <w:rPr>
      <w:b/>
      <w:bCs/>
    </w:rPr>
  </w:style>
  <w:style w:type="paragraph" w:customStyle="1" w:styleId="19">
    <w:name w:val="symbol-explanation"/>
    <w:basedOn w:val="1"/>
    <w:semiHidden/>
    <w:qFormat/>
    <w:uiPriority w:val="99"/>
    <w:pPr>
      <w:spacing w:before="150" w:after="150"/>
    </w:pPr>
    <w:rPr>
      <w:color w:val="555555"/>
      <w:sz w:val="22"/>
      <w:szCs w:val="22"/>
    </w:rPr>
  </w:style>
  <w:style w:type="paragraph" w:customStyle="1" w:styleId="20">
    <w:name w:val="text-center"/>
    <w:basedOn w:val="1"/>
    <w:semiHidden/>
    <w:qFormat/>
    <w:uiPriority w:val="99"/>
    <w:pPr>
      <w:spacing w:before="100" w:beforeAutospacing="1" w:after="100" w:afterAutospacing="1"/>
      <w:jc w:val="center"/>
    </w:pPr>
  </w:style>
  <w:style w:type="character" w:customStyle="1" w:styleId="21">
    <w:name w:val="批注文字 字符"/>
    <w:basedOn w:val="11"/>
    <w:link w:val="5"/>
    <w:semiHidden/>
    <w:qFormat/>
    <w:uiPriority w:val="99"/>
    <w:rPr>
      <w:rFonts w:ascii="宋体" w:hAnsi="宋体" w:eastAsia="宋体" w:cs="宋体"/>
      <w:sz w:val="24"/>
      <w:szCs w:val="24"/>
    </w:rPr>
  </w:style>
  <w:style w:type="character" w:customStyle="1" w:styleId="22">
    <w:name w:val="批注主题 字符"/>
    <w:basedOn w:val="21"/>
    <w:link w:val="9"/>
    <w:semiHidden/>
    <w:qFormat/>
    <w:uiPriority w:val="99"/>
    <w:rPr>
      <w:rFonts w:ascii="宋体" w:hAnsi="宋体" w:eastAsia="宋体" w:cs="宋体"/>
      <w:b/>
      <w:bCs/>
      <w:sz w:val="24"/>
      <w:szCs w:val="24"/>
    </w:rPr>
  </w:style>
  <w:style w:type="character" w:customStyle="1" w:styleId="23">
    <w:name w:val="页眉 字符"/>
    <w:basedOn w:val="11"/>
    <w:link w:val="7"/>
    <w:qFormat/>
    <w:uiPriority w:val="99"/>
    <w:rPr>
      <w:rFonts w:ascii="宋体" w:hAnsi="宋体" w:eastAsia="宋体" w:cs="宋体"/>
      <w:sz w:val="18"/>
      <w:szCs w:val="18"/>
    </w:rPr>
  </w:style>
  <w:style w:type="character" w:customStyle="1" w:styleId="24">
    <w:name w:val="页脚 字符"/>
    <w:basedOn w:val="11"/>
    <w:link w:val="6"/>
    <w:qFormat/>
    <w:uiPriority w:val="99"/>
    <w:rPr>
      <w:rFonts w:ascii="宋体" w:hAnsi="宋体" w:eastAsia="宋体" w:cs="宋体"/>
      <w:sz w:val="18"/>
      <w:szCs w:val="18"/>
    </w:rPr>
  </w:style>
  <w:style w:type="paragraph" w:customStyle="1" w:styleId="25">
    <w:name w:val="修订1"/>
    <w:hidden/>
    <w:unhideWhenUsed/>
    <w:qFormat/>
    <w:uiPriority w:val="99"/>
    <w:rPr>
      <w:rFonts w:ascii="宋体" w:hAnsi="宋体" w:eastAsia="宋体" w:cs="宋体"/>
      <w:sz w:val="24"/>
      <w:szCs w:val="24"/>
      <w:lang w:val="en-US" w:eastAsia="zh-CN" w:bidi="ar-SA"/>
    </w:rPr>
  </w:style>
  <w:style w:type="character" w:customStyle="1" w:styleId="26">
    <w:name w:val="symbol"/>
    <w:basedOn w:val="11"/>
    <w:qFormat/>
    <w:uiPriority w:val="0"/>
  </w:style>
  <w:style w:type="paragraph" w:customStyle="1" w:styleId="27">
    <w:name w:val="修订2"/>
    <w:hidden/>
    <w:unhideWhenUsed/>
    <w:qFormat/>
    <w:uiPriority w:val="99"/>
    <w:rPr>
      <w:rFonts w:ascii="宋体" w:hAnsi="宋体" w:eastAsia="宋体" w:cs="宋体"/>
      <w:sz w:val="24"/>
      <w:szCs w:val="24"/>
      <w:lang w:val="en-US" w:eastAsia="zh-CN" w:bidi="ar-SA"/>
    </w:rPr>
  </w:style>
  <w:style w:type="paragraph" w:customStyle="1" w:styleId="28">
    <w:name w:val="Revision"/>
    <w:hidden/>
    <w:unhideWhenUsed/>
    <w:qFormat/>
    <w:uiPriority w:val="99"/>
    <w:rPr>
      <w:rFonts w:ascii="宋体" w:hAnsi="宋体" w:eastAsia="宋体" w:cs="宋体"/>
      <w:sz w:val="24"/>
      <w:szCs w:val="24"/>
      <w:lang w:val="en-US" w:eastAsia="zh-CN" w:bidi="ar-SA"/>
    </w:rPr>
  </w:style>
  <w:style w:type="paragraph" w:customStyle="1" w:styleId="29">
    <w:name w:val="D&amp;L"/>
    <w:basedOn w:val="7"/>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30">
    <w:name w:val="xl31"/>
    <w:basedOn w:val="1"/>
    <w:qFormat/>
    <w:uiPriority w:val="0"/>
    <w:pPr>
      <w:widowControl/>
      <w:spacing w:before="100" w:beforeAutospacing="1" w:after="100" w:afterAutospacing="1"/>
      <w:jc w:val="center"/>
    </w:pPr>
    <w:rPr>
      <w:b/>
      <w:bCs/>
      <w:kern w:val="0"/>
      <w:sz w:val="28"/>
      <w:szCs w:val="28"/>
    </w:rPr>
  </w:style>
  <w:style w:type="paragraph" w:customStyle="1" w:styleId="31">
    <w:name w:val="Table Text"/>
    <w:basedOn w:val="1"/>
    <w:semiHidden/>
    <w:qFormat/>
    <w:uiPriority w:val="0"/>
    <w:rPr>
      <w:rFonts w:ascii="宋体" w:hAnsi="宋体" w:eastAsia="宋体" w:cs="宋体"/>
      <w:sz w:val="24"/>
      <w:szCs w:val="24"/>
      <w:lang w:val="en-US" w:eastAsia="en-US" w:bidi="ar-SA"/>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3396</Words>
  <Characters>3612</Characters>
  <Lines>46</Lines>
  <Paragraphs>12</Paragraphs>
  <TotalTime>1</TotalTime>
  <ScaleCrop>false</ScaleCrop>
  <LinksUpToDate>false</LinksUpToDate>
  <CharactersWithSpaces>3659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2025-11-05T06:34:00Z</dcterms:created>
  <dc:creator>siyueht</dc:creator>
  <cp:lastModifiedBy>王Sir</cp:lastModifiedBy>
  <dcterms:modified xsi:type="dcterms:W3CDTF">2025-11-18T08:05:01Z</dcterms:modified>
  <dc:title>货物类政府采购项目采购需求表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eyJoZGlkIjoiOTQ1ZWY4ZDExNDVmZTdlZmE4MGU5ZTdmYmExYzY2ZDAiLCJ1c2VySWQiOiI0ODIzOTEyNDYifQ==</vt:lpwstr>
  </property>
  <property fmtid="{D5CDD505-2E9C-101B-9397-08002B2CF9AE}" pid="3" name="KSOProductBuildVer">
    <vt:lpwstr>2052-12.1.0.23125</vt:lpwstr>
  </property>
  <property fmtid="{D5CDD505-2E9C-101B-9397-08002B2CF9AE}" pid="4" name="ICV">
    <vt:lpwstr>D4611D65E2AB40E7BBBEEC83EEF30162_13</vt:lpwstr>
  </property>
</Properties>
</file>