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4189A">
      <w:pPr>
        <w:spacing w:line="360" w:lineRule="auto"/>
        <w:jc w:val="center"/>
        <w:outlineLvl w:val="0"/>
        <w:rPr>
          <w:rFonts w:hint="eastAsia" w:asciiTheme="minorEastAsia" w:hAnsiTheme="minorEastAsia" w:eastAsiaTheme="minorEastAsia"/>
          <w:b/>
          <w:sz w:val="28"/>
        </w:rPr>
      </w:pPr>
      <w:bookmarkStart w:id="0" w:name="_Toc2554"/>
      <w:bookmarkStart w:id="1" w:name="_Toc30373"/>
      <w:bookmarkStart w:id="2" w:name="_Toc32151"/>
      <w:r>
        <w:rPr>
          <w:rFonts w:hint="eastAsia" w:asciiTheme="minorEastAsia" w:hAnsiTheme="minorEastAsia" w:eastAsiaTheme="minorEastAsia"/>
          <w:b/>
          <w:sz w:val="28"/>
        </w:rPr>
        <w:t>采购需求</w:t>
      </w:r>
    </w:p>
    <w:p w14:paraId="1E89334A">
      <w:pPr>
        <w:spacing w:line="360" w:lineRule="auto"/>
        <w:rPr>
          <w:rFonts w:hint="eastAsia" w:asciiTheme="minorEastAsia" w:hAnsiTheme="minorEastAsia" w:eastAsiaTheme="minorEastAsia"/>
          <w:b/>
          <w:sz w:val="24"/>
        </w:rPr>
      </w:pPr>
      <w:r>
        <w:rPr>
          <w:rFonts w:hint="eastAsia" w:asciiTheme="minorEastAsia" w:hAnsiTheme="minorEastAsia" w:eastAsiaTheme="minorEastAsia"/>
          <w:b/>
          <w:sz w:val="24"/>
        </w:rPr>
        <w:t>前注：</w:t>
      </w:r>
    </w:p>
    <w:p w14:paraId="5F6F4547">
      <w:pPr>
        <w:spacing w:line="360" w:lineRule="auto"/>
        <w:ind w:firstLine="435"/>
        <w:rPr>
          <w:rFonts w:hint="eastAsia" w:ascii="宋体" w:hAnsi="宋体" w:eastAsia="宋体"/>
          <w:sz w:val="24"/>
          <w:szCs w:val="18"/>
        </w:rPr>
      </w:pPr>
      <w:r>
        <w:rPr>
          <w:rFonts w:hint="eastAsia" w:asciiTheme="minorEastAsia" w:hAnsiTheme="minorEastAsia" w:eastAsiaTheme="minorEastAsia"/>
          <w:sz w:val="24"/>
        </w:rPr>
        <w:t>1.</w:t>
      </w:r>
      <w:r>
        <w:rPr>
          <w:rFonts w:ascii="宋体" w:hAnsi="宋体" w:eastAsia="宋体"/>
          <w:sz w:val="24"/>
          <w:szCs w:val="18"/>
        </w:rPr>
        <w:t>根据《</w:t>
      </w:r>
      <w:r>
        <w:rPr>
          <w:rFonts w:hint="eastAsia" w:ascii="宋体" w:hAnsi="宋体" w:eastAsia="宋体"/>
          <w:sz w:val="24"/>
          <w:szCs w:val="18"/>
        </w:rPr>
        <w:t>政府采购进口产品管理办法</w:t>
      </w:r>
      <w:r>
        <w:rPr>
          <w:rFonts w:ascii="宋体" w:hAnsi="宋体" w:eastAsia="宋体"/>
          <w:sz w:val="24"/>
          <w:szCs w:val="18"/>
        </w:rPr>
        <w:t>》及政府采购管理部门的相关规定，下列采购需求中</w:t>
      </w:r>
      <w:r>
        <w:rPr>
          <w:rFonts w:hint="eastAsia" w:ascii="宋体" w:hAnsi="宋体" w:eastAsia="宋体"/>
          <w:sz w:val="24"/>
          <w:szCs w:val="18"/>
        </w:rPr>
        <w:t>标注进口产品的货物均</w:t>
      </w:r>
      <w:r>
        <w:rPr>
          <w:rFonts w:ascii="宋体" w:hAnsi="宋体" w:eastAsia="宋体"/>
          <w:sz w:val="24"/>
          <w:szCs w:val="18"/>
        </w:rPr>
        <w:t>已履行相关论证手续，经核准采购进口</w:t>
      </w:r>
      <w:r>
        <w:rPr>
          <w:rFonts w:hint="eastAsia" w:ascii="宋体" w:hAnsi="宋体" w:eastAsia="宋体"/>
          <w:sz w:val="24"/>
          <w:szCs w:val="18"/>
        </w:rPr>
        <w:t>产品</w:t>
      </w:r>
      <w:r>
        <w:rPr>
          <w:rFonts w:ascii="宋体" w:hAnsi="宋体" w:eastAsia="宋体"/>
          <w:sz w:val="24"/>
          <w:szCs w:val="18"/>
        </w:rPr>
        <w:t>，但不限制满足招标文件要求的国内产品参与竞争</w:t>
      </w:r>
      <w:r>
        <w:rPr>
          <w:rFonts w:hint="eastAsia" w:ascii="宋体" w:hAnsi="宋体" w:eastAsia="宋体"/>
          <w:sz w:val="24"/>
          <w:szCs w:val="18"/>
        </w:rPr>
        <w:t>。未标注进口产品的货物均</w:t>
      </w:r>
      <w:r>
        <w:rPr>
          <w:rFonts w:ascii="宋体" w:hAnsi="宋体" w:eastAsia="宋体"/>
          <w:sz w:val="24"/>
          <w:szCs w:val="18"/>
        </w:rPr>
        <w:t>为拒绝采购进口产品</w:t>
      </w:r>
      <w:r>
        <w:rPr>
          <w:rFonts w:hint="eastAsia" w:ascii="宋体" w:hAnsi="宋体" w:eastAsia="宋体"/>
          <w:sz w:val="24"/>
          <w:szCs w:val="18"/>
        </w:rPr>
        <w:t>。</w:t>
      </w:r>
    </w:p>
    <w:p w14:paraId="21FB875C">
      <w:pPr>
        <w:spacing w:line="360" w:lineRule="auto"/>
        <w:ind w:firstLine="435"/>
        <w:rPr>
          <w:rFonts w:hint="eastAsia" w:ascii="宋体" w:hAnsi="宋体" w:eastAsia="宋体"/>
          <w:sz w:val="24"/>
          <w:szCs w:val="18"/>
        </w:rPr>
      </w:pPr>
      <w:r>
        <w:rPr>
          <w:rFonts w:hint="eastAsia" w:ascii="宋体" w:hAnsi="宋体" w:eastAsia="宋体"/>
          <w:sz w:val="24"/>
          <w:szCs w:val="18"/>
        </w:rPr>
        <w:t>2.</w:t>
      </w:r>
      <w:r>
        <w:rPr>
          <w:rFonts w:ascii="宋体" w:hAnsi="宋体" w:eastAsia="宋体" w:cs="宋体"/>
          <w:sz w:val="24"/>
          <w:szCs w:val="24"/>
        </w:rPr>
        <w:t>政府采购政策（包括但不限于下列具体政策要求</w:t>
      </w:r>
      <w:r>
        <w:rPr>
          <w:rFonts w:hint="eastAsia" w:ascii="宋体" w:hAnsi="宋体" w:eastAsia="宋体" w:cs="宋体"/>
          <w:sz w:val="24"/>
          <w:szCs w:val="24"/>
        </w:rPr>
        <w:t>）</w:t>
      </w:r>
      <w:r>
        <w:rPr>
          <w:rFonts w:hint="eastAsia" w:ascii="宋体" w:hAnsi="宋体" w:eastAsia="宋体"/>
          <w:sz w:val="24"/>
          <w:szCs w:val="18"/>
        </w:rPr>
        <w:t>：</w:t>
      </w:r>
    </w:p>
    <w:p w14:paraId="3D517B81">
      <w:pPr>
        <w:spacing w:line="360" w:lineRule="auto"/>
        <w:ind w:firstLine="435"/>
        <w:rPr>
          <w:rFonts w:hint="eastAsia" w:ascii="宋体" w:hAnsi="宋体" w:eastAsia="宋体" w:cs="宋体"/>
          <w:sz w:val="24"/>
          <w:szCs w:val="24"/>
        </w:rPr>
      </w:pPr>
      <w:r>
        <w:rPr>
          <w:rFonts w:hint="eastAsia" w:ascii="宋体" w:hAnsi="宋体" w:eastAsia="宋体" w:cs="宋体"/>
          <w:sz w:val="24"/>
          <w:szCs w:val="24"/>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5103AA4C">
      <w:pPr>
        <w:spacing w:line="360" w:lineRule="auto"/>
        <w:ind w:firstLine="435"/>
        <w:rPr>
          <w:rFonts w:hint="eastAsia" w:ascii="宋体" w:hAnsi="宋体" w:eastAsia="宋体" w:cs="宋体"/>
          <w:sz w:val="24"/>
          <w:szCs w:val="24"/>
        </w:rPr>
      </w:pPr>
      <w:r>
        <w:rPr>
          <w:rFonts w:hint="eastAsia" w:ascii="宋体" w:hAnsi="宋体" w:eastAsia="宋体" w:cs="宋体"/>
          <w:sz w:val="24"/>
          <w:szCs w:val="24"/>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3FA05128">
      <w:pPr>
        <w:spacing w:line="360" w:lineRule="auto"/>
        <w:ind w:firstLine="437"/>
        <w:outlineLvl w:val="1"/>
        <w:rPr>
          <w:rFonts w:hint="eastAsia" w:ascii="宋体" w:hAnsi="宋体" w:eastAsia="宋体" w:cs="宋体"/>
          <w:sz w:val="24"/>
          <w:szCs w:val="24"/>
        </w:rPr>
      </w:pPr>
      <w:r>
        <w:rPr>
          <w:rFonts w:hint="eastAsia" w:ascii="宋体" w:hAnsi="宋体" w:eastAsia="宋体" w:cs="宋体"/>
          <w:sz w:val="24"/>
          <w:szCs w:val="24"/>
        </w:rPr>
        <w:t>3.技术参数中如某项参数以具体数值展现，则该数值为本项目所需的最低要求，相同或者优于该项参数均视为满足。</w:t>
      </w:r>
    </w:p>
    <w:p w14:paraId="2193BE51">
      <w:pPr>
        <w:spacing w:line="360" w:lineRule="auto"/>
        <w:ind w:firstLine="437"/>
        <w:outlineLvl w:val="1"/>
        <w:rPr>
          <w:rFonts w:ascii="宋体" w:hAnsi="宋体" w:eastAsia="宋体"/>
          <w:b/>
          <w:color w:val="auto"/>
          <w:sz w:val="24"/>
          <w:szCs w:val="18"/>
          <w:highlight w:val="none"/>
        </w:rPr>
      </w:pPr>
      <w:r>
        <w:rPr>
          <w:rFonts w:hint="eastAsia" w:ascii="宋体" w:hAnsi="宋体" w:eastAsia="宋体"/>
          <w:b/>
          <w:color w:val="auto"/>
          <w:sz w:val="24"/>
          <w:szCs w:val="18"/>
          <w:highlight w:val="none"/>
        </w:rPr>
        <w:t>一、采购需求前附表</w:t>
      </w:r>
      <w:bookmarkEnd w:id="0"/>
      <w:bookmarkEnd w:id="1"/>
      <w:bookmarkEnd w:id="2"/>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5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05755760">
            <w:pPr>
              <w:pStyle w:val="30"/>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noWrap w:val="0"/>
            <w:vAlign w:val="center"/>
          </w:tcPr>
          <w:p w14:paraId="5E44D1E2">
            <w:pPr>
              <w:pStyle w:val="31"/>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noWrap w:val="0"/>
            <w:vAlign w:val="center"/>
          </w:tcPr>
          <w:p w14:paraId="2F21E58E">
            <w:pPr>
              <w:pStyle w:val="31"/>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3A0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4139AC13">
            <w:pPr>
              <w:pStyle w:val="30"/>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bookmarkStart w:id="9" w:name="_GoBack"/>
            <w:r>
              <w:rPr>
                <w:rFonts w:hint="eastAsia" w:ascii="宋体" w:hAnsi="宋体" w:eastAsia="宋体"/>
                <w:bCs/>
                <w:color w:val="auto"/>
                <w:kern w:val="2"/>
                <w:highlight w:val="none"/>
              </w:rPr>
              <w:t>1</w:t>
            </w:r>
          </w:p>
        </w:tc>
        <w:tc>
          <w:tcPr>
            <w:tcW w:w="1192" w:type="pct"/>
            <w:noWrap w:val="0"/>
            <w:vAlign w:val="center"/>
          </w:tcPr>
          <w:p w14:paraId="32BE7AB6">
            <w:pPr>
              <w:pStyle w:val="31"/>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noWrap w:val="0"/>
            <w:vAlign w:val="center"/>
          </w:tcPr>
          <w:p w14:paraId="539A97AD">
            <w:pPr>
              <w:pStyle w:val="31"/>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安装、调试完毕后，确定所有设备使用无质量问题，验收合格后支付全部费用。</w:t>
            </w:r>
          </w:p>
        </w:tc>
      </w:tr>
      <w:tr w14:paraId="63C6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4B3CDD6B">
            <w:pPr>
              <w:pStyle w:val="30"/>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noWrap w:val="0"/>
            <w:vAlign w:val="center"/>
          </w:tcPr>
          <w:p w14:paraId="19CE969A">
            <w:pPr>
              <w:pStyle w:val="31"/>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217" w:type="pct"/>
            <w:noWrap w:val="0"/>
            <w:vAlign w:val="center"/>
          </w:tcPr>
          <w:p w14:paraId="13D7C671">
            <w:pPr>
              <w:pStyle w:val="31"/>
              <w:widowControl w:val="0"/>
              <w:spacing w:before="0" w:beforeAutospacing="0" w:after="0" w:afterAutospacing="0" w:line="360" w:lineRule="auto"/>
              <w:jc w:val="both"/>
              <w:rPr>
                <w:rFonts w:hint="default" w:ascii="宋体" w:hAnsi="宋体" w:eastAsia="宋体"/>
                <w:b w:val="0"/>
                <w:color w:val="auto"/>
                <w:sz w:val="24"/>
                <w:highlight w:val="none"/>
                <w:u w:val="none"/>
                <w:lang w:val="en-US" w:eastAsia="zh-CN"/>
              </w:rPr>
            </w:pPr>
            <w:r>
              <w:rPr>
                <w:rFonts w:hint="eastAsia"/>
                <w:b w:val="0"/>
                <w:color w:val="auto"/>
                <w:sz w:val="24"/>
                <w:highlight w:val="none"/>
                <w:u w:val="none"/>
                <w:lang w:val="en-US" w:eastAsia="zh-CN"/>
              </w:rPr>
              <w:t>安徽职业技术大学至正楼，采购人指定地点</w:t>
            </w:r>
          </w:p>
        </w:tc>
      </w:tr>
      <w:tr w14:paraId="2D37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20D19E7E">
            <w:pPr>
              <w:pStyle w:val="30"/>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noWrap w:val="0"/>
            <w:vAlign w:val="center"/>
          </w:tcPr>
          <w:p w14:paraId="4D2E81DD">
            <w:pPr>
              <w:pStyle w:val="31"/>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217" w:type="pct"/>
            <w:noWrap w:val="0"/>
            <w:vAlign w:val="center"/>
          </w:tcPr>
          <w:p w14:paraId="5C0E7A40">
            <w:pPr>
              <w:pStyle w:val="31"/>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合同签订后</w:t>
            </w:r>
            <w:r>
              <w:rPr>
                <w:rFonts w:hint="eastAsia"/>
                <w:b w:val="0"/>
                <w:color w:val="auto"/>
                <w:sz w:val="24"/>
                <w:highlight w:val="none"/>
                <w:u w:val="none"/>
                <w:lang w:val="en-US" w:eastAsia="zh-CN"/>
              </w:rPr>
              <w:t>9</w:t>
            </w:r>
            <w:r>
              <w:rPr>
                <w:rFonts w:hint="eastAsia" w:ascii="宋体" w:hAnsi="宋体" w:eastAsia="宋体"/>
                <w:b w:val="0"/>
                <w:color w:val="auto"/>
                <w:sz w:val="24"/>
                <w:highlight w:val="none"/>
                <w:u w:val="none"/>
              </w:rPr>
              <w:t>0</w:t>
            </w:r>
            <w:r>
              <w:rPr>
                <w:rFonts w:hint="eastAsia" w:ascii="宋体" w:hAnsi="宋体" w:eastAsia="宋体"/>
                <w:b w:val="0"/>
                <w:color w:val="auto"/>
                <w:sz w:val="24"/>
                <w:highlight w:val="none"/>
                <w:u w:val="none"/>
              </w:rPr>
              <w:t>个自然日内完成供货安装及调试</w:t>
            </w:r>
          </w:p>
        </w:tc>
      </w:tr>
      <w:tr w14:paraId="1EF7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34107B7F">
            <w:pPr>
              <w:pStyle w:val="30"/>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noWrap w:val="0"/>
            <w:vAlign w:val="center"/>
          </w:tcPr>
          <w:p w14:paraId="6B27ABFA">
            <w:pPr>
              <w:pStyle w:val="31"/>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217" w:type="pct"/>
            <w:noWrap w:val="0"/>
            <w:vAlign w:val="center"/>
          </w:tcPr>
          <w:p w14:paraId="59834DA2">
            <w:pPr>
              <w:pStyle w:val="31"/>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不低于1年，从货物供货、安装、调试正常且经采购人综合运行验收合格后开始计算。</w:t>
            </w:r>
          </w:p>
        </w:tc>
      </w:tr>
    </w:tbl>
    <w:p w14:paraId="665F60E7">
      <w:pPr>
        <w:pageBreakBefore w:val="0"/>
        <w:kinsoku/>
        <w:wordWrap/>
        <w:overflowPunct/>
        <w:topLinePunct w:val="0"/>
        <w:bidi w:val="0"/>
        <w:snapToGrid/>
        <w:spacing w:line="360" w:lineRule="auto"/>
        <w:ind w:firstLine="437"/>
        <w:textAlignment w:val="auto"/>
        <w:outlineLvl w:val="1"/>
        <w:rPr>
          <w:rFonts w:hint="eastAsia" w:ascii="宋体" w:hAnsi="宋体" w:eastAsia="宋体" w:cs="宋体"/>
          <w:b/>
          <w:bCs/>
          <w:color w:val="auto"/>
          <w:sz w:val="24"/>
          <w:szCs w:val="24"/>
          <w:highlight w:val="none"/>
        </w:rPr>
      </w:pPr>
      <w:bookmarkStart w:id="3" w:name="_Toc5944"/>
      <w:bookmarkStart w:id="4" w:name="_Toc22395"/>
      <w:bookmarkStart w:id="5" w:name="_Toc7671"/>
      <w:r>
        <w:rPr>
          <w:rFonts w:hint="eastAsia" w:ascii="宋体" w:hAnsi="宋体" w:eastAsia="宋体" w:cs="宋体"/>
          <w:b/>
          <w:bCs/>
          <w:color w:val="auto"/>
          <w:sz w:val="24"/>
          <w:szCs w:val="24"/>
          <w:highlight w:val="none"/>
        </w:rPr>
        <w:t>二、</w:t>
      </w:r>
      <w:r>
        <w:rPr>
          <w:rFonts w:hint="eastAsia" w:ascii="宋体" w:hAnsi="宋体" w:eastAsia="宋体" w:cs="宋体"/>
          <w:b/>
          <w:color w:val="auto"/>
          <w:sz w:val="24"/>
          <w:szCs w:val="24"/>
          <w:highlight w:val="none"/>
        </w:rPr>
        <w:t>货物</w:t>
      </w:r>
      <w:r>
        <w:rPr>
          <w:rFonts w:hint="eastAsia" w:ascii="宋体" w:hAnsi="宋体" w:eastAsia="宋体" w:cs="宋体"/>
          <w:b/>
          <w:bCs/>
          <w:color w:val="auto"/>
          <w:sz w:val="24"/>
          <w:szCs w:val="24"/>
          <w:highlight w:val="none"/>
        </w:rPr>
        <w:t>需求</w:t>
      </w:r>
      <w:bookmarkEnd w:id="3"/>
      <w:bookmarkEnd w:id="4"/>
      <w:bookmarkEnd w:id="5"/>
    </w:p>
    <w:p w14:paraId="184D68BF">
      <w:pPr>
        <w:pStyle w:val="3"/>
        <w:spacing w:before="0" w:beforeLines="-2147483648" w:after="0" w:afterLines="-2147483648" w:line="240" w:lineRule="auto"/>
        <w:rPr>
          <w:rFonts w:hint="eastAsia" w:ascii="宋体" w:hAnsi="宋体" w:eastAsia="宋体" w:cs="宋体"/>
          <w:b/>
          <w:i w:val="0"/>
          <w:iCs w:val="0"/>
          <w:color w:val="auto"/>
          <w:sz w:val="24"/>
          <w:szCs w:val="24"/>
          <w:lang w:eastAsia="zh-CN"/>
        </w:rPr>
      </w:pPr>
      <w:r>
        <w:rPr>
          <w:rFonts w:hint="eastAsia" w:ascii="宋体" w:hAnsi="宋体" w:eastAsia="宋体" w:cs="宋体"/>
          <w:b/>
          <w:i w:val="0"/>
          <w:iCs w:val="0"/>
          <w:color w:val="auto"/>
          <w:sz w:val="24"/>
          <w:szCs w:val="24"/>
        </w:rPr>
        <w:t>（一）货物指标重要性表述</w:t>
      </w:r>
    </w:p>
    <w:tbl>
      <w:tblPr>
        <w:tblStyle w:val="33"/>
        <w:tblW w:w="90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9"/>
        <w:gridCol w:w="1405"/>
        <w:gridCol w:w="5650"/>
      </w:tblGrid>
      <w:tr w14:paraId="1BCCF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1969" w:type="dxa"/>
            <w:vAlign w:val="center"/>
          </w:tcPr>
          <w:p w14:paraId="4C199719">
            <w:pPr>
              <w:pStyle w:val="32"/>
              <w:spacing w:before="119" w:line="220" w:lineRule="auto"/>
              <w:jc w:val="center"/>
              <w:rPr>
                <w:color w:val="auto"/>
              </w:rPr>
            </w:pPr>
            <w:r>
              <w:rPr>
                <w:color w:val="auto"/>
                <w:spacing w:val="-3"/>
              </w:rPr>
              <w:t>标识重要性</w:t>
            </w:r>
          </w:p>
        </w:tc>
        <w:tc>
          <w:tcPr>
            <w:tcW w:w="1405" w:type="dxa"/>
            <w:vAlign w:val="center"/>
          </w:tcPr>
          <w:p w14:paraId="1F173764">
            <w:pPr>
              <w:pStyle w:val="32"/>
              <w:spacing w:before="120" w:line="219" w:lineRule="auto"/>
              <w:jc w:val="center"/>
              <w:rPr>
                <w:color w:val="auto"/>
              </w:rPr>
            </w:pPr>
            <w:r>
              <w:rPr>
                <w:color w:val="auto"/>
                <w:spacing w:val="-3"/>
              </w:rPr>
              <w:t>标识符号</w:t>
            </w:r>
          </w:p>
        </w:tc>
        <w:tc>
          <w:tcPr>
            <w:tcW w:w="5650" w:type="dxa"/>
            <w:vAlign w:val="center"/>
          </w:tcPr>
          <w:p w14:paraId="48174227">
            <w:pPr>
              <w:pStyle w:val="32"/>
              <w:spacing w:before="120" w:line="219" w:lineRule="auto"/>
              <w:jc w:val="center"/>
              <w:rPr>
                <w:color w:val="auto"/>
              </w:rPr>
            </w:pPr>
            <w:r>
              <w:rPr>
                <w:color w:val="auto"/>
                <w:spacing w:val="-3"/>
              </w:rPr>
              <w:t>符号说明</w:t>
            </w:r>
          </w:p>
        </w:tc>
      </w:tr>
      <w:tr w14:paraId="44BF5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969" w:type="dxa"/>
            <w:vAlign w:val="center"/>
          </w:tcPr>
          <w:p w14:paraId="7A50F333">
            <w:pPr>
              <w:pStyle w:val="32"/>
              <w:spacing w:before="119" w:line="360" w:lineRule="auto"/>
              <w:jc w:val="center"/>
              <w:rPr>
                <w:color w:val="auto"/>
                <w:spacing w:val="-3"/>
              </w:rPr>
            </w:pPr>
            <w:r>
              <w:rPr>
                <w:rFonts w:hint="eastAsia"/>
                <w:color w:val="auto"/>
                <w:spacing w:val="-3"/>
              </w:rPr>
              <w:t>关键性指标项</w:t>
            </w:r>
          </w:p>
        </w:tc>
        <w:tc>
          <w:tcPr>
            <w:tcW w:w="1405" w:type="dxa"/>
            <w:vAlign w:val="center"/>
          </w:tcPr>
          <w:p w14:paraId="6E57D054">
            <w:pPr>
              <w:pStyle w:val="32"/>
              <w:spacing w:before="119" w:line="360" w:lineRule="auto"/>
              <w:jc w:val="center"/>
              <w:rPr>
                <w:color w:val="auto"/>
                <w:spacing w:val="-3"/>
              </w:rPr>
            </w:pPr>
            <w:r>
              <w:rPr>
                <w:rFonts w:hint="eastAsia"/>
                <w:color w:val="auto"/>
                <w:spacing w:val="-3"/>
              </w:rPr>
              <w:t>★</w:t>
            </w:r>
          </w:p>
        </w:tc>
        <w:tc>
          <w:tcPr>
            <w:tcW w:w="5650" w:type="dxa"/>
            <w:vAlign w:val="center"/>
          </w:tcPr>
          <w:p w14:paraId="495C12F0">
            <w:pPr>
              <w:pStyle w:val="32"/>
              <w:spacing w:before="119" w:line="360" w:lineRule="auto"/>
              <w:jc w:val="center"/>
              <w:rPr>
                <w:color w:val="auto"/>
                <w:spacing w:val="-3"/>
              </w:rPr>
            </w:pPr>
            <w:r>
              <w:rPr>
                <w:rFonts w:hint="eastAsia"/>
                <w:color w:val="auto"/>
                <w:spacing w:val="-3"/>
              </w:rPr>
              <w:t>不满足该指标项将导致投标被拒绝</w:t>
            </w:r>
          </w:p>
        </w:tc>
      </w:tr>
      <w:tr w14:paraId="59374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jc w:val="center"/>
        </w:trPr>
        <w:tc>
          <w:tcPr>
            <w:tcW w:w="1969" w:type="dxa"/>
            <w:vAlign w:val="center"/>
          </w:tcPr>
          <w:p w14:paraId="55D8E33C">
            <w:pPr>
              <w:pStyle w:val="32"/>
              <w:spacing w:before="119" w:line="360" w:lineRule="auto"/>
              <w:jc w:val="center"/>
              <w:rPr>
                <w:color w:val="auto"/>
                <w:spacing w:val="-3"/>
              </w:rPr>
            </w:pPr>
            <w:r>
              <w:rPr>
                <w:rFonts w:hint="eastAsia"/>
                <w:color w:val="auto"/>
                <w:spacing w:val="-3"/>
              </w:rPr>
              <w:t>重要指标项</w:t>
            </w:r>
          </w:p>
        </w:tc>
        <w:tc>
          <w:tcPr>
            <w:tcW w:w="1405" w:type="dxa"/>
            <w:vAlign w:val="center"/>
          </w:tcPr>
          <w:p w14:paraId="2401F474">
            <w:pPr>
              <w:pStyle w:val="32"/>
              <w:spacing w:before="119" w:line="360" w:lineRule="auto"/>
              <w:jc w:val="center"/>
              <w:rPr>
                <w:color w:val="auto"/>
                <w:spacing w:val="-3"/>
              </w:rPr>
            </w:pPr>
            <w:r>
              <w:rPr>
                <w:rFonts w:hint="eastAsia"/>
                <w:color w:val="auto"/>
                <w:spacing w:val="-3"/>
              </w:rPr>
              <w:t>■</w:t>
            </w:r>
          </w:p>
        </w:tc>
        <w:tc>
          <w:tcPr>
            <w:tcW w:w="5650" w:type="dxa"/>
            <w:vAlign w:val="center"/>
          </w:tcPr>
          <w:p w14:paraId="71638F1D">
            <w:pPr>
              <w:pStyle w:val="32"/>
              <w:spacing w:before="119" w:line="360" w:lineRule="auto"/>
              <w:jc w:val="center"/>
              <w:rPr>
                <w:color w:val="auto"/>
                <w:spacing w:val="-3"/>
              </w:rPr>
            </w:pPr>
            <w:r>
              <w:rPr>
                <w:rFonts w:hint="eastAsia"/>
                <w:color w:val="auto"/>
                <w:spacing w:val="-3"/>
              </w:rPr>
              <w:t>评分项，每满足一项得</w:t>
            </w:r>
            <w:r>
              <w:rPr>
                <w:rFonts w:hint="eastAsia"/>
                <w:color w:val="auto"/>
                <w:spacing w:val="-3"/>
                <w:lang w:val="en-US" w:eastAsia="zh-CN"/>
              </w:rPr>
              <w:t>2</w:t>
            </w:r>
            <w:r>
              <w:rPr>
                <w:rFonts w:hint="eastAsia"/>
                <w:color w:val="auto"/>
                <w:spacing w:val="-3"/>
              </w:rPr>
              <w:t>分</w:t>
            </w:r>
          </w:p>
        </w:tc>
      </w:tr>
      <w:tr w14:paraId="0EC4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jc w:val="center"/>
        </w:trPr>
        <w:tc>
          <w:tcPr>
            <w:tcW w:w="1969" w:type="dxa"/>
            <w:vAlign w:val="center"/>
          </w:tcPr>
          <w:p w14:paraId="1E5EDB80">
            <w:pPr>
              <w:pStyle w:val="32"/>
              <w:spacing w:before="119" w:line="360" w:lineRule="auto"/>
              <w:jc w:val="center"/>
              <w:rPr>
                <w:color w:val="auto"/>
                <w:spacing w:val="-3"/>
              </w:rPr>
            </w:pPr>
            <w:r>
              <w:rPr>
                <w:rFonts w:hint="eastAsia"/>
                <w:color w:val="auto"/>
                <w:spacing w:val="-3"/>
                <w:highlight w:val="none"/>
              </w:rPr>
              <w:t>无标识项</w:t>
            </w:r>
          </w:p>
        </w:tc>
        <w:tc>
          <w:tcPr>
            <w:tcW w:w="1405" w:type="dxa"/>
            <w:vAlign w:val="center"/>
          </w:tcPr>
          <w:p w14:paraId="2C58C4DE">
            <w:pPr>
              <w:pStyle w:val="32"/>
              <w:spacing w:before="119" w:line="360" w:lineRule="auto"/>
              <w:ind w:left="391"/>
              <w:jc w:val="center"/>
              <w:rPr>
                <w:color w:val="auto"/>
                <w:spacing w:val="-3"/>
              </w:rPr>
            </w:pPr>
          </w:p>
        </w:tc>
        <w:tc>
          <w:tcPr>
            <w:tcW w:w="5650" w:type="dxa"/>
            <w:vAlign w:val="center"/>
          </w:tcPr>
          <w:p w14:paraId="57832785">
            <w:pPr>
              <w:pStyle w:val="32"/>
              <w:spacing w:before="119" w:line="360" w:lineRule="auto"/>
              <w:jc w:val="left"/>
              <w:rPr>
                <w:color w:val="auto"/>
                <w:spacing w:val="-3"/>
              </w:rPr>
            </w:pPr>
            <w:r>
              <w:rPr>
                <w:rFonts w:hint="eastAsia"/>
                <w:color w:val="auto"/>
                <w:spacing w:val="-3"/>
              </w:rPr>
              <w:t>供应商须在投标文件</w:t>
            </w:r>
            <w:r>
              <w:rPr>
                <w:rFonts w:hint="eastAsia"/>
                <w:color w:val="auto"/>
                <w:spacing w:val="-3"/>
                <w:lang w:eastAsia="zh-CN"/>
              </w:rPr>
              <w:t>“</w:t>
            </w:r>
            <w:r>
              <w:rPr>
                <w:rFonts w:hint="eastAsia"/>
                <w:color w:val="auto"/>
                <w:spacing w:val="-3"/>
                <w:lang w:val="en-US" w:eastAsia="zh-CN"/>
              </w:rPr>
              <w:t>技术响应表</w:t>
            </w:r>
            <w:r>
              <w:rPr>
                <w:rFonts w:hint="eastAsia"/>
                <w:color w:val="auto"/>
                <w:spacing w:val="-3"/>
                <w:lang w:eastAsia="zh-CN"/>
              </w:rPr>
              <w:t>”</w:t>
            </w:r>
            <w:r>
              <w:rPr>
                <w:rFonts w:hint="eastAsia"/>
                <w:color w:val="auto"/>
                <w:spacing w:val="-3"/>
              </w:rPr>
              <w:t>中</w:t>
            </w:r>
            <w:r>
              <w:rPr>
                <w:rFonts w:hint="eastAsia"/>
                <w:color w:val="auto"/>
                <w:spacing w:val="-3"/>
                <w:lang w:val="en-US" w:eastAsia="zh-CN"/>
              </w:rPr>
              <w:t>进行响应</w:t>
            </w:r>
            <w:r>
              <w:rPr>
                <w:rFonts w:hint="eastAsia"/>
                <w:color w:val="auto"/>
                <w:spacing w:val="-3"/>
              </w:rPr>
              <w:t>，</w:t>
            </w:r>
            <w:r>
              <w:rPr>
                <w:rFonts w:hint="eastAsia"/>
                <w:color w:val="auto"/>
                <w:spacing w:val="-3"/>
                <w:lang w:val="en-US" w:eastAsia="zh-CN"/>
              </w:rPr>
              <w:t>如有3条及以上无标识项存在不响应或者负偏离的，</w:t>
            </w:r>
            <w:r>
              <w:rPr>
                <w:rFonts w:hint="eastAsia"/>
                <w:color w:val="auto"/>
                <w:spacing w:val="-3"/>
              </w:rPr>
              <w:t>投标无效。</w:t>
            </w:r>
          </w:p>
        </w:tc>
      </w:tr>
    </w:tbl>
    <w:p w14:paraId="02141377">
      <w:pPr>
        <w:autoSpaceDE w:val="0"/>
        <w:autoSpaceDN w:val="0"/>
        <w:adjustRightInd w:val="0"/>
        <w:spacing w:line="360" w:lineRule="auto"/>
        <w:jc w:val="left"/>
        <w:rPr>
          <w:rFonts w:hint="eastAsia" w:ascii="宋体" w:hAnsi="宋体" w:eastAsia="宋体" w:cs="宋体"/>
          <w:b/>
          <w:color w:val="000000"/>
          <w:sz w:val="24"/>
          <w:szCs w:val="24"/>
          <w:highlight w:val="none"/>
        </w:rPr>
      </w:pPr>
    </w:p>
    <w:p w14:paraId="19C54313">
      <w:pPr>
        <w:pStyle w:val="3"/>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（二）技术参数及要求</w:t>
      </w:r>
    </w:p>
    <w:tbl>
      <w:tblPr>
        <w:tblStyle w:val="11"/>
        <w:tblW w:w="5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08"/>
        <w:gridCol w:w="6688"/>
        <w:gridCol w:w="450"/>
        <w:gridCol w:w="750"/>
        <w:gridCol w:w="704"/>
      </w:tblGrid>
      <w:tr w14:paraId="1F0F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7D88D4C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408" w:type="pct"/>
            <w:vAlign w:val="center"/>
          </w:tcPr>
          <w:p w14:paraId="3F06458E">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货物名称</w:t>
            </w:r>
          </w:p>
        </w:tc>
        <w:tc>
          <w:tcPr>
            <w:tcW w:w="3379" w:type="pct"/>
            <w:vAlign w:val="center"/>
          </w:tcPr>
          <w:p w14:paraId="697577D7">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技术参数及要求</w:t>
            </w:r>
          </w:p>
        </w:tc>
        <w:tc>
          <w:tcPr>
            <w:tcW w:w="227" w:type="pct"/>
            <w:vAlign w:val="center"/>
          </w:tcPr>
          <w:p w14:paraId="4E9EFC72">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数量</w:t>
            </w:r>
          </w:p>
        </w:tc>
        <w:tc>
          <w:tcPr>
            <w:tcW w:w="378" w:type="pct"/>
            <w:vAlign w:val="center"/>
          </w:tcPr>
          <w:p w14:paraId="222FA81D">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所属行业</w:t>
            </w:r>
          </w:p>
        </w:tc>
        <w:tc>
          <w:tcPr>
            <w:tcW w:w="355" w:type="pct"/>
            <w:vAlign w:val="center"/>
          </w:tcPr>
          <w:p w14:paraId="43723368">
            <w:pP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14:paraId="5DBA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50" w:type="pct"/>
            <w:vAlign w:val="center"/>
          </w:tcPr>
          <w:p w14:paraId="34291D1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8" w:type="pct"/>
            <w:vAlign w:val="center"/>
          </w:tcPr>
          <w:p w14:paraId="18D6D9AA">
            <w:pPr>
              <w:spacing w:line="360" w:lineRule="auto"/>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color w:val="auto"/>
                <w:sz w:val="24"/>
                <w:szCs w:val="24"/>
              </w:rPr>
              <w:t>▲</w:t>
            </w:r>
            <w:r>
              <w:rPr>
                <w:rFonts w:hint="eastAsia" w:ascii="宋体" w:hAnsi="宋体" w:eastAsia="宋体" w:cs="宋体"/>
                <w:b w:val="0"/>
                <w:bCs/>
                <w:color w:val="auto"/>
                <w:sz w:val="24"/>
                <w:szCs w:val="24"/>
              </w:rPr>
              <w:t>高精度强力试验机</w:t>
            </w:r>
            <w:r>
              <w:rPr>
                <w:rFonts w:hint="eastAsia" w:ascii="宋体" w:hAnsi="宋体" w:eastAsia="宋体" w:cs="宋体"/>
                <w:b/>
                <w:bCs/>
                <w:color w:val="auto"/>
                <w:sz w:val="24"/>
                <w:szCs w:val="24"/>
                <w:lang w:val="en-US" w:eastAsia="zh-CN"/>
              </w:rPr>
              <w:t>（进口产品）</w:t>
            </w:r>
          </w:p>
        </w:tc>
        <w:tc>
          <w:tcPr>
            <w:tcW w:w="3379" w:type="pct"/>
          </w:tcPr>
          <w:p w14:paraId="76D0B893">
            <w:pPr>
              <w:pStyle w:val="8"/>
              <w:keepNext w:val="0"/>
              <w:keepLines w:val="0"/>
              <w:widowControl/>
              <w:suppressLineNumbers w:val="0"/>
              <w:shd w:val="clear" w:fill="FFFFFF"/>
              <w:wordWrap/>
              <w:spacing w:before="0" w:beforeAutospacing="0" w:after="0" w:afterAutospacing="0" w:line="360" w:lineRule="auto"/>
              <w:ind w:left="0" w:right="0" w:firstLine="0"/>
              <w:jc w:val="left"/>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功能用途：</w:t>
            </w:r>
            <w:r>
              <w:rPr>
                <w:rFonts w:hint="eastAsia" w:ascii="宋体" w:hAnsi="宋体" w:eastAsia="宋体" w:cs="宋体"/>
                <w:kern w:val="2"/>
                <w:sz w:val="24"/>
                <w:szCs w:val="24"/>
                <w:lang w:val="en-US" w:eastAsia="zh-CN" w:bidi="ar-SA"/>
              </w:rPr>
              <w:t>可测试布料断裂强度,断裂伸长,缝线强度，缝线滑移,撕破强力，剥离强度,弹性回复，弹珠顶破，拉链强度等。</w:t>
            </w:r>
          </w:p>
          <w:p w14:paraId="36692903">
            <w:pPr>
              <w:pStyle w:val="8"/>
              <w:keepNext w:val="0"/>
              <w:keepLines w:val="0"/>
              <w:widowControl/>
              <w:suppressLineNumbers w:val="0"/>
              <w:shd w:val="clear" w:fill="FFFFFF"/>
              <w:wordWrap/>
              <w:spacing w:before="0" w:beforeAutospacing="0" w:after="0" w:afterAutospacing="0" w:line="360" w:lineRule="auto"/>
              <w:ind w:left="0" w:right="0" w:firstLine="0"/>
              <w:jc w:val="left"/>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符合标准：</w:t>
            </w:r>
            <w:r>
              <w:rPr>
                <w:rFonts w:hint="eastAsia" w:ascii="宋体" w:hAnsi="宋体" w:eastAsia="宋体" w:cs="宋体"/>
                <w:kern w:val="2"/>
                <w:sz w:val="24"/>
                <w:szCs w:val="24"/>
                <w:lang w:val="en-US" w:eastAsia="zh-CN" w:bidi="ar-SA"/>
              </w:rPr>
              <w:t>GB/T32599；2791；2792; 35460；3916；3917；3923；8939；13772；13773；14344；19976；21294；24218；24541。ASTM434；2256；2261；5034；5035；5587。ISO2062；13934-1；13934-2；13935-1；13935-2；13937-2；13937-3；13937-4。JIS L1093，1095，1096，1089。DIN53857 Part 1, 53858, 53859, 53356, 53354等。</w:t>
            </w:r>
          </w:p>
          <w:p w14:paraId="3A74E418">
            <w:pPr>
              <w:numPr>
                <w:ilvl w:val="0"/>
                <w:numId w:val="0"/>
              </w:numPr>
              <w:spacing w:line="360" w:lineRule="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技术参数：</w:t>
            </w:r>
          </w:p>
          <w:p w14:paraId="7B0FA4CC">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A、主机架尺寸（高×宽）：（1610±20）×（760±20）mm</w:t>
            </w:r>
          </w:p>
          <w:p w14:paraId="25E19D73">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■1、双立柱台式机架，最大载荷≥5kN，采用精密预紧滚珠丝杆加贯穿横梁式导向杆的高刚性机架结构，实心横梁，导向杆直径≥25mm，机架立柱应具有T型槽便于安装附件；</w:t>
            </w:r>
            <w:r>
              <w:rPr>
                <w:rFonts w:hint="eastAsia" w:ascii="宋体" w:hAnsi="宋体" w:eastAsia="宋体" w:cs="宋体"/>
                <w:color w:val="auto"/>
                <w:kern w:val="2"/>
                <w:sz w:val="24"/>
                <w:szCs w:val="24"/>
                <w:lang w:val="en-US" w:eastAsia="zh-CN" w:bidi="ar-SA"/>
              </w:rPr>
              <w:t>立柱具有固定的测量标尺</w:t>
            </w:r>
            <w:r>
              <w:rPr>
                <w:rFonts w:hint="eastAsia" w:ascii="宋体" w:hAnsi="宋体" w:eastAsia="宋体" w:cs="宋体"/>
                <w:b/>
                <w:bCs/>
                <w:color w:val="auto"/>
                <w:kern w:val="2"/>
                <w:sz w:val="24"/>
                <w:szCs w:val="24"/>
                <w:lang w:val="en-US" w:eastAsia="zh-CN" w:bidi="ar-SA"/>
              </w:rPr>
              <w:t>（提供产</w:t>
            </w:r>
            <w:r>
              <w:rPr>
                <w:rFonts w:hint="eastAsia" w:cs="宋体"/>
                <w:b/>
                <w:bCs/>
                <w:color w:val="auto"/>
                <w:kern w:val="2"/>
                <w:sz w:val="24"/>
                <w:szCs w:val="24"/>
                <w:highlight w:val="none"/>
                <w:lang w:val="en-US" w:eastAsia="zh-CN" w:bidi="ar-SA"/>
              </w:rPr>
              <w:t>品</w:t>
            </w:r>
            <w:r>
              <w:rPr>
                <w:rFonts w:hint="eastAsia" w:ascii="宋体" w:hAnsi="宋体" w:eastAsia="宋体" w:cs="宋体"/>
                <w:b/>
                <w:bCs/>
                <w:color w:val="auto"/>
                <w:kern w:val="2"/>
                <w:sz w:val="24"/>
                <w:szCs w:val="24"/>
                <w:lang w:val="en-US" w:eastAsia="zh-CN" w:bidi="ar-SA"/>
              </w:rPr>
              <w:t>实物图片佐证）</w:t>
            </w:r>
            <w:r>
              <w:rPr>
                <w:rFonts w:hint="eastAsia" w:ascii="宋体" w:hAnsi="宋体" w:eastAsia="宋体" w:cs="宋体"/>
                <w:color w:val="auto"/>
                <w:kern w:val="2"/>
                <w:sz w:val="24"/>
                <w:szCs w:val="24"/>
                <w:lang w:val="en-US" w:eastAsia="zh-CN" w:bidi="ar-SA"/>
              </w:rPr>
              <w:t>，</w:t>
            </w:r>
            <w:r>
              <w:rPr>
                <w:rFonts w:hint="eastAsia" w:ascii="宋体" w:hAnsi="宋体" w:eastAsia="宋体" w:cs="宋体"/>
                <w:kern w:val="2"/>
                <w:sz w:val="24"/>
                <w:szCs w:val="24"/>
                <w:lang w:val="en-US" w:eastAsia="zh-CN" w:bidi="ar-SA"/>
              </w:rPr>
              <w:t>以便于设置横梁位置和加载链；具备有两个二级位置限制保障设备运行安全；</w:t>
            </w:r>
          </w:p>
          <w:p w14:paraId="2759026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■2、横梁速度：不小于0.05-1500mm/min区间，速度精度≤设定速度的±0.2%；</w:t>
            </w:r>
          </w:p>
          <w:p w14:paraId="656BCDE8">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3、位置测量精度：示值的±0.15%以内；</w:t>
            </w:r>
          </w:p>
          <w:p w14:paraId="462436F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4、位置控制分辨率≤20nm；</w:t>
            </w:r>
          </w:p>
          <w:p w14:paraId="0F0F549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5、配高性能无刷交流伺服电机，可保证进行长时间的循环、松弛或蠕变的试验；</w:t>
            </w:r>
          </w:p>
          <w:p w14:paraId="1027687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■6、具备碰撞保护功能，横梁移动速度≤600mm/min时发生碰撞，系统将自动停止横梁移动并立即反向制动，防止对设备和试样的损坏；</w:t>
            </w:r>
          </w:p>
          <w:p w14:paraId="135EB093">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■7、系统电子器件的内部采样速率≥40kHz。控制软件能够以≥1000 Hz的速度获取力值、位移和应变通道的数据。采集速率不受变通道数量的影响，在任何测试期间内，可以维持最高数据速率。</w:t>
            </w:r>
          </w:p>
          <w:p w14:paraId="151376A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B、智能气动开关装置：</w:t>
            </w:r>
          </w:p>
          <w:p w14:paraId="157EFA4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■1、机器接口为以太网卡连接,系统集成式气动开关装置，配备双踏板脚踏开关，气动夹具控制套件采用分段式气压夹持，系统自动使用低气压预夹持减少夹伤操作人员的危险</w:t>
            </w:r>
            <w:r>
              <w:rPr>
                <w:rFonts w:hint="eastAsia" w:ascii="宋体" w:hAnsi="宋体" w:eastAsia="宋体" w:cs="宋体"/>
                <w:b/>
                <w:bCs/>
                <w:color w:val="auto"/>
                <w:kern w:val="2"/>
                <w:sz w:val="24"/>
                <w:szCs w:val="24"/>
                <w:lang w:val="en-US" w:eastAsia="zh-CN" w:bidi="ar-SA"/>
              </w:rPr>
              <w:t>（提供低气压预夹持设定功能截图佐证）</w:t>
            </w:r>
            <w:r>
              <w:rPr>
                <w:rFonts w:hint="eastAsia" w:ascii="宋体" w:hAnsi="宋体" w:eastAsia="宋体" w:cs="宋体"/>
                <w:kern w:val="2"/>
                <w:sz w:val="24"/>
                <w:szCs w:val="24"/>
                <w:lang w:val="en-US" w:eastAsia="zh-CN" w:bidi="ar-SA"/>
              </w:rPr>
              <w:t>，试验时自动切换高气压控制测试。</w:t>
            </w:r>
          </w:p>
          <w:p w14:paraId="228B7432">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■2、过度拉伸保护功能：测试开始前，在试样达到过度拉伸设定值时，夹具自动打开避免试样由于过载造成损坏</w:t>
            </w:r>
            <w:r>
              <w:rPr>
                <w:rFonts w:hint="eastAsia" w:ascii="宋体" w:hAnsi="宋体" w:eastAsia="宋体" w:cs="宋体"/>
                <w:b/>
                <w:bCs/>
                <w:color w:val="auto"/>
                <w:kern w:val="2"/>
                <w:sz w:val="24"/>
                <w:szCs w:val="24"/>
                <w:lang w:val="en-US" w:eastAsia="zh-CN" w:bidi="ar-SA"/>
              </w:rPr>
              <w:t>（提供过度拉伸保护功能截图佐证）</w:t>
            </w:r>
            <w:r>
              <w:rPr>
                <w:rFonts w:hint="eastAsia" w:ascii="宋体" w:hAnsi="宋体" w:eastAsia="宋体" w:cs="宋体"/>
                <w:color w:val="auto"/>
                <w:kern w:val="2"/>
                <w:sz w:val="24"/>
                <w:szCs w:val="24"/>
                <w:lang w:val="en-US" w:eastAsia="zh-CN" w:bidi="ar-SA"/>
              </w:rPr>
              <w:t>。</w:t>
            </w:r>
          </w:p>
          <w:p w14:paraId="38D86FFB">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C、操作软件：</w:t>
            </w:r>
          </w:p>
          <w:p w14:paraId="752C3697">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■1、软件支持win10系统，可选中文简体、英文等多种操作语言，软件的方法符合GB，ASTM，ISO，JIS等不同测试标准，可自定义编辑</w:t>
            </w:r>
            <w:r>
              <w:rPr>
                <w:rFonts w:hint="eastAsia" w:ascii="宋体" w:hAnsi="宋体" w:eastAsia="宋体" w:cs="宋体"/>
                <w:b/>
                <w:bCs/>
                <w:color w:val="auto"/>
                <w:kern w:val="2"/>
                <w:sz w:val="24"/>
                <w:szCs w:val="24"/>
                <w:lang w:val="en-US" w:eastAsia="zh-CN" w:bidi="ar-SA"/>
              </w:rPr>
              <w:t>（提供自定义编辑功能截图佐证）</w:t>
            </w:r>
            <w:r>
              <w:rPr>
                <w:rFonts w:hint="eastAsia" w:ascii="宋体" w:hAnsi="宋体" w:eastAsia="宋体" w:cs="宋体"/>
                <w:color w:val="auto"/>
                <w:kern w:val="2"/>
                <w:sz w:val="24"/>
                <w:szCs w:val="24"/>
                <w:lang w:val="en-US" w:eastAsia="zh-CN" w:bidi="ar-SA"/>
              </w:rPr>
              <w:t>：拉伸，弯曲，剥离，穿刺，顶破，预循环等试验方法。</w:t>
            </w:r>
          </w:p>
          <w:p w14:paraId="1368FD24">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■2、软件具备传感器标定提醒和定期零漂检查功能，实时检查指定时间间隔内可接受的零点漂移误差范围，如果零点漂移检查失败，系统会自动提醒平衡以保证测试精确性</w:t>
            </w:r>
            <w:r>
              <w:rPr>
                <w:rFonts w:hint="eastAsia" w:ascii="宋体" w:hAnsi="宋体" w:eastAsia="宋体" w:cs="宋体"/>
                <w:b/>
                <w:bCs/>
                <w:color w:val="auto"/>
                <w:kern w:val="2"/>
                <w:sz w:val="24"/>
                <w:szCs w:val="24"/>
                <w:lang w:val="en-US" w:eastAsia="zh-CN" w:bidi="ar-SA"/>
              </w:rPr>
              <w:t>（提供标定提醒和定期零漂检查功能截图佐证）</w:t>
            </w:r>
            <w:r>
              <w:rPr>
                <w:rFonts w:hint="eastAsia" w:ascii="宋体" w:hAnsi="宋体" w:eastAsia="宋体" w:cs="宋体"/>
                <w:color w:val="auto"/>
                <w:kern w:val="2"/>
                <w:sz w:val="24"/>
                <w:szCs w:val="24"/>
                <w:lang w:val="en-US" w:eastAsia="zh-CN" w:bidi="ar-SA"/>
              </w:rPr>
              <w:t>。</w:t>
            </w:r>
          </w:p>
          <w:p w14:paraId="0B6F748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3、软件允许用户设定一个带提示的试验过程，用户可以根据试验过程中每个步骤自定义各种搭配文本，图片的操作提示，以保证所有操作者正确的测试。</w:t>
            </w:r>
          </w:p>
          <w:p w14:paraId="0960FE29">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■4、允许用户定义任意数量的测量通道用于实时显示实物传感器或用户表达式计算的数值。可以自定义下拉式菜单选项输入，实现选项关联测试参数，大大降低重复输入工作，提高效率。</w:t>
            </w:r>
          </w:p>
          <w:p w14:paraId="66BE5914">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■5、并可实现不同测试方法设置时，预先数字输入试验用气压值，测试时系统自动调用方法测试，气动夹具将自动调节夹持气压，无需手动调节，便于便捷并保持测试一致性。</w:t>
            </w:r>
          </w:p>
          <w:p w14:paraId="4BFD5D8A">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6、软件测试界面即可实时显示原始数据，而不需要用户使用其他不同的软件来看原始数据表。</w:t>
            </w:r>
          </w:p>
          <w:p w14:paraId="354004A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7、软件包括中、英文和图形显示的完整上下文相关在线帮助。帮助系统会展示你点击帮助时当前操作界面涉及的所有功能解释或算法解析，帮助操作人员快速答疑。</w:t>
            </w:r>
          </w:p>
          <w:p w14:paraId="3A76871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8、软件输出的结果，统计或者是原始数据都可以生成CSV文件或者以ASCII码，UTF-16 ，UTF-8格式指定的文本文件以兼容各类实验室数据管理系统。</w:t>
            </w:r>
          </w:p>
          <w:p w14:paraId="02487CC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9、该软件具备三级用户访问权限管理，并可以分别设置不同操作人员登入权限的有效期以便于实验室管理。长时间试验期间可以锁定软件界面，避免人员离开期间被他人误操作。</w:t>
            </w:r>
          </w:p>
          <w:p w14:paraId="3F0CD823">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D、配置：</w:t>
            </w:r>
          </w:p>
          <w:p w14:paraId="4C160D6E">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1、5KN主机架：1副</w:t>
            </w:r>
          </w:p>
          <w:p w14:paraId="3AF228C4">
            <w:pPr>
              <w:numPr>
                <w:ilvl w:val="0"/>
                <w:numId w:val="0"/>
              </w:numPr>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■2、载荷5kN气动双面平推夹具，带防夹手以及对中装置，</w:t>
            </w:r>
            <w:r>
              <w:rPr>
                <w:rFonts w:hint="eastAsia" w:ascii="宋体" w:hAnsi="宋体" w:eastAsia="宋体" w:cs="宋体"/>
                <w:color w:val="auto"/>
                <w:kern w:val="2"/>
                <w:sz w:val="24"/>
                <w:szCs w:val="24"/>
                <w:lang w:val="en-US" w:eastAsia="zh-CN" w:bidi="ar-SA"/>
              </w:rPr>
              <w:t>夹具上需具有手拨开关</w:t>
            </w:r>
            <w:r>
              <w:rPr>
                <w:rFonts w:hint="eastAsia" w:ascii="宋体" w:hAnsi="宋体" w:eastAsia="宋体" w:cs="宋体"/>
                <w:b/>
                <w:bCs/>
                <w:color w:val="auto"/>
                <w:kern w:val="2"/>
                <w:sz w:val="24"/>
                <w:szCs w:val="24"/>
                <w:lang w:val="en-US" w:eastAsia="zh-CN" w:bidi="ar-SA"/>
              </w:rPr>
              <w:t>（提供夹具照片佐证）</w:t>
            </w:r>
            <w:r>
              <w:rPr>
                <w:rFonts w:hint="eastAsia" w:ascii="宋体" w:hAnsi="宋体" w:eastAsia="宋体" w:cs="宋体"/>
                <w:color w:val="auto"/>
                <w:kern w:val="2"/>
                <w:sz w:val="24"/>
                <w:szCs w:val="24"/>
                <w:lang w:val="en-US" w:eastAsia="zh-CN" w:bidi="ar-SA"/>
              </w:rPr>
              <w:t>；</w:t>
            </w:r>
          </w:p>
          <w:p w14:paraId="2C3FF7F1">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载荷5kN传感器一副，系统载荷精度：从满程至1/200量程，精度不低于读数的±0.5％；1/200-1/500量程，精度不低于±1%。传感器具备自动识别，并自动校准，并自动设置过载保护功能。过载性能：150%过载无零点偏移，300%额定载荷无机械损坏；</w:t>
            </w:r>
          </w:p>
          <w:p w14:paraId="06FDC7EF">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载荷500N传感器一副，系统载荷精度：从满程至1/200量程，精度不低于读数的±0.5％；1/200-1/500量程，精度不低于±1%。传感器具备自动识别，并自动校准，并自动设置过载保护功能。过载性能：150%过载无零点偏移，300%额定载荷无机械损坏；</w:t>
            </w:r>
          </w:p>
          <w:p w14:paraId="687A87F7">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5、原厂测试软件：1套；</w:t>
            </w:r>
          </w:p>
          <w:p w14:paraId="550D2B42">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6、橡胶面夹面（条样法）：1套，75mm×25mm，最大样品厚度≥26mm；</w:t>
            </w:r>
          </w:p>
          <w:p w14:paraId="06219C45">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7、橡胶面夹面（抓样法）：1套，25mm×25mm，最大样品厚度≥26mm；</w:t>
            </w:r>
          </w:p>
          <w:p w14:paraId="64A985AB">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8、气动踏脚踩开关：1个；</w:t>
            </w:r>
          </w:p>
          <w:p w14:paraId="255E7530">
            <w:pPr>
              <w:numPr>
                <w:ilvl w:val="0"/>
                <w:numId w:val="0"/>
              </w:numPr>
              <w:spacing w:line="360" w:lineRule="auto"/>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9、软件配套硬件：1套（处理器≥10核16线程、基础频率≥3.0GHz；内存≥16G；硬盘容量≥1T；液晶显示器尺寸≥23.8寸）；</w:t>
            </w:r>
          </w:p>
          <w:p w14:paraId="412412BC">
            <w:pPr>
              <w:spacing w:line="360" w:lineRule="auto"/>
              <w:jc w:val="both"/>
              <w:rPr>
                <w:rFonts w:hint="eastAsia" w:ascii="宋体" w:hAnsi="宋体" w:eastAsia="宋体" w:cs="宋体"/>
                <w:color w:val="auto"/>
                <w:sz w:val="24"/>
                <w:szCs w:val="24"/>
                <w:highlight w:val="none"/>
                <w:lang w:val="en-US" w:eastAsia="zh-CN"/>
              </w:rPr>
            </w:pPr>
            <w:r>
              <w:rPr>
                <w:rFonts w:hint="eastAsia" w:ascii="宋体" w:hAnsi="宋体" w:eastAsia="宋体" w:cs="宋体"/>
                <w:kern w:val="2"/>
                <w:sz w:val="24"/>
                <w:szCs w:val="24"/>
                <w:lang w:val="en-US" w:eastAsia="zh-CN" w:bidi="ar-SA"/>
              </w:rPr>
              <w:t>10、静音空压机1台（带油水分离装置，压力≥0.7MPa,排气量≥60L/min,气罐容量≥25L）。</w:t>
            </w:r>
          </w:p>
        </w:tc>
        <w:tc>
          <w:tcPr>
            <w:tcW w:w="227" w:type="pct"/>
            <w:vAlign w:val="center"/>
          </w:tcPr>
          <w:p w14:paraId="7D9B177A">
            <w:pPr>
              <w:spacing w:line="360" w:lineRule="auto"/>
              <w:jc w:val="center"/>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1</w:t>
            </w:r>
            <w:r>
              <w:rPr>
                <w:rFonts w:hint="eastAsia" w:ascii="宋体" w:hAnsi="宋体" w:eastAsia="宋体" w:cs="宋体"/>
                <w:color w:val="auto"/>
                <w:kern w:val="0"/>
                <w:sz w:val="24"/>
                <w:szCs w:val="24"/>
                <w:highlight w:val="none"/>
                <w:lang w:val="en-US" w:eastAsia="zh-CN"/>
              </w:rPr>
              <w:t>套</w:t>
            </w:r>
          </w:p>
          <w:p w14:paraId="7C5ECCB9">
            <w:pPr>
              <w:spacing w:line="360" w:lineRule="auto"/>
              <w:jc w:val="center"/>
              <w:rPr>
                <w:rFonts w:hint="eastAsia" w:ascii="宋体" w:hAnsi="宋体" w:eastAsia="宋体" w:cs="宋体"/>
                <w:bCs/>
                <w:color w:val="auto"/>
                <w:sz w:val="24"/>
                <w:szCs w:val="24"/>
                <w:highlight w:val="none"/>
              </w:rPr>
            </w:pPr>
          </w:p>
        </w:tc>
        <w:tc>
          <w:tcPr>
            <w:tcW w:w="378" w:type="pct"/>
            <w:vAlign w:val="center"/>
          </w:tcPr>
          <w:p w14:paraId="0E92C26C">
            <w:pPr>
              <w:spacing w:line="360" w:lineRule="auto"/>
              <w:jc w:val="lef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工业</w:t>
            </w:r>
          </w:p>
        </w:tc>
        <w:tc>
          <w:tcPr>
            <w:tcW w:w="355" w:type="pct"/>
            <w:vAlign w:val="center"/>
          </w:tcPr>
          <w:p w14:paraId="5C975EEB">
            <w:pPr>
              <w:spacing w:line="360" w:lineRule="auto"/>
              <w:jc w:val="left"/>
              <w:rPr>
                <w:rFonts w:hint="eastAsia" w:ascii="宋体" w:hAnsi="宋体" w:eastAsia="宋体" w:cs="宋体"/>
                <w:bCs/>
                <w:color w:val="auto"/>
                <w:sz w:val="24"/>
                <w:szCs w:val="24"/>
                <w:highlight w:val="none"/>
                <w:lang w:val="en-US" w:eastAsia="zh-CN"/>
              </w:rPr>
            </w:pPr>
          </w:p>
        </w:tc>
      </w:tr>
      <w:tr w14:paraId="706D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38F5052C">
            <w:pPr>
              <w:spacing w:line="360" w:lineRule="auto"/>
              <w:jc w:val="center"/>
              <w:rPr>
                <w:rFonts w:hint="eastAsia" w:ascii="宋体" w:hAnsi="宋体" w:eastAsia="宋体" w:cs="宋体"/>
                <w:color w:val="FF0000"/>
                <w:sz w:val="24"/>
                <w:szCs w:val="24"/>
                <w:highlight w:val="none"/>
              </w:rPr>
            </w:pPr>
            <w:r>
              <w:rPr>
                <w:rFonts w:hint="eastAsia" w:ascii="宋体" w:hAnsi="宋体" w:eastAsia="宋体" w:cs="宋体"/>
                <w:color w:val="auto"/>
                <w:sz w:val="24"/>
                <w:szCs w:val="24"/>
                <w:highlight w:val="none"/>
              </w:rPr>
              <w:t>2</w:t>
            </w:r>
          </w:p>
        </w:tc>
        <w:tc>
          <w:tcPr>
            <w:tcW w:w="408" w:type="pct"/>
            <w:vAlign w:val="center"/>
          </w:tcPr>
          <w:p w14:paraId="32415C1D">
            <w:pPr>
              <w:spacing w:line="360" w:lineRule="auto"/>
              <w:jc w:val="center"/>
              <w:rPr>
                <w:rFonts w:hint="eastAsia" w:ascii="宋体" w:hAnsi="宋体" w:eastAsia="宋体" w:cs="宋体"/>
                <w:bCs/>
                <w:color w:val="FF0000"/>
                <w:sz w:val="24"/>
                <w:szCs w:val="24"/>
                <w:highlight w:val="none"/>
              </w:rPr>
            </w:pPr>
            <w:r>
              <w:rPr>
                <w:rFonts w:hint="eastAsia" w:ascii="宋体" w:hAnsi="宋体" w:eastAsia="宋体" w:cs="宋体"/>
                <w:b w:val="0"/>
                <w:bCs w:val="0"/>
                <w:color w:val="auto"/>
                <w:sz w:val="24"/>
                <w:szCs w:val="24"/>
                <w:lang w:eastAsia="zh-CN"/>
              </w:rPr>
              <w:t>日晒气候色牢度试验机</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进口产品</w:t>
            </w:r>
            <w:r>
              <w:rPr>
                <w:rFonts w:hint="eastAsia" w:ascii="宋体" w:hAnsi="宋体" w:eastAsia="宋体" w:cs="宋体"/>
                <w:b/>
                <w:bCs/>
                <w:color w:val="auto"/>
                <w:sz w:val="24"/>
                <w:szCs w:val="24"/>
                <w:lang w:eastAsia="zh-CN"/>
              </w:rPr>
              <w:t>）</w:t>
            </w:r>
          </w:p>
          <w:p w14:paraId="2A73EF8B">
            <w:pPr>
              <w:spacing w:line="360" w:lineRule="auto"/>
              <w:jc w:val="center"/>
              <w:rPr>
                <w:rFonts w:hint="eastAsia" w:ascii="宋体" w:hAnsi="宋体" w:eastAsia="宋体" w:cs="宋体"/>
                <w:bCs/>
                <w:color w:val="FF0000"/>
                <w:sz w:val="24"/>
                <w:szCs w:val="24"/>
                <w:highlight w:val="none"/>
              </w:rPr>
            </w:pPr>
          </w:p>
        </w:tc>
        <w:tc>
          <w:tcPr>
            <w:tcW w:w="3379" w:type="pct"/>
          </w:tcPr>
          <w:p w14:paraId="455A3241">
            <w:pPr>
              <w:spacing w:line="360" w:lineRule="auto"/>
              <w:rPr>
                <w:rFonts w:hint="eastAsia" w:ascii="宋体" w:hAnsi="宋体" w:eastAsia="宋体" w:cs="宋体"/>
                <w:sz w:val="24"/>
                <w:szCs w:val="24"/>
              </w:rPr>
            </w:pPr>
            <w:r>
              <w:rPr>
                <w:rFonts w:hint="eastAsia" w:ascii="宋体" w:hAnsi="宋体" w:eastAsia="宋体" w:cs="宋体"/>
                <w:b/>
                <w:bCs/>
                <w:sz w:val="24"/>
                <w:szCs w:val="24"/>
              </w:rPr>
              <w:t>功能用途：</w:t>
            </w:r>
            <w:r>
              <w:rPr>
                <w:rFonts w:hint="eastAsia" w:ascii="宋体" w:hAnsi="宋体" w:eastAsia="宋体" w:cs="宋体"/>
                <w:sz w:val="24"/>
                <w:szCs w:val="24"/>
              </w:rPr>
              <w:t>模拟户外直射阳光、窗玻璃投射阳光或室内照明情况下,材料因光照、高温、高湿而造成的色变、粉化、开裂、雾化、黄变等老化现象。可以测试日晒色牢度以及纺织品的耐候性。是评判纺织品材料性能基本指标的一种老化工具。</w:t>
            </w:r>
          </w:p>
          <w:p w14:paraId="6D38BEC4">
            <w:pPr>
              <w:spacing w:line="360" w:lineRule="auto"/>
              <w:rPr>
                <w:rFonts w:hint="eastAsia" w:ascii="宋体" w:hAnsi="宋体" w:eastAsia="宋体" w:cs="宋体"/>
                <w:b/>
                <w:sz w:val="24"/>
                <w:szCs w:val="24"/>
              </w:rPr>
            </w:pPr>
            <w:r>
              <w:rPr>
                <w:rFonts w:hint="eastAsia" w:ascii="宋体" w:hAnsi="宋体" w:eastAsia="宋体" w:cs="宋体"/>
                <w:b/>
                <w:sz w:val="24"/>
                <w:szCs w:val="24"/>
              </w:rPr>
              <w:t>技术</w:t>
            </w:r>
            <w:r>
              <w:rPr>
                <w:rFonts w:hint="eastAsia" w:ascii="宋体" w:hAnsi="宋体" w:eastAsia="宋体" w:cs="宋体"/>
                <w:b/>
                <w:sz w:val="24"/>
                <w:szCs w:val="24"/>
                <w:lang w:val="en-US" w:eastAsia="zh-CN"/>
              </w:rPr>
              <w:t>参数</w:t>
            </w:r>
            <w:r>
              <w:rPr>
                <w:rFonts w:hint="eastAsia" w:ascii="宋体" w:hAnsi="宋体" w:eastAsia="宋体" w:cs="宋体"/>
                <w:b/>
                <w:sz w:val="24"/>
                <w:szCs w:val="24"/>
              </w:rPr>
              <w:t>：</w:t>
            </w:r>
          </w:p>
          <w:p w14:paraId="368BE0C8">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符合标准：ISO 105 B02、GB 8427、</w:t>
            </w:r>
            <w:r>
              <w:rPr>
                <w:rFonts w:hint="eastAsia" w:ascii="宋体" w:hAnsi="宋体" w:eastAsia="宋体" w:cs="宋体"/>
                <w:sz w:val="24"/>
                <w:szCs w:val="24"/>
                <w:lang w:val="en-US" w:eastAsia="zh-CN"/>
              </w:rPr>
              <w:t>GB 8430、</w:t>
            </w:r>
            <w:r>
              <w:rPr>
                <w:rFonts w:hint="eastAsia" w:ascii="宋体" w:hAnsi="宋体" w:eastAsia="宋体" w:cs="宋体"/>
                <w:sz w:val="24"/>
                <w:szCs w:val="24"/>
              </w:rPr>
              <w:t>PV 1303等</w:t>
            </w:r>
            <w:r>
              <w:rPr>
                <w:rFonts w:hint="eastAsia" w:ascii="宋体" w:hAnsi="宋体" w:eastAsia="宋体" w:cs="宋体"/>
                <w:sz w:val="24"/>
                <w:szCs w:val="24"/>
                <w:lang w:eastAsia="zh-CN"/>
              </w:rPr>
              <w:t>；</w:t>
            </w:r>
          </w:p>
          <w:p w14:paraId="4B675162">
            <w:pPr>
              <w:spacing w:line="360" w:lineRule="auto"/>
              <w:rPr>
                <w:rFonts w:hint="eastAsia" w:ascii="宋体" w:hAnsi="宋体" w:eastAsia="宋体" w:cs="宋体"/>
                <w:color w:val="auto"/>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光源：氙灯，灯管使用寿命≥3000h。如在使用寿命达到前非人为原因造成损坏或失效，则免费更换一支全新灯管</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供应商需提供灯管质保承诺函</w:t>
            </w:r>
            <w:r>
              <w:rPr>
                <w:rFonts w:hint="eastAsia" w:ascii="宋体" w:hAnsi="宋体" w:eastAsia="宋体" w:cs="宋体"/>
                <w:b/>
                <w:bCs/>
                <w:color w:val="auto"/>
                <w:sz w:val="24"/>
                <w:szCs w:val="24"/>
                <w:lang w:eastAsia="zh-CN"/>
              </w:rPr>
              <w:t>）</w:t>
            </w:r>
            <w:r>
              <w:rPr>
                <w:rFonts w:hint="eastAsia" w:ascii="宋体" w:hAnsi="宋体" w:eastAsia="宋体" w:cs="宋体"/>
                <w:color w:val="auto"/>
                <w:sz w:val="24"/>
                <w:szCs w:val="24"/>
                <w:lang w:eastAsia="zh-CN"/>
              </w:rPr>
              <w:t>；</w:t>
            </w:r>
          </w:p>
          <w:p w14:paraId="590314CE">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低能耗高效式光源：标准氙灯在100%功率输出条件下低于1880瓦</w:t>
            </w:r>
            <w:r>
              <w:rPr>
                <w:rFonts w:hint="eastAsia" w:ascii="宋体" w:hAnsi="宋体" w:eastAsia="宋体" w:cs="宋体"/>
                <w:sz w:val="24"/>
                <w:szCs w:val="24"/>
                <w:lang w:eastAsia="zh-CN"/>
              </w:rPr>
              <w:t>；</w:t>
            </w:r>
          </w:p>
          <w:p w14:paraId="3AA41322">
            <w:pPr>
              <w:spacing w:line="360" w:lineRule="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可最多配备三个独立的监控点：420nm辐照度监控探头，340nm辐照度监控探头，300～400nm辐照度监控探头，各监控探头具备独立的硬件实体，不是系统模拟转换</w:t>
            </w:r>
            <w:r>
              <w:rPr>
                <w:rFonts w:hint="eastAsia" w:ascii="宋体" w:hAnsi="宋体" w:eastAsia="宋体" w:cs="宋体"/>
                <w:sz w:val="24"/>
                <w:szCs w:val="24"/>
                <w:lang w:eastAsia="zh-CN"/>
              </w:rPr>
              <w:t>；</w:t>
            </w:r>
          </w:p>
          <w:p w14:paraId="75C82741">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辐照度控制系统应能随时监控光能变化并予以补偿，使试验在事先设定的光能（标准规定光能）下进行</w:t>
            </w:r>
            <w:r>
              <w:rPr>
                <w:rFonts w:hint="eastAsia" w:ascii="宋体" w:hAnsi="宋体" w:eastAsia="宋体" w:cs="宋体"/>
                <w:sz w:val="24"/>
                <w:szCs w:val="24"/>
                <w:lang w:eastAsia="zh-CN"/>
              </w:rPr>
              <w:t>；</w:t>
            </w:r>
          </w:p>
          <w:p w14:paraId="0C24D194">
            <w:pPr>
              <w:spacing w:line="360" w:lineRule="auto"/>
              <w:rPr>
                <w:rFonts w:hint="eastAsia" w:ascii="Times New Roman" w:hAnsi="宋体" w:eastAsia="宋体" w:cs="Times New Roman"/>
                <w:b/>
                <w:bCs/>
                <w:color w:val="auto"/>
                <w:kern w:val="2"/>
                <w:sz w:val="21"/>
                <w:szCs w:val="21"/>
                <w:lang w:val="en-US" w:eastAsia="zh-CN" w:bidi="ar-SA"/>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辐照度输出范围：0.45～1.7瓦/平方米(420nm)</w:t>
            </w:r>
            <w:r>
              <w:rPr>
                <w:rFonts w:hint="eastAsia" w:ascii="Times New Roman" w:hAnsi="宋体" w:eastAsia="宋体" w:cs="Times New Roman"/>
                <w:b/>
                <w:bCs/>
                <w:color w:val="auto"/>
                <w:kern w:val="2"/>
                <w:sz w:val="24"/>
                <w:szCs w:val="24"/>
                <w:lang w:val="en-US" w:eastAsia="zh-CN" w:bidi="ar-SA"/>
              </w:rPr>
              <w:t>（提供</w:t>
            </w:r>
            <w:r>
              <w:rPr>
                <w:rFonts w:hint="eastAsia" w:ascii="Times New Roman" w:cs="Times New Roman"/>
                <w:b/>
                <w:bCs/>
                <w:color w:val="auto"/>
                <w:kern w:val="2"/>
                <w:sz w:val="24"/>
                <w:szCs w:val="24"/>
                <w:lang w:val="en-US" w:eastAsia="zh-CN" w:bidi="ar-SA"/>
              </w:rPr>
              <w:t>第三方</w:t>
            </w:r>
            <w:r>
              <w:rPr>
                <w:rFonts w:hint="eastAsia" w:ascii="Times New Roman" w:hAnsi="宋体" w:eastAsia="宋体" w:cs="Times New Roman"/>
                <w:b/>
                <w:bCs/>
                <w:color w:val="auto"/>
                <w:kern w:val="2"/>
                <w:sz w:val="24"/>
                <w:szCs w:val="24"/>
                <w:lang w:val="en-US" w:eastAsia="zh-CN" w:bidi="ar-SA"/>
              </w:rPr>
              <w:t>检测报告</w:t>
            </w:r>
            <w:r>
              <w:rPr>
                <w:rFonts w:hint="eastAsia" w:ascii="Times New Roman" w:cs="Times New Roman"/>
                <w:b/>
                <w:bCs/>
                <w:color w:val="auto"/>
                <w:kern w:val="2"/>
                <w:sz w:val="24"/>
                <w:szCs w:val="24"/>
                <w:lang w:val="en-US" w:eastAsia="zh-CN" w:bidi="ar-SA"/>
              </w:rPr>
              <w:t>（具有CMA标识）</w:t>
            </w:r>
            <w:r>
              <w:rPr>
                <w:rFonts w:hint="eastAsia" w:ascii="Times New Roman" w:hAnsi="宋体" w:eastAsia="宋体" w:cs="Times New Roman"/>
                <w:b/>
                <w:bCs/>
                <w:color w:val="auto"/>
                <w:kern w:val="2"/>
                <w:sz w:val="24"/>
                <w:szCs w:val="24"/>
                <w:lang w:val="en-US" w:eastAsia="zh-CN" w:bidi="ar-SA"/>
              </w:rPr>
              <w:t>、官网资料截图</w:t>
            </w:r>
            <w:r>
              <w:rPr>
                <w:rFonts w:hint="eastAsia" w:hAnsi="宋体" w:cs="Times New Roman"/>
                <w:b/>
                <w:bCs/>
                <w:color w:val="auto"/>
                <w:kern w:val="2"/>
                <w:sz w:val="24"/>
                <w:szCs w:val="24"/>
                <w:lang w:val="en-US" w:eastAsia="zh-CN" w:bidi="ar-SA"/>
              </w:rPr>
              <w:t>、</w:t>
            </w:r>
            <w:r>
              <w:rPr>
                <w:rFonts w:hint="eastAsia" w:ascii="Times New Roman" w:hAnsi="宋体" w:eastAsia="宋体" w:cs="Times New Roman"/>
                <w:b/>
                <w:bCs/>
                <w:color w:val="auto"/>
                <w:kern w:val="2"/>
                <w:sz w:val="24"/>
                <w:szCs w:val="24"/>
                <w:lang w:val="en-US" w:eastAsia="zh-CN" w:bidi="ar-SA"/>
              </w:rPr>
              <w:t>产品彩页</w:t>
            </w:r>
            <w:r>
              <w:rPr>
                <w:rFonts w:hint="eastAsia" w:hAnsi="宋体" w:cs="Times New Roman"/>
                <w:b/>
                <w:bCs/>
                <w:color w:val="auto"/>
                <w:kern w:val="2"/>
                <w:sz w:val="24"/>
                <w:szCs w:val="24"/>
                <w:lang w:val="en-US" w:eastAsia="zh-CN" w:bidi="ar-SA"/>
              </w:rPr>
              <w:t>任意一种</w:t>
            </w:r>
            <w:r>
              <w:rPr>
                <w:rFonts w:hint="eastAsia" w:ascii="Times New Roman" w:hAnsi="宋体" w:eastAsia="宋体" w:cs="Times New Roman"/>
                <w:b/>
                <w:bCs/>
                <w:color w:val="auto"/>
                <w:kern w:val="2"/>
                <w:sz w:val="24"/>
                <w:szCs w:val="24"/>
                <w:lang w:val="en-US" w:eastAsia="zh-CN" w:bidi="ar-SA"/>
              </w:rPr>
              <w:t>佐证）</w:t>
            </w:r>
            <w:r>
              <w:rPr>
                <w:rFonts w:hint="eastAsia" w:cs="宋体"/>
                <w:sz w:val="24"/>
                <w:szCs w:val="24"/>
                <w:lang w:eastAsia="zh-CN"/>
              </w:rPr>
              <w:t>；</w:t>
            </w:r>
          </w:p>
          <w:p w14:paraId="1CABA13F">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辐照度回路校准仪可以定期对辐照度和温度控制系统进行计量校准，保证系统的准确度和重现性</w:t>
            </w:r>
            <w:r>
              <w:rPr>
                <w:rFonts w:hint="eastAsia" w:cs="宋体"/>
                <w:sz w:val="24"/>
                <w:szCs w:val="24"/>
                <w:lang w:eastAsia="zh-CN"/>
              </w:rPr>
              <w:t>；</w:t>
            </w:r>
          </w:p>
          <w:p w14:paraId="2A7801DF">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设备需配备辐照度校准系统，校准系统可简单快速校正机器的辐照强度，一键校准避免人为输入造成误差</w:t>
            </w:r>
            <w:r>
              <w:rPr>
                <w:rFonts w:hint="eastAsia" w:ascii="宋体" w:hAnsi="宋体" w:eastAsia="宋体" w:cs="宋体"/>
                <w:b/>
                <w:bCs/>
                <w:color w:val="auto"/>
                <w:kern w:val="2"/>
                <w:sz w:val="24"/>
                <w:szCs w:val="24"/>
                <w:lang w:val="en-US" w:eastAsia="zh-CN" w:bidi="ar-SA"/>
              </w:rPr>
              <w:t>（提供校准系统图片佐证）</w:t>
            </w:r>
            <w:r>
              <w:rPr>
                <w:rFonts w:hint="eastAsia" w:ascii="宋体" w:hAnsi="宋体" w:eastAsia="宋体" w:cs="宋体"/>
                <w:color w:val="auto"/>
                <w:sz w:val="24"/>
                <w:szCs w:val="24"/>
                <w:lang w:eastAsia="zh-CN"/>
              </w:rPr>
              <w:t>；</w:t>
            </w:r>
          </w:p>
          <w:p w14:paraId="4C096FB8">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能随时监控样品表面温度变化并予以补偿，保证被晒样品表面温度一致，黑标温度范围：40℃－105℃/光照循环。</w:t>
            </w:r>
          </w:p>
          <w:p w14:paraId="7D5DCBA9">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0</w:t>
            </w:r>
            <w:r>
              <w:rPr>
                <w:rFonts w:hint="eastAsia" w:ascii="宋体" w:hAnsi="宋体" w:eastAsia="宋体" w:cs="宋体"/>
                <w:sz w:val="24"/>
                <w:szCs w:val="24"/>
                <w:lang w:eastAsia="zh-CN"/>
              </w:rPr>
              <w:t>、</w:t>
            </w:r>
            <w:r>
              <w:rPr>
                <w:rFonts w:hint="eastAsia" w:ascii="宋体" w:hAnsi="宋体" w:eastAsia="宋体" w:cs="宋体"/>
                <w:sz w:val="24"/>
                <w:szCs w:val="24"/>
              </w:rPr>
              <w:t>随时监控湿度变化并予以补偿，保证实验的准确性及重现性；湿度控制范围：20％－95％</w:t>
            </w:r>
            <w:r>
              <w:rPr>
                <w:rFonts w:hint="eastAsia" w:ascii="宋体" w:hAnsi="宋体" w:eastAsia="宋体" w:cs="宋体"/>
                <w:sz w:val="24"/>
                <w:szCs w:val="24"/>
                <w:lang w:eastAsia="zh-CN"/>
              </w:rPr>
              <w:t>；</w:t>
            </w:r>
          </w:p>
          <w:p w14:paraId="7F2BD4F6">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随时监控测试箱体的温度变化并予以补偿，保证测试箱体的环境温度的稳定</w:t>
            </w:r>
            <w:r>
              <w:rPr>
                <w:rFonts w:hint="eastAsia" w:ascii="宋体" w:hAnsi="宋体" w:eastAsia="宋体" w:cs="宋体"/>
                <w:sz w:val="24"/>
                <w:szCs w:val="24"/>
                <w:lang w:eastAsia="zh-CN"/>
              </w:rPr>
              <w:t>；</w:t>
            </w:r>
          </w:p>
          <w:p w14:paraId="47A1F546">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处理器控制，可设定、控制、显示测试数据如：空气温度、黑标温度、黑板温度、相对湿度、辐射度等数据，可预先设定和自动操作标准测试方法，也可使用操作者设置的程序</w:t>
            </w:r>
            <w:r>
              <w:rPr>
                <w:rFonts w:hint="eastAsia" w:ascii="宋体" w:hAnsi="宋体" w:eastAsia="宋体" w:cs="宋体"/>
                <w:sz w:val="24"/>
                <w:szCs w:val="24"/>
                <w:lang w:eastAsia="zh-CN"/>
              </w:rPr>
              <w:t>；</w:t>
            </w:r>
          </w:p>
          <w:p w14:paraId="66150F30">
            <w:pPr>
              <w:spacing w:line="360" w:lineRule="auto"/>
              <w:rPr>
                <w:rFonts w:hint="eastAsia" w:ascii="宋体" w:hAnsi="宋体" w:eastAsia="宋体" w:cs="宋体"/>
                <w:i/>
                <w:iCs/>
                <w:sz w:val="24"/>
                <w:szCs w:val="24"/>
                <w:u w:val="single"/>
                <w:lang w:eastAsia="zh-CN"/>
              </w:rPr>
            </w:pPr>
            <w:r>
              <w:rPr>
                <w:rFonts w:hint="eastAsia" w:ascii="宋体" w:hAnsi="宋体" w:eastAsia="宋体" w:cs="宋体"/>
                <w:sz w:val="24"/>
                <w:szCs w:val="24"/>
                <w:lang w:val="en-US" w:eastAsia="zh-CN"/>
              </w:rPr>
              <w:t>■</w:t>
            </w:r>
            <w:r>
              <w:rPr>
                <w:rFonts w:hint="eastAsia" w:ascii="宋体" w:hAnsi="宋体" w:eastAsia="宋体" w:cs="宋体"/>
                <w:i w:val="0"/>
                <w:iCs w:val="0"/>
                <w:sz w:val="24"/>
                <w:szCs w:val="24"/>
                <w:u w:val="none"/>
              </w:rPr>
              <w:t>1</w:t>
            </w:r>
            <w:r>
              <w:rPr>
                <w:rFonts w:hint="eastAsia" w:ascii="宋体" w:hAnsi="宋体" w:eastAsia="宋体" w:cs="宋体"/>
                <w:i w:val="0"/>
                <w:iCs w:val="0"/>
                <w:sz w:val="24"/>
                <w:szCs w:val="24"/>
                <w:u w:val="none"/>
                <w:lang w:val="en-US" w:eastAsia="zh-CN"/>
              </w:rPr>
              <w:t>3</w:t>
            </w:r>
            <w:r>
              <w:rPr>
                <w:rFonts w:hint="eastAsia" w:ascii="宋体" w:hAnsi="宋体" w:eastAsia="宋体" w:cs="宋体"/>
                <w:i w:val="0"/>
                <w:iCs w:val="0"/>
                <w:sz w:val="24"/>
                <w:szCs w:val="24"/>
                <w:u w:val="none"/>
                <w:lang w:eastAsia="zh-CN"/>
              </w:rPr>
              <w:t>、</w:t>
            </w:r>
            <w:r>
              <w:rPr>
                <w:rFonts w:hint="eastAsia" w:ascii="宋体" w:hAnsi="宋体" w:eastAsia="宋体" w:cs="宋体"/>
                <w:i w:val="0"/>
                <w:iCs w:val="0"/>
                <w:sz w:val="24"/>
                <w:szCs w:val="24"/>
                <w:u w:val="none"/>
              </w:rPr>
              <w:t>实验数据可以通过数据线在线输出到外用电脑上，通过编辑软件供使用者分析留档。双液晶显示屏操作界面可以对测试程序进行编辑存储，控制面板可以连续显示试验的情况和进度。支持中文、英文等14种不同语言</w:t>
            </w:r>
            <w:r>
              <w:rPr>
                <w:rFonts w:hint="eastAsia" w:ascii="宋体" w:hAnsi="宋体" w:eastAsia="宋体" w:cs="宋体"/>
                <w:i w:val="0"/>
                <w:iCs w:val="0"/>
                <w:sz w:val="24"/>
                <w:szCs w:val="24"/>
                <w:u w:val="none"/>
                <w:lang w:eastAsia="zh-CN"/>
              </w:rPr>
              <w:t>；</w:t>
            </w:r>
          </w:p>
          <w:p w14:paraId="6A0AF979">
            <w:pPr>
              <w:spacing w:line="360" w:lineRule="auto"/>
              <w:rPr>
                <w:rFonts w:hint="eastAsia" w:ascii="宋体" w:hAnsi="宋体" w:eastAsia="宋体" w:cs="宋体"/>
                <w:i w:val="0"/>
                <w:iCs w:val="0"/>
                <w:sz w:val="24"/>
                <w:szCs w:val="24"/>
                <w:u w:val="none"/>
                <w:lang w:eastAsia="zh-CN"/>
              </w:rPr>
            </w:pPr>
            <w:r>
              <w:rPr>
                <w:rFonts w:hint="eastAsia" w:ascii="宋体" w:hAnsi="宋体" w:eastAsia="宋体" w:cs="宋体"/>
                <w:sz w:val="24"/>
                <w:szCs w:val="24"/>
                <w:lang w:val="en-US" w:eastAsia="zh-CN"/>
              </w:rPr>
              <w:t>■</w:t>
            </w:r>
            <w:r>
              <w:rPr>
                <w:rFonts w:hint="eastAsia" w:ascii="宋体" w:hAnsi="宋体" w:eastAsia="宋体" w:cs="宋体"/>
                <w:i w:val="0"/>
                <w:iCs w:val="0"/>
                <w:sz w:val="24"/>
                <w:szCs w:val="24"/>
                <w:u w:val="none"/>
              </w:rPr>
              <w:t>1</w:t>
            </w:r>
            <w:r>
              <w:rPr>
                <w:rFonts w:hint="eastAsia" w:ascii="宋体" w:hAnsi="宋体" w:eastAsia="宋体" w:cs="宋体"/>
                <w:i w:val="0"/>
                <w:iCs w:val="0"/>
                <w:sz w:val="24"/>
                <w:szCs w:val="24"/>
                <w:u w:val="none"/>
                <w:lang w:val="en-US" w:eastAsia="zh-CN"/>
              </w:rPr>
              <w:t>4</w:t>
            </w:r>
            <w:r>
              <w:rPr>
                <w:rFonts w:hint="eastAsia" w:ascii="宋体" w:hAnsi="宋体" w:eastAsia="宋体" w:cs="宋体"/>
                <w:i w:val="0"/>
                <w:iCs w:val="0"/>
                <w:sz w:val="24"/>
                <w:szCs w:val="24"/>
                <w:u w:val="none"/>
                <w:lang w:eastAsia="zh-CN"/>
              </w:rPr>
              <w:t>、</w:t>
            </w:r>
            <w:r>
              <w:rPr>
                <w:rFonts w:hint="eastAsia" w:ascii="宋体" w:hAnsi="宋体" w:eastAsia="宋体" w:cs="宋体"/>
                <w:i w:val="0"/>
                <w:iCs w:val="0"/>
                <w:sz w:val="24"/>
                <w:szCs w:val="24"/>
                <w:u w:val="none"/>
              </w:rPr>
              <w:t>可以兼容配备目前10种广泛使用的滤光片，满足不同标准的需求。包括但不限于：日光模拟滤光片、窗玻璃滤光片、紫外延展</w:t>
            </w:r>
            <w:r>
              <w:rPr>
                <w:rFonts w:hint="eastAsia" w:ascii="宋体" w:hAnsi="宋体" w:eastAsia="宋体" w:cs="宋体"/>
                <w:i w:val="0"/>
                <w:iCs w:val="0"/>
                <w:color w:val="auto"/>
                <w:sz w:val="24"/>
                <w:szCs w:val="24"/>
                <w:u w:val="none"/>
              </w:rPr>
              <w:t>滤光片等</w:t>
            </w:r>
            <w:r>
              <w:rPr>
                <w:rFonts w:hint="eastAsia" w:ascii="宋体" w:hAnsi="宋体" w:eastAsia="宋体" w:cs="宋体"/>
                <w:b/>
                <w:bCs/>
                <w:color w:val="auto"/>
                <w:kern w:val="2"/>
                <w:sz w:val="24"/>
                <w:szCs w:val="24"/>
                <w:lang w:val="en-US" w:eastAsia="zh-CN" w:bidi="ar-SA"/>
              </w:rPr>
              <w:t>（提供滤光片实物图片佐证）</w:t>
            </w:r>
            <w:r>
              <w:rPr>
                <w:rFonts w:hint="eastAsia" w:ascii="宋体" w:hAnsi="宋体" w:eastAsia="宋体" w:cs="宋体"/>
                <w:i w:val="0"/>
                <w:iCs w:val="0"/>
                <w:color w:val="auto"/>
                <w:sz w:val="24"/>
                <w:szCs w:val="24"/>
                <w:u w:val="none"/>
                <w:lang w:eastAsia="zh-CN"/>
              </w:rPr>
              <w:t>；</w:t>
            </w:r>
          </w:p>
          <w:p w14:paraId="561CF4D8">
            <w:pPr>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 xml:space="preserve">监测所有系统的状态和运行情况，进行自我诊断式的错误检查,具备断电自动重启功能，具备提醒日常维护信息或必要时执行安全关闭程序。 </w:t>
            </w:r>
          </w:p>
          <w:p w14:paraId="0DC0BAC7">
            <w:pPr>
              <w:spacing w:line="360" w:lineRule="auto"/>
              <w:rPr>
                <w:rFonts w:hint="eastAsia" w:ascii="宋体" w:hAnsi="宋体" w:eastAsia="宋体" w:cs="宋体"/>
                <w:b/>
                <w:sz w:val="24"/>
                <w:szCs w:val="24"/>
              </w:rPr>
            </w:pPr>
            <w:r>
              <w:rPr>
                <w:rFonts w:hint="eastAsia" w:ascii="宋体" w:hAnsi="宋体" w:eastAsia="宋体" w:cs="宋体"/>
                <w:b/>
                <w:sz w:val="24"/>
                <w:szCs w:val="24"/>
              </w:rPr>
              <w:t>配置</w:t>
            </w:r>
            <w:r>
              <w:rPr>
                <w:rFonts w:hint="eastAsia" w:ascii="宋体" w:hAnsi="宋体" w:eastAsia="宋体" w:cs="宋体"/>
                <w:b/>
                <w:sz w:val="24"/>
                <w:szCs w:val="24"/>
                <w:lang w:val="en-US" w:eastAsia="zh-CN"/>
              </w:rPr>
              <w:t>清单</w:t>
            </w:r>
            <w:r>
              <w:rPr>
                <w:rFonts w:hint="eastAsia" w:ascii="宋体" w:hAnsi="宋体" w:eastAsia="宋体" w:cs="宋体"/>
                <w:b/>
                <w:sz w:val="24"/>
                <w:szCs w:val="24"/>
              </w:rPr>
              <w:t>：</w:t>
            </w:r>
          </w:p>
          <w:p w14:paraId="69AAC62A">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日晒色牢度仪主机</w:t>
            </w:r>
            <w:r>
              <w:rPr>
                <w:rFonts w:hint="eastAsia" w:ascii="宋体" w:hAnsi="宋体" w:eastAsia="宋体" w:cs="宋体"/>
                <w:sz w:val="24"/>
                <w:szCs w:val="24"/>
                <w:lang w:eastAsia="zh-CN"/>
              </w:rPr>
              <w:t>：</w:t>
            </w:r>
            <w:r>
              <w:rPr>
                <w:rFonts w:hint="eastAsia" w:ascii="宋体" w:hAnsi="宋体" w:eastAsia="宋体" w:cs="宋体"/>
                <w:sz w:val="24"/>
                <w:szCs w:val="24"/>
              </w:rPr>
              <w:t>1台</w:t>
            </w:r>
            <w:r>
              <w:rPr>
                <w:rFonts w:hint="eastAsia" w:ascii="宋体" w:hAnsi="宋体" w:eastAsia="宋体" w:cs="宋体"/>
                <w:sz w:val="24"/>
                <w:szCs w:val="24"/>
                <w:lang w:eastAsia="zh-CN"/>
              </w:rPr>
              <w:t>；</w:t>
            </w:r>
          </w:p>
          <w:p w14:paraId="6E65E149">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氙灯灯管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rPr>
              <w:t>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1支装在设备内部，1支备用）</w:t>
            </w:r>
            <w:r>
              <w:rPr>
                <w:rFonts w:hint="eastAsia" w:ascii="宋体" w:hAnsi="宋体" w:eastAsia="宋体" w:cs="宋体"/>
                <w:sz w:val="24"/>
                <w:szCs w:val="24"/>
                <w:lang w:eastAsia="zh-CN"/>
              </w:rPr>
              <w:t>；</w:t>
            </w:r>
          </w:p>
          <w:p w14:paraId="14A69E6C">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旋转样品架</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可放置尺寸≥45mm×130mm样品31组</w:t>
            </w:r>
            <w:r>
              <w:rPr>
                <w:rFonts w:hint="eastAsia" w:ascii="宋体" w:hAnsi="宋体" w:eastAsia="宋体" w:cs="宋体"/>
                <w:sz w:val="24"/>
                <w:szCs w:val="24"/>
                <w:lang w:eastAsia="zh-CN"/>
              </w:rPr>
              <w:t>）：</w:t>
            </w:r>
            <w:r>
              <w:rPr>
                <w:rFonts w:hint="eastAsia" w:ascii="宋体" w:hAnsi="宋体" w:eastAsia="宋体" w:cs="宋体"/>
                <w:sz w:val="24"/>
                <w:szCs w:val="24"/>
              </w:rPr>
              <w:t>1套</w:t>
            </w:r>
            <w:r>
              <w:rPr>
                <w:rFonts w:hint="eastAsia" w:ascii="宋体" w:hAnsi="宋体" w:eastAsia="宋体" w:cs="宋体"/>
                <w:sz w:val="24"/>
                <w:szCs w:val="24"/>
                <w:lang w:eastAsia="zh-CN"/>
              </w:rPr>
              <w:t>；</w:t>
            </w:r>
          </w:p>
          <w:p w14:paraId="265671EB">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420nm监控点探测器</w:t>
            </w:r>
            <w:r>
              <w:rPr>
                <w:rFonts w:hint="eastAsia" w:ascii="宋体" w:hAnsi="宋体" w:eastAsia="宋体" w:cs="宋体"/>
                <w:sz w:val="24"/>
                <w:szCs w:val="24"/>
                <w:lang w:eastAsia="zh-CN"/>
              </w:rPr>
              <w:t>：</w:t>
            </w:r>
            <w:r>
              <w:rPr>
                <w:rFonts w:hint="eastAsia" w:ascii="宋体" w:hAnsi="宋体" w:eastAsia="宋体" w:cs="宋体"/>
                <w:sz w:val="24"/>
                <w:szCs w:val="24"/>
              </w:rPr>
              <w:t>1个</w:t>
            </w:r>
            <w:r>
              <w:rPr>
                <w:rFonts w:hint="eastAsia" w:ascii="宋体" w:hAnsi="宋体" w:eastAsia="宋体" w:cs="宋体"/>
                <w:sz w:val="24"/>
                <w:szCs w:val="24"/>
                <w:lang w:eastAsia="zh-CN"/>
              </w:rPr>
              <w:t>；</w:t>
            </w:r>
          </w:p>
          <w:p w14:paraId="125725F2">
            <w:pPr>
              <w:numPr>
                <w:ilvl w:val="0"/>
                <w:numId w:val="1"/>
              </w:num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ISO 105 B02滤光内外套筒</w:t>
            </w:r>
            <w:r>
              <w:rPr>
                <w:rFonts w:hint="eastAsia" w:ascii="宋体" w:hAnsi="宋体" w:eastAsia="宋体" w:cs="宋体"/>
                <w:sz w:val="24"/>
                <w:szCs w:val="24"/>
                <w:lang w:eastAsia="zh-CN"/>
              </w:rPr>
              <w:t>：</w:t>
            </w:r>
            <w:r>
              <w:rPr>
                <w:rFonts w:hint="eastAsia" w:ascii="宋体" w:hAnsi="宋体" w:eastAsia="宋体" w:cs="宋体"/>
                <w:sz w:val="24"/>
                <w:szCs w:val="24"/>
              </w:rPr>
              <w:t>1个</w:t>
            </w:r>
            <w:r>
              <w:rPr>
                <w:rFonts w:hint="eastAsia" w:ascii="宋体" w:hAnsi="宋体" w:eastAsia="宋体" w:cs="宋体"/>
                <w:sz w:val="24"/>
                <w:szCs w:val="24"/>
                <w:lang w:eastAsia="zh-CN"/>
              </w:rPr>
              <w:t>；</w:t>
            </w:r>
          </w:p>
          <w:p w14:paraId="5D846ABD">
            <w:pPr>
              <w:numPr>
                <w:ilvl w:val="0"/>
                <w:numId w:val="0"/>
              </w:num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黑标温度传感器</w:t>
            </w:r>
            <w:r>
              <w:rPr>
                <w:rFonts w:hint="eastAsia" w:ascii="宋体" w:hAnsi="宋体" w:eastAsia="宋体" w:cs="宋体"/>
                <w:sz w:val="24"/>
                <w:szCs w:val="24"/>
                <w:lang w:eastAsia="zh-CN"/>
              </w:rPr>
              <w:t>：</w:t>
            </w:r>
            <w:r>
              <w:rPr>
                <w:rFonts w:hint="eastAsia" w:ascii="宋体" w:hAnsi="宋体" w:eastAsia="宋体" w:cs="宋体"/>
                <w:sz w:val="24"/>
                <w:szCs w:val="24"/>
              </w:rPr>
              <w:t>1个</w:t>
            </w:r>
            <w:r>
              <w:rPr>
                <w:rFonts w:hint="eastAsia" w:ascii="宋体" w:hAnsi="宋体" w:eastAsia="宋体" w:cs="宋体"/>
                <w:sz w:val="24"/>
                <w:szCs w:val="24"/>
                <w:lang w:eastAsia="zh-CN"/>
              </w:rPr>
              <w:t>；</w:t>
            </w:r>
          </w:p>
          <w:p w14:paraId="759774D8">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辐照度智能校准感应器420</w:t>
            </w:r>
            <w:r>
              <w:rPr>
                <w:rFonts w:hint="eastAsia" w:ascii="宋体" w:hAnsi="宋体" w:eastAsia="宋体" w:cs="宋体"/>
                <w:sz w:val="24"/>
                <w:szCs w:val="24"/>
                <w:lang w:eastAsia="zh-CN"/>
              </w:rPr>
              <w:t>：</w:t>
            </w:r>
            <w:r>
              <w:rPr>
                <w:rFonts w:hint="eastAsia" w:ascii="宋体" w:hAnsi="宋体" w:eastAsia="宋体" w:cs="宋体"/>
                <w:sz w:val="24"/>
                <w:szCs w:val="24"/>
              </w:rPr>
              <w:t>1个</w:t>
            </w:r>
            <w:r>
              <w:rPr>
                <w:rFonts w:hint="eastAsia" w:ascii="宋体" w:hAnsi="宋体" w:eastAsia="宋体" w:cs="宋体"/>
                <w:sz w:val="24"/>
                <w:szCs w:val="24"/>
                <w:lang w:eastAsia="zh-CN"/>
              </w:rPr>
              <w:t>；</w:t>
            </w:r>
          </w:p>
          <w:p w14:paraId="30ECA42E">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1/3、2/3 ISO样品短金属压板</w:t>
            </w:r>
            <w:r>
              <w:rPr>
                <w:rFonts w:hint="eastAsia" w:ascii="宋体" w:hAnsi="宋体" w:eastAsia="宋体" w:cs="宋体"/>
                <w:sz w:val="24"/>
                <w:szCs w:val="24"/>
                <w:lang w:eastAsia="zh-CN"/>
              </w:rPr>
              <w:t>：</w:t>
            </w:r>
            <w:r>
              <w:rPr>
                <w:rFonts w:hint="eastAsia" w:ascii="宋体" w:hAnsi="宋体" w:eastAsia="宋体" w:cs="宋体"/>
                <w:sz w:val="24"/>
                <w:szCs w:val="24"/>
              </w:rPr>
              <w:t>1套</w:t>
            </w:r>
            <w:r>
              <w:rPr>
                <w:rFonts w:hint="eastAsia" w:ascii="宋体" w:hAnsi="宋体" w:eastAsia="宋体" w:cs="宋体"/>
                <w:sz w:val="24"/>
                <w:szCs w:val="24"/>
                <w:lang w:eastAsia="zh-CN"/>
              </w:rPr>
              <w:t>；</w:t>
            </w:r>
          </w:p>
          <w:p w14:paraId="284EB42A">
            <w:pPr>
              <w:spacing w:line="360" w:lineRule="auto"/>
              <w:jc w:val="both"/>
              <w:rPr>
                <w:rFonts w:hint="eastAsia" w:ascii="宋体" w:hAnsi="宋体" w:eastAsia="宋体" w:cs="宋体"/>
                <w:color w:val="FF0000"/>
                <w:sz w:val="24"/>
                <w:szCs w:val="24"/>
                <w:highlight w:val="none"/>
                <w:lang w:eastAsia="zh-CN"/>
              </w:rPr>
            </w:pP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可清洗空气过滤网(2片/组)</w:t>
            </w:r>
            <w:r>
              <w:rPr>
                <w:rFonts w:hint="eastAsia" w:ascii="宋体" w:hAnsi="宋体" w:eastAsia="宋体" w:cs="宋体"/>
                <w:sz w:val="24"/>
                <w:szCs w:val="24"/>
                <w:lang w:eastAsia="zh-CN"/>
              </w:rPr>
              <w:t>：</w:t>
            </w:r>
            <w:r>
              <w:rPr>
                <w:rFonts w:hint="eastAsia" w:ascii="宋体" w:hAnsi="宋体" w:eastAsia="宋体" w:cs="宋体"/>
                <w:sz w:val="24"/>
                <w:szCs w:val="24"/>
              </w:rPr>
              <w:t>1组</w:t>
            </w:r>
            <w:r>
              <w:rPr>
                <w:rFonts w:hint="eastAsia" w:ascii="宋体" w:hAnsi="宋体" w:eastAsia="宋体" w:cs="宋体"/>
                <w:sz w:val="24"/>
                <w:szCs w:val="24"/>
                <w:lang w:eastAsia="zh-CN"/>
              </w:rPr>
              <w:t>。</w:t>
            </w:r>
          </w:p>
        </w:tc>
        <w:tc>
          <w:tcPr>
            <w:tcW w:w="227" w:type="pct"/>
            <w:vAlign w:val="center"/>
          </w:tcPr>
          <w:p w14:paraId="34022E6E">
            <w:pPr>
              <w:spacing w:line="360" w:lineRule="auto"/>
              <w:jc w:val="center"/>
              <w:rPr>
                <w:rFonts w:hint="eastAsia" w:ascii="宋体" w:hAnsi="宋体" w:eastAsia="宋体" w:cs="宋体"/>
                <w:bCs/>
                <w:color w:val="auto"/>
                <w:sz w:val="24"/>
                <w:szCs w:val="24"/>
                <w:highlight w:val="none"/>
              </w:rPr>
            </w:pPr>
            <w:bookmarkStart w:id="6" w:name="OLE_LINK10"/>
            <w:bookmarkStart w:id="7" w:name="OLE_LINK9"/>
            <w:bookmarkStart w:id="8" w:name="OLE_LINK6"/>
            <w:r>
              <w:rPr>
                <w:rFonts w:hint="eastAsia" w:ascii="宋体" w:hAnsi="宋体" w:eastAsia="宋体" w:cs="宋体"/>
                <w:bCs/>
                <w:color w:val="auto"/>
                <w:sz w:val="24"/>
                <w:szCs w:val="24"/>
                <w:highlight w:val="none"/>
              </w:rPr>
              <w:t>1</w:t>
            </w:r>
            <w:r>
              <w:rPr>
                <w:rFonts w:hint="eastAsia" w:ascii="宋体" w:hAnsi="宋体" w:eastAsia="宋体" w:cs="宋体"/>
                <w:color w:val="auto"/>
                <w:kern w:val="0"/>
                <w:sz w:val="24"/>
                <w:szCs w:val="24"/>
                <w:highlight w:val="none"/>
              </w:rPr>
              <w:t>台</w:t>
            </w:r>
          </w:p>
          <w:bookmarkEnd w:id="6"/>
          <w:bookmarkEnd w:id="7"/>
          <w:bookmarkEnd w:id="8"/>
          <w:p w14:paraId="6BDFD647">
            <w:pPr>
              <w:spacing w:line="360" w:lineRule="auto"/>
              <w:jc w:val="center"/>
              <w:rPr>
                <w:rFonts w:hint="eastAsia" w:ascii="宋体" w:hAnsi="宋体" w:eastAsia="宋体" w:cs="宋体"/>
                <w:bCs/>
                <w:color w:val="auto"/>
                <w:sz w:val="24"/>
                <w:szCs w:val="24"/>
                <w:highlight w:val="none"/>
              </w:rPr>
            </w:pPr>
          </w:p>
        </w:tc>
        <w:tc>
          <w:tcPr>
            <w:tcW w:w="378" w:type="pct"/>
            <w:vAlign w:val="center"/>
          </w:tcPr>
          <w:p w14:paraId="025D23BD">
            <w:pPr>
              <w:spacing w:line="360" w:lineRule="auto"/>
              <w:jc w:val="center"/>
              <w:textAlignment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工业</w:t>
            </w:r>
          </w:p>
        </w:tc>
        <w:tc>
          <w:tcPr>
            <w:tcW w:w="355" w:type="pct"/>
            <w:vAlign w:val="center"/>
          </w:tcPr>
          <w:p w14:paraId="2C8B29C6">
            <w:pPr>
              <w:spacing w:line="360" w:lineRule="auto"/>
              <w:jc w:val="center"/>
              <w:textAlignment w:val="center"/>
              <w:rPr>
                <w:rFonts w:hint="eastAsia" w:ascii="宋体" w:hAnsi="宋体" w:eastAsia="宋体" w:cs="宋体"/>
                <w:bCs/>
                <w:color w:val="FF0000"/>
                <w:sz w:val="24"/>
                <w:szCs w:val="24"/>
                <w:highlight w:val="none"/>
                <w:lang w:val="en-US" w:eastAsia="zh-CN"/>
              </w:rPr>
            </w:pPr>
          </w:p>
        </w:tc>
      </w:tr>
    </w:tbl>
    <w:p w14:paraId="76353EAE">
      <w:pPr>
        <w:spacing w:line="360" w:lineRule="auto"/>
        <w:ind w:firstLine="437"/>
        <w:outlineLvl w:val="1"/>
        <w:rPr>
          <w:rFonts w:hint="eastAsia" w:ascii="宋体" w:hAnsi="宋体" w:eastAsia="宋体" w:cs="宋体"/>
          <w:b/>
          <w:color w:val="auto"/>
          <w:kern w:val="0"/>
          <w:sz w:val="24"/>
          <w:szCs w:val="18"/>
          <w:highlight w:val="none"/>
        </w:rPr>
      </w:pPr>
      <w:r>
        <w:rPr>
          <w:rFonts w:hint="eastAsia" w:ascii="宋体" w:hAnsi="宋体" w:eastAsia="宋体" w:cs="宋体"/>
          <w:b/>
          <w:color w:val="auto"/>
          <w:kern w:val="0"/>
          <w:sz w:val="24"/>
          <w:szCs w:val="18"/>
          <w:highlight w:val="none"/>
        </w:rPr>
        <w:t>三、安装调试、质保及售后服务要求</w:t>
      </w:r>
    </w:p>
    <w:p w14:paraId="1ABC3CC0">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1. 供应商需负责设备的安装、调试及操作培训，确保设备正常运行；</w:t>
      </w:r>
    </w:p>
    <w:p w14:paraId="4EF756A4">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cs="宋体"/>
          <w:b w:val="0"/>
          <w:bCs/>
          <w:color w:val="auto"/>
          <w:kern w:val="0"/>
          <w:sz w:val="24"/>
          <w:szCs w:val="18"/>
          <w:highlight w:val="none"/>
          <w:lang w:val="en-US" w:eastAsia="zh-CN"/>
        </w:rPr>
        <w:t>2</w:t>
      </w:r>
      <w:r>
        <w:rPr>
          <w:rFonts w:hint="eastAsia" w:ascii="宋体" w:hAnsi="宋体" w:eastAsia="宋体" w:cs="宋体"/>
          <w:b w:val="0"/>
          <w:bCs/>
          <w:color w:val="auto"/>
          <w:kern w:val="0"/>
          <w:sz w:val="24"/>
          <w:szCs w:val="18"/>
          <w:highlight w:val="none"/>
        </w:rPr>
        <w:t>. 质保期内提供免费维修服务，包括零部件更换；</w:t>
      </w:r>
    </w:p>
    <w:p w14:paraId="7CAA69D1">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cs="宋体"/>
          <w:b w:val="0"/>
          <w:bCs/>
          <w:color w:val="auto"/>
          <w:kern w:val="0"/>
          <w:sz w:val="24"/>
          <w:szCs w:val="18"/>
          <w:highlight w:val="none"/>
          <w:lang w:val="en-US" w:eastAsia="zh-CN"/>
        </w:rPr>
        <w:t>3</w:t>
      </w:r>
      <w:r>
        <w:rPr>
          <w:rFonts w:hint="eastAsia" w:ascii="宋体" w:hAnsi="宋体" w:eastAsia="宋体" w:cs="宋体"/>
          <w:b w:val="0"/>
          <w:bCs/>
          <w:color w:val="auto"/>
          <w:kern w:val="0"/>
          <w:sz w:val="24"/>
          <w:szCs w:val="18"/>
          <w:highlight w:val="none"/>
        </w:rPr>
        <w:t>. 提供7×24小时技术支持热线，故障响应时间不超过4小时，如需现场维修，维修人员应在24小时内到达现场；</w:t>
      </w:r>
    </w:p>
    <w:p w14:paraId="6287FF4D">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cs="宋体"/>
          <w:b w:val="0"/>
          <w:bCs/>
          <w:color w:val="auto"/>
          <w:kern w:val="0"/>
          <w:sz w:val="24"/>
          <w:szCs w:val="18"/>
          <w:highlight w:val="none"/>
          <w:lang w:val="en-US" w:eastAsia="zh-CN"/>
        </w:rPr>
        <w:t>4</w:t>
      </w:r>
      <w:r>
        <w:rPr>
          <w:rFonts w:hint="eastAsia" w:ascii="宋体" w:hAnsi="宋体" w:eastAsia="宋体" w:cs="宋体"/>
          <w:b w:val="0"/>
          <w:bCs/>
          <w:color w:val="auto"/>
          <w:kern w:val="0"/>
          <w:sz w:val="24"/>
          <w:szCs w:val="18"/>
          <w:highlight w:val="none"/>
        </w:rPr>
        <w:t>. 免费提供至少1次的操作培训服务，确保教师能够熟练使用设备。</w:t>
      </w:r>
    </w:p>
    <w:p w14:paraId="0D69808B">
      <w:pPr>
        <w:numPr>
          <w:ilvl w:val="0"/>
          <w:numId w:val="0"/>
        </w:numPr>
        <w:spacing w:line="360" w:lineRule="auto"/>
        <w:ind w:firstLine="437" w:firstLineChars="0"/>
        <w:outlineLvl w:val="1"/>
        <w:rPr>
          <w:rFonts w:hint="eastAsia" w:ascii="宋体" w:hAnsi="宋体" w:eastAsia="宋体" w:cs="宋体"/>
          <w:b/>
          <w:color w:val="auto"/>
          <w:kern w:val="0"/>
          <w:sz w:val="24"/>
          <w:szCs w:val="18"/>
          <w:highlight w:val="none"/>
        </w:rPr>
      </w:pPr>
      <w:r>
        <w:rPr>
          <w:rFonts w:hint="eastAsia" w:ascii="宋体" w:hAnsi="宋体" w:eastAsia="宋体" w:cs="宋体"/>
          <w:b/>
          <w:color w:val="auto"/>
          <w:kern w:val="0"/>
          <w:sz w:val="24"/>
          <w:szCs w:val="18"/>
          <w:highlight w:val="none"/>
        </w:rPr>
        <w:t>四、报价要求</w:t>
      </w:r>
    </w:p>
    <w:p w14:paraId="6E765280">
      <w:pPr>
        <w:spacing w:line="360" w:lineRule="auto"/>
        <w:ind w:firstLine="437"/>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本项目报总价，报价为完成本项目所需产品成本、辅材费、运输费、人工费、装卸费、安装调试费、培训费、包装物清除费及各种应纳的税费等完成本项目所需的全部费用，采购人后期不追加费用。</w:t>
      </w:r>
    </w:p>
    <w:p w14:paraId="0E7B46F2">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color w:val="000000" w:themeColor="text1"/>
          <w14:textFill>
            <w14:solidFill>
              <w14:schemeClr w14:val="tx1"/>
            </w14:solidFill>
          </w14:textFill>
        </w:rPr>
      </w:pPr>
    </w:p>
    <w:sectPr>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646785-2770-4876-94E1-A2F9F3F66267}"/>
  </w:font>
  <w:font w:name="Arial">
    <w:panose1 w:val="020B0604020202020204"/>
    <w:charset w:val="01"/>
    <w:family w:val="swiss"/>
    <w:pitch w:val="default"/>
    <w:sig w:usb0="E0002EFF" w:usb1="C000785B" w:usb2="00000009" w:usb3="00000000" w:csb0="400001FF" w:csb1="FFFF0000"/>
    <w:embedRegular r:id="rId2" w:fontKey="{6617918A-AF87-4249-A38C-FFFBB83FC80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70D3DAB-3ED1-4823-9111-685A0F51BCA2}"/>
  </w:font>
  <w:font w:name="Symbol">
    <w:panose1 w:val="05050102010706020507"/>
    <w:charset w:val="02"/>
    <w:family w:val="roman"/>
    <w:pitch w:val="default"/>
    <w:sig w:usb0="00000000" w:usb1="00000000" w:usb2="00000000" w:usb3="00000000" w:csb0="80000000" w:csb1="00000000"/>
    <w:embedRegular r:id="rId4" w:fontKey="{D5B227BF-03C0-4B1E-BF92-0F41103ACD60}"/>
  </w:font>
  <w:font w:name="Calibri">
    <w:panose1 w:val="020F0502020204030204"/>
    <w:charset w:val="00"/>
    <w:family w:val="swiss"/>
    <w:pitch w:val="default"/>
    <w:sig w:usb0="E4002EFF" w:usb1="C000247B" w:usb2="00000009" w:usb3="00000000" w:csb0="200001FF" w:csb1="00000000"/>
    <w:embedRegular r:id="rId5" w:fontKey="{DD4CA753-E049-4418-8297-D736E8A9AADA}"/>
  </w:font>
  <w:font w:name="等线">
    <w:panose1 w:val="02010600030101010101"/>
    <w:charset w:val="86"/>
    <w:family w:val="auto"/>
    <w:pitch w:val="default"/>
    <w:sig w:usb0="A00002BF" w:usb1="38CF7CFA" w:usb2="00000016" w:usb3="00000000" w:csb0="0004000F" w:csb1="00000000"/>
    <w:embedRegular r:id="rId6" w:fontKey="{CAA97E16-88C8-44DC-B234-633C0849AB2F}"/>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44452E"/>
    <w:multiLevelType w:val="singleLevel"/>
    <w:tmpl w:val="1F44452E"/>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3C3"/>
    <w:rsid w:val="00001559"/>
    <w:rsid w:val="000049FE"/>
    <w:rsid w:val="00017671"/>
    <w:rsid w:val="00021A41"/>
    <w:rsid w:val="00044493"/>
    <w:rsid w:val="000504C1"/>
    <w:rsid w:val="00054E9C"/>
    <w:rsid w:val="00056AD5"/>
    <w:rsid w:val="00083ED3"/>
    <w:rsid w:val="00091040"/>
    <w:rsid w:val="000970BB"/>
    <w:rsid w:val="000A395D"/>
    <w:rsid w:val="000B1165"/>
    <w:rsid w:val="000B29FD"/>
    <w:rsid w:val="000B3A31"/>
    <w:rsid w:val="000B6A41"/>
    <w:rsid w:val="000B7BA9"/>
    <w:rsid w:val="000F6641"/>
    <w:rsid w:val="00116792"/>
    <w:rsid w:val="0012393D"/>
    <w:rsid w:val="001378DB"/>
    <w:rsid w:val="00146119"/>
    <w:rsid w:val="001479FD"/>
    <w:rsid w:val="00162560"/>
    <w:rsid w:val="00191159"/>
    <w:rsid w:val="00196F1D"/>
    <w:rsid w:val="001B7129"/>
    <w:rsid w:val="001B735F"/>
    <w:rsid w:val="001E0218"/>
    <w:rsid w:val="001E0DE9"/>
    <w:rsid w:val="001E1B2F"/>
    <w:rsid w:val="001E5E28"/>
    <w:rsid w:val="00203D9E"/>
    <w:rsid w:val="0027671B"/>
    <w:rsid w:val="00281EE0"/>
    <w:rsid w:val="002873F5"/>
    <w:rsid w:val="002A4919"/>
    <w:rsid w:val="002B4A7C"/>
    <w:rsid w:val="002B7B76"/>
    <w:rsid w:val="002E77CD"/>
    <w:rsid w:val="00306710"/>
    <w:rsid w:val="00334F39"/>
    <w:rsid w:val="00352686"/>
    <w:rsid w:val="00364CBD"/>
    <w:rsid w:val="003774D9"/>
    <w:rsid w:val="0039208F"/>
    <w:rsid w:val="003D610D"/>
    <w:rsid w:val="003E74C5"/>
    <w:rsid w:val="003F2105"/>
    <w:rsid w:val="003F41D4"/>
    <w:rsid w:val="004022FE"/>
    <w:rsid w:val="004042DB"/>
    <w:rsid w:val="00435F1C"/>
    <w:rsid w:val="00446D37"/>
    <w:rsid w:val="00462771"/>
    <w:rsid w:val="004677F0"/>
    <w:rsid w:val="004A2CEC"/>
    <w:rsid w:val="004A7C83"/>
    <w:rsid w:val="004B4104"/>
    <w:rsid w:val="004D3182"/>
    <w:rsid w:val="004D362D"/>
    <w:rsid w:val="004D73F5"/>
    <w:rsid w:val="004E7F3C"/>
    <w:rsid w:val="004F2E7E"/>
    <w:rsid w:val="004F5478"/>
    <w:rsid w:val="004F7131"/>
    <w:rsid w:val="00516B2E"/>
    <w:rsid w:val="00561EBD"/>
    <w:rsid w:val="00567DB9"/>
    <w:rsid w:val="005928C6"/>
    <w:rsid w:val="005A6E30"/>
    <w:rsid w:val="005F1D26"/>
    <w:rsid w:val="00604B91"/>
    <w:rsid w:val="00630CEF"/>
    <w:rsid w:val="006424D9"/>
    <w:rsid w:val="006501DC"/>
    <w:rsid w:val="00650588"/>
    <w:rsid w:val="00655A73"/>
    <w:rsid w:val="00674921"/>
    <w:rsid w:val="00674A6E"/>
    <w:rsid w:val="0067735C"/>
    <w:rsid w:val="00684668"/>
    <w:rsid w:val="00686212"/>
    <w:rsid w:val="00692046"/>
    <w:rsid w:val="006A19C3"/>
    <w:rsid w:val="006B1F26"/>
    <w:rsid w:val="006E29C7"/>
    <w:rsid w:val="006F2F8B"/>
    <w:rsid w:val="0070595D"/>
    <w:rsid w:val="00717C7D"/>
    <w:rsid w:val="0076026F"/>
    <w:rsid w:val="007712B4"/>
    <w:rsid w:val="007864F1"/>
    <w:rsid w:val="007A3EC7"/>
    <w:rsid w:val="007A46E7"/>
    <w:rsid w:val="007A5F0E"/>
    <w:rsid w:val="007D5192"/>
    <w:rsid w:val="007E66B1"/>
    <w:rsid w:val="00823ACB"/>
    <w:rsid w:val="00827F27"/>
    <w:rsid w:val="00832CAC"/>
    <w:rsid w:val="008405E2"/>
    <w:rsid w:val="00846DBF"/>
    <w:rsid w:val="00847271"/>
    <w:rsid w:val="00852B70"/>
    <w:rsid w:val="0086187B"/>
    <w:rsid w:val="008714AC"/>
    <w:rsid w:val="008741E6"/>
    <w:rsid w:val="008821B5"/>
    <w:rsid w:val="00882E96"/>
    <w:rsid w:val="00890766"/>
    <w:rsid w:val="00891A42"/>
    <w:rsid w:val="008A042D"/>
    <w:rsid w:val="008C0A68"/>
    <w:rsid w:val="008C54EB"/>
    <w:rsid w:val="008D600B"/>
    <w:rsid w:val="008E6078"/>
    <w:rsid w:val="008F2589"/>
    <w:rsid w:val="00903EA9"/>
    <w:rsid w:val="0090462D"/>
    <w:rsid w:val="009055D5"/>
    <w:rsid w:val="0090607C"/>
    <w:rsid w:val="0095626A"/>
    <w:rsid w:val="009652D7"/>
    <w:rsid w:val="0097153F"/>
    <w:rsid w:val="0098217F"/>
    <w:rsid w:val="009A060F"/>
    <w:rsid w:val="009A20FA"/>
    <w:rsid w:val="009B1DE1"/>
    <w:rsid w:val="009B29C2"/>
    <w:rsid w:val="009E2957"/>
    <w:rsid w:val="009F14FA"/>
    <w:rsid w:val="00A106C9"/>
    <w:rsid w:val="00A20C21"/>
    <w:rsid w:val="00A35D6B"/>
    <w:rsid w:val="00A42F38"/>
    <w:rsid w:val="00A57CF2"/>
    <w:rsid w:val="00A63028"/>
    <w:rsid w:val="00A97E1D"/>
    <w:rsid w:val="00AC05ED"/>
    <w:rsid w:val="00AE455C"/>
    <w:rsid w:val="00AF30BE"/>
    <w:rsid w:val="00B13E7F"/>
    <w:rsid w:val="00B2504A"/>
    <w:rsid w:val="00B36D96"/>
    <w:rsid w:val="00B45C48"/>
    <w:rsid w:val="00B82DC8"/>
    <w:rsid w:val="00B85B7C"/>
    <w:rsid w:val="00B96E74"/>
    <w:rsid w:val="00BA485E"/>
    <w:rsid w:val="00BB59C0"/>
    <w:rsid w:val="00BC5E7A"/>
    <w:rsid w:val="00BD74A1"/>
    <w:rsid w:val="00BE3076"/>
    <w:rsid w:val="00BE443A"/>
    <w:rsid w:val="00BF1AF2"/>
    <w:rsid w:val="00C21300"/>
    <w:rsid w:val="00C353F2"/>
    <w:rsid w:val="00C45F24"/>
    <w:rsid w:val="00C51098"/>
    <w:rsid w:val="00C525FE"/>
    <w:rsid w:val="00C53947"/>
    <w:rsid w:val="00C76269"/>
    <w:rsid w:val="00C8120F"/>
    <w:rsid w:val="00C84941"/>
    <w:rsid w:val="00C86A43"/>
    <w:rsid w:val="00C92EAC"/>
    <w:rsid w:val="00CA221C"/>
    <w:rsid w:val="00CA23C3"/>
    <w:rsid w:val="00CA4EA3"/>
    <w:rsid w:val="00CA5E37"/>
    <w:rsid w:val="00CB040F"/>
    <w:rsid w:val="00CC770B"/>
    <w:rsid w:val="00CF2877"/>
    <w:rsid w:val="00CF789B"/>
    <w:rsid w:val="00D02196"/>
    <w:rsid w:val="00D112D0"/>
    <w:rsid w:val="00D20DFF"/>
    <w:rsid w:val="00D2396A"/>
    <w:rsid w:val="00D3387E"/>
    <w:rsid w:val="00D40FC0"/>
    <w:rsid w:val="00D425C1"/>
    <w:rsid w:val="00D56F10"/>
    <w:rsid w:val="00D72A09"/>
    <w:rsid w:val="00D85C43"/>
    <w:rsid w:val="00D94319"/>
    <w:rsid w:val="00DA37CC"/>
    <w:rsid w:val="00DB24AD"/>
    <w:rsid w:val="00DD2D88"/>
    <w:rsid w:val="00DD41FC"/>
    <w:rsid w:val="00DF293B"/>
    <w:rsid w:val="00E13DCB"/>
    <w:rsid w:val="00E57543"/>
    <w:rsid w:val="00E74245"/>
    <w:rsid w:val="00E76864"/>
    <w:rsid w:val="00E77F13"/>
    <w:rsid w:val="00E84DD9"/>
    <w:rsid w:val="00EB2291"/>
    <w:rsid w:val="00EB6BEE"/>
    <w:rsid w:val="00EC446B"/>
    <w:rsid w:val="00ED5F8E"/>
    <w:rsid w:val="00EE5544"/>
    <w:rsid w:val="00EF2B95"/>
    <w:rsid w:val="00F047F9"/>
    <w:rsid w:val="00F159C1"/>
    <w:rsid w:val="00F35D1C"/>
    <w:rsid w:val="00F45C56"/>
    <w:rsid w:val="00F720A2"/>
    <w:rsid w:val="00F763D0"/>
    <w:rsid w:val="00F8459C"/>
    <w:rsid w:val="00F92081"/>
    <w:rsid w:val="00F941D7"/>
    <w:rsid w:val="00FC6379"/>
    <w:rsid w:val="00FD477E"/>
    <w:rsid w:val="00FE1C65"/>
    <w:rsid w:val="07787E99"/>
    <w:rsid w:val="0AB12223"/>
    <w:rsid w:val="0E660CC9"/>
    <w:rsid w:val="1604242C"/>
    <w:rsid w:val="17495663"/>
    <w:rsid w:val="19237BDF"/>
    <w:rsid w:val="253170E8"/>
    <w:rsid w:val="27FC2593"/>
    <w:rsid w:val="289626AE"/>
    <w:rsid w:val="2AA406FD"/>
    <w:rsid w:val="3D230717"/>
    <w:rsid w:val="48D03332"/>
    <w:rsid w:val="48E2105C"/>
    <w:rsid w:val="507C14B9"/>
    <w:rsid w:val="52666914"/>
    <w:rsid w:val="53874198"/>
    <w:rsid w:val="58016235"/>
    <w:rsid w:val="5A696437"/>
    <w:rsid w:val="5F044A6E"/>
    <w:rsid w:val="5FAF18FA"/>
    <w:rsid w:val="5FB22810"/>
    <w:rsid w:val="60594199"/>
    <w:rsid w:val="61EE3DCB"/>
    <w:rsid w:val="6370608E"/>
    <w:rsid w:val="6A8C71AD"/>
    <w:rsid w:val="6E977295"/>
    <w:rsid w:val="6EED01A5"/>
    <w:rsid w:val="7052180C"/>
    <w:rsid w:val="709F1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link w:val="15"/>
    <w:qFormat/>
    <w:uiPriority w:val="9"/>
    <w:pPr>
      <w:spacing w:before="100" w:beforeAutospacing="1" w:after="100" w:afterAutospacing="1"/>
      <w:outlineLvl w:val="0"/>
    </w:pPr>
    <w:rPr>
      <w:b/>
      <w:bCs/>
      <w:kern w:val="36"/>
      <w:sz w:val="48"/>
      <w:szCs w:val="48"/>
    </w:rPr>
  </w:style>
  <w:style w:type="paragraph" w:styleId="3">
    <w:name w:val="heading 4"/>
    <w:basedOn w:val="1"/>
    <w:next w:val="1"/>
    <w:link w:val="16"/>
    <w:qFormat/>
    <w:uiPriority w:val="9"/>
    <w:pPr>
      <w:spacing w:before="100" w:beforeAutospacing="1" w:after="100" w:afterAutospacing="1"/>
      <w:outlineLvl w:val="3"/>
    </w:pPr>
    <w:rPr>
      <w:b/>
      <w:bCs/>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semiHidden/>
    <w:unhideWhenUsed/>
    <w:qFormat/>
    <w:uiPriority w:val="99"/>
  </w:style>
  <w:style w:type="paragraph" w:styleId="5">
    <w:name w:val="Body Text"/>
    <w:basedOn w:val="1"/>
    <w:next w:val="1"/>
    <w:semiHidden/>
    <w:qFormat/>
    <w:uiPriority w:val="0"/>
    <w:rPr>
      <w:rFonts w:ascii="宋体" w:hAnsi="宋体" w:eastAsia="宋体" w:cs="宋体"/>
      <w:sz w:val="24"/>
      <w:szCs w:val="24"/>
      <w:lang w:val="en-US" w:eastAsia="en-US" w:bidi="ar-SA"/>
    </w:rPr>
  </w:style>
  <w:style w:type="paragraph" w:styleId="6">
    <w:name w:val="footer"/>
    <w:basedOn w:val="1"/>
    <w:link w:val="25"/>
    <w:unhideWhenUsed/>
    <w:qFormat/>
    <w:uiPriority w:val="99"/>
    <w:pPr>
      <w:tabs>
        <w:tab w:val="center" w:pos="4153"/>
        <w:tab w:val="right" w:pos="8306"/>
      </w:tabs>
      <w:snapToGrid w:val="0"/>
    </w:pPr>
    <w:rPr>
      <w:sz w:val="18"/>
      <w:szCs w:val="18"/>
    </w:rPr>
  </w:style>
  <w:style w:type="paragraph" w:styleId="7">
    <w:name w:val="header"/>
    <w:basedOn w:val="1"/>
    <w:link w:val="24"/>
    <w:unhideWhenUsed/>
    <w:qFormat/>
    <w:uiPriority w:val="99"/>
    <w:pPr>
      <w:tabs>
        <w:tab w:val="center" w:pos="4153"/>
        <w:tab w:val="right" w:pos="8306"/>
      </w:tabs>
      <w:snapToGrid w:val="0"/>
      <w:jc w:val="center"/>
    </w:pPr>
    <w:rPr>
      <w:sz w:val="18"/>
      <w:szCs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unhideWhenUsed/>
    <w:qFormat/>
    <w:uiPriority w:val="99"/>
    <w:pPr>
      <w:spacing w:before="100" w:beforeAutospacing="1" w:after="100" w:afterAutospacing="1"/>
    </w:pPr>
  </w:style>
  <w:style w:type="paragraph" w:styleId="10">
    <w:name w:val="annotation subject"/>
    <w:basedOn w:val="4"/>
    <w:next w:val="4"/>
    <w:link w:val="23"/>
    <w:semiHidden/>
    <w:unhideWhenUsed/>
    <w:qFormat/>
    <w:uiPriority w:val="99"/>
    <w:rPr>
      <w:b/>
      <w:bCs/>
    </w:rPr>
  </w:style>
  <w:style w:type="character" w:styleId="13">
    <w:name w:val="Strong"/>
    <w:basedOn w:val="12"/>
    <w:qFormat/>
    <w:uiPriority w:val="22"/>
    <w:rPr>
      <w:b/>
      <w:bCs/>
    </w:rPr>
  </w:style>
  <w:style w:type="character" w:styleId="14">
    <w:name w:val="annotation reference"/>
    <w:basedOn w:val="12"/>
    <w:semiHidden/>
    <w:unhideWhenUsed/>
    <w:qFormat/>
    <w:uiPriority w:val="99"/>
    <w:rPr>
      <w:sz w:val="21"/>
      <w:szCs w:val="21"/>
    </w:rPr>
  </w:style>
  <w:style w:type="character" w:customStyle="1" w:styleId="15">
    <w:name w:val="标题 1 字符"/>
    <w:basedOn w:val="12"/>
    <w:link w:val="2"/>
    <w:qFormat/>
    <w:locked/>
    <w:uiPriority w:val="9"/>
    <w:rPr>
      <w:rFonts w:hint="eastAsia" w:asciiTheme="majorHAnsi" w:hAnsiTheme="majorHAnsi" w:eastAsiaTheme="majorEastAsia" w:cstheme="majorBidi"/>
      <w:color w:val="2F5597" w:themeColor="accent1" w:themeShade="BF"/>
      <w:sz w:val="48"/>
      <w:szCs w:val="48"/>
    </w:rPr>
  </w:style>
  <w:style w:type="character" w:customStyle="1" w:styleId="16">
    <w:name w:val="标题 4 字符"/>
    <w:basedOn w:val="12"/>
    <w:link w:val="3"/>
    <w:semiHidden/>
    <w:qFormat/>
    <w:locked/>
    <w:uiPriority w:val="9"/>
    <w:rPr>
      <w:rFonts w:hint="eastAsia" w:asciiTheme="minorHAnsi" w:hAnsiTheme="minorHAnsi" w:eastAsiaTheme="minorEastAsia" w:cstheme="majorBidi"/>
      <w:color w:val="2F5597" w:themeColor="accent1" w:themeShade="BF"/>
      <w:sz w:val="28"/>
      <w:szCs w:val="28"/>
    </w:rPr>
  </w:style>
  <w:style w:type="paragraph" w:customStyle="1" w:styleId="17">
    <w:name w:val="msonormal"/>
    <w:basedOn w:val="1"/>
    <w:semiHidden/>
    <w:qFormat/>
    <w:uiPriority w:val="99"/>
    <w:pPr>
      <w:spacing w:before="100" w:beforeAutospacing="1" w:after="100" w:afterAutospacing="1"/>
    </w:pPr>
  </w:style>
  <w:style w:type="paragraph" w:customStyle="1" w:styleId="18">
    <w:name w:val="btn-download"/>
    <w:basedOn w:val="1"/>
    <w:semiHidden/>
    <w:qFormat/>
    <w:uiPriority w:val="99"/>
    <w:pPr>
      <w:shd w:val="clear" w:color="auto" w:fill="4CAF50"/>
      <w:spacing w:before="300" w:after="300"/>
      <w:jc w:val="center"/>
    </w:pPr>
    <w:rPr>
      <w:color w:val="FFFFFF"/>
    </w:rPr>
  </w:style>
  <w:style w:type="paragraph" w:customStyle="1" w:styleId="19">
    <w:name w:val="section-title"/>
    <w:basedOn w:val="1"/>
    <w:semiHidden/>
    <w:qFormat/>
    <w:uiPriority w:val="99"/>
    <w:pPr>
      <w:pBdr>
        <w:left w:val="single" w:color="31708F" w:sz="36" w:space="8"/>
      </w:pBdr>
      <w:shd w:val="clear" w:color="auto" w:fill="D9EDF7"/>
      <w:spacing w:before="300" w:after="100" w:afterAutospacing="1"/>
    </w:pPr>
    <w:rPr>
      <w:b/>
      <w:bCs/>
    </w:rPr>
  </w:style>
  <w:style w:type="paragraph" w:customStyle="1" w:styleId="20">
    <w:name w:val="symbol-explanation"/>
    <w:basedOn w:val="1"/>
    <w:semiHidden/>
    <w:qFormat/>
    <w:uiPriority w:val="99"/>
    <w:pPr>
      <w:spacing w:before="150" w:after="150"/>
    </w:pPr>
    <w:rPr>
      <w:color w:val="555555"/>
      <w:sz w:val="22"/>
      <w:szCs w:val="22"/>
    </w:rPr>
  </w:style>
  <w:style w:type="paragraph" w:customStyle="1" w:styleId="21">
    <w:name w:val="text-center"/>
    <w:basedOn w:val="1"/>
    <w:semiHidden/>
    <w:qFormat/>
    <w:uiPriority w:val="99"/>
    <w:pPr>
      <w:spacing w:before="100" w:beforeAutospacing="1" w:after="100" w:afterAutospacing="1"/>
      <w:jc w:val="center"/>
    </w:pPr>
  </w:style>
  <w:style w:type="character" w:customStyle="1" w:styleId="22">
    <w:name w:val="批注文字 字符"/>
    <w:basedOn w:val="12"/>
    <w:link w:val="4"/>
    <w:semiHidden/>
    <w:qFormat/>
    <w:uiPriority w:val="99"/>
    <w:rPr>
      <w:rFonts w:ascii="宋体" w:hAnsi="宋体" w:eastAsia="宋体" w:cs="宋体"/>
      <w:sz w:val="24"/>
      <w:szCs w:val="24"/>
    </w:rPr>
  </w:style>
  <w:style w:type="character" w:customStyle="1" w:styleId="23">
    <w:name w:val="批注主题 字符"/>
    <w:basedOn w:val="22"/>
    <w:link w:val="10"/>
    <w:semiHidden/>
    <w:qFormat/>
    <w:uiPriority w:val="99"/>
    <w:rPr>
      <w:rFonts w:ascii="宋体" w:hAnsi="宋体" w:eastAsia="宋体" w:cs="宋体"/>
      <w:b/>
      <w:bCs/>
      <w:sz w:val="24"/>
      <w:szCs w:val="24"/>
    </w:rPr>
  </w:style>
  <w:style w:type="character" w:customStyle="1" w:styleId="24">
    <w:name w:val="页眉 字符"/>
    <w:basedOn w:val="12"/>
    <w:link w:val="7"/>
    <w:qFormat/>
    <w:uiPriority w:val="99"/>
    <w:rPr>
      <w:rFonts w:ascii="宋体" w:hAnsi="宋体" w:eastAsia="宋体" w:cs="宋体"/>
      <w:sz w:val="18"/>
      <w:szCs w:val="18"/>
    </w:rPr>
  </w:style>
  <w:style w:type="character" w:customStyle="1" w:styleId="25">
    <w:name w:val="页脚 字符"/>
    <w:basedOn w:val="12"/>
    <w:link w:val="6"/>
    <w:qFormat/>
    <w:uiPriority w:val="99"/>
    <w:rPr>
      <w:rFonts w:ascii="宋体" w:hAnsi="宋体" w:eastAsia="宋体" w:cs="宋体"/>
      <w:sz w:val="18"/>
      <w:szCs w:val="18"/>
    </w:rPr>
  </w:style>
  <w:style w:type="paragraph" w:customStyle="1" w:styleId="26">
    <w:name w:val="修订1"/>
    <w:hidden/>
    <w:unhideWhenUsed/>
    <w:qFormat/>
    <w:uiPriority w:val="99"/>
    <w:rPr>
      <w:rFonts w:ascii="宋体" w:hAnsi="宋体" w:eastAsia="宋体" w:cs="宋体"/>
      <w:sz w:val="24"/>
      <w:szCs w:val="24"/>
      <w:lang w:val="en-US" w:eastAsia="zh-CN" w:bidi="ar-SA"/>
    </w:rPr>
  </w:style>
  <w:style w:type="character" w:customStyle="1" w:styleId="27">
    <w:name w:val="symbol"/>
    <w:basedOn w:val="12"/>
    <w:qFormat/>
    <w:uiPriority w:val="0"/>
  </w:style>
  <w:style w:type="paragraph" w:customStyle="1" w:styleId="28">
    <w:name w:val="修订2"/>
    <w:hidden/>
    <w:unhideWhenUsed/>
    <w:qFormat/>
    <w:uiPriority w:val="99"/>
    <w:rPr>
      <w:rFonts w:ascii="宋体" w:hAnsi="宋体" w:eastAsia="宋体" w:cs="宋体"/>
      <w:sz w:val="24"/>
      <w:szCs w:val="24"/>
      <w:lang w:val="en-US" w:eastAsia="zh-CN" w:bidi="ar-SA"/>
    </w:rPr>
  </w:style>
  <w:style w:type="paragraph" w:customStyle="1" w:styleId="29">
    <w:name w:val="Revision"/>
    <w:hidden/>
    <w:unhideWhenUsed/>
    <w:qFormat/>
    <w:uiPriority w:val="99"/>
    <w:rPr>
      <w:rFonts w:ascii="宋体" w:hAnsi="宋体" w:eastAsia="宋体" w:cs="宋体"/>
      <w:sz w:val="24"/>
      <w:szCs w:val="24"/>
      <w:lang w:val="en-US" w:eastAsia="zh-CN" w:bidi="ar-SA"/>
    </w:rPr>
  </w:style>
  <w:style w:type="paragraph" w:customStyle="1" w:styleId="30">
    <w:name w:val="D&amp;L"/>
    <w:basedOn w:val="7"/>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31">
    <w:name w:val="xl31"/>
    <w:basedOn w:val="1"/>
    <w:qFormat/>
    <w:uiPriority w:val="0"/>
    <w:pPr>
      <w:widowControl/>
      <w:spacing w:before="100" w:beforeAutospacing="1" w:after="100" w:afterAutospacing="1"/>
      <w:jc w:val="center"/>
    </w:pPr>
    <w:rPr>
      <w:b/>
      <w:bCs/>
      <w:kern w:val="0"/>
      <w:sz w:val="28"/>
      <w:szCs w:val="28"/>
    </w:rPr>
  </w:style>
  <w:style w:type="paragraph" w:customStyle="1" w:styleId="32">
    <w:name w:val="Table Text"/>
    <w:basedOn w:val="1"/>
    <w:semiHidden/>
    <w:qFormat/>
    <w:uiPriority w:val="0"/>
    <w:rPr>
      <w:rFonts w:ascii="宋体" w:hAnsi="宋体" w:eastAsia="宋体" w:cs="宋体"/>
      <w:sz w:val="24"/>
      <w:szCs w:val="24"/>
      <w:lang w:val="en-US" w:eastAsia="en-US" w:bidi="ar-SA"/>
    </w:rPr>
  </w:style>
  <w:style w:type="table" w:customStyle="1" w:styleId="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4031</Words>
  <Characters>4501</Characters>
  <Lines>46</Lines>
  <Paragraphs>12</Paragraphs>
  <TotalTime>5</TotalTime>
  <ScaleCrop>false</ScaleCrop>
  <LinksUpToDate>false</LinksUpToDate>
  <CharactersWithSpaces>4524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2025-11-05T06:34:00Z</dcterms:created>
  <dc:creator>siyueht</dc:creator>
  <cp:lastModifiedBy>王Sir</cp:lastModifiedBy>
  <dcterms:modified xsi:type="dcterms:W3CDTF">2025-11-21T07:51:33Z</dcterms:modified>
  <dc:title>货物类政府采购项目采购需求表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eyJoZGlkIjoiOTQ1ZWY4ZDExNDVmZTdlZmE4MGU5ZTdmYmExYzY2ZDAiLCJ1c2VySWQiOiI0ODIzOTEyNDYifQ==</vt:lpwstr>
  </property>
  <property fmtid="{D5CDD505-2E9C-101B-9397-08002B2CF9AE}" pid="3" name="KSOProductBuildVer">
    <vt:lpwstr>2052-12.1.0.23125</vt:lpwstr>
  </property>
  <property fmtid="{D5CDD505-2E9C-101B-9397-08002B2CF9AE}" pid="4" name="ICV">
    <vt:lpwstr>D4611D65E2AB40E7BBBEEC83EEF30162_13</vt:lpwstr>
  </property>
</Properties>
</file>