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E4189A">
      <w:pPr>
        <w:spacing w:line="360" w:lineRule="auto"/>
        <w:jc w:val="center"/>
        <w:outlineLvl w:val="0"/>
        <w:rPr>
          <w:rFonts w:hint="eastAsia" w:asciiTheme="minorEastAsia" w:hAnsiTheme="minorEastAsia" w:eastAsiaTheme="minorEastAsia"/>
          <w:b/>
          <w:sz w:val="28"/>
        </w:rPr>
      </w:pPr>
      <w:bookmarkStart w:id="0" w:name="_Toc32151"/>
      <w:bookmarkStart w:id="1" w:name="_Toc30373"/>
      <w:bookmarkStart w:id="2" w:name="_Toc2554"/>
      <w:r>
        <w:rPr>
          <w:rFonts w:hint="eastAsia" w:asciiTheme="minorEastAsia" w:hAnsiTheme="minorEastAsia" w:eastAsiaTheme="minorEastAsia"/>
          <w:b/>
          <w:sz w:val="28"/>
        </w:rPr>
        <w:t>采购需求</w:t>
      </w:r>
    </w:p>
    <w:p w14:paraId="1E89334A">
      <w:pPr>
        <w:spacing w:line="360" w:lineRule="auto"/>
        <w:rPr>
          <w:rFonts w:hint="eastAsia" w:asciiTheme="minorEastAsia" w:hAnsiTheme="minorEastAsia" w:eastAsiaTheme="minorEastAsia"/>
          <w:b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前注：</w:t>
      </w:r>
    </w:p>
    <w:p w14:paraId="5F6F4547">
      <w:pPr>
        <w:spacing w:line="360" w:lineRule="auto"/>
        <w:ind w:firstLine="435"/>
        <w:rPr>
          <w:rFonts w:hint="eastAsia" w:ascii="宋体" w:hAnsi="宋体" w:eastAsia="宋体"/>
          <w:sz w:val="24"/>
          <w:szCs w:val="18"/>
        </w:rPr>
      </w:pPr>
      <w:r>
        <w:rPr>
          <w:rFonts w:hint="eastAsia" w:asciiTheme="minorEastAsia" w:hAnsiTheme="minorEastAsia" w:eastAsiaTheme="minorEastAsia"/>
          <w:sz w:val="24"/>
        </w:rPr>
        <w:t>1.</w:t>
      </w:r>
      <w:r>
        <w:rPr>
          <w:rFonts w:ascii="宋体" w:hAnsi="宋体" w:eastAsia="宋体"/>
          <w:sz w:val="24"/>
          <w:szCs w:val="18"/>
        </w:rPr>
        <w:t>根据《</w:t>
      </w:r>
      <w:r>
        <w:rPr>
          <w:rFonts w:hint="eastAsia" w:ascii="宋体" w:hAnsi="宋体" w:eastAsia="宋体"/>
          <w:sz w:val="24"/>
          <w:szCs w:val="18"/>
        </w:rPr>
        <w:t>政府采购进口产品管理办法</w:t>
      </w:r>
      <w:r>
        <w:rPr>
          <w:rFonts w:ascii="宋体" w:hAnsi="宋体" w:eastAsia="宋体"/>
          <w:sz w:val="24"/>
          <w:szCs w:val="18"/>
        </w:rPr>
        <w:t>》及政府采购管理部门的相关规定，下列采购需求中</w:t>
      </w:r>
      <w:r>
        <w:rPr>
          <w:rFonts w:hint="eastAsia" w:ascii="宋体" w:hAnsi="宋体" w:eastAsia="宋体"/>
          <w:sz w:val="24"/>
          <w:szCs w:val="18"/>
        </w:rPr>
        <w:t>标注进口产品的货物均</w:t>
      </w:r>
      <w:r>
        <w:rPr>
          <w:rFonts w:ascii="宋体" w:hAnsi="宋体" w:eastAsia="宋体"/>
          <w:sz w:val="24"/>
          <w:szCs w:val="18"/>
        </w:rPr>
        <w:t>已履行相关论证手续，经核准采购进口</w:t>
      </w:r>
      <w:r>
        <w:rPr>
          <w:rFonts w:hint="eastAsia" w:ascii="宋体" w:hAnsi="宋体" w:eastAsia="宋体"/>
          <w:sz w:val="24"/>
          <w:szCs w:val="18"/>
        </w:rPr>
        <w:t>产品</w:t>
      </w:r>
      <w:r>
        <w:rPr>
          <w:rFonts w:ascii="宋体" w:hAnsi="宋体" w:eastAsia="宋体"/>
          <w:sz w:val="24"/>
          <w:szCs w:val="18"/>
        </w:rPr>
        <w:t>，但不限制满足招标文件要求的国内产品参与竞争</w:t>
      </w:r>
      <w:r>
        <w:rPr>
          <w:rFonts w:hint="eastAsia" w:ascii="宋体" w:hAnsi="宋体" w:eastAsia="宋体"/>
          <w:sz w:val="24"/>
          <w:szCs w:val="18"/>
        </w:rPr>
        <w:t>。未标注进口产品的货物均</w:t>
      </w:r>
      <w:r>
        <w:rPr>
          <w:rFonts w:ascii="宋体" w:hAnsi="宋体" w:eastAsia="宋体"/>
          <w:sz w:val="24"/>
          <w:szCs w:val="18"/>
        </w:rPr>
        <w:t>为拒绝采购进口产品</w:t>
      </w:r>
      <w:r>
        <w:rPr>
          <w:rFonts w:hint="eastAsia" w:ascii="宋体" w:hAnsi="宋体" w:eastAsia="宋体"/>
          <w:sz w:val="24"/>
          <w:szCs w:val="18"/>
        </w:rPr>
        <w:t>。</w:t>
      </w:r>
    </w:p>
    <w:p w14:paraId="21FB875C">
      <w:pPr>
        <w:spacing w:line="360" w:lineRule="auto"/>
        <w:ind w:firstLine="435"/>
        <w:rPr>
          <w:rFonts w:hint="eastAsia" w:ascii="宋体" w:hAnsi="宋体" w:eastAsia="宋体"/>
          <w:sz w:val="24"/>
          <w:szCs w:val="18"/>
        </w:rPr>
      </w:pPr>
      <w:r>
        <w:rPr>
          <w:rFonts w:hint="eastAsia" w:ascii="宋体" w:hAnsi="宋体" w:eastAsia="宋体"/>
          <w:sz w:val="24"/>
          <w:szCs w:val="18"/>
        </w:rPr>
        <w:t>2.</w:t>
      </w:r>
      <w:r>
        <w:rPr>
          <w:rFonts w:ascii="宋体" w:hAnsi="宋体" w:eastAsia="宋体" w:cs="宋体"/>
          <w:sz w:val="24"/>
          <w:szCs w:val="24"/>
        </w:rPr>
        <w:t>政府采购政策（包括但不限于下列具体政策要求</w:t>
      </w:r>
      <w:r>
        <w:rPr>
          <w:rFonts w:hint="eastAsia" w:ascii="宋体" w:hAnsi="宋体" w:eastAsia="宋体" w:cs="宋体"/>
          <w:sz w:val="24"/>
          <w:szCs w:val="24"/>
        </w:rPr>
        <w:t>）</w:t>
      </w:r>
      <w:r>
        <w:rPr>
          <w:rFonts w:hint="eastAsia" w:ascii="宋体" w:hAnsi="宋体" w:eastAsia="宋体"/>
          <w:sz w:val="24"/>
          <w:szCs w:val="18"/>
        </w:rPr>
        <w:t>：</w:t>
      </w:r>
    </w:p>
    <w:p w14:paraId="3D517B81">
      <w:pPr>
        <w:spacing w:line="360" w:lineRule="auto"/>
        <w:ind w:firstLine="435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如属于《节能产品政府采购品目清单》中政府强制采购的节能产品，则投标人所投产品须具有市场监管总局公布的《参与实施政府采购节能产品认证机构目录》中的认证机构出具的、处于有效期内的节能产品认证证书。</w:t>
      </w:r>
    </w:p>
    <w:p w14:paraId="5103AA4C">
      <w:pPr>
        <w:spacing w:line="360" w:lineRule="auto"/>
        <w:ind w:firstLine="435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如涉及商品包装和快递包装，投标人应当执行《关于印发〈商品包装政府采购需求标准（试行）〉、〈快递包装政府采购需求标准（试行）〉的通知》（财办库〔2020〕123号）、《安徽省财政厅关于贯彻落实政府绿色采购有关政策的通知》（皖财购〔2023〕853号）的要求，提供符合需求标准的绿色包装、绿色运输，同时，采购人将对包装材料和运输环节作为履约验收条款进行验收。</w:t>
      </w:r>
    </w:p>
    <w:p w14:paraId="3FA05128">
      <w:pPr>
        <w:spacing w:line="360" w:lineRule="auto"/>
        <w:ind w:firstLine="437"/>
        <w:outlineLvl w:val="1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3.技术参数中如某项参数以具体数值展现，则该数值为本项目所需的最低要求，相同或者优于该项参数均视为满足。</w:t>
      </w:r>
    </w:p>
    <w:p w14:paraId="2193BE51">
      <w:pPr>
        <w:spacing w:line="360" w:lineRule="auto"/>
        <w:ind w:firstLine="437"/>
        <w:outlineLvl w:val="1"/>
        <w:rPr>
          <w:rFonts w:ascii="宋体" w:hAnsi="宋体" w:eastAsia="宋体"/>
          <w:b/>
          <w:color w:val="auto"/>
          <w:sz w:val="24"/>
          <w:szCs w:val="18"/>
          <w:highlight w:val="none"/>
        </w:rPr>
      </w:pPr>
      <w:r>
        <w:rPr>
          <w:rFonts w:hint="eastAsia" w:ascii="宋体" w:hAnsi="宋体" w:eastAsia="宋体"/>
          <w:b/>
          <w:color w:val="auto"/>
          <w:sz w:val="24"/>
          <w:szCs w:val="18"/>
          <w:highlight w:val="none"/>
        </w:rPr>
        <w:t>一、采购需求前附表</w:t>
      </w:r>
      <w:bookmarkEnd w:id="0"/>
      <w:bookmarkEnd w:id="1"/>
      <w:bookmarkEnd w:id="2"/>
    </w:p>
    <w:tbl>
      <w:tblPr>
        <w:tblStyle w:val="9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"/>
        <w:gridCol w:w="2032"/>
        <w:gridCol w:w="5484"/>
      </w:tblGrid>
      <w:tr w14:paraId="45E44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590" w:type="pct"/>
            <w:noWrap w:val="0"/>
            <w:vAlign w:val="center"/>
          </w:tcPr>
          <w:p w14:paraId="05755760">
            <w:pPr>
              <w:pStyle w:val="2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adjustRightInd/>
              <w:spacing w:line="240" w:lineRule="auto"/>
              <w:textAlignment w:val="auto"/>
              <w:rPr>
                <w:rFonts w:ascii="宋体" w:hAnsi="宋体" w:eastAsia="宋体"/>
                <w:b/>
                <w:color w:val="auto"/>
                <w:kern w:val="2"/>
                <w:highlight w:val="none"/>
              </w:rPr>
            </w:pPr>
            <w:r>
              <w:rPr>
                <w:rFonts w:hint="eastAsia" w:ascii="宋体" w:hAnsi="宋体" w:eastAsia="宋体"/>
                <w:b/>
                <w:color w:val="auto"/>
                <w:kern w:val="2"/>
                <w:highlight w:val="none"/>
              </w:rPr>
              <w:t>序号</w:t>
            </w:r>
          </w:p>
        </w:tc>
        <w:tc>
          <w:tcPr>
            <w:tcW w:w="1192" w:type="pct"/>
            <w:noWrap w:val="0"/>
            <w:vAlign w:val="center"/>
          </w:tcPr>
          <w:p w14:paraId="5E44D1E2">
            <w:pPr>
              <w:pStyle w:val="29"/>
              <w:widowControl w:val="0"/>
              <w:spacing w:before="0" w:beforeAutospacing="0" w:after="0" w:afterAutospacing="0" w:line="360" w:lineRule="auto"/>
              <w:rPr>
                <w:rFonts w:ascii="宋体" w:hAnsi="宋体" w:eastAsia="宋体"/>
                <w:bCs w:val="0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/>
                <w:bCs w:val="0"/>
                <w:color w:val="auto"/>
                <w:sz w:val="24"/>
                <w:highlight w:val="none"/>
              </w:rPr>
              <w:t>条款名称</w:t>
            </w:r>
          </w:p>
        </w:tc>
        <w:tc>
          <w:tcPr>
            <w:tcW w:w="3217" w:type="pct"/>
            <w:noWrap w:val="0"/>
            <w:vAlign w:val="center"/>
          </w:tcPr>
          <w:p w14:paraId="2F21E58E">
            <w:pPr>
              <w:pStyle w:val="29"/>
              <w:widowControl w:val="0"/>
              <w:spacing w:before="0" w:beforeAutospacing="0" w:after="0" w:afterAutospacing="0" w:line="360" w:lineRule="auto"/>
              <w:rPr>
                <w:rFonts w:ascii="宋体" w:hAnsi="宋体" w:eastAsia="宋体"/>
                <w:bCs w:val="0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/>
                <w:bCs w:val="0"/>
                <w:color w:val="auto"/>
                <w:sz w:val="24"/>
                <w:highlight w:val="none"/>
              </w:rPr>
              <w:t>内容、说明与要求</w:t>
            </w:r>
          </w:p>
        </w:tc>
      </w:tr>
      <w:tr w14:paraId="3A00C6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590" w:type="pct"/>
            <w:noWrap w:val="0"/>
            <w:vAlign w:val="center"/>
          </w:tcPr>
          <w:p w14:paraId="4139AC13">
            <w:pPr>
              <w:pStyle w:val="2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adjustRightInd/>
              <w:spacing w:line="240" w:lineRule="auto"/>
              <w:textAlignment w:val="auto"/>
              <w:rPr>
                <w:rFonts w:ascii="宋体" w:hAnsi="宋体" w:eastAsia="宋体"/>
                <w:bCs/>
                <w:color w:val="auto"/>
                <w:kern w:val="2"/>
                <w:highlight w:val="none"/>
              </w:rPr>
            </w:pPr>
            <w:r>
              <w:rPr>
                <w:rFonts w:hint="eastAsia" w:ascii="宋体" w:hAnsi="宋体" w:eastAsia="宋体"/>
                <w:bCs/>
                <w:color w:val="auto"/>
                <w:kern w:val="2"/>
                <w:highlight w:val="none"/>
              </w:rPr>
              <w:t>1</w:t>
            </w:r>
          </w:p>
        </w:tc>
        <w:tc>
          <w:tcPr>
            <w:tcW w:w="1192" w:type="pct"/>
            <w:noWrap w:val="0"/>
            <w:vAlign w:val="center"/>
          </w:tcPr>
          <w:p w14:paraId="32BE7AB6">
            <w:pPr>
              <w:pStyle w:val="29"/>
              <w:widowControl w:val="0"/>
              <w:spacing w:before="0" w:beforeAutospacing="0" w:after="0" w:afterAutospacing="0" w:line="360" w:lineRule="auto"/>
              <w:rPr>
                <w:rFonts w:ascii="宋体" w:hAnsi="宋体" w:eastAsia="宋体"/>
                <w:b w:val="0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/>
                <w:b w:val="0"/>
                <w:color w:val="auto"/>
                <w:sz w:val="24"/>
                <w:highlight w:val="none"/>
              </w:rPr>
              <w:t>付款方式</w:t>
            </w:r>
          </w:p>
        </w:tc>
        <w:tc>
          <w:tcPr>
            <w:tcW w:w="3217" w:type="pct"/>
            <w:noWrap w:val="0"/>
            <w:vAlign w:val="center"/>
          </w:tcPr>
          <w:p w14:paraId="383811C8">
            <w:pPr>
              <w:pStyle w:val="29"/>
              <w:widowControl w:val="0"/>
              <w:spacing w:before="0" w:beforeAutospacing="0" w:after="0" w:afterAutospacing="0" w:line="360" w:lineRule="auto"/>
              <w:jc w:val="both"/>
              <w:rPr>
                <w:rFonts w:hint="eastAsia" w:ascii="宋体" w:hAnsi="宋体" w:eastAsia="宋体"/>
                <w:b w:val="0"/>
                <w:color w:val="auto"/>
                <w:sz w:val="24"/>
                <w:highlight w:val="none"/>
                <w:u w:val="none"/>
              </w:rPr>
            </w:pPr>
            <w:r>
              <w:rPr>
                <w:rFonts w:hint="eastAsia" w:ascii="宋体" w:hAnsi="宋体" w:eastAsia="宋体"/>
                <w:b w:val="0"/>
                <w:color w:val="auto"/>
                <w:sz w:val="24"/>
                <w:highlight w:val="none"/>
                <w:u w:val="none"/>
              </w:rPr>
              <w:t>验收合格后一次性付清合同款</w:t>
            </w:r>
          </w:p>
        </w:tc>
      </w:tr>
      <w:tr w14:paraId="63C6B1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590" w:type="pct"/>
            <w:noWrap w:val="0"/>
            <w:vAlign w:val="center"/>
          </w:tcPr>
          <w:p w14:paraId="4B3CDD6B">
            <w:pPr>
              <w:pStyle w:val="2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adjustRightInd/>
              <w:spacing w:line="240" w:lineRule="auto"/>
              <w:textAlignment w:val="auto"/>
              <w:rPr>
                <w:rFonts w:ascii="宋体" w:hAnsi="宋体" w:eastAsia="宋体"/>
                <w:bCs/>
                <w:color w:val="auto"/>
                <w:kern w:val="2"/>
                <w:highlight w:val="none"/>
              </w:rPr>
            </w:pPr>
            <w:r>
              <w:rPr>
                <w:rFonts w:hint="eastAsia" w:ascii="宋体" w:hAnsi="宋体" w:eastAsia="宋体"/>
                <w:bCs/>
                <w:color w:val="auto"/>
                <w:kern w:val="2"/>
                <w:highlight w:val="none"/>
              </w:rPr>
              <w:t>2</w:t>
            </w:r>
          </w:p>
        </w:tc>
        <w:tc>
          <w:tcPr>
            <w:tcW w:w="1192" w:type="pct"/>
            <w:noWrap w:val="0"/>
            <w:vAlign w:val="center"/>
          </w:tcPr>
          <w:p w14:paraId="19CE969A">
            <w:pPr>
              <w:pStyle w:val="29"/>
              <w:widowControl w:val="0"/>
              <w:spacing w:before="0" w:beforeAutospacing="0" w:after="0" w:afterAutospacing="0" w:line="360" w:lineRule="auto"/>
              <w:rPr>
                <w:rFonts w:ascii="宋体" w:hAnsi="宋体" w:eastAsia="宋体"/>
                <w:b w:val="0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/>
                <w:b w:val="0"/>
                <w:color w:val="auto"/>
                <w:sz w:val="24"/>
                <w:highlight w:val="none"/>
              </w:rPr>
              <w:t>供货及安装地点</w:t>
            </w:r>
          </w:p>
        </w:tc>
        <w:tc>
          <w:tcPr>
            <w:tcW w:w="3217" w:type="pct"/>
            <w:noWrap w:val="0"/>
            <w:vAlign w:val="center"/>
          </w:tcPr>
          <w:p w14:paraId="13D7C671">
            <w:pPr>
              <w:pStyle w:val="29"/>
              <w:widowControl w:val="0"/>
              <w:spacing w:before="0" w:beforeAutospacing="0" w:after="0" w:afterAutospacing="0" w:line="360" w:lineRule="auto"/>
              <w:jc w:val="both"/>
              <w:rPr>
                <w:rFonts w:hint="eastAsia" w:ascii="宋体" w:hAnsi="宋体" w:eastAsia="宋体"/>
                <w:b w:val="0"/>
                <w:color w:val="auto"/>
                <w:sz w:val="24"/>
                <w:highlight w:val="none"/>
                <w:u w:val="none"/>
              </w:rPr>
            </w:pPr>
            <w:r>
              <w:rPr>
                <w:rFonts w:hint="eastAsia" w:ascii="宋体" w:hAnsi="宋体" w:eastAsia="宋体"/>
                <w:b w:val="0"/>
                <w:color w:val="auto"/>
                <w:sz w:val="24"/>
                <w:highlight w:val="none"/>
                <w:u w:val="none"/>
              </w:rPr>
              <w:t>安徽职业技术大学校内指定安装地点</w:t>
            </w:r>
          </w:p>
        </w:tc>
      </w:tr>
      <w:tr w14:paraId="2D3768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590" w:type="pct"/>
            <w:noWrap w:val="0"/>
            <w:vAlign w:val="center"/>
          </w:tcPr>
          <w:p w14:paraId="20D19E7E">
            <w:pPr>
              <w:pStyle w:val="2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adjustRightInd/>
              <w:spacing w:line="240" w:lineRule="auto"/>
              <w:textAlignment w:val="auto"/>
              <w:rPr>
                <w:rFonts w:ascii="宋体" w:hAnsi="宋体" w:eastAsia="宋体"/>
                <w:bCs/>
                <w:color w:val="auto"/>
                <w:kern w:val="2"/>
                <w:highlight w:val="none"/>
              </w:rPr>
            </w:pPr>
            <w:r>
              <w:rPr>
                <w:rFonts w:hint="eastAsia" w:ascii="宋体" w:hAnsi="宋体" w:eastAsia="宋体"/>
                <w:bCs/>
                <w:color w:val="auto"/>
                <w:kern w:val="2"/>
                <w:highlight w:val="none"/>
              </w:rPr>
              <w:t>3</w:t>
            </w:r>
          </w:p>
        </w:tc>
        <w:tc>
          <w:tcPr>
            <w:tcW w:w="1192" w:type="pct"/>
            <w:noWrap w:val="0"/>
            <w:vAlign w:val="center"/>
          </w:tcPr>
          <w:p w14:paraId="4D2E81DD">
            <w:pPr>
              <w:pStyle w:val="29"/>
              <w:widowControl w:val="0"/>
              <w:spacing w:before="0" w:beforeAutospacing="0" w:after="0" w:afterAutospacing="0" w:line="360" w:lineRule="auto"/>
              <w:rPr>
                <w:rFonts w:ascii="宋体" w:hAnsi="宋体" w:eastAsia="宋体"/>
                <w:b w:val="0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/>
                <w:b w:val="0"/>
                <w:color w:val="auto"/>
                <w:sz w:val="24"/>
                <w:highlight w:val="none"/>
              </w:rPr>
              <w:t>供货及安装期限</w:t>
            </w:r>
          </w:p>
        </w:tc>
        <w:tc>
          <w:tcPr>
            <w:tcW w:w="3217" w:type="pct"/>
            <w:noWrap w:val="0"/>
            <w:vAlign w:val="center"/>
          </w:tcPr>
          <w:p w14:paraId="5C0E7A40">
            <w:pPr>
              <w:pStyle w:val="29"/>
              <w:widowControl w:val="0"/>
              <w:spacing w:before="0" w:beforeAutospacing="0" w:after="0" w:afterAutospacing="0" w:line="360" w:lineRule="auto"/>
              <w:jc w:val="both"/>
              <w:rPr>
                <w:rFonts w:hint="eastAsia" w:ascii="宋体" w:hAnsi="宋体" w:eastAsia="宋体"/>
                <w:b w:val="0"/>
                <w:color w:val="auto"/>
                <w:sz w:val="24"/>
                <w:highlight w:val="none"/>
                <w:u w:val="none"/>
              </w:rPr>
            </w:pPr>
            <w:r>
              <w:rPr>
                <w:rFonts w:hint="eastAsia" w:ascii="宋体" w:hAnsi="宋体" w:eastAsia="宋体"/>
                <w:b w:val="0"/>
                <w:color w:val="auto"/>
                <w:sz w:val="24"/>
                <w:highlight w:val="none"/>
                <w:u w:val="none"/>
              </w:rPr>
              <w:t>合同签订后</w:t>
            </w:r>
            <w:r>
              <w:rPr>
                <w:rFonts w:hint="eastAsia"/>
                <w:b w:val="0"/>
                <w:color w:val="auto"/>
                <w:sz w:val="24"/>
                <w:highlight w:val="none"/>
                <w:u w:val="none"/>
                <w:lang w:val="en-US" w:eastAsia="zh-CN"/>
              </w:rPr>
              <w:t>8</w:t>
            </w:r>
            <w:r>
              <w:rPr>
                <w:rFonts w:hint="eastAsia" w:ascii="宋体" w:hAnsi="宋体" w:eastAsia="宋体"/>
                <w:b w:val="0"/>
                <w:color w:val="auto"/>
                <w:sz w:val="24"/>
                <w:highlight w:val="none"/>
                <w:u w:val="none"/>
              </w:rPr>
              <w:t>0个</w:t>
            </w:r>
            <w:r>
              <w:rPr>
                <w:rFonts w:hint="eastAsia"/>
                <w:b w:val="0"/>
                <w:color w:val="auto"/>
                <w:sz w:val="24"/>
                <w:highlight w:val="none"/>
                <w:u w:val="none"/>
                <w:lang w:val="en-US" w:eastAsia="zh-CN"/>
              </w:rPr>
              <w:t>日历</w:t>
            </w:r>
            <w:r>
              <w:rPr>
                <w:rFonts w:hint="eastAsia" w:ascii="宋体" w:hAnsi="宋体" w:eastAsia="宋体"/>
                <w:b w:val="0"/>
                <w:color w:val="auto"/>
                <w:sz w:val="24"/>
                <w:highlight w:val="none"/>
                <w:u w:val="none"/>
              </w:rPr>
              <w:t>日内完成供货安装及调试</w:t>
            </w:r>
          </w:p>
        </w:tc>
      </w:tr>
      <w:tr w14:paraId="1EF7E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590" w:type="pct"/>
            <w:noWrap w:val="0"/>
            <w:vAlign w:val="center"/>
          </w:tcPr>
          <w:p w14:paraId="34107B7F">
            <w:pPr>
              <w:pStyle w:val="2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adjustRightInd/>
              <w:spacing w:line="240" w:lineRule="auto"/>
              <w:textAlignment w:val="auto"/>
              <w:rPr>
                <w:rFonts w:ascii="宋体" w:hAnsi="宋体" w:eastAsia="宋体"/>
                <w:bCs/>
                <w:color w:val="auto"/>
                <w:kern w:val="2"/>
                <w:highlight w:val="none"/>
              </w:rPr>
            </w:pPr>
            <w:r>
              <w:rPr>
                <w:rFonts w:hint="eastAsia" w:ascii="宋体" w:hAnsi="宋体" w:eastAsia="宋体"/>
                <w:bCs/>
                <w:color w:val="auto"/>
                <w:kern w:val="2"/>
                <w:highlight w:val="none"/>
              </w:rPr>
              <w:t>4</w:t>
            </w:r>
          </w:p>
        </w:tc>
        <w:tc>
          <w:tcPr>
            <w:tcW w:w="1192" w:type="pct"/>
            <w:noWrap w:val="0"/>
            <w:vAlign w:val="center"/>
          </w:tcPr>
          <w:p w14:paraId="6B27ABFA">
            <w:pPr>
              <w:pStyle w:val="29"/>
              <w:widowControl w:val="0"/>
              <w:spacing w:before="0" w:beforeAutospacing="0" w:after="0" w:afterAutospacing="0" w:line="360" w:lineRule="auto"/>
              <w:rPr>
                <w:rFonts w:ascii="宋体" w:hAnsi="宋体" w:eastAsia="宋体"/>
                <w:b w:val="0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/>
                <w:b w:val="0"/>
                <w:color w:val="auto"/>
                <w:sz w:val="24"/>
                <w:highlight w:val="none"/>
              </w:rPr>
              <w:t>免费质保期</w:t>
            </w:r>
          </w:p>
        </w:tc>
        <w:tc>
          <w:tcPr>
            <w:tcW w:w="3217" w:type="pct"/>
            <w:noWrap w:val="0"/>
            <w:vAlign w:val="center"/>
          </w:tcPr>
          <w:p w14:paraId="59834DA2">
            <w:pPr>
              <w:pStyle w:val="29"/>
              <w:widowControl w:val="0"/>
              <w:spacing w:before="0" w:beforeAutospacing="0" w:after="0" w:afterAutospacing="0" w:line="360" w:lineRule="auto"/>
              <w:jc w:val="both"/>
              <w:rPr>
                <w:rFonts w:hint="eastAsia" w:ascii="宋体" w:hAnsi="宋体" w:eastAsia="宋体"/>
                <w:b w:val="0"/>
                <w:color w:val="auto"/>
                <w:sz w:val="24"/>
                <w:highlight w:val="none"/>
                <w:u w:val="none"/>
              </w:rPr>
            </w:pPr>
            <w:r>
              <w:rPr>
                <w:rFonts w:hint="eastAsia" w:ascii="宋体" w:hAnsi="宋体" w:eastAsia="宋体"/>
                <w:b w:val="0"/>
                <w:color w:val="auto"/>
                <w:sz w:val="24"/>
                <w:highlight w:val="none"/>
                <w:u w:val="none"/>
              </w:rPr>
              <w:t>不低于3年，从货物供货、安装、调试正常且经采购人综合运行验收合格后开始计算</w:t>
            </w:r>
          </w:p>
        </w:tc>
      </w:tr>
    </w:tbl>
    <w:p w14:paraId="665F60E7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37"/>
        <w:textAlignment w:val="auto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</w:rPr>
      </w:pPr>
      <w:bookmarkStart w:id="3" w:name="_Toc5944"/>
      <w:bookmarkStart w:id="4" w:name="_Toc7671"/>
      <w:bookmarkStart w:id="5" w:name="_Toc22395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</w:rPr>
        <w:t>二、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货物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</w:rPr>
        <w:t>需求</w:t>
      </w:r>
      <w:bookmarkEnd w:id="3"/>
      <w:bookmarkEnd w:id="4"/>
      <w:bookmarkEnd w:id="5"/>
    </w:p>
    <w:p w14:paraId="184D68BF">
      <w:pPr>
        <w:pStyle w:val="3"/>
        <w:spacing w:before="0" w:beforeLines="-2147483648" w:after="0" w:afterLines="-2147483648" w:line="240" w:lineRule="auto"/>
        <w:rPr>
          <w:rFonts w:hint="eastAsia" w:ascii="宋体" w:hAnsi="宋体" w:eastAsia="宋体" w:cs="宋体"/>
          <w:b/>
          <w:i w:val="0"/>
          <w:i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i w:val="0"/>
          <w:i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（一）货物指标重要性表述</w:t>
      </w:r>
    </w:p>
    <w:tbl>
      <w:tblPr>
        <w:tblStyle w:val="9"/>
        <w:tblW w:w="529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4"/>
        <w:gridCol w:w="1406"/>
        <w:gridCol w:w="5650"/>
      </w:tblGrid>
      <w:tr w14:paraId="19EA48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9" w:type="pct"/>
            <w:noWrap w:val="0"/>
            <w:vAlign w:val="center"/>
          </w:tcPr>
          <w:p w14:paraId="197A9E50">
            <w:pPr>
              <w:spacing w:line="360" w:lineRule="auto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highlight w:val="none"/>
              </w:rPr>
              <w:t>标识重要性</w:t>
            </w:r>
          </w:p>
        </w:tc>
        <w:tc>
          <w:tcPr>
            <w:tcW w:w="779" w:type="pct"/>
            <w:noWrap w:val="0"/>
            <w:vAlign w:val="center"/>
          </w:tcPr>
          <w:p w14:paraId="391134F5">
            <w:pPr>
              <w:spacing w:line="360" w:lineRule="auto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highlight w:val="none"/>
              </w:rPr>
              <w:t>标识符号</w:t>
            </w:r>
          </w:p>
        </w:tc>
        <w:tc>
          <w:tcPr>
            <w:tcW w:w="3131" w:type="pct"/>
            <w:noWrap w:val="0"/>
            <w:vAlign w:val="center"/>
          </w:tcPr>
          <w:p w14:paraId="47566C9F">
            <w:pPr>
              <w:spacing w:line="360" w:lineRule="auto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highlight w:val="none"/>
              </w:rPr>
              <w:t>符号说明</w:t>
            </w:r>
          </w:p>
        </w:tc>
      </w:tr>
      <w:tr w14:paraId="01AF4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9" w:type="pct"/>
            <w:noWrap w:val="0"/>
            <w:vAlign w:val="top"/>
          </w:tcPr>
          <w:p w14:paraId="179C4E58">
            <w:pPr>
              <w:spacing w:after="300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重要指标项</w:t>
            </w:r>
          </w:p>
        </w:tc>
        <w:tc>
          <w:tcPr>
            <w:tcW w:w="779" w:type="pct"/>
            <w:noWrap w:val="0"/>
            <w:vAlign w:val="top"/>
          </w:tcPr>
          <w:p w14:paraId="46157B7A">
            <w:pPr>
              <w:spacing w:after="3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■</w:t>
            </w:r>
          </w:p>
        </w:tc>
        <w:tc>
          <w:tcPr>
            <w:tcW w:w="3131" w:type="pct"/>
            <w:noWrap w:val="0"/>
            <w:vAlign w:val="top"/>
          </w:tcPr>
          <w:p w14:paraId="21DD00C5">
            <w:pPr>
              <w:spacing w:after="3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评分项，每满足一项得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5.5</w:t>
            </w:r>
            <w:bookmarkStart w:id="6" w:name="_GoBack"/>
            <w:bookmarkEnd w:id="6"/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分</w:t>
            </w:r>
          </w:p>
        </w:tc>
      </w:tr>
      <w:tr w14:paraId="009C7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  <w:jc w:val="center"/>
        </w:trPr>
        <w:tc>
          <w:tcPr>
            <w:tcW w:w="1089" w:type="pct"/>
            <w:noWrap w:val="0"/>
            <w:vAlign w:val="top"/>
          </w:tcPr>
          <w:p w14:paraId="42C35090">
            <w:pPr>
              <w:spacing w:after="300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一般指标项</w:t>
            </w:r>
          </w:p>
        </w:tc>
        <w:tc>
          <w:tcPr>
            <w:tcW w:w="779" w:type="pct"/>
            <w:noWrap w:val="0"/>
            <w:vAlign w:val="top"/>
          </w:tcPr>
          <w:p w14:paraId="7B76A33C">
            <w:pPr>
              <w:spacing w:after="3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●</w:t>
            </w:r>
          </w:p>
        </w:tc>
        <w:tc>
          <w:tcPr>
            <w:tcW w:w="3131" w:type="pct"/>
            <w:noWrap w:val="0"/>
            <w:vAlign w:val="top"/>
          </w:tcPr>
          <w:p w14:paraId="24FFB7E6">
            <w:pPr>
              <w:spacing w:after="3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评分项，每满足一项得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分</w:t>
            </w:r>
          </w:p>
        </w:tc>
      </w:tr>
    </w:tbl>
    <w:p w14:paraId="50C8E38B"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 w:eastAsia="宋体" w:cs="宋体"/>
          <w:b/>
          <w:color w:val="000000"/>
          <w:sz w:val="24"/>
          <w:szCs w:val="24"/>
          <w:highlight w:val="none"/>
        </w:rPr>
      </w:pPr>
    </w:p>
    <w:p w14:paraId="19C54313">
      <w:pPr>
        <w:pStyle w:val="3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（二）技术参数及要求</w:t>
      </w:r>
    </w:p>
    <w:tbl>
      <w:tblPr>
        <w:tblStyle w:val="9"/>
        <w:tblW w:w="467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1"/>
        <w:gridCol w:w="1002"/>
        <w:gridCol w:w="4279"/>
        <w:gridCol w:w="749"/>
        <w:gridCol w:w="830"/>
        <w:gridCol w:w="532"/>
      </w:tblGrid>
      <w:tr w14:paraId="07B72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8" w:type="pct"/>
            <w:vAlign w:val="center"/>
          </w:tcPr>
          <w:p w14:paraId="0E145A51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629" w:type="pct"/>
            <w:vAlign w:val="center"/>
          </w:tcPr>
          <w:p w14:paraId="7FD75FE5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  <w:t>货物名称</w:t>
            </w:r>
          </w:p>
        </w:tc>
        <w:tc>
          <w:tcPr>
            <w:tcW w:w="2686" w:type="pct"/>
            <w:vAlign w:val="center"/>
          </w:tcPr>
          <w:p w14:paraId="64A8F5DA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  <w:t>技术参数及要求</w:t>
            </w:r>
          </w:p>
        </w:tc>
        <w:tc>
          <w:tcPr>
            <w:tcW w:w="470" w:type="pct"/>
            <w:vAlign w:val="center"/>
          </w:tcPr>
          <w:p w14:paraId="5E152BF3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  <w:t>数量（单位）</w:t>
            </w:r>
          </w:p>
        </w:tc>
        <w:tc>
          <w:tcPr>
            <w:tcW w:w="521" w:type="pct"/>
            <w:vAlign w:val="center"/>
          </w:tcPr>
          <w:p w14:paraId="47193370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  <w:t>所属行业</w:t>
            </w:r>
          </w:p>
        </w:tc>
        <w:tc>
          <w:tcPr>
            <w:tcW w:w="334" w:type="pct"/>
            <w:vAlign w:val="center"/>
          </w:tcPr>
          <w:p w14:paraId="255A6B82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 w14:paraId="5731C3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  <w:jc w:val="center"/>
        </w:trPr>
        <w:tc>
          <w:tcPr>
            <w:tcW w:w="358" w:type="pct"/>
            <w:vMerge w:val="restart"/>
            <w:vAlign w:val="center"/>
          </w:tcPr>
          <w:p w14:paraId="78B6E70F">
            <w:pPr>
              <w:spacing w:line="360" w:lineRule="auto"/>
              <w:jc w:val="center"/>
              <w:rPr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29" w:type="pct"/>
            <w:vMerge w:val="restart"/>
            <w:vAlign w:val="center"/>
          </w:tcPr>
          <w:p w14:paraId="6D1EFC67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▲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转塔式自动测试分选机</w:t>
            </w:r>
          </w:p>
        </w:tc>
        <w:tc>
          <w:tcPr>
            <w:tcW w:w="2686" w:type="pct"/>
          </w:tcPr>
          <w:p w14:paraId="78A643AD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●1、设备性能</w:t>
            </w:r>
          </w:p>
          <w:p w14:paraId="4952B378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功能要求：支持 QFN、QFP、SOP、TSOP等不同封装形式的分选，兼容塑封、玻璃、陶瓷等不同封装材质，满足多规格器件分选需求。</w:t>
            </w:r>
          </w:p>
          <w:p w14:paraId="190DBE8A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性能指标：可分选产品尺寸范围为 1mm×1mm~8mm×8mm，厚度范围：0.3 mm~3.0 mm。</w:t>
            </w:r>
          </w:p>
          <w:p w14:paraId="12269C74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（投标文件中需提供技术白皮书或产品彩页或具有CMA标识的第三方检测报告证明）</w:t>
            </w:r>
          </w:p>
        </w:tc>
        <w:tc>
          <w:tcPr>
            <w:tcW w:w="470" w:type="pct"/>
            <w:vMerge w:val="restart"/>
            <w:vAlign w:val="center"/>
          </w:tcPr>
          <w:p w14:paraId="1B890304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521" w:type="pct"/>
            <w:vMerge w:val="restart"/>
            <w:vAlign w:val="center"/>
          </w:tcPr>
          <w:p w14:paraId="014E20DF">
            <w:pPr>
              <w:spacing w:line="360" w:lineRule="auto"/>
              <w:jc w:val="center"/>
              <w:rPr>
                <w:rFonts w:hint="default" w:eastAsia="宋体"/>
                <w:bCs/>
                <w:color w:val="000000" w:themeColor="text1"/>
                <w:sz w:val="24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Cs/>
                <w:color w:val="000000" w:themeColor="text1"/>
                <w:sz w:val="24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工业</w:t>
            </w:r>
          </w:p>
        </w:tc>
        <w:tc>
          <w:tcPr>
            <w:tcW w:w="334" w:type="pct"/>
            <w:vMerge w:val="restart"/>
            <w:vAlign w:val="center"/>
          </w:tcPr>
          <w:p w14:paraId="720ECC85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F0FA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8" w:type="pct"/>
            <w:vMerge w:val="continue"/>
            <w:tcBorders/>
            <w:vAlign w:val="center"/>
          </w:tcPr>
          <w:p w14:paraId="7A981145">
            <w:pPr>
              <w:spacing w:line="360" w:lineRule="auto"/>
              <w:jc w:val="center"/>
              <w:rPr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9" w:type="pct"/>
            <w:vMerge w:val="continue"/>
            <w:tcBorders/>
            <w:vAlign w:val="center"/>
          </w:tcPr>
          <w:p w14:paraId="75BEDFE2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86" w:type="pct"/>
          </w:tcPr>
          <w:p w14:paraId="50C3AEE9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●2、设备结构</w:t>
            </w:r>
          </w:p>
          <w:p w14:paraId="1E65DB53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功能要求：水平旋转系统用于实现芯片在各工位间的高速精确定位传送；垂直下压系统负责完成测试等工位的精密压接动作。</w:t>
            </w:r>
          </w:p>
          <w:p w14:paraId="0D9BBEAE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性能指标：</w:t>
            </w:r>
          </w:p>
          <w:p w14:paraId="7C1A2B17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转塔驱动：重复定位精度 ≤ ±0.005°</w:t>
            </w:r>
          </w:p>
          <w:p w14:paraId="14115DF4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下压驱动：各测试工位下压单元独立驱动，下压位置重复精度 ≤ ±0.02 mm，下压力可控范围 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5N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50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N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，控制精度 ±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1N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 w14:paraId="520E9117">
            <w:pPr>
              <w:spacing w:line="360" w:lineRule="auto"/>
              <w:jc w:val="left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（投标文件中需提供技术白皮书或产品彩页或具有CMA标识的第三方检测报告证明）</w:t>
            </w:r>
          </w:p>
        </w:tc>
        <w:tc>
          <w:tcPr>
            <w:tcW w:w="470" w:type="pct"/>
            <w:vMerge w:val="continue"/>
            <w:tcBorders/>
            <w:vAlign w:val="center"/>
          </w:tcPr>
          <w:p w14:paraId="096E668E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1" w:type="pct"/>
            <w:vMerge w:val="continue"/>
            <w:tcBorders/>
            <w:vAlign w:val="center"/>
          </w:tcPr>
          <w:p w14:paraId="2D6364CA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4" w:type="pct"/>
            <w:vMerge w:val="continue"/>
            <w:tcBorders/>
            <w:vAlign w:val="center"/>
          </w:tcPr>
          <w:p w14:paraId="2B54179D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7BD05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  <w:jc w:val="center"/>
        </w:trPr>
        <w:tc>
          <w:tcPr>
            <w:tcW w:w="358" w:type="pct"/>
            <w:vMerge w:val="continue"/>
            <w:tcBorders/>
            <w:vAlign w:val="center"/>
          </w:tcPr>
          <w:p w14:paraId="450371A6">
            <w:pPr>
              <w:spacing w:line="360" w:lineRule="auto"/>
              <w:jc w:val="center"/>
              <w:rPr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9" w:type="pct"/>
            <w:vMerge w:val="continue"/>
            <w:tcBorders/>
            <w:vAlign w:val="center"/>
          </w:tcPr>
          <w:p w14:paraId="2EDC5954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86" w:type="pct"/>
          </w:tcPr>
          <w:p w14:paraId="49936E55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●3、自动上料系统</w:t>
            </w:r>
          </w:p>
          <w:p w14:paraId="3D9E65A9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功能要求：采用振动盘自动上料，物料经气轨式轨道输送，配备分离出料模块，实现物料有序分离；标配旋转电机，具备快速接料功能，保障入料流程的连续性与稳定性。</w:t>
            </w:r>
          </w:p>
        </w:tc>
        <w:tc>
          <w:tcPr>
            <w:tcW w:w="470" w:type="pct"/>
            <w:vMerge w:val="continue"/>
            <w:tcBorders/>
            <w:vAlign w:val="center"/>
          </w:tcPr>
          <w:p w14:paraId="0DEF2C3B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1" w:type="pct"/>
            <w:vMerge w:val="continue"/>
            <w:tcBorders/>
            <w:vAlign w:val="center"/>
          </w:tcPr>
          <w:p w14:paraId="1EEADEA6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4" w:type="pct"/>
            <w:vMerge w:val="continue"/>
            <w:tcBorders/>
            <w:vAlign w:val="center"/>
          </w:tcPr>
          <w:p w14:paraId="6D37A88E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DEDF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8" w:type="pct"/>
            <w:vMerge w:val="continue"/>
            <w:tcBorders/>
            <w:vAlign w:val="center"/>
          </w:tcPr>
          <w:p w14:paraId="7472E6AB">
            <w:pPr>
              <w:spacing w:line="360" w:lineRule="auto"/>
              <w:jc w:val="center"/>
              <w:rPr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9" w:type="pct"/>
            <w:vMerge w:val="continue"/>
            <w:tcBorders/>
            <w:vAlign w:val="center"/>
          </w:tcPr>
          <w:p w14:paraId="245D20FB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86" w:type="pct"/>
          </w:tcPr>
          <w:p w14:paraId="6F19FE8F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●4、控制系统</w:t>
            </w:r>
          </w:p>
          <w:p w14:paraId="30590752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功能要求：采用工业计算机结合运动控制卡组成控制系统，配备高精度电机驱动，确保运行平稳、噪音低；</w:t>
            </w:r>
          </w:p>
          <w:p w14:paraId="140FE3C5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保护功能：驱动系统具备过载保护，防止设备过载损坏；具备碰撞检测功能，避免芯片下压过程中设备受损；</w:t>
            </w:r>
          </w:p>
          <w:p w14:paraId="25EB0F40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安全配置：符合国家相关安全标准，配备紧急停止按钮、防护栏等安全装置；</w:t>
            </w:r>
          </w:p>
          <w:p w14:paraId="70B2F815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性能指标：</w:t>
            </w:r>
          </w:p>
          <w:p w14:paraId="68FC3E5A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运行噪音：在距离设备外壳1米、高度1.5米处测量，满载正常运行状态下，噪音 ≤ 65 dB(A)。</w:t>
            </w:r>
          </w:p>
          <w:p w14:paraId="2225F0B1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碰撞检测：下压工位须具备实时力矩检测功能，检测到力矩超限（可设置）后 within 10ms 内停止并报警，防止压碎芯片。</w:t>
            </w:r>
          </w:p>
          <w:p w14:paraId="2156EAFB">
            <w:pPr>
              <w:spacing w:line="360" w:lineRule="auto"/>
              <w:jc w:val="left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（投标文件中需提供技术白皮书或产品彩页或具有CMA标识的第三方检测报告证明）</w:t>
            </w:r>
          </w:p>
        </w:tc>
        <w:tc>
          <w:tcPr>
            <w:tcW w:w="470" w:type="pct"/>
            <w:vMerge w:val="continue"/>
            <w:tcBorders/>
            <w:vAlign w:val="center"/>
          </w:tcPr>
          <w:p w14:paraId="58C3AA4D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1" w:type="pct"/>
            <w:vMerge w:val="continue"/>
            <w:tcBorders/>
            <w:vAlign w:val="center"/>
          </w:tcPr>
          <w:p w14:paraId="77B196C1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4" w:type="pct"/>
            <w:vMerge w:val="continue"/>
            <w:tcBorders/>
            <w:vAlign w:val="center"/>
          </w:tcPr>
          <w:p w14:paraId="6A2108F4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9969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8" w:type="pct"/>
            <w:vMerge w:val="continue"/>
            <w:tcBorders/>
            <w:vAlign w:val="center"/>
          </w:tcPr>
          <w:p w14:paraId="127559CA">
            <w:pPr>
              <w:spacing w:line="360" w:lineRule="auto"/>
              <w:jc w:val="center"/>
              <w:rPr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9" w:type="pct"/>
            <w:vMerge w:val="continue"/>
            <w:tcBorders/>
            <w:vAlign w:val="center"/>
          </w:tcPr>
          <w:p w14:paraId="3E98E397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86" w:type="pct"/>
          </w:tcPr>
          <w:p w14:paraId="0EF1DF03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●5、视觉检测系统：</w:t>
            </w:r>
          </w:p>
          <w:p w14:paraId="2D67B06C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功能要求：采用高像素 CCD 检测器，支持芯片表面方向检查、印字检查、表面刮痕检查、脏污检查、字符检查、四边崩边检测及编带封压前表面检测；</w:t>
            </w:r>
          </w:p>
          <w:p w14:paraId="562EF413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性能指标：检测精度≤15μm。</w:t>
            </w:r>
          </w:p>
          <w:p w14:paraId="0B3DF89A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CCD像素≥500万像素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检测分辨率不低于2592×2048像素</w:t>
            </w:r>
          </w:p>
        </w:tc>
        <w:tc>
          <w:tcPr>
            <w:tcW w:w="470" w:type="pct"/>
            <w:vMerge w:val="continue"/>
            <w:tcBorders/>
            <w:vAlign w:val="center"/>
          </w:tcPr>
          <w:p w14:paraId="4E7541DF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1" w:type="pct"/>
            <w:vMerge w:val="continue"/>
            <w:tcBorders/>
            <w:vAlign w:val="center"/>
          </w:tcPr>
          <w:p w14:paraId="68A9A772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4" w:type="pct"/>
            <w:vMerge w:val="continue"/>
            <w:tcBorders/>
            <w:vAlign w:val="center"/>
          </w:tcPr>
          <w:p w14:paraId="367B8770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73BB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8" w:type="pct"/>
            <w:vMerge w:val="continue"/>
            <w:tcBorders/>
            <w:vAlign w:val="center"/>
          </w:tcPr>
          <w:p w14:paraId="216B978C">
            <w:pPr>
              <w:spacing w:line="360" w:lineRule="auto"/>
              <w:jc w:val="center"/>
              <w:rPr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9" w:type="pct"/>
            <w:vMerge w:val="continue"/>
            <w:tcBorders/>
            <w:vAlign w:val="center"/>
          </w:tcPr>
          <w:p w14:paraId="360A51BB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86" w:type="pct"/>
          </w:tcPr>
          <w:p w14:paraId="0C942233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●6、后处理功能</w:t>
            </w:r>
          </w:p>
          <w:p w14:paraId="0ABDF167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功能要求：具备计数功能，可对合格半导体模块进行编带包装输送；支持温度控制与封带压力调整，满足封带拉力要求；配备温度保护功能，温度超出设定范围±2℃或加热关闭时，设备停机并报警；编带热封刀动作由高速耐高温马达控制；可预设编带数量，前后空格及装带数量可任意设定。</w:t>
            </w:r>
          </w:p>
          <w:p w14:paraId="5734DCA7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清料盒：可收集管装收料失败、编带收料失败及各站前异常器件，同时收集清转盘时各站器件；支持设定连续不良数量与料盒装满数量，达到设定值时自动停机，便于检修或更换空料盒；具备料盒存在自动感知功能。</w:t>
            </w:r>
          </w:p>
          <w:p w14:paraId="3296FCE7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性能指标：</w:t>
            </w:r>
          </w:p>
          <w:p w14:paraId="21B9D2FE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编带速度：编带机最大线速度 ≥ 150 m/min。</w:t>
            </w:r>
          </w:p>
          <w:p w14:paraId="61B94D2E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温控性能：热封头温控范围：室温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至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200℃，控制精度 ±1℃。</w:t>
            </w:r>
          </w:p>
          <w:p w14:paraId="0700DF94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封带质量：封带后，按GJB 244A-97方法测试，剥离强度 ≥ 0.5 N/cm。</w:t>
            </w:r>
          </w:p>
          <w:p w14:paraId="591EC897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料盒容量：异常品收集料盒容量 ≥ 2000颗，并具备料满实时传感报警功能。</w:t>
            </w:r>
          </w:p>
          <w:p w14:paraId="60C93993">
            <w:pPr>
              <w:spacing w:line="360" w:lineRule="auto"/>
              <w:jc w:val="left"/>
              <w:rPr>
                <w:rFonts w:eastAsiaTheme="minorEastAsia"/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（投标文件中需提供技术白皮书或产品彩页或具有CMA标识的第三方检测报告证明）</w:t>
            </w:r>
          </w:p>
        </w:tc>
        <w:tc>
          <w:tcPr>
            <w:tcW w:w="470" w:type="pct"/>
            <w:vMerge w:val="continue"/>
            <w:tcBorders/>
            <w:vAlign w:val="center"/>
          </w:tcPr>
          <w:p w14:paraId="0CB0D4D6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1" w:type="pct"/>
            <w:vMerge w:val="continue"/>
            <w:tcBorders/>
            <w:vAlign w:val="center"/>
          </w:tcPr>
          <w:p w14:paraId="17C05457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4" w:type="pct"/>
            <w:vMerge w:val="continue"/>
            <w:tcBorders/>
            <w:vAlign w:val="center"/>
          </w:tcPr>
          <w:p w14:paraId="2664B467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08C6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8" w:type="pct"/>
            <w:vMerge w:val="continue"/>
            <w:tcBorders/>
            <w:vAlign w:val="center"/>
          </w:tcPr>
          <w:p w14:paraId="6FF0BBDE">
            <w:pPr>
              <w:spacing w:line="360" w:lineRule="auto"/>
              <w:jc w:val="center"/>
              <w:rPr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9" w:type="pct"/>
            <w:vMerge w:val="continue"/>
            <w:tcBorders/>
            <w:vAlign w:val="center"/>
          </w:tcPr>
          <w:p w14:paraId="2C6DE09F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86" w:type="pct"/>
          </w:tcPr>
          <w:p w14:paraId="567B7B6D">
            <w:pPr>
              <w:spacing w:line="360" w:lineRule="auto"/>
              <w:jc w:val="left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  <w:t>●7、</w:t>
            </w:r>
            <w:r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  <w:t>能耗指标</w:t>
            </w:r>
          </w:p>
          <w:p w14:paraId="65E416D7">
            <w:pPr>
              <w:spacing w:line="360" w:lineRule="auto"/>
              <w:jc w:val="left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  <w:t>性能指标：要求设备正常运行状态下能耗≤15kW/h，符合节能要求。</w:t>
            </w:r>
          </w:p>
        </w:tc>
        <w:tc>
          <w:tcPr>
            <w:tcW w:w="470" w:type="pct"/>
            <w:vMerge w:val="continue"/>
            <w:tcBorders/>
            <w:vAlign w:val="center"/>
          </w:tcPr>
          <w:p w14:paraId="4A260D53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1" w:type="pct"/>
            <w:vMerge w:val="continue"/>
            <w:tcBorders/>
            <w:vAlign w:val="center"/>
          </w:tcPr>
          <w:p w14:paraId="41DA0A1D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4" w:type="pct"/>
            <w:vMerge w:val="continue"/>
            <w:tcBorders/>
            <w:vAlign w:val="center"/>
          </w:tcPr>
          <w:p w14:paraId="4F313844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29A5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8" w:type="pct"/>
            <w:vMerge w:val="continue"/>
            <w:tcBorders/>
          </w:tcPr>
          <w:p w14:paraId="6CE3B413">
            <w:pPr>
              <w:spacing w:line="360" w:lineRule="auto"/>
              <w:jc w:val="center"/>
              <w:rPr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9" w:type="pct"/>
            <w:vMerge w:val="continue"/>
            <w:tcBorders/>
          </w:tcPr>
          <w:p w14:paraId="256EC0AB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86" w:type="pct"/>
          </w:tcPr>
          <w:p w14:paraId="2ECA459C">
            <w:pPr>
              <w:spacing w:line="360" w:lineRule="auto"/>
              <w:jc w:val="left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■8、</w:t>
            </w:r>
            <w:r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  <w:t>自动EQC测试模块</w:t>
            </w:r>
          </w:p>
          <w:p w14:paraId="1BEC026B">
            <w:pPr>
              <w:spacing w:line="360" w:lineRule="auto"/>
              <w:jc w:val="left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  <w:t>功能要求：支持Golden Sample自动取放，可自动调用并执行GU测试程序及数据分析，能与预设标准值比对；具备EQC Sample自动存放功能，可自动切换至 EQC模式并完成整套 EQC流程，用于验证设备工作状态的稳定性与精准性（EQC：Equipment Quality Certification，即设备质量认证）。</w:t>
            </w:r>
          </w:p>
          <w:p w14:paraId="5943E398">
            <w:pPr>
              <w:spacing w:line="360" w:lineRule="auto"/>
              <w:jc w:val="left"/>
              <w:rPr>
                <w:rFonts w:eastAsiaTheme="minorEastAsia"/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（投标文件中需提供技术白皮书或产品彩页或具有CMA标识的第三方检测报告证明）</w:t>
            </w:r>
          </w:p>
        </w:tc>
        <w:tc>
          <w:tcPr>
            <w:tcW w:w="470" w:type="pct"/>
            <w:vMerge w:val="continue"/>
            <w:tcBorders/>
          </w:tcPr>
          <w:p w14:paraId="6F291EEF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1" w:type="pct"/>
            <w:vMerge w:val="continue"/>
            <w:tcBorders/>
          </w:tcPr>
          <w:p w14:paraId="46D09A3C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4" w:type="pct"/>
            <w:vMerge w:val="continue"/>
            <w:tcBorders/>
          </w:tcPr>
          <w:p w14:paraId="1FCDDC60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4416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8" w:type="pct"/>
            <w:vMerge w:val="continue"/>
            <w:tcBorders/>
          </w:tcPr>
          <w:p w14:paraId="30F1EEA0">
            <w:pPr>
              <w:spacing w:line="360" w:lineRule="auto"/>
              <w:jc w:val="center"/>
              <w:rPr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9" w:type="pct"/>
            <w:vMerge w:val="continue"/>
            <w:tcBorders/>
          </w:tcPr>
          <w:p w14:paraId="182268C1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86" w:type="pct"/>
          </w:tcPr>
          <w:p w14:paraId="18FB09E9">
            <w:pPr>
              <w:spacing w:line="360" w:lineRule="auto"/>
              <w:jc w:val="left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■9、</w:t>
            </w:r>
            <w:r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  <w:t>定制化智能分选软件</w:t>
            </w:r>
          </w:p>
          <w:p w14:paraId="62A330A2">
            <w:pPr>
              <w:spacing w:line="360" w:lineRule="auto"/>
              <w:jc w:val="left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  <w:t>功能要求：软件界面为全中文图形化界面，便于操作人员快速掌握；支持 SECS/GEM 标准通讯协议，提供标准 EAP 接口，可与上层 MES 系统无缝集成；具备远程控制、数据自动采集及配方下发功能。</w:t>
            </w:r>
          </w:p>
          <w:p w14:paraId="75E93918">
            <w:pPr>
              <w:spacing w:line="360" w:lineRule="auto"/>
              <w:jc w:val="left"/>
              <w:rPr>
                <w:rFonts w:eastAsiaTheme="minorEastAsia"/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（投标文件中需提供技术白皮书或产品彩页或具有CMA标识的第三方检测报告证明）</w:t>
            </w:r>
          </w:p>
        </w:tc>
        <w:tc>
          <w:tcPr>
            <w:tcW w:w="470" w:type="pct"/>
            <w:vMerge w:val="continue"/>
            <w:tcBorders/>
          </w:tcPr>
          <w:p w14:paraId="6EE27AB5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1" w:type="pct"/>
            <w:vMerge w:val="continue"/>
            <w:tcBorders/>
          </w:tcPr>
          <w:p w14:paraId="3A88188F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4" w:type="pct"/>
            <w:vMerge w:val="continue"/>
            <w:tcBorders/>
          </w:tcPr>
          <w:p w14:paraId="75B669A4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19450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8" w:type="pct"/>
            <w:vMerge w:val="continue"/>
            <w:tcBorders/>
          </w:tcPr>
          <w:p w14:paraId="3F0ECA79">
            <w:pPr>
              <w:spacing w:line="360" w:lineRule="auto"/>
              <w:jc w:val="center"/>
              <w:rPr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9" w:type="pct"/>
            <w:vMerge w:val="continue"/>
            <w:tcBorders/>
          </w:tcPr>
          <w:p w14:paraId="652A2F2B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86" w:type="pct"/>
          </w:tcPr>
          <w:p w14:paraId="33725CA1">
            <w:pPr>
              <w:spacing w:line="360" w:lineRule="auto"/>
              <w:jc w:val="left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■10、设备</w:t>
            </w:r>
            <w:r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  <w:t>智能化管理系统与软件配置</w:t>
            </w:r>
          </w:p>
          <w:p w14:paraId="61367F3D">
            <w:pPr>
              <w:spacing w:line="360" w:lineRule="auto"/>
              <w:ind w:firstLine="480" w:firstLineChars="200"/>
              <w:jc w:val="left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  <w:t>功能要求：集成设备智能化管理及软件系统，须包含实时监控功能，如运动时序、设备状态、UPH、卡料报警、测试超时计数等，支持测试良率统计、Bin分类、产出查询与效率分析；具备吸嘴屏蔽、测试板寿命管控能力；可选配设备诊断软件，通过高速摄像或运动分析功能诊断机械问题。</w:t>
            </w:r>
          </w:p>
          <w:p w14:paraId="0524B3EF">
            <w:pPr>
              <w:spacing w:line="360" w:lineRule="auto"/>
              <w:jc w:val="left"/>
              <w:rPr>
                <w:rFonts w:eastAsiaTheme="minorEastAsia"/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（投标文件中需提供技术白皮书或产品彩页或具有CMA标识的第三方检测报告证明）</w:t>
            </w:r>
          </w:p>
        </w:tc>
        <w:tc>
          <w:tcPr>
            <w:tcW w:w="470" w:type="pct"/>
            <w:vMerge w:val="continue"/>
            <w:tcBorders/>
          </w:tcPr>
          <w:p w14:paraId="50507767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1" w:type="pct"/>
            <w:vMerge w:val="continue"/>
            <w:tcBorders/>
          </w:tcPr>
          <w:p w14:paraId="2FEE8C88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4" w:type="pct"/>
            <w:vMerge w:val="continue"/>
            <w:tcBorders/>
          </w:tcPr>
          <w:p w14:paraId="6DAE35B9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A5CC3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58" w:type="pct"/>
            <w:vMerge w:val="continue"/>
            <w:tcBorders/>
          </w:tcPr>
          <w:p w14:paraId="7B89A0AE">
            <w:pPr>
              <w:spacing w:line="360" w:lineRule="auto"/>
              <w:jc w:val="center"/>
              <w:rPr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9" w:type="pct"/>
            <w:vMerge w:val="continue"/>
            <w:tcBorders/>
          </w:tcPr>
          <w:p w14:paraId="40FF54EA">
            <w:pPr>
              <w:spacing w:line="360" w:lineRule="auto"/>
              <w:jc w:val="left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86" w:type="pct"/>
          </w:tcPr>
          <w:p w14:paraId="58AE285A">
            <w:pPr>
              <w:spacing w:line="360" w:lineRule="auto"/>
              <w:jc w:val="left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  <w:t>■11、温度测试性能</w:t>
            </w:r>
          </w:p>
          <w:p w14:paraId="1F03750C">
            <w:pPr>
              <w:spacing w:line="360" w:lineRule="auto"/>
              <w:ind w:firstLine="480" w:firstLineChars="200"/>
              <w:jc w:val="left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  <w:t>功能要求：各工位须支持25℃至85℃温度测试，</w:t>
            </w:r>
            <w:r>
              <w:rPr>
                <w:rFonts w:hint="eastAsia"/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  <w:t>控温精度要求达到   ±2℃。</w:t>
            </w:r>
            <w:r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  <w:t>可模拟芯片真实工作环境，确保测试准确性。</w:t>
            </w:r>
          </w:p>
          <w:p w14:paraId="5A92E9A3">
            <w:pPr>
              <w:spacing w:line="360" w:lineRule="auto"/>
              <w:jc w:val="left"/>
              <w:rPr>
                <w:rFonts w:eastAsiaTheme="minorEastAsia"/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（投标文件中需提供技术白皮书或产品彩页或具有CMA标识的第三方检测报告证明）</w:t>
            </w:r>
          </w:p>
        </w:tc>
        <w:tc>
          <w:tcPr>
            <w:tcW w:w="470" w:type="pct"/>
            <w:vMerge w:val="continue"/>
            <w:tcBorders/>
          </w:tcPr>
          <w:p w14:paraId="45411ECA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1" w:type="pct"/>
            <w:vMerge w:val="continue"/>
            <w:tcBorders/>
          </w:tcPr>
          <w:p w14:paraId="06DF27D0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4" w:type="pct"/>
            <w:vMerge w:val="continue"/>
            <w:tcBorders/>
          </w:tcPr>
          <w:p w14:paraId="2DBE6B77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48B3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8" w:type="pct"/>
            <w:vMerge w:val="continue"/>
            <w:tcBorders/>
          </w:tcPr>
          <w:p w14:paraId="0732A4FD">
            <w:pPr>
              <w:spacing w:line="360" w:lineRule="auto"/>
              <w:jc w:val="center"/>
              <w:rPr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9" w:type="pct"/>
            <w:vMerge w:val="continue"/>
            <w:tcBorders/>
          </w:tcPr>
          <w:p w14:paraId="1ABE519A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86" w:type="pct"/>
          </w:tcPr>
          <w:p w14:paraId="02CB0354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■1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、系统集成与联机功能</w:t>
            </w:r>
          </w:p>
          <w:p w14:paraId="62DCF0E5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功能要求：配套提供不少于四类芯片测试样例与配套硬件（如音响功率放大器，电源管理，逻辑门，模拟开关等）；支持通过该设备的接口信号线与现有测试设备联通，软件可配置联机模式，具备时序同步及转塔转速优化功能，可模拟运行并排查超时、接触不良等异常；设备可扩展其他无人化生产设备联动的能力。</w:t>
            </w:r>
          </w:p>
          <w:p w14:paraId="6949A2F7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同时需提供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提供完整的设备操作说明，包括开机、关机及日常点检流程，并明确上料与测试接触稳定性调试方法（含振动盘/上料器校准、导轨宽度调节、转塔转速优化等），以有效预防卡料与跳料问题。</w:t>
            </w:r>
          </w:p>
          <w:p w14:paraId="00F49227">
            <w:pPr>
              <w:spacing w:line="360" w:lineRule="auto"/>
              <w:jc w:val="lef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性能要求：每类提供不少于50颗良品与10颗已知坏品，并提供上述芯片对应的、已调试好的专用测试板。 </w:t>
            </w:r>
          </w:p>
          <w:p w14:paraId="4B437278">
            <w:pPr>
              <w:spacing w:line="360" w:lineRule="auto"/>
              <w:jc w:val="left"/>
              <w:rPr>
                <w:rFonts w:eastAsiaTheme="minorEastAsia"/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（投标文件中需提供技术白皮书或产品彩页或具有CMA标识的第三方检测报告证明）</w:t>
            </w:r>
          </w:p>
        </w:tc>
        <w:tc>
          <w:tcPr>
            <w:tcW w:w="470" w:type="pct"/>
            <w:vMerge w:val="continue"/>
            <w:tcBorders/>
          </w:tcPr>
          <w:p w14:paraId="3CCBCCBD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1" w:type="pct"/>
            <w:vMerge w:val="continue"/>
            <w:tcBorders/>
          </w:tcPr>
          <w:p w14:paraId="09A20F8B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4" w:type="pct"/>
            <w:vMerge w:val="continue"/>
            <w:tcBorders/>
          </w:tcPr>
          <w:p w14:paraId="3FF8F336">
            <w:pPr>
              <w:spacing w:line="360" w:lineRule="auto"/>
              <w:jc w:val="center"/>
              <w:rPr>
                <w:bCs/>
                <w:color w:val="000000" w:themeColor="text1"/>
                <w:sz w:val="24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76353EAE">
      <w:pPr>
        <w:spacing w:line="360" w:lineRule="auto"/>
        <w:ind w:firstLine="437"/>
        <w:outlineLvl w:val="1"/>
        <w:rPr>
          <w:rFonts w:hint="eastAsia" w:ascii="宋体" w:hAnsi="宋体" w:eastAsia="宋体" w:cs="宋体"/>
          <w:b/>
          <w:color w:val="auto"/>
          <w:kern w:val="0"/>
          <w:sz w:val="24"/>
          <w:szCs w:val="18"/>
          <w:highlight w:val="none"/>
        </w:rPr>
      </w:pPr>
      <w:r>
        <w:rPr>
          <w:rFonts w:hint="eastAsia" w:ascii="宋体" w:hAnsi="宋体" w:eastAsia="宋体" w:cs="宋体"/>
          <w:b/>
          <w:color w:val="auto"/>
          <w:kern w:val="0"/>
          <w:sz w:val="24"/>
          <w:szCs w:val="18"/>
          <w:highlight w:val="none"/>
        </w:rPr>
        <w:t>三、安装调试、质保及售后服务要求</w:t>
      </w:r>
    </w:p>
    <w:p w14:paraId="284D7669">
      <w:pPr>
        <w:spacing w:line="360" w:lineRule="auto"/>
        <w:ind w:firstLine="437"/>
        <w:outlineLvl w:val="1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  <w:t>1.货物设备全部到货后中标人须派专业技术人员进行现场安装调试。</w:t>
      </w:r>
    </w:p>
    <w:p w14:paraId="09E96747">
      <w:pPr>
        <w:spacing w:line="360" w:lineRule="auto"/>
        <w:ind w:firstLine="437"/>
        <w:outlineLvl w:val="1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  <w:t>2.售后服务</w:t>
      </w:r>
    </w:p>
    <w:p w14:paraId="4758B634">
      <w:pPr>
        <w:spacing w:line="360" w:lineRule="auto"/>
        <w:ind w:firstLine="437"/>
        <w:outlineLvl w:val="1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  <w:t>2.1中标人在质保期内应为采购人提供以下技术支持和服务：</w:t>
      </w:r>
    </w:p>
    <w:p w14:paraId="6AE3F707">
      <w:pPr>
        <w:spacing w:line="360" w:lineRule="auto"/>
        <w:ind w:firstLine="437"/>
        <w:outlineLvl w:val="1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  <w:t>（1）电话咨询</w:t>
      </w:r>
    </w:p>
    <w:p w14:paraId="3796B1B9">
      <w:pPr>
        <w:spacing w:line="360" w:lineRule="auto"/>
        <w:ind w:firstLine="437"/>
        <w:outlineLvl w:val="1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  <w:t>中标人应当为采购人提供技术援助电话，解答采购人在使用中遇到的问题，及时为采购人提出解决问题的建议。</w:t>
      </w:r>
    </w:p>
    <w:p w14:paraId="5D808FAE">
      <w:pPr>
        <w:spacing w:line="360" w:lineRule="auto"/>
        <w:ind w:firstLine="437"/>
        <w:outlineLvl w:val="1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  <w:t>（2）现场响应</w:t>
      </w:r>
    </w:p>
    <w:p w14:paraId="614A28DA">
      <w:pPr>
        <w:spacing w:line="360" w:lineRule="auto"/>
        <w:ind w:firstLine="437"/>
        <w:outlineLvl w:val="1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  <w:t>采购人遇到使用及技术问题，电话咨询不能解决的，中标人应在24小时内到达现场进行处理，确保产品正常工作；无法在24小时内解决的，应在48小时内提供备用产品，使采购人能够正常使用。</w:t>
      </w:r>
    </w:p>
    <w:p w14:paraId="23C0778E">
      <w:pPr>
        <w:spacing w:line="360" w:lineRule="auto"/>
        <w:ind w:firstLine="437"/>
        <w:outlineLvl w:val="1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  <w:t>（3）技术升级</w:t>
      </w:r>
    </w:p>
    <w:p w14:paraId="5BB8BEF5">
      <w:pPr>
        <w:spacing w:line="360" w:lineRule="auto"/>
        <w:ind w:firstLine="437"/>
        <w:outlineLvl w:val="1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  <w:t>在质保期内，如果中标人的产品技术升级，中标人应及时通知采购人，如采购人有相应要求，中标人应对采购人购买的产品进行升级服务，费用包含着报价中。</w:t>
      </w:r>
    </w:p>
    <w:p w14:paraId="0EF84C89">
      <w:pPr>
        <w:spacing w:line="360" w:lineRule="auto"/>
        <w:ind w:firstLine="437"/>
        <w:outlineLvl w:val="1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  <w:t>2.2质保期外服务要求：</w:t>
      </w:r>
    </w:p>
    <w:p w14:paraId="456DFE9C">
      <w:pPr>
        <w:spacing w:line="360" w:lineRule="auto"/>
        <w:ind w:firstLine="437"/>
        <w:outlineLvl w:val="1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  <w:t>质保期到期后，中标人应继续提供电话咨询服务，并提供产品上门维护、维修等售后服务。</w:t>
      </w:r>
    </w:p>
    <w:p w14:paraId="4A0FF754">
      <w:pPr>
        <w:spacing w:line="360" w:lineRule="auto"/>
        <w:ind w:firstLine="437"/>
        <w:outlineLvl w:val="1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  <w:t>3.备品备件及易损件</w:t>
      </w:r>
    </w:p>
    <w:p w14:paraId="5482A1E1">
      <w:pPr>
        <w:spacing w:line="360" w:lineRule="auto"/>
        <w:ind w:firstLine="437"/>
        <w:outlineLvl w:val="1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  <w:t>中标人售后服务中，维修使用的备品备件及易损件原则上应为原装配件，未经采购人同意不得使用非原厂配件。</w:t>
      </w:r>
    </w:p>
    <w:p w14:paraId="7980FDC5">
      <w:pPr>
        <w:spacing w:line="360" w:lineRule="auto"/>
        <w:ind w:firstLine="437"/>
        <w:outlineLvl w:val="1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18"/>
          <w:highlight w:val="none"/>
        </w:rPr>
        <w:t>质保期内，若因中标人拒绝或未按要求提供技术支持，造成采购人有偿使用第三方机构的服务来满足使用需求的，由此产生的一切费用由中标人承担，中标人还应从约定的响应期限结束第二天起算，根据采购人未能正常使用产品或服务的实际天数，每天按照合同总价款的1‰向采购人支付违约金。</w:t>
      </w:r>
    </w:p>
    <w:p w14:paraId="0D69808B">
      <w:pPr>
        <w:spacing w:line="360" w:lineRule="auto"/>
        <w:ind w:firstLine="437"/>
        <w:outlineLvl w:val="1"/>
        <w:rPr>
          <w:rFonts w:hint="eastAsia" w:ascii="宋体" w:hAnsi="宋体" w:eastAsia="宋体" w:cs="宋体"/>
          <w:b/>
          <w:color w:val="auto"/>
          <w:kern w:val="0"/>
          <w:sz w:val="24"/>
          <w:szCs w:val="18"/>
          <w:highlight w:val="none"/>
        </w:rPr>
      </w:pPr>
      <w:r>
        <w:rPr>
          <w:rFonts w:hint="eastAsia" w:ascii="宋体" w:hAnsi="宋体" w:eastAsia="宋体" w:cs="宋体"/>
          <w:b/>
          <w:color w:val="auto"/>
          <w:kern w:val="0"/>
          <w:sz w:val="24"/>
          <w:szCs w:val="18"/>
          <w:highlight w:val="none"/>
        </w:rPr>
        <w:t>四、报价要求</w:t>
      </w:r>
    </w:p>
    <w:p w14:paraId="37484B9D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本项目报总价，报价为完成本项目所需产品成本、辅材费、运输费、人工费、装卸费、安装调试费、培训费、包装物清除费及各种应纳的税费等完成本项目所需的全部费用，采购人后期不追加费用。</w:t>
      </w:r>
    </w:p>
    <w:sectPr>
      <w:pgSz w:w="11906" w:h="16838"/>
      <w:pgMar w:top="1440" w:right="1800" w:bottom="1440" w:left="1800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EC124AE-B7E7-4B71-8905-8AA68A0E73D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894E792-DB66-40DA-8AD8-14CD3042924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12BECEA-6781-47CE-B0D5-3C1093EAFBF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1871688-6CA6-4BE6-8C0C-532779D901B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B7889B2A-E760-4BC4-894F-95D46277155F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6E8DC563-34E1-4493-BB6D-11B4D0E0E485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TrueTypeFonts/>
  <w:bordersDoNotSurroundHeader w:val="1"/>
  <w:bordersDoNotSurroundFooter w:val="1"/>
  <w:documentProtection w:enforcement="0"/>
  <w:defaultTabStop w:val="420"/>
  <w:noPunctuationKerning w:val="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3C3"/>
    <w:rsid w:val="00001559"/>
    <w:rsid w:val="000049FE"/>
    <w:rsid w:val="00017671"/>
    <w:rsid w:val="00021A41"/>
    <w:rsid w:val="00044493"/>
    <w:rsid w:val="000504C1"/>
    <w:rsid w:val="00054E9C"/>
    <w:rsid w:val="00056AD5"/>
    <w:rsid w:val="00083ED3"/>
    <w:rsid w:val="00091040"/>
    <w:rsid w:val="000970BB"/>
    <w:rsid w:val="000A395D"/>
    <w:rsid w:val="000B1165"/>
    <w:rsid w:val="000B29FD"/>
    <w:rsid w:val="000B3A31"/>
    <w:rsid w:val="000B6A41"/>
    <w:rsid w:val="000B7BA9"/>
    <w:rsid w:val="000F6641"/>
    <w:rsid w:val="00116792"/>
    <w:rsid w:val="0012393D"/>
    <w:rsid w:val="001378DB"/>
    <w:rsid w:val="00146119"/>
    <w:rsid w:val="001479FD"/>
    <w:rsid w:val="00162560"/>
    <w:rsid w:val="00191159"/>
    <w:rsid w:val="00196F1D"/>
    <w:rsid w:val="001B7129"/>
    <w:rsid w:val="001B735F"/>
    <w:rsid w:val="001E0218"/>
    <w:rsid w:val="001E0DE9"/>
    <w:rsid w:val="001E1B2F"/>
    <w:rsid w:val="001E5E28"/>
    <w:rsid w:val="00203D9E"/>
    <w:rsid w:val="0027671B"/>
    <w:rsid w:val="00281EE0"/>
    <w:rsid w:val="002873F5"/>
    <w:rsid w:val="002A4919"/>
    <w:rsid w:val="002B4A7C"/>
    <w:rsid w:val="002B7B76"/>
    <w:rsid w:val="002E77CD"/>
    <w:rsid w:val="00306710"/>
    <w:rsid w:val="00334F39"/>
    <w:rsid w:val="00352686"/>
    <w:rsid w:val="00364CBD"/>
    <w:rsid w:val="003774D9"/>
    <w:rsid w:val="0039208F"/>
    <w:rsid w:val="003D610D"/>
    <w:rsid w:val="003E74C5"/>
    <w:rsid w:val="003F2105"/>
    <w:rsid w:val="003F41D4"/>
    <w:rsid w:val="004022FE"/>
    <w:rsid w:val="004042DB"/>
    <w:rsid w:val="00435F1C"/>
    <w:rsid w:val="00446D37"/>
    <w:rsid w:val="00462771"/>
    <w:rsid w:val="004677F0"/>
    <w:rsid w:val="004A2CEC"/>
    <w:rsid w:val="004A7C83"/>
    <w:rsid w:val="004B4104"/>
    <w:rsid w:val="004D3182"/>
    <w:rsid w:val="004D362D"/>
    <w:rsid w:val="004D73F5"/>
    <w:rsid w:val="004E7F3C"/>
    <w:rsid w:val="004F2E7E"/>
    <w:rsid w:val="004F5478"/>
    <w:rsid w:val="004F7131"/>
    <w:rsid w:val="00516B2E"/>
    <w:rsid w:val="00561EBD"/>
    <w:rsid w:val="00567DB9"/>
    <w:rsid w:val="005928C6"/>
    <w:rsid w:val="005A6E30"/>
    <w:rsid w:val="005F1D26"/>
    <w:rsid w:val="00604B91"/>
    <w:rsid w:val="00630CEF"/>
    <w:rsid w:val="006424D9"/>
    <w:rsid w:val="006501DC"/>
    <w:rsid w:val="00650588"/>
    <w:rsid w:val="00655A73"/>
    <w:rsid w:val="00674921"/>
    <w:rsid w:val="00674A6E"/>
    <w:rsid w:val="0067735C"/>
    <w:rsid w:val="00684668"/>
    <w:rsid w:val="00686212"/>
    <w:rsid w:val="00692046"/>
    <w:rsid w:val="006A19C3"/>
    <w:rsid w:val="006B1F26"/>
    <w:rsid w:val="006E29C7"/>
    <w:rsid w:val="006F2F8B"/>
    <w:rsid w:val="0070595D"/>
    <w:rsid w:val="00717C7D"/>
    <w:rsid w:val="0076026F"/>
    <w:rsid w:val="007712B4"/>
    <w:rsid w:val="007864F1"/>
    <w:rsid w:val="007A3EC7"/>
    <w:rsid w:val="007A46E7"/>
    <w:rsid w:val="007A5F0E"/>
    <w:rsid w:val="007D5192"/>
    <w:rsid w:val="007E66B1"/>
    <w:rsid w:val="00823ACB"/>
    <w:rsid w:val="00827F27"/>
    <w:rsid w:val="00832CAC"/>
    <w:rsid w:val="008405E2"/>
    <w:rsid w:val="00846DBF"/>
    <w:rsid w:val="00847271"/>
    <w:rsid w:val="00852B70"/>
    <w:rsid w:val="0086187B"/>
    <w:rsid w:val="008714AC"/>
    <w:rsid w:val="008741E6"/>
    <w:rsid w:val="008821B5"/>
    <w:rsid w:val="00882E96"/>
    <w:rsid w:val="00890766"/>
    <w:rsid w:val="00891A42"/>
    <w:rsid w:val="008A042D"/>
    <w:rsid w:val="008C0A68"/>
    <w:rsid w:val="008C54EB"/>
    <w:rsid w:val="008D600B"/>
    <w:rsid w:val="008E6078"/>
    <w:rsid w:val="008F2589"/>
    <w:rsid w:val="00903EA9"/>
    <w:rsid w:val="0090462D"/>
    <w:rsid w:val="009055D5"/>
    <w:rsid w:val="0090607C"/>
    <w:rsid w:val="0095626A"/>
    <w:rsid w:val="009652D7"/>
    <w:rsid w:val="0097153F"/>
    <w:rsid w:val="0098217F"/>
    <w:rsid w:val="009A060F"/>
    <w:rsid w:val="009A20FA"/>
    <w:rsid w:val="009B1DE1"/>
    <w:rsid w:val="009B29C2"/>
    <w:rsid w:val="009E2957"/>
    <w:rsid w:val="009F14FA"/>
    <w:rsid w:val="00A106C9"/>
    <w:rsid w:val="00A20C21"/>
    <w:rsid w:val="00A35D6B"/>
    <w:rsid w:val="00A42F38"/>
    <w:rsid w:val="00A57CF2"/>
    <w:rsid w:val="00A63028"/>
    <w:rsid w:val="00A97E1D"/>
    <w:rsid w:val="00AC05ED"/>
    <w:rsid w:val="00AE455C"/>
    <w:rsid w:val="00AF30BE"/>
    <w:rsid w:val="00B13E7F"/>
    <w:rsid w:val="00B2504A"/>
    <w:rsid w:val="00B36D96"/>
    <w:rsid w:val="00B45C48"/>
    <w:rsid w:val="00B82DC8"/>
    <w:rsid w:val="00B85B7C"/>
    <w:rsid w:val="00B96E74"/>
    <w:rsid w:val="00BA485E"/>
    <w:rsid w:val="00BB59C0"/>
    <w:rsid w:val="00BC5E7A"/>
    <w:rsid w:val="00BD74A1"/>
    <w:rsid w:val="00BE3076"/>
    <w:rsid w:val="00BE443A"/>
    <w:rsid w:val="00BF1AF2"/>
    <w:rsid w:val="00C21300"/>
    <w:rsid w:val="00C353F2"/>
    <w:rsid w:val="00C45F24"/>
    <w:rsid w:val="00C51098"/>
    <w:rsid w:val="00C525FE"/>
    <w:rsid w:val="00C53947"/>
    <w:rsid w:val="00C76269"/>
    <w:rsid w:val="00C8120F"/>
    <w:rsid w:val="00C84941"/>
    <w:rsid w:val="00C86A43"/>
    <w:rsid w:val="00C92EAC"/>
    <w:rsid w:val="00CA221C"/>
    <w:rsid w:val="00CA23C3"/>
    <w:rsid w:val="00CA4EA3"/>
    <w:rsid w:val="00CA5E37"/>
    <w:rsid w:val="00CB040F"/>
    <w:rsid w:val="00CC770B"/>
    <w:rsid w:val="00CF2877"/>
    <w:rsid w:val="00CF789B"/>
    <w:rsid w:val="00D02196"/>
    <w:rsid w:val="00D112D0"/>
    <w:rsid w:val="00D20DFF"/>
    <w:rsid w:val="00D2396A"/>
    <w:rsid w:val="00D3387E"/>
    <w:rsid w:val="00D40FC0"/>
    <w:rsid w:val="00D425C1"/>
    <w:rsid w:val="00D56F10"/>
    <w:rsid w:val="00D72A09"/>
    <w:rsid w:val="00D85C43"/>
    <w:rsid w:val="00D94319"/>
    <w:rsid w:val="00DA37CC"/>
    <w:rsid w:val="00DB24AD"/>
    <w:rsid w:val="00DD2D88"/>
    <w:rsid w:val="00DD41FC"/>
    <w:rsid w:val="00DF293B"/>
    <w:rsid w:val="00E13DCB"/>
    <w:rsid w:val="00E57543"/>
    <w:rsid w:val="00E74245"/>
    <w:rsid w:val="00E76864"/>
    <w:rsid w:val="00E77F13"/>
    <w:rsid w:val="00E84DD9"/>
    <w:rsid w:val="00EB2291"/>
    <w:rsid w:val="00EB6BEE"/>
    <w:rsid w:val="00EC446B"/>
    <w:rsid w:val="00ED5F8E"/>
    <w:rsid w:val="00EE5544"/>
    <w:rsid w:val="00EF2B95"/>
    <w:rsid w:val="00F047F9"/>
    <w:rsid w:val="00F159C1"/>
    <w:rsid w:val="00F35D1C"/>
    <w:rsid w:val="00F45C56"/>
    <w:rsid w:val="00F720A2"/>
    <w:rsid w:val="00F763D0"/>
    <w:rsid w:val="00F8459C"/>
    <w:rsid w:val="00F92081"/>
    <w:rsid w:val="00F941D7"/>
    <w:rsid w:val="00FC6379"/>
    <w:rsid w:val="00FD477E"/>
    <w:rsid w:val="00FE1C65"/>
    <w:rsid w:val="0AB12223"/>
    <w:rsid w:val="253170E8"/>
    <w:rsid w:val="27FC2593"/>
    <w:rsid w:val="2AA406FD"/>
    <w:rsid w:val="48D03332"/>
    <w:rsid w:val="58016235"/>
    <w:rsid w:val="5F044A6E"/>
    <w:rsid w:val="5FB22810"/>
    <w:rsid w:val="6370608E"/>
    <w:rsid w:val="6EED01A5"/>
    <w:rsid w:val="7052180C"/>
    <w:rsid w:val="709F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link w:val="13"/>
    <w:qFormat/>
    <w:uiPriority w:val="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4"/>
    <w:basedOn w:val="1"/>
    <w:next w:val="1"/>
    <w:link w:val="14"/>
    <w:qFormat/>
    <w:uiPriority w:val="9"/>
    <w:pPr>
      <w:spacing w:before="100" w:beforeAutospacing="1" w:after="100" w:afterAutospacing="1"/>
      <w:outlineLvl w:val="3"/>
    </w:pPr>
    <w:rPr>
      <w:b/>
      <w:bCs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0"/>
    <w:semiHidden/>
    <w:unhideWhenUsed/>
    <w:qFormat/>
    <w:uiPriority w:val="99"/>
  </w:style>
  <w:style w:type="paragraph" w:styleId="5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8">
    <w:name w:val="annotation subject"/>
    <w:basedOn w:val="4"/>
    <w:next w:val="4"/>
    <w:link w:val="21"/>
    <w:semiHidden/>
    <w:unhideWhenUsed/>
    <w:qFormat/>
    <w:uiPriority w:val="99"/>
    <w:rPr>
      <w:b/>
      <w:bCs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3">
    <w:name w:val="标题 1 字符"/>
    <w:basedOn w:val="10"/>
    <w:link w:val="2"/>
    <w:qFormat/>
    <w:locked/>
    <w:uiPriority w:val="9"/>
    <w:rPr>
      <w:rFonts w:hint="eastAsia"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4">
    <w:name w:val="标题 4 字符"/>
    <w:basedOn w:val="10"/>
    <w:link w:val="3"/>
    <w:semiHidden/>
    <w:qFormat/>
    <w:locked/>
    <w:uiPriority w:val="9"/>
    <w:rPr>
      <w:rFonts w:hint="eastAsia" w:asciiTheme="minorHAnsi" w:hAnsiTheme="minorHAnsi" w:eastAsiaTheme="minorEastAsia" w:cstheme="majorBidi"/>
      <w:color w:val="2F5597" w:themeColor="accent1" w:themeShade="BF"/>
      <w:sz w:val="28"/>
      <w:szCs w:val="28"/>
    </w:rPr>
  </w:style>
  <w:style w:type="paragraph" w:customStyle="1" w:styleId="15">
    <w:name w:val="msonormal"/>
    <w:basedOn w:val="1"/>
    <w:semiHidden/>
    <w:qFormat/>
    <w:uiPriority w:val="99"/>
    <w:pPr>
      <w:spacing w:before="100" w:beforeAutospacing="1" w:after="100" w:afterAutospacing="1"/>
    </w:pPr>
  </w:style>
  <w:style w:type="paragraph" w:customStyle="1" w:styleId="16">
    <w:name w:val="btn-download"/>
    <w:basedOn w:val="1"/>
    <w:semiHidden/>
    <w:qFormat/>
    <w:uiPriority w:val="99"/>
    <w:pPr>
      <w:shd w:val="clear" w:color="auto" w:fill="4CAF50"/>
      <w:spacing w:before="300" w:after="300"/>
      <w:jc w:val="center"/>
    </w:pPr>
    <w:rPr>
      <w:color w:val="FFFFFF"/>
    </w:rPr>
  </w:style>
  <w:style w:type="paragraph" w:customStyle="1" w:styleId="17">
    <w:name w:val="section-title"/>
    <w:basedOn w:val="1"/>
    <w:semiHidden/>
    <w:qFormat/>
    <w:uiPriority w:val="99"/>
    <w:pPr>
      <w:pBdr>
        <w:left w:val="single" w:color="31708F" w:sz="36" w:space="8"/>
      </w:pBdr>
      <w:shd w:val="clear" w:color="auto" w:fill="D9EDF7"/>
      <w:spacing w:before="300" w:after="100" w:afterAutospacing="1"/>
    </w:pPr>
    <w:rPr>
      <w:b/>
      <w:bCs/>
    </w:rPr>
  </w:style>
  <w:style w:type="paragraph" w:customStyle="1" w:styleId="18">
    <w:name w:val="symbol-explanation"/>
    <w:basedOn w:val="1"/>
    <w:semiHidden/>
    <w:qFormat/>
    <w:uiPriority w:val="99"/>
    <w:pPr>
      <w:spacing w:before="150" w:after="150"/>
    </w:pPr>
    <w:rPr>
      <w:color w:val="555555"/>
      <w:sz w:val="22"/>
      <w:szCs w:val="22"/>
    </w:rPr>
  </w:style>
  <w:style w:type="paragraph" w:customStyle="1" w:styleId="19">
    <w:name w:val="text-center"/>
    <w:basedOn w:val="1"/>
    <w:semiHidden/>
    <w:qFormat/>
    <w:uiPriority w:val="99"/>
    <w:pPr>
      <w:spacing w:before="100" w:beforeAutospacing="1" w:after="100" w:afterAutospacing="1"/>
      <w:jc w:val="center"/>
    </w:pPr>
  </w:style>
  <w:style w:type="character" w:customStyle="1" w:styleId="20">
    <w:name w:val="批注文字 字符"/>
    <w:basedOn w:val="10"/>
    <w:link w:val="4"/>
    <w:semiHidden/>
    <w:qFormat/>
    <w:uiPriority w:val="99"/>
    <w:rPr>
      <w:rFonts w:ascii="宋体" w:hAnsi="宋体" w:eastAsia="宋体" w:cs="宋体"/>
      <w:sz w:val="24"/>
      <w:szCs w:val="24"/>
    </w:rPr>
  </w:style>
  <w:style w:type="character" w:customStyle="1" w:styleId="21">
    <w:name w:val="批注主题 字符"/>
    <w:basedOn w:val="20"/>
    <w:link w:val="8"/>
    <w:semiHidden/>
    <w:qFormat/>
    <w:uiPriority w:val="99"/>
    <w:rPr>
      <w:rFonts w:ascii="宋体" w:hAnsi="宋体" w:eastAsia="宋体" w:cs="宋体"/>
      <w:b/>
      <w:bCs/>
      <w:sz w:val="24"/>
      <w:szCs w:val="24"/>
    </w:rPr>
  </w:style>
  <w:style w:type="character" w:customStyle="1" w:styleId="22">
    <w:name w:val="页眉 字符"/>
    <w:basedOn w:val="10"/>
    <w:link w:val="6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3">
    <w:name w:val="页脚 字符"/>
    <w:basedOn w:val="10"/>
    <w:link w:val="5"/>
    <w:qFormat/>
    <w:uiPriority w:val="99"/>
    <w:rPr>
      <w:rFonts w:ascii="宋体" w:hAnsi="宋体" w:eastAsia="宋体" w:cs="宋体"/>
      <w:sz w:val="18"/>
      <w:szCs w:val="18"/>
    </w:rPr>
  </w:style>
  <w:style w:type="paragraph" w:customStyle="1" w:styleId="24">
    <w:name w:val="修订1"/>
    <w:hidden/>
    <w:unhideWhenUsed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25">
    <w:name w:val="symbol"/>
    <w:basedOn w:val="10"/>
    <w:qFormat/>
    <w:uiPriority w:val="0"/>
  </w:style>
  <w:style w:type="paragraph" w:customStyle="1" w:styleId="26">
    <w:name w:val="修订2"/>
    <w:hidden/>
    <w:unhideWhenUsed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27">
    <w:name w:val="Revision"/>
    <w:hidden/>
    <w:unhideWhenUsed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28">
    <w:name w:val="D&amp;L"/>
    <w:basedOn w:val="6"/>
    <w:qFormat/>
    <w:uiPriority w:val="0"/>
    <w:pPr>
      <w:pBdr>
        <w:bottom w:val="thinThickSmallGap" w:color="auto" w:sz="18" w:space="1"/>
      </w:pBdr>
      <w:adjustRightInd w:val="0"/>
      <w:snapToGrid/>
      <w:spacing w:line="240" w:lineRule="atLeast"/>
      <w:textAlignment w:val="baseline"/>
    </w:pPr>
    <w:rPr>
      <w:kern w:val="0"/>
      <w:sz w:val="24"/>
      <w:szCs w:val="20"/>
    </w:rPr>
  </w:style>
  <w:style w:type="paragraph" w:customStyle="1" w:styleId="29">
    <w:name w:val="xl31"/>
    <w:basedOn w:val="1"/>
    <w:qFormat/>
    <w:uiPriority w:val="0"/>
    <w:pPr>
      <w:widowControl/>
      <w:spacing w:before="100" w:beforeAutospacing="1" w:after="100" w:afterAutospacing="1"/>
      <w:jc w:val="center"/>
    </w:pPr>
    <w:rPr>
      <w:b/>
      <w:bCs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3337</Words>
  <Characters>3563</Characters>
  <Lines>46</Lines>
  <Paragraphs>12</Paragraphs>
  <TotalTime>3</TotalTime>
  <ScaleCrop>false</ScaleCrop>
  <LinksUpToDate>false</LinksUpToDate>
  <CharactersWithSpaces>3585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2025-11-05T06:34:00Z</dcterms:created>
  <dc:creator>siyueht</dc:creator>
  <cp:lastModifiedBy>王Sir</cp:lastModifiedBy>
  <dcterms:modified xsi:type="dcterms:W3CDTF">2025-11-07T10:53:11Z</dcterms:modified>
  <dc:title>货物类政府采购项目采购需求表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eyJoZGlkIjoiZTMwOWY3M2UxOWJkZDcwOGNmNDUyYTBhYTk4NmRhN2QiLCJ1c2VySWQiOiI0ODIzOTEyNDYifQ==</vt:lpwstr>
  </property>
  <property fmtid="{D5CDD505-2E9C-101B-9397-08002B2CF9AE}" pid="3" name="KSOProductBuildVer">
    <vt:lpwstr>2052-12.1.0.23542</vt:lpwstr>
  </property>
  <property fmtid="{D5CDD505-2E9C-101B-9397-08002B2CF9AE}" pid="4" name="ICV">
    <vt:lpwstr>D4611D65E2AB40E7BBBEEC83EEF30162_13</vt:lpwstr>
  </property>
</Properties>
</file>