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388A">
      <w:pP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本项目代理服务费计算错误，计算标准如下：</w:t>
      </w:r>
    </w:p>
    <w:p w14:paraId="02180FBA">
      <w:pP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  <w:t>每包按国家计委关于印发《招标代理服务收费管理暂行办法》的通知（计价格[2002]1980号）规定收取，其中中标（成交）金额100万元（含）以上部分按标准的70%收取，中标（成交）金额35万元（含）以上至100万元以下部分的货物、服务项目及中标（成交）金额45万元（含）以上至100万元以下部分的工程项目按标准的80%收取，如出现首次招标发生流标、废标等异常终止情形的，则再次招标时按照标准的100%收取；中标（成交）金额35万元以下的货物、服务项目及中标（成交）金额45万元以下的工程项目按3500元固定费用收费。</w:t>
      </w:r>
    </w:p>
    <w:p w14:paraId="41A82F84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</w:p>
    <w:p w14:paraId="4686F1A2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计算过程</w:t>
      </w:r>
    </w:p>
    <w:p w14:paraId="7B175018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------------------------------</w:t>
      </w:r>
    </w:p>
    <w:p w14:paraId="614E3F3F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计算类型为：货物招标</w:t>
      </w:r>
    </w:p>
    <w:p w14:paraId="042B7C21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中标金额为:294.38万元</w:t>
      </w:r>
      <w:bookmarkStart w:id="0" w:name="_GoBack"/>
      <w:bookmarkEnd w:id="0"/>
    </w:p>
    <w:p w14:paraId="0CCFEF86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------------------------------</w:t>
      </w:r>
    </w:p>
    <w:p w14:paraId="6C104B07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0---100：100×1.500％=15000.00元</w:t>
      </w:r>
    </w:p>
    <w:p w14:paraId="2F30D5BC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100---294.38：194.38×1.100％=21381.80元</w:t>
      </w:r>
    </w:p>
    <w:p w14:paraId="49E198EB">
      <w:pPr>
        <w:rPr>
          <w:rFonts w:hint="default" w:ascii="Arial" w:hAnsi="Arial" w:eastAsia="宋体" w:cs="Arial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15000.00×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0％=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  <w:t>12000</w:t>
      </w:r>
    </w:p>
    <w:p w14:paraId="1038B612">
      <w:pP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21381.80×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0％=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  <w:t>14967.26</w:t>
      </w:r>
    </w:p>
    <w:p w14:paraId="7DA3924E">
      <w:pPr>
        <w:rPr>
          <w:b/>
          <w:bCs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  <w:t>14967.26+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1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</w:rPr>
        <w:t>000.00</w:t>
      </w:r>
      <w:r>
        <w:rPr>
          <w:rFonts w:hint="eastAsia" w:ascii="Arial" w:hAnsi="Arial" w:cs="Arial"/>
          <w:b/>
          <w:bCs/>
          <w:color w:val="000000"/>
          <w:sz w:val="28"/>
          <w:szCs w:val="28"/>
          <w:highlight w:val="none"/>
          <w:lang w:val="en-US" w:eastAsia="zh-CN"/>
        </w:rPr>
        <w:t>=26967.26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A1557"/>
    <w:rsid w:val="7EA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2025-11-21T02:36:00Z</dcterms:created>
  <dc:creator>森</dc:creator>
  <cp:lastModifiedBy>森</cp:lastModifiedBy>
  <dcterms:modified xsi:type="dcterms:W3CDTF">2025-11-21T02:38:08Z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60A8A4A79DF04A75BA8EA6EEA3BCEB3C_11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