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B63B7">
      <w:pPr>
        <w:tabs>
          <w:tab w:val="left" w:pos="315"/>
          <w:tab w:val="left" w:pos="8820"/>
        </w:tabs>
        <w:spacing w:before="312" w:beforeLines="100" w:after="156" w:afterLines="50" w:line="500" w:lineRule="exact"/>
        <w:ind w:right="267" w:rightChars="127"/>
        <w:jc w:val="center"/>
        <w:rPr>
          <w:rFonts w:ascii="宋体" w:hAnsi="宋体" w:eastAsia="宋体"/>
          <w:b/>
          <w:bCs/>
          <w:sz w:val="52"/>
          <w:szCs w:val="52"/>
          <w:highlight w:val="none"/>
        </w:rPr>
      </w:pPr>
    </w:p>
    <w:p w14:paraId="6C072474">
      <w:pPr>
        <w:tabs>
          <w:tab w:val="left" w:pos="315"/>
          <w:tab w:val="left" w:pos="8820"/>
        </w:tabs>
        <w:spacing w:before="312" w:beforeLines="100" w:after="156" w:afterLines="50" w:line="500" w:lineRule="exact"/>
        <w:ind w:right="267" w:rightChars="127"/>
        <w:jc w:val="center"/>
        <w:rPr>
          <w:rFonts w:ascii="宋体" w:hAnsi="宋体" w:eastAsia="宋体"/>
          <w:b/>
          <w:bCs/>
          <w:sz w:val="52"/>
          <w:szCs w:val="52"/>
          <w:highlight w:val="none"/>
        </w:rPr>
      </w:pPr>
    </w:p>
    <w:p w14:paraId="65452516">
      <w:pPr>
        <w:pStyle w:val="25"/>
        <w:rPr>
          <w:highlight w:val="none"/>
        </w:rPr>
      </w:pPr>
    </w:p>
    <w:p w14:paraId="7FE50D2D">
      <w:pPr>
        <w:tabs>
          <w:tab w:val="left" w:pos="315"/>
          <w:tab w:val="left" w:pos="8820"/>
        </w:tabs>
        <w:spacing w:before="312" w:beforeLines="100" w:after="156" w:afterLines="50" w:line="500" w:lineRule="exact"/>
        <w:ind w:right="267" w:rightChars="127"/>
        <w:jc w:val="center"/>
        <w:rPr>
          <w:rFonts w:ascii="宋体" w:hAnsi="宋体" w:eastAsia="宋体"/>
          <w:b/>
          <w:bCs/>
          <w:sz w:val="52"/>
          <w:szCs w:val="52"/>
          <w:highlight w:val="none"/>
        </w:rPr>
      </w:pPr>
      <w:bookmarkStart w:id="0" w:name="_Hlk9544796"/>
      <w:r>
        <w:rPr>
          <w:rFonts w:hint="eastAsia" w:ascii="宋体" w:hAnsi="宋体" w:eastAsia="宋体"/>
          <w:b/>
          <w:bCs/>
          <w:sz w:val="52"/>
          <w:szCs w:val="52"/>
          <w:highlight w:val="none"/>
        </w:rPr>
        <w:t>安徽省政府采购项目</w:t>
      </w:r>
    </w:p>
    <w:p w14:paraId="717EE614">
      <w:pPr>
        <w:tabs>
          <w:tab w:val="left" w:pos="315"/>
          <w:tab w:val="left" w:pos="8820"/>
        </w:tabs>
        <w:spacing w:before="312" w:beforeLines="100" w:after="156" w:afterLines="50" w:line="500" w:lineRule="exact"/>
        <w:ind w:right="267" w:rightChars="127"/>
        <w:jc w:val="center"/>
        <w:rPr>
          <w:rFonts w:ascii="宋体" w:hAnsi="宋体" w:eastAsia="宋体"/>
          <w:b/>
          <w:bCs/>
          <w:sz w:val="52"/>
          <w:szCs w:val="52"/>
          <w:highlight w:val="none"/>
        </w:rPr>
      </w:pPr>
      <w:r>
        <w:rPr>
          <w:rFonts w:hint="eastAsia" w:ascii="宋体" w:hAnsi="宋体" w:eastAsia="宋体"/>
          <w:b/>
          <w:bCs/>
          <w:sz w:val="52"/>
          <w:szCs w:val="52"/>
          <w:highlight w:val="none"/>
        </w:rPr>
        <w:t>公开招标文件示范文本</w:t>
      </w:r>
      <w:bookmarkEnd w:id="0"/>
      <w:r>
        <w:rPr>
          <w:rFonts w:hint="eastAsia" w:ascii="宋体" w:hAnsi="宋体" w:eastAsia="宋体"/>
          <w:b/>
          <w:bCs/>
          <w:sz w:val="52"/>
          <w:szCs w:val="52"/>
          <w:highlight w:val="none"/>
        </w:rPr>
        <w:t>（货物类）</w:t>
      </w:r>
    </w:p>
    <w:p w14:paraId="6326D736">
      <w:pPr>
        <w:tabs>
          <w:tab w:val="left" w:pos="315"/>
          <w:tab w:val="left" w:pos="8820"/>
        </w:tabs>
        <w:spacing w:before="312" w:beforeLines="100" w:after="156" w:afterLines="50" w:line="500" w:lineRule="exact"/>
        <w:ind w:right="267" w:rightChars="127"/>
        <w:jc w:val="center"/>
        <w:rPr>
          <w:rFonts w:ascii="宋体" w:hAnsi="宋体" w:eastAsia="宋体"/>
          <w:b/>
          <w:bCs/>
          <w:sz w:val="52"/>
          <w:szCs w:val="52"/>
          <w:highlight w:val="none"/>
        </w:rPr>
      </w:pPr>
      <w:r>
        <w:rPr>
          <w:rFonts w:hint="eastAsia" w:ascii="宋体" w:hAnsi="宋体" w:eastAsia="宋体"/>
          <w:b/>
          <w:bCs/>
          <w:sz w:val="52"/>
          <w:szCs w:val="52"/>
          <w:highlight w:val="none"/>
        </w:rPr>
        <w:t>（202</w:t>
      </w:r>
      <w:r>
        <w:rPr>
          <w:rFonts w:hint="eastAsia" w:ascii="宋体" w:hAnsi="宋体" w:eastAsia="宋体"/>
          <w:b/>
          <w:bCs/>
          <w:sz w:val="52"/>
          <w:szCs w:val="52"/>
          <w:highlight w:val="none"/>
          <w:lang w:val="en-US" w:eastAsia="zh-CN"/>
        </w:rPr>
        <w:t>4</w:t>
      </w:r>
      <w:r>
        <w:rPr>
          <w:rFonts w:hint="eastAsia" w:ascii="宋体" w:hAnsi="宋体" w:eastAsia="宋体"/>
          <w:b/>
          <w:bCs/>
          <w:sz w:val="52"/>
          <w:szCs w:val="52"/>
          <w:highlight w:val="none"/>
        </w:rPr>
        <w:t>年版）</w:t>
      </w:r>
    </w:p>
    <w:p w14:paraId="05147DDE">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highlight w:val="none"/>
        </w:rPr>
      </w:pPr>
    </w:p>
    <w:p w14:paraId="2DF6F85E">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highlight w:val="none"/>
        </w:rPr>
      </w:pPr>
    </w:p>
    <w:p w14:paraId="5C8524A2">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highlight w:val="none"/>
        </w:rPr>
      </w:pPr>
    </w:p>
    <w:p w14:paraId="0CE156C5">
      <w:pPr>
        <w:tabs>
          <w:tab w:val="left" w:pos="315"/>
          <w:tab w:val="left" w:pos="8820"/>
        </w:tabs>
        <w:spacing w:before="312" w:beforeLines="100" w:after="156" w:afterLines="50" w:line="500" w:lineRule="exact"/>
        <w:ind w:right="267" w:rightChars="127"/>
        <w:jc w:val="both"/>
        <w:rPr>
          <w:rFonts w:ascii="宋体" w:hAnsi="宋体" w:eastAsia="宋体"/>
          <w:b/>
          <w:bCs/>
          <w:sz w:val="44"/>
          <w:szCs w:val="44"/>
          <w:highlight w:val="none"/>
        </w:rPr>
      </w:pPr>
    </w:p>
    <w:p w14:paraId="7753487D">
      <w:pPr>
        <w:tabs>
          <w:tab w:val="left" w:pos="2410"/>
        </w:tabs>
        <w:autoSpaceDE w:val="0"/>
        <w:autoSpaceDN w:val="0"/>
        <w:adjustRightInd w:val="0"/>
        <w:snapToGrid w:val="0"/>
        <w:spacing w:line="360" w:lineRule="auto"/>
        <w:ind w:firstLine="723" w:firstLineChars="200"/>
        <w:rPr>
          <w:rFonts w:hint="eastAsia" w:ascii="宋体" w:hAnsi="宋体" w:eastAsia="宋体"/>
          <w:b/>
          <w:spacing w:val="20"/>
          <w:kern w:val="0"/>
          <w:sz w:val="32"/>
          <w:szCs w:val="32"/>
          <w:highlight w:val="none"/>
          <w:u w:val="single"/>
          <w:lang w:eastAsia="zh-CN"/>
        </w:rPr>
      </w:pPr>
      <w:r>
        <w:rPr>
          <w:rFonts w:hint="eastAsia" w:ascii="宋体" w:hAnsi="宋体" w:eastAsia="宋体"/>
          <w:b/>
          <w:spacing w:val="20"/>
          <w:kern w:val="0"/>
          <w:sz w:val="32"/>
          <w:szCs w:val="32"/>
          <w:highlight w:val="none"/>
        </w:rPr>
        <w:t>项目名称：</w:t>
      </w:r>
      <w:r>
        <w:rPr>
          <w:rFonts w:hint="eastAsia" w:ascii="宋体" w:hAnsi="宋体" w:eastAsia="宋体"/>
          <w:b/>
          <w:spacing w:val="20"/>
          <w:kern w:val="0"/>
          <w:sz w:val="32"/>
          <w:szCs w:val="32"/>
          <w:highlight w:val="none"/>
          <w:u w:val="single"/>
          <w:lang w:val="en-US" w:eastAsia="zh-CN"/>
        </w:rPr>
        <w:t>上海市第一人民医院蚌埠医院设备采购项目（便携彩超机、便携式彩超、便携式彩色多普勒超声、床旁超声机（便携）、高端平板便携式彩色多普勒超声系统）</w:t>
      </w:r>
      <w:r>
        <w:rPr>
          <w:rFonts w:hint="eastAsia" w:ascii="宋体" w:hAnsi="宋体" w:eastAsia="宋体"/>
          <w:b/>
          <w:spacing w:val="20"/>
          <w:kern w:val="0"/>
          <w:sz w:val="32"/>
          <w:szCs w:val="32"/>
          <w:highlight w:val="none"/>
          <w:u w:val="single"/>
          <w:lang w:eastAsia="zh-CN"/>
        </w:rPr>
        <w:t>（二次）</w:t>
      </w:r>
      <w:r>
        <w:rPr>
          <w:rFonts w:hint="eastAsia" w:ascii="宋体" w:hAnsi="宋体" w:eastAsia="宋体"/>
          <w:b/>
          <w:spacing w:val="20"/>
          <w:kern w:val="0"/>
          <w:sz w:val="32"/>
          <w:szCs w:val="32"/>
          <w:highlight w:val="none"/>
          <w:lang w:eastAsia="zh-CN"/>
        </w:rPr>
        <w:t xml:space="preserve">   </w:t>
      </w:r>
    </w:p>
    <w:p w14:paraId="1FC48126">
      <w:pPr>
        <w:tabs>
          <w:tab w:val="left" w:pos="2410"/>
        </w:tabs>
        <w:autoSpaceDE w:val="0"/>
        <w:autoSpaceDN w:val="0"/>
        <w:adjustRightInd w:val="0"/>
        <w:snapToGrid w:val="0"/>
        <w:spacing w:line="360" w:lineRule="auto"/>
        <w:ind w:firstLine="723" w:firstLineChars="200"/>
        <w:rPr>
          <w:rFonts w:ascii="宋体" w:hAnsi="宋体" w:eastAsia="宋体"/>
          <w:b/>
          <w:spacing w:val="20"/>
          <w:kern w:val="0"/>
          <w:sz w:val="32"/>
          <w:szCs w:val="32"/>
          <w:highlight w:val="none"/>
        </w:rPr>
      </w:pPr>
      <w:r>
        <w:rPr>
          <w:rFonts w:hint="eastAsia" w:ascii="宋体" w:hAnsi="宋体" w:eastAsia="宋体"/>
          <w:b/>
          <w:spacing w:val="20"/>
          <w:kern w:val="0"/>
          <w:sz w:val="32"/>
          <w:szCs w:val="32"/>
          <w:highlight w:val="none"/>
        </w:rPr>
        <w:t>项目编号：</w:t>
      </w:r>
      <w:r>
        <w:rPr>
          <w:rFonts w:hint="eastAsia" w:ascii="宋体" w:hAnsi="宋体" w:eastAsia="宋体"/>
          <w:b/>
          <w:spacing w:val="20"/>
          <w:kern w:val="0"/>
          <w:sz w:val="32"/>
          <w:szCs w:val="32"/>
          <w:highlight w:val="none"/>
          <w:u w:val="single"/>
        </w:rPr>
        <w:t>FSSD34000120256222号</w:t>
      </w:r>
    </w:p>
    <w:p w14:paraId="5EDD63F1">
      <w:pPr>
        <w:tabs>
          <w:tab w:val="left" w:pos="2410"/>
        </w:tabs>
        <w:autoSpaceDE w:val="0"/>
        <w:autoSpaceDN w:val="0"/>
        <w:adjustRightInd w:val="0"/>
        <w:snapToGrid w:val="0"/>
        <w:spacing w:line="360" w:lineRule="auto"/>
        <w:ind w:firstLine="723" w:firstLineChars="200"/>
        <w:rPr>
          <w:rFonts w:ascii="宋体" w:hAnsi="宋体" w:eastAsia="宋体"/>
          <w:b/>
          <w:spacing w:val="20"/>
          <w:kern w:val="0"/>
          <w:sz w:val="32"/>
          <w:szCs w:val="32"/>
          <w:highlight w:val="none"/>
        </w:rPr>
      </w:pPr>
      <w:r>
        <w:rPr>
          <w:rFonts w:hint="eastAsia" w:ascii="宋体" w:hAnsi="宋体" w:eastAsia="宋体"/>
          <w:b/>
          <w:spacing w:val="20"/>
          <w:kern w:val="0"/>
          <w:sz w:val="32"/>
          <w:szCs w:val="32"/>
          <w:highlight w:val="none"/>
        </w:rPr>
        <w:t>采 购 人：</w:t>
      </w:r>
      <w:r>
        <w:rPr>
          <w:rFonts w:hint="eastAsia" w:ascii="宋体" w:hAnsi="宋体" w:eastAsia="宋体"/>
          <w:b/>
          <w:spacing w:val="20"/>
          <w:kern w:val="0"/>
          <w:sz w:val="32"/>
          <w:szCs w:val="32"/>
          <w:highlight w:val="none"/>
          <w:u w:val="single"/>
        </w:rPr>
        <w:t>蚌埠医学院第二附属医院</w:t>
      </w:r>
    </w:p>
    <w:p w14:paraId="39D8BFAA">
      <w:pPr>
        <w:tabs>
          <w:tab w:val="left" w:pos="2410"/>
        </w:tabs>
        <w:autoSpaceDE w:val="0"/>
        <w:autoSpaceDN w:val="0"/>
        <w:adjustRightInd w:val="0"/>
        <w:snapToGrid w:val="0"/>
        <w:spacing w:line="360" w:lineRule="auto"/>
        <w:ind w:firstLine="723" w:firstLineChars="200"/>
        <w:rPr>
          <w:rFonts w:ascii="宋体" w:hAnsi="宋体" w:eastAsia="宋体"/>
          <w:b/>
          <w:spacing w:val="20"/>
          <w:kern w:val="0"/>
          <w:sz w:val="32"/>
          <w:szCs w:val="32"/>
          <w:highlight w:val="none"/>
        </w:rPr>
      </w:pPr>
      <w:r>
        <w:rPr>
          <w:rFonts w:hint="eastAsia" w:ascii="宋体" w:hAnsi="宋体" w:eastAsia="宋体"/>
          <w:b/>
          <w:spacing w:val="20"/>
          <w:kern w:val="0"/>
          <w:sz w:val="32"/>
          <w:szCs w:val="32"/>
          <w:highlight w:val="none"/>
        </w:rPr>
        <w:t>采购代理机构：</w:t>
      </w:r>
      <w:r>
        <w:rPr>
          <w:rFonts w:hint="eastAsia" w:ascii="宋体" w:hAnsi="宋体" w:eastAsia="宋体"/>
          <w:b/>
          <w:spacing w:val="20"/>
          <w:kern w:val="0"/>
          <w:sz w:val="32"/>
          <w:szCs w:val="32"/>
          <w:highlight w:val="none"/>
          <w:u w:val="single"/>
        </w:rPr>
        <w:t xml:space="preserve">安徽寰亚国际招标有限公司 </w:t>
      </w:r>
    </w:p>
    <w:p w14:paraId="1D96756F">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highlight w:val="none"/>
        </w:rPr>
      </w:pPr>
    </w:p>
    <w:p w14:paraId="01B5BD91">
      <w:pPr>
        <w:tabs>
          <w:tab w:val="left" w:pos="2410"/>
        </w:tabs>
        <w:autoSpaceDE w:val="0"/>
        <w:autoSpaceDN w:val="0"/>
        <w:adjustRightInd w:val="0"/>
        <w:snapToGrid w:val="0"/>
        <w:spacing w:line="360" w:lineRule="auto"/>
        <w:jc w:val="center"/>
        <w:rPr>
          <w:rFonts w:ascii="宋体" w:hAnsi="宋体" w:eastAsia="宋体"/>
          <w:b/>
          <w:sz w:val="36"/>
          <w:highlight w:val="none"/>
        </w:rPr>
      </w:pPr>
      <w:r>
        <w:rPr>
          <w:rFonts w:hint="eastAsia" w:ascii="宋体" w:hAnsi="宋体" w:eastAsia="宋体"/>
          <w:b/>
          <w:sz w:val="36"/>
          <w:highlight w:val="none"/>
          <w:u w:val="single"/>
        </w:rPr>
        <w:t xml:space="preserve"> 202</w:t>
      </w:r>
      <w:r>
        <w:rPr>
          <w:rFonts w:hint="eastAsia" w:ascii="宋体" w:hAnsi="宋体" w:eastAsia="宋体"/>
          <w:b/>
          <w:sz w:val="36"/>
          <w:highlight w:val="none"/>
          <w:u w:val="single"/>
          <w:lang w:val="en-US" w:eastAsia="zh-CN"/>
        </w:rPr>
        <w:t>5</w:t>
      </w:r>
      <w:r>
        <w:rPr>
          <w:rFonts w:hint="eastAsia" w:ascii="宋体" w:hAnsi="宋体" w:eastAsia="宋体"/>
          <w:b/>
          <w:sz w:val="36"/>
          <w:highlight w:val="none"/>
          <w:u w:val="single"/>
        </w:rPr>
        <w:t xml:space="preserve"> </w:t>
      </w:r>
      <w:r>
        <w:rPr>
          <w:rFonts w:hint="eastAsia" w:ascii="宋体" w:hAnsi="宋体" w:eastAsia="宋体"/>
          <w:b/>
          <w:sz w:val="36"/>
          <w:highlight w:val="none"/>
        </w:rPr>
        <w:t>年</w:t>
      </w:r>
      <w:r>
        <w:rPr>
          <w:rFonts w:hint="eastAsia" w:ascii="宋体" w:hAnsi="宋体" w:eastAsia="宋体"/>
          <w:b/>
          <w:sz w:val="36"/>
          <w:highlight w:val="none"/>
          <w:u w:val="single"/>
        </w:rPr>
        <w:t xml:space="preserve"> </w:t>
      </w:r>
      <w:r>
        <w:rPr>
          <w:rFonts w:hint="eastAsia" w:ascii="宋体" w:hAnsi="宋体" w:eastAsia="宋体"/>
          <w:b/>
          <w:sz w:val="36"/>
          <w:highlight w:val="none"/>
          <w:u w:val="single"/>
          <w:lang w:val="en-US" w:eastAsia="zh-CN"/>
        </w:rPr>
        <w:t>09</w:t>
      </w:r>
      <w:r>
        <w:rPr>
          <w:rFonts w:hint="eastAsia" w:ascii="宋体" w:hAnsi="宋体" w:eastAsia="宋体"/>
          <w:b/>
          <w:sz w:val="36"/>
          <w:highlight w:val="none"/>
          <w:u w:val="single"/>
        </w:rPr>
        <w:t xml:space="preserve"> </w:t>
      </w:r>
      <w:r>
        <w:rPr>
          <w:rFonts w:hint="eastAsia" w:ascii="宋体" w:hAnsi="宋体" w:eastAsia="宋体"/>
          <w:b/>
          <w:sz w:val="36"/>
          <w:highlight w:val="none"/>
        </w:rPr>
        <w:t>月</w:t>
      </w:r>
      <w:r>
        <w:rPr>
          <w:rFonts w:ascii="宋体" w:hAnsi="宋体" w:eastAsia="宋体"/>
          <w:b/>
          <w:sz w:val="36"/>
          <w:highlight w:val="none"/>
        </w:rPr>
        <w:br w:type="page"/>
      </w:r>
    </w:p>
    <w:p w14:paraId="4F242081">
      <w:pPr>
        <w:tabs>
          <w:tab w:val="left" w:pos="2410"/>
        </w:tabs>
        <w:autoSpaceDE w:val="0"/>
        <w:autoSpaceDN w:val="0"/>
        <w:adjustRightInd w:val="0"/>
        <w:snapToGrid w:val="0"/>
        <w:spacing w:line="360" w:lineRule="auto"/>
        <w:jc w:val="center"/>
        <w:rPr>
          <w:rFonts w:ascii="宋体" w:hAnsi="宋体" w:eastAsia="宋体"/>
          <w:b/>
          <w:sz w:val="28"/>
          <w:highlight w:val="none"/>
        </w:rPr>
      </w:pPr>
      <w:r>
        <w:rPr>
          <w:rFonts w:hint="eastAsia" w:ascii="宋体" w:hAnsi="宋体" w:eastAsia="宋体"/>
          <w:b/>
          <w:sz w:val="28"/>
          <w:highlight w:val="none"/>
        </w:rPr>
        <w:t>目  录</w:t>
      </w:r>
    </w:p>
    <w:p w14:paraId="08B55A28">
      <w:pPr>
        <w:pStyle w:val="17"/>
        <w:tabs>
          <w:tab w:val="right" w:leader="dot" w:pos="8306"/>
        </w:tabs>
        <w:rPr>
          <w:sz w:val="24"/>
          <w:szCs w:val="24"/>
          <w:highlight w:val="none"/>
        </w:rPr>
      </w:pPr>
      <w:r>
        <w:rPr>
          <w:rFonts w:asciiTheme="minorEastAsia" w:hAnsiTheme="minorEastAsia"/>
          <w:b/>
          <w:sz w:val="24"/>
          <w:szCs w:val="24"/>
          <w:highlight w:val="none"/>
        </w:rPr>
        <w:fldChar w:fldCharType="begin"/>
      </w:r>
      <w:r>
        <w:rPr>
          <w:rFonts w:asciiTheme="minorEastAsia" w:hAnsiTheme="minorEastAsia"/>
          <w:b/>
          <w:sz w:val="24"/>
          <w:szCs w:val="24"/>
          <w:highlight w:val="none"/>
        </w:rPr>
        <w:instrText xml:space="preserve"> </w:instrText>
      </w:r>
      <w:r>
        <w:rPr>
          <w:rFonts w:hint="eastAsia" w:asciiTheme="minorEastAsia" w:hAnsiTheme="minorEastAsia"/>
          <w:b/>
          <w:sz w:val="24"/>
          <w:szCs w:val="24"/>
          <w:highlight w:val="none"/>
        </w:rPr>
        <w:instrText xml:space="preserve">TOC \o "1-2" \h \z \u</w:instrText>
      </w:r>
      <w:r>
        <w:rPr>
          <w:rFonts w:asciiTheme="minorEastAsia" w:hAnsiTheme="minorEastAsia"/>
          <w:b/>
          <w:sz w:val="24"/>
          <w:szCs w:val="24"/>
          <w:highlight w:val="none"/>
        </w:rPr>
        <w:instrText xml:space="preserve"> </w:instrText>
      </w:r>
      <w:r>
        <w:rPr>
          <w:rFonts w:asciiTheme="minorEastAsia" w:hAnsiTheme="minorEastAsia"/>
          <w:b/>
          <w:sz w:val="24"/>
          <w:szCs w:val="24"/>
          <w:highlight w:val="none"/>
        </w:rPr>
        <w:fldChar w:fldCharType="separate"/>
      </w:r>
      <w:r>
        <w:rPr>
          <w:sz w:val="24"/>
          <w:szCs w:val="24"/>
          <w:highlight w:val="none"/>
        </w:rPr>
        <w:fldChar w:fldCharType="begin"/>
      </w:r>
      <w:r>
        <w:rPr>
          <w:sz w:val="24"/>
          <w:szCs w:val="24"/>
          <w:highlight w:val="none"/>
        </w:rPr>
        <w:instrText xml:space="preserve"> HYPERLINK \l "_Toc23443" </w:instrText>
      </w:r>
      <w:r>
        <w:rPr>
          <w:sz w:val="24"/>
          <w:szCs w:val="24"/>
          <w:highlight w:val="none"/>
        </w:rPr>
        <w:fldChar w:fldCharType="separate"/>
      </w:r>
      <w:r>
        <w:rPr>
          <w:rFonts w:hint="eastAsia" w:asciiTheme="minorEastAsia" w:hAnsiTheme="minorEastAsia"/>
          <w:sz w:val="24"/>
          <w:szCs w:val="24"/>
          <w:highlight w:val="none"/>
        </w:rPr>
        <w:t xml:space="preserve">第一章 </w:t>
      </w:r>
      <w:r>
        <w:rPr>
          <w:rFonts w:asciiTheme="minorEastAsia" w:hAnsiTheme="minorEastAsia"/>
          <w:sz w:val="24"/>
          <w:szCs w:val="24"/>
          <w:highlight w:val="none"/>
        </w:rPr>
        <w:t xml:space="preserve"> 投标邀请</w:t>
      </w:r>
      <w:r>
        <w:rPr>
          <w:sz w:val="24"/>
          <w:szCs w:val="24"/>
          <w:highlight w:val="none"/>
        </w:rPr>
        <w:tab/>
      </w:r>
      <w:r>
        <w:rPr>
          <w:sz w:val="24"/>
          <w:szCs w:val="24"/>
          <w:highlight w:val="none"/>
        </w:rPr>
        <w:fldChar w:fldCharType="begin"/>
      </w:r>
      <w:r>
        <w:rPr>
          <w:sz w:val="24"/>
          <w:szCs w:val="24"/>
          <w:highlight w:val="none"/>
        </w:rPr>
        <w:instrText xml:space="preserve"> PAGEREF _Toc23443 \h </w:instrText>
      </w:r>
      <w:r>
        <w:rPr>
          <w:sz w:val="24"/>
          <w:szCs w:val="24"/>
          <w:highlight w:val="none"/>
        </w:rPr>
        <w:fldChar w:fldCharType="separate"/>
      </w:r>
      <w:r>
        <w:rPr>
          <w:sz w:val="24"/>
          <w:szCs w:val="24"/>
          <w:highlight w:val="none"/>
        </w:rPr>
        <w:t>3</w:t>
      </w:r>
      <w:r>
        <w:rPr>
          <w:sz w:val="24"/>
          <w:szCs w:val="24"/>
          <w:highlight w:val="none"/>
        </w:rPr>
        <w:fldChar w:fldCharType="end"/>
      </w:r>
      <w:r>
        <w:rPr>
          <w:sz w:val="24"/>
          <w:szCs w:val="24"/>
          <w:highlight w:val="none"/>
        </w:rPr>
        <w:fldChar w:fldCharType="end"/>
      </w:r>
    </w:p>
    <w:p w14:paraId="4BBF3495">
      <w:pPr>
        <w:pStyle w:val="17"/>
        <w:tabs>
          <w:tab w:val="right" w:leader="dot" w:pos="8306"/>
        </w:tabs>
        <w:rPr>
          <w:sz w:val="24"/>
          <w:szCs w:val="24"/>
          <w:highlight w:val="none"/>
        </w:rPr>
      </w:pPr>
      <w:r>
        <w:rPr>
          <w:sz w:val="24"/>
          <w:szCs w:val="24"/>
          <w:highlight w:val="none"/>
        </w:rPr>
        <w:fldChar w:fldCharType="begin"/>
      </w:r>
      <w:r>
        <w:rPr>
          <w:sz w:val="24"/>
          <w:szCs w:val="24"/>
          <w:highlight w:val="none"/>
        </w:rPr>
        <w:instrText xml:space="preserve"> HYPERLINK \l "_Toc31935" </w:instrText>
      </w:r>
      <w:r>
        <w:rPr>
          <w:sz w:val="24"/>
          <w:szCs w:val="24"/>
          <w:highlight w:val="none"/>
        </w:rPr>
        <w:fldChar w:fldCharType="separate"/>
      </w:r>
      <w:r>
        <w:rPr>
          <w:rFonts w:hint="eastAsia" w:asciiTheme="minorEastAsia" w:hAnsiTheme="minorEastAsia"/>
          <w:sz w:val="24"/>
          <w:szCs w:val="24"/>
          <w:highlight w:val="none"/>
        </w:rPr>
        <w:t>第二章</w:t>
      </w:r>
      <w:r>
        <w:rPr>
          <w:rFonts w:asciiTheme="minorEastAsia" w:hAnsiTheme="minorEastAsia"/>
          <w:sz w:val="24"/>
          <w:szCs w:val="24"/>
          <w:highlight w:val="none"/>
        </w:rPr>
        <w:t xml:space="preserve"> </w:t>
      </w:r>
      <w:r>
        <w:rPr>
          <w:rFonts w:hint="eastAsia" w:asciiTheme="minorEastAsia" w:hAnsiTheme="minorEastAsia"/>
          <w:sz w:val="24"/>
          <w:szCs w:val="24"/>
          <w:highlight w:val="none"/>
        </w:rPr>
        <w:t xml:space="preserve"> </w:t>
      </w:r>
      <w:r>
        <w:rPr>
          <w:rFonts w:asciiTheme="minorEastAsia" w:hAnsiTheme="minorEastAsia"/>
          <w:sz w:val="24"/>
          <w:szCs w:val="24"/>
          <w:highlight w:val="none"/>
        </w:rPr>
        <w:t>投标人须知</w:t>
      </w:r>
      <w:r>
        <w:rPr>
          <w:sz w:val="24"/>
          <w:szCs w:val="24"/>
          <w:highlight w:val="none"/>
        </w:rPr>
        <w:tab/>
      </w:r>
      <w:r>
        <w:rPr>
          <w:sz w:val="24"/>
          <w:szCs w:val="24"/>
          <w:highlight w:val="none"/>
        </w:rPr>
        <w:fldChar w:fldCharType="begin"/>
      </w:r>
      <w:r>
        <w:rPr>
          <w:sz w:val="24"/>
          <w:szCs w:val="24"/>
          <w:highlight w:val="none"/>
        </w:rPr>
        <w:instrText xml:space="preserve"> PAGEREF _Toc31935 \h </w:instrText>
      </w:r>
      <w:r>
        <w:rPr>
          <w:sz w:val="24"/>
          <w:szCs w:val="24"/>
          <w:highlight w:val="none"/>
        </w:rPr>
        <w:fldChar w:fldCharType="separate"/>
      </w:r>
      <w:r>
        <w:rPr>
          <w:sz w:val="24"/>
          <w:szCs w:val="24"/>
          <w:highlight w:val="none"/>
        </w:rPr>
        <w:t>6</w:t>
      </w:r>
      <w:r>
        <w:rPr>
          <w:sz w:val="24"/>
          <w:szCs w:val="24"/>
          <w:highlight w:val="none"/>
        </w:rPr>
        <w:fldChar w:fldCharType="end"/>
      </w:r>
      <w:r>
        <w:rPr>
          <w:sz w:val="24"/>
          <w:szCs w:val="24"/>
          <w:highlight w:val="none"/>
        </w:rPr>
        <w:fldChar w:fldCharType="end"/>
      </w:r>
    </w:p>
    <w:p w14:paraId="309260DE">
      <w:pPr>
        <w:pStyle w:val="17"/>
        <w:tabs>
          <w:tab w:val="right" w:leader="dot" w:pos="8306"/>
        </w:tabs>
        <w:rPr>
          <w:sz w:val="24"/>
          <w:szCs w:val="24"/>
          <w:highlight w:val="none"/>
        </w:rPr>
      </w:pPr>
      <w:r>
        <w:rPr>
          <w:sz w:val="24"/>
          <w:szCs w:val="24"/>
          <w:highlight w:val="none"/>
        </w:rPr>
        <w:fldChar w:fldCharType="begin"/>
      </w:r>
      <w:r>
        <w:rPr>
          <w:sz w:val="24"/>
          <w:szCs w:val="24"/>
          <w:highlight w:val="none"/>
        </w:rPr>
        <w:instrText xml:space="preserve"> HYPERLINK \l "_Toc10891" </w:instrText>
      </w:r>
      <w:r>
        <w:rPr>
          <w:sz w:val="24"/>
          <w:szCs w:val="24"/>
          <w:highlight w:val="none"/>
        </w:rPr>
        <w:fldChar w:fldCharType="separate"/>
      </w:r>
      <w:r>
        <w:rPr>
          <w:rFonts w:hint="eastAsia" w:asciiTheme="minorEastAsia" w:hAnsiTheme="minorEastAsia"/>
          <w:sz w:val="24"/>
          <w:szCs w:val="24"/>
          <w:highlight w:val="none"/>
        </w:rPr>
        <w:t>第三章  采购需求</w:t>
      </w:r>
      <w:r>
        <w:rPr>
          <w:sz w:val="24"/>
          <w:szCs w:val="24"/>
          <w:highlight w:val="none"/>
        </w:rPr>
        <w:tab/>
      </w:r>
      <w:r>
        <w:rPr>
          <w:sz w:val="24"/>
          <w:szCs w:val="24"/>
          <w:highlight w:val="none"/>
        </w:rPr>
        <w:fldChar w:fldCharType="begin"/>
      </w:r>
      <w:r>
        <w:rPr>
          <w:sz w:val="24"/>
          <w:szCs w:val="24"/>
          <w:highlight w:val="none"/>
        </w:rPr>
        <w:instrText xml:space="preserve"> PAGEREF _Toc10891 \h </w:instrText>
      </w:r>
      <w:r>
        <w:rPr>
          <w:sz w:val="24"/>
          <w:szCs w:val="24"/>
          <w:highlight w:val="none"/>
        </w:rPr>
        <w:fldChar w:fldCharType="separate"/>
      </w:r>
      <w:r>
        <w:rPr>
          <w:sz w:val="24"/>
          <w:szCs w:val="24"/>
          <w:highlight w:val="none"/>
        </w:rPr>
        <w:t>23</w:t>
      </w:r>
      <w:r>
        <w:rPr>
          <w:sz w:val="24"/>
          <w:szCs w:val="24"/>
          <w:highlight w:val="none"/>
        </w:rPr>
        <w:fldChar w:fldCharType="end"/>
      </w:r>
      <w:r>
        <w:rPr>
          <w:sz w:val="24"/>
          <w:szCs w:val="24"/>
          <w:highlight w:val="none"/>
        </w:rPr>
        <w:fldChar w:fldCharType="end"/>
      </w:r>
    </w:p>
    <w:p w14:paraId="473E2E6D">
      <w:pPr>
        <w:pStyle w:val="17"/>
        <w:tabs>
          <w:tab w:val="right" w:leader="dot" w:pos="8306"/>
        </w:tabs>
        <w:rPr>
          <w:sz w:val="24"/>
          <w:szCs w:val="24"/>
          <w:highlight w:val="none"/>
        </w:rPr>
      </w:pPr>
      <w:r>
        <w:rPr>
          <w:sz w:val="24"/>
          <w:szCs w:val="24"/>
          <w:highlight w:val="none"/>
        </w:rPr>
        <w:fldChar w:fldCharType="begin"/>
      </w:r>
      <w:r>
        <w:rPr>
          <w:sz w:val="24"/>
          <w:szCs w:val="24"/>
          <w:highlight w:val="none"/>
        </w:rPr>
        <w:instrText xml:space="preserve"> HYPERLINK \l "_Toc16417" </w:instrText>
      </w:r>
      <w:r>
        <w:rPr>
          <w:sz w:val="24"/>
          <w:szCs w:val="24"/>
          <w:highlight w:val="none"/>
        </w:rPr>
        <w:fldChar w:fldCharType="separate"/>
      </w:r>
      <w:r>
        <w:rPr>
          <w:rFonts w:hint="eastAsia" w:asciiTheme="minorEastAsia" w:hAnsiTheme="minorEastAsia"/>
          <w:sz w:val="24"/>
          <w:szCs w:val="24"/>
          <w:highlight w:val="none"/>
        </w:rPr>
        <w:t>第四章  评标方法和标准（综合评分法）</w:t>
      </w:r>
      <w:r>
        <w:rPr>
          <w:sz w:val="24"/>
          <w:szCs w:val="24"/>
          <w:highlight w:val="none"/>
        </w:rPr>
        <w:tab/>
      </w:r>
      <w:r>
        <w:rPr>
          <w:sz w:val="24"/>
          <w:szCs w:val="24"/>
          <w:highlight w:val="none"/>
        </w:rPr>
        <w:fldChar w:fldCharType="begin"/>
      </w:r>
      <w:r>
        <w:rPr>
          <w:sz w:val="24"/>
          <w:szCs w:val="24"/>
          <w:highlight w:val="none"/>
        </w:rPr>
        <w:instrText xml:space="preserve"> PAGEREF _Toc16417 \h </w:instrText>
      </w:r>
      <w:r>
        <w:rPr>
          <w:sz w:val="24"/>
          <w:szCs w:val="24"/>
          <w:highlight w:val="none"/>
        </w:rPr>
        <w:fldChar w:fldCharType="separate"/>
      </w:r>
      <w:r>
        <w:rPr>
          <w:sz w:val="24"/>
          <w:szCs w:val="24"/>
          <w:highlight w:val="none"/>
        </w:rPr>
        <w:t>50</w:t>
      </w:r>
      <w:r>
        <w:rPr>
          <w:sz w:val="24"/>
          <w:szCs w:val="24"/>
          <w:highlight w:val="none"/>
        </w:rPr>
        <w:fldChar w:fldCharType="end"/>
      </w:r>
      <w:r>
        <w:rPr>
          <w:sz w:val="24"/>
          <w:szCs w:val="24"/>
          <w:highlight w:val="none"/>
        </w:rPr>
        <w:fldChar w:fldCharType="end"/>
      </w:r>
    </w:p>
    <w:p w14:paraId="22020C3D">
      <w:pPr>
        <w:pStyle w:val="17"/>
        <w:tabs>
          <w:tab w:val="right" w:leader="dot" w:pos="8306"/>
        </w:tabs>
        <w:rPr>
          <w:sz w:val="24"/>
          <w:szCs w:val="24"/>
          <w:highlight w:val="none"/>
        </w:rPr>
      </w:pPr>
      <w:r>
        <w:rPr>
          <w:sz w:val="24"/>
          <w:szCs w:val="24"/>
          <w:highlight w:val="none"/>
        </w:rPr>
        <w:fldChar w:fldCharType="begin"/>
      </w:r>
      <w:r>
        <w:rPr>
          <w:sz w:val="24"/>
          <w:szCs w:val="24"/>
          <w:highlight w:val="none"/>
        </w:rPr>
        <w:instrText xml:space="preserve"> HYPERLINK \l "_Toc4682" </w:instrText>
      </w:r>
      <w:r>
        <w:rPr>
          <w:sz w:val="24"/>
          <w:szCs w:val="24"/>
          <w:highlight w:val="none"/>
        </w:rPr>
        <w:fldChar w:fldCharType="separate"/>
      </w:r>
      <w:r>
        <w:rPr>
          <w:rFonts w:hint="eastAsia" w:asciiTheme="minorEastAsia" w:hAnsiTheme="minorEastAsia"/>
          <w:sz w:val="24"/>
          <w:szCs w:val="24"/>
          <w:highlight w:val="none"/>
        </w:rPr>
        <w:t xml:space="preserve">第五章  </w:t>
      </w:r>
      <w:r>
        <w:rPr>
          <w:rFonts w:asciiTheme="minorEastAsia" w:hAnsiTheme="minorEastAsia"/>
          <w:sz w:val="24"/>
          <w:szCs w:val="24"/>
          <w:highlight w:val="none"/>
        </w:rPr>
        <w:t>政府采购合同</w:t>
      </w:r>
      <w:r>
        <w:rPr>
          <w:sz w:val="24"/>
          <w:szCs w:val="24"/>
          <w:highlight w:val="none"/>
        </w:rPr>
        <w:tab/>
      </w:r>
      <w:r>
        <w:rPr>
          <w:sz w:val="24"/>
          <w:szCs w:val="24"/>
          <w:highlight w:val="none"/>
        </w:rPr>
        <w:fldChar w:fldCharType="begin"/>
      </w:r>
      <w:r>
        <w:rPr>
          <w:sz w:val="24"/>
          <w:szCs w:val="24"/>
          <w:highlight w:val="none"/>
        </w:rPr>
        <w:instrText xml:space="preserve"> PAGEREF _Toc4682 \h </w:instrText>
      </w:r>
      <w:r>
        <w:rPr>
          <w:sz w:val="24"/>
          <w:szCs w:val="24"/>
          <w:highlight w:val="none"/>
        </w:rPr>
        <w:fldChar w:fldCharType="separate"/>
      </w:r>
      <w:r>
        <w:rPr>
          <w:sz w:val="24"/>
          <w:szCs w:val="24"/>
          <w:highlight w:val="none"/>
        </w:rPr>
        <w:t>75</w:t>
      </w:r>
      <w:r>
        <w:rPr>
          <w:sz w:val="24"/>
          <w:szCs w:val="24"/>
          <w:highlight w:val="none"/>
        </w:rPr>
        <w:fldChar w:fldCharType="end"/>
      </w:r>
      <w:r>
        <w:rPr>
          <w:sz w:val="24"/>
          <w:szCs w:val="24"/>
          <w:highlight w:val="none"/>
        </w:rPr>
        <w:fldChar w:fldCharType="end"/>
      </w:r>
    </w:p>
    <w:p w14:paraId="7BE4DE71">
      <w:pPr>
        <w:pStyle w:val="17"/>
        <w:tabs>
          <w:tab w:val="right" w:leader="dot" w:pos="8306"/>
        </w:tabs>
        <w:rPr>
          <w:sz w:val="24"/>
          <w:szCs w:val="24"/>
          <w:highlight w:val="none"/>
        </w:rPr>
      </w:pPr>
      <w:r>
        <w:rPr>
          <w:sz w:val="24"/>
          <w:szCs w:val="24"/>
          <w:highlight w:val="none"/>
        </w:rPr>
        <w:fldChar w:fldCharType="begin"/>
      </w:r>
      <w:r>
        <w:rPr>
          <w:sz w:val="24"/>
          <w:szCs w:val="24"/>
          <w:highlight w:val="none"/>
        </w:rPr>
        <w:instrText xml:space="preserve"> HYPERLINK \l "_Toc22492" </w:instrText>
      </w:r>
      <w:r>
        <w:rPr>
          <w:sz w:val="24"/>
          <w:szCs w:val="24"/>
          <w:highlight w:val="none"/>
        </w:rPr>
        <w:fldChar w:fldCharType="separate"/>
      </w:r>
      <w:r>
        <w:rPr>
          <w:rFonts w:hint="eastAsia" w:asciiTheme="minorEastAsia" w:hAnsiTheme="minorEastAsia"/>
          <w:sz w:val="24"/>
          <w:szCs w:val="24"/>
          <w:highlight w:val="none"/>
        </w:rPr>
        <w:t>第六章  投标文件格式</w:t>
      </w:r>
      <w:r>
        <w:rPr>
          <w:sz w:val="24"/>
          <w:szCs w:val="24"/>
          <w:highlight w:val="none"/>
        </w:rPr>
        <w:tab/>
      </w:r>
      <w:r>
        <w:rPr>
          <w:sz w:val="24"/>
          <w:szCs w:val="24"/>
          <w:highlight w:val="none"/>
        </w:rPr>
        <w:fldChar w:fldCharType="begin"/>
      </w:r>
      <w:r>
        <w:rPr>
          <w:sz w:val="24"/>
          <w:szCs w:val="24"/>
          <w:highlight w:val="none"/>
        </w:rPr>
        <w:instrText xml:space="preserve"> PAGEREF _Toc22492 \h </w:instrText>
      </w:r>
      <w:r>
        <w:rPr>
          <w:sz w:val="24"/>
          <w:szCs w:val="24"/>
          <w:highlight w:val="none"/>
        </w:rPr>
        <w:fldChar w:fldCharType="separate"/>
      </w:r>
      <w:r>
        <w:rPr>
          <w:sz w:val="24"/>
          <w:szCs w:val="24"/>
          <w:highlight w:val="none"/>
        </w:rPr>
        <w:t>97</w:t>
      </w:r>
      <w:r>
        <w:rPr>
          <w:sz w:val="24"/>
          <w:szCs w:val="24"/>
          <w:highlight w:val="none"/>
        </w:rPr>
        <w:fldChar w:fldCharType="end"/>
      </w:r>
      <w:r>
        <w:rPr>
          <w:sz w:val="24"/>
          <w:szCs w:val="24"/>
          <w:highlight w:val="none"/>
        </w:rPr>
        <w:fldChar w:fldCharType="end"/>
      </w:r>
    </w:p>
    <w:p w14:paraId="50B1177C">
      <w:pPr>
        <w:pStyle w:val="17"/>
        <w:tabs>
          <w:tab w:val="right" w:leader="dot" w:pos="8306"/>
        </w:tabs>
        <w:rPr>
          <w:sz w:val="24"/>
          <w:szCs w:val="24"/>
          <w:highlight w:val="none"/>
        </w:rPr>
      </w:pPr>
      <w:r>
        <w:rPr>
          <w:sz w:val="24"/>
          <w:szCs w:val="24"/>
          <w:highlight w:val="none"/>
        </w:rPr>
        <w:fldChar w:fldCharType="begin"/>
      </w:r>
      <w:r>
        <w:rPr>
          <w:sz w:val="24"/>
          <w:szCs w:val="24"/>
          <w:highlight w:val="none"/>
        </w:rPr>
        <w:instrText xml:space="preserve"> HYPERLINK \l "_Toc18131" </w:instrText>
      </w:r>
      <w:r>
        <w:rPr>
          <w:sz w:val="24"/>
          <w:szCs w:val="24"/>
          <w:highlight w:val="none"/>
        </w:rPr>
        <w:fldChar w:fldCharType="separate"/>
      </w:r>
      <w:r>
        <w:rPr>
          <w:rFonts w:hint="eastAsia" w:asciiTheme="minorEastAsia" w:hAnsiTheme="minorEastAsia"/>
          <w:sz w:val="24"/>
          <w:szCs w:val="24"/>
          <w:highlight w:val="none"/>
        </w:rPr>
        <w:t>第七章</w:t>
      </w:r>
      <w:r>
        <w:rPr>
          <w:rFonts w:hint="eastAsia" w:ascii="宋体" w:hAnsi="宋体" w:eastAsia="宋体"/>
          <w:bCs/>
          <w:sz w:val="24"/>
          <w:szCs w:val="24"/>
          <w:highlight w:val="none"/>
        </w:rPr>
        <w:t xml:space="preserve">  政府采购</w:t>
      </w:r>
      <w:r>
        <w:rPr>
          <w:rFonts w:hint="eastAsia" w:asciiTheme="minorEastAsia" w:hAnsiTheme="minorEastAsia"/>
          <w:sz w:val="24"/>
          <w:szCs w:val="24"/>
          <w:highlight w:val="none"/>
        </w:rPr>
        <w:t>供应</w:t>
      </w:r>
      <w:r>
        <w:rPr>
          <w:rFonts w:hint="eastAsia" w:ascii="宋体" w:hAnsi="宋体" w:eastAsia="宋体"/>
          <w:bCs/>
          <w:sz w:val="24"/>
          <w:szCs w:val="24"/>
          <w:highlight w:val="none"/>
        </w:rPr>
        <w:t>商询问函和质疑函范本</w:t>
      </w:r>
      <w:r>
        <w:rPr>
          <w:sz w:val="24"/>
          <w:szCs w:val="24"/>
          <w:highlight w:val="none"/>
        </w:rPr>
        <w:tab/>
      </w:r>
      <w:r>
        <w:rPr>
          <w:sz w:val="24"/>
          <w:szCs w:val="24"/>
          <w:highlight w:val="none"/>
        </w:rPr>
        <w:fldChar w:fldCharType="begin"/>
      </w:r>
      <w:r>
        <w:rPr>
          <w:sz w:val="24"/>
          <w:szCs w:val="24"/>
          <w:highlight w:val="none"/>
        </w:rPr>
        <w:instrText xml:space="preserve"> PAGEREF _Toc18131 \h </w:instrText>
      </w:r>
      <w:r>
        <w:rPr>
          <w:sz w:val="24"/>
          <w:szCs w:val="24"/>
          <w:highlight w:val="none"/>
        </w:rPr>
        <w:fldChar w:fldCharType="separate"/>
      </w:r>
      <w:r>
        <w:rPr>
          <w:sz w:val="24"/>
          <w:szCs w:val="24"/>
          <w:highlight w:val="none"/>
        </w:rPr>
        <w:t>109</w:t>
      </w:r>
      <w:r>
        <w:rPr>
          <w:sz w:val="24"/>
          <w:szCs w:val="24"/>
          <w:highlight w:val="none"/>
        </w:rPr>
        <w:fldChar w:fldCharType="end"/>
      </w:r>
      <w:r>
        <w:rPr>
          <w:sz w:val="24"/>
          <w:szCs w:val="24"/>
          <w:highlight w:val="none"/>
        </w:rPr>
        <w:fldChar w:fldCharType="end"/>
      </w:r>
    </w:p>
    <w:p w14:paraId="3164D878">
      <w:pPr>
        <w:spacing w:line="360" w:lineRule="auto"/>
        <w:rPr>
          <w:highlight w:val="none"/>
        </w:rPr>
        <w:sectPr>
          <w:headerReference r:id="rId3" w:type="default"/>
          <w:footerReference r:id="rId4" w:type="default"/>
          <w:pgSz w:w="11906" w:h="16838"/>
          <w:pgMar w:top="1440" w:right="1803" w:bottom="1440" w:left="1803" w:header="851" w:footer="992" w:gutter="0"/>
          <w:cols w:space="0" w:num="1"/>
          <w:rtlGutter w:val="0"/>
          <w:docGrid w:type="lines" w:linePitch="325" w:charSpace="0"/>
        </w:sectPr>
      </w:pPr>
      <w:r>
        <w:rPr>
          <w:rFonts w:asciiTheme="minorEastAsia" w:hAnsiTheme="minorEastAsia" w:eastAsiaTheme="minorEastAsia"/>
          <w:sz w:val="24"/>
          <w:szCs w:val="24"/>
          <w:highlight w:val="none"/>
        </w:rPr>
        <w:fldChar w:fldCharType="end"/>
      </w:r>
    </w:p>
    <w:p w14:paraId="3FA5A28E">
      <w:pPr>
        <w:spacing w:line="360" w:lineRule="auto"/>
        <w:jc w:val="center"/>
        <w:outlineLvl w:val="0"/>
        <w:rPr>
          <w:rFonts w:asciiTheme="minorEastAsia" w:hAnsiTheme="minorEastAsia" w:eastAsiaTheme="minorEastAsia"/>
          <w:b/>
          <w:sz w:val="28"/>
          <w:highlight w:val="none"/>
        </w:rPr>
      </w:pPr>
      <w:bookmarkStart w:id="1" w:name="_Toc23443"/>
      <w:r>
        <w:rPr>
          <w:rFonts w:hint="eastAsia" w:asciiTheme="minorEastAsia" w:hAnsiTheme="minorEastAsia" w:eastAsiaTheme="minorEastAsia"/>
          <w:b/>
          <w:sz w:val="28"/>
          <w:highlight w:val="none"/>
        </w:rPr>
        <w:t xml:space="preserve">第一章 </w:t>
      </w:r>
      <w:r>
        <w:rPr>
          <w:rFonts w:asciiTheme="minorEastAsia" w:hAnsiTheme="minorEastAsia" w:eastAsiaTheme="minorEastAsia"/>
          <w:b/>
          <w:sz w:val="28"/>
          <w:highlight w:val="none"/>
        </w:rPr>
        <w:t xml:space="preserve"> 投标邀请</w:t>
      </w:r>
      <w:bookmarkEnd w:id="1"/>
    </w:p>
    <w:p w14:paraId="130BB3E3">
      <w:pPr>
        <w:spacing w:line="360" w:lineRule="auto"/>
        <w:ind w:firstLine="437"/>
        <w:outlineLvl w:val="1"/>
        <w:rPr>
          <w:rFonts w:ascii="宋体" w:hAnsi="宋体" w:eastAsia="宋体"/>
          <w:b/>
          <w:bCs/>
          <w:sz w:val="24"/>
          <w:szCs w:val="18"/>
          <w:highlight w:val="none"/>
        </w:rPr>
      </w:pPr>
      <w:bookmarkStart w:id="2" w:name="_Toc1381"/>
      <w:bookmarkStart w:id="3" w:name="_Toc5842"/>
      <w:r>
        <w:rPr>
          <w:rFonts w:hint="eastAsia" w:ascii="宋体" w:hAnsi="宋体" w:eastAsia="宋体"/>
          <w:b/>
          <w:bCs/>
          <w:sz w:val="24"/>
          <w:szCs w:val="18"/>
          <w:highlight w:val="none"/>
        </w:rPr>
        <w:t>一、</w:t>
      </w:r>
      <w:bookmarkEnd w:id="2"/>
      <w:r>
        <w:rPr>
          <w:rFonts w:hint="eastAsia" w:ascii="宋体" w:hAnsi="宋体" w:eastAsia="宋体"/>
          <w:b/>
          <w:bCs/>
          <w:sz w:val="24"/>
          <w:szCs w:val="18"/>
          <w:highlight w:val="none"/>
        </w:rPr>
        <w:t>项目基本情况</w:t>
      </w:r>
      <w:bookmarkEnd w:id="3"/>
    </w:p>
    <w:p w14:paraId="5CC999FE">
      <w:pPr>
        <w:spacing w:line="360" w:lineRule="auto"/>
        <w:ind w:firstLine="435"/>
        <w:rPr>
          <w:rFonts w:asciiTheme="minorEastAsia" w:hAnsiTheme="minorEastAsia" w:eastAsiaTheme="minorEastAsia"/>
          <w:sz w:val="24"/>
          <w:highlight w:val="none"/>
        </w:rPr>
      </w:pPr>
      <w:bookmarkStart w:id="4" w:name="_Toc30110"/>
      <w:bookmarkStart w:id="5" w:name="_Toc32089"/>
      <w:r>
        <w:rPr>
          <w:rFonts w:hint="eastAsia" w:asciiTheme="minorEastAsia" w:hAnsiTheme="minorEastAsia" w:eastAsiaTheme="minorEastAsia"/>
          <w:sz w:val="24"/>
          <w:highlight w:val="none"/>
        </w:rPr>
        <w:t>1.项目编号：FSSD34000120256222号</w:t>
      </w:r>
    </w:p>
    <w:p w14:paraId="1F5FA9AF">
      <w:pPr>
        <w:spacing w:line="360" w:lineRule="auto"/>
        <w:ind w:firstLine="435"/>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2.项目名称：</w:t>
      </w:r>
      <w:r>
        <w:rPr>
          <w:rFonts w:hint="eastAsia" w:asciiTheme="minorEastAsia" w:hAnsiTheme="minorEastAsia" w:eastAsiaTheme="minorEastAsia"/>
          <w:sz w:val="24"/>
          <w:highlight w:val="none"/>
          <w:lang w:val="en-US" w:eastAsia="zh-CN"/>
        </w:rPr>
        <w:t>上海市第一人民医院蚌埠医院设备采购项目（便携彩超机、便携式彩超、便携式彩色多普勒超声、床旁超声机（便携）、高端平板便携式彩色多普勒超声系统）</w:t>
      </w:r>
      <w:r>
        <w:rPr>
          <w:rFonts w:hint="eastAsia" w:asciiTheme="minorEastAsia" w:hAnsiTheme="minorEastAsia" w:eastAsiaTheme="minorEastAsia"/>
          <w:sz w:val="24"/>
          <w:highlight w:val="none"/>
          <w:lang w:eastAsia="zh-CN"/>
        </w:rPr>
        <w:t xml:space="preserve">（二次）  </w:t>
      </w:r>
    </w:p>
    <w:p w14:paraId="77ED81ED">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3.预算金额：</w:t>
      </w:r>
      <w:r>
        <w:rPr>
          <w:rFonts w:hint="eastAsia" w:asciiTheme="minorEastAsia" w:hAnsiTheme="minorEastAsia" w:eastAsiaTheme="minorEastAsia"/>
          <w:sz w:val="24"/>
          <w:highlight w:val="none"/>
          <w:lang w:val="en-US" w:eastAsia="zh-CN"/>
        </w:rPr>
        <w:t>439.00</w:t>
      </w:r>
      <w:r>
        <w:rPr>
          <w:rFonts w:hint="eastAsia" w:asciiTheme="minorEastAsia" w:hAnsiTheme="minorEastAsia" w:eastAsiaTheme="minorEastAsia"/>
          <w:sz w:val="24"/>
          <w:highlight w:val="none"/>
        </w:rPr>
        <w:t>万</w:t>
      </w:r>
      <w:r>
        <w:rPr>
          <w:rFonts w:hint="eastAsia" w:ascii="宋体" w:hAnsi="宋体" w:eastAsia="宋体"/>
          <w:sz w:val="24"/>
          <w:szCs w:val="18"/>
          <w:highlight w:val="none"/>
          <w:u w:val="none"/>
        </w:rPr>
        <w:t>元</w:t>
      </w:r>
      <w:r>
        <w:rPr>
          <w:rFonts w:hint="eastAsia" w:ascii="宋体" w:hAnsi="宋体" w:eastAsia="宋体"/>
          <w:sz w:val="24"/>
          <w:szCs w:val="18"/>
          <w:highlight w:val="none"/>
          <w:u w:val="none"/>
          <w:lang w:eastAsia="zh-CN"/>
        </w:rPr>
        <w:t>（</w:t>
      </w:r>
      <w:r>
        <w:rPr>
          <w:rFonts w:hint="eastAsia" w:ascii="宋体" w:hAnsi="宋体" w:eastAsia="宋体"/>
          <w:sz w:val="24"/>
          <w:szCs w:val="18"/>
          <w:highlight w:val="none"/>
          <w:u w:val="none"/>
          <w:lang w:val="en-US" w:eastAsia="zh-CN"/>
        </w:rPr>
        <w:t>01包：70万元；02包：49万元；03包：90万元；04包：75万元；05包：65万元；06包：90万元</w:t>
      </w:r>
      <w:r>
        <w:rPr>
          <w:rFonts w:hint="eastAsia" w:ascii="宋体" w:hAnsi="宋体" w:eastAsia="宋体"/>
          <w:sz w:val="24"/>
          <w:szCs w:val="18"/>
          <w:highlight w:val="none"/>
          <w:u w:val="none"/>
          <w:lang w:eastAsia="zh-CN"/>
        </w:rPr>
        <w:t>）；</w:t>
      </w:r>
    </w:p>
    <w:p w14:paraId="26D86AD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4.最高限价：</w:t>
      </w:r>
      <w:r>
        <w:rPr>
          <w:rFonts w:hint="eastAsia" w:asciiTheme="minorEastAsia" w:hAnsiTheme="minorEastAsia" w:eastAsiaTheme="minorEastAsia"/>
          <w:color w:val="auto"/>
          <w:sz w:val="24"/>
          <w:highlight w:val="none"/>
          <w:lang w:val="en-US" w:eastAsia="zh-CN"/>
        </w:rPr>
        <w:t>0</w:t>
      </w:r>
      <w:r>
        <w:rPr>
          <w:rFonts w:hint="eastAsia" w:ascii="宋体" w:hAnsi="宋体" w:eastAsia="宋体"/>
          <w:color w:val="auto"/>
          <w:sz w:val="24"/>
          <w:szCs w:val="18"/>
          <w:highlight w:val="none"/>
          <w:u w:val="none"/>
          <w:lang w:val="en-US" w:eastAsia="zh-CN"/>
        </w:rPr>
        <w:t>1包：67万元；02包：44万元；03包：89万元；04包：53万元；05包：62万元；06包：90万元</w:t>
      </w:r>
      <w:r>
        <w:rPr>
          <w:rFonts w:hint="eastAsia" w:ascii="宋体" w:hAnsi="宋体" w:eastAsia="宋体"/>
          <w:color w:val="auto"/>
          <w:sz w:val="24"/>
          <w:szCs w:val="18"/>
          <w:highlight w:val="none"/>
          <w:u w:val="none"/>
          <w:lang w:eastAsia="zh-CN"/>
        </w:rPr>
        <w:t>；</w:t>
      </w:r>
    </w:p>
    <w:p w14:paraId="3CEB28FB">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5.采购需求：</w:t>
      </w:r>
    </w:p>
    <w:p w14:paraId="259328DF">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lang w:eastAsia="zh-CN"/>
        </w:rPr>
        <w:t>第</w:t>
      </w:r>
      <w:r>
        <w:rPr>
          <w:rFonts w:hint="eastAsia" w:asciiTheme="minorEastAsia" w:hAnsiTheme="minorEastAsia" w:eastAsiaTheme="minorEastAsia"/>
          <w:sz w:val="24"/>
          <w:highlight w:val="none"/>
          <w:lang w:val="en-US" w:eastAsia="zh-CN"/>
        </w:rPr>
        <w:t>1</w:t>
      </w:r>
      <w:r>
        <w:rPr>
          <w:rFonts w:hint="eastAsia" w:asciiTheme="minorEastAsia" w:hAnsiTheme="minorEastAsia" w:eastAsiaTheme="minorEastAsia"/>
          <w:sz w:val="24"/>
          <w:highlight w:val="none"/>
          <w:lang w:eastAsia="zh-CN"/>
        </w:rPr>
        <w:t>包：采购</w:t>
      </w:r>
      <w:r>
        <w:rPr>
          <w:rFonts w:hint="eastAsia" w:asciiTheme="minorEastAsia" w:hAnsiTheme="minorEastAsia" w:eastAsiaTheme="minorEastAsia"/>
          <w:sz w:val="24"/>
          <w:highlight w:val="none"/>
          <w:lang w:val="en-US" w:eastAsia="zh-CN"/>
        </w:rPr>
        <w:t>1台便携彩超机</w:t>
      </w:r>
      <w:r>
        <w:rPr>
          <w:rFonts w:hint="eastAsia" w:asciiTheme="minorEastAsia" w:hAnsiTheme="minorEastAsia" w:eastAsiaTheme="minorEastAsia"/>
          <w:sz w:val="24"/>
          <w:highlight w:val="none"/>
        </w:rPr>
        <w:t>，详见招标文件采购需求。</w:t>
      </w:r>
    </w:p>
    <w:p w14:paraId="23F640D1">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lang w:eastAsia="zh-CN"/>
        </w:rPr>
        <w:t>第</w:t>
      </w:r>
      <w:r>
        <w:rPr>
          <w:rFonts w:hint="eastAsia" w:asciiTheme="minorEastAsia" w:hAnsiTheme="minorEastAsia" w:eastAsiaTheme="minorEastAsia"/>
          <w:sz w:val="24"/>
          <w:highlight w:val="none"/>
          <w:lang w:val="en-US" w:eastAsia="zh-CN"/>
        </w:rPr>
        <w:t>2</w:t>
      </w:r>
      <w:r>
        <w:rPr>
          <w:rFonts w:hint="eastAsia" w:asciiTheme="minorEastAsia" w:hAnsiTheme="minorEastAsia" w:eastAsiaTheme="minorEastAsia"/>
          <w:sz w:val="24"/>
          <w:highlight w:val="none"/>
          <w:lang w:eastAsia="zh-CN"/>
        </w:rPr>
        <w:t>包：采购</w:t>
      </w:r>
      <w:r>
        <w:rPr>
          <w:rFonts w:hint="eastAsia" w:asciiTheme="minorEastAsia" w:hAnsiTheme="minorEastAsia" w:eastAsiaTheme="minorEastAsia"/>
          <w:sz w:val="24"/>
          <w:highlight w:val="none"/>
          <w:lang w:val="en-US" w:eastAsia="zh-CN"/>
        </w:rPr>
        <w:t>1</w:t>
      </w:r>
      <w:r>
        <w:rPr>
          <w:rFonts w:hint="eastAsia" w:asciiTheme="minorEastAsia" w:hAnsiTheme="minorEastAsia" w:eastAsiaTheme="minorEastAsia"/>
          <w:sz w:val="24"/>
          <w:highlight w:val="none"/>
          <w:lang w:eastAsia="zh-CN"/>
        </w:rPr>
        <w:t>台便携式彩超</w:t>
      </w:r>
      <w:r>
        <w:rPr>
          <w:rFonts w:hint="eastAsia" w:asciiTheme="minorEastAsia" w:hAnsiTheme="minorEastAsia" w:eastAsiaTheme="minorEastAsia"/>
          <w:sz w:val="24"/>
          <w:highlight w:val="none"/>
        </w:rPr>
        <w:t>，详见招标文件采购需求。</w:t>
      </w:r>
    </w:p>
    <w:p w14:paraId="5C7F21A0">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lang w:eastAsia="zh-CN"/>
        </w:rPr>
        <w:t>第</w:t>
      </w:r>
      <w:r>
        <w:rPr>
          <w:rFonts w:hint="eastAsia" w:asciiTheme="minorEastAsia" w:hAnsiTheme="minorEastAsia" w:eastAsiaTheme="minorEastAsia"/>
          <w:sz w:val="24"/>
          <w:highlight w:val="none"/>
          <w:lang w:val="en-US" w:eastAsia="zh-CN"/>
        </w:rPr>
        <w:t>3</w:t>
      </w:r>
      <w:r>
        <w:rPr>
          <w:rFonts w:hint="eastAsia" w:asciiTheme="minorEastAsia" w:hAnsiTheme="minorEastAsia" w:eastAsiaTheme="minorEastAsia"/>
          <w:sz w:val="24"/>
          <w:highlight w:val="none"/>
          <w:lang w:eastAsia="zh-CN"/>
        </w:rPr>
        <w:t>包：采购</w:t>
      </w:r>
      <w:r>
        <w:rPr>
          <w:rFonts w:hint="eastAsia" w:asciiTheme="minorEastAsia" w:hAnsiTheme="minorEastAsia" w:eastAsiaTheme="minorEastAsia"/>
          <w:sz w:val="24"/>
          <w:highlight w:val="none"/>
          <w:lang w:val="en-US" w:eastAsia="zh-CN"/>
        </w:rPr>
        <w:t>1台便携式彩色多普勒超声</w:t>
      </w:r>
      <w:r>
        <w:rPr>
          <w:rFonts w:hint="eastAsia" w:asciiTheme="minorEastAsia" w:hAnsiTheme="minorEastAsia" w:eastAsiaTheme="minorEastAsia"/>
          <w:sz w:val="24"/>
          <w:highlight w:val="none"/>
        </w:rPr>
        <w:t>，详见招标文件采购需求。</w:t>
      </w:r>
    </w:p>
    <w:p w14:paraId="4AB036A2">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lang w:eastAsia="zh-CN"/>
        </w:rPr>
        <w:t>第</w:t>
      </w:r>
      <w:r>
        <w:rPr>
          <w:rFonts w:hint="eastAsia" w:asciiTheme="minorEastAsia" w:hAnsiTheme="minorEastAsia" w:eastAsiaTheme="minorEastAsia"/>
          <w:sz w:val="24"/>
          <w:highlight w:val="none"/>
          <w:lang w:val="en-US" w:eastAsia="zh-CN"/>
        </w:rPr>
        <w:t>4</w:t>
      </w:r>
      <w:r>
        <w:rPr>
          <w:rFonts w:hint="eastAsia" w:asciiTheme="minorEastAsia" w:hAnsiTheme="minorEastAsia" w:eastAsiaTheme="minorEastAsia"/>
          <w:sz w:val="24"/>
          <w:highlight w:val="none"/>
          <w:lang w:eastAsia="zh-CN"/>
        </w:rPr>
        <w:t>包：采购</w:t>
      </w:r>
      <w:r>
        <w:rPr>
          <w:rFonts w:hint="eastAsia" w:asciiTheme="minorEastAsia" w:hAnsiTheme="minorEastAsia" w:eastAsiaTheme="minorEastAsia"/>
          <w:sz w:val="24"/>
          <w:highlight w:val="none"/>
          <w:lang w:val="en-US" w:eastAsia="zh-CN"/>
        </w:rPr>
        <w:t>1台便携式彩色多普勒超声诊断系统</w:t>
      </w:r>
      <w:r>
        <w:rPr>
          <w:rFonts w:hint="eastAsia" w:asciiTheme="minorEastAsia" w:hAnsiTheme="minorEastAsia" w:eastAsiaTheme="minorEastAsia"/>
          <w:sz w:val="24"/>
          <w:highlight w:val="none"/>
        </w:rPr>
        <w:t>，详见招标文件采购需求。</w:t>
      </w:r>
    </w:p>
    <w:p w14:paraId="010812B4">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lang w:eastAsia="zh-CN"/>
        </w:rPr>
        <w:t>第</w:t>
      </w:r>
      <w:r>
        <w:rPr>
          <w:rFonts w:hint="eastAsia" w:asciiTheme="minorEastAsia" w:hAnsiTheme="minorEastAsia" w:eastAsiaTheme="minorEastAsia"/>
          <w:sz w:val="24"/>
          <w:highlight w:val="none"/>
          <w:lang w:val="en-US" w:eastAsia="zh-CN"/>
        </w:rPr>
        <w:t>5</w:t>
      </w:r>
      <w:r>
        <w:rPr>
          <w:rFonts w:hint="eastAsia" w:asciiTheme="minorEastAsia" w:hAnsiTheme="minorEastAsia" w:eastAsiaTheme="minorEastAsia"/>
          <w:sz w:val="24"/>
          <w:highlight w:val="none"/>
          <w:lang w:eastAsia="zh-CN"/>
        </w:rPr>
        <w:t>包：采购</w:t>
      </w:r>
      <w:r>
        <w:rPr>
          <w:rFonts w:hint="eastAsia" w:asciiTheme="minorEastAsia" w:hAnsiTheme="minorEastAsia" w:eastAsiaTheme="minorEastAsia"/>
          <w:sz w:val="24"/>
          <w:highlight w:val="none"/>
          <w:lang w:val="en-US" w:eastAsia="zh-CN"/>
        </w:rPr>
        <w:t>1台高端平板便携式彩色多普勒超声系统</w:t>
      </w:r>
      <w:r>
        <w:rPr>
          <w:rFonts w:hint="eastAsia" w:asciiTheme="minorEastAsia" w:hAnsiTheme="minorEastAsia" w:eastAsiaTheme="minorEastAsia"/>
          <w:sz w:val="24"/>
          <w:highlight w:val="none"/>
        </w:rPr>
        <w:t>，详见招标文件采购需求。</w:t>
      </w:r>
    </w:p>
    <w:p w14:paraId="1C2737BB">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lang w:eastAsia="zh-CN"/>
        </w:rPr>
        <w:t>第</w:t>
      </w:r>
      <w:r>
        <w:rPr>
          <w:rFonts w:hint="eastAsia" w:asciiTheme="minorEastAsia" w:hAnsiTheme="minorEastAsia" w:eastAsiaTheme="minorEastAsia"/>
          <w:sz w:val="24"/>
          <w:highlight w:val="none"/>
          <w:lang w:val="en-US" w:eastAsia="zh-CN"/>
        </w:rPr>
        <w:t>6</w:t>
      </w:r>
      <w:r>
        <w:rPr>
          <w:rFonts w:hint="eastAsia" w:asciiTheme="minorEastAsia" w:hAnsiTheme="minorEastAsia" w:eastAsiaTheme="minorEastAsia"/>
          <w:sz w:val="24"/>
          <w:highlight w:val="none"/>
          <w:lang w:eastAsia="zh-CN"/>
        </w:rPr>
        <w:t>包：采购</w:t>
      </w:r>
      <w:r>
        <w:rPr>
          <w:rFonts w:hint="eastAsia" w:asciiTheme="minorEastAsia" w:hAnsiTheme="minorEastAsia" w:eastAsiaTheme="minorEastAsia"/>
          <w:sz w:val="24"/>
          <w:highlight w:val="none"/>
          <w:lang w:val="en-US" w:eastAsia="zh-CN"/>
        </w:rPr>
        <w:t>1台床旁超声机（便携），</w:t>
      </w:r>
      <w:r>
        <w:rPr>
          <w:rFonts w:hint="eastAsia" w:asciiTheme="minorEastAsia" w:hAnsiTheme="minorEastAsia" w:eastAsiaTheme="minorEastAsia"/>
          <w:sz w:val="24"/>
          <w:highlight w:val="none"/>
        </w:rPr>
        <w:t>详见招标文件采购需求。</w:t>
      </w:r>
    </w:p>
    <w:p w14:paraId="5621387D">
      <w:pPr>
        <w:spacing w:line="360" w:lineRule="auto"/>
        <w:ind w:firstLine="435"/>
        <w:rPr>
          <w:rFonts w:asciiTheme="minorEastAsia" w:hAnsiTheme="minorEastAsia" w:eastAsiaTheme="minorEastAsia"/>
          <w:sz w:val="24"/>
          <w:highlight w:val="none"/>
          <w:u w:val="none"/>
        </w:rPr>
      </w:pPr>
      <w:r>
        <w:rPr>
          <w:rFonts w:hint="eastAsia" w:asciiTheme="minorEastAsia" w:hAnsiTheme="minorEastAsia" w:eastAsiaTheme="minorEastAsia"/>
          <w:sz w:val="24"/>
          <w:highlight w:val="none"/>
        </w:rPr>
        <w:t>6.合同履行期限：</w:t>
      </w:r>
      <w:r>
        <w:rPr>
          <w:rFonts w:hint="eastAsia" w:ascii="宋体" w:hAnsi="宋体" w:eastAsia="宋体"/>
          <w:sz w:val="24"/>
          <w:szCs w:val="18"/>
          <w:highlight w:val="none"/>
          <w:u w:val="none"/>
        </w:rPr>
        <w:t>合同签订后，自接到</w:t>
      </w:r>
      <w:r>
        <w:rPr>
          <w:rFonts w:hint="eastAsia" w:ascii="宋体" w:hAnsi="宋体" w:eastAsia="宋体"/>
          <w:sz w:val="24"/>
          <w:szCs w:val="18"/>
          <w:highlight w:val="none"/>
          <w:u w:val="none"/>
          <w:lang w:eastAsia="zh-CN"/>
        </w:rPr>
        <w:t>采购</w:t>
      </w:r>
      <w:r>
        <w:rPr>
          <w:rFonts w:hint="eastAsia" w:ascii="宋体" w:hAnsi="宋体" w:eastAsia="宋体"/>
          <w:sz w:val="24"/>
          <w:szCs w:val="18"/>
          <w:highlight w:val="none"/>
          <w:u w:val="none"/>
        </w:rPr>
        <w:t>人通知之日起30个日历天内完成供货及安装。</w:t>
      </w:r>
    </w:p>
    <w:p w14:paraId="58B7D258">
      <w:pPr>
        <w:spacing w:line="360" w:lineRule="auto"/>
        <w:ind w:firstLine="435"/>
        <w:rPr>
          <w:highlight w:val="none"/>
        </w:rPr>
      </w:pPr>
      <w:r>
        <w:rPr>
          <w:rFonts w:hint="eastAsia" w:asciiTheme="minorEastAsia" w:hAnsiTheme="minorEastAsia" w:eastAsiaTheme="minorEastAsia"/>
          <w:sz w:val="24"/>
          <w:highlight w:val="none"/>
        </w:rPr>
        <w:t>7.本项目不接受联合体投标。</w:t>
      </w:r>
    </w:p>
    <w:p w14:paraId="78348647">
      <w:pPr>
        <w:spacing w:line="360" w:lineRule="auto"/>
        <w:ind w:firstLine="437"/>
        <w:outlineLvl w:val="1"/>
        <w:rPr>
          <w:rFonts w:ascii="宋体" w:hAnsi="宋体" w:eastAsia="宋体"/>
          <w:b/>
          <w:bCs/>
          <w:sz w:val="24"/>
          <w:szCs w:val="18"/>
          <w:highlight w:val="none"/>
        </w:rPr>
      </w:pPr>
      <w:bookmarkStart w:id="6" w:name="_Toc13530"/>
      <w:bookmarkStart w:id="7" w:name="_Toc26178"/>
      <w:r>
        <w:rPr>
          <w:rFonts w:hint="eastAsia" w:ascii="宋体" w:hAnsi="宋体" w:eastAsia="宋体"/>
          <w:b/>
          <w:bCs/>
          <w:sz w:val="24"/>
          <w:szCs w:val="18"/>
          <w:highlight w:val="none"/>
        </w:rPr>
        <w:t>二、</w:t>
      </w:r>
      <w:bookmarkEnd w:id="6"/>
      <w:r>
        <w:rPr>
          <w:rFonts w:hint="eastAsia" w:ascii="宋体" w:hAnsi="宋体" w:eastAsia="宋体"/>
          <w:b/>
          <w:bCs/>
          <w:sz w:val="24"/>
          <w:szCs w:val="18"/>
          <w:highlight w:val="none"/>
        </w:rPr>
        <w:t>申请人的资格要求</w:t>
      </w:r>
      <w:bookmarkEnd w:id="7"/>
    </w:p>
    <w:p w14:paraId="511B162C">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1.满足《中华人民共和国政府采购法》第二十二条规定；</w:t>
      </w:r>
    </w:p>
    <w:p w14:paraId="4EB91A11">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2.落实政府采购政策需满足的资格要求：</w:t>
      </w:r>
    </w:p>
    <w:p w14:paraId="30C15CAD">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2.1中小企业政策</w:t>
      </w:r>
    </w:p>
    <w:p w14:paraId="6F9EE456">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本项目为非专门面向中小企业采购项目，符合财政部、工业和信息化部制定的《政府采购促进中小企业发展管理办法》第六条第三款规定:按照本办法规定预留采购份额无法确保充分供应、充分竞争，或者存在可能影响政府采购目标实现的情形。如对此项内容有疑问，可通过采购文件约定的方式进行质疑。 </w:t>
      </w:r>
    </w:p>
    <w:p w14:paraId="2178C96C">
      <w:pPr>
        <w:spacing w:line="360" w:lineRule="auto"/>
        <w:ind w:firstLine="435"/>
        <w:rPr>
          <w:highlight w:val="none"/>
        </w:rPr>
      </w:pPr>
      <w:r>
        <w:rPr>
          <w:rFonts w:asciiTheme="minorEastAsia" w:hAnsiTheme="minorEastAsia" w:eastAsiaTheme="minorEastAsia"/>
          <w:sz w:val="24"/>
          <w:highlight w:val="none"/>
        </w:rPr>
        <w:t>2.2</w:t>
      </w:r>
      <w:r>
        <w:rPr>
          <w:rFonts w:hint="eastAsia" w:asciiTheme="minorEastAsia" w:hAnsiTheme="minorEastAsia" w:eastAsiaTheme="minorEastAsia"/>
          <w:sz w:val="24"/>
          <w:highlight w:val="none"/>
        </w:rPr>
        <w:t>其它落实政府采购政策的资格要求：</w:t>
      </w:r>
      <w:r>
        <w:rPr>
          <w:rFonts w:hint="eastAsia" w:asciiTheme="minorEastAsia" w:hAnsiTheme="minorEastAsia" w:eastAsiaTheme="minorEastAsia"/>
          <w:sz w:val="24"/>
          <w:highlight w:val="none"/>
          <w:u w:val="none"/>
          <w:lang w:eastAsia="zh-CN"/>
        </w:rPr>
        <w:t>无</w:t>
      </w:r>
      <w:r>
        <w:rPr>
          <w:rFonts w:hint="eastAsia" w:asciiTheme="minorEastAsia" w:hAnsiTheme="minorEastAsia" w:eastAsiaTheme="minorEastAsia"/>
          <w:sz w:val="24"/>
          <w:highlight w:val="none"/>
        </w:rPr>
        <w:t>。</w:t>
      </w:r>
    </w:p>
    <w:p w14:paraId="4FD0AA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highlight w:val="none"/>
        </w:rPr>
      </w:pPr>
      <w:r>
        <w:rPr>
          <w:rFonts w:hint="eastAsia" w:cs="@仿宋_GB2312" w:asciiTheme="minorEastAsia" w:hAnsiTheme="minorEastAsia" w:eastAsiaTheme="minorEastAsia"/>
          <w:kern w:val="2"/>
          <w:sz w:val="24"/>
          <w:lang w:val="en-US" w:eastAsia="zh-CN" w:bidi="ar-SA"/>
        </w:rPr>
        <w:t>3.</w:t>
      </w:r>
      <w:r>
        <w:rPr>
          <w:rFonts w:hint="eastAsia" w:asciiTheme="minorEastAsia" w:hAnsiTheme="minorEastAsia" w:eastAsiaTheme="minorEastAsia"/>
          <w:sz w:val="24"/>
          <w:highlight w:val="none"/>
        </w:rPr>
        <w:t>本项目的特定资格要求：</w:t>
      </w:r>
    </w:p>
    <w:p w14:paraId="23D1B9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3.1 所投产品属于二类医疗器械时，须提供投标人的医疗器械经营备案证明；属于三类医疗器械时，须提供投标人的医疗器械经营许可证。医疗器械注册人、备案人或者生产企业在其住所或者生产地址销售医疗器械，不需办理经营许可或者备案。</w:t>
      </w:r>
    </w:p>
    <w:p w14:paraId="55AA26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3.2 投标人所投产品（非进口产品）属于一类医疗器械时，须提供生产商的医疗器械生产备案证明；属于二、三类医疗器械时，须提供生产商的医疗器械生产许可证。</w:t>
      </w:r>
    </w:p>
    <w:p w14:paraId="2D2B4A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3.3 投标人所投产品属于一类医疗器械时，须提供产品的注册备案证明；属于二、三类医疗器械时，须提供产品的医疗器械注册证。</w:t>
      </w:r>
    </w:p>
    <w:p w14:paraId="3043220D">
      <w:pPr>
        <w:spacing w:line="360" w:lineRule="auto"/>
        <w:ind w:firstLine="437"/>
        <w:outlineLvl w:val="1"/>
        <w:rPr>
          <w:rFonts w:ascii="宋体" w:hAnsi="宋体" w:eastAsia="宋体"/>
          <w:b/>
          <w:bCs/>
          <w:sz w:val="24"/>
          <w:szCs w:val="18"/>
          <w:highlight w:val="none"/>
        </w:rPr>
      </w:pPr>
      <w:r>
        <w:rPr>
          <w:rFonts w:hint="eastAsia" w:ascii="宋体" w:hAnsi="宋体" w:eastAsia="宋体"/>
          <w:b/>
          <w:bCs/>
          <w:sz w:val="24"/>
          <w:szCs w:val="18"/>
          <w:highlight w:val="none"/>
        </w:rPr>
        <w:t>三、</w:t>
      </w:r>
      <w:bookmarkEnd w:id="4"/>
      <w:r>
        <w:rPr>
          <w:rFonts w:hint="eastAsia" w:ascii="宋体" w:hAnsi="宋体" w:eastAsia="宋体"/>
          <w:b/>
          <w:bCs/>
          <w:sz w:val="24"/>
          <w:szCs w:val="18"/>
          <w:highlight w:val="none"/>
        </w:rPr>
        <w:t>获取招标文件</w:t>
      </w:r>
      <w:bookmarkEnd w:id="5"/>
    </w:p>
    <w:p w14:paraId="4D4D0DEE">
      <w:pPr>
        <w:spacing w:line="360" w:lineRule="auto"/>
        <w:ind w:firstLine="540"/>
        <w:rPr>
          <w:rFonts w:asciiTheme="minorEastAsia" w:hAnsiTheme="minorEastAsia" w:eastAsiaTheme="minorEastAsia" w:cstheme="minorEastAsia"/>
          <w:i/>
          <w:iCs/>
          <w:sz w:val="24"/>
          <w:szCs w:val="24"/>
          <w:highlight w:val="none"/>
        </w:rPr>
      </w:pPr>
      <w:bookmarkStart w:id="8" w:name="_Toc7957"/>
      <w:r>
        <w:rPr>
          <w:rFonts w:hint="eastAsia" w:asciiTheme="minorEastAsia" w:hAnsiTheme="minorEastAsia" w:eastAsiaTheme="minorEastAsia" w:cstheme="minorEastAsia"/>
          <w:sz w:val="24"/>
          <w:szCs w:val="24"/>
          <w:highlight w:val="none"/>
        </w:rPr>
        <w:t>时间：</w:t>
      </w:r>
      <w:r>
        <w:rPr>
          <w:rFonts w:hint="eastAsia" w:asciiTheme="minorEastAsia" w:hAnsiTheme="minorEastAsia" w:eastAsiaTheme="minorEastAsia" w:cstheme="minorEastAsia"/>
          <w:sz w:val="24"/>
          <w:szCs w:val="24"/>
          <w:highlight w:val="none"/>
          <w:u w:val="single"/>
        </w:rPr>
        <w:t xml:space="preserve"> 202</w:t>
      </w:r>
      <w:r>
        <w:rPr>
          <w:rFonts w:hint="eastAsia" w:asciiTheme="minorEastAsia" w:hAnsiTheme="minorEastAsia" w:eastAsiaTheme="minorEastAsia" w:cstheme="minorEastAsia"/>
          <w:sz w:val="24"/>
          <w:szCs w:val="24"/>
          <w:highlight w:val="none"/>
          <w:u w:val="single"/>
          <w:lang w:val="en-US" w:eastAsia="zh-CN"/>
        </w:rPr>
        <w:t>5</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09</w:t>
      </w:r>
      <w:r>
        <w:rPr>
          <w:rFonts w:hint="eastAsia" w:asciiTheme="minorEastAsia" w:hAnsiTheme="minorEastAsia" w:eastAsiaTheme="minorEastAsia" w:cstheme="minorEastAsia"/>
          <w:sz w:val="24"/>
          <w:szCs w:val="24"/>
          <w:highlight w:val="none"/>
          <w:u w:val="none"/>
          <w:lang w:val="en-US" w:eastAsia="zh-CN"/>
        </w:rPr>
        <w:t>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10 </w:t>
      </w:r>
      <w:r>
        <w:rPr>
          <w:rFonts w:hint="eastAsia" w:asciiTheme="minorEastAsia" w:hAnsiTheme="minorEastAsia" w:eastAsiaTheme="minorEastAsia" w:cstheme="minorEastAsia"/>
          <w:sz w:val="24"/>
          <w:szCs w:val="24"/>
          <w:highlight w:val="none"/>
        </w:rPr>
        <w:t>日至</w:t>
      </w:r>
      <w:r>
        <w:rPr>
          <w:rFonts w:hint="eastAsia" w:asciiTheme="minorEastAsia" w:hAnsiTheme="minorEastAsia" w:eastAsiaTheme="minorEastAsia" w:cstheme="minorEastAsia"/>
          <w:sz w:val="24"/>
          <w:szCs w:val="24"/>
          <w:highlight w:val="none"/>
          <w:u w:val="single"/>
        </w:rPr>
        <w:t xml:space="preserve"> 202</w:t>
      </w:r>
      <w:r>
        <w:rPr>
          <w:rFonts w:hint="eastAsia" w:asciiTheme="minorEastAsia" w:hAnsiTheme="minorEastAsia" w:eastAsiaTheme="minorEastAsia" w:cstheme="minorEastAsia"/>
          <w:sz w:val="24"/>
          <w:szCs w:val="24"/>
          <w:highlight w:val="none"/>
          <w:u w:val="single"/>
          <w:lang w:val="en-US" w:eastAsia="zh-CN"/>
        </w:rPr>
        <w:t>5</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09</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17 </w:t>
      </w:r>
      <w:r>
        <w:rPr>
          <w:rFonts w:hint="eastAsia" w:asciiTheme="minorEastAsia" w:hAnsiTheme="minorEastAsia" w:eastAsiaTheme="minorEastAsia" w:cstheme="minorEastAsia"/>
          <w:sz w:val="24"/>
          <w:szCs w:val="24"/>
          <w:highlight w:val="none"/>
        </w:rPr>
        <w:t>日</w:t>
      </w:r>
      <w:r>
        <w:rPr>
          <w:rFonts w:hint="eastAsia" w:asciiTheme="minorEastAsia" w:hAnsiTheme="minorEastAsia" w:eastAsiaTheme="minorEastAsia" w:cstheme="minorEastAsia"/>
          <w:iCs/>
          <w:sz w:val="24"/>
          <w:szCs w:val="24"/>
          <w:highlight w:val="none"/>
        </w:rPr>
        <w:t>（</w:t>
      </w:r>
      <w:r>
        <w:rPr>
          <w:rFonts w:hint="eastAsia" w:asciiTheme="minorEastAsia" w:hAnsiTheme="minorEastAsia" w:eastAsiaTheme="minorEastAsia" w:cstheme="minorEastAsia"/>
          <w:i/>
          <w:sz w:val="24"/>
          <w:szCs w:val="24"/>
          <w:highlight w:val="none"/>
        </w:rPr>
        <w:t>提供期限自本公告发布之日起不得少于5个工作日</w:t>
      </w:r>
      <w:r>
        <w:rPr>
          <w:rFonts w:hint="eastAsia" w:asciiTheme="minorEastAsia" w:hAnsiTheme="minorEastAsia" w:eastAsiaTheme="minorEastAsia" w:cstheme="minorEastAsia"/>
          <w:iCs/>
          <w:sz w:val="24"/>
          <w:szCs w:val="24"/>
          <w:highlight w:val="none"/>
        </w:rPr>
        <w:t>）</w:t>
      </w:r>
      <w:r>
        <w:rPr>
          <w:rFonts w:hint="eastAsia" w:asciiTheme="minorEastAsia" w:hAnsiTheme="minorEastAsia" w:eastAsiaTheme="minorEastAsia" w:cstheme="minorEastAsia"/>
          <w:sz w:val="24"/>
          <w:szCs w:val="24"/>
          <w:highlight w:val="none"/>
        </w:rPr>
        <w:t>，每天上午</w:t>
      </w:r>
      <w:r>
        <w:rPr>
          <w:rFonts w:hint="eastAsia" w:asciiTheme="minorEastAsia" w:hAnsiTheme="minorEastAsia" w:eastAsiaTheme="minorEastAsia" w:cstheme="minorEastAsia"/>
          <w:sz w:val="24"/>
          <w:szCs w:val="24"/>
          <w:highlight w:val="none"/>
          <w:u w:val="single"/>
        </w:rPr>
        <w:t xml:space="preserve"> 00:00 </w:t>
      </w:r>
      <w:r>
        <w:rPr>
          <w:rFonts w:hint="eastAsia" w:asciiTheme="minorEastAsia" w:hAnsiTheme="minorEastAsia" w:eastAsiaTheme="minorEastAsia" w:cstheme="minorEastAsia"/>
          <w:sz w:val="24"/>
          <w:szCs w:val="24"/>
          <w:highlight w:val="none"/>
        </w:rPr>
        <w:t>至</w:t>
      </w:r>
      <w:r>
        <w:rPr>
          <w:rFonts w:hint="eastAsia" w:asciiTheme="minorEastAsia" w:hAnsiTheme="minorEastAsia" w:eastAsiaTheme="minorEastAsia" w:cstheme="minorEastAsia"/>
          <w:sz w:val="24"/>
          <w:szCs w:val="24"/>
          <w:highlight w:val="none"/>
          <w:u w:val="single"/>
        </w:rPr>
        <w:t xml:space="preserve"> 12:00 </w:t>
      </w:r>
      <w:r>
        <w:rPr>
          <w:rFonts w:hint="eastAsia" w:asciiTheme="minorEastAsia" w:hAnsiTheme="minorEastAsia" w:eastAsiaTheme="minorEastAsia" w:cstheme="minorEastAsia"/>
          <w:sz w:val="24"/>
          <w:szCs w:val="24"/>
          <w:highlight w:val="none"/>
        </w:rPr>
        <w:t>，下午</w:t>
      </w:r>
      <w:r>
        <w:rPr>
          <w:rFonts w:hint="eastAsia" w:asciiTheme="minorEastAsia" w:hAnsiTheme="minorEastAsia" w:eastAsiaTheme="minorEastAsia" w:cstheme="minorEastAsia"/>
          <w:sz w:val="24"/>
          <w:szCs w:val="24"/>
          <w:highlight w:val="none"/>
          <w:u w:val="single"/>
        </w:rPr>
        <w:t xml:space="preserve"> 12:00 </w:t>
      </w:r>
      <w:r>
        <w:rPr>
          <w:rFonts w:hint="eastAsia" w:asciiTheme="minorEastAsia" w:hAnsiTheme="minorEastAsia" w:eastAsiaTheme="minorEastAsia" w:cstheme="minorEastAsia"/>
          <w:sz w:val="24"/>
          <w:szCs w:val="24"/>
          <w:highlight w:val="none"/>
        </w:rPr>
        <w:t>至</w:t>
      </w:r>
      <w:r>
        <w:rPr>
          <w:rFonts w:hint="eastAsia" w:asciiTheme="minorEastAsia" w:hAnsiTheme="minorEastAsia" w:eastAsiaTheme="minorEastAsia" w:cstheme="minorEastAsia"/>
          <w:sz w:val="24"/>
          <w:szCs w:val="24"/>
          <w:highlight w:val="none"/>
          <w:u w:val="single"/>
        </w:rPr>
        <w:t xml:space="preserve"> 23:59 </w:t>
      </w:r>
      <w:r>
        <w:rPr>
          <w:rFonts w:hint="eastAsia" w:asciiTheme="minorEastAsia" w:hAnsiTheme="minorEastAsia" w:eastAsiaTheme="minorEastAsia" w:cstheme="minorEastAsia"/>
          <w:i/>
          <w:iCs/>
          <w:sz w:val="24"/>
          <w:szCs w:val="24"/>
          <w:highlight w:val="none"/>
        </w:rPr>
        <w:t>（北京时间，法定节假日除外）</w:t>
      </w:r>
    </w:p>
    <w:p w14:paraId="65A41759">
      <w:pPr>
        <w:spacing w:line="360" w:lineRule="auto"/>
        <w:ind w:firstLine="540"/>
        <w:rPr>
          <w:rFonts w:ascii="宋体" w:hAnsi="宋体" w:eastAsia="宋体"/>
          <w:sz w:val="24"/>
          <w:szCs w:val="18"/>
          <w:highlight w:val="none"/>
          <w:u w:val="single"/>
        </w:rPr>
      </w:pPr>
      <w:r>
        <w:rPr>
          <w:rFonts w:hint="eastAsia" w:asciiTheme="minorEastAsia" w:hAnsiTheme="minorEastAsia" w:eastAsiaTheme="minorEastAsia" w:cstheme="minorEastAsia"/>
          <w:sz w:val="24"/>
          <w:szCs w:val="24"/>
          <w:highlight w:val="none"/>
        </w:rPr>
        <w:t>地点：</w:t>
      </w:r>
      <w:r>
        <w:rPr>
          <w:rFonts w:hint="eastAsia" w:ascii="宋体" w:hAnsi="宋体" w:eastAsia="宋体"/>
          <w:sz w:val="24"/>
          <w:szCs w:val="18"/>
          <w:highlight w:val="none"/>
          <w:u w:val="single"/>
        </w:rPr>
        <w:t xml:space="preserve"> </w:t>
      </w:r>
      <w:r>
        <w:rPr>
          <w:rFonts w:ascii="宋体" w:hAnsi="宋体" w:eastAsia="宋体"/>
          <w:sz w:val="24"/>
          <w:szCs w:val="18"/>
          <w:highlight w:val="none"/>
          <w:u w:val="single"/>
        </w:rPr>
        <w:t xml:space="preserve"> </w:t>
      </w:r>
      <w:r>
        <w:rPr>
          <w:rFonts w:hint="eastAsia" w:ascii="宋体" w:hAnsi="宋体" w:eastAsia="宋体"/>
          <w:sz w:val="24"/>
          <w:szCs w:val="18"/>
          <w:highlight w:val="none"/>
          <w:u w:val="single"/>
        </w:rPr>
        <w:t>“徽采云”电子交易系统</w:t>
      </w:r>
      <w:r>
        <w:rPr>
          <w:rFonts w:ascii="宋体" w:hAnsi="宋体" w:eastAsia="宋体"/>
          <w:sz w:val="24"/>
          <w:szCs w:val="18"/>
          <w:highlight w:val="none"/>
          <w:u w:val="single"/>
        </w:rPr>
        <w:t xml:space="preserve">  </w:t>
      </w:r>
    </w:p>
    <w:p w14:paraId="33DC285D">
      <w:pPr>
        <w:spacing w:line="360" w:lineRule="auto"/>
        <w:ind w:firstLine="540"/>
        <w:rPr>
          <w:rFonts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方式：</w:t>
      </w:r>
      <w:r>
        <w:rPr>
          <w:rFonts w:hint="eastAsia" w:ascii="宋体" w:hAnsi="宋体" w:eastAsia="宋体"/>
          <w:sz w:val="24"/>
          <w:szCs w:val="18"/>
          <w:highlight w:val="none"/>
          <w:u w:val="single"/>
        </w:rPr>
        <w:t xml:space="preserve"> 供应商登录“徽采云”电子交易系统在线获取采购文件</w:t>
      </w:r>
      <w:r>
        <w:rPr>
          <w:rFonts w:ascii="宋体" w:hAnsi="宋体" w:eastAsia="宋体"/>
          <w:sz w:val="24"/>
          <w:szCs w:val="18"/>
          <w:highlight w:val="none"/>
          <w:u w:val="single"/>
        </w:rPr>
        <w:t xml:space="preserve"> </w:t>
      </w:r>
    </w:p>
    <w:p w14:paraId="59D9DA22">
      <w:pPr>
        <w:spacing w:line="360" w:lineRule="auto"/>
        <w:ind w:firstLine="437"/>
        <w:outlineLvl w:val="1"/>
        <w:rPr>
          <w:rFonts w:ascii="宋体" w:hAnsi="宋体" w:eastAsia="宋体"/>
          <w:b/>
          <w:bCs/>
          <w:sz w:val="24"/>
          <w:szCs w:val="18"/>
          <w:highlight w:val="none"/>
        </w:rPr>
      </w:pPr>
      <w:bookmarkStart w:id="9" w:name="_Toc19726"/>
      <w:r>
        <w:rPr>
          <w:rFonts w:hint="eastAsia" w:ascii="宋体" w:hAnsi="宋体" w:eastAsia="宋体"/>
          <w:b/>
          <w:bCs/>
          <w:sz w:val="24"/>
          <w:szCs w:val="18"/>
          <w:highlight w:val="none"/>
        </w:rPr>
        <w:t>四、</w:t>
      </w:r>
      <w:bookmarkEnd w:id="8"/>
      <w:r>
        <w:rPr>
          <w:rFonts w:hint="eastAsia" w:ascii="宋体" w:hAnsi="宋体" w:eastAsia="宋体"/>
          <w:b/>
          <w:bCs/>
          <w:sz w:val="24"/>
          <w:szCs w:val="18"/>
          <w:highlight w:val="none"/>
        </w:rPr>
        <w:t>提交投标文件截止时间、开标时间和地点</w:t>
      </w:r>
      <w:bookmarkEnd w:id="9"/>
    </w:p>
    <w:p w14:paraId="07EB5CAB">
      <w:pPr>
        <w:spacing w:line="360" w:lineRule="auto"/>
        <w:ind w:firstLine="480" w:firstLineChars="200"/>
        <w:rPr>
          <w:rFonts w:asciiTheme="minorEastAsia" w:hAnsiTheme="minorEastAsia" w:eastAsiaTheme="minorEastAsia" w:cstheme="minorEastAsia"/>
          <w:bCs/>
          <w:sz w:val="24"/>
          <w:szCs w:val="24"/>
          <w:highlight w:val="none"/>
        </w:rPr>
      </w:pPr>
      <w:bookmarkStart w:id="10" w:name="_Toc5082"/>
      <w:r>
        <w:rPr>
          <w:rFonts w:hint="eastAsia" w:asciiTheme="minorEastAsia" w:hAnsiTheme="minorEastAsia" w:eastAsiaTheme="minorEastAsia" w:cstheme="minorEastAsia"/>
          <w:bCs/>
          <w:sz w:val="24"/>
          <w:szCs w:val="24"/>
          <w:highlight w:val="none"/>
          <w:u w:val="single"/>
        </w:rPr>
        <w:t xml:space="preserve"> 202</w:t>
      </w:r>
      <w:r>
        <w:rPr>
          <w:rFonts w:hint="eastAsia" w:asciiTheme="minorEastAsia" w:hAnsiTheme="minorEastAsia" w:eastAsiaTheme="minorEastAsia" w:cstheme="minorEastAsia"/>
          <w:bCs/>
          <w:sz w:val="24"/>
          <w:szCs w:val="24"/>
          <w:highlight w:val="none"/>
          <w:u w:val="single"/>
          <w:lang w:val="en-US" w:eastAsia="zh-CN"/>
        </w:rPr>
        <w:t>5</w:t>
      </w:r>
      <w:r>
        <w:rPr>
          <w:rFonts w:hint="eastAsia" w:asciiTheme="minorEastAsia" w:hAnsiTheme="minorEastAsia" w:eastAsiaTheme="minorEastAsia" w:cstheme="minorEastAsia"/>
          <w:bCs/>
          <w:sz w:val="24"/>
          <w:szCs w:val="24"/>
          <w:highlight w:val="none"/>
          <w:u w:val="single"/>
        </w:rPr>
        <w:t xml:space="preserve"> </w:t>
      </w:r>
      <w:r>
        <w:rPr>
          <w:rFonts w:hint="eastAsia" w:asciiTheme="minorEastAsia" w:hAnsiTheme="minorEastAsia" w:eastAsiaTheme="minorEastAsia" w:cstheme="minorEastAsia"/>
          <w:bCs/>
          <w:sz w:val="24"/>
          <w:szCs w:val="24"/>
          <w:highlight w:val="none"/>
        </w:rPr>
        <w:t>年</w:t>
      </w:r>
      <w:r>
        <w:rPr>
          <w:rFonts w:hint="eastAsia" w:asciiTheme="minorEastAsia" w:hAnsiTheme="minorEastAsia" w:eastAsiaTheme="minorEastAsia" w:cstheme="minorEastAsia"/>
          <w:bCs/>
          <w:sz w:val="24"/>
          <w:szCs w:val="24"/>
          <w:highlight w:val="none"/>
          <w:u w:val="single"/>
        </w:rPr>
        <w:t xml:space="preserve"> </w:t>
      </w:r>
      <w:r>
        <w:rPr>
          <w:rFonts w:hint="eastAsia" w:asciiTheme="minorEastAsia" w:hAnsiTheme="minorEastAsia" w:eastAsiaTheme="minorEastAsia" w:cstheme="minorEastAsia"/>
          <w:bCs/>
          <w:sz w:val="24"/>
          <w:szCs w:val="24"/>
          <w:highlight w:val="none"/>
          <w:u w:val="single"/>
          <w:lang w:val="en-US" w:eastAsia="zh-CN"/>
        </w:rPr>
        <w:t>10</w:t>
      </w:r>
      <w:r>
        <w:rPr>
          <w:rFonts w:hint="eastAsia" w:asciiTheme="minorEastAsia" w:hAnsiTheme="minorEastAsia" w:eastAsiaTheme="minorEastAsia" w:cstheme="minorEastAsia"/>
          <w:bCs/>
          <w:sz w:val="24"/>
          <w:szCs w:val="24"/>
          <w:highlight w:val="none"/>
          <w:u w:val="single"/>
        </w:rPr>
        <w:t xml:space="preserve"> </w:t>
      </w:r>
      <w:r>
        <w:rPr>
          <w:rFonts w:hint="eastAsia" w:asciiTheme="minorEastAsia" w:hAnsiTheme="minorEastAsia" w:eastAsiaTheme="minorEastAsia" w:cstheme="minorEastAsia"/>
          <w:bCs/>
          <w:sz w:val="24"/>
          <w:szCs w:val="24"/>
          <w:highlight w:val="none"/>
        </w:rPr>
        <w:t>月</w:t>
      </w:r>
      <w:r>
        <w:rPr>
          <w:rFonts w:hint="eastAsia" w:asciiTheme="minorEastAsia" w:hAnsiTheme="minorEastAsia" w:eastAsiaTheme="minorEastAsia" w:cstheme="minorEastAsia"/>
          <w:bCs/>
          <w:sz w:val="24"/>
          <w:szCs w:val="24"/>
          <w:highlight w:val="none"/>
          <w:u w:val="single"/>
        </w:rPr>
        <w:t xml:space="preserve"> </w:t>
      </w:r>
      <w:r>
        <w:rPr>
          <w:rFonts w:hint="eastAsia" w:asciiTheme="minorEastAsia" w:hAnsiTheme="minorEastAsia" w:eastAsiaTheme="minorEastAsia" w:cstheme="minorEastAsia"/>
          <w:bCs/>
          <w:sz w:val="24"/>
          <w:szCs w:val="24"/>
          <w:highlight w:val="none"/>
          <w:u w:val="single"/>
          <w:lang w:val="en-US" w:eastAsia="zh-CN"/>
        </w:rPr>
        <w:t>15</w:t>
      </w:r>
      <w:r>
        <w:rPr>
          <w:rFonts w:hint="eastAsia" w:asciiTheme="minorEastAsia" w:hAnsiTheme="minorEastAsia" w:eastAsiaTheme="minorEastAsia" w:cstheme="minorEastAsia"/>
          <w:bCs/>
          <w:sz w:val="24"/>
          <w:szCs w:val="24"/>
          <w:highlight w:val="none"/>
          <w:u w:val="single"/>
        </w:rPr>
        <w:t xml:space="preserve"> </w:t>
      </w:r>
      <w:r>
        <w:rPr>
          <w:rFonts w:hint="eastAsia" w:asciiTheme="minorEastAsia" w:hAnsiTheme="minorEastAsia" w:eastAsiaTheme="minorEastAsia" w:cstheme="minorEastAsia"/>
          <w:bCs/>
          <w:sz w:val="24"/>
          <w:szCs w:val="24"/>
          <w:highlight w:val="none"/>
        </w:rPr>
        <w:t>日</w:t>
      </w:r>
      <w:r>
        <w:rPr>
          <w:rFonts w:hint="eastAsia" w:asciiTheme="minorEastAsia" w:hAnsiTheme="minorEastAsia" w:eastAsiaTheme="minorEastAsia" w:cstheme="minorEastAsia"/>
          <w:bCs/>
          <w:sz w:val="24"/>
          <w:szCs w:val="24"/>
          <w:highlight w:val="none"/>
          <w:u w:val="single"/>
        </w:rPr>
        <w:t xml:space="preserve"> 09 </w:t>
      </w:r>
      <w:r>
        <w:rPr>
          <w:rFonts w:hint="eastAsia" w:asciiTheme="minorEastAsia" w:hAnsiTheme="minorEastAsia" w:eastAsiaTheme="minorEastAsia" w:cstheme="minorEastAsia"/>
          <w:bCs/>
          <w:sz w:val="24"/>
          <w:szCs w:val="24"/>
          <w:highlight w:val="none"/>
        </w:rPr>
        <w:t>点</w:t>
      </w:r>
      <w:r>
        <w:rPr>
          <w:rFonts w:hint="eastAsia" w:asciiTheme="minorEastAsia" w:hAnsiTheme="minorEastAsia" w:eastAsiaTheme="minorEastAsia" w:cstheme="minorEastAsia"/>
          <w:bCs/>
          <w:sz w:val="24"/>
          <w:szCs w:val="24"/>
          <w:highlight w:val="none"/>
          <w:u w:val="single"/>
        </w:rPr>
        <w:t xml:space="preserve"> 30 </w:t>
      </w:r>
      <w:r>
        <w:rPr>
          <w:rFonts w:hint="eastAsia" w:asciiTheme="minorEastAsia" w:hAnsiTheme="minorEastAsia" w:eastAsiaTheme="minorEastAsia" w:cstheme="minorEastAsia"/>
          <w:bCs/>
          <w:sz w:val="24"/>
          <w:szCs w:val="24"/>
          <w:highlight w:val="none"/>
        </w:rPr>
        <w:t>分（北京时间）</w:t>
      </w:r>
      <w:r>
        <w:rPr>
          <w:rFonts w:hint="eastAsia" w:asciiTheme="minorEastAsia" w:hAnsiTheme="minorEastAsia" w:eastAsiaTheme="minorEastAsia" w:cstheme="minorEastAsia"/>
          <w:iCs/>
          <w:sz w:val="24"/>
          <w:szCs w:val="24"/>
          <w:highlight w:val="none"/>
        </w:rPr>
        <w:t>（</w:t>
      </w:r>
      <w:r>
        <w:rPr>
          <w:rFonts w:hint="eastAsia" w:asciiTheme="minorEastAsia" w:hAnsiTheme="minorEastAsia" w:eastAsiaTheme="minorEastAsia" w:cstheme="minorEastAsia"/>
          <w:i/>
          <w:sz w:val="24"/>
          <w:szCs w:val="24"/>
          <w:highlight w:val="none"/>
        </w:rPr>
        <w:t>自招标文件开始发出之日起至投标人提交投标文件截止之日止，不得少于20日</w:t>
      </w:r>
      <w:r>
        <w:rPr>
          <w:rFonts w:hint="eastAsia" w:asciiTheme="minorEastAsia" w:hAnsiTheme="minorEastAsia" w:eastAsiaTheme="minorEastAsia" w:cstheme="minorEastAsia"/>
          <w:iCs/>
          <w:sz w:val="24"/>
          <w:szCs w:val="24"/>
          <w:highlight w:val="none"/>
        </w:rPr>
        <w:t>）</w:t>
      </w:r>
    </w:p>
    <w:p w14:paraId="662E9AF6">
      <w:pPr>
        <w:spacing w:line="360" w:lineRule="auto"/>
        <w:ind w:firstLine="480" w:firstLineChars="200"/>
        <w:rPr>
          <w:rFonts w:asciiTheme="minorEastAsia" w:hAnsiTheme="minorEastAsia" w:eastAsiaTheme="minorEastAsia" w:cstheme="minorEastAsia"/>
          <w:bCs/>
          <w:sz w:val="24"/>
          <w:szCs w:val="24"/>
          <w:highlight w:val="none"/>
          <w:u w:val="single"/>
        </w:rPr>
      </w:pPr>
      <w:r>
        <w:rPr>
          <w:rFonts w:hint="eastAsia" w:asciiTheme="minorEastAsia" w:hAnsiTheme="minorEastAsia" w:eastAsiaTheme="minorEastAsia" w:cstheme="minorEastAsia"/>
          <w:sz w:val="24"/>
          <w:szCs w:val="24"/>
          <w:highlight w:val="none"/>
        </w:rPr>
        <w:t>地点：</w:t>
      </w:r>
      <w:r>
        <w:rPr>
          <w:rFonts w:hint="eastAsia" w:ascii="宋体" w:hAnsi="宋体" w:eastAsia="宋体"/>
          <w:sz w:val="24"/>
          <w:szCs w:val="18"/>
          <w:highlight w:val="none"/>
          <w:u w:val="single"/>
        </w:rPr>
        <w:t xml:space="preserve"> </w:t>
      </w:r>
      <w:r>
        <w:rPr>
          <w:rFonts w:ascii="宋体" w:hAnsi="宋体" w:eastAsia="宋体"/>
          <w:sz w:val="24"/>
          <w:szCs w:val="18"/>
          <w:highlight w:val="none"/>
          <w:u w:val="single"/>
        </w:rPr>
        <w:t xml:space="preserve">  </w:t>
      </w:r>
      <w:r>
        <w:rPr>
          <w:rFonts w:hint="eastAsia" w:ascii="宋体" w:hAnsi="宋体" w:eastAsia="宋体"/>
          <w:sz w:val="24"/>
          <w:szCs w:val="18"/>
          <w:highlight w:val="none"/>
          <w:u w:val="single"/>
        </w:rPr>
        <w:t>“徽采云”电子交易系统</w:t>
      </w:r>
      <w:r>
        <w:rPr>
          <w:rFonts w:ascii="宋体" w:hAnsi="宋体" w:eastAsia="宋体"/>
          <w:sz w:val="24"/>
          <w:szCs w:val="18"/>
          <w:highlight w:val="none"/>
          <w:u w:val="single"/>
        </w:rPr>
        <w:t xml:space="preserve">   </w:t>
      </w:r>
    </w:p>
    <w:p w14:paraId="4D7CC735">
      <w:pPr>
        <w:spacing w:line="360" w:lineRule="auto"/>
        <w:ind w:firstLine="437"/>
        <w:outlineLvl w:val="1"/>
        <w:rPr>
          <w:rFonts w:ascii="宋体" w:hAnsi="宋体" w:eastAsia="宋体"/>
          <w:b/>
          <w:bCs/>
          <w:sz w:val="24"/>
          <w:szCs w:val="18"/>
          <w:highlight w:val="none"/>
        </w:rPr>
      </w:pPr>
      <w:bookmarkStart w:id="11" w:name="_Toc28531"/>
      <w:r>
        <w:rPr>
          <w:rFonts w:hint="eastAsia" w:ascii="宋体" w:hAnsi="宋体" w:eastAsia="宋体"/>
          <w:b/>
          <w:bCs/>
          <w:sz w:val="24"/>
          <w:szCs w:val="18"/>
          <w:highlight w:val="none"/>
        </w:rPr>
        <w:t>五、</w:t>
      </w:r>
      <w:bookmarkEnd w:id="10"/>
      <w:r>
        <w:rPr>
          <w:rFonts w:hint="eastAsia" w:ascii="宋体" w:hAnsi="宋体" w:eastAsia="宋体"/>
          <w:b/>
          <w:bCs/>
          <w:sz w:val="24"/>
          <w:szCs w:val="18"/>
          <w:highlight w:val="none"/>
        </w:rPr>
        <w:t>公告期限</w:t>
      </w:r>
      <w:bookmarkEnd w:id="11"/>
    </w:p>
    <w:p w14:paraId="6480262A">
      <w:pPr>
        <w:spacing w:line="360" w:lineRule="auto"/>
        <w:ind w:firstLine="437"/>
        <w:rPr>
          <w:rFonts w:ascii="宋体" w:hAnsi="宋体" w:eastAsia="宋体"/>
          <w:sz w:val="24"/>
          <w:szCs w:val="18"/>
          <w:highlight w:val="none"/>
        </w:rPr>
      </w:pPr>
      <w:bookmarkStart w:id="12" w:name="_Toc1215"/>
      <w:r>
        <w:rPr>
          <w:rFonts w:hint="eastAsia" w:ascii="宋体" w:hAnsi="宋体" w:eastAsia="宋体"/>
          <w:sz w:val="24"/>
          <w:szCs w:val="18"/>
          <w:highlight w:val="none"/>
        </w:rPr>
        <w:t>自本公告发布之日起5个工作日。</w:t>
      </w:r>
    </w:p>
    <w:p w14:paraId="058BDFC2">
      <w:pPr>
        <w:spacing w:line="360" w:lineRule="auto"/>
        <w:ind w:firstLine="437"/>
        <w:outlineLvl w:val="1"/>
        <w:rPr>
          <w:rFonts w:ascii="宋体" w:hAnsi="宋体" w:eastAsia="宋体"/>
          <w:b/>
          <w:bCs/>
          <w:sz w:val="24"/>
          <w:szCs w:val="18"/>
          <w:highlight w:val="none"/>
        </w:rPr>
      </w:pPr>
      <w:bookmarkStart w:id="13" w:name="_Toc35393626"/>
      <w:bookmarkStart w:id="14" w:name="_Toc8807"/>
      <w:bookmarkStart w:id="15" w:name="_Toc35393795"/>
      <w:r>
        <w:rPr>
          <w:rFonts w:hint="eastAsia" w:ascii="宋体" w:hAnsi="宋体" w:eastAsia="宋体"/>
          <w:b/>
          <w:bCs/>
          <w:sz w:val="24"/>
          <w:szCs w:val="18"/>
          <w:highlight w:val="none"/>
        </w:rPr>
        <w:t>六、其他补充事宜</w:t>
      </w:r>
      <w:bookmarkEnd w:id="13"/>
      <w:bookmarkEnd w:id="14"/>
      <w:bookmarkEnd w:id="15"/>
    </w:p>
    <w:p w14:paraId="108FA749">
      <w:pPr>
        <w:spacing w:line="360" w:lineRule="auto"/>
        <w:ind w:firstLine="480" w:firstLineChars="200"/>
        <w:rPr>
          <w:rFonts w:ascii="宋体" w:hAnsi="宋体" w:eastAsia="宋体" w:cs="宋体"/>
          <w:sz w:val="24"/>
          <w:szCs w:val="24"/>
          <w:highlight w:val="none"/>
        </w:rPr>
      </w:pPr>
      <w:r>
        <w:rPr>
          <w:rFonts w:hint="eastAsia" w:ascii="宋体" w:hAnsi="宋体" w:eastAsia="宋体"/>
          <w:sz w:val="24"/>
          <w:szCs w:val="18"/>
          <w:highlight w:val="none"/>
        </w:rPr>
        <w:t>1.项目采用全流程电子化采购方式，</w:t>
      </w:r>
      <w:r>
        <w:rPr>
          <w:rFonts w:hint="eastAsia" w:ascii="宋体" w:hAnsi="宋体" w:eastAsia="宋体" w:cs="宋体"/>
          <w:sz w:val="24"/>
          <w:szCs w:val="24"/>
          <w:highlight w:val="none"/>
        </w:rPr>
        <w:t>相关操作说明详情参见“安徽省政府采购网-徽采学院-电子交易系统学习专题-供应商-操作手册”</w:t>
      </w:r>
      <w:r>
        <w:rPr>
          <w:rFonts w:hint="eastAsia" w:ascii="宋体" w:hAnsi="宋体" w:eastAsia="宋体" w:cs="宋体"/>
          <w:sz w:val="24"/>
          <w:highlight w:val="none"/>
        </w:rPr>
        <w:t>；</w:t>
      </w:r>
    </w:p>
    <w:p w14:paraId="0CBA06BE">
      <w:pPr>
        <w:pStyle w:val="8"/>
        <w:spacing w:after="0" w:line="360" w:lineRule="auto"/>
        <w:ind w:firstLine="480" w:firstLineChars="200"/>
        <w:rPr>
          <w:rFonts w:ascii="宋体" w:hAnsi="宋体" w:eastAsia="宋体" w:cs="宋体"/>
          <w:sz w:val="24"/>
          <w:highlight w:val="none"/>
          <w:lang w:val="en-US"/>
        </w:rPr>
      </w:pPr>
      <w:r>
        <w:rPr>
          <w:rFonts w:hint="eastAsia" w:ascii="宋体" w:hAnsi="宋体" w:eastAsia="宋体" w:cs="宋体"/>
          <w:sz w:val="24"/>
          <w:highlight w:val="none"/>
          <w:lang w:val="en-US"/>
        </w:rPr>
        <w:t>2.本项目落实节能环保、中小微型企业扶持等相关政府采购政策；</w:t>
      </w:r>
    </w:p>
    <w:p w14:paraId="0FF008EA">
      <w:pPr>
        <w:pStyle w:val="8"/>
        <w:spacing w:after="0" w:line="360" w:lineRule="auto"/>
        <w:ind w:firstLine="480" w:firstLineChars="200"/>
        <w:rPr>
          <w:rFonts w:ascii="宋体" w:hAnsi="宋体" w:eastAsia="宋体" w:cs="宋体"/>
          <w:sz w:val="24"/>
          <w:highlight w:val="none"/>
          <w:lang w:val="en-US"/>
        </w:rPr>
      </w:pPr>
      <w:r>
        <w:rPr>
          <w:rFonts w:hint="eastAsia" w:ascii="宋体" w:hAnsi="宋体" w:eastAsia="宋体" w:cs="宋体"/>
          <w:sz w:val="24"/>
          <w:highlight w:val="none"/>
          <w:lang w:val="en-US"/>
        </w:rPr>
        <w:t>3.本次招标公告在安徽省政府采购网上发布；</w:t>
      </w:r>
    </w:p>
    <w:p w14:paraId="44746659">
      <w:pPr>
        <w:pStyle w:val="8"/>
        <w:spacing w:after="0" w:line="360" w:lineRule="auto"/>
        <w:ind w:firstLine="480" w:firstLineChars="200"/>
        <w:rPr>
          <w:rFonts w:ascii="宋体" w:hAnsi="宋体" w:eastAsia="宋体" w:cs="宋体"/>
          <w:sz w:val="24"/>
          <w:highlight w:val="none"/>
          <w:lang w:val="en-US"/>
        </w:rPr>
      </w:pPr>
      <w:r>
        <w:rPr>
          <w:rFonts w:hint="eastAsia" w:ascii="宋体" w:hAnsi="宋体" w:eastAsia="宋体" w:cs="宋体"/>
          <w:sz w:val="24"/>
          <w:highlight w:val="none"/>
          <w:lang w:val="en-US"/>
        </w:rPr>
        <w:t>4.潜在投标人应合理安排招标文件获取时间，特别是网络速度慢的地区防止在系统关闭前网络拥堵无法操作。如果因计算机及网络故障造成无法完成招标文件获取，责任自负。采购文件获取过程中有任何疑问，请在工作时间（09：00-17:30，节假日休息）拨打技术支持热线（非项目咨询）：95763。项目咨询请拨打代理机构项目联系人电话：0551-65320549-6</w:t>
      </w:r>
      <w:r>
        <w:rPr>
          <w:rFonts w:hint="eastAsia" w:ascii="宋体" w:hAnsi="宋体" w:eastAsia="宋体" w:cs="宋体"/>
          <w:sz w:val="24"/>
          <w:highlight w:val="none"/>
          <w:lang w:val="en-US" w:eastAsia="zh-CN"/>
        </w:rPr>
        <w:t>402</w:t>
      </w:r>
      <w:r>
        <w:rPr>
          <w:rFonts w:hint="eastAsia" w:ascii="宋体" w:hAnsi="宋体" w:eastAsia="宋体" w:cs="宋体"/>
          <w:sz w:val="24"/>
          <w:highlight w:val="none"/>
          <w:lang w:val="en-US"/>
        </w:rPr>
        <w:t>。</w:t>
      </w:r>
    </w:p>
    <w:bookmarkEnd w:id="12"/>
    <w:p w14:paraId="57A5867A">
      <w:pPr>
        <w:spacing w:line="360" w:lineRule="auto"/>
        <w:ind w:firstLine="437"/>
        <w:outlineLvl w:val="1"/>
        <w:rPr>
          <w:rFonts w:ascii="宋体" w:hAnsi="宋体" w:eastAsia="宋体"/>
          <w:b/>
          <w:bCs/>
          <w:sz w:val="24"/>
          <w:szCs w:val="18"/>
          <w:highlight w:val="none"/>
        </w:rPr>
      </w:pPr>
      <w:bookmarkStart w:id="16" w:name="_Toc7265"/>
      <w:bookmarkStart w:id="17" w:name="_Toc3854"/>
      <w:r>
        <w:rPr>
          <w:rFonts w:hint="eastAsia" w:ascii="宋体" w:hAnsi="宋体" w:eastAsia="宋体"/>
          <w:b/>
          <w:bCs/>
          <w:sz w:val="24"/>
          <w:szCs w:val="18"/>
          <w:highlight w:val="none"/>
        </w:rPr>
        <w:t>七、</w:t>
      </w:r>
      <w:bookmarkEnd w:id="16"/>
      <w:r>
        <w:rPr>
          <w:rFonts w:hint="eastAsia" w:ascii="宋体" w:hAnsi="宋体" w:eastAsia="宋体"/>
          <w:b/>
          <w:bCs/>
          <w:sz w:val="24"/>
          <w:szCs w:val="18"/>
          <w:highlight w:val="none"/>
        </w:rPr>
        <w:t>对本次招标提出询问，请按以下方式联系</w:t>
      </w:r>
      <w:bookmarkEnd w:id="17"/>
    </w:p>
    <w:p w14:paraId="2E0DE640">
      <w:pPr>
        <w:spacing w:line="360" w:lineRule="auto"/>
        <w:ind w:firstLine="437"/>
        <w:outlineLvl w:val="2"/>
        <w:rPr>
          <w:rFonts w:ascii="宋体" w:hAnsi="宋体" w:eastAsia="宋体"/>
          <w:sz w:val="24"/>
          <w:szCs w:val="18"/>
          <w:highlight w:val="none"/>
        </w:rPr>
      </w:pPr>
      <w:r>
        <w:rPr>
          <w:rFonts w:hint="eastAsia" w:ascii="宋体" w:hAnsi="宋体" w:eastAsia="宋体"/>
          <w:sz w:val="24"/>
          <w:szCs w:val="18"/>
          <w:highlight w:val="none"/>
        </w:rPr>
        <w:t>1.采购人信息</w:t>
      </w:r>
    </w:p>
    <w:p w14:paraId="2939A9A1">
      <w:pPr>
        <w:spacing w:line="360" w:lineRule="auto"/>
        <w:ind w:firstLine="435"/>
        <w:rPr>
          <w:rFonts w:ascii="宋体" w:hAnsi="宋体" w:eastAsia="宋体"/>
          <w:sz w:val="24"/>
          <w:szCs w:val="18"/>
          <w:highlight w:val="none"/>
        </w:rPr>
      </w:pPr>
      <w:r>
        <w:rPr>
          <w:rFonts w:hint="eastAsia" w:ascii="宋体" w:hAnsi="宋体" w:eastAsia="宋体" w:cs="宋体"/>
          <w:sz w:val="24"/>
          <w:szCs w:val="24"/>
          <w:highlight w:val="none"/>
        </w:rPr>
        <w:t>名  称</w:t>
      </w:r>
      <w:r>
        <w:rPr>
          <w:rFonts w:hint="eastAsia" w:ascii="宋体" w:hAnsi="宋体" w:eastAsia="宋体"/>
          <w:sz w:val="24"/>
          <w:szCs w:val="18"/>
          <w:highlight w:val="none"/>
        </w:rPr>
        <w:t>：</w:t>
      </w:r>
      <w:r>
        <w:rPr>
          <w:rFonts w:hint="eastAsia" w:ascii="宋体" w:hAnsi="宋体" w:eastAsia="宋体"/>
          <w:sz w:val="24"/>
          <w:szCs w:val="18"/>
          <w:highlight w:val="none"/>
          <w:u w:val="single"/>
        </w:rPr>
        <w:t xml:space="preserve"> </w:t>
      </w:r>
      <w:r>
        <w:rPr>
          <w:rFonts w:ascii="宋体" w:hAnsi="宋体" w:eastAsia="宋体"/>
          <w:sz w:val="24"/>
          <w:szCs w:val="18"/>
          <w:highlight w:val="none"/>
          <w:u w:val="single"/>
        </w:rPr>
        <w:t xml:space="preserve"> </w:t>
      </w:r>
      <w:r>
        <w:rPr>
          <w:rFonts w:hint="eastAsia" w:ascii="宋体" w:hAnsi="宋体" w:eastAsia="宋体"/>
          <w:sz w:val="24"/>
          <w:szCs w:val="18"/>
          <w:highlight w:val="none"/>
          <w:u w:val="single"/>
        </w:rPr>
        <w:t xml:space="preserve"> 蚌埠医学院第二附属医院  </w:t>
      </w:r>
      <w:r>
        <w:rPr>
          <w:rFonts w:ascii="宋体" w:hAnsi="宋体" w:eastAsia="宋体"/>
          <w:sz w:val="24"/>
          <w:szCs w:val="18"/>
          <w:highlight w:val="none"/>
          <w:u w:val="single"/>
        </w:rPr>
        <w:t xml:space="preserve">  </w:t>
      </w:r>
    </w:p>
    <w:p w14:paraId="0E585F75">
      <w:pPr>
        <w:spacing w:line="360" w:lineRule="auto"/>
        <w:ind w:firstLine="435"/>
        <w:rPr>
          <w:rFonts w:ascii="宋体" w:hAnsi="宋体" w:eastAsia="宋体"/>
          <w:sz w:val="24"/>
          <w:szCs w:val="18"/>
          <w:highlight w:val="none"/>
          <w:u w:val="single"/>
        </w:rPr>
      </w:pPr>
      <w:r>
        <w:rPr>
          <w:rFonts w:hint="eastAsia" w:ascii="宋体" w:hAnsi="宋体" w:eastAsia="宋体"/>
          <w:sz w:val="24"/>
          <w:szCs w:val="18"/>
          <w:highlight w:val="none"/>
        </w:rPr>
        <w:t xml:space="preserve">地 </w:t>
      </w:r>
      <w:r>
        <w:rPr>
          <w:rFonts w:ascii="宋体" w:hAnsi="宋体" w:eastAsia="宋体"/>
          <w:sz w:val="24"/>
          <w:szCs w:val="18"/>
          <w:highlight w:val="none"/>
        </w:rPr>
        <w:t xml:space="preserve"> </w:t>
      </w:r>
      <w:r>
        <w:rPr>
          <w:rFonts w:hint="eastAsia" w:ascii="宋体" w:hAnsi="宋体" w:eastAsia="宋体"/>
          <w:sz w:val="24"/>
          <w:szCs w:val="18"/>
          <w:highlight w:val="none"/>
        </w:rPr>
        <w:t>址：</w:t>
      </w:r>
      <w:r>
        <w:rPr>
          <w:rFonts w:hint="eastAsia" w:ascii="宋体" w:hAnsi="宋体" w:eastAsia="宋体"/>
          <w:sz w:val="24"/>
          <w:szCs w:val="18"/>
          <w:highlight w:val="none"/>
          <w:u w:val="single"/>
        </w:rPr>
        <w:t xml:space="preserve"> </w:t>
      </w:r>
      <w:r>
        <w:rPr>
          <w:rFonts w:ascii="宋体" w:hAnsi="宋体" w:eastAsia="宋体"/>
          <w:sz w:val="24"/>
          <w:szCs w:val="18"/>
          <w:highlight w:val="none"/>
          <w:u w:val="single"/>
        </w:rPr>
        <w:t xml:space="preserve"> </w:t>
      </w:r>
      <w:r>
        <w:rPr>
          <w:rFonts w:hint="eastAsia" w:ascii="宋体" w:hAnsi="宋体" w:eastAsia="宋体"/>
          <w:sz w:val="24"/>
          <w:szCs w:val="18"/>
          <w:highlight w:val="none"/>
          <w:u w:val="single"/>
        </w:rPr>
        <w:t>安徽省蚌埠市龙华路 633 号</w:t>
      </w:r>
      <w:r>
        <w:rPr>
          <w:rFonts w:ascii="宋体" w:hAnsi="宋体" w:eastAsia="宋体"/>
          <w:sz w:val="24"/>
          <w:szCs w:val="18"/>
          <w:highlight w:val="none"/>
          <w:u w:val="single"/>
        </w:rPr>
        <w:t xml:space="preserve">  </w:t>
      </w:r>
    </w:p>
    <w:p w14:paraId="1CDECEF5">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联系人：</w:t>
      </w:r>
      <w:r>
        <w:rPr>
          <w:rFonts w:hint="eastAsia" w:ascii="宋体" w:hAnsi="宋体" w:eastAsia="宋体"/>
          <w:sz w:val="24"/>
          <w:szCs w:val="18"/>
          <w:highlight w:val="none"/>
          <w:u w:val="single"/>
        </w:rPr>
        <w:t xml:space="preserve">   桑老师  </w:t>
      </w:r>
      <w:r>
        <w:rPr>
          <w:rFonts w:ascii="宋体" w:hAnsi="宋体" w:eastAsia="宋体"/>
          <w:sz w:val="24"/>
          <w:szCs w:val="18"/>
          <w:highlight w:val="none"/>
          <w:u w:val="single"/>
        </w:rPr>
        <w:t xml:space="preserve"> </w:t>
      </w:r>
    </w:p>
    <w:p w14:paraId="40D70F4A">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联系方式：</w:t>
      </w:r>
      <w:r>
        <w:rPr>
          <w:rFonts w:hint="eastAsia" w:ascii="宋体" w:hAnsi="宋体" w:eastAsia="宋体"/>
          <w:sz w:val="24"/>
          <w:szCs w:val="18"/>
          <w:highlight w:val="none"/>
          <w:u w:val="single"/>
        </w:rPr>
        <w:t xml:space="preserve"> </w:t>
      </w:r>
      <w:r>
        <w:rPr>
          <w:rFonts w:ascii="宋体" w:hAnsi="宋体" w:eastAsia="宋体"/>
          <w:sz w:val="24"/>
          <w:szCs w:val="18"/>
          <w:highlight w:val="none"/>
          <w:u w:val="single"/>
        </w:rPr>
        <w:t xml:space="preserve"> </w:t>
      </w:r>
      <w:r>
        <w:rPr>
          <w:rFonts w:hint="eastAsia" w:ascii="宋体" w:hAnsi="宋体" w:eastAsia="宋体"/>
          <w:sz w:val="24"/>
          <w:szCs w:val="18"/>
          <w:highlight w:val="none"/>
          <w:u w:val="single"/>
        </w:rPr>
        <w:t>0552-3973917</w:t>
      </w:r>
      <w:r>
        <w:rPr>
          <w:rFonts w:ascii="宋体" w:hAnsi="宋体" w:eastAsia="宋体"/>
          <w:sz w:val="24"/>
          <w:szCs w:val="18"/>
          <w:highlight w:val="none"/>
          <w:u w:val="single"/>
        </w:rPr>
        <w:t xml:space="preserve">   </w:t>
      </w:r>
    </w:p>
    <w:p w14:paraId="4AC3BE2F">
      <w:pPr>
        <w:spacing w:line="360" w:lineRule="auto"/>
        <w:ind w:firstLine="437"/>
        <w:outlineLvl w:val="2"/>
        <w:rPr>
          <w:rFonts w:ascii="宋体" w:hAnsi="宋体" w:eastAsia="宋体"/>
          <w:sz w:val="24"/>
          <w:szCs w:val="18"/>
          <w:highlight w:val="none"/>
        </w:rPr>
      </w:pPr>
      <w:r>
        <w:rPr>
          <w:rFonts w:ascii="宋体" w:hAnsi="宋体" w:eastAsia="宋体"/>
          <w:sz w:val="24"/>
          <w:szCs w:val="18"/>
          <w:highlight w:val="none"/>
        </w:rPr>
        <w:t>2.采购代理机构</w:t>
      </w:r>
      <w:r>
        <w:rPr>
          <w:rFonts w:hint="eastAsia" w:ascii="宋体" w:hAnsi="宋体" w:eastAsia="宋体"/>
          <w:sz w:val="24"/>
          <w:szCs w:val="18"/>
          <w:highlight w:val="none"/>
        </w:rPr>
        <w:t>信息</w:t>
      </w:r>
    </w:p>
    <w:p w14:paraId="0897E8B6">
      <w:pPr>
        <w:spacing w:line="360" w:lineRule="auto"/>
        <w:ind w:firstLine="435"/>
        <w:rPr>
          <w:rFonts w:ascii="宋体" w:hAnsi="宋体" w:eastAsia="宋体"/>
          <w:sz w:val="24"/>
          <w:szCs w:val="18"/>
          <w:highlight w:val="none"/>
        </w:rPr>
      </w:pPr>
      <w:r>
        <w:rPr>
          <w:rFonts w:hint="eastAsia" w:ascii="宋体" w:hAnsi="宋体" w:eastAsia="宋体" w:cs="宋体"/>
          <w:sz w:val="24"/>
          <w:szCs w:val="24"/>
          <w:highlight w:val="none"/>
        </w:rPr>
        <w:t>名  称</w:t>
      </w:r>
      <w:r>
        <w:rPr>
          <w:rFonts w:hint="eastAsia" w:ascii="宋体" w:hAnsi="宋体" w:eastAsia="宋体"/>
          <w:sz w:val="24"/>
          <w:szCs w:val="18"/>
          <w:highlight w:val="none"/>
        </w:rPr>
        <w:t>：</w:t>
      </w:r>
      <w:r>
        <w:rPr>
          <w:rFonts w:hint="eastAsia" w:ascii="宋体" w:hAnsi="宋体" w:eastAsia="宋体"/>
          <w:sz w:val="24"/>
          <w:szCs w:val="18"/>
          <w:highlight w:val="none"/>
          <w:u w:val="single"/>
        </w:rPr>
        <w:t xml:space="preserve"> </w:t>
      </w:r>
      <w:r>
        <w:rPr>
          <w:rFonts w:ascii="宋体" w:hAnsi="宋体" w:eastAsia="宋体"/>
          <w:sz w:val="24"/>
          <w:szCs w:val="18"/>
          <w:highlight w:val="none"/>
          <w:u w:val="single"/>
        </w:rPr>
        <w:t xml:space="preserve"> </w:t>
      </w:r>
      <w:r>
        <w:rPr>
          <w:rFonts w:hint="eastAsia" w:ascii="宋体" w:hAnsi="宋体" w:eastAsia="宋体"/>
          <w:sz w:val="24"/>
          <w:szCs w:val="18"/>
          <w:highlight w:val="none"/>
          <w:u w:val="single"/>
        </w:rPr>
        <w:t>安徽寰亚国际招标有限公司</w:t>
      </w:r>
      <w:r>
        <w:rPr>
          <w:rFonts w:ascii="宋体" w:hAnsi="宋体" w:eastAsia="宋体"/>
          <w:sz w:val="24"/>
          <w:szCs w:val="18"/>
          <w:highlight w:val="none"/>
          <w:u w:val="single"/>
        </w:rPr>
        <w:t xml:space="preserve"> </w:t>
      </w:r>
    </w:p>
    <w:p w14:paraId="5268AEB7">
      <w:pPr>
        <w:spacing w:line="360" w:lineRule="auto"/>
        <w:ind w:firstLine="435"/>
        <w:rPr>
          <w:rFonts w:ascii="宋体" w:hAnsi="宋体" w:eastAsia="宋体"/>
          <w:sz w:val="24"/>
          <w:szCs w:val="18"/>
          <w:highlight w:val="none"/>
          <w:u w:val="single"/>
        </w:rPr>
      </w:pPr>
      <w:r>
        <w:rPr>
          <w:rFonts w:hint="eastAsia" w:ascii="宋体" w:hAnsi="宋体" w:eastAsia="宋体"/>
          <w:sz w:val="24"/>
          <w:szCs w:val="18"/>
          <w:highlight w:val="none"/>
        </w:rPr>
        <w:t>地</w:t>
      </w:r>
      <w:r>
        <w:rPr>
          <w:rFonts w:ascii="宋体" w:hAnsi="宋体" w:eastAsia="宋体"/>
          <w:sz w:val="24"/>
          <w:szCs w:val="18"/>
          <w:highlight w:val="none"/>
        </w:rPr>
        <w:t xml:space="preserve">  址：</w:t>
      </w:r>
      <w:r>
        <w:rPr>
          <w:rFonts w:hint="eastAsia" w:ascii="宋体" w:hAnsi="宋体" w:eastAsia="宋体"/>
          <w:sz w:val="24"/>
          <w:szCs w:val="18"/>
          <w:highlight w:val="none"/>
          <w:u w:val="single"/>
        </w:rPr>
        <w:t xml:space="preserve"> </w:t>
      </w:r>
      <w:r>
        <w:rPr>
          <w:rFonts w:ascii="宋体" w:hAnsi="宋体" w:eastAsia="宋体"/>
          <w:sz w:val="24"/>
          <w:szCs w:val="18"/>
          <w:highlight w:val="none"/>
          <w:u w:val="single"/>
        </w:rPr>
        <w:t xml:space="preserve"> </w:t>
      </w:r>
      <w:r>
        <w:rPr>
          <w:rFonts w:hint="eastAsia" w:ascii="宋体" w:hAnsi="宋体" w:eastAsia="宋体"/>
          <w:sz w:val="24"/>
          <w:szCs w:val="18"/>
          <w:highlight w:val="none"/>
          <w:u w:val="single"/>
        </w:rPr>
        <w:t>合肥市蜀山区湖光路与雪霁路交口蜀山跨境电商大厦 B 座 20F</w:t>
      </w:r>
      <w:r>
        <w:rPr>
          <w:rFonts w:ascii="宋体" w:hAnsi="宋体" w:eastAsia="宋体"/>
          <w:sz w:val="24"/>
          <w:szCs w:val="18"/>
          <w:highlight w:val="none"/>
          <w:u w:val="single"/>
        </w:rPr>
        <w:t xml:space="preserve"> </w:t>
      </w:r>
    </w:p>
    <w:p w14:paraId="0F8EC65D">
      <w:pPr>
        <w:spacing w:line="360" w:lineRule="auto"/>
        <w:ind w:firstLine="435"/>
        <w:rPr>
          <w:highlight w:val="none"/>
        </w:rPr>
      </w:pPr>
      <w:r>
        <w:rPr>
          <w:rFonts w:hint="eastAsia" w:ascii="宋体" w:hAnsi="宋体" w:eastAsia="宋体"/>
          <w:sz w:val="24"/>
          <w:szCs w:val="18"/>
          <w:highlight w:val="none"/>
        </w:rPr>
        <w:t>联系人：</w:t>
      </w:r>
      <w:r>
        <w:rPr>
          <w:rFonts w:hint="eastAsia" w:ascii="宋体" w:hAnsi="宋体" w:eastAsia="宋体"/>
          <w:sz w:val="24"/>
          <w:szCs w:val="18"/>
          <w:highlight w:val="none"/>
          <w:u w:val="single"/>
        </w:rPr>
        <w:t xml:space="preserve"> </w:t>
      </w:r>
      <w:r>
        <w:rPr>
          <w:rFonts w:ascii="宋体" w:hAnsi="宋体" w:eastAsia="宋体"/>
          <w:sz w:val="24"/>
          <w:szCs w:val="18"/>
          <w:highlight w:val="none"/>
          <w:u w:val="single"/>
        </w:rPr>
        <w:t xml:space="preserve"> </w:t>
      </w:r>
      <w:r>
        <w:rPr>
          <w:rFonts w:hint="eastAsia" w:ascii="宋体" w:hAnsi="宋体" w:eastAsia="宋体"/>
          <w:sz w:val="24"/>
          <w:szCs w:val="18"/>
          <w:highlight w:val="none"/>
          <w:u w:val="single"/>
          <w:lang w:eastAsia="zh-CN"/>
        </w:rPr>
        <w:t>张玉</w:t>
      </w:r>
      <w:r>
        <w:rPr>
          <w:rFonts w:hint="eastAsia" w:ascii="宋体" w:hAnsi="宋体" w:eastAsia="宋体"/>
          <w:sz w:val="24"/>
          <w:szCs w:val="18"/>
          <w:highlight w:val="none"/>
          <w:u w:val="single"/>
        </w:rPr>
        <w:t>、</w:t>
      </w:r>
      <w:r>
        <w:rPr>
          <w:rFonts w:hint="eastAsia" w:ascii="宋体" w:hAnsi="宋体" w:eastAsia="宋体"/>
          <w:sz w:val="24"/>
          <w:szCs w:val="18"/>
          <w:highlight w:val="none"/>
          <w:u w:val="single"/>
          <w:lang w:eastAsia="zh-CN"/>
        </w:rPr>
        <w:t>胡贝、汪金龙</w:t>
      </w:r>
      <w:r>
        <w:rPr>
          <w:rFonts w:hint="eastAsia" w:ascii="宋体" w:hAnsi="宋体" w:eastAsia="宋体"/>
          <w:sz w:val="24"/>
          <w:szCs w:val="18"/>
          <w:highlight w:val="none"/>
          <w:u w:val="single"/>
          <w:lang w:val="en-US" w:eastAsia="zh-CN"/>
        </w:rPr>
        <w:t xml:space="preserve"> </w:t>
      </w:r>
      <w:r>
        <w:rPr>
          <w:rFonts w:ascii="宋体" w:hAnsi="宋体" w:eastAsia="宋体"/>
          <w:sz w:val="24"/>
          <w:szCs w:val="18"/>
          <w:highlight w:val="none"/>
          <w:u w:val="single"/>
        </w:rPr>
        <w:t xml:space="preserve">   </w:t>
      </w:r>
    </w:p>
    <w:p w14:paraId="3D4390AB">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联系方式：</w:t>
      </w:r>
      <w:r>
        <w:rPr>
          <w:rFonts w:hint="eastAsia" w:ascii="宋体" w:hAnsi="宋体" w:eastAsia="宋体"/>
          <w:sz w:val="24"/>
          <w:szCs w:val="18"/>
          <w:highlight w:val="none"/>
          <w:u w:val="single"/>
        </w:rPr>
        <w:t xml:space="preserve"> </w:t>
      </w:r>
      <w:r>
        <w:rPr>
          <w:rFonts w:ascii="宋体" w:hAnsi="宋体" w:eastAsia="宋体"/>
          <w:sz w:val="24"/>
          <w:szCs w:val="18"/>
          <w:highlight w:val="none"/>
          <w:u w:val="single"/>
        </w:rPr>
        <w:t xml:space="preserve"> </w:t>
      </w:r>
      <w:r>
        <w:rPr>
          <w:rFonts w:hint="eastAsia" w:ascii="宋体" w:hAnsi="宋体" w:eastAsia="宋体"/>
          <w:sz w:val="24"/>
          <w:szCs w:val="18"/>
          <w:highlight w:val="none"/>
          <w:u w:val="single"/>
        </w:rPr>
        <w:t>0551-65320549或65307749转分机号6</w:t>
      </w:r>
      <w:r>
        <w:rPr>
          <w:rFonts w:hint="eastAsia" w:ascii="宋体" w:hAnsi="宋体" w:eastAsia="宋体"/>
          <w:sz w:val="24"/>
          <w:szCs w:val="18"/>
          <w:highlight w:val="none"/>
          <w:u w:val="single"/>
          <w:lang w:val="en-US" w:eastAsia="zh-CN"/>
        </w:rPr>
        <w:t>402</w:t>
      </w:r>
      <w:r>
        <w:rPr>
          <w:rFonts w:hint="eastAsia" w:ascii="宋体" w:hAnsi="宋体" w:eastAsia="宋体"/>
          <w:sz w:val="24"/>
          <w:szCs w:val="18"/>
          <w:highlight w:val="none"/>
          <w:u w:val="single"/>
          <w:lang w:eastAsia="zh-CN"/>
        </w:rPr>
        <w:t>、</w:t>
      </w:r>
      <w:r>
        <w:rPr>
          <w:rFonts w:hint="eastAsia" w:ascii="宋体" w:hAnsi="宋体" w:eastAsia="宋体"/>
          <w:sz w:val="24"/>
          <w:szCs w:val="18"/>
          <w:highlight w:val="none"/>
          <w:u w:val="single"/>
          <w:lang w:val="en-US" w:eastAsia="zh-CN"/>
        </w:rPr>
        <w:t>13956934378</w:t>
      </w:r>
      <w:r>
        <w:rPr>
          <w:rFonts w:ascii="宋体" w:hAnsi="宋体" w:eastAsia="宋体"/>
          <w:sz w:val="24"/>
          <w:szCs w:val="18"/>
          <w:highlight w:val="none"/>
          <w:u w:val="single"/>
        </w:rPr>
        <w:t xml:space="preserve"> </w:t>
      </w:r>
    </w:p>
    <w:p w14:paraId="48A0EC9A">
      <w:pPr>
        <w:spacing w:line="360" w:lineRule="auto"/>
        <w:ind w:firstLine="437"/>
        <w:outlineLvl w:val="2"/>
        <w:rPr>
          <w:rFonts w:ascii="宋体" w:hAnsi="宋体" w:eastAsia="宋体"/>
          <w:b/>
          <w:color w:val="000000" w:themeColor="text1"/>
          <w:sz w:val="24"/>
          <w:szCs w:val="18"/>
          <w:highlight w:val="none"/>
          <w14:textFill>
            <w14:solidFill>
              <w14:schemeClr w14:val="tx1"/>
            </w14:solidFill>
          </w14:textFill>
        </w:rPr>
      </w:pPr>
      <w:r>
        <w:rPr>
          <w:rFonts w:hint="eastAsia" w:ascii="宋体" w:hAnsi="宋体" w:eastAsia="宋体"/>
          <w:bCs/>
          <w:color w:val="000000" w:themeColor="text1"/>
          <w:sz w:val="24"/>
          <w:szCs w:val="18"/>
          <w:highlight w:val="none"/>
          <w14:textFill>
            <w14:solidFill>
              <w14:schemeClr w14:val="tx1"/>
            </w14:solidFill>
          </w14:textFill>
        </w:rPr>
        <w:t>3</w:t>
      </w:r>
      <w:r>
        <w:rPr>
          <w:rFonts w:hint="eastAsia" w:ascii="宋体" w:hAnsi="宋体" w:eastAsia="宋体"/>
          <w:b/>
          <w:color w:val="000000" w:themeColor="text1"/>
          <w:sz w:val="24"/>
          <w:szCs w:val="18"/>
          <w:highlight w:val="none"/>
          <w14:textFill>
            <w14:solidFill>
              <w14:schemeClr w14:val="tx1"/>
            </w14:solidFill>
          </w14:textFill>
        </w:rPr>
        <w:t>.</w:t>
      </w:r>
      <w:r>
        <w:rPr>
          <w:rFonts w:hint="eastAsia" w:ascii="宋体" w:hAnsi="宋体" w:eastAsia="宋体"/>
          <w:color w:val="000000" w:themeColor="text1"/>
          <w:sz w:val="24"/>
          <w:szCs w:val="18"/>
          <w:highlight w:val="none"/>
          <w14:textFill>
            <w14:solidFill>
              <w14:schemeClr w14:val="tx1"/>
            </w14:solidFill>
          </w14:textFill>
        </w:rPr>
        <w:t>政府采购监督管理部门信息</w:t>
      </w:r>
    </w:p>
    <w:p w14:paraId="77762BCD">
      <w:pPr>
        <w:spacing w:line="360" w:lineRule="auto"/>
        <w:ind w:firstLine="435"/>
        <w:rPr>
          <w:rFonts w:ascii="宋体" w:hAnsi="宋体" w:eastAsia="宋体"/>
          <w:color w:val="000000" w:themeColor="text1"/>
          <w:sz w:val="24"/>
          <w:szCs w:val="1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  称</w:t>
      </w:r>
      <w:r>
        <w:rPr>
          <w:rFonts w:hint="eastAsia" w:ascii="宋体" w:hAnsi="宋体" w:eastAsia="宋体"/>
          <w:color w:val="000000" w:themeColor="text1"/>
          <w:sz w:val="24"/>
          <w:szCs w:val="18"/>
          <w:highlight w:val="none"/>
          <w14:textFill>
            <w14:solidFill>
              <w14:schemeClr w14:val="tx1"/>
            </w14:solidFill>
          </w14:textFill>
        </w:rPr>
        <w:t>：</w:t>
      </w:r>
      <w:r>
        <w:rPr>
          <w:rFonts w:hint="eastAsia" w:ascii="宋体" w:hAnsi="宋体" w:eastAsia="宋体"/>
          <w:color w:val="000000" w:themeColor="text1"/>
          <w:sz w:val="24"/>
          <w:szCs w:val="18"/>
          <w:highlight w:val="none"/>
          <w:u w:val="single"/>
          <w14:textFill>
            <w14:solidFill>
              <w14:schemeClr w14:val="tx1"/>
            </w14:solidFill>
          </w14:textFill>
        </w:rPr>
        <w:t xml:space="preserve"> </w:t>
      </w:r>
      <w:r>
        <w:rPr>
          <w:rFonts w:ascii="宋体" w:hAnsi="宋体" w:eastAsia="宋体"/>
          <w:color w:val="000000" w:themeColor="text1"/>
          <w:sz w:val="24"/>
          <w:szCs w:val="18"/>
          <w:highlight w:val="none"/>
          <w:u w:val="single"/>
          <w14:textFill>
            <w14:solidFill>
              <w14:schemeClr w14:val="tx1"/>
            </w14:solidFill>
          </w14:textFill>
        </w:rPr>
        <w:t xml:space="preserve"> </w:t>
      </w:r>
      <w:r>
        <w:rPr>
          <w:rFonts w:hint="eastAsia" w:ascii="宋体" w:hAnsi="宋体" w:eastAsia="宋体"/>
          <w:color w:val="000000" w:themeColor="text1"/>
          <w:sz w:val="24"/>
          <w:szCs w:val="18"/>
          <w:highlight w:val="none"/>
          <w:u w:val="single"/>
          <w14:textFill>
            <w14:solidFill>
              <w14:schemeClr w14:val="tx1"/>
            </w14:solidFill>
          </w14:textFill>
        </w:rPr>
        <w:t>安徽省财政厅</w:t>
      </w:r>
      <w:r>
        <w:rPr>
          <w:rFonts w:ascii="宋体" w:hAnsi="宋体" w:eastAsia="宋体"/>
          <w:color w:val="000000" w:themeColor="text1"/>
          <w:sz w:val="24"/>
          <w:szCs w:val="18"/>
          <w:highlight w:val="none"/>
          <w:u w:val="single"/>
          <w14:textFill>
            <w14:solidFill>
              <w14:schemeClr w14:val="tx1"/>
            </w14:solidFill>
          </w14:textFill>
        </w:rPr>
        <w:t xml:space="preserve">   </w:t>
      </w:r>
    </w:p>
    <w:p w14:paraId="1B2884DE">
      <w:pPr>
        <w:spacing w:line="360" w:lineRule="auto"/>
        <w:ind w:firstLine="435"/>
        <w:rPr>
          <w:rFonts w:ascii="宋体" w:hAnsi="宋体" w:eastAsia="宋体"/>
          <w:color w:val="000000" w:themeColor="text1"/>
          <w:sz w:val="24"/>
          <w:szCs w:val="18"/>
          <w:highlight w:val="none"/>
          <w14:textFill>
            <w14:solidFill>
              <w14:schemeClr w14:val="tx1"/>
            </w14:solidFill>
          </w14:textFill>
        </w:rPr>
      </w:pPr>
      <w:r>
        <w:rPr>
          <w:rFonts w:hint="eastAsia" w:ascii="宋体" w:hAnsi="宋体" w:eastAsia="宋体"/>
          <w:color w:val="000000" w:themeColor="text1"/>
          <w:sz w:val="24"/>
          <w:szCs w:val="18"/>
          <w:highlight w:val="none"/>
          <w14:textFill>
            <w14:solidFill>
              <w14:schemeClr w14:val="tx1"/>
            </w14:solidFill>
          </w14:textFill>
        </w:rPr>
        <w:t>地  址：</w:t>
      </w:r>
      <w:r>
        <w:rPr>
          <w:rFonts w:hint="eastAsia" w:ascii="宋体" w:hAnsi="宋体" w:eastAsia="宋体"/>
          <w:color w:val="000000" w:themeColor="text1"/>
          <w:sz w:val="24"/>
          <w:szCs w:val="18"/>
          <w:highlight w:val="none"/>
          <w:u w:val="single"/>
          <w14:textFill>
            <w14:solidFill>
              <w14:schemeClr w14:val="tx1"/>
            </w14:solidFill>
          </w14:textFill>
        </w:rPr>
        <w:t xml:space="preserve"> 合肥市阜南西路 238 号</w:t>
      </w:r>
      <w:r>
        <w:rPr>
          <w:rFonts w:ascii="宋体" w:hAnsi="宋体" w:eastAsia="宋体"/>
          <w:color w:val="000000" w:themeColor="text1"/>
          <w:sz w:val="24"/>
          <w:szCs w:val="18"/>
          <w:highlight w:val="none"/>
          <w:u w:val="single"/>
          <w14:textFill>
            <w14:solidFill>
              <w14:schemeClr w14:val="tx1"/>
            </w14:solidFill>
          </w14:textFill>
        </w:rPr>
        <w:t xml:space="preserve"> </w:t>
      </w:r>
    </w:p>
    <w:p w14:paraId="355E414B">
      <w:pPr>
        <w:spacing w:line="360" w:lineRule="auto"/>
        <w:ind w:firstLine="435"/>
        <w:rPr>
          <w:rFonts w:ascii="宋体" w:hAnsi="宋体" w:eastAsia="宋体"/>
          <w:color w:val="000000" w:themeColor="text1"/>
          <w:sz w:val="24"/>
          <w:szCs w:val="18"/>
          <w:highlight w:val="none"/>
          <w:u w:val="single"/>
          <w14:textFill>
            <w14:solidFill>
              <w14:schemeClr w14:val="tx1"/>
            </w14:solidFill>
          </w14:textFill>
        </w:rPr>
      </w:pPr>
      <w:r>
        <w:rPr>
          <w:rFonts w:hint="eastAsia" w:ascii="宋体" w:hAnsi="宋体" w:eastAsia="宋体"/>
          <w:color w:val="000000" w:themeColor="text1"/>
          <w:sz w:val="24"/>
          <w:szCs w:val="18"/>
          <w:highlight w:val="none"/>
          <w14:textFill>
            <w14:solidFill>
              <w14:schemeClr w14:val="tx1"/>
            </w14:solidFill>
          </w14:textFill>
        </w:rPr>
        <w:t>联系方式：</w:t>
      </w:r>
      <w:r>
        <w:rPr>
          <w:rFonts w:hint="eastAsia" w:ascii="宋体" w:hAnsi="宋体" w:eastAsia="宋体"/>
          <w:color w:val="000000" w:themeColor="text1"/>
          <w:sz w:val="24"/>
          <w:szCs w:val="18"/>
          <w:highlight w:val="none"/>
          <w:u w:val="single"/>
          <w14:textFill>
            <w14:solidFill>
              <w14:schemeClr w14:val="tx1"/>
            </w14:solidFill>
          </w14:textFill>
        </w:rPr>
        <w:t xml:space="preserve"> </w:t>
      </w:r>
      <w:r>
        <w:rPr>
          <w:rFonts w:ascii="宋体" w:hAnsi="宋体" w:eastAsia="宋体"/>
          <w:color w:val="000000" w:themeColor="text1"/>
          <w:sz w:val="24"/>
          <w:szCs w:val="18"/>
          <w:highlight w:val="none"/>
          <w:u w:val="single"/>
          <w14:textFill>
            <w14:solidFill>
              <w14:schemeClr w14:val="tx1"/>
            </w14:solidFill>
          </w14:textFill>
        </w:rPr>
        <w:t xml:space="preserve"> </w:t>
      </w:r>
      <w:r>
        <w:rPr>
          <w:rFonts w:hint="eastAsia" w:ascii="宋体" w:hAnsi="宋体" w:eastAsia="宋体"/>
          <w:color w:val="000000" w:themeColor="text1"/>
          <w:sz w:val="24"/>
          <w:szCs w:val="18"/>
          <w:highlight w:val="none"/>
          <w:u w:val="single"/>
          <w14:textFill>
            <w14:solidFill>
              <w14:schemeClr w14:val="tx1"/>
            </w14:solidFill>
          </w14:textFill>
        </w:rPr>
        <w:t>0551-68150413</w:t>
      </w:r>
      <w:r>
        <w:rPr>
          <w:rFonts w:ascii="宋体" w:hAnsi="宋体" w:eastAsia="宋体"/>
          <w:color w:val="000000" w:themeColor="text1"/>
          <w:sz w:val="24"/>
          <w:szCs w:val="18"/>
          <w:highlight w:val="none"/>
          <w:u w:val="single"/>
          <w14:textFill>
            <w14:solidFill>
              <w14:schemeClr w14:val="tx1"/>
            </w14:solidFill>
          </w14:textFill>
        </w:rPr>
        <w:t xml:space="preserve">   </w:t>
      </w:r>
    </w:p>
    <w:p w14:paraId="2E83B6D2">
      <w:pPr>
        <w:widowControl/>
        <w:jc w:val="left"/>
        <w:rPr>
          <w:rFonts w:ascii="宋体" w:hAnsi="宋体" w:eastAsia="宋体"/>
          <w:sz w:val="24"/>
          <w:szCs w:val="18"/>
          <w:highlight w:val="none"/>
        </w:rPr>
      </w:pPr>
      <w:r>
        <w:rPr>
          <w:rFonts w:ascii="宋体" w:hAnsi="宋体" w:eastAsia="宋体"/>
          <w:sz w:val="24"/>
          <w:szCs w:val="18"/>
          <w:highlight w:val="none"/>
        </w:rPr>
        <w:br w:type="page"/>
      </w:r>
    </w:p>
    <w:p w14:paraId="5D35D01F">
      <w:pPr>
        <w:spacing w:line="360" w:lineRule="auto"/>
        <w:jc w:val="center"/>
        <w:outlineLvl w:val="0"/>
        <w:rPr>
          <w:rFonts w:asciiTheme="minorEastAsia" w:hAnsiTheme="minorEastAsia" w:eastAsiaTheme="minorEastAsia"/>
          <w:b/>
          <w:sz w:val="28"/>
          <w:highlight w:val="none"/>
        </w:rPr>
      </w:pPr>
      <w:bookmarkStart w:id="18" w:name="_Toc31935"/>
      <w:r>
        <w:rPr>
          <w:rFonts w:hint="eastAsia" w:asciiTheme="minorEastAsia" w:hAnsiTheme="minorEastAsia" w:eastAsiaTheme="minorEastAsia"/>
          <w:b/>
          <w:sz w:val="28"/>
          <w:highlight w:val="none"/>
        </w:rPr>
        <w:t>第二章</w:t>
      </w:r>
      <w:r>
        <w:rPr>
          <w:rFonts w:asciiTheme="minorEastAsia" w:hAnsiTheme="minorEastAsia" w:eastAsiaTheme="minorEastAsia"/>
          <w:b/>
          <w:sz w:val="28"/>
          <w:highlight w:val="none"/>
        </w:rPr>
        <w:t xml:space="preserve"> </w:t>
      </w:r>
      <w:r>
        <w:rPr>
          <w:rFonts w:hint="eastAsia" w:asciiTheme="minorEastAsia" w:hAnsiTheme="minorEastAsia" w:eastAsiaTheme="minorEastAsia"/>
          <w:b/>
          <w:sz w:val="28"/>
          <w:highlight w:val="none"/>
        </w:rPr>
        <w:t xml:space="preserve"> </w:t>
      </w:r>
      <w:r>
        <w:rPr>
          <w:rFonts w:asciiTheme="minorEastAsia" w:hAnsiTheme="minorEastAsia" w:eastAsiaTheme="minorEastAsia"/>
          <w:b/>
          <w:sz w:val="28"/>
          <w:highlight w:val="none"/>
        </w:rPr>
        <w:t>投标人须知</w:t>
      </w:r>
      <w:bookmarkEnd w:id="18"/>
    </w:p>
    <w:p w14:paraId="36664A30">
      <w:pPr>
        <w:spacing w:line="360" w:lineRule="auto"/>
        <w:jc w:val="center"/>
        <w:outlineLvl w:val="1"/>
        <w:rPr>
          <w:rFonts w:asciiTheme="minorEastAsia" w:hAnsiTheme="minorEastAsia" w:eastAsiaTheme="minorEastAsia"/>
          <w:b/>
          <w:sz w:val="24"/>
          <w:highlight w:val="none"/>
        </w:rPr>
      </w:pPr>
      <w:bookmarkStart w:id="19" w:name="_Toc3114"/>
      <w:bookmarkStart w:id="20" w:name="_Toc7178"/>
      <w:r>
        <w:rPr>
          <w:rFonts w:hint="eastAsia" w:asciiTheme="minorEastAsia" w:hAnsiTheme="minorEastAsia" w:eastAsiaTheme="minorEastAsia"/>
          <w:b/>
          <w:sz w:val="24"/>
          <w:highlight w:val="none"/>
        </w:rPr>
        <w:t>一、</w:t>
      </w:r>
      <w:r>
        <w:rPr>
          <w:rFonts w:asciiTheme="minorEastAsia" w:hAnsiTheme="minorEastAsia" w:eastAsiaTheme="minorEastAsia"/>
          <w:b/>
          <w:sz w:val="24"/>
          <w:highlight w:val="none"/>
        </w:rPr>
        <w:t>投标人须知前附表</w:t>
      </w:r>
      <w:bookmarkEnd w:id="19"/>
      <w:bookmarkEnd w:id="20"/>
    </w:p>
    <w:p w14:paraId="6572866E">
      <w:pPr>
        <w:spacing w:line="360" w:lineRule="auto"/>
        <w:ind w:firstLine="435"/>
        <w:rPr>
          <w:rFonts w:ascii="宋体" w:hAnsi="宋体" w:eastAsia="宋体"/>
          <w:sz w:val="24"/>
          <w:szCs w:val="18"/>
          <w:highlight w:val="none"/>
        </w:rPr>
      </w:pPr>
      <w:r>
        <w:rPr>
          <w:rFonts w:hint="eastAsia" w:ascii="宋体" w:hAnsi="宋体" w:eastAsia="宋体"/>
          <w:b/>
          <w:bCs/>
          <w:sz w:val="24"/>
          <w:szCs w:val="18"/>
          <w:highlight w:val="none"/>
        </w:rPr>
        <w:t>注：</w:t>
      </w:r>
      <w:r>
        <w:rPr>
          <w:rFonts w:hint="eastAsia" w:ascii="宋体" w:hAnsi="宋体" w:eastAsia="宋体"/>
          <w:sz w:val="24"/>
          <w:szCs w:val="18"/>
          <w:highlight w:val="none"/>
        </w:rPr>
        <w:t>本表是本项目的具体要求，是对投标人须知的具体补充和修改，如有不一致，以本表为准。</w:t>
      </w:r>
    </w:p>
    <w:tbl>
      <w:tblPr>
        <w:tblStyle w:val="26"/>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032"/>
        <w:gridCol w:w="5940"/>
      </w:tblGrid>
      <w:tr w14:paraId="2AE8F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vAlign w:val="center"/>
          </w:tcPr>
          <w:p w14:paraId="62A08579">
            <w:pPr>
              <w:pStyle w:val="47"/>
              <w:widowControl w:val="0"/>
              <w:spacing w:before="0" w:beforeAutospacing="0" w:after="0" w:afterAutospacing="0"/>
              <w:rPr>
                <w:rFonts w:ascii="宋体" w:hAnsi="宋体" w:eastAsia="宋体"/>
                <w:bCs w:val="0"/>
                <w:kern w:val="2"/>
                <w:sz w:val="24"/>
                <w:szCs w:val="20"/>
                <w:highlight w:val="none"/>
              </w:rPr>
            </w:pPr>
            <w:r>
              <w:rPr>
                <w:rFonts w:hint="eastAsia" w:ascii="宋体" w:hAnsi="宋体" w:eastAsia="宋体"/>
                <w:bCs w:val="0"/>
                <w:kern w:val="2"/>
                <w:sz w:val="24"/>
                <w:szCs w:val="20"/>
                <w:highlight w:val="none"/>
              </w:rPr>
              <w:t>条款号</w:t>
            </w:r>
          </w:p>
        </w:tc>
        <w:tc>
          <w:tcPr>
            <w:tcW w:w="2032" w:type="dxa"/>
            <w:vAlign w:val="center"/>
          </w:tcPr>
          <w:p w14:paraId="23B2FADC">
            <w:pPr>
              <w:pStyle w:val="47"/>
              <w:widowControl w:val="0"/>
              <w:spacing w:before="0" w:beforeAutospacing="0" w:after="0" w:afterAutospacing="0"/>
              <w:rPr>
                <w:rFonts w:ascii="宋体" w:hAnsi="宋体" w:eastAsia="宋体"/>
                <w:bCs w:val="0"/>
                <w:kern w:val="2"/>
                <w:sz w:val="24"/>
                <w:szCs w:val="20"/>
                <w:highlight w:val="none"/>
              </w:rPr>
            </w:pPr>
            <w:r>
              <w:rPr>
                <w:rFonts w:hint="eastAsia" w:ascii="宋体" w:hAnsi="宋体" w:eastAsia="宋体"/>
                <w:bCs w:val="0"/>
                <w:kern w:val="2"/>
                <w:sz w:val="24"/>
                <w:szCs w:val="20"/>
                <w:highlight w:val="none"/>
              </w:rPr>
              <w:t>条款名称</w:t>
            </w:r>
          </w:p>
        </w:tc>
        <w:tc>
          <w:tcPr>
            <w:tcW w:w="5940" w:type="dxa"/>
            <w:vAlign w:val="center"/>
          </w:tcPr>
          <w:p w14:paraId="70C6EA26">
            <w:pPr>
              <w:pStyle w:val="47"/>
              <w:widowControl w:val="0"/>
              <w:spacing w:before="0" w:beforeAutospacing="0" w:after="0" w:afterAutospacing="0"/>
              <w:rPr>
                <w:rFonts w:ascii="宋体" w:hAnsi="宋体" w:eastAsia="宋体"/>
                <w:bCs w:val="0"/>
                <w:kern w:val="2"/>
                <w:sz w:val="24"/>
                <w:szCs w:val="20"/>
                <w:highlight w:val="none"/>
              </w:rPr>
            </w:pPr>
            <w:r>
              <w:rPr>
                <w:rFonts w:hint="eastAsia" w:ascii="宋体" w:hAnsi="宋体" w:eastAsia="宋体"/>
                <w:bCs w:val="0"/>
                <w:kern w:val="2"/>
                <w:sz w:val="24"/>
                <w:szCs w:val="20"/>
                <w:highlight w:val="none"/>
              </w:rPr>
              <w:t>内容、说明与要求</w:t>
            </w:r>
          </w:p>
        </w:tc>
      </w:tr>
      <w:tr w14:paraId="4C011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vAlign w:val="center"/>
          </w:tcPr>
          <w:p w14:paraId="55C99484">
            <w:pPr>
              <w:pStyle w:val="4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5</w:t>
            </w:r>
            <w:r>
              <w:rPr>
                <w:rFonts w:ascii="宋体" w:hAnsi="宋体" w:eastAsia="宋体"/>
                <w:bCs/>
                <w:kern w:val="2"/>
                <w:highlight w:val="none"/>
              </w:rPr>
              <w:t>.</w:t>
            </w:r>
            <w:r>
              <w:rPr>
                <w:rFonts w:hint="eastAsia" w:ascii="宋体" w:hAnsi="宋体" w:eastAsia="宋体"/>
                <w:bCs/>
                <w:kern w:val="2"/>
                <w:highlight w:val="none"/>
              </w:rPr>
              <w:t>2</w:t>
            </w:r>
          </w:p>
        </w:tc>
        <w:tc>
          <w:tcPr>
            <w:tcW w:w="2032" w:type="dxa"/>
            <w:vAlign w:val="center"/>
          </w:tcPr>
          <w:p w14:paraId="6CD71473">
            <w:pPr>
              <w:pStyle w:val="47"/>
              <w:widowControl w:val="0"/>
              <w:spacing w:before="0" w:beforeAutospacing="0" w:after="0" w:afterAutospacing="0" w:line="360" w:lineRule="auto"/>
              <w:jc w:val="left"/>
              <w:rPr>
                <w:rFonts w:ascii="宋体" w:hAnsi="宋体" w:eastAsia="宋体"/>
                <w:b w:val="0"/>
                <w:sz w:val="24"/>
                <w:highlight w:val="none"/>
              </w:rPr>
            </w:pPr>
            <w:r>
              <w:rPr>
                <w:rFonts w:hint="eastAsia" w:ascii="宋体" w:hAnsi="宋体" w:eastAsia="宋体"/>
                <w:b w:val="0"/>
                <w:sz w:val="24"/>
                <w:highlight w:val="none"/>
              </w:rPr>
              <w:t>现场考察或标前答疑会</w:t>
            </w:r>
          </w:p>
        </w:tc>
        <w:tc>
          <w:tcPr>
            <w:tcW w:w="5940" w:type="dxa"/>
            <w:vAlign w:val="center"/>
          </w:tcPr>
          <w:p w14:paraId="0AD299CB">
            <w:pPr>
              <w:spacing w:line="360" w:lineRule="auto"/>
              <w:rPr>
                <w:rFonts w:ascii="宋体" w:hAnsi="宋体" w:eastAsia="宋体"/>
                <w:bCs/>
                <w:sz w:val="24"/>
                <w:highlight w:val="none"/>
              </w:rPr>
            </w:pPr>
            <w:r>
              <w:rPr>
                <w:rFonts w:hint="eastAsia" w:ascii="宋体" w:hAnsi="宋体" w:eastAsia="宋体"/>
                <w:bCs/>
                <w:sz w:val="24"/>
                <w:szCs w:val="24"/>
                <w:highlight w:val="none"/>
              </w:rPr>
              <w:t>☑</w:t>
            </w:r>
            <w:r>
              <w:rPr>
                <w:rFonts w:hint="eastAsia" w:ascii="宋体" w:hAnsi="宋体" w:eastAsia="宋体"/>
                <w:sz w:val="24"/>
                <w:highlight w:val="none"/>
              </w:rPr>
              <w:t>不组织或不召开</w:t>
            </w:r>
          </w:p>
          <w:p w14:paraId="63B51A7A">
            <w:pPr>
              <w:spacing w:line="360" w:lineRule="auto"/>
              <w:rPr>
                <w:rFonts w:ascii="宋体" w:hAnsi="宋体" w:eastAsia="宋体"/>
                <w:bCs/>
                <w:sz w:val="24"/>
                <w:highlight w:val="none"/>
              </w:rPr>
            </w:pPr>
            <w:r>
              <w:rPr>
                <w:rFonts w:hint="eastAsia" w:ascii="宋体" w:hAnsi="宋体" w:eastAsia="宋体"/>
                <w:sz w:val="24"/>
                <w:highlight w:val="none"/>
              </w:rPr>
              <w:t>□</w:t>
            </w:r>
            <w:r>
              <w:rPr>
                <w:rFonts w:hint="eastAsia" w:ascii="宋体" w:hAnsi="宋体" w:eastAsia="宋体"/>
                <w:bCs/>
                <w:sz w:val="24"/>
                <w:highlight w:val="none"/>
              </w:rPr>
              <w:t>统一组织或统一召开</w:t>
            </w:r>
          </w:p>
          <w:p w14:paraId="210CD0D7">
            <w:pPr>
              <w:spacing w:line="360" w:lineRule="auto"/>
              <w:rPr>
                <w:rFonts w:ascii="宋体" w:hAnsi="宋体" w:eastAsia="宋体"/>
                <w:bCs/>
                <w:sz w:val="24"/>
                <w:highlight w:val="none"/>
                <w:u w:val="single"/>
              </w:rPr>
            </w:pPr>
            <w:r>
              <w:rPr>
                <w:rFonts w:hint="eastAsia" w:ascii="宋体" w:hAnsi="宋体" w:eastAsia="宋体"/>
                <w:bCs/>
                <w:sz w:val="24"/>
                <w:highlight w:val="none"/>
              </w:rPr>
              <w:t>时间：</w:t>
            </w:r>
            <w:r>
              <w:rPr>
                <w:rFonts w:hint="eastAsia" w:ascii="宋体" w:hAnsi="宋体" w:eastAsia="宋体"/>
                <w:bCs/>
                <w:sz w:val="24"/>
                <w:highlight w:val="none"/>
                <w:u w:val="single"/>
              </w:rPr>
              <w:t xml:space="preserve"> </w:t>
            </w:r>
            <w:r>
              <w:rPr>
                <w:rFonts w:ascii="宋体" w:hAnsi="宋体" w:eastAsia="宋体"/>
                <w:bCs/>
                <w:sz w:val="24"/>
                <w:highlight w:val="none"/>
                <w:u w:val="single"/>
              </w:rPr>
              <w:t xml:space="preserve"> </w:t>
            </w:r>
            <w:r>
              <w:rPr>
                <w:rFonts w:hint="eastAsia" w:ascii="宋体" w:hAnsi="宋体" w:eastAsia="宋体"/>
                <w:bCs/>
                <w:sz w:val="24"/>
                <w:highlight w:val="none"/>
                <w:u w:val="single"/>
                <w:lang w:val="en-US" w:eastAsia="zh-CN"/>
              </w:rPr>
              <w:t>/</w:t>
            </w:r>
            <w:r>
              <w:rPr>
                <w:rFonts w:ascii="宋体" w:hAnsi="宋体" w:eastAsia="宋体"/>
                <w:bCs/>
                <w:sz w:val="24"/>
                <w:highlight w:val="none"/>
                <w:u w:val="single"/>
              </w:rPr>
              <w:t xml:space="preserve">  </w:t>
            </w:r>
            <w:r>
              <w:rPr>
                <w:rFonts w:hint="eastAsia" w:ascii="宋体" w:hAnsi="宋体" w:eastAsia="宋体"/>
                <w:bCs/>
                <w:sz w:val="24"/>
                <w:highlight w:val="none"/>
              </w:rPr>
              <w:t>年</w:t>
            </w:r>
            <w:r>
              <w:rPr>
                <w:rFonts w:hint="eastAsia" w:ascii="宋体" w:hAnsi="宋体" w:eastAsia="宋体"/>
                <w:bCs/>
                <w:sz w:val="24"/>
                <w:highlight w:val="none"/>
                <w:u w:val="single"/>
              </w:rPr>
              <w:t xml:space="preserve"> </w:t>
            </w:r>
            <w:r>
              <w:rPr>
                <w:rFonts w:hint="eastAsia" w:ascii="宋体" w:hAnsi="宋体" w:eastAsia="宋体"/>
                <w:bCs/>
                <w:sz w:val="24"/>
                <w:highlight w:val="none"/>
                <w:u w:val="single"/>
                <w:lang w:val="en-US" w:eastAsia="zh-CN"/>
              </w:rPr>
              <w:t>/</w:t>
            </w:r>
            <w:r>
              <w:rPr>
                <w:rFonts w:ascii="宋体" w:hAnsi="宋体" w:eastAsia="宋体"/>
                <w:bCs/>
                <w:sz w:val="24"/>
                <w:highlight w:val="none"/>
                <w:u w:val="single"/>
              </w:rPr>
              <w:t xml:space="preserve"> </w:t>
            </w:r>
            <w:r>
              <w:rPr>
                <w:rFonts w:hint="eastAsia" w:ascii="宋体" w:hAnsi="宋体" w:eastAsia="宋体"/>
                <w:bCs/>
                <w:sz w:val="24"/>
                <w:highlight w:val="none"/>
              </w:rPr>
              <w:t>月</w:t>
            </w:r>
            <w:r>
              <w:rPr>
                <w:rFonts w:hint="eastAsia" w:ascii="宋体" w:hAnsi="宋体" w:eastAsia="宋体"/>
                <w:bCs/>
                <w:sz w:val="24"/>
                <w:highlight w:val="none"/>
                <w:u w:val="single"/>
              </w:rPr>
              <w:t xml:space="preserve"> </w:t>
            </w:r>
            <w:r>
              <w:rPr>
                <w:rFonts w:hint="eastAsia" w:ascii="宋体" w:hAnsi="宋体" w:eastAsia="宋体"/>
                <w:bCs/>
                <w:sz w:val="24"/>
                <w:highlight w:val="none"/>
                <w:u w:val="single"/>
                <w:lang w:val="en-US" w:eastAsia="zh-CN"/>
              </w:rPr>
              <w:t>/</w:t>
            </w:r>
            <w:r>
              <w:rPr>
                <w:rFonts w:ascii="宋体" w:hAnsi="宋体" w:eastAsia="宋体"/>
                <w:bCs/>
                <w:sz w:val="24"/>
                <w:highlight w:val="none"/>
                <w:u w:val="single"/>
              </w:rPr>
              <w:t xml:space="preserve"> </w:t>
            </w:r>
            <w:r>
              <w:rPr>
                <w:rFonts w:hint="eastAsia" w:ascii="宋体" w:hAnsi="宋体" w:eastAsia="宋体"/>
                <w:bCs/>
                <w:sz w:val="24"/>
                <w:highlight w:val="none"/>
              </w:rPr>
              <w:t>日</w:t>
            </w:r>
            <w:r>
              <w:rPr>
                <w:rFonts w:hint="eastAsia" w:ascii="宋体" w:hAnsi="宋体" w:eastAsia="宋体"/>
                <w:bCs/>
                <w:sz w:val="24"/>
                <w:highlight w:val="none"/>
                <w:u w:val="single"/>
              </w:rPr>
              <w:t xml:space="preserve"> </w:t>
            </w:r>
            <w:r>
              <w:rPr>
                <w:rFonts w:hint="eastAsia" w:ascii="宋体" w:hAnsi="宋体" w:eastAsia="宋体"/>
                <w:bCs/>
                <w:sz w:val="24"/>
                <w:highlight w:val="none"/>
                <w:u w:val="single"/>
                <w:lang w:val="en-US" w:eastAsia="zh-CN"/>
              </w:rPr>
              <w:t>/</w:t>
            </w:r>
            <w:r>
              <w:rPr>
                <w:rFonts w:ascii="宋体" w:hAnsi="宋体" w:eastAsia="宋体"/>
                <w:bCs/>
                <w:sz w:val="24"/>
                <w:highlight w:val="none"/>
                <w:u w:val="single"/>
              </w:rPr>
              <w:t xml:space="preserve"> </w:t>
            </w:r>
            <w:r>
              <w:rPr>
                <w:rFonts w:hint="eastAsia" w:ascii="宋体" w:hAnsi="宋体" w:eastAsia="宋体"/>
                <w:bCs/>
                <w:sz w:val="24"/>
                <w:highlight w:val="none"/>
              </w:rPr>
              <w:t>时</w:t>
            </w:r>
            <w:r>
              <w:rPr>
                <w:rFonts w:hint="eastAsia" w:ascii="宋体" w:hAnsi="宋体" w:eastAsia="宋体"/>
                <w:bCs/>
                <w:sz w:val="24"/>
                <w:highlight w:val="none"/>
                <w:u w:val="single"/>
              </w:rPr>
              <w:t xml:space="preserve"> </w:t>
            </w:r>
            <w:r>
              <w:rPr>
                <w:rFonts w:hint="eastAsia" w:ascii="宋体" w:hAnsi="宋体" w:eastAsia="宋体"/>
                <w:bCs/>
                <w:sz w:val="24"/>
                <w:highlight w:val="none"/>
                <w:u w:val="single"/>
                <w:lang w:val="en-US" w:eastAsia="zh-CN"/>
              </w:rPr>
              <w:t>/</w:t>
            </w:r>
            <w:r>
              <w:rPr>
                <w:rFonts w:ascii="宋体" w:hAnsi="宋体" w:eastAsia="宋体"/>
                <w:bCs/>
                <w:sz w:val="24"/>
                <w:highlight w:val="none"/>
                <w:u w:val="single"/>
              </w:rPr>
              <w:t xml:space="preserve"> </w:t>
            </w:r>
            <w:r>
              <w:rPr>
                <w:rFonts w:hint="eastAsia" w:ascii="宋体" w:hAnsi="宋体" w:eastAsia="宋体"/>
                <w:bCs/>
                <w:sz w:val="24"/>
                <w:highlight w:val="none"/>
              </w:rPr>
              <w:t>分</w:t>
            </w:r>
          </w:p>
          <w:p w14:paraId="29845977">
            <w:pPr>
              <w:spacing w:line="360" w:lineRule="auto"/>
              <w:rPr>
                <w:rFonts w:ascii="宋体" w:hAnsi="宋体" w:eastAsia="宋体"/>
                <w:bCs/>
                <w:sz w:val="24"/>
                <w:highlight w:val="none"/>
                <w:u w:val="single"/>
              </w:rPr>
            </w:pPr>
            <w:r>
              <w:rPr>
                <w:rFonts w:hint="eastAsia" w:ascii="宋体" w:hAnsi="宋体" w:eastAsia="宋体"/>
                <w:bCs/>
                <w:sz w:val="24"/>
                <w:highlight w:val="none"/>
              </w:rPr>
              <w:t>地点：</w:t>
            </w:r>
            <w:r>
              <w:rPr>
                <w:rFonts w:hint="eastAsia" w:ascii="宋体" w:hAnsi="宋体" w:eastAsia="宋体"/>
                <w:bCs/>
                <w:sz w:val="24"/>
                <w:highlight w:val="none"/>
                <w:u w:val="single"/>
              </w:rPr>
              <w:t xml:space="preserve"> </w:t>
            </w:r>
            <w:r>
              <w:rPr>
                <w:rFonts w:ascii="宋体" w:hAnsi="宋体" w:eastAsia="宋体"/>
                <w:bCs/>
                <w:sz w:val="24"/>
                <w:highlight w:val="none"/>
                <w:u w:val="single"/>
              </w:rPr>
              <w:t xml:space="preserve">          </w:t>
            </w:r>
            <w:r>
              <w:rPr>
                <w:rFonts w:hint="eastAsia" w:ascii="宋体" w:hAnsi="宋体" w:eastAsia="宋体"/>
                <w:bCs/>
                <w:sz w:val="24"/>
                <w:highlight w:val="none"/>
                <w:u w:val="single"/>
                <w:lang w:val="en-US" w:eastAsia="zh-CN"/>
              </w:rPr>
              <w:t>/</w:t>
            </w:r>
            <w:r>
              <w:rPr>
                <w:rFonts w:ascii="宋体" w:hAnsi="宋体" w:eastAsia="宋体"/>
                <w:bCs/>
                <w:sz w:val="24"/>
                <w:highlight w:val="none"/>
                <w:u w:val="single"/>
              </w:rPr>
              <w:t xml:space="preserve">            </w:t>
            </w:r>
          </w:p>
          <w:p w14:paraId="6D004D95">
            <w:pPr>
              <w:spacing w:line="360" w:lineRule="auto"/>
              <w:rPr>
                <w:rFonts w:ascii="宋体" w:hAnsi="宋体" w:eastAsia="宋体"/>
                <w:bCs/>
                <w:sz w:val="24"/>
                <w:highlight w:val="none"/>
                <w:u w:val="single"/>
              </w:rPr>
            </w:pPr>
            <w:r>
              <w:rPr>
                <w:rFonts w:hint="eastAsia" w:ascii="宋体" w:hAnsi="宋体" w:eastAsia="宋体"/>
                <w:bCs/>
                <w:sz w:val="24"/>
                <w:highlight w:val="none"/>
              </w:rPr>
              <w:t>联系人及联系电话：</w:t>
            </w:r>
            <w:r>
              <w:rPr>
                <w:rFonts w:hint="eastAsia" w:ascii="宋体" w:hAnsi="宋体" w:eastAsia="宋体"/>
                <w:bCs/>
                <w:sz w:val="24"/>
                <w:highlight w:val="none"/>
                <w:u w:val="single"/>
              </w:rPr>
              <w:t xml:space="preserve"> </w:t>
            </w:r>
            <w:r>
              <w:rPr>
                <w:rFonts w:ascii="宋体" w:hAnsi="宋体" w:eastAsia="宋体"/>
                <w:bCs/>
                <w:sz w:val="24"/>
                <w:highlight w:val="none"/>
                <w:u w:val="single"/>
              </w:rPr>
              <w:t xml:space="preserve">    </w:t>
            </w:r>
            <w:r>
              <w:rPr>
                <w:rFonts w:hint="eastAsia" w:ascii="宋体" w:hAnsi="宋体" w:eastAsia="宋体"/>
                <w:bCs/>
                <w:sz w:val="24"/>
                <w:highlight w:val="none"/>
                <w:u w:val="single"/>
                <w:lang w:val="en-US" w:eastAsia="zh-CN"/>
              </w:rPr>
              <w:t>/</w:t>
            </w:r>
            <w:r>
              <w:rPr>
                <w:rFonts w:ascii="宋体" w:hAnsi="宋体" w:eastAsia="宋体"/>
                <w:bCs/>
                <w:sz w:val="24"/>
                <w:highlight w:val="none"/>
                <w:u w:val="single"/>
              </w:rPr>
              <w:t xml:space="preserve">      </w:t>
            </w:r>
          </w:p>
          <w:p w14:paraId="33A94844">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Cs w:val="0"/>
                <w:sz w:val="24"/>
                <w:highlight w:val="none"/>
              </w:rPr>
              <w:t>注：如投标人未参加采购人统一组织的现场考察或采购人统一召开的标前答疑会，视同放弃现场考察或标前答疑会，由此引起的一切责任由投标人自行承担。</w:t>
            </w:r>
          </w:p>
        </w:tc>
      </w:tr>
      <w:tr w14:paraId="135D7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vAlign w:val="center"/>
          </w:tcPr>
          <w:p w14:paraId="227EEF0C">
            <w:pPr>
              <w:pStyle w:val="4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6</w:t>
            </w:r>
            <w:r>
              <w:rPr>
                <w:rFonts w:ascii="宋体" w:hAnsi="宋体" w:eastAsia="宋体"/>
                <w:bCs/>
                <w:kern w:val="2"/>
                <w:highlight w:val="none"/>
              </w:rPr>
              <w:t>.1</w:t>
            </w:r>
          </w:p>
        </w:tc>
        <w:tc>
          <w:tcPr>
            <w:tcW w:w="2032" w:type="dxa"/>
            <w:vAlign w:val="center"/>
          </w:tcPr>
          <w:p w14:paraId="40A95822">
            <w:pPr>
              <w:pStyle w:val="47"/>
              <w:widowControl w:val="0"/>
              <w:spacing w:before="0" w:beforeAutospacing="0" w:after="0" w:afterAutospacing="0"/>
              <w:jc w:val="left"/>
              <w:rPr>
                <w:rFonts w:ascii="宋体" w:hAnsi="宋体" w:eastAsia="宋体"/>
                <w:b w:val="0"/>
                <w:sz w:val="24"/>
                <w:highlight w:val="none"/>
              </w:rPr>
            </w:pPr>
            <w:r>
              <w:rPr>
                <w:rFonts w:hint="eastAsia" w:ascii="宋体" w:hAnsi="宋体" w:eastAsia="宋体"/>
                <w:b w:val="0"/>
                <w:sz w:val="24"/>
                <w:highlight w:val="none"/>
              </w:rPr>
              <w:t>网上询问截止时间</w:t>
            </w:r>
          </w:p>
        </w:tc>
        <w:tc>
          <w:tcPr>
            <w:tcW w:w="5940" w:type="dxa"/>
            <w:vAlign w:val="center"/>
          </w:tcPr>
          <w:p w14:paraId="59C4EA55">
            <w:pPr>
              <w:pStyle w:val="47"/>
              <w:widowControl w:val="0"/>
              <w:spacing w:before="0" w:beforeAutospacing="0" w:after="0" w:afterAutospacing="0"/>
              <w:jc w:val="both"/>
              <w:rPr>
                <w:rFonts w:ascii="宋体" w:hAnsi="宋体" w:eastAsia="宋体"/>
                <w:b w:val="0"/>
                <w:sz w:val="24"/>
                <w:highlight w:val="none"/>
              </w:rPr>
            </w:pPr>
            <w:r>
              <w:rPr>
                <w:rFonts w:ascii="宋体" w:hAnsi="宋体" w:eastAsia="宋体"/>
                <w:b w:val="0"/>
                <w:sz w:val="24"/>
                <w:highlight w:val="none"/>
                <w:u w:val="single"/>
              </w:rPr>
              <w:t xml:space="preserve"> </w:t>
            </w:r>
            <w:r>
              <w:rPr>
                <w:rFonts w:hint="eastAsia" w:ascii="宋体" w:hAnsi="宋体" w:eastAsia="宋体"/>
                <w:b w:val="0"/>
                <w:sz w:val="24"/>
                <w:highlight w:val="none"/>
                <w:u w:val="single"/>
              </w:rPr>
              <w:t>202</w:t>
            </w:r>
            <w:r>
              <w:rPr>
                <w:rFonts w:hint="eastAsia" w:ascii="宋体" w:hAnsi="宋体" w:eastAsia="宋体"/>
                <w:b w:val="0"/>
                <w:sz w:val="24"/>
                <w:highlight w:val="none"/>
                <w:u w:val="single"/>
                <w:lang w:val="en-US" w:eastAsia="zh-CN"/>
              </w:rPr>
              <w:t>5</w:t>
            </w:r>
            <w:r>
              <w:rPr>
                <w:rFonts w:ascii="宋体" w:hAnsi="宋体" w:eastAsia="宋体"/>
                <w:b w:val="0"/>
                <w:sz w:val="24"/>
                <w:highlight w:val="none"/>
                <w:u w:val="single"/>
              </w:rPr>
              <w:t xml:space="preserve"> </w:t>
            </w:r>
            <w:r>
              <w:rPr>
                <w:rFonts w:ascii="宋体" w:hAnsi="宋体" w:eastAsia="宋体"/>
                <w:b w:val="0"/>
                <w:sz w:val="24"/>
                <w:highlight w:val="none"/>
              </w:rPr>
              <w:t>年</w:t>
            </w:r>
            <w:r>
              <w:rPr>
                <w:rFonts w:ascii="宋体" w:hAnsi="宋体" w:eastAsia="宋体"/>
                <w:b w:val="0"/>
                <w:sz w:val="24"/>
                <w:highlight w:val="none"/>
                <w:u w:val="single"/>
              </w:rPr>
              <w:t xml:space="preserve"> </w:t>
            </w:r>
            <w:r>
              <w:rPr>
                <w:rFonts w:hint="eastAsia" w:ascii="宋体" w:hAnsi="宋体" w:eastAsia="宋体"/>
                <w:b w:val="0"/>
                <w:sz w:val="24"/>
                <w:highlight w:val="none"/>
                <w:u w:val="single"/>
                <w:lang w:val="en-US" w:eastAsia="zh-CN"/>
              </w:rPr>
              <w:t>09</w:t>
            </w:r>
            <w:r>
              <w:rPr>
                <w:rFonts w:ascii="宋体" w:hAnsi="宋体" w:eastAsia="宋体"/>
                <w:b w:val="0"/>
                <w:sz w:val="24"/>
                <w:highlight w:val="none"/>
              </w:rPr>
              <w:t>月</w:t>
            </w:r>
            <w:r>
              <w:rPr>
                <w:rFonts w:ascii="宋体" w:hAnsi="宋体" w:eastAsia="宋体"/>
                <w:b w:val="0"/>
                <w:sz w:val="24"/>
                <w:highlight w:val="none"/>
                <w:u w:val="single"/>
              </w:rPr>
              <w:t xml:space="preserve"> </w:t>
            </w:r>
            <w:r>
              <w:rPr>
                <w:rFonts w:hint="eastAsia" w:ascii="宋体" w:hAnsi="宋体" w:eastAsia="宋体"/>
                <w:b w:val="0"/>
                <w:sz w:val="24"/>
                <w:highlight w:val="none"/>
                <w:u w:val="single"/>
                <w:lang w:val="en-US" w:eastAsia="zh-CN"/>
              </w:rPr>
              <w:t>26</w:t>
            </w:r>
            <w:r>
              <w:rPr>
                <w:rFonts w:ascii="宋体" w:hAnsi="宋体" w:eastAsia="宋体"/>
                <w:b w:val="0"/>
                <w:sz w:val="24"/>
                <w:highlight w:val="none"/>
                <w:u w:val="single"/>
              </w:rPr>
              <w:t xml:space="preserve"> </w:t>
            </w:r>
            <w:r>
              <w:rPr>
                <w:rFonts w:ascii="宋体" w:hAnsi="宋体" w:eastAsia="宋体"/>
                <w:b w:val="0"/>
                <w:sz w:val="24"/>
                <w:highlight w:val="none"/>
              </w:rPr>
              <w:t>日</w:t>
            </w:r>
            <w:r>
              <w:rPr>
                <w:rFonts w:ascii="宋体" w:hAnsi="宋体" w:eastAsia="宋体"/>
                <w:b w:val="0"/>
                <w:sz w:val="24"/>
                <w:highlight w:val="none"/>
                <w:u w:val="single"/>
              </w:rPr>
              <w:t xml:space="preserve"> </w:t>
            </w:r>
            <w:r>
              <w:rPr>
                <w:rFonts w:hint="eastAsia" w:ascii="宋体" w:hAnsi="宋体" w:eastAsia="宋体"/>
                <w:b w:val="0"/>
                <w:sz w:val="24"/>
                <w:highlight w:val="none"/>
                <w:u w:val="single"/>
              </w:rPr>
              <w:t>17</w:t>
            </w:r>
            <w:r>
              <w:rPr>
                <w:rFonts w:ascii="宋体" w:hAnsi="宋体" w:eastAsia="宋体"/>
                <w:b w:val="0"/>
                <w:sz w:val="24"/>
                <w:highlight w:val="none"/>
                <w:u w:val="single"/>
              </w:rPr>
              <w:t xml:space="preserve"> </w:t>
            </w:r>
            <w:r>
              <w:rPr>
                <w:rFonts w:ascii="宋体" w:hAnsi="宋体" w:eastAsia="宋体"/>
                <w:b w:val="0"/>
                <w:sz w:val="24"/>
                <w:highlight w:val="none"/>
              </w:rPr>
              <w:t>时</w:t>
            </w:r>
            <w:r>
              <w:rPr>
                <w:rFonts w:ascii="宋体" w:hAnsi="宋体" w:eastAsia="宋体"/>
                <w:b w:val="0"/>
                <w:sz w:val="24"/>
                <w:highlight w:val="none"/>
                <w:u w:val="single"/>
              </w:rPr>
              <w:t xml:space="preserve"> </w:t>
            </w:r>
            <w:r>
              <w:rPr>
                <w:rFonts w:hint="eastAsia" w:ascii="宋体" w:hAnsi="宋体" w:eastAsia="宋体"/>
                <w:b w:val="0"/>
                <w:sz w:val="24"/>
                <w:highlight w:val="none"/>
                <w:u w:val="single"/>
              </w:rPr>
              <w:t>30</w:t>
            </w:r>
            <w:r>
              <w:rPr>
                <w:rFonts w:ascii="宋体" w:hAnsi="宋体" w:eastAsia="宋体"/>
                <w:b w:val="0"/>
                <w:sz w:val="24"/>
                <w:highlight w:val="none"/>
                <w:u w:val="single"/>
              </w:rPr>
              <w:t xml:space="preserve"> </w:t>
            </w:r>
            <w:r>
              <w:rPr>
                <w:rFonts w:hint="eastAsia" w:ascii="宋体" w:hAnsi="宋体" w:eastAsia="宋体"/>
                <w:b w:val="0"/>
                <w:sz w:val="24"/>
                <w:highlight w:val="none"/>
              </w:rPr>
              <w:t>分</w:t>
            </w:r>
          </w:p>
        </w:tc>
      </w:tr>
      <w:tr w14:paraId="6103B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vAlign w:val="center"/>
          </w:tcPr>
          <w:p w14:paraId="64D6D519">
            <w:pPr>
              <w:pStyle w:val="4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7</w:t>
            </w:r>
            <w:r>
              <w:rPr>
                <w:rFonts w:ascii="宋体" w:hAnsi="宋体" w:eastAsia="宋体"/>
                <w:bCs/>
                <w:kern w:val="2"/>
                <w:highlight w:val="none"/>
              </w:rPr>
              <w:t>.1</w:t>
            </w:r>
          </w:p>
        </w:tc>
        <w:tc>
          <w:tcPr>
            <w:tcW w:w="2032" w:type="dxa"/>
            <w:vAlign w:val="center"/>
          </w:tcPr>
          <w:p w14:paraId="71B5832C">
            <w:pPr>
              <w:pStyle w:val="47"/>
              <w:widowControl w:val="0"/>
              <w:spacing w:before="0" w:beforeAutospacing="0" w:after="0" w:afterAutospacing="0"/>
              <w:jc w:val="left"/>
              <w:rPr>
                <w:rFonts w:ascii="宋体" w:hAnsi="宋体" w:eastAsia="宋体"/>
                <w:b w:val="0"/>
                <w:sz w:val="24"/>
                <w:highlight w:val="none"/>
              </w:rPr>
            </w:pPr>
            <w:r>
              <w:rPr>
                <w:rFonts w:hint="eastAsia" w:ascii="宋体" w:hAnsi="宋体" w:eastAsia="宋体"/>
                <w:b w:val="0"/>
                <w:sz w:val="24"/>
                <w:highlight w:val="none"/>
              </w:rPr>
              <w:t>包别划分</w:t>
            </w:r>
          </w:p>
        </w:tc>
        <w:tc>
          <w:tcPr>
            <w:tcW w:w="5940" w:type="dxa"/>
            <w:vAlign w:val="center"/>
          </w:tcPr>
          <w:p w14:paraId="560F4029">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bCs w:val="0"/>
                <w:sz w:val="24"/>
                <w:szCs w:val="24"/>
                <w:highlight w:val="none"/>
                <w:lang w:eastAsia="zh-CN"/>
              </w:rPr>
              <w:t>□</w:t>
            </w:r>
            <w:r>
              <w:rPr>
                <w:rFonts w:ascii="宋体" w:hAnsi="宋体" w:eastAsia="宋体"/>
                <w:b w:val="0"/>
                <w:sz w:val="24"/>
                <w:highlight w:val="none"/>
              </w:rPr>
              <w:t xml:space="preserve">不分包     </w:t>
            </w:r>
            <w:r>
              <w:rPr>
                <w:rFonts w:hint="eastAsia" w:ascii="宋体" w:hAnsi="宋体" w:eastAsia="宋体"/>
                <w:b w:val="0"/>
                <w:sz w:val="24"/>
                <w:highlight w:val="none"/>
                <w:lang w:eastAsia="zh-CN"/>
              </w:rPr>
              <w:t>☑</w:t>
            </w:r>
            <w:r>
              <w:rPr>
                <w:rFonts w:ascii="宋体" w:hAnsi="宋体" w:eastAsia="宋体"/>
                <w:b w:val="0"/>
                <w:sz w:val="24"/>
                <w:highlight w:val="none"/>
              </w:rPr>
              <w:t xml:space="preserve">分为 </w:t>
            </w:r>
            <w:r>
              <w:rPr>
                <w:rFonts w:hint="eastAsia" w:ascii="宋体" w:hAnsi="宋体" w:eastAsia="宋体"/>
                <w:b w:val="0"/>
                <w:sz w:val="24"/>
                <w:highlight w:val="none"/>
                <w:lang w:val="en-US" w:eastAsia="zh-CN"/>
              </w:rPr>
              <w:t>6</w:t>
            </w:r>
            <w:r>
              <w:rPr>
                <w:rFonts w:ascii="宋体" w:hAnsi="宋体" w:eastAsia="宋体"/>
                <w:b w:val="0"/>
                <w:sz w:val="24"/>
                <w:highlight w:val="none"/>
              </w:rPr>
              <w:t xml:space="preserve"> 个包</w:t>
            </w:r>
          </w:p>
          <w:p w14:paraId="6B02E862">
            <w:pPr>
              <w:pStyle w:val="47"/>
              <w:widowControl w:val="0"/>
              <w:spacing w:before="0" w:beforeAutospacing="0" w:after="0" w:afterAutospacing="0"/>
              <w:jc w:val="both"/>
              <w:rPr>
                <w:rFonts w:ascii="宋体" w:hAnsi="宋体" w:eastAsia="宋体"/>
                <w:b w:val="0"/>
                <w:sz w:val="24"/>
                <w:highlight w:val="none"/>
                <w:u w:val="single"/>
              </w:rPr>
            </w:pPr>
            <w:r>
              <w:rPr>
                <w:rFonts w:hint="eastAsia" w:ascii="宋体" w:hAnsi="宋体" w:eastAsia="宋体"/>
                <w:b w:val="0"/>
                <w:sz w:val="24"/>
                <w:highlight w:val="none"/>
              </w:rPr>
              <w:t>投标人对多个包进行投标的中标</w:t>
            </w:r>
            <w:r>
              <w:rPr>
                <w:rFonts w:ascii="宋体" w:hAnsi="宋体" w:eastAsia="宋体"/>
                <w:b w:val="0"/>
                <w:sz w:val="24"/>
                <w:highlight w:val="none"/>
              </w:rPr>
              <w:t>包</w:t>
            </w:r>
            <w:r>
              <w:rPr>
                <w:rFonts w:hint="eastAsia" w:ascii="宋体" w:hAnsi="宋体" w:eastAsia="宋体"/>
                <w:b w:val="0"/>
                <w:sz w:val="24"/>
                <w:highlight w:val="none"/>
              </w:rPr>
              <w:t>数规定：</w:t>
            </w:r>
            <w:r>
              <w:rPr>
                <w:rFonts w:hint="eastAsia" w:ascii="宋体" w:hAnsi="宋体" w:eastAsia="宋体"/>
                <w:b w:val="0"/>
                <w:bCs w:val="0"/>
                <w:sz w:val="24"/>
                <w:szCs w:val="18"/>
                <w:highlight w:val="none"/>
                <w:u w:val="single"/>
              </w:rPr>
              <w:t xml:space="preserve"> </w:t>
            </w:r>
            <w:r>
              <w:rPr>
                <w:rFonts w:ascii="宋体" w:hAnsi="宋体" w:eastAsia="宋体"/>
                <w:b w:val="0"/>
                <w:bCs w:val="0"/>
                <w:sz w:val="24"/>
                <w:szCs w:val="18"/>
                <w:highlight w:val="none"/>
                <w:u w:val="single"/>
              </w:rPr>
              <w:t xml:space="preserve">  </w:t>
            </w:r>
            <w:r>
              <w:rPr>
                <w:rFonts w:hint="eastAsia" w:ascii="宋体" w:hAnsi="宋体" w:eastAsia="宋体"/>
                <w:b w:val="0"/>
                <w:bCs w:val="0"/>
                <w:sz w:val="24"/>
                <w:szCs w:val="18"/>
                <w:highlight w:val="none"/>
                <w:u w:val="single"/>
                <w:lang w:val="en-US" w:eastAsia="zh-CN"/>
              </w:rPr>
              <w:t>/</w:t>
            </w:r>
            <w:r>
              <w:rPr>
                <w:rFonts w:ascii="宋体" w:hAnsi="宋体" w:eastAsia="宋体"/>
                <w:b w:val="0"/>
                <w:bCs w:val="0"/>
                <w:sz w:val="24"/>
                <w:szCs w:val="18"/>
                <w:highlight w:val="none"/>
                <w:u w:val="single"/>
              </w:rPr>
              <w:t xml:space="preserve">     </w:t>
            </w:r>
          </w:p>
        </w:tc>
      </w:tr>
      <w:tr w14:paraId="69DD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005" w:type="dxa"/>
            <w:vAlign w:val="center"/>
          </w:tcPr>
          <w:p w14:paraId="380659B0">
            <w:pPr>
              <w:pStyle w:val="4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10</w:t>
            </w:r>
            <w:r>
              <w:rPr>
                <w:rFonts w:ascii="宋体" w:hAnsi="宋体" w:eastAsia="宋体"/>
                <w:bCs/>
                <w:kern w:val="2"/>
                <w:highlight w:val="none"/>
              </w:rPr>
              <w:t>.1</w:t>
            </w:r>
          </w:p>
        </w:tc>
        <w:tc>
          <w:tcPr>
            <w:tcW w:w="2032" w:type="dxa"/>
            <w:vAlign w:val="center"/>
          </w:tcPr>
          <w:p w14:paraId="3351998A">
            <w:pPr>
              <w:pStyle w:val="47"/>
              <w:widowControl w:val="0"/>
              <w:spacing w:before="0" w:beforeAutospacing="0" w:after="0" w:afterAutospacing="0" w:line="360" w:lineRule="auto"/>
              <w:jc w:val="left"/>
              <w:rPr>
                <w:rFonts w:ascii="宋体" w:hAnsi="宋体" w:eastAsia="宋体"/>
                <w:b w:val="0"/>
                <w:sz w:val="24"/>
                <w:highlight w:val="none"/>
              </w:rPr>
            </w:pPr>
            <w:r>
              <w:rPr>
                <w:rFonts w:hint="eastAsia" w:ascii="宋体" w:hAnsi="宋体" w:eastAsia="宋体"/>
                <w:b w:val="0"/>
                <w:sz w:val="24"/>
                <w:highlight w:val="none"/>
              </w:rPr>
              <w:t>投标保证金</w:t>
            </w:r>
          </w:p>
        </w:tc>
        <w:tc>
          <w:tcPr>
            <w:tcW w:w="5940" w:type="dxa"/>
            <w:vAlign w:val="center"/>
          </w:tcPr>
          <w:p w14:paraId="77B4B09A">
            <w:pPr>
              <w:spacing w:line="360" w:lineRule="auto"/>
              <w:rPr>
                <w:highlight w:val="none"/>
              </w:rPr>
            </w:pPr>
            <w:r>
              <w:rPr>
                <w:rFonts w:hint="eastAsia" w:ascii="宋体" w:hAnsi="宋体" w:eastAsia="宋体"/>
                <w:bCs/>
                <w:kern w:val="0"/>
                <w:sz w:val="24"/>
                <w:szCs w:val="28"/>
                <w:highlight w:val="none"/>
              </w:rPr>
              <w:t>不收取</w:t>
            </w:r>
          </w:p>
        </w:tc>
      </w:tr>
      <w:tr w14:paraId="52737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vAlign w:val="center"/>
          </w:tcPr>
          <w:p w14:paraId="00CB7A61">
            <w:pPr>
              <w:pStyle w:val="4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11</w:t>
            </w:r>
            <w:r>
              <w:rPr>
                <w:rFonts w:ascii="宋体" w:hAnsi="宋体" w:eastAsia="宋体"/>
                <w:bCs/>
                <w:kern w:val="2"/>
                <w:highlight w:val="none"/>
              </w:rPr>
              <w:t>.1</w:t>
            </w:r>
          </w:p>
        </w:tc>
        <w:tc>
          <w:tcPr>
            <w:tcW w:w="2032" w:type="dxa"/>
            <w:vAlign w:val="center"/>
          </w:tcPr>
          <w:p w14:paraId="7606E982">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投标有效期</w:t>
            </w:r>
          </w:p>
        </w:tc>
        <w:tc>
          <w:tcPr>
            <w:tcW w:w="5940" w:type="dxa"/>
            <w:vAlign w:val="center"/>
          </w:tcPr>
          <w:p w14:paraId="43BB00AD">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u w:val="single"/>
              </w:rPr>
              <w:t xml:space="preserve">  90  </w:t>
            </w:r>
            <w:r>
              <w:rPr>
                <w:rFonts w:hint="eastAsia" w:ascii="宋体" w:hAnsi="宋体" w:eastAsia="宋体"/>
                <w:b w:val="0"/>
                <w:sz w:val="24"/>
                <w:highlight w:val="none"/>
              </w:rPr>
              <w:t>日历日</w:t>
            </w:r>
          </w:p>
        </w:tc>
      </w:tr>
      <w:tr w14:paraId="30DEB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vAlign w:val="center"/>
          </w:tcPr>
          <w:p w14:paraId="66A8ECF7">
            <w:pPr>
              <w:pStyle w:val="4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13</w:t>
            </w:r>
            <w:r>
              <w:rPr>
                <w:rFonts w:ascii="宋体" w:hAnsi="宋体" w:eastAsia="宋体"/>
                <w:bCs/>
                <w:kern w:val="2"/>
                <w:highlight w:val="none"/>
              </w:rPr>
              <w:t>.</w:t>
            </w:r>
            <w:r>
              <w:rPr>
                <w:rFonts w:hint="eastAsia" w:ascii="宋体" w:hAnsi="宋体" w:eastAsia="宋体"/>
                <w:bCs/>
                <w:kern w:val="2"/>
                <w:highlight w:val="none"/>
              </w:rPr>
              <w:t>1</w:t>
            </w:r>
          </w:p>
        </w:tc>
        <w:tc>
          <w:tcPr>
            <w:tcW w:w="2032" w:type="dxa"/>
            <w:vAlign w:val="center"/>
          </w:tcPr>
          <w:p w14:paraId="1A626342">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投标文件解密时间</w:t>
            </w:r>
          </w:p>
        </w:tc>
        <w:tc>
          <w:tcPr>
            <w:tcW w:w="5940" w:type="dxa"/>
            <w:vAlign w:val="center"/>
          </w:tcPr>
          <w:p w14:paraId="564F96E0">
            <w:pPr>
              <w:pStyle w:val="47"/>
              <w:widowControl w:val="0"/>
              <w:spacing w:before="0" w:beforeAutospacing="0" w:after="0" w:afterAutospacing="0" w:line="360" w:lineRule="auto"/>
              <w:jc w:val="both"/>
              <w:rPr>
                <w:rFonts w:ascii="宋体" w:hAnsi="宋体" w:eastAsia="宋体"/>
                <w:b w:val="0"/>
                <w:sz w:val="24"/>
                <w:highlight w:val="none"/>
                <w:u w:val="single"/>
              </w:rPr>
            </w:pPr>
            <w:r>
              <w:rPr>
                <w:rFonts w:hint="eastAsia" w:ascii="宋体" w:hAnsi="宋体" w:eastAsia="宋体"/>
                <w:b w:val="0"/>
                <w:sz w:val="24"/>
                <w:highlight w:val="none"/>
              </w:rPr>
              <w:t>投标截止时间后</w:t>
            </w:r>
            <w:r>
              <w:rPr>
                <w:rFonts w:hint="eastAsia" w:ascii="宋体" w:hAnsi="宋体" w:eastAsia="宋体"/>
                <w:b w:val="0"/>
                <w:sz w:val="24"/>
                <w:highlight w:val="none"/>
                <w:u w:val="single"/>
              </w:rPr>
              <w:t xml:space="preserve">   60   </w:t>
            </w:r>
            <w:r>
              <w:rPr>
                <w:rFonts w:hint="eastAsia" w:ascii="宋体" w:hAnsi="宋体" w:eastAsia="宋体"/>
                <w:b w:val="0"/>
                <w:sz w:val="24"/>
                <w:highlight w:val="none"/>
              </w:rPr>
              <w:t>分钟内</w:t>
            </w:r>
          </w:p>
        </w:tc>
      </w:tr>
      <w:tr w14:paraId="49696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vAlign w:val="center"/>
          </w:tcPr>
          <w:p w14:paraId="10BB2AEC">
            <w:pPr>
              <w:pStyle w:val="4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14.1</w:t>
            </w:r>
          </w:p>
        </w:tc>
        <w:tc>
          <w:tcPr>
            <w:tcW w:w="2032" w:type="dxa"/>
            <w:vAlign w:val="center"/>
          </w:tcPr>
          <w:p w14:paraId="713AF48B">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资格审查</w:t>
            </w:r>
          </w:p>
        </w:tc>
        <w:tc>
          <w:tcPr>
            <w:tcW w:w="5940" w:type="dxa"/>
            <w:vAlign w:val="center"/>
          </w:tcPr>
          <w:p w14:paraId="6C17CF0A">
            <w:pPr>
              <w:pStyle w:val="47"/>
              <w:widowControl w:val="0"/>
              <w:spacing w:before="0" w:beforeAutospacing="0" w:after="0" w:afterAutospacing="0" w:line="360" w:lineRule="auto"/>
              <w:jc w:val="both"/>
              <w:rPr>
                <w:rFonts w:ascii="宋体" w:hAnsi="宋体" w:eastAsia="宋体"/>
                <w:b w:val="0"/>
                <w:bCs w:val="0"/>
                <w:sz w:val="24"/>
                <w:highlight w:val="none"/>
              </w:rPr>
            </w:pPr>
            <w:r>
              <w:rPr>
                <w:rFonts w:hint="eastAsia" w:ascii="宋体" w:hAnsi="宋体" w:eastAsia="宋体"/>
                <w:b w:val="0"/>
                <w:bCs w:val="0"/>
                <w:sz w:val="24"/>
                <w:szCs w:val="24"/>
                <w:highlight w:val="none"/>
              </w:rPr>
              <w:t>☑</w:t>
            </w:r>
            <w:r>
              <w:rPr>
                <w:rFonts w:hint="eastAsia" w:ascii="宋体" w:hAnsi="宋体" w:eastAsia="宋体"/>
                <w:b w:val="0"/>
                <w:bCs w:val="0"/>
                <w:sz w:val="24"/>
                <w:highlight w:val="none"/>
              </w:rPr>
              <w:t>采购人审查</w:t>
            </w:r>
          </w:p>
          <w:p w14:paraId="5A9246CF">
            <w:pPr>
              <w:pStyle w:val="47"/>
              <w:widowControl w:val="0"/>
              <w:spacing w:before="0" w:beforeAutospacing="0" w:after="0" w:afterAutospacing="0" w:line="360" w:lineRule="auto"/>
              <w:jc w:val="both"/>
              <w:rPr>
                <w:rFonts w:ascii="宋体" w:hAnsi="宋体" w:eastAsia="宋体"/>
                <w:b w:val="0"/>
                <w:sz w:val="24"/>
                <w:highlight w:val="none"/>
                <w:u w:val="single"/>
              </w:rPr>
            </w:pPr>
            <w:r>
              <w:rPr>
                <w:rFonts w:hint="eastAsia" w:ascii="宋体" w:hAnsi="宋体" w:eastAsia="宋体"/>
                <w:b w:val="0"/>
                <w:bCs w:val="0"/>
                <w:sz w:val="24"/>
                <w:szCs w:val="24"/>
                <w:highlight w:val="none"/>
              </w:rPr>
              <w:t>□</w:t>
            </w:r>
            <w:r>
              <w:rPr>
                <w:rFonts w:hint="eastAsia" w:ascii="宋体" w:hAnsi="宋体" w:eastAsia="宋体"/>
                <w:b w:val="0"/>
                <w:bCs w:val="0"/>
                <w:sz w:val="24"/>
                <w:highlight w:val="none"/>
              </w:rPr>
              <w:t>采购人出具委托函委托采购代理机构进行审查</w:t>
            </w:r>
          </w:p>
        </w:tc>
      </w:tr>
      <w:tr w14:paraId="353EB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vAlign w:val="center"/>
          </w:tcPr>
          <w:p w14:paraId="41FBC142">
            <w:pPr>
              <w:pStyle w:val="4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17</w:t>
            </w:r>
            <w:r>
              <w:rPr>
                <w:rFonts w:ascii="宋体" w:hAnsi="宋体" w:eastAsia="宋体"/>
                <w:bCs/>
                <w:kern w:val="2"/>
                <w:highlight w:val="none"/>
              </w:rPr>
              <w:t>.2</w:t>
            </w:r>
          </w:p>
        </w:tc>
        <w:tc>
          <w:tcPr>
            <w:tcW w:w="2032" w:type="dxa"/>
            <w:vAlign w:val="center"/>
          </w:tcPr>
          <w:p w14:paraId="2F79B967">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评标方法</w:t>
            </w:r>
          </w:p>
        </w:tc>
        <w:tc>
          <w:tcPr>
            <w:tcW w:w="5940" w:type="dxa"/>
            <w:vAlign w:val="center"/>
          </w:tcPr>
          <w:p w14:paraId="760A1979">
            <w:pPr>
              <w:pStyle w:val="47"/>
              <w:widowControl w:val="0"/>
              <w:spacing w:before="0" w:beforeAutospacing="0" w:after="0" w:afterAutospacing="0" w:line="360" w:lineRule="auto"/>
              <w:jc w:val="both"/>
              <w:rPr>
                <w:rFonts w:ascii="宋体" w:hAnsi="宋体" w:eastAsia="宋体"/>
                <w:b w:val="0"/>
                <w:sz w:val="24"/>
                <w:highlight w:val="none"/>
              </w:rPr>
            </w:pPr>
            <w:r>
              <w:rPr>
                <w:rFonts w:ascii="宋体" w:hAnsi="宋体" w:eastAsia="宋体"/>
                <w:b w:val="0"/>
                <w:bCs w:val="0"/>
                <w:sz w:val="24"/>
                <w:szCs w:val="24"/>
                <w:highlight w:val="none"/>
              </w:rPr>
              <w:t>□</w:t>
            </w:r>
            <w:r>
              <w:rPr>
                <w:rFonts w:hint="eastAsia" w:ascii="宋体" w:hAnsi="宋体" w:eastAsia="宋体"/>
                <w:b w:val="0"/>
                <w:sz w:val="24"/>
                <w:highlight w:val="none"/>
              </w:rPr>
              <w:t>最低评标价法</w:t>
            </w:r>
          </w:p>
          <w:p w14:paraId="497CA2B1">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bCs w:val="0"/>
                <w:sz w:val="24"/>
                <w:szCs w:val="24"/>
                <w:highlight w:val="none"/>
              </w:rPr>
              <w:t>☑</w:t>
            </w:r>
            <w:r>
              <w:rPr>
                <w:rFonts w:hint="eastAsia" w:ascii="宋体" w:hAnsi="宋体" w:eastAsia="宋体"/>
                <w:b w:val="0"/>
                <w:sz w:val="24"/>
                <w:highlight w:val="none"/>
              </w:rPr>
              <w:t>综合评分法</w:t>
            </w:r>
          </w:p>
        </w:tc>
      </w:tr>
      <w:tr w14:paraId="41A1C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vAlign w:val="center"/>
          </w:tcPr>
          <w:p w14:paraId="0BF440B8">
            <w:pPr>
              <w:pStyle w:val="4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17</w:t>
            </w:r>
            <w:r>
              <w:rPr>
                <w:rFonts w:ascii="宋体" w:hAnsi="宋体" w:eastAsia="宋体"/>
                <w:bCs/>
                <w:kern w:val="2"/>
                <w:highlight w:val="none"/>
              </w:rPr>
              <w:t>.3</w:t>
            </w:r>
          </w:p>
        </w:tc>
        <w:tc>
          <w:tcPr>
            <w:tcW w:w="2032" w:type="dxa"/>
            <w:vAlign w:val="center"/>
          </w:tcPr>
          <w:p w14:paraId="65A61F03">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报价扣除</w:t>
            </w:r>
          </w:p>
          <w:p w14:paraId="73C9000A">
            <w:pPr>
              <w:pStyle w:val="47"/>
              <w:widowControl w:val="0"/>
              <w:spacing w:before="0" w:beforeAutospacing="0" w:after="0" w:afterAutospacing="0" w:line="360" w:lineRule="auto"/>
              <w:jc w:val="both"/>
              <w:rPr>
                <w:rFonts w:ascii="宋体" w:hAnsi="宋体" w:eastAsia="宋体"/>
                <w:b w:val="0"/>
                <w:i/>
                <w:sz w:val="24"/>
                <w:highlight w:val="none"/>
              </w:rPr>
            </w:pPr>
            <w:r>
              <w:rPr>
                <w:rFonts w:hint="eastAsia" w:ascii="宋体" w:hAnsi="宋体" w:eastAsia="宋体"/>
                <w:b w:val="0"/>
                <w:i/>
                <w:sz w:val="24"/>
                <w:highlight w:val="none"/>
              </w:rPr>
              <w:t>（非专门面向中小企业采购项目适用）</w:t>
            </w:r>
          </w:p>
        </w:tc>
        <w:tc>
          <w:tcPr>
            <w:tcW w:w="5940" w:type="dxa"/>
            <w:vAlign w:val="center"/>
          </w:tcPr>
          <w:p w14:paraId="0154E9C6">
            <w:pPr>
              <w:pStyle w:val="47"/>
              <w:widowControl w:val="0"/>
              <w:spacing w:before="0" w:beforeAutospacing="0" w:after="0" w:afterAutospacing="0" w:line="360" w:lineRule="auto"/>
              <w:jc w:val="both"/>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（1）</w:t>
            </w:r>
            <w:r>
              <w:rPr>
                <w:rFonts w:ascii="宋体" w:hAnsi="宋体" w:eastAsia="宋体"/>
                <w:b w:val="0"/>
                <w:color w:val="000000" w:themeColor="text1"/>
                <w:sz w:val="24"/>
                <w:highlight w:val="none"/>
                <w14:textFill>
                  <w14:solidFill>
                    <w14:schemeClr w14:val="tx1"/>
                  </w14:solidFill>
                </w14:textFill>
              </w:rPr>
              <w:t>小型和微型</w:t>
            </w:r>
            <w:r>
              <w:rPr>
                <w:rFonts w:hint="eastAsia" w:ascii="宋体" w:hAnsi="宋体" w:eastAsia="宋体"/>
                <w:b w:val="0"/>
                <w:color w:val="000000" w:themeColor="text1"/>
                <w:sz w:val="24"/>
                <w:highlight w:val="none"/>
                <w14:textFill>
                  <w14:solidFill>
                    <w14:schemeClr w14:val="tx1"/>
                  </w14:solidFill>
                </w14:textFill>
              </w:rPr>
              <w:t>企业价格扣除：</w:t>
            </w:r>
            <w:r>
              <w:rPr>
                <w:rFonts w:hint="eastAsia" w:ascii="宋体" w:hAnsi="宋体" w:eastAsia="宋体"/>
                <w:b w:val="0"/>
                <w:color w:val="000000" w:themeColor="text1"/>
                <w:sz w:val="24"/>
                <w:highlight w:val="none"/>
                <w:u w:val="single"/>
                <w14:textFill>
                  <w14:solidFill>
                    <w14:schemeClr w14:val="tx1"/>
                  </w14:solidFill>
                </w14:textFill>
              </w:rPr>
              <w:t xml:space="preserve">  10%  </w:t>
            </w:r>
            <w:r>
              <w:rPr>
                <w:rFonts w:hint="eastAsia" w:ascii="宋体" w:hAnsi="宋体" w:eastAsia="宋体"/>
                <w:b w:val="0"/>
                <w:color w:val="000000" w:themeColor="text1"/>
                <w:sz w:val="24"/>
                <w:highlight w:val="none"/>
                <w14:textFill>
                  <w14:solidFill>
                    <w14:schemeClr w14:val="tx1"/>
                  </w14:solidFill>
                </w14:textFill>
              </w:rPr>
              <w:t>。</w:t>
            </w:r>
          </w:p>
          <w:p w14:paraId="00BD25E0">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（2）监狱企业价格扣除：同</w:t>
            </w:r>
            <w:r>
              <w:rPr>
                <w:rFonts w:ascii="宋体" w:hAnsi="宋体" w:eastAsia="宋体"/>
                <w:b w:val="0"/>
                <w:sz w:val="24"/>
                <w:highlight w:val="none"/>
              </w:rPr>
              <w:t>小型和微型企业</w:t>
            </w:r>
            <w:r>
              <w:rPr>
                <w:rFonts w:hint="eastAsia" w:ascii="宋体" w:hAnsi="宋体" w:eastAsia="宋体"/>
                <w:b w:val="0"/>
                <w:sz w:val="24"/>
                <w:highlight w:val="none"/>
              </w:rPr>
              <w:t>。</w:t>
            </w:r>
          </w:p>
          <w:p w14:paraId="687F23F8">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（3）残疾人福利性单位价格扣除：同</w:t>
            </w:r>
            <w:r>
              <w:rPr>
                <w:rFonts w:ascii="宋体" w:hAnsi="宋体" w:eastAsia="宋体"/>
                <w:b w:val="0"/>
                <w:sz w:val="24"/>
                <w:highlight w:val="none"/>
              </w:rPr>
              <w:t>小型和微型企业</w:t>
            </w:r>
            <w:r>
              <w:rPr>
                <w:rFonts w:hint="eastAsia" w:ascii="宋体" w:hAnsi="宋体" w:eastAsia="宋体"/>
                <w:b w:val="0"/>
                <w:sz w:val="24"/>
                <w:highlight w:val="none"/>
              </w:rPr>
              <w:t>。</w:t>
            </w:r>
          </w:p>
          <w:p w14:paraId="1DE7651D">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（4）符合条件的联合体价格扣除：</w:t>
            </w:r>
            <w:r>
              <w:rPr>
                <w:rFonts w:hint="eastAsia" w:ascii="宋体" w:hAnsi="宋体" w:eastAsia="宋体"/>
                <w:b w:val="0"/>
                <w:sz w:val="24"/>
                <w:highlight w:val="none"/>
                <w:u w:val="single"/>
              </w:rPr>
              <w:t xml:space="preserve">    /    </w:t>
            </w:r>
            <w:r>
              <w:rPr>
                <w:rFonts w:hint="eastAsia" w:ascii="宋体" w:hAnsi="宋体" w:eastAsia="宋体"/>
                <w:b w:val="0"/>
                <w:sz w:val="24"/>
                <w:highlight w:val="none"/>
              </w:rPr>
              <w:t>。</w:t>
            </w:r>
          </w:p>
          <w:p w14:paraId="6CABADC0">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（5）符合条件的向小微企业分包的大中型企业价格扣除：</w:t>
            </w:r>
            <w:r>
              <w:rPr>
                <w:rFonts w:hint="eastAsia" w:ascii="宋体" w:hAnsi="宋体" w:eastAsia="宋体"/>
                <w:b w:val="0"/>
                <w:sz w:val="24"/>
                <w:highlight w:val="none"/>
                <w:u w:val="single"/>
              </w:rPr>
              <w:t xml:space="preserve">   /     </w:t>
            </w:r>
            <w:r>
              <w:rPr>
                <w:rFonts w:hint="eastAsia" w:ascii="宋体" w:hAnsi="宋体" w:eastAsia="宋体"/>
                <w:b w:val="0"/>
                <w:sz w:val="24"/>
                <w:highlight w:val="none"/>
              </w:rPr>
              <w:t>。</w:t>
            </w:r>
            <w:r>
              <w:rPr>
                <w:rFonts w:hint="eastAsia" w:ascii="宋体" w:hAnsi="宋体" w:eastAsia="宋体"/>
                <w:b w:val="0"/>
                <w:i/>
                <w:sz w:val="24"/>
                <w:highlight w:val="none"/>
              </w:rPr>
              <w:t>（允许大中型企业向小微企业分包的项目适用）</w:t>
            </w:r>
          </w:p>
        </w:tc>
      </w:tr>
      <w:tr w14:paraId="4966D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vAlign w:val="center"/>
          </w:tcPr>
          <w:p w14:paraId="1279DBEC">
            <w:pPr>
              <w:pStyle w:val="4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21</w:t>
            </w:r>
            <w:r>
              <w:rPr>
                <w:rFonts w:ascii="宋体" w:hAnsi="宋体" w:eastAsia="宋体"/>
                <w:bCs/>
                <w:kern w:val="2"/>
                <w:highlight w:val="none"/>
              </w:rPr>
              <w:t>.</w:t>
            </w:r>
            <w:r>
              <w:rPr>
                <w:rFonts w:hint="eastAsia" w:ascii="宋体" w:hAnsi="宋体" w:eastAsia="宋体"/>
                <w:bCs/>
                <w:kern w:val="2"/>
                <w:highlight w:val="none"/>
              </w:rPr>
              <w:t>1</w:t>
            </w:r>
          </w:p>
        </w:tc>
        <w:tc>
          <w:tcPr>
            <w:tcW w:w="2032" w:type="dxa"/>
            <w:vAlign w:val="center"/>
          </w:tcPr>
          <w:p w14:paraId="076B31FA">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评标委员会推荐</w:t>
            </w:r>
            <w:r>
              <w:rPr>
                <w:rFonts w:ascii="宋体" w:hAnsi="宋体" w:eastAsia="宋体"/>
                <w:b w:val="0"/>
                <w:sz w:val="24"/>
                <w:highlight w:val="none"/>
              </w:rPr>
              <w:t>中标候选</w:t>
            </w:r>
            <w:r>
              <w:rPr>
                <w:rFonts w:hint="eastAsia" w:ascii="宋体" w:hAnsi="宋体" w:eastAsia="宋体"/>
                <w:b w:val="0"/>
                <w:sz w:val="24"/>
                <w:highlight w:val="none"/>
              </w:rPr>
              <w:t>人的</w:t>
            </w:r>
            <w:r>
              <w:rPr>
                <w:rFonts w:ascii="宋体" w:hAnsi="宋体" w:eastAsia="宋体"/>
                <w:b w:val="0"/>
                <w:sz w:val="24"/>
                <w:highlight w:val="none"/>
              </w:rPr>
              <w:t>数量</w:t>
            </w:r>
          </w:p>
        </w:tc>
        <w:tc>
          <w:tcPr>
            <w:tcW w:w="5940" w:type="dxa"/>
            <w:vAlign w:val="center"/>
          </w:tcPr>
          <w:p w14:paraId="09CBD012">
            <w:pPr>
              <w:pStyle w:val="47"/>
              <w:widowControl w:val="0"/>
              <w:spacing w:before="0" w:beforeAutospacing="0" w:after="0" w:afterAutospacing="0" w:line="360" w:lineRule="auto"/>
              <w:jc w:val="both"/>
              <w:rPr>
                <w:rFonts w:ascii="宋体" w:hAnsi="宋体" w:eastAsia="宋体"/>
                <w:b w:val="0"/>
                <w:sz w:val="24"/>
                <w:highlight w:val="none"/>
                <w:u w:val="single"/>
              </w:rPr>
            </w:pPr>
            <w:r>
              <w:rPr>
                <w:rFonts w:hint="eastAsia" w:ascii="宋体" w:hAnsi="宋体" w:eastAsia="宋体"/>
                <w:b w:val="0"/>
                <w:sz w:val="24"/>
                <w:highlight w:val="none"/>
                <w:u w:val="single"/>
              </w:rPr>
              <w:t xml:space="preserve">   3 家   </w:t>
            </w:r>
          </w:p>
        </w:tc>
      </w:tr>
      <w:tr w14:paraId="6A3FC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vAlign w:val="center"/>
          </w:tcPr>
          <w:p w14:paraId="15A343B2">
            <w:pPr>
              <w:pStyle w:val="4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21</w:t>
            </w:r>
            <w:r>
              <w:rPr>
                <w:rFonts w:ascii="宋体" w:hAnsi="宋体" w:eastAsia="宋体"/>
                <w:bCs/>
                <w:kern w:val="2"/>
                <w:highlight w:val="none"/>
              </w:rPr>
              <w:t>.</w:t>
            </w:r>
            <w:r>
              <w:rPr>
                <w:rFonts w:hint="eastAsia" w:ascii="宋体" w:hAnsi="宋体" w:eastAsia="宋体"/>
                <w:bCs/>
                <w:kern w:val="2"/>
                <w:highlight w:val="none"/>
              </w:rPr>
              <w:t>2</w:t>
            </w:r>
          </w:p>
        </w:tc>
        <w:tc>
          <w:tcPr>
            <w:tcW w:w="2032" w:type="dxa"/>
            <w:vAlign w:val="center"/>
          </w:tcPr>
          <w:p w14:paraId="2C2B465B">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确定中标人</w:t>
            </w:r>
          </w:p>
        </w:tc>
        <w:tc>
          <w:tcPr>
            <w:tcW w:w="5940" w:type="dxa"/>
            <w:vAlign w:val="center"/>
          </w:tcPr>
          <w:p w14:paraId="0BB9AEA6">
            <w:pPr>
              <w:spacing w:line="360" w:lineRule="auto"/>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sym w:font="Wingdings" w:char="00FE"/>
            </w:r>
            <w:r>
              <w:rPr>
                <w:rFonts w:hint="eastAsia" w:asciiTheme="minorEastAsia" w:hAnsiTheme="minorEastAsia" w:eastAsiaTheme="minorEastAsia"/>
                <w:kern w:val="0"/>
                <w:sz w:val="24"/>
                <w:szCs w:val="24"/>
                <w:highlight w:val="none"/>
              </w:rPr>
              <w:t>采购人委托评标委员会确定</w:t>
            </w:r>
          </w:p>
          <w:p w14:paraId="6C082A1B">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Theme="minorEastAsia" w:hAnsiTheme="minorEastAsia" w:eastAsiaTheme="minorEastAsia"/>
                <w:b w:val="0"/>
                <w:bCs w:val="0"/>
                <w:kern w:val="2"/>
                <w:sz w:val="24"/>
                <w:szCs w:val="24"/>
                <w:highlight w:val="none"/>
              </w:rPr>
              <w:t>□采购人确定</w:t>
            </w:r>
          </w:p>
        </w:tc>
      </w:tr>
      <w:tr w14:paraId="2F76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vAlign w:val="center"/>
          </w:tcPr>
          <w:p w14:paraId="377814FD">
            <w:pPr>
              <w:pStyle w:val="4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ascii="宋体" w:hAnsi="宋体" w:eastAsia="宋体"/>
                <w:bCs/>
                <w:kern w:val="2"/>
                <w:highlight w:val="none"/>
              </w:rPr>
              <w:t>2</w:t>
            </w:r>
            <w:r>
              <w:rPr>
                <w:rFonts w:hint="eastAsia" w:ascii="宋体" w:hAnsi="宋体" w:eastAsia="宋体"/>
                <w:bCs/>
                <w:kern w:val="2"/>
                <w:highlight w:val="none"/>
              </w:rPr>
              <w:t>3</w:t>
            </w:r>
            <w:r>
              <w:rPr>
                <w:rFonts w:ascii="宋体" w:hAnsi="宋体" w:eastAsia="宋体"/>
                <w:bCs/>
                <w:kern w:val="2"/>
                <w:highlight w:val="none"/>
              </w:rPr>
              <w:t>.3</w:t>
            </w:r>
          </w:p>
        </w:tc>
        <w:tc>
          <w:tcPr>
            <w:tcW w:w="2032" w:type="dxa"/>
            <w:vAlign w:val="center"/>
          </w:tcPr>
          <w:p w14:paraId="5D3AEF13">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随中标结果公告同时公告的内容</w:t>
            </w:r>
          </w:p>
        </w:tc>
        <w:tc>
          <w:tcPr>
            <w:tcW w:w="5940" w:type="dxa"/>
            <w:vAlign w:val="center"/>
          </w:tcPr>
          <w:p w14:paraId="7979A5F7">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（1）中小企业声明函；</w:t>
            </w:r>
            <w:r>
              <w:rPr>
                <w:rFonts w:hint="eastAsia" w:ascii="宋体" w:hAnsi="宋体" w:eastAsia="宋体"/>
                <w:b w:val="0"/>
                <w:i/>
                <w:iCs/>
                <w:sz w:val="24"/>
                <w:highlight w:val="none"/>
              </w:rPr>
              <w:t>（如有）</w:t>
            </w:r>
          </w:p>
          <w:p w14:paraId="73E12DF3">
            <w:pPr>
              <w:pStyle w:val="47"/>
              <w:widowControl w:val="0"/>
              <w:spacing w:before="0" w:beforeAutospacing="0" w:after="0" w:afterAutospacing="0" w:line="360" w:lineRule="auto"/>
              <w:jc w:val="both"/>
              <w:rPr>
                <w:rFonts w:ascii="宋体" w:hAnsi="宋体" w:eastAsia="宋体"/>
                <w:b w:val="0"/>
                <w:i/>
                <w:sz w:val="24"/>
                <w:highlight w:val="none"/>
              </w:rPr>
            </w:pPr>
            <w:r>
              <w:rPr>
                <w:rFonts w:hint="eastAsia" w:ascii="宋体" w:hAnsi="宋体" w:eastAsia="宋体"/>
                <w:b w:val="0"/>
                <w:sz w:val="24"/>
                <w:highlight w:val="none"/>
              </w:rPr>
              <w:t>（2）残疾人福利性单位声明函；</w:t>
            </w:r>
            <w:r>
              <w:rPr>
                <w:rFonts w:hint="eastAsia" w:ascii="宋体" w:hAnsi="宋体" w:eastAsia="宋体"/>
                <w:b w:val="0"/>
                <w:i/>
                <w:iCs/>
                <w:sz w:val="24"/>
                <w:highlight w:val="none"/>
              </w:rPr>
              <w:t>（如有）</w:t>
            </w:r>
          </w:p>
          <w:p w14:paraId="05927102">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（3）因落实政府采购政策等原因进行价格扣除后中标（成交）供应商的评审报价</w:t>
            </w:r>
            <w:r>
              <w:rPr>
                <w:rFonts w:hint="eastAsia" w:ascii="宋体" w:hAnsi="宋体" w:eastAsia="宋体"/>
                <w:b w:val="0"/>
                <w:i/>
                <w:iCs/>
                <w:sz w:val="24"/>
                <w:highlight w:val="none"/>
              </w:rPr>
              <w:t>（适用最低评标价法）</w:t>
            </w:r>
          </w:p>
          <w:p w14:paraId="5A8CC8F7">
            <w:pPr>
              <w:pStyle w:val="47"/>
              <w:widowControl w:val="0"/>
              <w:spacing w:before="0" w:beforeAutospacing="0" w:after="0" w:afterAutospacing="0" w:line="360" w:lineRule="auto"/>
              <w:jc w:val="both"/>
              <w:rPr>
                <w:rFonts w:ascii="宋体" w:hAnsi="宋体" w:eastAsia="宋体"/>
                <w:b w:val="0"/>
                <w:bCs w:val="0"/>
                <w:sz w:val="24"/>
                <w:szCs w:val="24"/>
                <w:highlight w:val="none"/>
              </w:rPr>
            </w:pPr>
            <w:r>
              <w:rPr>
                <w:rFonts w:hint="eastAsia" w:ascii="宋体" w:hAnsi="宋体" w:eastAsia="宋体"/>
                <w:b w:val="0"/>
                <w:sz w:val="24"/>
                <w:highlight w:val="none"/>
              </w:rPr>
              <w:t>（4）中标（成交）供应商的评审总得分</w:t>
            </w:r>
            <w:r>
              <w:rPr>
                <w:rFonts w:hint="eastAsia" w:ascii="宋体" w:hAnsi="宋体" w:eastAsia="宋体"/>
                <w:b w:val="0"/>
                <w:i/>
                <w:iCs/>
                <w:sz w:val="24"/>
                <w:highlight w:val="none"/>
              </w:rPr>
              <w:t>（适用综合评分法）</w:t>
            </w:r>
          </w:p>
        </w:tc>
      </w:tr>
      <w:tr w14:paraId="45EEC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vAlign w:val="center"/>
          </w:tcPr>
          <w:p w14:paraId="0113543D">
            <w:pPr>
              <w:pStyle w:val="4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24</w:t>
            </w:r>
            <w:r>
              <w:rPr>
                <w:rFonts w:ascii="宋体" w:hAnsi="宋体" w:eastAsia="宋体"/>
                <w:bCs/>
                <w:kern w:val="2"/>
                <w:highlight w:val="none"/>
              </w:rPr>
              <w:t>.1</w:t>
            </w:r>
          </w:p>
        </w:tc>
        <w:tc>
          <w:tcPr>
            <w:tcW w:w="2032" w:type="dxa"/>
            <w:vAlign w:val="center"/>
          </w:tcPr>
          <w:p w14:paraId="039A1E2D">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中标通知书发出的形式</w:t>
            </w:r>
          </w:p>
        </w:tc>
        <w:tc>
          <w:tcPr>
            <w:tcW w:w="5940" w:type="dxa"/>
            <w:vAlign w:val="center"/>
          </w:tcPr>
          <w:p w14:paraId="5A6C7350">
            <w:pPr>
              <w:pStyle w:val="47"/>
              <w:widowControl w:val="0"/>
              <w:spacing w:before="0" w:beforeAutospacing="0" w:after="0" w:afterAutospacing="0" w:line="360" w:lineRule="auto"/>
              <w:jc w:val="both"/>
              <w:rPr>
                <w:rFonts w:ascii="宋体" w:hAnsi="宋体" w:eastAsia="宋体"/>
                <w:b w:val="0"/>
                <w:bCs w:val="0"/>
                <w:sz w:val="24"/>
                <w:szCs w:val="24"/>
                <w:highlight w:val="none"/>
              </w:rPr>
            </w:pPr>
            <w:r>
              <w:rPr>
                <w:rFonts w:hint="eastAsia" w:ascii="宋体" w:hAnsi="宋体" w:eastAsia="宋体"/>
                <w:b w:val="0"/>
                <w:bCs w:val="0"/>
                <w:sz w:val="24"/>
                <w:szCs w:val="24"/>
                <w:highlight w:val="none"/>
              </w:rPr>
              <w:t xml:space="preserve">□书面 </w:t>
            </w:r>
            <w:r>
              <w:rPr>
                <w:rFonts w:ascii="宋体" w:hAnsi="宋体" w:eastAsia="宋体"/>
                <w:b w:val="0"/>
                <w:bCs w:val="0"/>
                <w:sz w:val="24"/>
                <w:szCs w:val="24"/>
                <w:highlight w:val="none"/>
              </w:rPr>
              <w:t xml:space="preserve">    </w:t>
            </w:r>
            <w:r>
              <w:rPr>
                <w:rFonts w:hint="eastAsia" w:ascii="宋体" w:hAnsi="宋体" w:eastAsia="宋体"/>
                <w:b w:val="0"/>
                <w:bCs w:val="0"/>
                <w:sz w:val="24"/>
                <w:szCs w:val="24"/>
                <w:highlight w:val="none"/>
              </w:rPr>
              <w:sym w:font="Wingdings" w:char="00FE"/>
            </w:r>
            <w:r>
              <w:rPr>
                <w:rFonts w:hint="eastAsia" w:ascii="宋体" w:hAnsi="宋体" w:eastAsia="宋体"/>
                <w:b w:val="0"/>
                <w:bCs w:val="0"/>
                <w:sz w:val="24"/>
                <w:szCs w:val="24"/>
                <w:highlight w:val="none"/>
              </w:rPr>
              <w:t>数据电文</w:t>
            </w:r>
          </w:p>
        </w:tc>
      </w:tr>
      <w:tr w14:paraId="67CB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vAlign w:val="center"/>
          </w:tcPr>
          <w:p w14:paraId="1E0E18DB">
            <w:pPr>
              <w:pStyle w:val="4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25</w:t>
            </w:r>
            <w:r>
              <w:rPr>
                <w:rFonts w:ascii="宋体" w:hAnsi="宋体" w:eastAsia="宋体"/>
                <w:bCs/>
                <w:kern w:val="2"/>
                <w:highlight w:val="none"/>
              </w:rPr>
              <w:t>.1</w:t>
            </w:r>
          </w:p>
        </w:tc>
        <w:tc>
          <w:tcPr>
            <w:tcW w:w="2032" w:type="dxa"/>
            <w:vAlign w:val="center"/>
          </w:tcPr>
          <w:p w14:paraId="6F635479">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告知招标结果的形式</w:t>
            </w:r>
          </w:p>
        </w:tc>
        <w:tc>
          <w:tcPr>
            <w:tcW w:w="5940" w:type="dxa"/>
            <w:vAlign w:val="center"/>
          </w:tcPr>
          <w:p w14:paraId="6BCFF5FC">
            <w:pPr>
              <w:spacing w:line="360" w:lineRule="auto"/>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sym w:font="Wingdings" w:char="00FE"/>
            </w:r>
            <w:r>
              <w:rPr>
                <w:rFonts w:hint="eastAsia" w:asciiTheme="minorEastAsia" w:hAnsiTheme="minorEastAsia" w:eastAsiaTheme="minorEastAsia"/>
                <w:kern w:val="0"/>
                <w:sz w:val="24"/>
                <w:szCs w:val="24"/>
                <w:highlight w:val="none"/>
              </w:rPr>
              <w:t>投标人自行登录电子</w:t>
            </w:r>
            <w:r>
              <w:rPr>
                <w:rFonts w:hint="eastAsia" w:ascii="宋体" w:hAnsi="宋体" w:eastAsia="宋体" w:cs="宋体"/>
                <w:sz w:val="24"/>
                <w:szCs w:val="24"/>
                <w:highlight w:val="none"/>
              </w:rPr>
              <w:t>交易</w:t>
            </w:r>
            <w:r>
              <w:rPr>
                <w:rFonts w:hint="eastAsia" w:asciiTheme="minorEastAsia" w:hAnsiTheme="minorEastAsia" w:eastAsiaTheme="minorEastAsia"/>
                <w:kern w:val="0"/>
                <w:sz w:val="24"/>
                <w:szCs w:val="24"/>
                <w:highlight w:val="none"/>
              </w:rPr>
              <w:t>系统查看</w:t>
            </w:r>
          </w:p>
          <w:p w14:paraId="4ECD69E6">
            <w:pPr>
              <w:pStyle w:val="47"/>
              <w:widowControl w:val="0"/>
              <w:spacing w:before="0" w:beforeAutospacing="0" w:after="0" w:afterAutospacing="0" w:line="360" w:lineRule="auto"/>
              <w:jc w:val="both"/>
              <w:rPr>
                <w:rFonts w:asciiTheme="minorEastAsia" w:hAnsiTheme="minorEastAsia" w:eastAsiaTheme="minorEastAsia"/>
                <w:b w:val="0"/>
                <w:bCs w:val="0"/>
                <w:kern w:val="2"/>
                <w:sz w:val="24"/>
                <w:szCs w:val="24"/>
                <w:highlight w:val="none"/>
              </w:rPr>
            </w:pPr>
            <w:r>
              <w:rPr>
                <w:rFonts w:hint="eastAsia" w:asciiTheme="minorEastAsia" w:hAnsiTheme="minorEastAsia" w:eastAsiaTheme="minorEastAsia"/>
                <w:b w:val="0"/>
                <w:bCs w:val="0"/>
                <w:kern w:val="2"/>
                <w:sz w:val="24"/>
                <w:szCs w:val="24"/>
                <w:highlight w:val="none"/>
              </w:rPr>
              <w:t>□评标现场告知</w:t>
            </w:r>
          </w:p>
        </w:tc>
      </w:tr>
      <w:tr w14:paraId="274B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05" w:type="dxa"/>
            <w:vAlign w:val="center"/>
          </w:tcPr>
          <w:p w14:paraId="29A22346">
            <w:pPr>
              <w:pStyle w:val="4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26</w:t>
            </w:r>
            <w:r>
              <w:rPr>
                <w:rFonts w:ascii="宋体" w:hAnsi="宋体" w:eastAsia="宋体"/>
                <w:bCs/>
                <w:kern w:val="2"/>
                <w:highlight w:val="none"/>
              </w:rPr>
              <w:t>.1</w:t>
            </w:r>
          </w:p>
        </w:tc>
        <w:tc>
          <w:tcPr>
            <w:tcW w:w="2032" w:type="dxa"/>
            <w:vAlign w:val="center"/>
          </w:tcPr>
          <w:p w14:paraId="38F5FA37">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履约保证金</w:t>
            </w:r>
          </w:p>
        </w:tc>
        <w:tc>
          <w:tcPr>
            <w:tcW w:w="5940" w:type="dxa"/>
          </w:tcPr>
          <w:p w14:paraId="73C320FC">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（1）金额：</w:t>
            </w:r>
          </w:p>
          <w:p w14:paraId="308A4DA5">
            <w:pPr>
              <w:spacing w:line="360" w:lineRule="auto"/>
              <w:rPr>
                <w:rFonts w:ascii="宋体" w:hAnsi="宋体" w:eastAsia="宋体"/>
                <w:bCs/>
                <w:kern w:val="0"/>
                <w:sz w:val="24"/>
                <w:szCs w:val="28"/>
                <w:highlight w:val="none"/>
              </w:rPr>
            </w:pPr>
            <w:r>
              <w:rPr>
                <w:rFonts w:ascii="宋体" w:hAnsi="宋体" w:eastAsia="宋体"/>
                <w:bCs/>
                <w:kern w:val="0"/>
                <w:sz w:val="24"/>
                <w:szCs w:val="28"/>
                <w:highlight w:val="none"/>
              </w:rPr>
              <w:t>□</w:t>
            </w:r>
            <w:r>
              <w:rPr>
                <w:rFonts w:hint="eastAsia" w:ascii="宋体" w:hAnsi="宋体" w:eastAsia="宋体"/>
                <w:bCs/>
                <w:kern w:val="0"/>
                <w:sz w:val="24"/>
                <w:szCs w:val="28"/>
                <w:highlight w:val="none"/>
              </w:rPr>
              <w:t>免收</w:t>
            </w:r>
          </w:p>
          <w:p w14:paraId="3B9483E4">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☑合同价的</w:t>
            </w:r>
            <w:r>
              <w:rPr>
                <w:rFonts w:ascii="宋体" w:hAnsi="宋体" w:eastAsia="宋体"/>
                <w:bCs/>
                <w:kern w:val="0"/>
                <w:sz w:val="24"/>
                <w:szCs w:val="28"/>
                <w:highlight w:val="none"/>
                <w:u w:val="single"/>
              </w:rPr>
              <w:t xml:space="preserve">  </w:t>
            </w:r>
            <w:r>
              <w:rPr>
                <w:rFonts w:hint="eastAsia" w:ascii="宋体" w:hAnsi="宋体" w:eastAsia="宋体"/>
                <w:bCs/>
                <w:kern w:val="0"/>
                <w:sz w:val="24"/>
                <w:szCs w:val="28"/>
                <w:highlight w:val="none"/>
                <w:u w:val="single"/>
              </w:rPr>
              <w:t xml:space="preserve">2.5 </w:t>
            </w:r>
            <w:r>
              <w:rPr>
                <w:rFonts w:ascii="宋体" w:hAnsi="宋体" w:eastAsia="宋体"/>
                <w:bCs/>
                <w:kern w:val="0"/>
                <w:sz w:val="24"/>
                <w:szCs w:val="28"/>
                <w:highlight w:val="none"/>
                <w:u w:val="single"/>
              </w:rPr>
              <w:t xml:space="preserve"> </w:t>
            </w:r>
            <w:r>
              <w:rPr>
                <w:rFonts w:ascii="宋体" w:hAnsi="宋体" w:eastAsia="宋体"/>
                <w:bCs/>
                <w:kern w:val="0"/>
                <w:sz w:val="24"/>
                <w:szCs w:val="28"/>
                <w:highlight w:val="none"/>
              </w:rPr>
              <w:t>%</w:t>
            </w:r>
          </w:p>
          <w:p w14:paraId="10FD5608">
            <w:pPr>
              <w:spacing w:line="360" w:lineRule="auto"/>
              <w:rPr>
                <w:rFonts w:ascii="宋体" w:hAnsi="宋体" w:eastAsia="宋体"/>
                <w:bCs/>
                <w:kern w:val="0"/>
                <w:sz w:val="24"/>
                <w:szCs w:val="28"/>
                <w:highlight w:val="none"/>
              </w:rPr>
            </w:pPr>
            <w:r>
              <w:rPr>
                <w:rFonts w:ascii="宋体" w:hAnsi="宋体" w:eastAsia="宋体"/>
                <w:bCs/>
                <w:kern w:val="0"/>
                <w:sz w:val="24"/>
                <w:szCs w:val="28"/>
                <w:highlight w:val="none"/>
              </w:rPr>
              <w:t>□</w:t>
            </w:r>
            <w:r>
              <w:rPr>
                <w:rFonts w:hint="eastAsia" w:ascii="宋体" w:hAnsi="宋体" w:eastAsia="宋体"/>
                <w:bCs/>
                <w:kern w:val="0"/>
                <w:sz w:val="24"/>
                <w:szCs w:val="28"/>
                <w:highlight w:val="none"/>
              </w:rPr>
              <w:t>定额收取：人民币</w:t>
            </w:r>
            <w:r>
              <w:rPr>
                <w:rFonts w:hint="eastAsia" w:ascii="宋体" w:hAnsi="宋体" w:eastAsia="宋体"/>
                <w:bCs/>
                <w:kern w:val="0"/>
                <w:sz w:val="24"/>
                <w:szCs w:val="28"/>
                <w:highlight w:val="none"/>
                <w:u w:val="single"/>
              </w:rPr>
              <w:t xml:space="preserve">              </w:t>
            </w:r>
            <w:r>
              <w:rPr>
                <w:rFonts w:hint="eastAsia" w:ascii="宋体" w:hAnsi="宋体" w:eastAsia="宋体"/>
                <w:bCs/>
                <w:kern w:val="0"/>
                <w:sz w:val="24"/>
                <w:szCs w:val="28"/>
                <w:highlight w:val="none"/>
              </w:rPr>
              <w:t>元</w:t>
            </w:r>
          </w:p>
          <w:p w14:paraId="120B9D03">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（2）支付方式：</w:t>
            </w:r>
          </w:p>
          <w:p w14:paraId="10B03234">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sym w:font="Wingdings" w:char="00FE"/>
            </w:r>
            <w:r>
              <w:rPr>
                <w:rFonts w:ascii="宋体" w:hAnsi="宋体" w:eastAsia="宋体"/>
                <w:bCs/>
                <w:kern w:val="0"/>
                <w:sz w:val="24"/>
                <w:szCs w:val="28"/>
                <w:highlight w:val="none"/>
              </w:rPr>
              <w:t>转账/电汇</w:t>
            </w:r>
            <w:r>
              <w:rPr>
                <w:rFonts w:hint="eastAsia" w:ascii="宋体" w:hAnsi="宋体" w:eastAsia="宋体"/>
                <w:bCs/>
                <w:kern w:val="0"/>
                <w:sz w:val="24"/>
                <w:szCs w:val="28"/>
                <w:highlight w:val="none"/>
              </w:rPr>
              <w:t xml:space="preserve"> </w:t>
            </w:r>
            <w:r>
              <w:rPr>
                <w:rFonts w:hint="eastAsia" w:ascii="宋体" w:hAnsi="宋体" w:eastAsia="宋体"/>
                <w:bCs/>
                <w:kern w:val="0"/>
                <w:sz w:val="24"/>
                <w:szCs w:val="28"/>
                <w:highlight w:val="none"/>
              </w:rPr>
              <w:sym w:font="Wingdings" w:char="00FE"/>
            </w:r>
            <w:r>
              <w:rPr>
                <w:rFonts w:ascii="宋体" w:hAnsi="宋体" w:eastAsia="宋体"/>
                <w:bCs/>
                <w:kern w:val="0"/>
                <w:sz w:val="24"/>
                <w:szCs w:val="28"/>
                <w:highlight w:val="none"/>
              </w:rPr>
              <w:t xml:space="preserve">支票 </w:t>
            </w:r>
            <w:r>
              <w:rPr>
                <w:rFonts w:hint="eastAsia" w:ascii="宋体" w:hAnsi="宋体" w:eastAsia="宋体"/>
                <w:bCs/>
                <w:kern w:val="0"/>
                <w:sz w:val="24"/>
                <w:szCs w:val="28"/>
                <w:highlight w:val="none"/>
              </w:rPr>
              <w:sym w:font="Wingdings" w:char="00FE"/>
            </w:r>
            <w:r>
              <w:rPr>
                <w:rFonts w:ascii="宋体" w:hAnsi="宋体" w:eastAsia="宋体"/>
                <w:bCs/>
                <w:kern w:val="0"/>
                <w:sz w:val="24"/>
                <w:szCs w:val="28"/>
                <w:highlight w:val="none"/>
              </w:rPr>
              <w:t>汇票</w:t>
            </w:r>
            <w:r>
              <w:rPr>
                <w:rFonts w:hint="eastAsia" w:ascii="宋体" w:hAnsi="宋体" w:eastAsia="宋体"/>
                <w:bCs/>
                <w:kern w:val="0"/>
                <w:sz w:val="24"/>
                <w:szCs w:val="28"/>
                <w:highlight w:val="none"/>
              </w:rPr>
              <w:t xml:space="preserve"> </w:t>
            </w:r>
            <w:r>
              <w:rPr>
                <w:rFonts w:hint="eastAsia" w:ascii="宋体" w:hAnsi="宋体" w:eastAsia="宋体"/>
                <w:bCs/>
                <w:kern w:val="0"/>
                <w:sz w:val="24"/>
                <w:szCs w:val="28"/>
                <w:highlight w:val="none"/>
              </w:rPr>
              <w:sym w:font="Wingdings" w:char="00FE"/>
            </w:r>
            <w:r>
              <w:rPr>
                <w:rFonts w:hint="eastAsia" w:ascii="宋体" w:hAnsi="宋体" w:eastAsia="宋体"/>
                <w:bCs/>
                <w:kern w:val="0"/>
                <w:sz w:val="24"/>
                <w:szCs w:val="28"/>
                <w:highlight w:val="none"/>
              </w:rPr>
              <w:t xml:space="preserve">本票 </w:t>
            </w:r>
            <w:r>
              <w:rPr>
                <w:rFonts w:hint="eastAsia" w:ascii="宋体" w:hAnsi="宋体" w:eastAsia="宋体"/>
                <w:bCs/>
                <w:kern w:val="0"/>
                <w:sz w:val="24"/>
                <w:szCs w:val="28"/>
                <w:highlight w:val="none"/>
              </w:rPr>
              <w:sym w:font="Wingdings" w:char="00FE"/>
            </w:r>
            <w:r>
              <w:rPr>
                <w:rFonts w:ascii="宋体" w:hAnsi="宋体" w:eastAsia="宋体"/>
                <w:bCs/>
                <w:kern w:val="0"/>
                <w:sz w:val="24"/>
                <w:szCs w:val="28"/>
                <w:highlight w:val="none"/>
              </w:rPr>
              <w:t>保</w:t>
            </w:r>
            <w:r>
              <w:rPr>
                <w:rFonts w:hint="eastAsia" w:ascii="宋体" w:hAnsi="宋体" w:eastAsia="宋体"/>
                <w:bCs/>
                <w:kern w:val="0"/>
                <w:sz w:val="24"/>
                <w:szCs w:val="28"/>
                <w:highlight w:val="none"/>
              </w:rPr>
              <w:t xml:space="preserve">险 </w:t>
            </w:r>
            <w:r>
              <w:rPr>
                <w:rFonts w:hint="eastAsia" w:ascii="宋体" w:hAnsi="宋体" w:eastAsia="宋体"/>
                <w:bCs/>
                <w:kern w:val="0"/>
                <w:sz w:val="24"/>
                <w:szCs w:val="28"/>
                <w:highlight w:val="none"/>
              </w:rPr>
              <w:sym w:font="Wingdings" w:char="00FE"/>
            </w:r>
            <w:r>
              <w:rPr>
                <w:rFonts w:hint="eastAsia" w:ascii="宋体" w:hAnsi="宋体" w:eastAsia="宋体"/>
                <w:bCs/>
                <w:kern w:val="0"/>
                <w:sz w:val="24"/>
                <w:szCs w:val="28"/>
                <w:highlight w:val="none"/>
              </w:rPr>
              <w:t>保</w:t>
            </w:r>
            <w:r>
              <w:rPr>
                <w:rFonts w:ascii="宋体" w:hAnsi="宋体" w:eastAsia="宋体"/>
                <w:bCs/>
                <w:kern w:val="0"/>
                <w:sz w:val="24"/>
                <w:szCs w:val="28"/>
                <w:highlight w:val="none"/>
              </w:rPr>
              <w:t>函</w:t>
            </w:r>
          </w:p>
          <w:p w14:paraId="0356DE23">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（3）收取单位：</w:t>
            </w:r>
            <w:r>
              <w:rPr>
                <w:rFonts w:hint="eastAsia" w:ascii="宋体" w:hAnsi="宋体" w:eastAsia="宋体"/>
                <w:bCs/>
                <w:kern w:val="0"/>
                <w:sz w:val="24"/>
                <w:szCs w:val="28"/>
                <w:highlight w:val="none"/>
                <w:u w:val="single"/>
              </w:rPr>
              <w:t xml:space="preserve">  蚌埠医学院第二附属医院  </w:t>
            </w:r>
            <w:r>
              <w:rPr>
                <w:rFonts w:hint="eastAsia" w:ascii="宋体" w:hAnsi="宋体" w:eastAsia="宋体"/>
                <w:bCs/>
                <w:kern w:val="0"/>
                <w:sz w:val="24"/>
                <w:szCs w:val="28"/>
                <w:highlight w:val="none"/>
              </w:rPr>
              <w:t xml:space="preserve">              </w:t>
            </w:r>
          </w:p>
          <w:p w14:paraId="7E682986">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（4）收取账号：</w:t>
            </w:r>
            <w:r>
              <w:rPr>
                <w:rFonts w:hint="eastAsia" w:ascii="宋体" w:hAnsi="宋体" w:eastAsia="宋体"/>
                <w:bCs/>
                <w:kern w:val="0"/>
                <w:sz w:val="24"/>
                <w:szCs w:val="28"/>
                <w:highlight w:val="none"/>
                <w:u w:val="single"/>
              </w:rPr>
              <w:t xml:space="preserve">  12190001040015644  </w:t>
            </w:r>
          </w:p>
          <w:p w14:paraId="022EC4C2">
            <w:pPr>
              <w:spacing w:line="360" w:lineRule="auto"/>
              <w:rPr>
                <w:rFonts w:ascii="宋体" w:hAnsi="宋体" w:eastAsia="宋体"/>
                <w:sz w:val="24"/>
                <w:highlight w:val="none"/>
              </w:rPr>
            </w:pPr>
            <w:r>
              <w:rPr>
                <w:rFonts w:hint="eastAsia" w:ascii="宋体" w:hAnsi="宋体" w:eastAsia="宋体"/>
                <w:bCs/>
                <w:kern w:val="0"/>
                <w:sz w:val="24"/>
                <w:szCs w:val="28"/>
                <w:highlight w:val="none"/>
              </w:rPr>
              <w:t>（5）</w:t>
            </w:r>
            <w:r>
              <w:rPr>
                <w:rFonts w:hint="eastAsia" w:ascii="宋体" w:hAnsi="宋体" w:eastAsia="宋体"/>
                <w:sz w:val="24"/>
                <w:highlight w:val="none"/>
              </w:rPr>
              <w:t>退还时间：</w:t>
            </w:r>
            <w:r>
              <w:rPr>
                <w:rFonts w:hint="eastAsia" w:ascii="宋体" w:hAnsi="宋体" w:eastAsia="宋体"/>
                <w:bCs/>
                <w:kern w:val="0"/>
                <w:sz w:val="24"/>
                <w:szCs w:val="28"/>
                <w:highlight w:val="none"/>
                <w:u w:val="single"/>
              </w:rPr>
              <w:t xml:space="preserve">  项目验收合格后退还  </w:t>
            </w:r>
          </w:p>
          <w:p w14:paraId="564A079F">
            <w:pPr>
              <w:spacing w:line="360" w:lineRule="auto"/>
              <w:rPr>
                <w:rFonts w:ascii="宋体" w:hAnsi="宋体" w:eastAsia="宋体"/>
                <w:b/>
                <w:bCs/>
                <w:kern w:val="0"/>
                <w:sz w:val="24"/>
                <w:szCs w:val="24"/>
                <w:highlight w:val="none"/>
              </w:rPr>
            </w:pPr>
            <w:r>
              <w:rPr>
                <w:rFonts w:hint="eastAsia" w:ascii="宋体" w:hAnsi="宋体" w:eastAsia="宋体"/>
                <w:b/>
                <w:bCs/>
                <w:kern w:val="0"/>
                <w:sz w:val="24"/>
                <w:szCs w:val="24"/>
                <w:highlight w:val="none"/>
              </w:rPr>
              <w:t>注意事项：</w:t>
            </w:r>
          </w:p>
          <w:p w14:paraId="07420C9E">
            <w:pPr>
              <w:spacing w:line="360" w:lineRule="auto"/>
              <w:rPr>
                <w:rFonts w:ascii="宋体" w:hAnsi="宋体" w:eastAsia="宋体"/>
                <w:b/>
                <w:bCs/>
                <w:kern w:val="0"/>
                <w:sz w:val="24"/>
                <w:szCs w:val="24"/>
                <w:highlight w:val="none"/>
              </w:rPr>
            </w:pPr>
            <w:r>
              <w:rPr>
                <w:rFonts w:hint="eastAsia" w:ascii="宋体" w:hAnsi="宋体" w:eastAsia="宋体"/>
                <w:b/>
                <w:bCs/>
                <w:kern w:val="0"/>
                <w:sz w:val="24"/>
                <w:szCs w:val="24"/>
                <w:highlight w:val="none"/>
              </w:rPr>
              <w:t>（1）以上各类机构出具的以担保函、保证保险承担责任的方式均须满足无条件见索即付条件。</w:t>
            </w:r>
          </w:p>
          <w:p w14:paraId="4BC37327">
            <w:pPr>
              <w:spacing w:line="360" w:lineRule="auto"/>
              <w:rPr>
                <w:rFonts w:ascii="宋体" w:hAnsi="宋体" w:eastAsia="宋体"/>
                <w:b/>
                <w:bCs/>
                <w:kern w:val="0"/>
                <w:sz w:val="24"/>
                <w:szCs w:val="24"/>
                <w:highlight w:val="none"/>
              </w:rPr>
            </w:pPr>
            <w:r>
              <w:rPr>
                <w:rFonts w:hint="eastAsia" w:ascii="宋体" w:hAnsi="宋体" w:eastAsia="宋体"/>
                <w:b/>
                <w:bCs/>
                <w:kern w:val="0"/>
                <w:sz w:val="24"/>
                <w:szCs w:val="24"/>
                <w:highlight w:val="none"/>
              </w:rPr>
              <w:t>（2）以担保函、保证保险形式缴纳履约保证金的，受益人和收取单位须为采购人。</w:t>
            </w:r>
          </w:p>
        </w:tc>
      </w:tr>
      <w:tr w14:paraId="29377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005" w:type="dxa"/>
            <w:vAlign w:val="center"/>
          </w:tcPr>
          <w:p w14:paraId="5BECD75C">
            <w:pPr>
              <w:pStyle w:val="4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27</w:t>
            </w:r>
            <w:r>
              <w:rPr>
                <w:rFonts w:ascii="宋体" w:hAnsi="宋体" w:eastAsia="宋体"/>
                <w:bCs/>
                <w:kern w:val="2"/>
                <w:highlight w:val="none"/>
              </w:rPr>
              <w:t>.1</w:t>
            </w:r>
          </w:p>
        </w:tc>
        <w:tc>
          <w:tcPr>
            <w:tcW w:w="2032" w:type="dxa"/>
            <w:vAlign w:val="center"/>
          </w:tcPr>
          <w:p w14:paraId="2EEBA098">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签订合同和合同公告时间</w:t>
            </w:r>
          </w:p>
        </w:tc>
        <w:tc>
          <w:tcPr>
            <w:tcW w:w="5940" w:type="dxa"/>
          </w:tcPr>
          <w:p w14:paraId="40B2EAE9">
            <w:pPr>
              <w:pStyle w:val="21"/>
              <w:widowControl/>
              <w:spacing w:before="0" w:beforeAutospacing="0" w:after="0" w:afterAutospacing="0" w:line="360" w:lineRule="auto"/>
              <w:rPr>
                <w:rFonts w:ascii="宋体" w:hAnsi="宋体" w:eastAsia="宋体" w:cs="宋体"/>
                <w:szCs w:val="24"/>
                <w:highlight w:val="none"/>
              </w:rPr>
            </w:pPr>
            <w:r>
              <w:rPr>
                <w:rFonts w:hint="eastAsia" w:ascii="宋体" w:hAnsi="宋体" w:eastAsia="宋体" w:cs="宋体"/>
                <w:szCs w:val="24"/>
                <w:highlight w:val="none"/>
              </w:rPr>
              <w:t>（1）采购人与中标人应当自发出中标通知书之日起7个工作日内签订合同，采购合同签订之日起2个工作日内完成政府采购合同公开。</w:t>
            </w:r>
          </w:p>
          <w:p w14:paraId="199FC11D">
            <w:pPr>
              <w:pStyle w:val="21"/>
              <w:widowControl/>
              <w:spacing w:before="0" w:beforeAutospacing="0" w:after="0" w:afterAutospacing="0" w:line="360" w:lineRule="auto"/>
              <w:rPr>
                <w:rFonts w:ascii="宋体" w:hAnsi="宋体" w:eastAsia="宋体"/>
                <w:b/>
                <w:bCs/>
                <w:szCs w:val="24"/>
                <w:highlight w:val="none"/>
              </w:rPr>
            </w:pPr>
            <w:r>
              <w:rPr>
                <w:rFonts w:hint="eastAsia" w:ascii="宋体" w:hAnsi="宋体" w:eastAsia="宋体" w:cs="宋体"/>
                <w:szCs w:val="24"/>
                <w:highlight w:val="none"/>
              </w:rPr>
              <w:t>（2）采购人与中标人</w:t>
            </w:r>
            <w:r>
              <w:rPr>
                <w:rFonts w:ascii="宋体" w:hAnsi="宋体" w:eastAsia="宋体" w:cs="宋体"/>
                <w:szCs w:val="24"/>
                <w:highlight w:val="none"/>
              </w:rPr>
              <w:t>不得擅自变更合同，依照政府采购法确需变更政府采购合同内容的，采购人应当自合同变更之日起2个工作日内</w:t>
            </w:r>
            <w:r>
              <w:rPr>
                <w:rFonts w:hint="eastAsia" w:ascii="宋体" w:hAnsi="宋体" w:eastAsia="宋体" w:cs="宋体"/>
                <w:szCs w:val="24"/>
                <w:highlight w:val="none"/>
              </w:rPr>
              <w:t>在安徽省政府采购网</w:t>
            </w:r>
            <w:r>
              <w:rPr>
                <w:rFonts w:ascii="宋体" w:hAnsi="宋体" w:eastAsia="宋体" w:cs="宋体"/>
                <w:szCs w:val="24"/>
                <w:highlight w:val="none"/>
              </w:rPr>
              <w:t>发布政府采购合同变更公告</w:t>
            </w:r>
            <w:r>
              <w:rPr>
                <w:rFonts w:hint="eastAsia" w:ascii="宋体" w:hAnsi="宋体" w:eastAsia="宋体" w:cs="宋体"/>
                <w:szCs w:val="24"/>
                <w:highlight w:val="none"/>
              </w:rPr>
              <w:t>，</w:t>
            </w:r>
            <w:r>
              <w:rPr>
                <w:rFonts w:ascii="宋体" w:hAnsi="宋体" w:eastAsia="宋体" w:cs="宋体"/>
                <w:szCs w:val="24"/>
                <w:highlight w:val="none"/>
              </w:rPr>
              <w:t>但涉及国家秘密、商业秘密的信息和其他依法不得公开的信息除外。</w:t>
            </w:r>
          </w:p>
        </w:tc>
      </w:tr>
      <w:tr w14:paraId="118EB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vAlign w:val="center"/>
          </w:tcPr>
          <w:p w14:paraId="222311B4">
            <w:pPr>
              <w:pStyle w:val="4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28</w:t>
            </w:r>
            <w:r>
              <w:rPr>
                <w:rFonts w:ascii="宋体" w:hAnsi="宋体" w:eastAsia="宋体"/>
                <w:bCs/>
                <w:kern w:val="2"/>
                <w:highlight w:val="none"/>
              </w:rPr>
              <w:t>.1</w:t>
            </w:r>
          </w:p>
        </w:tc>
        <w:tc>
          <w:tcPr>
            <w:tcW w:w="2032" w:type="dxa"/>
            <w:vAlign w:val="center"/>
          </w:tcPr>
          <w:p w14:paraId="13AED2E6">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代理费用</w:t>
            </w:r>
          </w:p>
        </w:tc>
        <w:tc>
          <w:tcPr>
            <w:tcW w:w="5940" w:type="dxa"/>
            <w:vAlign w:val="center"/>
          </w:tcPr>
          <w:p w14:paraId="08E8801D">
            <w:pPr>
              <w:spacing w:before="39" w:line="360" w:lineRule="auto"/>
              <w:rPr>
                <w:rFonts w:ascii="宋体" w:hAnsi="宋体" w:eastAsia="宋体" w:cs="宋体"/>
                <w:sz w:val="24"/>
                <w:szCs w:val="24"/>
                <w:highlight w:val="none"/>
              </w:rPr>
            </w:pPr>
            <w:r>
              <w:rPr>
                <w:rFonts w:hint="eastAsia" w:ascii="宋体" w:hAnsi="宋体" w:eastAsia="宋体"/>
                <w:bCs/>
                <w:kern w:val="0"/>
                <w:sz w:val="24"/>
                <w:szCs w:val="28"/>
                <w:highlight w:val="none"/>
              </w:rPr>
              <w:t>（1）</w:t>
            </w:r>
            <w:r>
              <w:rPr>
                <w:rFonts w:ascii="宋体" w:hAnsi="宋体" w:eastAsia="宋体"/>
                <w:bCs/>
                <w:kern w:val="0"/>
                <w:sz w:val="24"/>
                <w:szCs w:val="28"/>
                <w:highlight w:val="none"/>
              </w:rPr>
              <w:t>收费对象</w:t>
            </w:r>
            <w:r>
              <w:rPr>
                <w:rFonts w:ascii="宋体" w:hAnsi="宋体" w:eastAsia="宋体" w:cs="宋体"/>
                <w:spacing w:val="-12"/>
                <w:sz w:val="24"/>
                <w:szCs w:val="24"/>
                <w:highlight w:val="none"/>
              </w:rPr>
              <w:t>：</w:t>
            </w:r>
            <w:r>
              <w:rPr>
                <w:rFonts w:hint="eastAsia" w:ascii="宋体" w:hAnsi="宋体" w:eastAsia="宋体"/>
                <w:bCs/>
                <w:kern w:val="0"/>
                <w:sz w:val="24"/>
                <w:szCs w:val="28"/>
                <w:highlight w:val="none"/>
              </w:rPr>
              <w:sym w:font="Wingdings" w:char="00A8"/>
            </w:r>
            <w:r>
              <w:rPr>
                <w:rFonts w:ascii="宋体" w:hAnsi="宋体" w:eastAsia="宋体" w:cs="宋体"/>
                <w:spacing w:val="14"/>
                <w:sz w:val="24"/>
                <w:szCs w:val="24"/>
                <w:highlight w:val="none"/>
              </w:rPr>
              <w:t>采购人</w:t>
            </w:r>
            <w:r>
              <w:rPr>
                <w:rFonts w:hint="eastAsia" w:ascii="宋体" w:hAnsi="宋体" w:eastAsia="宋体" w:cs="宋体"/>
                <w:spacing w:val="14"/>
                <w:sz w:val="24"/>
                <w:szCs w:val="24"/>
                <w:highlight w:val="none"/>
              </w:rPr>
              <w:t xml:space="preserve">   </w:t>
            </w:r>
            <w:r>
              <w:rPr>
                <w:rFonts w:hint="eastAsia" w:ascii="宋体" w:hAnsi="宋体" w:eastAsia="宋体"/>
                <w:bCs/>
                <w:kern w:val="0"/>
                <w:sz w:val="24"/>
                <w:szCs w:val="28"/>
                <w:highlight w:val="none"/>
              </w:rPr>
              <w:sym w:font="Wingdings" w:char="00FE"/>
            </w:r>
            <w:r>
              <w:rPr>
                <w:rFonts w:ascii="宋体" w:hAnsi="宋体" w:eastAsia="宋体" w:cs="宋体"/>
                <w:spacing w:val="14"/>
                <w:sz w:val="24"/>
                <w:szCs w:val="24"/>
                <w:highlight w:val="none"/>
              </w:rPr>
              <w:t>中标人</w:t>
            </w:r>
          </w:p>
          <w:p w14:paraId="3ABE023D">
            <w:pPr>
              <w:spacing w:before="24"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（2）</w:t>
            </w:r>
            <w:r>
              <w:rPr>
                <w:rFonts w:ascii="宋体" w:hAnsi="宋体" w:eastAsia="宋体"/>
                <w:bCs/>
                <w:kern w:val="0"/>
                <w:sz w:val="24"/>
                <w:szCs w:val="28"/>
                <w:highlight w:val="none"/>
              </w:rPr>
              <w:t>收取方式</w:t>
            </w:r>
            <w:r>
              <w:rPr>
                <w:rFonts w:ascii="宋体" w:hAnsi="宋体" w:eastAsia="宋体" w:cs="宋体"/>
                <w:sz w:val="24"/>
                <w:szCs w:val="24"/>
                <w:highlight w:val="none"/>
              </w:rPr>
              <w:t>：</w:t>
            </w:r>
            <w:r>
              <w:rPr>
                <w:rFonts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转账/电汇</w:t>
            </w:r>
            <w:r>
              <w:rPr>
                <w:rFonts w:ascii="宋体" w:hAnsi="宋体" w:eastAsia="宋体" w:cs="宋体"/>
                <w:sz w:val="24"/>
                <w:szCs w:val="24"/>
                <w:highlight w:val="none"/>
                <w:u w:val="single"/>
              </w:rPr>
              <w:t xml:space="preserve">  </w:t>
            </w:r>
          </w:p>
          <w:p w14:paraId="4AC6D12D">
            <w:pPr>
              <w:pStyle w:val="47"/>
              <w:widowControl w:val="0"/>
              <w:spacing w:before="0" w:beforeAutospacing="0" w:after="0" w:afterAutospacing="0" w:line="360" w:lineRule="auto"/>
              <w:jc w:val="both"/>
              <w:rPr>
                <w:rFonts w:hint="eastAsia" w:ascii="宋体" w:hAnsi="宋体" w:eastAsia="宋体" w:cs="宋体"/>
                <w:sz w:val="24"/>
                <w:szCs w:val="24"/>
                <w:highlight w:val="none"/>
                <w:u w:val="single"/>
              </w:rPr>
            </w:pPr>
            <w:r>
              <w:rPr>
                <w:rFonts w:hint="eastAsia" w:ascii="宋体" w:hAnsi="宋体" w:eastAsia="宋体"/>
                <w:b w:val="0"/>
                <w:bCs w:val="0"/>
                <w:sz w:val="24"/>
                <w:highlight w:val="none"/>
              </w:rPr>
              <w:t>（3）</w:t>
            </w:r>
            <w:r>
              <w:rPr>
                <w:rFonts w:ascii="宋体" w:hAnsi="宋体" w:eastAsia="宋体"/>
                <w:b w:val="0"/>
                <w:sz w:val="24"/>
                <w:highlight w:val="none"/>
              </w:rPr>
              <w:t>收费标准：</w:t>
            </w:r>
            <w:r>
              <w:rPr>
                <w:rFonts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中标服务费的收取采用差额定率累进计费方式，具体收费标准为下表的</w:t>
            </w:r>
            <w:r>
              <w:rPr>
                <w:rFonts w:hint="eastAsia" w:ascii="宋体" w:hAnsi="宋体" w:eastAsia="宋体" w:cs="宋体"/>
                <w:sz w:val="24"/>
                <w:szCs w:val="24"/>
                <w:highlight w:val="none"/>
                <w:u w:val="single"/>
                <w:lang w:val="en-US" w:eastAsia="zh-CN"/>
              </w:rPr>
              <w:t>40</w:t>
            </w:r>
            <w:r>
              <w:rPr>
                <w:rFonts w:hint="eastAsia" w:ascii="宋体" w:hAnsi="宋体" w:eastAsia="宋体" w:cs="宋体"/>
                <w:sz w:val="24"/>
                <w:szCs w:val="24"/>
                <w:highlight w:val="none"/>
                <w:u w:val="single"/>
              </w:rPr>
              <w:t>%。</w:t>
            </w:r>
          </w:p>
          <w:tbl>
            <w:tblPr>
              <w:tblStyle w:val="27"/>
              <w:tblW w:w="5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1275"/>
              <w:gridCol w:w="1185"/>
              <w:gridCol w:w="1260"/>
            </w:tblGrid>
            <w:tr w14:paraId="1315D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vAlign w:val="center"/>
                </w:tcPr>
                <w:p w14:paraId="5A67D7EA">
                  <w:pPr>
                    <w:keepNext w:val="0"/>
                    <w:keepLines w:val="0"/>
                    <w:widowControl/>
                    <w:suppressLineNumbers w:val="0"/>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中标金额</w:t>
                  </w:r>
                </w:p>
                <w:p w14:paraId="7CE234EC">
                  <w:pPr>
                    <w:keepNext w:val="0"/>
                    <w:keepLines w:val="0"/>
                    <w:widowControl/>
                    <w:suppressLineNumbers w:val="0"/>
                    <w:jc w:val="center"/>
                    <w:rPr>
                      <w:rFonts w:hint="eastAsia" w:ascii="宋体" w:hAnsi="宋体" w:eastAsia="宋体" w:cs="宋体"/>
                      <w:sz w:val="24"/>
                      <w:szCs w:val="24"/>
                      <w:highlight w:val="none"/>
                      <w:u w:val="single"/>
                      <w:vertAlign w:val="baseline"/>
                    </w:rPr>
                  </w:pPr>
                  <w:r>
                    <w:rPr>
                      <w:rFonts w:hint="eastAsia" w:ascii="宋体" w:hAnsi="宋体" w:eastAsia="宋体" w:cs="宋体"/>
                      <w:color w:val="000000"/>
                      <w:kern w:val="0"/>
                      <w:sz w:val="24"/>
                      <w:szCs w:val="24"/>
                      <w:highlight w:val="none"/>
                      <w:lang w:val="en-US" w:eastAsia="zh-CN" w:bidi="ar"/>
                    </w:rPr>
                    <w:t>（万元）</w:t>
                  </w:r>
                </w:p>
              </w:tc>
              <w:tc>
                <w:tcPr>
                  <w:tcW w:w="1275" w:type="dxa"/>
                  <w:vAlign w:val="center"/>
                </w:tcPr>
                <w:p w14:paraId="4BB7269A">
                  <w:pPr>
                    <w:keepNext w:val="0"/>
                    <w:keepLines w:val="0"/>
                    <w:widowControl/>
                    <w:suppressLineNumbers w:val="0"/>
                    <w:jc w:val="center"/>
                    <w:rPr>
                      <w:rFonts w:hint="eastAsia" w:ascii="宋体" w:hAnsi="宋体" w:eastAsia="宋体" w:cs="宋体"/>
                      <w:sz w:val="24"/>
                      <w:szCs w:val="24"/>
                      <w:highlight w:val="none"/>
                      <w:u w:val="single"/>
                      <w:vertAlign w:val="baseline"/>
                    </w:rPr>
                  </w:pPr>
                  <w:r>
                    <w:rPr>
                      <w:rFonts w:hint="eastAsia" w:ascii="宋体" w:hAnsi="宋体" w:eastAsia="宋体" w:cs="宋体"/>
                      <w:color w:val="000000"/>
                      <w:kern w:val="0"/>
                      <w:sz w:val="24"/>
                      <w:szCs w:val="24"/>
                      <w:highlight w:val="none"/>
                      <w:lang w:val="en-US" w:eastAsia="zh-CN" w:bidi="ar"/>
                    </w:rPr>
                    <w:t>货物招标</w:t>
                  </w:r>
                </w:p>
              </w:tc>
              <w:tc>
                <w:tcPr>
                  <w:tcW w:w="1185" w:type="dxa"/>
                  <w:vAlign w:val="center"/>
                </w:tcPr>
                <w:p w14:paraId="4A039995">
                  <w:pPr>
                    <w:keepNext w:val="0"/>
                    <w:keepLines w:val="0"/>
                    <w:widowControl/>
                    <w:suppressLineNumbers w:val="0"/>
                    <w:jc w:val="center"/>
                    <w:rPr>
                      <w:rFonts w:hint="eastAsia" w:ascii="宋体" w:hAnsi="宋体" w:eastAsia="宋体" w:cs="宋体"/>
                      <w:sz w:val="24"/>
                      <w:szCs w:val="24"/>
                      <w:highlight w:val="none"/>
                      <w:u w:val="single"/>
                      <w:vertAlign w:val="baseline"/>
                    </w:rPr>
                  </w:pPr>
                  <w:r>
                    <w:rPr>
                      <w:rFonts w:hint="eastAsia" w:ascii="宋体" w:hAnsi="宋体" w:eastAsia="宋体" w:cs="宋体"/>
                      <w:color w:val="000000"/>
                      <w:kern w:val="0"/>
                      <w:sz w:val="24"/>
                      <w:szCs w:val="24"/>
                      <w:highlight w:val="none"/>
                      <w:lang w:val="en-US" w:eastAsia="zh-CN" w:bidi="ar"/>
                    </w:rPr>
                    <w:t>服务招标</w:t>
                  </w:r>
                </w:p>
              </w:tc>
              <w:tc>
                <w:tcPr>
                  <w:tcW w:w="1260" w:type="dxa"/>
                  <w:vAlign w:val="center"/>
                </w:tcPr>
                <w:p w14:paraId="4F38DD23">
                  <w:pPr>
                    <w:keepNext w:val="0"/>
                    <w:keepLines w:val="0"/>
                    <w:widowControl/>
                    <w:suppressLineNumbers w:val="0"/>
                    <w:jc w:val="center"/>
                    <w:rPr>
                      <w:rFonts w:hint="eastAsia" w:ascii="宋体" w:hAnsi="宋体" w:eastAsia="宋体" w:cs="宋体"/>
                      <w:sz w:val="24"/>
                      <w:szCs w:val="24"/>
                      <w:highlight w:val="none"/>
                      <w:u w:val="single"/>
                      <w:vertAlign w:val="baseline"/>
                    </w:rPr>
                  </w:pPr>
                  <w:r>
                    <w:rPr>
                      <w:rFonts w:hint="eastAsia" w:ascii="宋体" w:hAnsi="宋体" w:eastAsia="宋体" w:cs="宋体"/>
                      <w:color w:val="000000"/>
                      <w:kern w:val="0"/>
                      <w:sz w:val="24"/>
                      <w:szCs w:val="24"/>
                      <w:highlight w:val="none"/>
                      <w:lang w:val="en-US" w:eastAsia="zh-CN" w:bidi="ar"/>
                    </w:rPr>
                    <w:t>工程招标</w:t>
                  </w:r>
                </w:p>
              </w:tc>
            </w:tr>
            <w:tr w14:paraId="7D406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tcPr>
                <w:p w14:paraId="1FC8B762">
                  <w:pPr>
                    <w:keepNext w:val="0"/>
                    <w:keepLines w:val="0"/>
                    <w:widowControl/>
                    <w:suppressLineNumbers w:val="0"/>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100以下</w:t>
                  </w:r>
                </w:p>
              </w:tc>
              <w:tc>
                <w:tcPr>
                  <w:tcW w:w="1275" w:type="dxa"/>
                </w:tcPr>
                <w:p w14:paraId="339E5698">
                  <w:pPr>
                    <w:keepNext w:val="0"/>
                    <w:keepLines w:val="0"/>
                    <w:widowControl/>
                    <w:suppressLineNumbers w:val="0"/>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1.5％</w:t>
                  </w:r>
                </w:p>
              </w:tc>
              <w:tc>
                <w:tcPr>
                  <w:tcW w:w="1185" w:type="dxa"/>
                </w:tcPr>
                <w:p w14:paraId="6FFBB108">
                  <w:pPr>
                    <w:keepNext w:val="0"/>
                    <w:keepLines w:val="0"/>
                    <w:widowControl/>
                    <w:suppressLineNumbers w:val="0"/>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1.5％</w:t>
                  </w:r>
                </w:p>
              </w:tc>
              <w:tc>
                <w:tcPr>
                  <w:tcW w:w="1260" w:type="dxa"/>
                </w:tcPr>
                <w:p w14:paraId="7D271E93">
                  <w:pPr>
                    <w:keepNext w:val="0"/>
                    <w:keepLines w:val="0"/>
                    <w:widowControl/>
                    <w:suppressLineNumbers w:val="0"/>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1.0％</w:t>
                  </w:r>
                </w:p>
              </w:tc>
            </w:tr>
            <w:tr w14:paraId="31F52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tcPr>
                <w:p w14:paraId="3F8A9F85">
                  <w:pPr>
                    <w:keepNext w:val="0"/>
                    <w:keepLines w:val="0"/>
                    <w:widowControl/>
                    <w:suppressLineNumbers w:val="0"/>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100—500</w:t>
                  </w:r>
                </w:p>
              </w:tc>
              <w:tc>
                <w:tcPr>
                  <w:tcW w:w="1275" w:type="dxa"/>
                </w:tcPr>
                <w:p w14:paraId="4B73BA00">
                  <w:pPr>
                    <w:keepNext w:val="0"/>
                    <w:keepLines w:val="0"/>
                    <w:widowControl/>
                    <w:suppressLineNumbers w:val="0"/>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1.1％</w:t>
                  </w:r>
                </w:p>
              </w:tc>
              <w:tc>
                <w:tcPr>
                  <w:tcW w:w="1185" w:type="dxa"/>
                </w:tcPr>
                <w:p w14:paraId="00C5A1F4">
                  <w:pPr>
                    <w:keepNext w:val="0"/>
                    <w:keepLines w:val="0"/>
                    <w:widowControl/>
                    <w:suppressLineNumbers w:val="0"/>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0.8％</w:t>
                  </w:r>
                </w:p>
              </w:tc>
              <w:tc>
                <w:tcPr>
                  <w:tcW w:w="1260" w:type="dxa"/>
                </w:tcPr>
                <w:p w14:paraId="29BB7252">
                  <w:pPr>
                    <w:keepNext w:val="0"/>
                    <w:keepLines w:val="0"/>
                    <w:widowControl/>
                    <w:suppressLineNumbers w:val="0"/>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0.7％</w:t>
                  </w:r>
                </w:p>
              </w:tc>
            </w:tr>
            <w:tr w14:paraId="4DB93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tcPr>
                <w:p w14:paraId="3C877EC2">
                  <w:pPr>
                    <w:keepNext w:val="0"/>
                    <w:keepLines w:val="0"/>
                    <w:widowControl/>
                    <w:suppressLineNumbers w:val="0"/>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500—1000</w:t>
                  </w:r>
                </w:p>
              </w:tc>
              <w:tc>
                <w:tcPr>
                  <w:tcW w:w="1275" w:type="dxa"/>
                </w:tcPr>
                <w:p w14:paraId="310F7117">
                  <w:pPr>
                    <w:keepNext w:val="0"/>
                    <w:keepLines w:val="0"/>
                    <w:widowControl/>
                    <w:suppressLineNumbers w:val="0"/>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0.8％</w:t>
                  </w:r>
                </w:p>
              </w:tc>
              <w:tc>
                <w:tcPr>
                  <w:tcW w:w="1185" w:type="dxa"/>
                </w:tcPr>
                <w:p w14:paraId="08A84FDB">
                  <w:pPr>
                    <w:keepNext w:val="0"/>
                    <w:keepLines w:val="0"/>
                    <w:widowControl/>
                    <w:suppressLineNumbers w:val="0"/>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0.45％</w:t>
                  </w:r>
                </w:p>
              </w:tc>
              <w:tc>
                <w:tcPr>
                  <w:tcW w:w="1260" w:type="dxa"/>
                </w:tcPr>
                <w:p w14:paraId="110C3F24">
                  <w:pPr>
                    <w:keepNext w:val="0"/>
                    <w:keepLines w:val="0"/>
                    <w:widowControl/>
                    <w:suppressLineNumbers w:val="0"/>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0.55％</w:t>
                  </w:r>
                </w:p>
              </w:tc>
            </w:tr>
            <w:tr w14:paraId="581AF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tcPr>
                <w:p w14:paraId="7DB6E68D">
                  <w:pPr>
                    <w:keepNext w:val="0"/>
                    <w:keepLines w:val="0"/>
                    <w:widowControl/>
                    <w:suppressLineNumbers w:val="0"/>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1000—5000</w:t>
                  </w:r>
                </w:p>
              </w:tc>
              <w:tc>
                <w:tcPr>
                  <w:tcW w:w="1275" w:type="dxa"/>
                </w:tcPr>
                <w:p w14:paraId="1A076F55">
                  <w:pPr>
                    <w:keepNext w:val="0"/>
                    <w:keepLines w:val="0"/>
                    <w:widowControl/>
                    <w:suppressLineNumbers w:val="0"/>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0.5％</w:t>
                  </w:r>
                </w:p>
              </w:tc>
              <w:tc>
                <w:tcPr>
                  <w:tcW w:w="1185" w:type="dxa"/>
                </w:tcPr>
                <w:p w14:paraId="37C1036C">
                  <w:pPr>
                    <w:keepNext w:val="0"/>
                    <w:keepLines w:val="0"/>
                    <w:widowControl/>
                    <w:suppressLineNumbers w:val="0"/>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0.25％</w:t>
                  </w:r>
                </w:p>
              </w:tc>
              <w:tc>
                <w:tcPr>
                  <w:tcW w:w="1260" w:type="dxa"/>
                </w:tcPr>
                <w:p w14:paraId="28379476">
                  <w:pPr>
                    <w:keepNext w:val="0"/>
                    <w:keepLines w:val="0"/>
                    <w:widowControl/>
                    <w:suppressLineNumbers w:val="0"/>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0.35％</w:t>
                  </w:r>
                </w:p>
              </w:tc>
            </w:tr>
            <w:tr w14:paraId="0A680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tcPr>
                <w:p w14:paraId="3CDABDCE">
                  <w:pPr>
                    <w:keepNext w:val="0"/>
                    <w:keepLines w:val="0"/>
                    <w:widowControl/>
                    <w:suppressLineNumbers w:val="0"/>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5000—10000</w:t>
                  </w:r>
                </w:p>
              </w:tc>
              <w:tc>
                <w:tcPr>
                  <w:tcW w:w="1275" w:type="dxa"/>
                </w:tcPr>
                <w:p w14:paraId="58DF0A0F">
                  <w:pPr>
                    <w:keepNext w:val="0"/>
                    <w:keepLines w:val="0"/>
                    <w:widowControl/>
                    <w:suppressLineNumbers w:val="0"/>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0.25％</w:t>
                  </w:r>
                </w:p>
              </w:tc>
              <w:tc>
                <w:tcPr>
                  <w:tcW w:w="1185" w:type="dxa"/>
                </w:tcPr>
                <w:p w14:paraId="7D2394E1">
                  <w:pPr>
                    <w:keepNext w:val="0"/>
                    <w:keepLines w:val="0"/>
                    <w:widowControl/>
                    <w:suppressLineNumbers w:val="0"/>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0.1％</w:t>
                  </w:r>
                </w:p>
              </w:tc>
              <w:tc>
                <w:tcPr>
                  <w:tcW w:w="1260" w:type="dxa"/>
                </w:tcPr>
                <w:p w14:paraId="1C2637D4">
                  <w:pPr>
                    <w:keepNext w:val="0"/>
                    <w:keepLines w:val="0"/>
                    <w:widowControl/>
                    <w:suppressLineNumbers w:val="0"/>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0.2％</w:t>
                  </w:r>
                </w:p>
              </w:tc>
            </w:tr>
            <w:tr w14:paraId="0BF33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tcPr>
                <w:p w14:paraId="1392E5DA">
                  <w:pPr>
                    <w:keepNext w:val="0"/>
                    <w:keepLines w:val="0"/>
                    <w:widowControl/>
                    <w:suppressLineNumbers w:val="0"/>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10000—100000</w:t>
                  </w:r>
                </w:p>
              </w:tc>
              <w:tc>
                <w:tcPr>
                  <w:tcW w:w="1275" w:type="dxa"/>
                </w:tcPr>
                <w:p w14:paraId="474389C9">
                  <w:pPr>
                    <w:keepNext w:val="0"/>
                    <w:keepLines w:val="0"/>
                    <w:widowControl/>
                    <w:suppressLineNumbers w:val="0"/>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0.05％</w:t>
                  </w:r>
                </w:p>
              </w:tc>
              <w:tc>
                <w:tcPr>
                  <w:tcW w:w="1185" w:type="dxa"/>
                </w:tcPr>
                <w:p w14:paraId="62FE68A4">
                  <w:pPr>
                    <w:keepNext w:val="0"/>
                    <w:keepLines w:val="0"/>
                    <w:widowControl/>
                    <w:suppressLineNumbers w:val="0"/>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0.05％</w:t>
                  </w:r>
                </w:p>
              </w:tc>
              <w:tc>
                <w:tcPr>
                  <w:tcW w:w="1260" w:type="dxa"/>
                </w:tcPr>
                <w:p w14:paraId="11EBB641">
                  <w:pPr>
                    <w:keepNext w:val="0"/>
                    <w:keepLines w:val="0"/>
                    <w:widowControl/>
                    <w:suppressLineNumbers w:val="0"/>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0.05％</w:t>
                  </w:r>
                </w:p>
              </w:tc>
            </w:tr>
            <w:tr w14:paraId="6AB1C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tcPr>
                <w:p w14:paraId="0E08578F">
                  <w:pPr>
                    <w:keepNext w:val="0"/>
                    <w:keepLines w:val="0"/>
                    <w:widowControl/>
                    <w:suppressLineNumbers w:val="0"/>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1000000以上</w:t>
                  </w:r>
                </w:p>
              </w:tc>
              <w:tc>
                <w:tcPr>
                  <w:tcW w:w="1275" w:type="dxa"/>
                </w:tcPr>
                <w:p w14:paraId="3AD89967">
                  <w:pPr>
                    <w:keepNext w:val="0"/>
                    <w:keepLines w:val="0"/>
                    <w:widowControl/>
                    <w:suppressLineNumbers w:val="0"/>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0.01％</w:t>
                  </w:r>
                </w:p>
              </w:tc>
              <w:tc>
                <w:tcPr>
                  <w:tcW w:w="1185" w:type="dxa"/>
                </w:tcPr>
                <w:p w14:paraId="699D0F56">
                  <w:pPr>
                    <w:keepNext w:val="0"/>
                    <w:keepLines w:val="0"/>
                    <w:widowControl/>
                    <w:suppressLineNumbers w:val="0"/>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0.01％</w:t>
                  </w:r>
                </w:p>
              </w:tc>
              <w:tc>
                <w:tcPr>
                  <w:tcW w:w="1260" w:type="dxa"/>
                </w:tcPr>
                <w:p w14:paraId="29FD9ECE">
                  <w:pPr>
                    <w:keepNext w:val="0"/>
                    <w:keepLines w:val="0"/>
                    <w:widowControl/>
                    <w:suppressLineNumbers w:val="0"/>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0.01％</w:t>
                  </w:r>
                </w:p>
              </w:tc>
            </w:tr>
          </w:tbl>
          <w:p w14:paraId="2FCC5AB4">
            <w:pPr>
              <w:spacing w:line="360" w:lineRule="auto"/>
              <w:rPr>
                <w:rFonts w:hint="eastAsia" w:asciiTheme="minorEastAsia" w:hAnsiTheme="minorEastAsia" w:eastAsiaTheme="minorEastAsia"/>
                <w:bCs/>
                <w:sz w:val="24"/>
                <w:szCs w:val="24"/>
                <w:highlight w:val="none"/>
                <w:lang w:val="en-US" w:eastAsia="zh-CN"/>
              </w:rPr>
            </w:pPr>
            <w:r>
              <w:rPr>
                <w:rFonts w:hint="eastAsia" w:asciiTheme="minorEastAsia" w:hAnsiTheme="minorEastAsia" w:eastAsiaTheme="minorEastAsia"/>
                <w:bCs/>
                <w:sz w:val="24"/>
                <w:szCs w:val="24"/>
                <w:highlight w:val="none"/>
                <w:lang w:val="en-US" w:eastAsia="zh-CN"/>
              </w:rPr>
              <w:t xml:space="preserve">注：中标服务费按差额定率累进法计算。例如：某货物招标代理业务中标金额为6000万元，计算中标服务费如下： </w:t>
            </w:r>
          </w:p>
          <w:p w14:paraId="2C253A70">
            <w:pPr>
              <w:spacing w:line="360" w:lineRule="auto"/>
              <w:rPr>
                <w:rFonts w:hint="eastAsia" w:asciiTheme="minorEastAsia" w:hAnsiTheme="minorEastAsia" w:eastAsiaTheme="minorEastAsia"/>
                <w:bCs/>
                <w:sz w:val="24"/>
                <w:szCs w:val="24"/>
                <w:highlight w:val="none"/>
                <w:lang w:val="en-US" w:eastAsia="zh-CN"/>
              </w:rPr>
            </w:pPr>
            <w:r>
              <w:rPr>
                <w:rFonts w:hint="eastAsia" w:asciiTheme="minorEastAsia" w:hAnsiTheme="minorEastAsia" w:eastAsiaTheme="minorEastAsia"/>
                <w:bCs/>
                <w:sz w:val="24"/>
                <w:szCs w:val="24"/>
                <w:highlight w:val="none"/>
                <w:lang w:val="en-US" w:eastAsia="zh-CN"/>
              </w:rPr>
              <w:t xml:space="preserve">100万元×1.5%×40%＝0.6万元 </w:t>
            </w:r>
          </w:p>
          <w:p w14:paraId="736DFF1D">
            <w:pPr>
              <w:spacing w:line="360" w:lineRule="auto"/>
              <w:rPr>
                <w:rFonts w:hint="eastAsia" w:asciiTheme="minorEastAsia" w:hAnsiTheme="minorEastAsia" w:eastAsiaTheme="minorEastAsia"/>
                <w:bCs/>
                <w:sz w:val="24"/>
                <w:szCs w:val="24"/>
                <w:highlight w:val="none"/>
                <w:lang w:val="en-US" w:eastAsia="zh-CN"/>
              </w:rPr>
            </w:pPr>
            <w:r>
              <w:rPr>
                <w:rFonts w:hint="eastAsia" w:asciiTheme="minorEastAsia" w:hAnsiTheme="minorEastAsia" w:eastAsiaTheme="minorEastAsia"/>
                <w:bCs/>
                <w:sz w:val="24"/>
                <w:szCs w:val="24"/>
                <w:highlight w:val="none"/>
                <w:lang w:val="en-US" w:eastAsia="zh-CN"/>
              </w:rPr>
              <w:t xml:space="preserve">（500－100）万元×1.1%×40%＝1.76万元 </w:t>
            </w:r>
          </w:p>
          <w:p w14:paraId="363C1E10">
            <w:pPr>
              <w:spacing w:line="360" w:lineRule="auto"/>
              <w:rPr>
                <w:rFonts w:hint="eastAsia" w:asciiTheme="minorEastAsia" w:hAnsiTheme="minorEastAsia" w:eastAsiaTheme="minorEastAsia"/>
                <w:bCs/>
                <w:sz w:val="24"/>
                <w:szCs w:val="24"/>
                <w:highlight w:val="none"/>
                <w:lang w:val="en-US" w:eastAsia="zh-CN"/>
              </w:rPr>
            </w:pPr>
            <w:r>
              <w:rPr>
                <w:rFonts w:hint="eastAsia" w:asciiTheme="minorEastAsia" w:hAnsiTheme="minorEastAsia" w:eastAsiaTheme="minorEastAsia"/>
                <w:bCs/>
                <w:sz w:val="24"/>
                <w:szCs w:val="24"/>
                <w:highlight w:val="none"/>
                <w:lang w:val="en-US" w:eastAsia="zh-CN"/>
              </w:rPr>
              <w:t xml:space="preserve">（1000－500）万元×0.8%×40%＝1.6万元 </w:t>
            </w:r>
          </w:p>
          <w:p w14:paraId="7B8064DB">
            <w:pPr>
              <w:spacing w:line="360" w:lineRule="auto"/>
              <w:rPr>
                <w:rFonts w:hint="eastAsia" w:asciiTheme="minorEastAsia" w:hAnsiTheme="minorEastAsia" w:eastAsiaTheme="minorEastAsia"/>
                <w:bCs/>
                <w:sz w:val="24"/>
                <w:szCs w:val="24"/>
                <w:highlight w:val="none"/>
                <w:lang w:val="en-US" w:eastAsia="zh-CN"/>
              </w:rPr>
            </w:pPr>
            <w:r>
              <w:rPr>
                <w:rFonts w:hint="eastAsia" w:asciiTheme="minorEastAsia" w:hAnsiTheme="minorEastAsia" w:eastAsiaTheme="minorEastAsia"/>
                <w:bCs/>
                <w:sz w:val="24"/>
                <w:szCs w:val="24"/>
                <w:highlight w:val="none"/>
                <w:lang w:val="en-US" w:eastAsia="zh-CN"/>
              </w:rPr>
              <w:t xml:space="preserve">（5000－1000）万元×0.5%×40%＝8万元 </w:t>
            </w:r>
          </w:p>
          <w:p w14:paraId="10126283">
            <w:pPr>
              <w:spacing w:line="360" w:lineRule="auto"/>
              <w:rPr>
                <w:rFonts w:hint="eastAsia" w:asciiTheme="minorEastAsia" w:hAnsiTheme="minorEastAsia" w:eastAsiaTheme="minorEastAsia"/>
                <w:bCs/>
                <w:sz w:val="24"/>
                <w:szCs w:val="24"/>
                <w:highlight w:val="none"/>
                <w:lang w:val="en-US" w:eastAsia="zh-CN"/>
              </w:rPr>
            </w:pPr>
            <w:r>
              <w:rPr>
                <w:rFonts w:hint="eastAsia" w:asciiTheme="minorEastAsia" w:hAnsiTheme="minorEastAsia" w:eastAsiaTheme="minorEastAsia"/>
                <w:bCs/>
                <w:sz w:val="24"/>
                <w:szCs w:val="24"/>
                <w:highlight w:val="none"/>
                <w:lang w:val="en-US" w:eastAsia="zh-CN"/>
              </w:rPr>
              <w:t xml:space="preserve">（6000－5000）万元×0.25%×40%＝1万元 </w:t>
            </w:r>
          </w:p>
          <w:p w14:paraId="2836104C">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Theme="minorEastAsia" w:hAnsiTheme="minorEastAsia" w:eastAsiaTheme="minorEastAsia"/>
                <w:b w:val="0"/>
                <w:bCs w:val="0"/>
                <w:sz w:val="24"/>
                <w:szCs w:val="24"/>
                <w:highlight w:val="none"/>
                <w:lang w:val="en-US" w:eastAsia="zh-CN"/>
              </w:rPr>
              <w:t>合计收费＝0.6＋1.76＋1.6＋8＋1＝12.96(万元)</w:t>
            </w:r>
          </w:p>
        </w:tc>
      </w:tr>
      <w:tr w14:paraId="538C3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vAlign w:val="center"/>
          </w:tcPr>
          <w:p w14:paraId="345D5BCA">
            <w:pPr>
              <w:pStyle w:val="4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31</w:t>
            </w:r>
            <w:r>
              <w:rPr>
                <w:rFonts w:ascii="宋体" w:hAnsi="宋体" w:eastAsia="宋体"/>
                <w:bCs/>
                <w:kern w:val="2"/>
                <w:highlight w:val="none"/>
              </w:rPr>
              <w:t>.</w:t>
            </w:r>
            <w:r>
              <w:rPr>
                <w:rFonts w:hint="eastAsia" w:ascii="宋体" w:hAnsi="宋体" w:eastAsia="宋体"/>
                <w:bCs/>
                <w:kern w:val="2"/>
                <w:highlight w:val="none"/>
              </w:rPr>
              <w:t>3</w:t>
            </w:r>
          </w:p>
        </w:tc>
        <w:tc>
          <w:tcPr>
            <w:tcW w:w="2032" w:type="dxa"/>
            <w:vAlign w:val="center"/>
          </w:tcPr>
          <w:p w14:paraId="2C83BB30">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质疑函递交方式、接收部门、联系电话和通讯地址</w:t>
            </w:r>
          </w:p>
        </w:tc>
        <w:tc>
          <w:tcPr>
            <w:tcW w:w="5940" w:type="dxa"/>
            <w:vAlign w:val="center"/>
          </w:tcPr>
          <w:p w14:paraId="767A4F5F">
            <w:pPr>
              <w:pStyle w:val="47"/>
              <w:widowControl w:val="0"/>
              <w:spacing w:before="0" w:beforeAutospacing="0" w:after="0" w:afterAutospacing="0" w:line="360" w:lineRule="auto"/>
              <w:jc w:val="both"/>
              <w:rPr>
                <w:rFonts w:hint="eastAsia" w:ascii="宋体" w:hAnsi="宋体" w:eastAsia="宋体"/>
                <w:b w:val="0"/>
                <w:sz w:val="24"/>
                <w:highlight w:val="none"/>
                <w:lang w:eastAsia="zh-CN"/>
              </w:rPr>
            </w:pPr>
            <w:r>
              <w:rPr>
                <w:rFonts w:hint="eastAsia" w:ascii="宋体" w:hAnsi="宋体" w:eastAsia="宋体"/>
                <w:b w:val="0"/>
                <w:sz w:val="24"/>
                <w:highlight w:val="none"/>
              </w:rPr>
              <w:t>递交方式：</w:t>
            </w:r>
            <w:r>
              <w:rPr>
                <w:rFonts w:hint="eastAsia" w:ascii="宋体" w:hAnsi="宋体" w:eastAsia="宋体"/>
                <w:b w:val="0"/>
                <w:bCs w:val="0"/>
                <w:sz w:val="24"/>
                <w:highlight w:val="none"/>
                <w:u w:val="single"/>
                <w:lang w:eastAsia="zh-CN"/>
              </w:rPr>
              <w:t>通过“徽采云”电子交易系统递交</w:t>
            </w:r>
          </w:p>
          <w:p w14:paraId="0AD58CF4">
            <w:pPr>
              <w:pStyle w:val="47"/>
              <w:widowControl w:val="0"/>
              <w:spacing w:before="0" w:beforeAutospacing="0" w:after="0" w:afterAutospacing="0" w:line="360" w:lineRule="auto"/>
              <w:jc w:val="both"/>
              <w:rPr>
                <w:rFonts w:ascii="宋体" w:hAnsi="宋体" w:eastAsia="宋体"/>
                <w:b w:val="0"/>
                <w:bCs w:val="0"/>
                <w:sz w:val="24"/>
                <w:szCs w:val="18"/>
                <w:highlight w:val="none"/>
              </w:rPr>
            </w:pPr>
            <w:r>
              <w:rPr>
                <w:rFonts w:hint="eastAsia" w:ascii="宋体" w:hAnsi="宋体" w:eastAsia="宋体"/>
                <w:b w:val="0"/>
                <w:sz w:val="24"/>
                <w:highlight w:val="none"/>
              </w:rPr>
              <w:t>接收部门：</w:t>
            </w:r>
            <w:r>
              <w:rPr>
                <w:rFonts w:hint="eastAsia" w:ascii="宋体" w:hAnsi="宋体" w:eastAsia="宋体"/>
                <w:b w:val="0"/>
                <w:bCs w:val="0"/>
                <w:sz w:val="24"/>
                <w:highlight w:val="none"/>
                <w:u w:val="single"/>
              </w:rPr>
              <w:t>安徽寰亚国际招标有限公司</w:t>
            </w:r>
            <w:r>
              <w:rPr>
                <w:rFonts w:hint="eastAsia" w:ascii="宋体" w:hAnsi="宋体" w:eastAsia="宋体"/>
                <w:sz w:val="24"/>
                <w:highlight w:val="none"/>
                <w:u w:val="single"/>
              </w:rPr>
              <w:t xml:space="preserve">  </w:t>
            </w:r>
          </w:p>
          <w:p w14:paraId="0D58206A">
            <w:pPr>
              <w:pStyle w:val="47"/>
              <w:widowControl w:val="0"/>
              <w:spacing w:before="0" w:beforeAutospacing="0" w:after="0" w:afterAutospacing="0" w:line="360" w:lineRule="auto"/>
              <w:jc w:val="both"/>
              <w:rPr>
                <w:rFonts w:hint="default" w:ascii="宋体" w:hAnsi="宋体" w:eastAsia="宋体"/>
                <w:b w:val="0"/>
                <w:bCs w:val="0"/>
                <w:sz w:val="24"/>
                <w:szCs w:val="18"/>
                <w:highlight w:val="none"/>
                <w:lang w:val="en-US" w:eastAsia="zh-CN"/>
              </w:rPr>
            </w:pPr>
            <w:r>
              <w:rPr>
                <w:rFonts w:ascii="宋体" w:hAnsi="宋体" w:eastAsia="宋体"/>
                <w:b w:val="0"/>
                <w:sz w:val="24"/>
                <w:highlight w:val="none"/>
              </w:rPr>
              <w:t>联系电话：</w:t>
            </w:r>
            <w:r>
              <w:rPr>
                <w:rFonts w:hint="eastAsia" w:ascii="宋体" w:hAnsi="宋体" w:eastAsia="宋体"/>
                <w:b w:val="0"/>
                <w:bCs w:val="0"/>
                <w:sz w:val="24"/>
                <w:highlight w:val="none"/>
                <w:u w:val="single"/>
              </w:rPr>
              <w:t>0551-65320549 或 65307749 转分机号 6</w:t>
            </w:r>
            <w:r>
              <w:rPr>
                <w:rFonts w:hint="eastAsia" w:ascii="宋体" w:hAnsi="宋体" w:eastAsia="宋体"/>
                <w:b w:val="0"/>
                <w:bCs w:val="0"/>
                <w:sz w:val="24"/>
                <w:highlight w:val="none"/>
                <w:u w:val="single"/>
                <w:lang w:val="en-US" w:eastAsia="zh-CN"/>
              </w:rPr>
              <w:t>402</w:t>
            </w:r>
          </w:p>
          <w:p w14:paraId="79BEDFA7">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通讯地址：</w:t>
            </w:r>
            <w:r>
              <w:rPr>
                <w:rFonts w:hint="eastAsia" w:ascii="宋体" w:hAnsi="宋体" w:eastAsia="宋体"/>
                <w:b w:val="0"/>
                <w:bCs w:val="0"/>
                <w:sz w:val="24"/>
                <w:highlight w:val="none"/>
                <w:u w:val="single"/>
              </w:rPr>
              <w:t xml:space="preserve">安徽省合肥市蜀山区湖光路与雪霁路交口蜀山跨境电商大厦B座20F </w:t>
            </w:r>
          </w:p>
        </w:tc>
      </w:tr>
      <w:tr w14:paraId="57FB0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5" w:type="dxa"/>
            <w:vAlign w:val="center"/>
          </w:tcPr>
          <w:p w14:paraId="5EA8C63F">
            <w:pPr>
              <w:pStyle w:val="4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32</w:t>
            </w:r>
          </w:p>
        </w:tc>
        <w:tc>
          <w:tcPr>
            <w:tcW w:w="2032" w:type="dxa"/>
            <w:vAlign w:val="center"/>
          </w:tcPr>
          <w:p w14:paraId="422197BB">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其他内容</w:t>
            </w:r>
          </w:p>
        </w:tc>
        <w:tc>
          <w:tcPr>
            <w:tcW w:w="5940" w:type="dxa"/>
            <w:vAlign w:val="center"/>
          </w:tcPr>
          <w:p w14:paraId="19D13688">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1、解释权：</w:t>
            </w:r>
          </w:p>
          <w:p w14:paraId="5A6CA6C5">
            <w:pPr>
              <w:spacing w:line="360" w:lineRule="auto"/>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（1）</w:t>
            </w:r>
            <w:r>
              <w:rPr>
                <w:rFonts w:asciiTheme="minorEastAsia" w:hAnsiTheme="minorEastAsia" w:eastAsiaTheme="minorEastAsia"/>
                <w:bCs/>
                <w:sz w:val="24"/>
                <w:szCs w:val="24"/>
                <w:highlight w:val="none"/>
              </w:rPr>
              <w:t>构成本招标文件的各个组成文件应互为解释，互为说明；</w:t>
            </w:r>
          </w:p>
          <w:p w14:paraId="50A4B97E">
            <w:pPr>
              <w:spacing w:line="360" w:lineRule="auto"/>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（2）</w:t>
            </w:r>
            <w:r>
              <w:rPr>
                <w:rFonts w:asciiTheme="minorEastAsia" w:hAnsiTheme="minorEastAsia" w:eastAsiaTheme="minorEastAsia"/>
                <w:bCs/>
                <w:sz w:val="24"/>
                <w:szCs w:val="24"/>
                <w:highlight w:val="none"/>
              </w:rPr>
              <w:t>同一组成文件中就同一事项的规定或约定不一致的，以编排顺序在后者为准；</w:t>
            </w:r>
          </w:p>
          <w:p w14:paraId="4DE4ADDD">
            <w:pPr>
              <w:spacing w:line="360" w:lineRule="auto"/>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（3）</w:t>
            </w:r>
            <w:r>
              <w:rPr>
                <w:rFonts w:asciiTheme="minorEastAsia" w:hAnsiTheme="minorEastAsia" w:eastAsiaTheme="minorEastAsia"/>
                <w:bCs/>
                <w:sz w:val="24"/>
                <w:szCs w:val="24"/>
                <w:highlight w:val="none"/>
              </w:rPr>
              <w:t>如有不明确或不一致，构成合同文件组成内容的，以合同文件约定内容为准，且以专用合同条款约定的合同文件优先顺序解释；</w:t>
            </w:r>
          </w:p>
          <w:p w14:paraId="5BD72F7F">
            <w:pPr>
              <w:spacing w:line="360" w:lineRule="auto"/>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（4）</w:t>
            </w:r>
            <w:r>
              <w:rPr>
                <w:rFonts w:asciiTheme="minorEastAsia" w:hAnsiTheme="minorEastAsia" w:eastAsiaTheme="minorEastAsia"/>
                <w:bCs/>
                <w:sz w:val="24"/>
                <w:szCs w:val="24"/>
                <w:highlight w:val="none"/>
              </w:rPr>
              <w:t>除招标文件中有特别规定外，仅适用于招标投标阶段的规定，按招标公告、</w:t>
            </w:r>
            <w:r>
              <w:rPr>
                <w:rFonts w:hint="eastAsia" w:asciiTheme="minorEastAsia" w:hAnsiTheme="minorEastAsia" w:eastAsiaTheme="minorEastAsia"/>
                <w:bCs/>
                <w:sz w:val="24"/>
                <w:szCs w:val="24"/>
                <w:highlight w:val="none"/>
              </w:rPr>
              <w:t>投标邀请、</w:t>
            </w:r>
            <w:r>
              <w:rPr>
                <w:rFonts w:asciiTheme="minorEastAsia" w:hAnsiTheme="minorEastAsia" w:eastAsiaTheme="minorEastAsia"/>
                <w:bCs/>
                <w:sz w:val="24"/>
                <w:szCs w:val="24"/>
                <w:highlight w:val="none"/>
              </w:rPr>
              <w:t>投标人须知、评标</w:t>
            </w:r>
            <w:r>
              <w:rPr>
                <w:rFonts w:hint="eastAsia" w:asciiTheme="minorEastAsia" w:hAnsiTheme="minorEastAsia" w:eastAsiaTheme="minorEastAsia"/>
                <w:bCs/>
                <w:sz w:val="24"/>
                <w:szCs w:val="24"/>
                <w:highlight w:val="none"/>
              </w:rPr>
              <w:t>方</w:t>
            </w:r>
            <w:r>
              <w:rPr>
                <w:rFonts w:asciiTheme="minorEastAsia" w:hAnsiTheme="minorEastAsia" w:eastAsiaTheme="minorEastAsia"/>
                <w:bCs/>
                <w:sz w:val="24"/>
                <w:szCs w:val="24"/>
                <w:highlight w:val="none"/>
              </w:rPr>
              <w:t>法</w:t>
            </w:r>
            <w:r>
              <w:rPr>
                <w:rFonts w:hint="eastAsia" w:asciiTheme="minorEastAsia" w:hAnsiTheme="minorEastAsia" w:eastAsiaTheme="minorEastAsia"/>
                <w:bCs/>
                <w:sz w:val="24"/>
                <w:szCs w:val="24"/>
                <w:highlight w:val="none"/>
              </w:rPr>
              <w:t>和标准</w:t>
            </w:r>
            <w:r>
              <w:rPr>
                <w:rFonts w:asciiTheme="minorEastAsia" w:hAnsiTheme="minorEastAsia" w:eastAsiaTheme="minorEastAsia"/>
                <w:bCs/>
                <w:sz w:val="24"/>
                <w:szCs w:val="24"/>
                <w:highlight w:val="none"/>
              </w:rPr>
              <w:t>、投标文件格式的先后顺序解释；</w:t>
            </w:r>
          </w:p>
          <w:p w14:paraId="5D19E6E6">
            <w:pPr>
              <w:pStyle w:val="47"/>
              <w:widowControl w:val="0"/>
              <w:spacing w:before="0" w:beforeAutospacing="0" w:after="0" w:afterAutospacing="0" w:line="360" w:lineRule="auto"/>
              <w:jc w:val="both"/>
              <w:rPr>
                <w:rFonts w:asciiTheme="minorEastAsia" w:hAnsiTheme="minorEastAsia" w:eastAsiaTheme="minorEastAsia"/>
                <w:b w:val="0"/>
                <w:kern w:val="2"/>
                <w:sz w:val="24"/>
                <w:szCs w:val="24"/>
                <w:highlight w:val="none"/>
              </w:rPr>
            </w:pPr>
            <w:r>
              <w:rPr>
                <w:rFonts w:hint="eastAsia" w:asciiTheme="minorEastAsia" w:hAnsiTheme="minorEastAsia" w:eastAsiaTheme="minorEastAsia"/>
                <w:b w:val="0"/>
                <w:kern w:val="2"/>
                <w:sz w:val="24"/>
                <w:szCs w:val="24"/>
                <w:highlight w:val="none"/>
              </w:rPr>
              <w:t>（5）</w:t>
            </w:r>
            <w:r>
              <w:rPr>
                <w:rFonts w:asciiTheme="minorEastAsia" w:hAnsiTheme="minorEastAsia" w:eastAsiaTheme="minorEastAsia"/>
                <w:b w:val="0"/>
                <w:kern w:val="2"/>
                <w:sz w:val="24"/>
                <w:szCs w:val="24"/>
                <w:highlight w:val="none"/>
              </w:rPr>
              <w:t>按本款前述规定仍不能形成结论的，由</w:t>
            </w:r>
            <w:r>
              <w:rPr>
                <w:rFonts w:hint="eastAsia" w:asciiTheme="minorEastAsia" w:hAnsiTheme="minorEastAsia" w:eastAsiaTheme="minorEastAsia"/>
                <w:b w:val="0"/>
                <w:kern w:val="2"/>
                <w:sz w:val="24"/>
                <w:szCs w:val="24"/>
                <w:highlight w:val="none"/>
              </w:rPr>
              <w:t>采购</w:t>
            </w:r>
            <w:r>
              <w:rPr>
                <w:rFonts w:asciiTheme="minorEastAsia" w:hAnsiTheme="minorEastAsia" w:eastAsiaTheme="minorEastAsia"/>
                <w:b w:val="0"/>
                <w:kern w:val="2"/>
                <w:sz w:val="24"/>
                <w:szCs w:val="24"/>
                <w:highlight w:val="none"/>
              </w:rPr>
              <w:t>人负责解释。</w:t>
            </w:r>
          </w:p>
          <w:p w14:paraId="09A21538">
            <w:pPr>
              <w:spacing w:line="360" w:lineRule="auto"/>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2、“政采贷”融资指引：有融资需求的</w:t>
            </w:r>
            <w:r>
              <w:rPr>
                <w:rFonts w:hint="eastAsia" w:ascii="宋体" w:hAnsi="宋体" w:eastAsia="宋体" w:cs="宋体"/>
                <w:sz w:val="24"/>
                <w:szCs w:val="24"/>
                <w:highlight w:val="none"/>
              </w:rPr>
              <w:t>中</w:t>
            </w:r>
            <w:r>
              <w:rPr>
                <w:rFonts w:ascii="宋体" w:hAnsi="宋体" w:eastAsia="宋体" w:cs="宋体"/>
                <w:sz w:val="24"/>
                <w:szCs w:val="24"/>
                <w:highlight w:val="none"/>
              </w:rPr>
              <w:t>标人</w:t>
            </w:r>
            <w:r>
              <w:rPr>
                <w:rFonts w:hint="eastAsia" w:asciiTheme="minorEastAsia" w:hAnsiTheme="minorEastAsia" w:eastAsiaTheme="minorEastAsia"/>
                <w:bCs/>
                <w:sz w:val="24"/>
                <w:szCs w:val="24"/>
                <w:highlight w:val="none"/>
              </w:rPr>
              <w:t>在取得政府采购中标或成交通知书后，可访问安徽省政府采购网“政采贷”栏目，查看和联系第三方平台或者金融机构，商洽融资事项，确定融资意向。</w:t>
            </w:r>
            <w:r>
              <w:rPr>
                <w:rFonts w:hint="eastAsia" w:ascii="宋体" w:hAnsi="宋体" w:eastAsia="宋体" w:cs="宋体"/>
                <w:sz w:val="24"/>
                <w:szCs w:val="24"/>
                <w:highlight w:val="none"/>
              </w:rPr>
              <w:t>中</w:t>
            </w:r>
            <w:r>
              <w:rPr>
                <w:rFonts w:ascii="宋体" w:hAnsi="宋体" w:eastAsia="宋体" w:cs="宋体"/>
                <w:sz w:val="24"/>
                <w:szCs w:val="24"/>
                <w:highlight w:val="none"/>
              </w:rPr>
              <w:t>标人</w:t>
            </w:r>
            <w:r>
              <w:rPr>
                <w:rFonts w:hint="eastAsia" w:asciiTheme="minorEastAsia" w:hAnsiTheme="minorEastAsia" w:eastAsiaTheme="minorEastAsia"/>
                <w:bCs/>
                <w:sz w:val="24"/>
                <w:szCs w:val="24"/>
                <w:highlight w:val="none"/>
              </w:rPr>
              <w:t>签署政府采购中标（成交）合同后，登录“徽采云”金融服务模块，选择意向产品进行申请，并填写相关信息，“徽采云”金融服务模块将</w:t>
            </w:r>
            <w:r>
              <w:rPr>
                <w:rFonts w:hint="eastAsia" w:ascii="宋体" w:hAnsi="宋体" w:eastAsia="宋体" w:cs="宋体"/>
                <w:sz w:val="24"/>
                <w:szCs w:val="24"/>
                <w:highlight w:val="none"/>
              </w:rPr>
              <w:t>中</w:t>
            </w:r>
            <w:r>
              <w:rPr>
                <w:rFonts w:ascii="宋体" w:hAnsi="宋体" w:eastAsia="宋体" w:cs="宋体"/>
                <w:sz w:val="24"/>
                <w:szCs w:val="24"/>
                <w:highlight w:val="none"/>
              </w:rPr>
              <w:t>标人</w:t>
            </w:r>
            <w:r>
              <w:rPr>
                <w:rFonts w:hint="eastAsia" w:asciiTheme="minorEastAsia" w:hAnsiTheme="minorEastAsia" w:eastAsiaTheme="minorEastAsia"/>
                <w:bCs/>
                <w:sz w:val="24"/>
                <w:szCs w:val="24"/>
                <w:highlight w:val="none"/>
              </w:rPr>
              <w:t>融资申请信息推送第三方平台、意向金融机构。</w:t>
            </w:r>
          </w:p>
          <w:p w14:paraId="028F48D2">
            <w:pPr>
              <w:pStyle w:val="47"/>
              <w:widowControl w:val="0"/>
              <w:spacing w:before="0" w:beforeAutospacing="0" w:after="0" w:afterAutospacing="0" w:line="360" w:lineRule="auto"/>
              <w:jc w:val="both"/>
              <w:rPr>
                <w:rFonts w:asciiTheme="minorEastAsia" w:hAnsiTheme="minorEastAsia" w:eastAsiaTheme="minorEastAsia"/>
                <w:b w:val="0"/>
                <w:kern w:val="2"/>
                <w:sz w:val="24"/>
                <w:szCs w:val="24"/>
                <w:highlight w:val="none"/>
              </w:rPr>
            </w:pPr>
            <w:r>
              <w:rPr>
                <w:rFonts w:hint="eastAsia" w:asciiTheme="minorEastAsia" w:hAnsiTheme="minorEastAsia" w:eastAsiaTheme="minorEastAsia"/>
                <w:b w:val="0"/>
                <w:kern w:val="2"/>
                <w:sz w:val="24"/>
                <w:szCs w:val="24"/>
                <w:highlight w:val="none"/>
              </w:rPr>
              <w:t>3、电子保函指引：中标人可访问安徽省政府采购网“融资/保函”栏目，申请办理电子保函（包括：履约保函、预付款保函）。</w:t>
            </w:r>
          </w:p>
        </w:tc>
      </w:tr>
    </w:tbl>
    <w:p w14:paraId="1BEC4F72">
      <w:pPr>
        <w:spacing w:line="360" w:lineRule="auto"/>
        <w:jc w:val="center"/>
        <w:outlineLvl w:val="1"/>
        <w:rPr>
          <w:rFonts w:asciiTheme="minorEastAsia" w:hAnsiTheme="minorEastAsia" w:eastAsiaTheme="minorEastAsia"/>
          <w:b/>
          <w:sz w:val="24"/>
          <w:highlight w:val="none"/>
        </w:rPr>
      </w:pPr>
      <w:r>
        <w:rPr>
          <w:rFonts w:asciiTheme="minorEastAsia" w:hAnsiTheme="minorEastAsia" w:eastAsiaTheme="minorEastAsia"/>
          <w:b/>
          <w:sz w:val="28"/>
          <w:highlight w:val="none"/>
        </w:rPr>
        <w:br w:type="page"/>
      </w:r>
      <w:bookmarkStart w:id="21" w:name="_Toc14880"/>
      <w:bookmarkStart w:id="22" w:name="_Toc24882"/>
      <w:r>
        <w:rPr>
          <w:rFonts w:hint="eastAsia" w:asciiTheme="minorEastAsia" w:hAnsiTheme="minorEastAsia" w:eastAsiaTheme="minorEastAsia"/>
          <w:b/>
          <w:sz w:val="24"/>
          <w:szCs w:val="24"/>
          <w:highlight w:val="none"/>
        </w:rPr>
        <w:t>二、</w:t>
      </w:r>
      <w:r>
        <w:rPr>
          <w:rFonts w:asciiTheme="minorEastAsia" w:hAnsiTheme="minorEastAsia" w:eastAsiaTheme="minorEastAsia"/>
          <w:b/>
          <w:sz w:val="24"/>
          <w:szCs w:val="24"/>
          <w:highlight w:val="none"/>
        </w:rPr>
        <w:t>投标人须知</w:t>
      </w:r>
      <w:r>
        <w:rPr>
          <w:rFonts w:hint="eastAsia" w:asciiTheme="minorEastAsia" w:hAnsiTheme="minorEastAsia" w:eastAsiaTheme="minorEastAsia"/>
          <w:b/>
          <w:sz w:val="24"/>
          <w:szCs w:val="24"/>
          <w:highlight w:val="none"/>
        </w:rPr>
        <w:t>正文</w:t>
      </w:r>
      <w:bookmarkEnd w:id="21"/>
      <w:bookmarkEnd w:id="22"/>
    </w:p>
    <w:p w14:paraId="6C8880CC">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1.采购人、采购代理机构及投标人</w:t>
      </w:r>
    </w:p>
    <w:p w14:paraId="4EDE0EA4">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.1采购人：是指依法开展政府采购活动的国家机关、事业单位、团体组织。</w:t>
      </w:r>
    </w:p>
    <w:p w14:paraId="1439DA37">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.2采购代理机构：是指集中采购机构或从事采购代理业务的社会中介机构。</w:t>
      </w:r>
    </w:p>
    <w:p w14:paraId="133EBDA8">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.3政府采购监督管理部门：</w:t>
      </w:r>
      <w:r>
        <w:rPr>
          <w:rFonts w:hint="eastAsia" w:ascii="宋体" w:hAnsi="宋体" w:eastAsia="宋体"/>
          <w:sz w:val="24"/>
          <w:highlight w:val="none"/>
        </w:rPr>
        <w:t>各级人民政府指定的有关部门依法履行与政府采购活动有关的监督管理职责。</w:t>
      </w:r>
    </w:p>
    <w:p w14:paraId="5AE12DE5">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.4投标人：是指向采购人提供货物、工程或者服务的法人、</w:t>
      </w:r>
      <w:r>
        <w:rPr>
          <w:rFonts w:hint="eastAsia" w:ascii="宋体" w:hAnsi="宋体" w:eastAsia="宋体"/>
          <w:sz w:val="24"/>
          <w:highlight w:val="none"/>
        </w:rPr>
        <w:t>其他</w:t>
      </w:r>
      <w:r>
        <w:rPr>
          <w:rFonts w:ascii="宋体" w:hAnsi="宋体" w:eastAsia="宋体"/>
          <w:sz w:val="24"/>
          <w:highlight w:val="none"/>
        </w:rPr>
        <w:t>组织或者自然人。</w:t>
      </w:r>
      <w:r>
        <w:rPr>
          <w:rFonts w:hint="eastAsia" w:ascii="宋体" w:hAnsi="宋体" w:eastAsia="宋体"/>
          <w:sz w:val="24"/>
          <w:highlight w:val="none"/>
        </w:rPr>
        <w:t>分支机构不得参加政府采购活动，但银行、保险、石油石化、电力、电信等特殊行业除外。</w:t>
      </w:r>
      <w:r>
        <w:rPr>
          <w:rFonts w:ascii="宋体" w:hAnsi="宋体" w:eastAsia="宋体"/>
          <w:sz w:val="24"/>
          <w:highlight w:val="none"/>
        </w:rPr>
        <w:t>本项目的投标人须满足以下条件：</w:t>
      </w:r>
    </w:p>
    <w:p w14:paraId="2569C0E1">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4.</w:t>
      </w:r>
      <w:r>
        <w:rPr>
          <w:rFonts w:hint="eastAsia" w:ascii="宋体" w:hAnsi="宋体" w:eastAsia="宋体"/>
          <w:sz w:val="24"/>
          <w:highlight w:val="none"/>
        </w:rPr>
        <w:t>1</w:t>
      </w:r>
      <w:r>
        <w:rPr>
          <w:rFonts w:ascii="宋体" w:hAnsi="宋体" w:eastAsia="宋体"/>
          <w:sz w:val="24"/>
          <w:highlight w:val="none"/>
        </w:rPr>
        <w:t>具备《中华人民共和国政府采购法》第二十二条关于供应商条件的规定，遵守本项目采购人本级和上级财政部门政府采购的有关规定。</w:t>
      </w:r>
    </w:p>
    <w:p w14:paraId="7805AF69">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4.</w:t>
      </w:r>
      <w:r>
        <w:rPr>
          <w:rFonts w:hint="eastAsia" w:ascii="宋体" w:hAnsi="宋体" w:eastAsia="宋体"/>
          <w:sz w:val="24"/>
          <w:highlight w:val="none"/>
        </w:rPr>
        <w:t>2</w:t>
      </w:r>
      <w:r>
        <w:rPr>
          <w:rFonts w:ascii="宋体" w:hAnsi="宋体" w:eastAsia="宋体"/>
          <w:sz w:val="24"/>
          <w:highlight w:val="none"/>
        </w:rPr>
        <w:t>以采购代理机构认可的方式获得了本项目的招标文件。</w:t>
      </w:r>
    </w:p>
    <w:p w14:paraId="3CBDB7CD">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4.</w:t>
      </w:r>
      <w:r>
        <w:rPr>
          <w:rFonts w:hint="eastAsia" w:ascii="宋体" w:hAnsi="宋体" w:eastAsia="宋体"/>
          <w:sz w:val="24"/>
          <w:highlight w:val="none"/>
        </w:rPr>
        <w:t>3</w:t>
      </w:r>
      <w:r>
        <w:rPr>
          <w:rFonts w:ascii="宋体" w:hAnsi="宋体" w:eastAsia="宋体"/>
          <w:sz w:val="24"/>
          <w:highlight w:val="none"/>
        </w:rPr>
        <w:t>若</w:t>
      </w:r>
      <w:r>
        <w:rPr>
          <w:rFonts w:hint="eastAsia" w:ascii="宋体" w:hAnsi="宋体" w:eastAsia="宋体"/>
          <w:sz w:val="24"/>
          <w:highlight w:val="none"/>
        </w:rPr>
        <w:t>采购需求</w:t>
      </w:r>
      <w:r>
        <w:rPr>
          <w:rFonts w:ascii="宋体" w:hAnsi="宋体" w:eastAsia="宋体"/>
          <w:sz w:val="24"/>
          <w:highlight w:val="none"/>
        </w:rPr>
        <w:t>中写明允许采购进口产品，投标人应保证所投产品可履行合法报通关手续进入中国关境内。</w:t>
      </w:r>
    </w:p>
    <w:p w14:paraId="3D53FE46">
      <w:pPr>
        <w:spacing w:line="360" w:lineRule="auto"/>
        <w:ind w:firstLine="435"/>
        <w:rPr>
          <w:rFonts w:ascii="宋体" w:hAnsi="宋体" w:eastAsia="宋体"/>
          <w:sz w:val="24"/>
          <w:highlight w:val="none"/>
        </w:rPr>
      </w:pPr>
      <w:r>
        <w:rPr>
          <w:rFonts w:hint="eastAsia" w:ascii="宋体" w:hAnsi="宋体" w:eastAsia="宋体"/>
          <w:sz w:val="24"/>
          <w:highlight w:val="none"/>
        </w:rPr>
        <w:t>若采购需求中未写明允许采购进口产品，如投标人所投产品为进口产品，其投标将被认定为</w:t>
      </w:r>
      <w:r>
        <w:rPr>
          <w:rFonts w:hint="eastAsia" w:ascii="宋体" w:hAnsi="宋体" w:eastAsia="宋体"/>
          <w:b/>
          <w:sz w:val="24"/>
          <w:highlight w:val="none"/>
        </w:rPr>
        <w:t>投标无效</w:t>
      </w:r>
      <w:r>
        <w:rPr>
          <w:rFonts w:hint="eastAsia" w:ascii="宋体" w:hAnsi="宋体" w:eastAsia="宋体"/>
          <w:sz w:val="24"/>
          <w:highlight w:val="none"/>
        </w:rPr>
        <w:t>。</w:t>
      </w:r>
    </w:p>
    <w:p w14:paraId="2B46D690">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w:t>
      </w:r>
      <w:r>
        <w:rPr>
          <w:rFonts w:hint="eastAsia" w:ascii="宋体" w:hAnsi="宋体" w:eastAsia="宋体"/>
          <w:sz w:val="24"/>
          <w:highlight w:val="none"/>
        </w:rPr>
        <w:t>若招标公告</w:t>
      </w:r>
      <w:r>
        <w:rPr>
          <w:rFonts w:ascii="宋体" w:hAnsi="宋体" w:eastAsia="宋体"/>
          <w:sz w:val="24"/>
          <w:highlight w:val="none"/>
        </w:rPr>
        <w:t>中允许联合体投标，对联合体规定如下：</w:t>
      </w:r>
    </w:p>
    <w:p w14:paraId="23911083">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5.1两个以上供应商可以组成一个投标联合体，以一个投标人的身份投标。联合体投标的，</w:t>
      </w:r>
      <w:r>
        <w:rPr>
          <w:rFonts w:hint="eastAsia" w:ascii="宋体" w:hAnsi="宋体" w:eastAsia="宋体"/>
          <w:sz w:val="24"/>
          <w:highlight w:val="none"/>
        </w:rPr>
        <w:t>招标文件获取</w:t>
      </w:r>
      <w:r>
        <w:rPr>
          <w:rFonts w:ascii="宋体" w:hAnsi="宋体" w:eastAsia="宋体"/>
          <w:sz w:val="24"/>
          <w:highlight w:val="none"/>
        </w:rPr>
        <w:t>手续由联合体</w:t>
      </w:r>
      <w:r>
        <w:rPr>
          <w:rFonts w:hint="eastAsia" w:ascii="宋体" w:hAnsi="宋体" w:eastAsia="宋体"/>
          <w:sz w:val="24"/>
          <w:highlight w:val="none"/>
        </w:rPr>
        <w:t>中</w:t>
      </w:r>
      <w:r>
        <w:rPr>
          <w:rFonts w:ascii="宋体" w:hAnsi="宋体" w:eastAsia="宋体"/>
          <w:sz w:val="24"/>
          <w:highlight w:val="none"/>
        </w:rPr>
        <w:t>任</w:t>
      </w:r>
      <w:r>
        <w:rPr>
          <w:rFonts w:hint="eastAsia" w:ascii="宋体" w:hAnsi="宋体" w:eastAsia="宋体"/>
          <w:sz w:val="24"/>
          <w:highlight w:val="none"/>
        </w:rPr>
        <w:t>一成员单位</w:t>
      </w:r>
      <w:r>
        <w:rPr>
          <w:rFonts w:ascii="宋体" w:hAnsi="宋体" w:eastAsia="宋体"/>
          <w:sz w:val="24"/>
          <w:highlight w:val="none"/>
        </w:rPr>
        <w:t>办理均可。</w:t>
      </w:r>
    </w:p>
    <w:p w14:paraId="6FC212DA">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5.2联合体各方均应符合《中华人民共和国政府采购法》第二十二条规定的条件。</w:t>
      </w:r>
    </w:p>
    <w:p w14:paraId="7F6F11E2">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5.3采购人根据采购项目对投标人的特殊要求，联合体中至少应当有一方符合相关规定。</w:t>
      </w:r>
    </w:p>
    <w:p w14:paraId="5A613693">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5.4联合体各方应签订</w:t>
      </w:r>
      <w:r>
        <w:rPr>
          <w:rFonts w:hint="eastAsia" w:ascii="宋体" w:hAnsi="宋体" w:eastAsia="宋体"/>
          <w:sz w:val="24"/>
          <w:highlight w:val="none"/>
        </w:rPr>
        <w:t>联合协议</w:t>
      </w:r>
      <w:r>
        <w:rPr>
          <w:rFonts w:ascii="宋体" w:hAnsi="宋体" w:eastAsia="宋体"/>
          <w:sz w:val="24"/>
          <w:highlight w:val="none"/>
        </w:rPr>
        <w:t>，明确约定联合体各方承担的工作和相应的责任，并将</w:t>
      </w:r>
      <w:r>
        <w:rPr>
          <w:rFonts w:hint="eastAsia" w:ascii="宋体" w:hAnsi="宋体" w:eastAsia="宋体"/>
          <w:sz w:val="24"/>
          <w:highlight w:val="none"/>
        </w:rPr>
        <w:t>联合协议</w:t>
      </w:r>
      <w:r>
        <w:rPr>
          <w:rFonts w:ascii="宋体" w:hAnsi="宋体" w:eastAsia="宋体"/>
          <w:sz w:val="24"/>
          <w:highlight w:val="none"/>
        </w:rPr>
        <w:t>作为投标文件</w:t>
      </w:r>
      <w:r>
        <w:rPr>
          <w:rFonts w:hint="eastAsia" w:ascii="宋体" w:hAnsi="宋体" w:eastAsia="宋体"/>
          <w:sz w:val="24"/>
          <w:highlight w:val="none"/>
        </w:rPr>
        <w:t>的</w:t>
      </w:r>
      <w:r>
        <w:rPr>
          <w:rFonts w:ascii="宋体" w:hAnsi="宋体" w:eastAsia="宋体"/>
          <w:sz w:val="24"/>
          <w:highlight w:val="none"/>
        </w:rPr>
        <w:t>一部分提交。</w:t>
      </w:r>
    </w:p>
    <w:p w14:paraId="7D5CD057">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5.5大中型企业、其他自然人、法人或者非法人组织与小型、微型企业组成联合体共同参加投标，</w:t>
      </w:r>
      <w:r>
        <w:rPr>
          <w:rFonts w:hint="eastAsia" w:ascii="宋体" w:hAnsi="宋体" w:eastAsia="宋体"/>
          <w:sz w:val="24"/>
          <w:highlight w:val="none"/>
        </w:rPr>
        <w:t>联合协议中</w:t>
      </w:r>
      <w:r>
        <w:rPr>
          <w:rFonts w:ascii="宋体" w:hAnsi="宋体" w:eastAsia="宋体"/>
          <w:sz w:val="24"/>
          <w:highlight w:val="none"/>
        </w:rPr>
        <w:t>应写明小型、微型企业的协议合同金额占到</w:t>
      </w:r>
      <w:r>
        <w:rPr>
          <w:rFonts w:hint="eastAsia" w:ascii="宋体" w:hAnsi="宋体" w:eastAsia="宋体"/>
          <w:sz w:val="24"/>
          <w:highlight w:val="none"/>
        </w:rPr>
        <w:t>联合协议</w:t>
      </w:r>
      <w:r>
        <w:rPr>
          <w:rFonts w:ascii="宋体" w:hAnsi="宋体" w:eastAsia="宋体"/>
          <w:sz w:val="24"/>
          <w:highlight w:val="none"/>
        </w:rPr>
        <w:t>投标总金额的比例。</w:t>
      </w:r>
    </w:p>
    <w:p w14:paraId="10E93B9B">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5.6</w:t>
      </w:r>
      <w:r>
        <w:rPr>
          <w:rFonts w:hint="eastAsia" w:ascii="宋体" w:hAnsi="宋体" w:eastAsia="宋体"/>
          <w:sz w:val="24"/>
          <w:highlight w:val="none"/>
        </w:rPr>
        <w:t>联合体中有同类资质的供应商按照联合体分工承担相同工作的，</w:t>
      </w:r>
      <w:r>
        <w:rPr>
          <w:rFonts w:ascii="宋体" w:hAnsi="宋体" w:eastAsia="宋体"/>
          <w:sz w:val="24"/>
          <w:highlight w:val="none"/>
        </w:rPr>
        <w:t>应当按照</w:t>
      </w:r>
      <w:r>
        <w:rPr>
          <w:rFonts w:hint="eastAsia" w:ascii="宋体" w:hAnsi="宋体" w:eastAsia="宋体"/>
          <w:sz w:val="24"/>
          <w:highlight w:val="none"/>
        </w:rPr>
        <w:t>资质等级较低的供应商确定资质等级。</w:t>
      </w:r>
    </w:p>
    <w:p w14:paraId="7C6ECD68">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5.7以联合体形式参加政府采购活动的，联合体各方不得再单独参加或者与其他供应商另外组成联合体参加本项目投标，否则相关投标将被认定为</w:t>
      </w:r>
      <w:r>
        <w:rPr>
          <w:rFonts w:ascii="宋体" w:hAnsi="宋体" w:eastAsia="宋体"/>
          <w:b/>
          <w:sz w:val="24"/>
          <w:highlight w:val="none"/>
        </w:rPr>
        <w:t>投标无效</w:t>
      </w:r>
      <w:r>
        <w:rPr>
          <w:rFonts w:ascii="宋体" w:hAnsi="宋体" w:eastAsia="宋体"/>
          <w:sz w:val="24"/>
          <w:highlight w:val="none"/>
        </w:rPr>
        <w:t>。</w:t>
      </w:r>
    </w:p>
    <w:p w14:paraId="4F502461">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5.8对联合体投标的其他资格要求见</w:t>
      </w:r>
      <w:r>
        <w:rPr>
          <w:rFonts w:hint="eastAsia" w:ascii="宋体" w:hAnsi="宋体" w:eastAsia="宋体"/>
          <w:sz w:val="24"/>
          <w:highlight w:val="none"/>
        </w:rPr>
        <w:t>申请人的资格要求</w:t>
      </w:r>
      <w:r>
        <w:rPr>
          <w:rFonts w:ascii="宋体" w:hAnsi="宋体" w:eastAsia="宋体"/>
          <w:sz w:val="24"/>
          <w:highlight w:val="none"/>
        </w:rPr>
        <w:t>。</w:t>
      </w:r>
    </w:p>
    <w:p w14:paraId="7530B6A5">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2.资金落实情况</w:t>
      </w:r>
    </w:p>
    <w:p w14:paraId="76B8CFF4">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本</w:t>
      </w:r>
      <w:r>
        <w:rPr>
          <w:rFonts w:hint="eastAsia" w:ascii="宋体" w:hAnsi="宋体" w:eastAsia="宋体"/>
          <w:sz w:val="24"/>
          <w:highlight w:val="none"/>
        </w:rPr>
        <w:t>项目</w:t>
      </w:r>
      <w:r>
        <w:rPr>
          <w:rFonts w:hint="eastAsia" w:asciiTheme="minorEastAsia" w:hAnsiTheme="minorEastAsia" w:eastAsiaTheme="minorEastAsia"/>
          <w:sz w:val="24"/>
          <w:highlight w:val="none"/>
        </w:rPr>
        <w:t>的采购人已获得足以支付本次招标后所签订的合同项下的资金。</w:t>
      </w:r>
    </w:p>
    <w:p w14:paraId="43AC0D9B">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3.投标费用</w:t>
      </w:r>
    </w:p>
    <w:p w14:paraId="0195745A">
      <w:pPr>
        <w:spacing w:line="360" w:lineRule="auto"/>
        <w:ind w:firstLine="435"/>
        <w:rPr>
          <w:rFonts w:ascii="宋体" w:hAnsi="宋体" w:eastAsia="宋体"/>
          <w:sz w:val="24"/>
          <w:highlight w:val="none"/>
        </w:rPr>
      </w:pPr>
      <w:r>
        <w:rPr>
          <w:rFonts w:hint="eastAsia" w:ascii="宋体" w:hAnsi="宋体" w:eastAsia="宋体"/>
          <w:sz w:val="24"/>
          <w:highlight w:val="none"/>
        </w:rPr>
        <w:t>不论投标的结果如何，投标人应承担所有与准备和参加投标有关的费用。</w:t>
      </w:r>
    </w:p>
    <w:p w14:paraId="1E8E360E">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4.适用法律</w:t>
      </w:r>
    </w:p>
    <w:p w14:paraId="5168E07E">
      <w:pPr>
        <w:spacing w:line="360" w:lineRule="auto"/>
        <w:ind w:firstLine="435"/>
        <w:rPr>
          <w:rFonts w:asciiTheme="minorEastAsia" w:hAnsiTheme="minorEastAsia" w:eastAsiaTheme="minorEastAsia"/>
          <w:b/>
          <w:sz w:val="24"/>
          <w:highlight w:val="none"/>
        </w:rPr>
      </w:pPr>
      <w:r>
        <w:rPr>
          <w:rFonts w:hint="eastAsia" w:ascii="宋体" w:hAnsi="宋体" w:eastAsia="宋体"/>
          <w:sz w:val="24"/>
          <w:highlight w:val="none"/>
        </w:rPr>
        <w:t>本项目采购人、采购代理机构、投标人、评标委员会的相关行为均受《中华人民共和国政府采购法》、《中华人民共和国政府采购法实施条例》及本项目本级和上级财政部门、政府采购监督管理部门的政府采购有关规定的约束，其权利受到上述法律法规的保护。</w:t>
      </w:r>
    </w:p>
    <w:p w14:paraId="229CED87">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5.招标文件构成</w:t>
      </w:r>
    </w:p>
    <w:p w14:paraId="01415322">
      <w:pPr>
        <w:spacing w:line="360" w:lineRule="auto"/>
        <w:ind w:firstLine="435"/>
        <w:rPr>
          <w:rFonts w:ascii="宋体" w:hAnsi="宋体" w:eastAsia="宋体"/>
          <w:sz w:val="24"/>
          <w:highlight w:val="none"/>
        </w:rPr>
      </w:pPr>
      <w:r>
        <w:rPr>
          <w:rFonts w:hint="eastAsia" w:ascii="宋体" w:hAnsi="宋体" w:eastAsia="宋体"/>
          <w:sz w:val="24"/>
          <w:highlight w:val="none"/>
        </w:rPr>
        <w:t>5.1招标文件包括下列内容：</w:t>
      </w:r>
    </w:p>
    <w:p w14:paraId="79E0C0E7">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第一章</w:t>
      </w:r>
      <w:r>
        <w:rPr>
          <w:rFonts w:asciiTheme="minorEastAsia" w:hAnsiTheme="minorEastAsia" w:eastAsiaTheme="minorEastAsia"/>
          <w:sz w:val="24"/>
          <w:highlight w:val="none"/>
        </w:rPr>
        <w:t xml:space="preserve">  投标邀请</w:t>
      </w:r>
    </w:p>
    <w:p w14:paraId="627BD183">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第二章</w:t>
      </w:r>
      <w:r>
        <w:rPr>
          <w:rFonts w:asciiTheme="minorEastAsia" w:hAnsiTheme="minorEastAsia" w:eastAsiaTheme="minorEastAsia"/>
          <w:sz w:val="24"/>
          <w:highlight w:val="none"/>
        </w:rPr>
        <w:t xml:space="preserve">  投标人须知</w:t>
      </w:r>
    </w:p>
    <w:p w14:paraId="7E9141E9">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第三章</w:t>
      </w:r>
      <w:r>
        <w:rPr>
          <w:rFonts w:asciiTheme="minorEastAsia" w:hAnsiTheme="minorEastAsia" w:eastAsiaTheme="minorEastAsia"/>
          <w:sz w:val="24"/>
          <w:highlight w:val="none"/>
        </w:rPr>
        <w:t xml:space="preserve">  采购需求</w:t>
      </w:r>
    </w:p>
    <w:p w14:paraId="7C09FB31">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第四章</w:t>
      </w:r>
      <w:r>
        <w:rPr>
          <w:rFonts w:asciiTheme="minorEastAsia" w:hAnsiTheme="minorEastAsia" w:eastAsiaTheme="minorEastAsia"/>
          <w:sz w:val="24"/>
          <w:highlight w:val="none"/>
        </w:rPr>
        <w:t xml:space="preserve">  评标</w:t>
      </w:r>
      <w:r>
        <w:rPr>
          <w:rFonts w:hint="eastAsia" w:asciiTheme="minorEastAsia" w:hAnsiTheme="minorEastAsia" w:eastAsiaTheme="minorEastAsia"/>
          <w:sz w:val="24"/>
          <w:highlight w:val="none"/>
        </w:rPr>
        <w:t>方法</w:t>
      </w:r>
      <w:r>
        <w:rPr>
          <w:rFonts w:asciiTheme="minorEastAsia" w:hAnsiTheme="minorEastAsia" w:eastAsiaTheme="minorEastAsia"/>
          <w:sz w:val="24"/>
          <w:highlight w:val="none"/>
        </w:rPr>
        <w:t>和标准</w:t>
      </w:r>
    </w:p>
    <w:p w14:paraId="49B7CFED">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第五章</w:t>
      </w:r>
      <w:r>
        <w:rPr>
          <w:rFonts w:asciiTheme="minorEastAsia" w:hAnsiTheme="minorEastAsia" w:eastAsiaTheme="minorEastAsia"/>
          <w:sz w:val="24"/>
          <w:highlight w:val="none"/>
        </w:rPr>
        <w:t xml:space="preserve">  政府采购合同</w:t>
      </w:r>
    </w:p>
    <w:p w14:paraId="64C87D94">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第六章</w:t>
      </w:r>
      <w:r>
        <w:rPr>
          <w:rFonts w:asciiTheme="minorEastAsia" w:hAnsiTheme="minorEastAsia" w:eastAsiaTheme="minorEastAsia"/>
          <w:sz w:val="24"/>
          <w:highlight w:val="none"/>
        </w:rPr>
        <w:t xml:space="preserve">  投标文件格式</w:t>
      </w:r>
    </w:p>
    <w:p w14:paraId="16B1E905">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第七章</w:t>
      </w:r>
      <w:r>
        <w:rPr>
          <w:rFonts w:asciiTheme="minorEastAsia" w:hAnsiTheme="minorEastAsia" w:eastAsiaTheme="minorEastAsia"/>
          <w:sz w:val="24"/>
          <w:highlight w:val="none"/>
        </w:rPr>
        <w:t xml:space="preserve">  政府采购</w:t>
      </w:r>
      <w:r>
        <w:rPr>
          <w:rFonts w:hint="eastAsia" w:asciiTheme="minorEastAsia" w:hAnsiTheme="minorEastAsia" w:eastAsiaTheme="minorEastAsia"/>
          <w:sz w:val="24"/>
          <w:highlight w:val="none"/>
        </w:rPr>
        <w:t>询问函和</w:t>
      </w:r>
      <w:r>
        <w:rPr>
          <w:rFonts w:asciiTheme="minorEastAsia" w:hAnsiTheme="minorEastAsia" w:eastAsiaTheme="minorEastAsia"/>
          <w:sz w:val="24"/>
          <w:highlight w:val="none"/>
        </w:rPr>
        <w:t>质疑函范本</w:t>
      </w:r>
    </w:p>
    <w:p w14:paraId="152DDA1E">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现场</w:t>
      </w:r>
      <w:r>
        <w:rPr>
          <w:rFonts w:hint="eastAsia" w:asciiTheme="minorEastAsia" w:hAnsiTheme="minorEastAsia" w:eastAsiaTheme="minorEastAsia"/>
          <w:sz w:val="24"/>
          <w:highlight w:val="none"/>
        </w:rPr>
        <w:t>考察（标前答疑会）</w:t>
      </w:r>
      <w:r>
        <w:rPr>
          <w:rFonts w:asciiTheme="minorEastAsia" w:hAnsiTheme="minorEastAsia" w:eastAsiaTheme="minorEastAsia"/>
          <w:sz w:val="24"/>
          <w:highlight w:val="none"/>
        </w:rPr>
        <w:t>及相关事项见</w:t>
      </w:r>
      <w:r>
        <w:rPr>
          <w:rFonts w:asciiTheme="minorEastAsia" w:hAnsiTheme="minorEastAsia" w:eastAsiaTheme="minorEastAsia"/>
          <w:sz w:val="24"/>
          <w:highlight w:val="none"/>
          <w:u w:val="single"/>
        </w:rPr>
        <w:t>投标</w:t>
      </w:r>
      <w:r>
        <w:rPr>
          <w:rFonts w:hint="eastAsia" w:asciiTheme="minorEastAsia" w:hAnsiTheme="minorEastAsia" w:eastAsiaTheme="minorEastAsia"/>
          <w:sz w:val="24"/>
          <w:highlight w:val="none"/>
          <w:u w:val="single"/>
        </w:rPr>
        <w:t>人</w:t>
      </w:r>
      <w:r>
        <w:rPr>
          <w:rFonts w:asciiTheme="minorEastAsia" w:hAnsiTheme="minorEastAsia" w:eastAsiaTheme="minorEastAsia"/>
          <w:sz w:val="24"/>
          <w:highlight w:val="none"/>
          <w:u w:val="single"/>
        </w:rPr>
        <w:t>须知前附表</w:t>
      </w:r>
      <w:r>
        <w:rPr>
          <w:rFonts w:asciiTheme="minorEastAsia" w:hAnsiTheme="minorEastAsia" w:eastAsiaTheme="minorEastAsia"/>
          <w:sz w:val="24"/>
          <w:highlight w:val="none"/>
        </w:rPr>
        <w:t>。</w:t>
      </w:r>
    </w:p>
    <w:p w14:paraId="0C4FEEE9">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原则上采购人、采购代理机构不要求投标人提供样品。仅凭书面方式不能准确描述采购需求，或者需要对样品进行主观判断以确认是否满足采购需求等特殊情况除外。</w:t>
      </w:r>
    </w:p>
    <w:p w14:paraId="2711E45D">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如需提供样品，对样品相关要求见</w:t>
      </w:r>
      <w:r>
        <w:rPr>
          <w:rFonts w:hint="eastAsia" w:asciiTheme="minorEastAsia" w:hAnsiTheme="minorEastAsia" w:eastAsiaTheme="minorEastAsia"/>
          <w:sz w:val="24"/>
          <w:highlight w:val="none"/>
        </w:rPr>
        <w:t>采购需求</w:t>
      </w:r>
      <w:r>
        <w:rPr>
          <w:rFonts w:asciiTheme="minorEastAsia" w:hAnsiTheme="minorEastAsia" w:eastAsiaTheme="minorEastAsia"/>
          <w:sz w:val="24"/>
          <w:highlight w:val="none"/>
        </w:rPr>
        <w:t>，对样品的评审方法及评审标准见招标文件第</w:t>
      </w:r>
      <w:r>
        <w:rPr>
          <w:rFonts w:hint="eastAsia" w:asciiTheme="minorEastAsia" w:hAnsiTheme="minorEastAsia" w:eastAsiaTheme="minorEastAsia"/>
          <w:sz w:val="24"/>
          <w:highlight w:val="none"/>
        </w:rPr>
        <w:t>四</w:t>
      </w:r>
      <w:r>
        <w:rPr>
          <w:rFonts w:asciiTheme="minorEastAsia" w:hAnsiTheme="minorEastAsia" w:eastAsiaTheme="minorEastAsia"/>
          <w:sz w:val="24"/>
          <w:highlight w:val="none"/>
        </w:rPr>
        <w:t>章。</w:t>
      </w:r>
    </w:p>
    <w:p w14:paraId="5528C9F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投标人应认真阅读招标文件所有的事项、格式、条款和技术规范等。</w:t>
      </w:r>
    </w:p>
    <w:p w14:paraId="4078B44C">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6.招标文件的澄清与修改</w:t>
      </w:r>
    </w:p>
    <w:p w14:paraId="30FBB2A2">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投标人如对招标文件内容有疑问，必须在</w:t>
      </w:r>
      <w:r>
        <w:rPr>
          <w:rFonts w:ascii="宋体" w:hAnsi="宋体" w:eastAsia="宋体"/>
          <w:sz w:val="24"/>
          <w:highlight w:val="none"/>
          <w:u w:val="single"/>
        </w:rPr>
        <w:t>投标人须知前附表</w:t>
      </w:r>
      <w:r>
        <w:rPr>
          <w:rFonts w:asciiTheme="minorEastAsia" w:hAnsiTheme="minorEastAsia" w:eastAsiaTheme="minorEastAsia"/>
          <w:sz w:val="24"/>
          <w:highlight w:val="none"/>
        </w:rPr>
        <w:t>规定的</w:t>
      </w:r>
      <w:r>
        <w:rPr>
          <w:rFonts w:hint="eastAsia" w:asciiTheme="minorEastAsia" w:hAnsiTheme="minorEastAsia" w:eastAsiaTheme="minorEastAsia"/>
          <w:sz w:val="24"/>
          <w:highlight w:val="none"/>
        </w:rPr>
        <w:t>网上询问</w:t>
      </w:r>
      <w:r>
        <w:rPr>
          <w:rFonts w:asciiTheme="minorEastAsia" w:hAnsiTheme="minorEastAsia" w:eastAsiaTheme="minorEastAsia"/>
          <w:sz w:val="24"/>
          <w:highlight w:val="none"/>
        </w:rPr>
        <w:t>截止时间前以网上提问形式</w:t>
      </w:r>
      <w:r>
        <w:rPr>
          <w:rFonts w:hint="eastAsia" w:asciiTheme="minorEastAsia" w:hAnsiTheme="minorEastAsia" w:eastAsiaTheme="minorEastAsia"/>
          <w:sz w:val="24"/>
          <w:highlight w:val="none"/>
        </w:rPr>
        <w:t>（电子交易系统）</w:t>
      </w:r>
      <w:r>
        <w:rPr>
          <w:rFonts w:asciiTheme="minorEastAsia" w:hAnsiTheme="minorEastAsia" w:eastAsiaTheme="minorEastAsia"/>
          <w:sz w:val="24"/>
          <w:highlight w:val="none"/>
        </w:rPr>
        <w:t>提交给采购代理机构。</w:t>
      </w:r>
    </w:p>
    <w:p w14:paraId="6D88A4F2">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2采购人可主动地或在答复投标人提出的询问时对招标文件进行澄清与修改。</w:t>
      </w:r>
      <w:r>
        <w:rPr>
          <w:rFonts w:asciiTheme="minorEastAsia" w:hAnsiTheme="minorEastAsia" w:eastAsiaTheme="minorEastAsia"/>
          <w:sz w:val="24"/>
          <w:highlight w:val="none"/>
        </w:rPr>
        <w:t>采购代理机构将</w:t>
      </w:r>
      <w:r>
        <w:rPr>
          <w:rFonts w:hint="eastAsia" w:asciiTheme="minorEastAsia" w:hAnsiTheme="minorEastAsia" w:eastAsiaTheme="minorEastAsia"/>
          <w:sz w:val="24"/>
          <w:highlight w:val="none"/>
        </w:rPr>
        <w:t>在安徽省政府采购网以发布更正公告的方式</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澄清或修改招标文件，更正公告的</w:t>
      </w:r>
      <w:r>
        <w:rPr>
          <w:rFonts w:asciiTheme="minorEastAsia" w:hAnsiTheme="minorEastAsia" w:eastAsiaTheme="minorEastAsia"/>
          <w:sz w:val="24"/>
          <w:highlight w:val="none"/>
        </w:rPr>
        <w:t>内容</w:t>
      </w:r>
      <w:r>
        <w:rPr>
          <w:rFonts w:hint="eastAsia" w:asciiTheme="minorEastAsia" w:hAnsiTheme="minorEastAsia" w:eastAsiaTheme="minorEastAsia"/>
          <w:sz w:val="24"/>
          <w:highlight w:val="none"/>
        </w:rPr>
        <w:t>作</w:t>
      </w:r>
      <w:r>
        <w:rPr>
          <w:rFonts w:asciiTheme="minorEastAsia" w:hAnsiTheme="minorEastAsia" w:eastAsiaTheme="minorEastAsia"/>
          <w:sz w:val="24"/>
          <w:highlight w:val="none"/>
        </w:rPr>
        <w:t>为招标文件</w:t>
      </w:r>
      <w:r>
        <w:rPr>
          <w:rFonts w:hint="eastAsia" w:asciiTheme="minorEastAsia" w:hAnsiTheme="minorEastAsia" w:eastAsiaTheme="minorEastAsia"/>
          <w:sz w:val="24"/>
          <w:highlight w:val="none"/>
        </w:rPr>
        <w:t>的</w:t>
      </w:r>
      <w:r>
        <w:rPr>
          <w:rFonts w:asciiTheme="minorEastAsia" w:hAnsiTheme="minorEastAsia" w:eastAsiaTheme="minorEastAsia"/>
          <w:sz w:val="24"/>
          <w:highlight w:val="none"/>
        </w:rPr>
        <w:t>组成部分，对投标人起约束作用</w:t>
      </w:r>
      <w:r>
        <w:rPr>
          <w:rFonts w:hint="eastAsia" w:asciiTheme="minorEastAsia" w:hAnsiTheme="minorEastAsia" w:eastAsiaTheme="minorEastAsia"/>
          <w:sz w:val="24"/>
          <w:highlight w:val="none"/>
        </w:rPr>
        <w:t>。投标人应主动上网查询。采购代理机构不承担投标人未及时关注相关信息引发的相关责任。</w:t>
      </w:r>
    </w:p>
    <w:p w14:paraId="75CA2484">
      <w:pPr>
        <w:spacing w:line="360" w:lineRule="auto"/>
        <w:ind w:firstLine="435"/>
        <w:rPr>
          <w:rFonts w:ascii="宋体" w:hAnsi="宋体" w:eastAsia="宋体"/>
          <w:sz w:val="24"/>
          <w:highlight w:val="none"/>
        </w:rPr>
      </w:pPr>
      <w:r>
        <w:rPr>
          <w:rFonts w:hint="eastAsia" w:ascii="宋体" w:hAnsi="宋体" w:eastAsia="宋体"/>
          <w:sz w:val="24"/>
          <w:highlight w:val="none"/>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21EE05D5">
      <w:pPr>
        <w:spacing w:line="360" w:lineRule="auto"/>
        <w:ind w:firstLine="435"/>
        <w:rPr>
          <w:rFonts w:asciiTheme="minorEastAsia" w:hAnsiTheme="minorEastAsia" w:eastAsiaTheme="minorEastAsia"/>
          <w:i/>
          <w:iCs/>
          <w:sz w:val="24"/>
          <w:highlight w:val="none"/>
        </w:rPr>
      </w:pPr>
      <w:r>
        <w:rPr>
          <w:rFonts w:hint="eastAsia" w:asciiTheme="minorEastAsia" w:hAnsiTheme="minorEastAsia" w:eastAsiaTheme="minorEastAsia"/>
          <w:sz w:val="24"/>
          <w:highlight w:val="none"/>
        </w:rPr>
        <w:t>6</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对于</w:t>
      </w:r>
      <w:r>
        <w:rPr>
          <w:rFonts w:ascii="宋体" w:hAnsi="宋体" w:eastAsia="宋体"/>
          <w:sz w:val="24"/>
          <w:highlight w:val="none"/>
        </w:rPr>
        <w:t>没有</w:t>
      </w:r>
      <w:r>
        <w:rPr>
          <w:rFonts w:asciiTheme="minorEastAsia" w:hAnsiTheme="minorEastAsia" w:eastAsiaTheme="minorEastAsia"/>
          <w:sz w:val="24"/>
          <w:highlight w:val="none"/>
        </w:rPr>
        <w:t>提出</w:t>
      </w:r>
      <w:r>
        <w:rPr>
          <w:rFonts w:hint="eastAsia" w:asciiTheme="minorEastAsia" w:hAnsiTheme="minorEastAsia" w:eastAsiaTheme="minorEastAsia"/>
          <w:sz w:val="24"/>
          <w:highlight w:val="none"/>
        </w:rPr>
        <w:t>疑问</w:t>
      </w:r>
      <w:r>
        <w:rPr>
          <w:rFonts w:asciiTheme="minorEastAsia" w:hAnsiTheme="minorEastAsia" w:eastAsiaTheme="minorEastAsia"/>
          <w:sz w:val="24"/>
          <w:highlight w:val="none"/>
        </w:rPr>
        <w:t>又参与了</w:t>
      </w:r>
      <w:r>
        <w:rPr>
          <w:rFonts w:hint="eastAsia" w:asciiTheme="minorEastAsia" w:hAnsiTheme="minorEastAsia" w:eastAsiaTheme="minorEastAsia"/>
          <w:sz w:val="24"/>
          <w:highlight w:val="none"/>
        </w:rPr>
        <w:t>本</w:t>
      </w:r>
      <w:r>
        <w:rPr>
          <w:rFonts w:asciiTheme="minorEastAsia" w:hAnsiTheme="minorEastAsia" w:eastAsiaTheme="minorEastAsia"/>
          <w:sz w:val="24"/>
          <w:highlight w:val="none"/>
        </w:rPr>
        <w:t>项目投标的</w:t>
      </w:r>
      <w:r>
        <w:rPr>
          <w:rFonts w:hint="eastAsia" w:asciiTheme="minorEastAsia" w:hAnsiTheme="minorEastAsia" w:eastAsiaTheme="minorEastAsia"/>
          <w:sz w:val="24"/>
          <w:highlight w:val="none"/>
        </w:rPr>
        <w:t>投标人</w:t>
      </w:r>
      <w:r>
        <w:rPr>
          <w:rFonts w:asciiTheme="minorEastAsia" w:hAnsiTheme="minorEastAsia" w:eastAsiaTheme="minorEastAsia"/>
          <w:sz w:val="24"/>
          <w:highlight w:val="none"/>
        </w:rPr>
        <w:t>将被视为完全认同</w:t>
      </w:r>
      <w:r>
        <w:rPr>
          <w:rFonts w:hint="eastAsia" w:asciiTheme="minorEastAsia" w:hAnsiTheme="minorEastAsia" w:eastAsiaTheme="minorEastAsia"/>
          <w:sz w:val="24"/>
          <w:highlight w:val="none"/>
        </w:rPr>
        <w:t>本</w:t>
      </w:r>
      <w:r>
        <w:rPr>
          <w:rFonts w:asciiTheme="minorEastAsia" w:hAnsiTheme="minorEastAsia" w:eastAsiaTheme="minorEastAsia"/>
          <w:sz w:val="24"/>
          <w:highlight w:val="none"/>
        </w:rPr>
        <w:t>招标文件（含</w:t>
      </w:r>
      <w:r>
        <w:rPr>
          <w:rFonts w:hint="eastAsia" w:asciiTheme="minorEastAsia" w:hAnsiTheme="minorEastAsia" w:eastAsiaTheme="minorEastAsia"/>
          <w:sz w:val="24"/>
          <w:highlight w:val="none"/>
        </w:rPr>
        <w:t>更正公告的</w:t>
      </w:r>
      <w:r>
        <w:rPr>
          <w:rFonts w:asciiTheme="minorEastAsia" w:hAnsiTheme="minorEastAsia" w:eastAsiaTheme="minorEastAsia"/>
          <w:sz w:val="24"/>
          <w:highlight w:val="none"/>
        </w:rPr>
        <w:t>内容）</w:t>
      </w:r>
      <w:r>
        <w:rPr>
          <w:rFonts w:hint="eastAsia" w:asciiTheme="minorEastAsia" w:hAnsiTheme="minorEastAsia" w:eastAsiaTheme="minorEastAsia"/>
          <w:i/>
          <w:sz w:val="24"/>
          <w:highlight w:val="none"/>
        </w:rPr>
        <w:t>。</w:t>
      </w:r>
    </w:p>
    <w:p w14:paraId="31FA2C5F">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7.投标范围及投标文件中标准和计量单位的使用</w:t>
      </w:r>
    </w:p>
    <w:p w14:paraId="707B9C7D">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.1</w:t>
      </w:r>
      <w:r>
        <w:rPr>
          <w:rFonts w:ascii="宋体" w:hAnsi="宋体" w:eastAsia="宋体"/>
          <w:sz w:val="24"/>
          <w:highlight w:val="none"/>
        </w:rPr>
        <w:t>项目</w:t>
      </w:r>
      <w:r>
        <w:rPr>
          <w:rFonts w:asciiTheme="minorEastAsia" w:hAnsiTheme="minorEastAsia" w:eastAsiaTheme="minorEastAsia"/>
          <w:sz w:val="24"/>
          <w:highlight w:val="none"/>
        </w:rPr>
        <w:t>有分包的，投标人可对招标文件其中某一个或几个分包进行投标，除非在</w:t>
      </w:r>
      <w:r>
        <w:rPr>
          <w:rFonts w:asciiTheme="minorEastAsia" w:hAnsiTheme="minorEastAsia" w:eastAsiaTheme="minorEastAsia"/>
          <w:sz w:val="24"/>
          <w:highlight w:val="none"/>
          <w:u w:val="single"/>
        </w:rPr>
        <w:t>投标人须知前附表</w:t>
      </w:r>
      <w:r>
        <w:rPr>
          <w:rFonts w:asciiTheme="minorEastAsia" w:hAnsiTheme="minorEastAsia" w:eastAsiaTheme="minorEastAsia"/>
          <w:sz w:val="24"/>
          <w:highlight w:val="none"/>
        </w:rPr>
        <w:t>中另有规定。</w:t>
      </w:r>
    </w:p>
    <w:p w14:paraId="0DF1EF70">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.2投标人应当对所投分包招标文件中“</w:t>
      </w:r>
      <w:r>
        <w:rPr>
          <w:rFonts w:hint="eastAsia" w:asciiTheme="minorEastAsia" w:hAnsiTheme="minorEastAsia" w:eastAsiaTheme="minorEastAsia"/>
          <w:sz w:val="24"/>
          <w:highlight w:val="none"/>
        </w:rPr>
        <w:t>采购</w:t>
      </w:r>
      <w:r>
        <w:rPr>
          <w:rFonts w:asciiTheme="minorEastAsia" w:hAnsiTheme="minorEastAsia" w:eastAsiaTheme="minorEastAsia"/>
          <w:sz w:val="24"/>
          <w:highlight w:val="none"/>
        </w:rPr>
        <w:t>需求”所列的所有内容进行投标，如仅响应</w:t>
      </w:r>
      <w:r>
        <w:rPr>
          <w:rFonts w:hint="eastAsia" w:asciiTheme="minorEastAsia" w:hAnsiTheme="minorEastAsia" w:eastAsiaTheme="minorEastAsia"/>
          <w:sz w:val="24"/>
          <w:highlight w:val="none"/>
        </w:rPr>
        <w:t>所投包别</w:t>
      </w:r>
      <w:r>
        <w:rPr>
          <w:rFonts w:asciiTheme="minorEastAsia" w:hAnsiTheme="minorEastAsia" w:eastAsiaTheme="minorEastAsia"/>
          <w:sz w:val="24"/>
          <w:highlight w:val="none"/>
        </w:rPr>
        <w:t>中的部分内容，其</w:t>
      </w:r>
      <w:r>
        <w:rPr>
          <w:rFonts w:hint="eastAsia" w:asciiTheme="minorEastAsia" w:hAnsiTheme="minorEastAsia" w:eastAsiaTheme="minorEastAsia"/>
          <w:sz w:val="24"/>
          <w:highlight w:val="none"/>
        </w:rPr>
        <w:t>所投包别的</w:t>
      </w:r>
      <w:r>
        <w:rPr>
          <w:rFonts w:asciiTheme="minorEastAsia" w:hAnsiTheme="minorEastAsia" w:eastAsiaTheme="minorEastAsia"/>
          <w:sz w:val="24"/>
          <w:highlight w:val="none"/>
        </w:rPr>
        <w:t>投标将被认定为</w:t>
      </w:r>
      <w:r>
        <w:rPr>
          <w:rFonts w:asciiTheme="minorEastAsia" w:hAnsiTheme="minorEastAsia" w:eastAsiaTheme="minorEastAsia"/>
          <w:b/>
          <w:sz w:val="24"/>
          <w:highlight w:val="none"/>
        </w:rPr>
        <w:t>投标无效</w:t>
      </w:r>
      <w:r>
        <w:rPr>
          <w:rFonts w:asciiTheme="minorEastAsia" w:hAnsiTheme="minorEastAsia" w:eastAsiaTheme="minorEastAsia"/>
          <w:sz w:val="24"/>
          <w:highlight w:val="none"/>
        </w:rPr>
        <w:t>。</w:t>
      </w:r>
    </w:p>
    <w:p w14:paraId="4512909D">
      <w:pPr>
        <w:spacing w:line="360" w:lineRule="auto"/>
        <w:ind w:firstLine="435"/>
        <w:rPr>
          <w:rFonts w:asciiTheme="minorEastAsia" w:hAnsiTheme="minorEastAsia" w:eastAsiaTheme="minorEastAsia"/>
          <w:sz w:val="24"/>
          <w:highlight w:val="none"/>
        </w:rPr>
      </w:pPr>
      <w:bookmarkStart w:id="23" w:name="_Hlk16458980"/>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.3无论招标文件中是否要求，</w:t>
      </w:r>
      <w:r>
        <w:rPr>
          <w:rFonts w:hint="eastAsia" w:asciiTheme="minorEastAsia" w:hAnsiTheme="minorEastAsia" w:eastAsiaTheme="minorEastAsia"/>
          <w:sz w:val="24"/>
          <w:highlight w:val="none"/>
        </w:rPr>
        <w:t>投标人所投货物及伴随的服务和工程均应符合国家强制性标准。</w:t>
      </w:r>
    </w:p>
    <w:bookmarkEnd w:id="23"/>
    <w:p w14:paraId="67108E70">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投标人与采购</w:t>
      </w:r>
      <w:r>
        <w:rPr>
          <w:rFonts w:hint="eastAsia" w:asciiTheme="minorEastAsia" w:hAnsiTheme="minorEastAsia" w:eastAsiaTheme="minorEastAsia"/>
          <w:sz w:val="24"/>
          <w:highlight w:val="none"/>
        </w:rPr>
        <w:t>代理</w:t>
      </w:r>
      <w:r>
        <w:rPr>
          <w:rFonts w:asciiTheme="minorEastAsia" w:hAnsiTheme="minorEastAsia" w:eastAsiaTheme="minorEastAsia"/>
          <w:sz w:val="24"/>
          <w:highlight w:val="none"/>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5A1F431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除</w:t>
      </w:r>
      <w:r>
        <w:rPr>
          <w:rFonts w:ascii="宋体" w:hAnsi="宋体" w:eastAsia="宋体"/>
          <w:sz w:val="24"/>
          <w:highlight w:val="none"/>
        </w:rPr>
        <w:t>招标文件</w:t>
      </w:r>
      <w:r>
        <w:rPr>
          <w:rFonts w:asciiTheme="minorEastAsia" w:hAnsiTheme="minorEastAsia" w:eastAsiaTheme="minorEastAsia"/>
          <w:sz w:val="24"/>
          <w:highlight w:val="none"/>
        </w:rPr>
        <w:t>中有特殊要求外，投标文件中所使用的计量单位，应采用中华人民共和国法定计量单位。</w:t>
      </w:r>
    </w:p>
    <w:p w14:paraId="321CB786">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8</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投标文件构成</w:t>
      </w:r>
    </w:p>
    <w:p w14:paraId="13D56C88">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8</w:t>
      </w:r>
      <w:r>
        <w:rPr>
          <w:rFonts w:asciiTheme="minorEastAsia" w:hAnsiTheme="minorEastAsia" w:eastAsiaTheme="minorEastAsia"/>
          <w:sz w:val="24"/>
          <w:highlight w:val="none"/>
        </w:rPr>
        <w:t>.1</w:t>
      </w:r>
      <w:r>
        <w:rPr>
          <w:rFonts w:ascii="宋体" w:hAnsi="宋体" w:eastAsia="宋体"/>
          <w:sz w:val="24"/>
          <w:highlight w:val="none"/>
        </w:rPr>
        <w:t>投标人</w:t>
      </w:r>
      <w:r>
        <w:rPr>
          <w:rFonts w:asciiTheme="minorEastAsia" w:hAnsiTheme="minorEastAsia" w:eastAsiaTheme="minorEastAsia"/>
          <w:sz w:val="24"/>
          <w:highlight w:val="none"/>
        </w:rPr>
        <w:t>应完整地按招标文件提供的投标文件格式及要求</w:t>
      </w:r>
      <w:r>
        <w:rPr>
          <w:rFonts w:hint="eastAsia" w:asciiTheme="minorEastAsia" w:hAnsiTheme="minorEastAsia" w:eastAsiaTheme="minorEastAsia"/>
          <w:sz w:val="24"/>
          <w:highlight w:val="none"/>
        </w:rPr>
        <w:t>编</w:t>
      </w:r>
      <w:r>
        <w:rPr>
          <w:rFonts w:asciiTheme="minorEastAsia" w:hAnsiTheme="minorEastAsia" w:eastAsiaTheme="minorEastAsia"/>
          <w:sz w:val="24"/>
          <w:highlight w:val="none"/>
        </w:rPr>
        <w:t>写投标文件，</w:t>
      </w:r>
      <w:r>
        <w:rPr>
          <w:rFonts w:hint="eastAsia" w:asciiTheme="minorEastAsia" w:hAnsiTheme="minorEastAsia" w:eastAsiaTheme="minorEastAsia"/>
          <w:sz w:val="24"/>
          <w:highlight w:val="none"/>
        </w:rPr>
        <w:t>具体内容详见本项目投标文件格式的相关内容。</w:t>
      </w:r>
    </w:p>
    <w:p w14:paraId="7CD31D7D">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8.2</w:t>
      </w:r>
      <w:r>
        <w:rPr>
          <w:rFonts w:ascii="宋体" w:hAnsi="宋体" w:eastAsia="宋体"/>
          <w:sz w:val="24"/>
          <w:highlight w:val="none"/>
        </w:rPr>
        <w:t>投标人</w:t>
      </w:r>
      <w:r>
        <w:rPr>
          <w:rFonts w:asciiTheme="minorEastAsia" w:hAnsiTheme="minorEastAsia" w:eastAsiaTheme="minorEastAsia"/>
          <w:sz w:val="24"/>
          <w:highlight w:val="none"/>
        </w:rPr>
        <w:t>应提交</w:t>
      </w:r>
      <w:r>
        <w:rPr>
          <w:rFonts w:hint="eastAsia" w:asciiTheme="minorEastAsia" w:hAnsiTheme="minorEastAsia" w:eastAsiaTheme="minorEastAsia"/>
          <w:sz w:val="24"/>
          <w:highlight w:val="none"/>
        </w:rPr>
        <w:t>招标文件要求的</w:t>
      </w:r>
      <w:r>
        <w:rPr>
          <w:rFonts w:asciiTheme="minorEastAsia" w:hAnsiTheme="minorEastAsia" w:eastAsiaTheme="minorEastAsia"/>
          <w:sz w:val="24"/>
          <w:highlight w:val="none"/>
        </w:rPr>
        <w:t>证明文件，证明其投标内容符合招标文件规定</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该证明文件是投标文件的一部分</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证明文件</w:t>
      </w:r>
      <w:r>
        <w:rPr>
          <w:rFonts w:hint="eastAsia" w:asciiTheme="minorEastAsia" w:hAnsiTheme="minorEastAsia" w:eastAsiaTheme="minorEastAsia"/>
          <w:sz w:val="24"/>
          <w:highlight w:val="none"/>
        </w:rPr>
        <w:t>形式</w:t>
      </w:r>
      <w:r>
        <w:rPr>
          <w:rFonts w:asciiTheme="minorEastAsia" w:hAnsiTheme="minorEastAsia" w:eastAsiaTheme="minorEastAsia"/>
          <w:sz w:val="24"/>
          <w:highlight w:val="none"/>
        </w:rPr>
        <w:t>可以是文字资料、图纸和数据</w:t>
      </w:r>
      <w:bookmarkStart w:id="24" w:name="_Hlk11703583"/>
      <w:r>
        <w:rPr>
          <w:rFonts w:hint="eastAsia" w:asciiTheme="minorEastAsia" w:hAnsiTheme="minorEastAsia" w:eastAsiaTheme="minorEastAsia"/>
          <w:sz w:val="24"/>
          <w:highlight w:val="none"/>
        </w:rPr>
        <w:t>等。</w:t>
      </w:r>
    </w:p>
    <w:bookmarkEnd w:id="24"/>
    <w:p w14:paraId="62FAEF55">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8.3</w:t>
      </w:r>
      <w:r>
        <w:rPr>
          <w:rFonts w:asciiTheme="minorEastAsia" w:hAnsiTheme="minorEastAsia" w:eastAsiaTheme="minorEastAsia"/>
          <w:sz w:val="24"/>
          <w:highlight w:val="none"/>
        </w:rPr>
        <w:t>为保证</w:t>
      </w:r>
      <w:r>
        <w:rPr>
          <w:rFonts w:ascii="宋体" w:hAnsi="宋体" w:eastAsia="宋体"/>
          <w:sz w:val="24"/>
          <w:highlight w:val="none"/>
        </w:rPr>
        <w:t>公平</w:t>
      </w:r>
      <w:r>
        <w:rPr>
          <w:rFonts w:asciiTheme="minorEastAsia" w:hAnsiTheme="minorEastAsia" w:eastAsiaTheme="minorEastAsia"/>
          <w:sz w:val="24"/>
          <w:highlight w:val="none"/>
        </w:rPr>
        <w:t>公正，除非另有规定或说明，投标人对同一项目投标时，不得同时提供</w:t>
      </w:r>
      <w:r>
        <w:rPr>
          <w:rFonts w:hint="eastAsia" w:asciiTheme="minorEastAsia" w:hAnsiTheme="minorEastAsia" w:eastAsiaTheme="minorEastAsia"/>
          <w:sz w:val="24"/>
          <w:highlight w:val="none"/>
        </w:rPr>
        <w:t>备选</w:t>
      </w:r>
      <w:r>
        <w:rPr>
          <w:rFonts w:asciiTheme="minorEastAsia" w:hAnsiTheme="minorEastAsia" w:eastAsiaTheme="minorEastAsia"/>
          <w:sz w:val="24"/>
          <w:highlight w:val="none"/>
        </w:rPr>
        <w:t>投标方案。</w:t>
      </w:r>
    </w:p>
    <w:p w14:paraId="4C1454C6">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9</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投标报价</w:t>
      </w:r>
    </w:p>
    <w:p w14:paraId="3224E17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9</w:t>
      </w:r>
      <w:r>
        <w:rPr>
          <w:rFonts w:asciiTheme="minorEastAsia" w:hAnsiTheme="minorEastAsia" w:eastAsiaTheme="minorEastAsia"/>
          <w:sz w:val="24"/>
          <w:highlight w:val="none"/>
        </w:rPr>
        <w:t>.1投标人的报价应当包括满足本次招标全部采购需求</w:t>
      </w:r>
      <w:r>
        <w:rPr>
          <w:rFonts w:hint="eastAsia" w:asciiTheme="minorEastAsia" w:hAnsiTheme="minorEastAsia" w:eastAsiaTheme="minorEastAsia"/>
          <w:sz w:val="24"/>
          <w:highlight w:val="none"/>
        </w:rPr>
        <w:t>。除招标文件另有规定外，所有投标均应以人民币报价。投标人的投标报价应遵守《中华人民共和国价格法》。</w:t>
      </w:r>
    </w:p>
    <w:p w14:paraId="403A1840">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9</w:t>
      </w:r>
      <w:r>
        <w:rPr>
          <w:rFonts w:asciiTheme="minorEastAsia" w:hAnsiTheme="minorEastAsia" w:eastAsiaTheme="minorEastAsia"/>
          <w:sz w:val="24"/>
          <w:highlight w:val="none"/>
        </w:rPr>
        <w:t>.2投标人报价超过招标文件规定的预算金额或者分项、分包最高限价，其投标将被认定为</w:t>
      </w:r>
      <w:r>
        <w:rPr>
          <w:rFonts w:asciiTheme="minorEastAsia" w:hAnsiTheme="minorEastAsia" w:eastAsiaTheme="minorEastAsia"/>
          <w:b/>
          <w:bCs/>
          <w:sz w:val="24"/>
          <w:highlight w:val="none"/>
        </w:rPr>
        <w:t>投标无效</w:t>
      </w:r>
      <w:r>
        <w:rPr>
          <w:rFonts w:asciiTheme="minorEastAsia" w:hAnsiTheme="minorEastAsia" w:eastAsiaTheme="minorEastAsia"/>
          <w:sz w:val="24"/>
          <w:highlight w:val="none"/>
        </w:rPr>
        <w:t>。</w:t>
      </w:r>
    </w:p>
    <w:p w14:paraId="5E9C4EF4">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9</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3投标报价</w:t>
      </w:r>
      <w:r>
        <w:rPr>
          <w:rFonts w:asciiTheme="minorEastAsia" w:hAnsiTheme="minorEastAsia" w:eastAsiaTheme="minorEastAsia"/>
          <w:sz w:val="24"/>
          <w:highlight w:val="none"/>
        </w:rPr>
        <w:t>在合同履行过程中是固定不变的，不得以任何理由予以变更。任何包含价格调整要求的投标，其投标将被认定为</w:t>
      </w:r>
      <w:r>
        <w:rPr>
          <w:rFonts w:asciiTheme="minorEastAsia" w:hAnsiTheme="minorEastAsia" w:eastAsiaTheme="minorEastAsia"/>
          <w:b/>
          <w:sz w:val="24"/>
          <w:highlight w:val="none"/>
        </w:rPr>
        <w:t>投标无效</w:t>
      </w:r>
      <w:r>
        <w:rPr>
          <w:rFonts w:asciiTheme="minorEastAsia" w:hAnsiTheme="minorEastAsia" w:eastAsiaTheme="minorEastAsia"/>
          <w:sz w:val="24"/>
          <w:highlight w:val="none"/>
        </w:rPr>
        <w:t>。</w:t>
      </w:r>
    </w:p>
    <w:p w14:paraId="763F1D73">
      <w:pPr>
        <w:spacing w:line="360" w:lineRule="auto"/>
        <w:ind w:firstLine="435"/>
        <w:rPr>
          <w:rFonts w:ascii="宋体" w:hAnsi="宋体" w:eastAsia="宋体"/>
          <w:sz w:val="24"/>
          <w:highlight w:val="none"/>
        </w:rPr>
      </w:pPr>
      <w:r>
        <w:rPr>
          <w:rFonts w:hint="eastAsia" w:asciiTheme="minorEastAsia" w:hAnsiTheme="minorEastAsia" w:eastAsiaTheme="minorEastAsia"/>
          <w:sz w:val="24"/>
          <w:highlight w:val="none"/>
        </w:rPr>
        <w:t>9</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4评标委员会认为投标人的报价明显低于其他通过符合性审查投标人的报价，有可能影响产品质量或者不能诚信履约的，应当要求其在合理的时间内提供书面说明，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sz w:val="24"/>
          <w:highlight w:val="none"/>
        </w:rPr>
        <w:t>必要时提交相关证明材料；投标人不能证明其报价合理性的，其投标将被认定为</w:t>
      </w:r>
      <w:r>
        <w:rPr>
          <w:rFonts w:asciiTheme="minorEastAsia" w:hAnsiTheme="minorEastAsia" w:eastAsiaTheme="minorEastAsia"/>
          <w:b/>
          <w:sz w:val="24"/>
          <w:highlight w:val="none"/>
        </w:rPr>
        <w:t>投标无效</w:t>
      </w:r>
      <w:r>
        <w:rPr>
          <w:rFonts w:hint="eastAsia" w:asciiTheme="minorEastAsia" w:hAnsiTheme="minorEastAsia" w:eastAsiaTheme="minorEastAsia"/>
          <w:sz w:val="24"/>
          <w:highlight w:val="none"/>
        </w:rPr>
        <w:t>。</w:t>
      </w:r>
    </w:p>
    <w:p w14:paraId="476D450A">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9</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采购人不接受具有附加条件的报价。</w:t>
      </w:r>
    </w:p>
    <w:p w14:paraId="5784665F">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10</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投标保证金</w:t>
      </w:r>
    </w:p>
    <w:p w14:paraId="41835D2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10.1本项目不收取投标保证金。</w:t>
      </w:r>
    </w:p>
    <w:p w14:paraId="622B23D6">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11</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投标有效期</w:t>
      </w:r>
    </w:p>
    <w:p w14:paraId="6EFE6AEE">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11.1投标有效期为从投标截止之日算起的日历天数，投标有效期详见</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w:t>
      </w:r>
    </w:p>
    <w:p w14:paraId="537481C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sz w:val="24"/>
          <w:highlight w:val="none"/>
        </w:rPr>
        <w:t>投标无效</w:t>
      </w:r>
      <w:r>
        <w:rPr>
          <w:rFonts w:hint="eastAsia" w:asciiTheme="minorEastAsia" w:hAnsiTheme="minorEastAsia" w:eastAsiaTheme="minorEastAsia"/>
          <w:sz w:val="24"/>
          <w:highlight w:val="none"/>
        </w:rPr>
        <w:t>。</w:t>
      </w:r>
    </w:p>
    <w:p w14:paraId="18DBB1C1">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11777333">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12</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投标文件的递交、修改与撤回</w:t>
      </w:r>
    </w:p>
    <w:p w14:paraId="575BA20C">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2.1投标人应当在招标公告规定的投标截止时间前</w:t>
      </w:r>
      <w:r>
        <w:rPr>
          <w:rFonts w:asciiTheme="minorEastAsia" w:hAnsiTheme="minorEastAsia" w:eastAsiaTheme="minorEastAsia"/>
          <w:sz w:val="24"/>
          <w:highlight w:val="none"/>
        </w:rPr>
        <w:t>，将加密的投标文件</w:t>
      </w:r>
      <w:r>
        <w:rPr>
          <w:rFonts w:hint="eastAsia" w:asciiTheme="minorEastAsia" w:hAnsiTheme="minorEastAsia" w:eastAsiaTheme="minorEastAsia"/>
          <w:sz w:val="24"/>
          <w:highlight w:val="none"/>
        </w:rPr>
        <w:t>在电子交易系统</w:t>
      </w:r>
      <w:r>
        <w:rPr>
          <w:rFonts w:asciiTheme="minorEastAsia" w:hAnsiTheme="minorEastAsia" w:eastAsiaTheme="minorEastAsia"/>
          <w:sz w:val="24"/>
          <w:highlight w:val="none"/>
        </w:rPr>
        <w:t>上传。</w:t>
      </w:r>
    </w:p>
    <w:p w14:paraId="2EBA5B9A">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2.2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4D3E0B7E">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13</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开标</w:t>
      </w:r>
    </w:p>
    <w:p w14:paraId="383B62FB">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13</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开标时，</w:t>
      </w:r>
      <w:r>
        <w:rPr>
          <w:rFonts w:ascii="宋体" w:hAnsi="宋体" w:eastAsia="宋体" w:cs="宋体"/>
          <w:sz w:val="24"/>
          <w:szCs w:val="24"/>
          <w:highlight w:val="none"/>
        </w:rPr>
        <w:t>各投标人应在</w:t>
      </w:r>
      <w:r>
        <w:rPr>
          <w:rFonts w:ascii="宋体" w:hAnsi="宋体" w:eastAsia="宋体" w:cs="宋体"/>
          <w:sz w:val="24"/>
          <w:szCs w:val="24"/>
          <w:highlight w:val="none"/>
          <w:u w:val="single"/>
        </w:rPr>
        <w:t>投标人须知前附表</w:t>
      </w:r>
      <w:r>
        <w:rPr>
          <w:rFonts w:ascii="宋体" w:hAnsi="宋体" w:eastAsia="宋体" w:cs="宋体"/>
          <w:sz w:val="24"/>
          <w:szCs w:val="24"/>
          <w:highlight w:val="none"/>
        </w:rPr>
        <w:t>规定的解密时间前</w:t>
      </w:r>
      <w:r>
        <w:rPr>
          <w:rFonts w:asciiTheme="minorEastAsia" w:hAnsiTheme="minorEastAsia" w:eastAsiaTheme="minorEastAsia"/>
          <w:sz w:val="24"/>
          <w:highlight w:val="none"/>
        </w:rPr>
        <w:t>对</w:t>
      </w:r>
      <w:r>
        <w:rPr>
          <w:rFonts w:hint="eastAsia" w:ascii="宋体" w:hAnsi="宋体" w:eastAsia="宋体" w:cs="宋体"/>
          <w:sz w:val="24"/>
          <w:szCs w:val="24"/>
          <w:highlight w:val="none"/>
        </w:rPr>
        <w:t>其</w:t>
      </w:r>
      <w:r>
        <w:rPr>
          <w:rFonts w:asciiTheme="minorEastAsia" w:hAnsiTheme="minorEastAsia" w:eastAsiaTheme="minorEastAsia"/>
          <w:sz w:val="24"/>
          <w:highlight w:val="none"/>
        </w:rPr>
        <w:t>投标文件</w:t>
      </w:r>
      <w:r>
        <w:rPr>
          <w:rFonts w:hint="eastAsia" w:asciiTheme="minorEastAsia" w:hAnsiTheme="minorEastAsia" w:eastAsiaTheme="minorEastAsia"/>
          <w:sz w:val="24"/>
          <w:highlight w:val="none"/>
        </w:rPr>
        <w:t>进行</w:t>
      </w:r>
      <w:r>
        <w:rPr>
          <w:rFonts w:asciiTheme="minorEastAsia" w:hAnsiTheme="minorEastAsia" w:eastAsiaTheme="minorEastAsia"/>
          <w:sz w:val="24"/>
          <w:highlight w:val="none"/>
        </w:rPr>
        <w:t>解密。</w:t>
      </w:r>
    </w:p>
    <w:p w14:paraId="402D3BC8">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13</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开标时，采购代理机构将通过网上开标系统公布</w:t>
      </w:r>
      <w:r>
        <w:rPr>
          <w:rFonts w:hint="eastAsia" w:asciiTheme="minorEastAsia" w:hAnsiTheme="minorEastAsia" w:eastAsiaTheme="minorEastAsia"/>
          <w:sz w:val="24"/>
          <w:highlight w:val="none"/>
        </w:rPr>
        <w:t>开标结果，公布内容包括投标人名称、投标价格及招标文件规定的内容。</w:t>
      </w:r>
    </w:p>
    <w:p w14:paraId="2C5DADBE">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13.3采购人或采购代理机构将对开标过程进行记录，由参加开标的各投标人代表和相关工作人员签字确认，并存档备查。</w:t>
      </w:r>
    </w:p>
    <w:p w14:paraId="7F25061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投标人未派代表参加开标的，视同投标人认可开标结果。</w:t>
      </w:r>
    </w:p>
    <w:p w14:paraId="213C5DEE">
      <w:pPr>
        <w:spacing w:line="360" w:lineRule="auto"/>
        <w:ind w:firstLine="435"/>
        <w:rPr>
          <w:rFonts w:asciiTheme="minorEastAsia" w:hAnsiTheme="minorEastAsia" w:eastAsiaTheme="minorEastAsia"/>
          <w:sz w:val="28"/>
          <w:highlight w:val="none"/>
        </w:rPr>
      </w:pPr>
      <w:r>
        <w:rPr>
          <w:rFonts w:hint="eastAsia" w:asciiTheme="minorEastAsia" w:hAnsiTheme="minorEastAsia" w:eastAsiaTheme="minorEastAsia"/>
          <w:sz w:val="24"/>
          <w:highlight w:val="none"/>
        </w:rPr>
        <w:t>13.4投标人代表对开标过程和开标记录有疑义，以及认为采购人、采购代理机构相关工作人员有需要回避的情形的，应当场提出询问或者回避申请。</w:t>
      </w:r>
    </w:p>
    <w:p w14:paraId="1C542E80">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14</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资格审查及组建评标委员会</w:t>
      </w:r>
    </w:p>
    <w:p w14:paraId="7002693E">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14.1采购人或采购代理机构依据法律法规和招标文件中规定的内</w:t>
      </w:r>
      <w:r>
        <w:rPr>
          <w:rFonts w:asciiTheme="minorEastAsia" w:hAnsiTheme="minorEastAsia" w:eastAsiaTheme="minorEastAsia"/>
          <w:sz w:val="24"/>
          <w:highlight w:val="none"/>
        </w:rPr>
        <w:t>容</w:t>
      </w:r>
      <w:r>
        <w:rPr>
          <w:rFonts w:hint="eastAsia" w:asciiTheme="minorEastAsia" w:hAnsiTheme="minorEastAsia" w:eastAsiaTheme="minorEastAsia"/>
          <w:sz w:val="24"/>
          <w:highlight w:val="none"/>
        </w:rPr>
        <w:t>，对投标人资格进行审查，未</w:t>
      </w:r>
      <w:r>
        <w:rPr>
          <w:rFonts w:asciiTheme="minorEastAsia" w:hAnsiTheme="minorEastAsia" w:eastAsiaTheme="minorEastAsia"/>
          <w:sz w:val="24"/>
          <w:highlight w:val="none"/>
        </w:rPr>
        <w:t>通过资格审查的投标人</w:t>
      </w:r>
      <w:r>
        <w:rPr>
          <w:rFonts w:hint="eastAsia" w:asciiTheme="minorEastAsia" w:hAnsiTheme="minorEastAsia" w:eastAsiaTheme="minorEastAsia"/>
          <w:sz w:val="24"/>
          <w:highlight w:val="none"/>
        </w:rPr>
        <w:t>不</w:t>
      </w:r>
      <w:r>
        <w:rPr>
          <w:rFonts w:asciiTheme="minorEastAsia" w:hAnsiTheme="minorEastAsia" w:eastAsiaTheme="minorEastAsia"/>
          <w:sz w:val="24"/>
          <w:highlight w:val="none"/>
        </w:rPr>
        <w:t>进入评标</w:t>
      </w:r>
      <w:r>
        <w:rPr>
          <w:rFonts w:hint="eastAsia" w:asciiTheme="minorEastAsia" w:hAnsiTheme="minorEastAsia" w:eastAsiaTheme="minorEastAsia"/>
          <w:sz w:val="24"/>
          <w:highlight w:val="none"/>
        </w:rPr>
        <w:t>。</w:t>
      </w:r>
    </w:p>
    <w:p w14:paraId="6527B630">
      <w:pPr>
        <w:spacing w:line="360" w:lineRule="auto"/>
        <w:ind w:firstLine="435"/>
        <w:rPr>
          <w:rFonts w:ascii="宋体" w:hAnsi="宋体" w:eastAsia="宋体" w:cs="宋体"/>
          <w:sz w:val="24"/>
          <w:szCs w:val="24"/>
          <w:highlight w:val="none"/>
        </w:rPr>
      </w:pPr>
      <w:bookmarkStart w:id="25" w:name="_Hlk24663244"/>
      <w:r>
        <w:rPr>
          <w:rFonts w:hint="eastAsia" w:ascii="宋体" w:hAnsi="宋体" w:eastAsia="宋体" w:cs="宋体"/>
          <w:sz w:val="24"/>
          <w:szCs w:val="24"/>
          <w:highlight w:val="none"/>
        </w:rPr>
        <w:t>14.2采购人或采购代理机构将在投标截止时间后至评审结束前通过“信用中国”网站(www.creditchina.gov.cn)、中国政府采购网(www.ccgp.gov.cn)查询相关投标人信用记录，并对投标人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sz w:val="24"/>
          <w:szCs w:val="24"/>
          <w:highlight w:val="none"/>
        </w:rPr>
        <w:t>投标无效</w:t>
      </w:r>
      <w:r>
        <w:rPr>
          <w:rFonts w:hint="eastAsia" w:ascii="宋体" w:hAnsi="宋体" w:eastAsia="宋体" w:cs="宋体"/>
          <w:sz w:val="24"/>
          <w:szCs w:val="24"/>
          <w:highlight w:val="none"/>
        </w:rPr>
        <w:t>。</w:t>
      </w:r>
    </w:p>
    <w:p w14:paraId="25071812">
      <w:pPr>
        <w:spacing w:line="360" w:lineRule="auto"/>
        <w:ind w:firstLine="435"/>
        <w:rPr>
          <w:rFonts w:ascii="宋体" w:hAnsi="宋体" w:eastAsia="宋体" w:cs="宋体"/>
          <w:sz w:val="24"/>
          <w:szCs w:val="24"/>
          <w:highlight w:val="none"/>
        </w:rPr>
      </w:pPr>
      <w:r>
        <w:rPr>
          <w:rFonts w:hint="eastAsia" w:ascii="宋体" w:hAnsi="宋体" w:eastAsia="宋体" w:cs="宋体"/>
          <w:sz w:val="24"/>
          <w:szCs w:val="24"/>
          <w:highlight w:val="none"/>
        </w:rPr>
        <w:t>以联合体形式参加投标的，联合体成员存在以上不良信用记录的，联合体投标将被认定为</w:t>
      </w:r>
      <w:r>
        <w:rPr>
          <w:rFonts w:hint="eastAsia" w:ascii="宋体" w:hAnsi="宋体" w:eastAsia="宋体" w:cs="宋体"/>
          <w:b/>
          <w:sz w:val="24"/>
          <w:szCs w:val="24"/>
          <w:highlight w:val="none"/>
        </w:rPr>
        <w:t>投标无效</w:t>
      </w:r>
      <w:r>
        <w:rPr>
          <w:rFonts w:hint="eastAsia" w:ascii="宋体" w:hAnsi="宋体" w:eastAsia="宋体" w:cs="宋体"/>
          <w:sz w:val="24"/>
          <w:szCs w:val="24"/>
          <w:highlight w:val="none"/>
        </w:rPr>
        <w:t>。</w:t>
      </w:r>
    </w:p>
    <w:p w14:paraId="110A77D6">
      <w:pPr>
        <w:spacing w:line="360" w:lineRule="auto"/>
        <w:ind w:firstLine="435"/>
        <w:rPr>
          <w:rFonts w:asciiTheme="minorEastAsia" w:hAnsiTheme="minorEastAsia" w:eastAsiaTheme="minorEastAsia"/>
          <w:sz w:val="24"/>
          <w:highlight w:val="none"/>
        </w:rPr>
      </w:pPr>
      <w:r>
        <w:rPr>
          <w:rFonts w:hint="eastAsia" w:ascii="宋体" w:hAnsi="宋体" w:eastAsia="宋体" w:cs="宋体"/>
          <w:sz w:val="24"/>
          <w:szCs w:val="24"/>
          <w:highlight w:val="none"/>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25"/>
    <w:p w14:paraId="3DD90151">
      <w:pPr>
        <w:spacing w:line="360" w:lineRule="auto"/>
        <w:ind w:firstLine="435"/>
        <w:rPr>
          <w:rFonts w:asciiTheme="minorEastAsia" w:hAnsiTheme="minorEastAsia" w:eastAsiaTheme="minorEastAsia"/>
          <w:b/>
          <w:sz w:val="24"/>
          <w:highlight w:val="none"/>
        </w:rPr>
      </w:pPr>
      <w:r>
        <w:rPr>
          <w:rFonts w:hint="eastAsia" w:asciiTheme="minorEastAsia" w:hAnsiTheme="minorEastAsia" w:eastAsiaTheme="minorEastAsia"/>
          <w:sz w:val="24"/>
          <w:highlight w:val="none"/>
        </w:rPr>
        <w:t>14.3按照</w:t>
      </w:r>
      <w:r>
        <w:rPr>
          <w:rFonts w:hint="eastAsia" w:ascii="宋体" w:hAnsi="宋体" w:eastAsia="宋体"/>
          <w:sz w:val="24"/>
          <w:highlight w:val="none"/>
        </w:rPr>
        <w:t>《</w:t>
      </w:r>
      <w:r>
        <w:rPr>
          <w:rFonts w:ascii="宋体" w:hAnsi="宋体" w:eastAsia="宋体"/>
          <w:sz w:val="24"/>
          <w:highlight w:val="none"/>
        </w:rPr>
        <w:t>中华人民共和国政府采购法》</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《中华人民共和国政府采购</w:t>
      </w:r>
      <w:r>
        <w:rPr>
          <w:rFonts w:hint="eastAsia" w:asciiTheme="minorEastAsia" w:hAnsiTheme="minorEastAsia" w:eastAsiaTheme="minorEastAsia"/>
          <w:sz w:val="24"/>
          <w:highlight w:val="none"/>
        </w:rPr>
        <w:t>法</w:t>
      </w:r>
      <w:r>
        <w:rPr>
          <w:rFonts w:asciiTheme="minorEastAsia" w:hAnsiTheme="minorEastAsia" w:eastAsiaTheme="minorEastAsia"/>
          <w:sz w:val="24"/>
          <w:highlight w:val="none"/>
        </w:rPr>
        <w:t>实施条例》</w:t>
      </w:r>
      <w:r>
        <w:rPr>
          <w:rFonts w:hint="eastAsia" w:asciiTheme="minorEastAsia" w:hAnsiTheme="minorEastAsia" w:eastAsiaTheme="minorEastAsia"/>
          <w:sz w:val="24"/>
          <w:highlight w:val="none"/>
        </w:rPr>
        <w:t>及本项目本级</w:t>
      </w:r>
      <w:r>
        <w:rPr>
          <w:rFonts w:asciiTheme="minorEastAsia" w:hAnsiTheme="minorEastAsia" w:eastAsiaTheme="minorEastAsia"/>
          <w:sz w:val="24"/>
          <w:highlight w:val="none"/>
        </w:rPr>
        <w:t>和上级财政部门</w:t>
      </w:r>
      <w:r>
        <w:rPr>
          <w:rFonts w:hint="eastAsia" w:asciiTheme="minorEastAsia" w:hAnsiTheme="minorEastAsia" w:eastAsiaTheme="minorEastAsia"/>
          <w:sz w:val="24"/>
          <w:highlight w:val="none"/>
        </w:rPr>
        <w:t>、政府采购监督管理部门的有关规定依法组建的</w:t>
      </w:r>
      <w:r>
        <w:rPr>
          <w:rFonts w:asciiTheme="minorEastAsia" w:hAnsiTheme="minorEastAsia" w:eastAsiaTheme="minorEastAsia"/>
          <w:sz w:val="24"/>
          <w:highlight w:val="none"/>
        </w:rPr>
        <w:t>评标委员会</w:t>
      </w:r>
      <w:r>
        <w:rPr>
          <w:rFonts w:hint="eastAsia" w:asciiTheme="minorEastAsia" w:hAnsiTheme="minorEastAsia" w:eastAsiaTheme="minorEastAsia"/>
          <w:sz w:val="24"/>
          <w:highlight w:val="none"/>
        </w:rPr>
        <w:t>，负责本项目评标工作。</w:t>
      </w:r>
    </w:p>
    <w:p w14:paraId="072E948C">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15</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投标文件符合性审查与澄清</w:t>
      </w:r>
    </w:p>
    <w:p w14:paraId="530B28E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15</w:t>
      </w:r>
      <w:r>
        <w:rPr>
          <w:rFonts w:asciiTheme="minorEastAsia" w:hAnsiTheme="minorEastAsia" w:eastAsiaTheme="minorEastAsia"/>
          <w:sz w:val="24"/>
          <w:highlight w:val="none"/>
        </w:rPr>
        <w:t>.1符合性审查是指依据招标文件的规定，从投标文件的有效性和完整性对招标文件的响应程度</w:t>
      </w:r>
      <w:r>
        <w:rPr>
          <w:rFonts w:ascii="宋体" w:hAnsi="宋体" w:eastAsia="宋体"/>
          <w:sz w:val="24"/>
          <w:highlight w:val="none"/>
        </w:rPr>
        <w:t>进行</w:t>
      </w:r>
      <w:r>
        <w:rPr>
          <w:rFonts w:asciiTheme="minorEastAsia" w:hAnsiTheme="minorEastAsia" w:eastAsiaTheme="minorEastAsia"/>
          <w:sz w:val="24"/>
          <w:highlight w:val="none"/>
        </w:rPr>
        <w:t>审查，以确定是否对招标文件的实质性要求做出响应。</w:t>
      </w:r>
    </w:p>
    <w:p w14:paraId="338C54B9">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15</w:t>
      </w:r>
      <w:r>
        <w:rPr>
          <w:rFonts w:asciiTheme="minorEastAsia" w:hAnsiTheme="minorEastAsia" w:eastAsiaTheme="minorEastAsia"/>
          <w:sz w:val="24"/>
          <w:highlight w:val="none"/>
        </w:rPr>
        <w:t>.2如一个分包内只有一种产品，不同投标人所投产品为同一品牌的，按如下方式处理：</w:t>
      </w:r>
    </w:p>
    <w:p w14:paraId="792543CD">
      <w:pPr>
        <w:spacing w:line="360" w:lineRule="auto"/>
        <w:ind w:firstLine="435"/>
        <w:rPr>
          <w:rFonts w:ascii="宋体" w:hAnsi="宋体" w:eastAsia="宋体"/>
          <w:sz w:val="24"/>
          <w:highlight w:val="none"/>
        </w:rPr>
      </w:pPr>
      <w:r>
        <w:rPr>
          <w:rFonts w:hint="eastAsia" w:ascii="宋体" w:hAnsi="宋体" w:eastAsia="宋体"/>
          <w:sz w:val="24"/>
          <w:highlight w:val="none"/>
        </w:rPr>
        <w:t>15</w:t>
      </w:r>
      <w:r>
        <w:rPr>
          <w:rFonts w:ascii="宋体" w:hAnsi="宋体" w:eastAsia="宋体"/>
          <w:sz w:val="24"/>
          <w:highlight w:val="none"/>
        </w:rPr>
        <w:t>.2.1如本项目使用最低评标价法，提供相同品牌产品的不同投标人以其中通过资格审查、符合性审查且报价最低的参加评标；报价相同的，由采购人或者采购人委托评标委员会按照招标文件中评标</w:t>
      </w:r>
      <w:r>
        <w:rPr>
          <w:rFonts w:hint="eastAsia" w:ascii="宋体" w:hAnsi="宋体" w:eastAsia="宋体"/>
          <w:sz w:val="24"/>
          <w:highlight w:val="none"/>
        </w:rPr>
        <w:t>方</w:t>
      </w:r>
      <w:r>
        <w:rPr>
          <w:rFonts w:ascii="宋体" w:hAnsi="宋体" w:eastAsia="宋体"/>
          <w:sz w:val="24"/>
          <w:highlight w:val="none"/>
        </w:rPr>
        <w:t>法</w:t>
      </w:r>
      <w:r>
        <w:rPr>
          <w:rFonts w:hint="eastAsia" w:ascii="宋体" w:hAnsi="宋体" w:eastAsia="宋体"/>
          <w:sz w:val="24"/>
          <w:highlight w:val="none"/>
        </w:rPr>
        <w:t>和标准</w:t>
      </w:r>
      <w:r>
        <w:rPr>
          <w:rFonts w:ascii="宋体" w:hAnsi="宋体" w:eastAsia="宋体"/>
          <w:sz w:val="24"/>
          <w:highlight w:val="none"/>
        </w:rPr>
        <w:t>规定的方式确定一个参加评标的投标人；未规定的采取随机抽取方式确定，其他投标将被认定为</w:t>
      </w:r>
      <w:r>
        <w:rPr>
          <w:rFonts w:ascii="宋体" w:hAnsi="宋体" w:eastAsia="宋体"/>
          <w:b/>
          <w:sz w:val="24"/>
          <w:highlight w:val="none"/>
        </w:rPr>
        <w:t>投标无效</w:t>
      </w:r>
      <w:r>
        <w:rPr>
          <w:rFonts w:ascii="宋体" w:hAnsi="宋体" w:eastAsia="宋体"/>
          <w:sz w:val="24"/>
          <w:highlight w:val="none"/>
        </w:rPr>
        <w:t>。</w:t>
      </w:r>
    </w:p>
    <w:p w14:paraId="1E21A41E">
      <w:pPr>
        <w:spacing w:line="360" w:lineRule="auto"/>
        <w:ind w:firstLine="435"/>
        <w:rPr>
          <w:rFonts w:ascii="宋体" w:hAnsi="宋体" w:eastAsia="宋体"/>
          <w:sz w:val="24"/>
          <w:highlight w:val="none"/>
        </w:rPr>
      </w:pPr>
      <w:r>
        <w:rPr>
          <w:rFonts w:hint="eastAsia" w:ascii="宋体" w:hAnsi="宋体" w:eastAsia="宋体"/>
          <w:sz w:val="24"/>
          <w:highlight w:val="none"/>
        </w:rPr>
        <w:t>15</w:t>
      </w:r>
      <w:r>
        <w:rPr>
          <w:rFonts w:ascii="宋体" w:hAnsi="宋体" w:eastAsia="宋体"/>
          <w:sz w:val="24"/>
          <w:highlight w:val="none"/>
        </w:rPr>
        <w:t>.2.2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w:t>
      </w:r>
      <w:r>
        <w:rPr>
          <w:rFonts w:hint="eastAsia" w:ascii="宋体" w:hAnsi="宋体" w:eastAsia="宋体"/>
          <w:sz w:val="24"/>
          <w:highlight w:val="none"/>
        </w:rPr>
        <w:t>方</w:t>
      </w:r>
      <w:r>
        <w:rPr>
          <w:rFonts w:ascii="宋体" w:hAnsi="宋体" w:eastAsia="宋体"/>
          <w:sz w:val="24"/>
          <w:highlight w:val="none"/>
        </w:rPr>
        <w:t>法</w:t>
      </w:r>
      <w:r>
        <w:rPr>
          <w:rFonts w:hint="eastAsia" w:ascii="宋体" w:hAnsi="宋体" w:eastAsia="宋体"/>
          <w:sz w:val="24"/>
          <w:highlight w:val="none"/>
        </w:rPr>
        <w:t>和标准</w:t>
      </w:r>
      <w:r>
        <w:rPr>
          <w:rFonts w:ascii="宋体" w:hAnsi="宋体" w:eastAsia="宋体"/>
          <w:sz w:val="24"/>
          <w:highlight w:val="none"/>
        </w:rPr>
        <w:t>规定的方式确定一个投标人获得中标人推荐资格；未规定的采取随机抽取方式确定，其他同品牌投标人不作为中标候选人。</w:t>
      </w:r>
    </w:p>
    <w:p w14:paraId="3D157FDC">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15</w:t>
      </w:r>
      <w:r>
        <w:rPr>
          <w:rFonts w:asciiTheme="minorEastAsia" w:hAnsiTheme="minorEastAsia" w:eastAsiaTheme="minorEastAsia"/>
          <w:sz w:val="24"/>
          <w:highlight w:val="none"/>
        </w:rPr>
        <w:t>.3如一个分包内包含多种产品的，采购人或采购代理机构将在</w:t>
      </w:r>
      <w:r>
        <w:rPr>
          <w:rFonts w:hint="eastAsia" w:asciiTheme="minorEastAsia" w:hAnsiTheme="minorEastAsia" w:eastAsiaTheme="minorEastAsia"/>
          <w:sz w:val="24"/>
          <w:highlight w:val="none"/>
        </w:rPr>
        <w:t>采购需求</w:t>
      </w:r>
      <w:r>
        <w:rPr>
          <w:rFonts w:asciiTheme="minorEastAsia" w:hAnsiTheme="minorEastAsia" w:eastAsiaTheme="minorEastAsia"/>
          <w:sz w:val="24"/>
          <w:highlight w:val="none"/>
        </w:rPr>
        <w:t>中载明核心产品，多家投标人提供的核心产品品牌相同的，按第</w:t>
      </w:r>
      <w:r>
        <w:rPr>
          <w:rFonts w:hint="eastAsia" w:asciiTheme="minorEastAsia" w:hAnsiTheme="minorEastAsia" w:eastAsiaTheme="minorEastAsia"/>
          <w:sz w:val="24"/>
          <w:highlight w:val="none"/>
        </w:rPr>
        <w:t>15</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款</w:t>
      </w:r>
      <w:r>
        <w:rPr>
          <w:rFonts w:asciiTheme="minorEastAsia" w:hAnsiTheme="minorEastAsia" w:eastAsiaTheme="minorEastAsia"/>
          <w:sz w:val="24"/>
          <w:highlight w:val="none"/>
        </w:rPr>
        <w:t>规定处理。</w:t>
      </w:r>
    </w:p>
    <w:p w14:paraId="30EF9D25">
      <w:pPr>
        <w:spacing w:line="360" w:lineRule="auto"/>
        <w:ind w:firstLine="435"/>
        <w:rPr>
          <w:rFonts w:ascii="宋体" w:hAnsi="宋体" w:eastAsia="宋体"/>
          <w:sz w:val="24"/>
          <w:highlight w:val="none"/>
        </w:rPr>
      </w:pPr>
      <w:r>
        <w:rPr>
          <w:rFonts w:hint="eastAsia" w:ascii="宋体" w:hAnsi="宋体" w:eastAsia="宋体"/>
          <w:sz w:val="24"/>
          <w:highlight w:val="none"/>
        </w:rPr>
        <w:t>15</w:t>
      </w:r>
      <w:r>
        <w:rPr>
          <w:rFonts w:ascii="宋体" w:hAnsi="宋体" w:eastAsia="宋体"/>
          <w:sz w:val="24"/>
          <w:highlight w:val="none"/>
        </w:rPr>
        <w:t>.4</w:t>
      </w:r>
      <w:r>
        <w:rPr>
          <w:rFonts w:hint="eastAsia" w:ascii="宋体" w:hAnsi="宋体" w:eastAsia="宋体"/>
          <w:sz w:val="24"/>
          <w:highlight w:val="none"/>
        </w:rPr>
        <w:t>投标文件的澄清</w:t>
      </w:r>
    </w:p>
    <w:p w14:paraId="3EA2234B">
      <w:pPr>
        <w:spacing w:line="360" w:lineRule="auto"/>
        <w:ind w:firstLine="435"/>
        <w:rPr>
          <w:rFonts w:ascii="宋体" w:hAnsi="宋体" w:eastAsia="宋体"/>
          <w:sz w:val="24"/>
          <w:highlight w:val="none"/>
        </w:rPr>
      </w:pPr>
      <w:r>
        <w:rPr>
          <w:rFonts w:hint="eastAsia" w:ascii="宋体" w:hAnsi="宋体" w:eastAsia="宋体"/>
          <w:sz w:val="24"/>
          <w:highlight w:val="none"/>
        </w:rPr>
        <w:t>15</w:t>
      </w:r>
      <w:r>
        <w:rPr>
          <w:rFonts w:ascii="宋体" w:hAnsi="宋体" w:eastAsia="宋体"/>
          <w:sz w:val="24"/>
          <w:highlight w:val="none"/>
        </w:rPr>
        <w:t>.4.1为有助于投标</w:t>
      </w:r>
      <w:r>
        <w:rPr>
          <w:rFonts w:hint="eastAsia" w:ascii="宋体" w:hAnsi="宋体" w:eastAsia="宋体"/>
          <w:sz w:val="24"/>
          <w:highlight w:val="none"/>
        </w:rPr>
        <w:t>文件</w:t>
      </w:r>
      <w:r>
        <w:rPr>
          <w:rFonts w:ascii="宋体" w:hAnsi="宋体" w:eastAsia="宋体"/>
          <w:sz w:val="24"/>
          <w:highlight w:val="none"/>
        </w:rPr>
        <w:t>的审查、评价和比较，在评标期间，评标委员会将以书面</w:t>
      </w:r>
      <w:r>
        <w:rPr>
          <w:rFonts w:hint="eastAsia" w:ascii="宋体" w:hAnsi="宋体" w:eastAsia="宋体"/>
          <w:sz w:val="24"/>
          <w:highlight w:val="none"/>
        </w:rPr>
        <w:t>方式（询标）</w:t>
      </w:r>
      <w:r>
        <w:rPr>
          <w:rFonts w:ascii="宋体" w:hAnsi="宋体" w:eastAsia="宋体"/>
          <w:sz w:val="24"/>
          <w:highlight w:val="none"/>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sz w:val="24"/>
          <w:highlight w:val="none"/>
        </w:rPr>
        <w:t>审</w:t>
      </w:r>
      <w:r>
        <w:rPr>
          <w:rFonts w:ascii="宋体" w:hAnsi="宋体" w:eastAsia="宋体"/>
          <w:sz w:val="24"/>
          <w:highlight w:val="none"/>
        </w:rPr>
        <w:t>查投标人的报价，有可能影响履约的情况作必要的澄清、说明或补正。投标人的澄清、说明或补正应在评标委员会规定的时间内以书面</w:t>
      </w:r>
      <w:r>
        <w:rPr>
          <w:rFonts w:hint="eastAsia" w:ascii="宋体" w:hAnsi="宋体" w:eastAsia="宋体"/>
          <w:sz w:val="24"/>
          <w:highlight w:val="none"/>
        </w:rPr>
        <w:t>方式</w:t>
      </w:r>
      <w:r>
        <w:rPr>
          <w:rFonts w:ascii="宋体" w:hAnsi="宋体" w:eastAsia="宋体"/>
          <w:sz w:val="24"/>
          <w:highlight w:val="none"/>
        </w:rPr>
        <w:t>进行，并不得超出投标文件范围或者改变投标文件的实质性内容。</w:t>
      </w:r>
    </w:p>
    <w:p w14:paraId="0D0B5D65">
      <w:pPr>
        <w:spacing w:line="360" w:lineRule="auto"/>
        <w:ind w:firstLine="435"/>
        <w:rPr>
          <w:rFonts w:ascii="宋体" w:hAnsi="宋体" w:eastAsia="宋体"/>
          <w:sz w:val="24"/>
          <w:highlight w:val="none"/>
        </w:rPr>
      </w:pPr>
      <w:r>
        <w:rPr>
          <w:rFonts w:hint="eastAsia" w:ascii="宋体" w:hAnsi="宋体" w:eastAsia="宋体"/>
          <w:sz w:val="24"/>
          <w:highlight w:val="none"/>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p>
    <w:p w14:paraId="585E2E2C">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15.</w:t>
      </w:r>
      <w:r>
        <w:rPr>
          <w:rFonts w:asciiTheme="minorEastAsia" w:hAnsiTheme="minorEastAsia" w:eastAsiaTheme="minorEastAsia"/>
          <w:sz w:val="24"/>
          <w:highlight w:val="none"/>
        </w:rPr>
        <w:t>4.2</w:t>
      </w:r>
      <w:r>
        <w:rPr>
          <w:rFonts w:hint="eastAsia" w:asciiTheme="minorEastAsia" w:hAnsiTheme="minorEastAsia" w:eastAsiaTheme="minorEastAsia"/>
          <w:sz w:val="24"/>
          <w:highlight w:val="none"/>
        </w:rPr>
        <w:t>投标人的澄清、说明或补正将作为投标文件的一部分。</w:t>
      </w:r>
    </w:p>
    <w:p w14:paraId="76565FAD">
      <w:pPr>
        <w:spacing w:line="360" w:lineRule="auto"/>
        <w:ind w:firstLine="435"/>
        <w:rPr>
          <w:rFonts w:ascii="宋体" w:hAnsi="宋体" w:eastAsia="宋体"/>
          <w:sz w:val="24"/>
          <w:highlight w:val="none"/>
        </w:rPr>
      </w:pPr>
      <w:r>
        <w:rPr>
          <w:rFonts w:hint="eastAsia" w:ascii="宋体" w:hAnsi="宋体" w:eastAsia="宋体"/>
          <w:sz w:val="24"/>
          <w:highlight w:val="none"/>
        </w:rPr>
        <w:t>15.</w:t>
      </w:r>
      <w:r>
        <w:rPr>
          <w:rFonts w:ascii="宋体" w:hAnsi="宋体" w:eastAsia="宋体"/>
          <w:sz w:val="24"/>
          <w:highlight w:val="none"/>
        </w:rPr>
        <w:t>4.3评标委员会对投标人提交的澄清、说明或补正有疑问的，可以要求投标人进一步澄清、说明或补正，直至满足评标委员会的要求。</w:t>
      </w:r>
    </w:p>
    <w:p w14:paraId="4FF6C845">
      <w:pPr>
        <w:spacing w:line="360" w:lineRule="auto"/>
        <w:ind w:firstLine="435"/>
        <w:rPr>
          <w:rFonts w:ascii="宋体" w:hAnsi="宋体" w:eastAsia="宋体"/>
          <w:sz w:val="24"/>
          <w:highlight w:val="none"/>
        </w:rPr>
      </w:pPr>
      <w:r>
        <w:rPr>
          <w:rFonts w:hint="eastAsia" w:ascii="宋体" w:hAnsi="宋体" w:eastAsia="宋体"/>
          <w:sz w:val="24"/>
          <w:highlight w:val="none"/>
        </w:rPr>
        <w:t>15.</w:t>
      </w:r>
      <w:r>
        <w:rPr>
          <w:rFonts w:ascii="宋体" w:hAnsi="宋体" w:eastAsia="宋体"/>
          <w:sz w:val="24"/>
          <w:highlight w:val="none"/>
        </w:rPr>
        <w:t>5投标文件报价出现前后不一致的，按照下列规定修正：</w:t>
      </w:r>
    </w:p>
    <w:p w14:paraId="54698544">
      <w:pPr>
        <w:spacing w:line="360" w:lineRule="auto"/>
        <w:ind w:firstLine="435"/>
        <w:rPr>
          <w:rFonts w:ascii="宋体" w:hAnsi="宋体" w:eastAsia="宋体"/>
          <w:sz w:val="24"/>
          <w:highlight w:val="none"/>
        </w:rPr>
      </w:pPr>
      <w:r>
        <w:rPr>
          <w:rFonts w:ascii="宋体" w:hAnsi="宋体" w:eastAsia="宋体"/>
          <w:sz w:val="24"/>
          <w:highlight w:val="none"/>
        </w:rPr>
        <w:t>（</w:t>
      </w:r>
      <w:r>
        <w:rPr>
          <w:rFonts w:hint="eastAsia" w:ascii="宋体" w:hAnsi="宋体" w:eastAsia="宋体"/>
          <w:sz w:val="24"/>
          <w:highlight w:val="none"/>
        </w:rPr>
        <w:t>1</w:t>
      </w:r>
      <w:r>
        <w:rPr>
          <w:rFonts w:ascii="宋体" w:hAnsi="宋体" w:eastAsia="宋体"/>
          <w:sz w:val="24"/>
          <w:highlight w:val="none"/>
        </w:rPr>
        <w:t>）投标文件中开标一览表内容与投标文件中相应内容不一致的，以开标一览表为准；</w:t>
      </w:r>
    </w:p>
    <w:p w14:paraId="3EE196CE">
      <w:pPr>
        <w:spacing w:line="360" w:lineRule="auto"/>
        <w:ind w:firstLine="435"/>
        <w:rPr>
          <w:rFonts w:ascii="宋体" w:hAnsi="宋体" w:eastAsia="宋体"/>
          <w:sz w:val="24"/>
          <w:highlight w:val="none"/>
        </w:rPr>
      </w:pPr>
      <w:r>
        <w:rPr>
          <w:rFonts w:ascii="宋体" w:hAnsi="宋体" w:eastAsia="宋体"/>
          <w:sz w:val="24"/>
          <w:highlight w:val="none"/>
        </w:rPr>
        <w:t>（</w:t>
      </w:r>
      <w:r>
        <w:rPr>
          <w:rFonts w:hint="eastAsia" w:ascii="宋体" w:hAnsi="宋体" w:eastAsia="宋体"/>
          <w:sz w:val="24"/>
          <w:highlight w:val="none"/>
        </w:rPr>
        <w:t>2</w:t>
      </w:r>
      <w:r>
        <w:rPr>
          <w:rFonts w:ascii="宋体" w:hAnsi="宋体" w:eastAsia="宋体"/>
          <w:sz w:val="24"/>
          <w:highlight w:val="none"/>
        </w:rPr>
        <w:t>）大写金额和小写金额不一致的，以大写金额为准；</w:t>
      </w:r>
    </w:p>
    <w:p w14:paraId="0FB5DE3A">
      <w:pPr>
        <w:spacing w:line="360" w:lineRule="auto"/>
        <w:ind w:firstLine="435"/>
        <w:rPr>
          <w:rFonts w:ascii="宋体" w:hAnsi="宋体" w:eastAsia="宋体"/>
          <w:sz w:val="24"/>
          <w:highlight w:val="none"/>
        </w:rPr>
      </w:pPr>
      <w:r>
        <w:rPr>
          <w:rFonts w:ascii="宋体" w:hAnsi="宋体" w:eastAsia="宋体"/>
          <w:sz w:val="24"/>
          <w:highlight w:val="none"/>
        </w:rPr>
        <w:t>（</w:t>
      </w:r>
      <w:r>
        <w:rPr>
          <w:rFonts w:hint="eastAsia" w:ascii="宋体" w:hAnsi="宋体" w:eastAsia="宋体"/>
          <w:sz w:val="24"/>
          <w:highlight w:val="none"/>
        </w:rPr>
        <w:t>3</w:t>
      </w:r>
      <w:r>
        <w:rPr>
          <w:rFonts w:ascii="宋体" w:hAnsi="宋体" w:eastAsia="宋体"/>
          <w:sz w:val="24"/>
          <w:highlight w:val="none"/>
        </w:rPr>
        <w:t>）单价金额小数点或者百分比有明显错位的，以开标一览表的总价为准，并修改单价；</w:t>
      </w:r>
    </w:p>
    <w:p w14:paraId="3D31E43B">
      <w:pPr>
        <w:spacing w:line="360" w:lineRule="auto"/>
        <w:ind w:firstLine="435"/>
        <w:rPr>
          <w:rFonts w:ascii="宋体" w:hAnsi="宋体" w:eastAsia="宋体"/>
          <w:sz w:val="24"/>
          <w:highlight w:val="none"/>
        </w:rPr>
      </w:pPr>
      <w:r>
        <w:rPr>
          <w:rFonts w:ascii="宋体" w:hAnsi="宋体" w:eastAsia="宋体"/>
          <w:sz w:val="24"/>
          <w:highlight w:val="none"/>
        </w:rPr>
        <w:t>（</w:t>
      </w:r>
      <w:r>
        <w:rPr>
          <w:rFonts w:hint="eastAsia" w:ascii="宋体" w:hAnsi="宋体" w:eastAsia="宋体"/>
          <w:sz w:val="24"/>
          <w:highlight w:val="none"/>
        </w:rPr>
        <w:t>4</w:t>
      </w:r>
      <w:r>
        <w:rPr>
          <w:rFonts w:ascii="宋体" w:hAnsi="宋体" w:eastAsia="宋体"/>
          <w:sz w:val="24"/>
          <w:highlight w:val="none"/>
        </w:rPr>
        <w:t>）总价金额与按单价汇总金额不一致的，以单价金额计算结果为准。</w:t>
      </w:r>
    </w:p>
    <w:p w14:paraId="722DEE31">
      <w:pPr>
        <w:spacing w:line="360" w:lineRule="auto"/>
        <w:ind w:firstLine="435"/>
        <w:rPr>
          <w:rFonts w:ascii="宋体" w:hAnsi="宋体" w:eastAsia="宋体"/>
          <w:sz w:val="24"/>
          <w:highlight w:val="none"/>
        </w:rPr>
      </w:pPr>
      <w:r>
        <w:rPr>
          <w:rFonts w:ascii="宋体" w:hAnsi="宋体" w:eastAsia="宋体"/>
          <w:sz w:val="24"/>
          <w:highlight w:val="none"/>
        </w:rPr>
        <w:t>同时出现两种以上不一致的，按照前款规定的顺序修正。修正后的报价按照第</w:t>
      </w:r>
      <w:r>
        <w:rPr>
          <w:rFonts w:hint="eastAsia" w:ascii="宋体" w:hAnsi="宋体" w:eastAsia="宋体"/>
          <w:sz w:val="24"/>
          <w:highlight w:val="none"/>
        </w:rPr>
        <w:t>15.</w:t>
      </w:r>
      <w:r>
        <w:rPr>
          <w:rFonts w:ascii="宋体" w:hAnsi="宋体" w:eastAsia="宋体"/>
          <w:sz w:val="24"/>
          <w:highlight w:val="none"/>
        </w:rPr>
        <w:t>4条的规定经投标人确认后产生约束力，投标人不确认的，其投标将被认定为</w:t>
      </w:r>
      <w:r>
        <w:rPr>
          <w:rFonts w:ascii="宋体" w:hAnsi="宋体" w:eastAsia="宋体"/>
          <w:b/>
          <w:sz w:val="24"/>
          <w:highlight w:val="none"/>
        </w:rPr>
        <w:t>投标无效</w:t>
      </w:r>
      <w:r>
        <w:rPr>
          <w:rFonts w:ascii="宋体" w:hAnsi="宋体" w:eastAsia="宋体"/>
          <w:sz w:val="24"/>
          <w:highlight w:val="none"/>
        </w:rPr>
        <w:t>。</w:t>
      </w:r>
    </w:p>
    <w:p w14:paraId="706D986E">
      <w:pPr>
        <w:spacing w:line="360" w:lineRule="auto"/>
        <w:ind w:firstLine="435"/>
        <w:rPr>
          <w:rFonts w:asciiTheme="minorEastAsia" w:hAnsiTheme="minorEastAsia" w:eastAsiaTheme="minorEastAsia"/>
          <w:b/>
          <w:sz w:val="24"/>
          <w:highlight w:val="none"/>
        </w:rPr>
      </w:pPr>
      <w:r>
        <w:rPr>
          <w:rFonts w:hint="eastAsia" w:asciiTheme="minorEastAsia" w:hAnsiTheme="minorEastAsia" w:eastAsiaTheme="minorEastAsia"/>
          <w:sz w:val="24"/>
          <w:highlight w:val="none"/>
        </w:rPr>
        <w:t>对不同文字文本投标文件的解释发生异议的，以中文文本为准。</w:t>
      </w:r>
    </w:p>
    <w:p w14:paraId="261D624B">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16.投标无效</w:t>
      </w:r>
    </w:p>
    <w:p w14:paraId="680B233E">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16.</w:t>
      </w:r>
      <w:r>
        <w:rPr>
          <w:rFonts w:asciiTheme="minorEastAsia" w:hAnsiTheme="minorEastAsia" w:eastAsiaTheme="minorEastAsia"/>
          <w:sz w:val="24"/>
          <w:highlight w:val="none"/>
        </w:rPr>
        <w:t>1根据本</w:t>
      </w:r>
      <w:r>
        <w:rPr>
          <w:rFonts w:hint="eastAsia" w:asciiTheme="minorEastAsia" w:hAnsiTheme="minorEastAsia" w:eastAsiaTheme="minorEastAsia"/>
          <w:sz w:val="24"/>
          <w:highlight w:val="none"/>
        </w:rPr>
        <w:t>招标文件</w:t>
      </w:r>
      <w:r>
        <w:rPr>
          <w:rFonts w:asciiTheme="minorEastAsia" w:hAnsiTheme="minorEastAsia" w:eastAsiaTheme="minorEastAsia"/>
          <w:sz w:val="24"/>
          <w:highlight w:val="none"/>
        </w:rPr>
        <w:t>的规定，评标委员会要审查每份投标文件是否实质上响应了招标文件的要求。投标人不得通过修正或撤销不符合要求的偏离，从而使其投标成为实质上响应的投标。</w:t>
      </w:r>
    </w:p>
    <w:p w14:paraId="7B0ADAF1">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评标委员会决定投标的响应性只根据招标文件要求和投标文件内容。</w:t>
      </w:r>
    </w:p>
    <w:p w14:paraId="163F9F38">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无论何种原因，即使投标人投标时携带了证书材料的原件，但投标文件中未提供与之内容完全一致的扫描件的，评标委员会视同其未提供。</w:t>
      </w:r>
    </w:p>
    <w:p w14:paraId="4B03D1E1">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16.</w:t>
      </w:r>
      <w:r>
        <w:rPr>
          <w:rFonts w:asciiTheme="minorEastAsia" w:hAnsiTheme="minorEastAsia" w:eastAsiaTheme="minorEastAsia"/>
          <w:sz w:val="24"/>
          <w:highlight w:val="none"/>
        </w:rPr>
        <w:t>2如发现下列情况之一的，其投标将被认定为</w:t>
      </w:r>
      <w:r>
        <w:rPr>
          <w:rFonts w:asciiTheme="minorEastAsia" w:hAnsiTheme="minorEastAsia" w:eastAsiaTheme="minorEastAsia"/>
          <w:b/>
          <w:sz w:val="24"/>
          <w:highlight w:val="none"/>
        </w:rPr>
        <w:t>投标无效</w:t>
      </w:r>
      <w:r>
        <w:rPr>
          <w:rFonts w:asciiTheme="minorEastAsia" w:hAnsiTheme="minorEastAsia" w:eastAsiaTheme="minorEastAsia"/>
          <w:sz w:val="24"/>
          <w:highlight w:val="none"/>
        </w:rPr>
        <w:t>：</w:t>
      </w:r>
    </w:p>
    <w:p w14:paraId="5158E0F5">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1）投标文件未按照招标文件规定要求签署、盖章的；</w:t>
      </w:r>
    </w:p>
    <w:p w14:paraId="425866F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2）不具备招标文件中规定的资格要求的；</w:t>
      </w:r>
    </w:p>
    <w:p w14:paraId="6EA92EA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3）报价超过招标文件中规定的预算金额或者最高限价的；</w:t>
      </w:r>
    </w:p>
    <w:p w14:paraId="3D65201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4）投标文件含有采购人不能接受的附加条件的；</w:t>
      </w:r>
    </w:p>
    <w:p w14:paraId="1D8381D2">
      <w:pPr>
        <w:spacing w:line="360" w:lineRule="auto"/>
        <w:ind w:firstLine="435"/>
        <w:rPr>
          <w:rFonts w:ascii="宋体" w:hAnsi="宋体" w:eastAsia="宋体"/>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5）法律、法规和招标文件规定的其他无效情形。</w:t>
      </w:r>
    </w:p>
    <w:p w14:paraId="30DBC1AA">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17.比较与评价</w:t>
      </w:r>
    </w:p>
    <w:p w14:paraId="24DA9F3A">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17.1经符合性审查合格的投标文件，评标委员会将根据招标文件确定的评标方法和标准，对其投标文件作进一步的比较与评价。</w:t>
      </w:r>
    </w:p>
    <w:p w14:paraId="073D1D40">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17.2评标严格按照</w:t>
      </w:r>
      <w:r>
        <w:rPr>
          <w:rFonts w:hint="eastAsia" w:ascii="宋体" w:hAnsi="宋体" w:eastAsia="宋体"/>
          <w:sz w:val="24"/>
          <w:highlight w:val="none"/>
        </w:rPr>
        <w:t>招标文件</w:t>
      </w:r>
      <w:r>
        <w:rPr>
          <w:rFonts w:hint="eastAsia" w:asciiTheme="minorEastAsia" w:hAnsiTheme="minorEastAsia" w:eastAsiaTheme="minorEastAsia"/>
          <w:sz w:val="24"/>
          <w:highlight w:val="none"/>
        </w:rPr>
        <w:t>的要求和条件进行。根据实际情况，在</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中规定采用下列一种评标方法，详细评标方法和标准见招标文件第四章：</w:t>
      </w:r>
    </w:p>
    <w:p w14:paraId="1F7679B6">
      <w:pPr>
        <w:spacing w:line="360" w:lineRule="auto"/>
        <w:ind w:firstLine="435"/>
        <w:rPr>
          <w:rFonts w:ascii="宋体" w:hAnsi="宋体" w:eastAsia="宋体"/>
          <w:sz w:val="24"/>
          <w:highlight w:val="none"/>
        </w:rPr>
      </w:pPr>
      <w:r>
        <w:rPr>
          <w:rFonts w:hint="eastAsia" w:asciiTheme="minorEastAsia" w:hAnsiTheme="minorEastAsia" w:eastAsiaTheme="minorEastAsia"/>
          <w:sz w:val="24"/>
          <w:highlight w:val="none"/>
        </w:rPr>
        <w:t>（</w:t>
      </w:r>
      <w:r>
        <w:rPr>
          <w:rFonts w:hint="eastAsia" w:ascii="宋体" w:hAnsi="宋体" w:eastAsia="宋体"/>
          <w:sz w:val="24"/>
          <w:highlight w:val="none"/>
        </w:rPr>
        <w:t>1）最低评标价法，是指</w:t>
      </w:r>
      <w:r>
        <w:rPr>
          <w:rFonts w:ascii="宋体" w:hAnsi="宋体" w:eastAsia="宋体"/>
          <w:sz w:val="24"/>
          <w:highlight w:val="none"/>
        </w:rPr>
        <w:t>投标文件满足招标文件全部实质性要求</w:t>
      </w:r>
      <w:r>
        <w:rPr>
          <w:rFonts w:hint="eastAsia" w:ascii="宋体" w:hAnsi="宋体" w:eastAsia="宋体"/>
          <w:sz w:val="24"/>
          <w:highlight w:val="none"/>
        </w:rPr>
        <w:t>，</w:t>
      </w:r>
      <w:r>
        <w:rPr>
          <w:rFonts w:ascii="宋体" w:hAnsi="宋体" w:eastAsia="宋体"/>
          <w:sz w:val="24"/>
          <w:highlight w:val="none"/>
        </w:rPr>
        <w:t>且投标报价最低的</w:t>
      </w:r>
      <w:r>
        <w:rPr>
          <w:rFonts w:hint="eastAsia" w:ascii="宋体" w:hAnsi="宋体" w:eastAsia="宋体"/>
          <w:sz w:val="24"/>
          <w:highlight w:val="none"/>
        </w:rPr>
        <w:t>投标人</w:t>
      </w:r>
      <w:r>
        <w:rPr>
          <w:rFonts w:ascii="宋体" w:hAnsi="宋体" w:eastAsia="宋体"/>
          <w:sz w:val="24"/>
          <w:highlight w:val="none"/>
        </w:rPr>
        <w:t>为中标</w:t>
      </w:r>
      <w:r>
        <w:rPr>
          <w:rFonts w:hint="eastAsia" w:ascii="宋体" w:hAnsi="宋体" w:eastAsia="宋体"/>
          <w:sz w:val="24"/>
          <w:highlight w:val="none"/>
        </w:rPr>
        <w:t>候选</w:t>
      </w:r>
      <w:r>
        <w:rPr>
          <w:rFonts w:ascii="宋体" w:hAnsi="宋体" w:eastAsia="宋体"/>
          <w:sz w:val="24"/>
          <w:highlight w:val="none"/>
        </w:rPr>
        <w:t>人的评标方法</w:t>
      </w:r>
      <w:r>
        <w:rPr>
          <w:rFonts w:hint="eastAsia" w:ascii="宋体" w:hAnsi="宋体" w:eastAsia="宋体"/>
          <w:sz w:val="24"/>
          <w:highlight w:val="none"/>
        </w:rPr>
        <w:t>。</w:t>
      </w:r>
    </w:p>
    <w:p w14:paraId="4F7A9AC7">
      <w:pPr>
        <w:spacing w:line="360" w:lineRule="auto"/>
        <w:ind w:firstLine="435"/>
        <w:rPr>
          <w:rFonts w:ascii="宋体" w:hAnsi="宋体" w:eastAsia="宋体"/>
          <w:sz w:val="24"/>
          <w:highlight w:val="none"/>
        </w:rPr>
      </w:pPr>
      <w:r>
        <w:rPr>
          <w:rFonts w:hint="eastAsia" w:ascii="宋体" w:hAnsi="宋体" w:eastAsia="宋体"/>
          <w:sz w:val="24"/>
          <w:highlight w:val="none"/>
        </w:rPr>
        <w:t>（2）综合评分法，是</w:t>
      </w:r>
      <w:r>
        <w:rPr>
          <w:rFonts w:ascii="宋体" w:hAnsi="宋体" w:eastAsia="宋体"/>
          <w:sz w:val="24"/>
          <w:highlight w:val="none"/>
        </w:rPr>
        <w:t>指投标文件满足招标</w:t>
      </w:r>
      <w:r>
        <w:rPr>
          <w:rFonts w:hint="eastAsia" w:ascii="宋体" w:hAnsi="宋体" w:eastAsia="宋体"/>
          <w:sz w:val="24"/>
          <w:highlight w:val="none"/>
        </w:rPr>
        <w:t>文件</w:t>
      </w:r>
      <w:r>
        <w:rPr>
          <w:rFonts w:ascii="宋体" w:hAnsi="宋体" w:eastAsia="宋体"/>
          <w:sz w:val="24"/>
          <w:highlight w:val="none"/>
        </w:rPr>
        <w:t>全部实质性要求</w:t>
      </w:r>
      <w:r>
        <w:rPr>
          <w:rFonts w:hint="eastAsia" w:ascii="宋体" w:hAnsi="宋体" w:eastAsia="宋体"/>
          <w:sz w:val="24"/>
          <w:highlight w:val="none"/>
        </w:rPr>
        <w:t>，</w:t>
      </w:r>
      <w:r>
        <w:rPr>
          <w:rFonts w:ascii="宋体" w:hAnsi="宋体" w:eastAsia="宋体"/>
          <w:sz w:val="24"/>
          <w:highlight w:val="none"/>
        </w:rPr>
        <w:t>且按照评审因素的</w:t>
      </w:r>
      <w:r>
        <w:rPr>
          <w:rFonts w:hint="eastAsia" w:ascii="宋体" w:hAnsi="宋体" w:eastAsia="宋体"/>
          <w:sz w:val="24"/>
          <w:highlight w:val="none"/>
        </w:rPr>
        <w:t>量化</w:t>
      </w:r>
      <w:r>
        <w:rPr>
          <w:rFonts w:ascii="宋体" w:hAnsi="宋体" w:eastAsia="宋体"/>
          <w:sz w:val="24"/>
          <w:highlight w:val="none"/>
        </w:rPr>
        <w:t>指标评审得分最高的</w:t>
      </w:r>
      <w:r>
        <w:rPr>
          <w:rFonts w:hint="eastAsia" w:ascii="宋体" w:hAnsi="宋体" w:eastAsia="宋体"/>
          <w:sz w:val="24"/>
          <w:highlight w:val="none"/>
        </w:rPr>
        <w:t>投标人</w:t>
      </w:r>
      <w:r>
        <w:rPr>
          <w:rFonts w:ascii="宋体" w:hAnsi="宋体" w:eastAsia="宋体"/>
          <w:sz w:val="24"/>
          <w:highlight w:val="none"/>
        </w:rPr>
        <w:t>为中标候选人的评标方法。</w:t>
      </w:r>
    </w:p>
    <w:p w14:paraId="2493DA97">
      <w:pPr>
        <w:spacing w:line="360" w:lineRule="auto"/>
        <w:ind w:firstLine="435"/>
        <w:rPr>
          <w:rFonts w:ascii="宋体" w:hAnsi="宋体" w:eastAsia="宋体"/>
          <w:sz w:val="24"/>
          <w:highlight w:val="none"/>
        </w:rPr>
      </w:pPr>
      <w:r>
        <w:rPr>
          <w:rFonts w:hint="eastAsia" w:ascii="宋体" w:hAnsi="宋体" w:eastAsia="宋体"/>
          <w:sz w:val="24"/>
          <w:highlight w:val="none"/>
        </w:rPr>
        <w:t>17.</w:t>
      </w:r>
      <w:r>
        <w:rPr>
          <w:rFonts w:ascii="宋体" w:hAnsi="宋体" w:eastAsia="宋体"/>
          <w:sz w:val="24"/>
          <w:highlight w:val="none"/>
        </w:rPr>
        <w:t>3根据《政府采购促进中小企业发展管理办法》（财库〔2020〕46号）、《三部门联合发布关于促进残疾人就业政府采购政策的通知》（财库〔2017〕141号）和《财政部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hAnsi="宋体" w:eastAsia="宋体"/>
          <w:sz w:val="24"/>
          <w:highlight w:val="none"/>
          <w:u w:val="single"/>
        </w:rPr>
        <w:t>投标人须知前附表</w:t>
      </w:r>
      <w:r>
        <w:rPr>
          <w:rFonts w:ascii="宋体" w:hAnsi="宋体" w:eastAsia="宋体"/>
          <w:sz w:val="24"/>
          <w:highlight w:val="none"/>
        </w:rPr>
        <w:t>中规定的标准扣除后的价格参与评审。对于同时属于小微企</w:t>
      </w:r>
      <w:r>
        <w:rPr>
          <w:rFonts w:hint="eastAsia" w:ascii="宋体" w:hAnsi="宋体" w:eastAsia="宋体"/>
          <w:sz w:val="24"/>
          <w:highlight w:val="none"/>
        </w:rPr>
        <w:t>业、监狱企业或残疾人福利性单位的，不重复进行投标报价扣除。</w:t>
      </w:r>
    </w:p>
    <w:p w14:paraId="594029A3">
      <w:pPr>
        <w:spacing w:line="360" w:lineRule="auto"/>
        <w:ind w:firstLine="435"/>
        <w:rPr>
          <w:rFonts w:ascii="宋体" w:hAnsi="宋体" w:eastAsia="宋体"/>
          <w:sz w:val="24"/>
          <w:highlight w:val="none"/>
        </w:rPr>
      </w:pPr>
      <w:r>
        <w:rPr>
          <w:rFonts w:hint="eastAsia" w:ascii="宋体" w:hAnsi="宋体" w:eastAsia="宋体"/>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sz w:val="24"/>
          <w:highlight w:val="none"/>
        </w:rPr>
        <w:t>30%以上的，可给予联合体或者大中型企业的投标报价按照</w:t>
      </w:r>
      <w:r>
        <w:rPr>
          <w:rFonts w:ascii="宋体" w:hAnsi="宋体" w:eastAsia="宋体"/>
          <w:sz w:val="24"/>
          <w:highlight w:val="none"/>
          <w:u w:val="single"/>
        </w:rPr>
        <w:t>投标人须知前附表</w:t>
      </w:r>
      <w:r>
        <w:rPr>
          <w:rFonts w:ascii="宋体" w:hAnsi="宋体" w:eastAsia="宋体"/>
          <w:sz w:val="24"/>
          <w:highlight w:val="none"/>
        </w:rPr>
        <w:t>中规定的标准扣除后的价格参与评审。组成联合体或者接受分包的小微企业与联合体内其他企业、分包企业之间存在直接控股、管理关系的，不享受价格扣除优惠政策。</w:t>
      </w:r>
    </w:p>
    <w:p w14:paraId="02646CCB">
      <w:pPr>
        <w:spacing w:line="360" w:lineRule="auto"/>
        <w:ind w:firstLine="435"/>
        <w:rPr>
          <w:rFonts w:ascii="宋体" w:hAnsi="宋体" w:eastAsia="宋体"/>
          <w:sz w:val="24"/>
          <w:highlight w:val="none"/>
        </w:rPr>
      </w:pPr>
      <w:r>
        <w:rPr>
          <w:rFonts w:hint="eastAsia" w:ascii="宋体" w:hAnsi="宋体" w:eastAsia="宋体"/>
          <w:sz w:val="24"/>
          <w:highlight w:val="none"/>
        </w:rPr>
        <w:t>以联合体形式参加政府采购活动，联合体各方均为中小企业的，联合体视同中小企业。其中，联合体各方均为小微企业的，联合体视同小微企业。</w:t>
      </w:r>
    </w:p>
    <w:p w14:paraId="00D71427">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18</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废标、重新招标与变更采购方式</w:t>
      </w:r>
    </w:p>
    <w:p w14:paraId="669A3D5C">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18.1出现下列情形之一，将导致项目废标：</w:t>
      </w:r>
    </w:p>
    <w:p w14:paraId="3D18E5CD">
      <w:pPr>
        <w:spacing w:line="360" w:lineRule="auto"/>
        <w:ind w:firstLine="435"/>
        <w:rPr>
          <w:rFonts w:ascii="宋体" w:hAnsi="宋体" w:eastAsia="宋体"/>
          <w:sz w:val="24"/>
          <w:highlight w:val="none"/>
        </w:rPr>
      </w:pPr>
      <w:r>
        <w:rPr>
          <w:rFonts w:hint="eastAsia" w:asciiTheme="minorEastAsia" w:hAnsiTheme="minorEastAsia" w:eastAsiaTheme="minorEastAsia"/>
          <w:sz w:val="24"/>
          <w:highlight w:val="none"/>
        </w:rPr>
        <w:t>（</w:t>
      </w:r>
      <w:r>
        <w:rPr>
          <w:rFonts w:hint="eastAsia" w:ascii="宋体" w:hAnsi="宋体" w:eastAsia="宋体"/>
          <w:sz w:val="24"/>
          <w:highlight w:val="none"/>
        </w:rPr>
        <w:t>1）符合专业条件的供应商或者对招标文件做实质性响应的供应商不足规定数量的；</w:t>
      </w:r>
    </w:p>
    <w:p w14:paraId="26E21799">
      <w:pPr>
        <w:spacing w:line="360" w:lineRule="auto"/>
        <w:ind w:firstLine="435"/>
        <w:rPr>
          <w:rFonts w:ascii="宋体" w:hAnsi="宋体" w:eastAsia="宋体"/>
          <w:sz w:val="24"/>
          <w:highlight w:val="none"/>
        </w:rPr>
      </w:pPr>
      <w:r>
        <w:rPr>
          <w:rFonts w:hint="eastAsia" w:ascii="宋体" w:hAnsi="宋体" w:eastAsia="宋体"/>
          <w:sz w:val="24"/>
          <w:highlight w:val="none"/>
        </w:rPr>
        <w:t>（2）出现影响采购公正的违法、违规行为的；</w:t>
      </w:r>
    </w:p>
    <w:p w14:paraId="233C741C">
      <w:pPr>
        <w:spacing w:line="360" w:lineRule="auto"/>
        <w:ind w:firstLine="435"/>
        <w:rPr>
          <w:rFonts w:ascii="宋体" w:hAnsi="宋体" w:eastAsia="宋体"/>
          <w:sz w:val="24"/>
          <w:highlight w:val="none"/>
        </w:rPr>
      </w:pPr>
      <w:r>
        <w:rPr>
          <w:rFonts w:hint="eastAsia" w:ascii="宋体" w:hAnsi="宋体" w:eastAsia="宋体"/>
          <w:sz w:val="24"/>
          <w:highlight w:val="none"/>
        </w:rPr>
        <w:t>（3）投标人的报价均超过了采购预算，采购人不能支付的；</w:t>
      </w:r>
    </w:p>
    <w:p w14:paraId="4FB159BE">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（4）因重大变故，采购任务取消的。</w:t>
      </w:r>
    </w:p>
    <w:p w14:paraId="769B888A">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18.2公开招标数额标准以上的采购项目，投标截止后投标人不足</w:t>
      </w:r>
      <w:r>
        <w:rPr>
          <w:rFonts w:asciiTheme="minorEastAsia" w:hAnsiTheme="minorEastAsia" w:eastAsiaTheme="minorEastAsia"/>
          <w:sz w:val="24"/>
          <w:highlight w:val="none"/>
        </w:rPr>
        <w:t>3家或者通过</w:t>
      </w:r>
      <w:r>
        <w:rPr>
          <w:rFonts w:hint="eastAsia" w:asciiTheme="minorEastAsia" w:hAnsiTheme="minorEastAsia" w:eastAsiaTheme="minorEastAsia"/>
          <w:sz w:val="24"/>
          <w:highlight w:val="none"/>
        </w:rPr>
        <w:t>资格审查或符合性审查的投标人不足</w:t>
      </w:r>
      <w:r>
        <w:rPr>
          <w:rFonts w:asciiTheme="minorEastAsia" w:hAnsiTheme="minorEastAsia" w:eastAsiaTheme="minorEastAsia"/>
          <w:sz w:val="24"/>
          <w:highlight w:val="none"/>
        </w:rPr>
        <w:t>3家的，除采购任务取消情形外，按照以下方式处理：</w:t>
      </w:r>
    </w:p>
    <w:p w14:paraId="2CC7E058">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（1）招标文件存在不合理条款或者招标程序不符合规定的，采购人、采购代理机构改正后依法重新招标；</w:t>
      </w:r>
    </w:p>
    <w:p w14:paraId="21D2D008">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（2）招标文件没有不合理条款、招标程序符合规定，需要采用其他采购方式采购的，采购人应当依法报</w:t>
      </w:r>
      <w:r>
        <w:rPr>
          <w:rFonts w:hint="eastAsia" w:ascii="宋体" w:hAnsi="宋体" w:eastAsia="宋体" w:cs="宋体"/>
          <w:color w:val="000000"/>
          <w:sz w:val="24"/>
          <w:szCs w:val="24"/>
          <w:highlight w:val="none"/>
        </w:rPr>
        <w:t>政府采购监督管理部门</w:t>
      </w:r>
      <w:r>
        <w:rPr>
          <w:rFonts w:hint="eastAsia" w:asciiTheme="minorEastAsia" w:hAnsiTheme="minorEastAsia" w:eastAsiaTheme="minorEastAsia"/>
          <w:sz w:val="24"/>
          <w:highlight w:val="none"/>
        </w:rPr>
        <w:t>批准。</w:t>
      </w:r>
    </w:p>
    <w:p w14:paraId="474AF613">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19</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保密要求</w:t>
      </w:r>
    </w:p>
    <w:p w14:paraId="3E363D1C">
      <w:pPr>
        <w:spacing w:line="360" w:lineRule="auto"/>
        <w:ind w:firstLine="435"/>
        <w:rPr>
          <w:rFonts w:ascii="宋体" w:hAnsi="宋体" w:eastAsia="宋体"/>
          <w:sz w:val="24"/>
          <w:highlight w:val="none"/>
        </w:rPr>
      </w:pPr>
      <w:r>
        <w:rPr>
          <w:rFonts w:hint="eastAsia" w:ascii="宋体" w:hAnsi="宋体" w:eastAsia="宋体"/>
          <w:sz w:val="24"/>
          <w:highlight w:val="none"/>
        </w:rPr>
        <w:t>19.1评标将在严格保密的情况下进行。</w:t>
      </w:r>
    </w:p>
    <w:p w14:paraId="6ACFA26F">
      <w:pPr>
        <w:spacing w:line="360" w:lineRule="auto"/>
        <w:ind w:firstLine="435"/>
        <w:rPr>
          <w:rFonts w:ascii="宋体" w:hAnsi="宋体" w:eastAsia="宋体"/>
          <w:sz w:val="24"/>
          <w:highlight w:val="none"/>
        </w:rPr>
      </w:pPr>
      <w:r>
        <w:rPr>
          <w:rFonts w:hint="eastAsia" w:ascii="宋体" w:hAnsi="宋体" w:eastAsia="宋体"/>
          <w:sz w:val="24"/>
          <w:highlight w:val="none"/>
        </w:rPr>
        <w:t>19.2有关人员</w:t>
      </w:r>
      <w:r>
        <w:rPr>
          <w:rFonts w:ascii="宋体" w:hAnsi="宋体" w:eastAsia="宋体"/>
          <w:sz w:val="24"/>
          <w:highlight w:val="none"/>
        </w:rPr>
        <w:t>应当</w:t>
      </w:r>
      <w:r>
        <w:rPr>
          <w:rFonts w:hint="eastAsia" w:ascii="宋体" w:hAnsi="宋体" w:eastAsia="宋体"/>
          <w:sz w:val="24"/>
          <w:highlight w:val="none"/>
        </w:rPr>
        <w:t>遵</w:t>
      </w:r>
      <w:r>
        <w:rPr>
          <w:rFonts w:ascii="宋体" w:hAnsi="宋体" w:eastAsia="宋体"/>
          <w:sz w:val="24"/>
          <w:highlight w:val="none"/>
        </w:rPr>
        <w:t>守评</w:t>
      </w:r>
      <w:r>
        <w:rPr>
          <w:rFonts w:hint="eastAsia" w:ascii="宋体" w:hAnsi="宋体" w:eastAsia="宋体"/>
          <w:sz w:val="24"/>
          <w:highlight w:val="none"/>
        </w:rPr>
        <w:t>标</w:t>
      </w:r>
      <w:r>
        <w:rPr>
          <w:rFonts w:ascii="宋体" w:hAnsi="宋体" w:eastAsia="宋体"/>
          <w:sz w:val="24"/>
          <w:highlight w:val="none"/>
        </w:rPr>
        <w:t>工作纪律，不得</w:t>
      </w:r>
      <w:r>
        <w:rPr>
          <w:rFonts w:hint="eastAsia" w:ascii="宋体" w:hAnsi="宋体" w:eastAsia="宋体"/>
          <w:sz w:val="24"/>
          <w:highlight w:val="none"/>
        </w:rPr>
        <w:t>泄露</w:t>
      </w:r>
      <w:r>
        <w:rPr>
          <w:rFonts w:ascii="宋体" w:hAnsi="宋体" w:eastAsia="宋体"/>
          <w:sz w:val="24"/>
          <w:highlight w:val="none"/>
        </w:rPr>
        <w:t>评</w:t>
      </w:r>
      <w:r>
        <w:rPr>
          <w:rFonts w:hint="eastAsia" w:ascii="宋体" w:hAnsi="宋体" w:eastAsia="宋体"/>
          <w:sz w:val="24"/>
          <w:highlight w:val="none"/>
        </w:rPr>
        <w:t>标文件</w:t>
      </w:r>
      <w:r>
        <w:rPr>
          <w:rFonts w:ascii="宋体" w:hAnsi="宋体" w:eastAsia="宋体"/>
          <w:sz w:val="24"/>
          <w:highlight w:val="none"/>
        </w:rPr>
        <w:t>、评</w:t>
      </w:r>
      <w:r>
        <w:rPr>
          <w:rFonts w:hint="eastAsia" w:ascii="宋体" w:hAnsi="宋体" w:eastAsia="宋体"/>
          <w:sz w:val="24"/>
          <w:highlight w:val="none"/>
        </w:rPr>
        <w:t>标</w:t>
      </w:r>
      <w:r>
        <w:rPr>
          <w:rFonts w:ascii="宋体" w:hAnsi="宋体" w:eastAsia="宋体"/>
          <w:sz w:val="24"/>
          <w:highlight w:val="none"/>
        </w:rPr>
        <w:t>情况和评</w:t>
      </w:r>
      <w:r>
        <w:rPr>
          <w:rFonts w:hint="eastAsia" w:ascii="宋体" w:hAnsi="宋体" w:eastAsia="宋体"/>
          <w:sz w:val="24"/>
          <w:highlight w:val="none"/>
        </w:rPr>
        <w:t>标</w:t>
      </w:r>
      <w:r>
        <w:rPr>
          <w:rFonts w:ascii="宋体" w:hAnsi="宋体" w:eastAsia="宋体"/>
          <w:sz w:val="24"/>
          <w:highlight w:val="none"/>
        </w:rPr>
        <w:t>中获悉的</w:t>
      </w:r>
      <w:r>
        <w:rPr>
          <w:rFonts w:hint="eastAsia" w:ascii="宋体" w:hAnsi="宋体" w:eastAsia="宋体"/>
          <w:sz w:val="24"/>
          <w:highlight w:val="none"/>
        </w:rPr>
        <w:t>国家秘密、</w:t>
      </w:r>
      <w:r>
        <w:rPr>
          <w:rFonts w:ascii="宋体" w:hAnsi="宋体" w:eastAsia="宋体"/>
          <w:sz w:val="24"/>
          <w:highlight w:val="none"/>
        </w:rPr>
        <w:t>商业秘密。</w:t>
      </w:r>
    </w:p>
    <w:p w14:paraId="34008F5D">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20</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中标候选人的确定原则及标准</w:t>
      </w:r>
    </w:p>
    <w:p w14:paraId="1F2093F3">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0</w:t>
      </w:r>
      <w:r>
        <w:rPr>
          <w:rFonts w:asciiTheme="minorEastAsia" w:hAnsiTheme="minorEastAsia" w:eastAsiaTheme="minorEastAsia"/>
          <w:sz w:val="24"/>
          <w:highlight w:val="none"/>
        </w:rPr>
        <w:t>.1评</w:t>
      </w:r>
      <w:r>
        <w:rPr>
          <w:rFonts w:hint="eastAsia" w:asciiTheme="minorEastAsia" w:hAnsiTheme="minorEastAsia" w:eastAsiaTheme="minorEastAsia"/>
          <w:sz w:val="24"/>
          <w:highlight w:val="none"/>
        </w:rPr>
        <w:t>标</w:t>
      </w:r>
      <w:r>
        <w:rPr>
          <w:rFonts w:asciiTheme="minorEastAsia" w:hAnsiTheme="minorEastAsia" w:eastAsiaTheme="minorEastAsia"/>
          <w:sz w:val="24"/>
          <w:highlight w:val="none"/>
        </w:rPr>
        <w:t>委员会依据本项目招标文件所约定的评标方法，对实质上响应招标文件的投标人按下列方法进行排序</w:t>
      </w:r>
      <w:r>
        <w:rPr>
          <w:rFonts w:hint="eastAsia" w:asciiTheme="minorEastAsia" w:hAnsiTheme="minorEastAsia" w:eastAsiaTheme="minorEastAsia"/>
          <w:sz w:val="24"/>
          <w:highlight w:val="none"/>
        </w:rPr>
        <w:t>，确定中标候选人</w:t>
      </w:r>
      <w:r>
        <w:rPr>
          <w:rFonts w:asciiTheme="minorEastAsia" w:hAnsiTheme="minorEastAsia" w:eastAsiaTheme="minorEastAsia"/>
          <w:sz w:val="24"/>
          <w:highlight w:val="none"/>
        </w:rPr>
        <w:t>：</w:t>
      </w:r>
    </w:p>
    <w:p w14:paraId="2D3655B3">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sz w:val="24"/>
          <w:highlight w:val="none"/>
        </w:rPr>
        <w:t>出现两家或两家以上相同者，则所投产品为节能产品、环境标志产品、不发达地区或少数民族地区产品者优先；若报价相同且所投产品同为节能产品、环境标志产品、不发达地区或少数民族地区产品的，则采取评标委员会随机抽取的方式确定中标候选顺序。</w:t>
      </w:r>
    </w:p>
    <w:p w14:paraId="090E8702">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2）采用综合评分法的，评标结果按评审后得分由高到低顺序排列。得分相同的，按投标报价由低到高顺序排列。得分与投标报价均相同的</w:t>
      </w:r>
      <w:r>
        <w:rPr>
          <w:rFonts w:hint="eastAsia" w:asciiTheme="minorEastAsia" w:hAnsiTheme="minorEastAsia" w:eastAsiaTheme="minorEastAsia"/>
          <w:sz w:val="24"/>
          <w:highlight w:val="none"/>
        </w:rPr>
        <w:t>，则所投产品为节能产品、环境标志产品、不发达地区或少数民族地区产品者优先；若</w:t>
      </w:r>
      <w:r>
        <w:rPr>
          <w:rFonts w:asciiTheme="minorEastAsia" w:hAnsiTheme="minorEastAsia" w:eastAsiaTheme="minorEastAsia"/>
          <w:sz w:val="24"/>
          <w:highlight w:val="none"/>
        </w:rPr>
        <w:t>得分与投标报价均相同</w:t>
      </w:r>
      <w:r>
        <w:rPr>
          <w:rFonts w:hint="eastAsia" w:asciiTheme="minorEastAsia" w:hAnsiTheme="minorEastAsia" w:eastAsiaTheme="minorEastAsia"/>
          <w:sz w:val="24"/>
          <w:highlight w:val="none"/>
        </w:rPr>
        <w:t>且所投产品同为节能产品、环境标志产品、不发达地区或少数民族地区产品的，则采取评标委员会随机抽取的方式确定中标候选顺序。</w:t>
      </w:r>
    </w:p>
    <w:p w14:paraId="58436D9E">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21</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确定中标候选人和中标人</w:t>
      </w:r>
    </w:p>
    <w:p w14:paraId="7D97ABF5">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.1评标委员会将根据评标标准，按</w:t>
      </w:r>
      <w:r>
        <w:rPr>
          <w:rFonts w:asciiTheme="minorEastAsia" w:hAnsiTheme="minorEastAsia" w:eastAsiaTheme="minorEastAsia"/>
          <w:sz w:val="24"/>
          <w:highlight w:val="none"/>
          <w:u w:val="single"/>
        </w:rPr>
        <w:t>投标</w:t>
      </w:r>
      <w:r>
        <w:rPr>
          <w:rFonts w:hint="eastAsia" w:asciiTheme="minorEastAsia" w:hAnsiTheme="minorEastAsia" w:eastAsiaTheme="minorEastAsia"/>
          <w:sz w:val="24"/>
          <w:highlight w:val="none"/>
          <w:u w:val="single"/>
        </w:rPr>
        <w:t>人</w:t>
      </w:r>
      <w:r>
        <w:rPr>
          <w:rFonts w:asciiTheme="minorEastAsia" w:hAnsiTheme="minorEastAsia" w:eastAsiaTheme="minorEastAsia"/>
          <w:sz w:val="24"/>
          <w:highlight w:val="none"/>
          <w:u w:val="single"/>
        </w:rPr>
        <w:t>须知前附表</w:t>
      </w:r>
      <w:r>
        <w:rPr>
          <w:rFonts w:asciiTheme="minorEastAsia" w:hAnsiTheme="minorEastAsia" w:eastAsiaTheme="minorEastAsia"/>
          <w:sz w:val="24"/>
          <w:highlight w:val="none"/>
        </w:rPr>
        <w:t>中规定数量推荐中标候选人。</w:t>
      </w:r>
    </w:p>
    <w:p w14:paraId="72A9562B">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21.2按</w:t>
      </w:r>
      <w:r>
        <w:rPr>
          <w:rFonts w:asciiTheme="minorEastAsia" w:hAnsiTheme="minorEastAsia" w:eastAsiaTheme="minorEastAsia"/>
          <w:sz w:val="24"/>
          <w:highlight w:val="none"/>
          <w:u w:val="single"/>
        </w:rPr>
        <w:t>投标</w:t>
      </w:r>
      <w:r>
        <w:rPr>
          <w:rFonts w:hint="eastAsia" w:asciiTheme="minorEastAsia" w:hAnsiTheme="minorEastAsia" w:eastAsiaTheme="minorEastAsia"/>
          <w:sz w:val="24"/>
          <w:highlight w:val="none"/>
          <w:u w:val="single"/>
        </w:rPr>
        <w:t>人</w:t>
      </w:r>
      <w:r>
        <w:rPr>
          <w:rFonts w:asciiTheme="minorEastAsia" w:hAnsiTheme="minorEastAsia" w:eastAsiaTheme="minorEastAsia"/>
          <w:sz w:val="24"/>
          <w:highlight w:val="none"/>
          <w:u w:val="single"/>
        </w:rPr>
        <w:t>须知前附表</w:t>
      </w:r>
      <w:r>
        <w:rPr>
          <w:rFonts w:hint="eastAsia" w:asciiTheme="minorEastAsia" w:hAnsiTheme="minorEastAsia" w:eastAsiaTheme="minorEastAsia"/>
          <w:sz w:val="24"/>
          <w:highlight w:val="none"/>
        </w:rPr>
        <w:t>中规定，</w:t>
      </w:r>
      <w:r>
        <w:rPr>
          <w:rFonts w:asciiTheme="minorEastAsia" w:hAnsiTheme="minorEastAsia" w:eastAsiaTheme="minorEastAsia"/>
          <w:sz w:val="24"/>
          <w:highlight w:val="none"/>
        </w:rPr>
        <w:t>由评标委员会或采购人确定中标人。</w:t>
      </w:r>
    </w:p>
    <w:p w14:paraId="310A2CED">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因重大变故采购任务取消时，采购人有权拒绝任何投标人中标，且对受影响的投标人不承担任何责任。</w:t>
      </w:r>
    </w:p>
    <w:p w14:paraId="4C5788D6">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22</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编写评标报告</w:t>
      </w:r>
    </w:p>
    <w:p w14:paraId="70576B8F">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4616FA1A">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23</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中标结果公告</w:t>
      </w:r>
    </w:p>
    <w:p w14:paraId="55F821C9">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除</w:t>
      </w:r>
      <w:r>
        <w:rPr>
          <w:rFonts w:asciiTheme="minorEastAsia" w:hAnsiTheme="minorEastAsia" w:eastAsiaTheme="minorEastAsia"/>
          <w:sz w:val="24"/>
          <w:highlight w:val="none"/>
          <w:u w:val="single"/>
        </w:rPr>
        <w:t>投标</w:t>
      </w:r>
      <w:r>
        <w:rPr>
          <w:rFonts w:hint="eastAsia" w:asciiTheme="minorEastAsia" w:hAnsiTheme="minorEastAsia" w:eastAsiaTheme="minorEastAsia"/>
          <w:sz w:val="24"/>
          <w:highlight w:val="none"/>
          <w:u w:val="single"/>
        </w:rPr>
        <w:t>人</w:t>
      </w:r>
      <w:r>
        <w:rPr>
          <w:rFonts w:asciiTheme="minorEastAsia" w:hAnsiTheme="minorEastAsia" w:eastAsiaTheme="minorEastAsia"/>
          <w:sz w:val="24"/>
          <w:highlight w:val="none"/>
          <w:u w:val="single"/>
        </w:rPr>
        <w:t>须知前附表</w:t>
      </w:r>
      <w:r>
        <w:rPr>
          <w:rFonts w:asciiTheme="minorEastAsia" w:hAnsiTheme="minorEastAsia" w:eastAsiaTheme="minorEastAsia"/>
          <w:sz w:val="24"/>
          <w:highlight w:val="none"/>
        </w:rPr>
        <w:t>规定由评标委员会直接确定中标</w:t>
      </w:r>
      <w:r>
        <w:rPr>
          <w:rFonts w:hint="eastAsia" w:asciiTheme="minorEastAsia" w:hAnsiTheme="minorEastAsia" w:eastAsiaTheme="minorEastAsia"/>
          <w:sz w:val="24"/>
          <w:highlight w:val="none"/>
        </w:rPr>
        <w:t>人外，</w:t>
      </w:r>
      <w:r>
        <w:rPr>
          <w:rFonts w:asciiTheme="minorEastAsia" w:hAnsiTheme="minorEastAsia" w:eastAsiaTheme="minorEastAsia"/>
          <w:sz w:val="24"/>
          <w:highlight w:val="none"/>
        </w:rPr>
        <w:t>在评标结束后2个工作日内</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采购代理机构将评标报告送采购人。采购人应当自收到评标报告之日起</w:t>
      </w: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59032EED">
      <w:pPr>
        <w:spacing w:line="360" w:lineRule="auto"/>
        <w:ind w:firstLine="435"/>
        <w:rPr>
          <w:rFonts w:ascii="宋体" w:hAnsi="宋体" w:eastAsia="宋体"/>
          <w:sz w:val="24"/>
          <w:szCs w:val="18"/>
          <w:highlight w:val="none"/>
        </w:rPr>
      </w:pPr>
      <w:r>
        <w:rPr>
          <w:rFonts w:hint="eastAsia" w:asciiTheme="minorEastAsia" w:hAnsiTheme="minorEastAsia" w:eastAsiaTheme="minorEastAsia"/>
          <w:sz w:val="24"/>
          <w:highlight w:val="none"/>
        </w:rPr>
        <w:t>23</w:t>
      </w:r>
      <w:r>
        <w:rPr>
          <w:rFonts w:asciiTheme="minorEastAsia" w:hAnsiTheme="minorEastAsia" w:eastAsiaTheme="minorEastAsia"/>
          <w:sz w:val="24"/>
          <w:highlight w:val="none"/>
        </w:rPr>
        <w:t>.2</w:t>
      </w:r>
      <w:r>
        <w:rPr>
          <w:rFonts w:hint="eastAsia" w:ascii="宋体" w:hAnsi="宋体" w:eastAsia="宋体"/>
          <w:sz w:val="24"/>
          <w:szCs w:val="18"/>
          <w:highlight w:val="none"/>
        </w:rPr>
        <w:t>自中标人确定之日起2个工作日内，采购代理机构将在安徽省政府采购网（www.ccgp-anhui.gov.cn）上发布中标结果公告。</w:t>
      </w:r>
    </w:p>
    <w:p w14:paraId="2F2B05AF">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23.3</w:t>
      </w:r>
      <w:r>
        <w:rPr>
          <w:rFonts w:asciiTheme="minorEastAsia" w:hAnsiTheme="minorEastAsia" w:eastAsiaTheme="minorEastAsia"/>
          <w:sz w:val="24"/>
          <w:highlight w:val="none"/>
        </w:rPr>
        <w:t>中标结果公告内容应当包括采购人及其委托的采购代理机构的名称、地址、联系方式，项目名称和项目编号，中标人名称、地址和中标金额，主要中标标的的名称、规格型号、数量、单价、服务要求，中标公告期限、评审专家名单以及</w:t>
      </w:r>
      <w:r>
        <w:rPr>
          <w:rFonts w:hint="eastAsia" w:asciiTheme="minorEastAsia" w:hAnsiTheme="minorEastAsia" w:eastAsiaTheme="minorEastAsia"/>
          <w:sz w:val="24"/>
          <w:highlight w:val="none"/>
          <w:u w:val="single"/>
        </w:rPr>
        <w:t>投标人须知前附表</w:t>
      </w:r>
      <w:r>
        <w:rPr>
          <w:rFonts w:asciiTheme="minorEastAsia" w:hAnsiTheme="minorEastAsia" w:eastAsiaTheme="minorEastAsia"/>
          <w:sz w:val="24"/>
          <w:highlight w:val="none"/>
        </w:rPr>
        <w:t>中约定进行公告的内容。中标公告期限为1个工作日。</w:t>
      </w:r>
    </w:p>
    <w:p w14:paraId="3F2935BB">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24</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中标通知书</w:t>
      </w:r>
    </w:p>
    <w:p w14:paraId="56D00DAD">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.1采购代理机构</w:t>
      </w:r>
      <w:r>
        <w:rPr>
          <w:rFonts w:ascii="宋体" w:hAnsi="宋体" w:eastAsia="宋体"/>
          <w:sz w:val="24"/>
          <w:highlight w:val="none"/>
        </w:rPr>
        <w:t>发布</w:t>
      </w:r>
      <w:r>
        <w:rPr>
          <w:rFonts w:asciiTheme="minorEastAsia" w:hAnsiTheme="minorEastAsia" w:eastAsiaTheme="minorEastAsia"/>
          <w:sz w:val="24"/>
          <w:highlight w:val="none"/>
        </w:rPr>
        <w:t>中标结果公告</w:t>
      </w:r>
      <w:r>
        <w:rPr>
          <w:rFonts w:hint="eastAsia" w:asciiTheme="minorEastAsia" w:hAnsiTheme="minorEastAsia" w:eastAsiaTheme="minorEastAsia"/>
          <w:iCs/>
          <w:sz w:val="24"/>
          <w:highlight w:val="none"/>
        </w:rPr>
        <w:t>的</w:t>
      </w:r>
      <w:r>
        <w:rPr>
          <w:rFonts w:asciiTheme="minorEastAsia" w:hAnsiTheme="minorEastAsia" w:eastAsiaTheme="minorEastAsia"/>
          <w:sz w:val="24"/>
          <w:highlight w:val="none"/>
        </w:rPr>
        <w:t>同时以</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规定的</w:t>
      </w:r>
      <w:r>
        <w:rPr>
          <w:rFonts w:asciiTheme="minorEastAsia" w:hAnsiTheme="minorEastAsia" w:eastAsiaTheme="minorEastAsia"/>
          <w:sz w:val="24"/>
          <w:highlight w:val="none"/>
        </w:rPr>
        <w:t>形式向中标人发出中标通知书。</w:t>
      </w:r>
    </w:p>
    <w:p w14:paraId="4010180B">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.2中标通知书对采购人和中标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具有同等法律效力。中标通知书发出以后，采购人改变中标结果或者中标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放弃中标，应当承担相应的法律责任。</w:t>
      </w:r>
    </w:p>
    <w:p w14:paraId="24328390">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.3中标通知书是</w:t>
      </w:r>
      <w:r>
        <w:rPr>
          <w:rFonts w:ascii="宋体" w:hAnsi="宋体" w:eastAsia="宋体"/>
          <w:sz w:val="24"/>
          <w:highlight w:val="none"/>
        </w:rPr>
        <w:t>合同</w:t>
      </w:r>
      <w:r>
        <w:rPr>
          <w:rFonts w:asciiTheme="minorEastAsia" w:hAnsiTheme="minorEastAsia" w:eastAsiaTheme="minorEastAsia"/>
          <w:sz w:val="24"/>
          <w:highlight w:val="none"/>
        </w:rPr>
        <w:t>的组成部分。</w:t>
      </w:r>
    </w:p>
    <w:p w14:paraId="43A2A92C">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25</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告知招标结果</w:t>
      </w:r>
    </w:p>
    <w:p w14:paraId="54641550">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25</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在公告</w:t>
      </w:r>
      <w:r>
        <w:rPr>
          <w:rFonts w:asciiTheme="minorEastAsia" w:hAnsiTheme="minorEastAsia" w:eastAsiaTheme="minorEastAsia"/>
          <w:sz w:val="24"/>
          <w:highlight w:val="none"/>
        </w:rPr>
        <w:t>中标结果的同时，采购代理机构同时以</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规定的</w:t>
      </w:r>
      <w:r>
        <w:rPr>
          <w:rFonts w:asciiTheme="minorEastAsia" w:hAnsiTheme="minorEastAsia" w:eastAsiaTheme="minorEastAsia"/>
          <w:sz w:val="24"/>
          <w:highlight w:val="none"/>
        </w:rPr>
        <w:t>形式</w:t>
      </w:r>
      <w:r>
        <w:rPr>
          <w:rFonts w:hint="eastAsia" w:asciiTheme="minorEastAsia" w:hAnsiTheme="minorEastAsia" w:eastAsiaTheme="minorEastAsia"/>
          <w:sz w:val="24"/>
          <w:highlight w:val="none"/>
        </w:rPr>
        <w:t>告知未通过资格审查的投标人未通过的原因；采用综合评分法评审的，还将告知未中标人本人的评审得分和排序。</w:t>
      </w:r>
    </w:p>
    <w:p w14:paraId="7EDC5B77">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26</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履约保证金</w:t>
      </w:r>
    </w:p>
    <w:p w14:paraId="6E67D920">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26.1中标人应按照</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规定缴纳履约保证金。</w:t>
      </w:r>
    </w:p>
    <w:p w14:paraId="54BF98DF">
      <w:pPr>
        <w:spacing w:line="360" w:lineRule="auto"/>
        <w:ind w:firstLine="435"/>
        <w:rPr>
          <w:rFonts w:asciiTheme="minorEastAsia" w:hAnsiTheme="minorEastAsia" w:eastAsiaTheme="minorEastAsia"/>
          <w:b/>
          <w:sz w:val="24"/>
          <w:highlight w:val="none"/>
        </w:rPr>
      </w:pPr>
      <w:r>
        <w:rPr>
          <w:rFonts w:hint="eastAsia" w:asciiTheme="minorEastAsia" w:hAnsiTheme="minorEastAsia" w:eastAsiaTheme="minorEastAsia"/>
          <w:sz w:val="24"/>
          <w:highlight w:val="none"/>
        </w:rPr>
        <w:t>26.</w:t>
      </w:r>
      <w:r>
        <w:rPr>
          <w:rFonts w:asciiTheme="minorEastAsia" w:hAnsiTheme="minorEastAsia" w:eastAsiaTheme="minorEastAsia"/>
          <w:sz w:val="24"/>
          <w:highlight w:val="none"/>
        </w:rPr>
        <w:t>2</w:t>
      </w:r>
      <w:r>
        <w:rPr>
          <w:rFonts w:hint="eastAsia" w:ascii="宋体" w:hAnsi="宋体" w:eastAsia="宋体"/>
          <w:sz w:val="24"/>
          <w:highlight w:val="none"/>
        </w:rPr>
        <w:t>如果</w:t>
      </w:r>
      <w:r>
        <w:rPr>
          <w:rFonts w:hint="eastAsia" w:asciiTheme="minorEastAsia" w:hAnsiTheme="minorEastAsia" w:eastAsiaTheme="minorEastAsia"/>
          <w:sz w:val="24"/>
          <w:highlight w:val="none"/>
        </w:rPr>
        <w:t>中标人没有按照上述履约保证金的规定执行，将视为放弃中标资格。在此情况下，采购人可</w:t>
      </w:r>
      <w:r>
        <w:rPr>
          <w:rFonts w:asciiTheme="minorEastAsia" w:hAnsiTheme="minorEastAsia" w:eastAsiaTheme="minorEastAsia"/>
          <w:sz w:val="24"/>
          <w:highlight w:val="none"/>
        </w:rPr>
        <w:t>确定下一</w:t>
      </w:r>
      <w:r>
        <w:rPr>
          <w:rFonts w:hint="eastAsia" w:ascii="宋体" w:hAnsi="宋体" w:eastAsia="宋体"/>
          <w:sz w:val="24"/>
          <w:highlight w:val="none"/>
        </w:rPr>
        <w:t>中标</w:t>
      </w:r>
      <w:r>
        <w:rPr>
          <w:rFonts w:hint="eastAsia" w:asciiTheme="minorEastAsia" w:hAnsiTheme="minorEastAsia" w:eastAsiaTheme="minorEastAsia"/>
          <w:sz w:val="24"/>
          <w:highlight w:val="none"/>
        </w:rPr>
        <w:t>候选</w:t>
      </w:r>
      <w:r>
        <w:rPr>
          <w:rFonts w:asciiTheme="minorEastAsia" w:hAnsiTheme="minorEastAsia" w:eastAsiaTheme="minorEastAsia"/>
          <w:sz w:val="24"/>
          <w:highlight w:val="none"/>
        </w:rPr>
        <w:t>人为中标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，也可以重新开展采购活动。</w:t>
      </w:r>
    </w:p>
    <w:p w14:paraId="01F2D299">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27</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签订合同</w:t>
      </w:r>
    </w:p>
    <w:p w14:paraId="15C5C30A">
      <w:pPr>
        <w:spacing w:line="360" w:lineRule="auto"/>
        <w:ind w:firstLine="435"/>
        <w:rPr>
          <w:rFonts w:ascii="宋体" w:hAnsi="宋体" w:eastAsia="宋体"/>
          <w:sz w:val="24"/>
          <w:highlight w:val="none"/>
        </w:rPr>
      </w:pPr>
      <w:r>
        <w:rPr>
          <w:rFonts w:hint="eastAsia" w:ascii="宋体" w:hAnsi="宋体" w:eastAsia="宋体"/>
          <w:sz w:val="24"/>
          <w:highlight w:val="none"/>
        </w:rPr>
        <w:t>27.1</w:t>
      </w:r>
      <w:r>
        <w:rPr>
          <w:rFonts w:hint="eastAsia" w:ascii="宋体" w:hAnsi="宋体" w:eastAsia="宋体" w:cs="宋体"/>
          <w:sz w:val="24"/>
          <w:szCs w:val="24"/>
          <w:highlight w:val="none"/>
        </w:rPr>
        <w:t>采购人与中标人应当按照</w:t>
      </w:r>
      <w:r>
        <w:rPr>
          <w:rFonts w:hint="eastAsia" w:ascii="宋体" w:hAnsi="宋体" w:eastAsia="宋体" w:cs="宋体"/>
          <w:sz w:val="24"/>
          <w:szCs w:val="24"/>
          <w:highlight w:val="none"/>
          <w:u w:val="single"/>
        </w:rPr>
        <w:t>投标人须知前附表</w:t>
      </w:r>
      <w:r>
        <w:rPr>
          <w:rFonts w:hint="eastAsia" w:ascii="宋体" w:hAnsi="宋体" w:eastAsia="宋体" w:cs="宋体"/>
          <w:sz w:val="24"/>
          <w:szCs w:val="24"/>
          <w:highlight w:val="none"/>
        </w:rPr>
        <w:t>规定的时间内完成政府采购合同签订及合同公告。</w:t>
      </w:r>
    </w:p>
    <w:p w14:paraId="2A00FCAF">
      <w:pPr>
        <w:spacing w:line="360" w:lineRule="auto"/>
        <w:ind w:firstLine="435"/>
        <w:rPr>
          <w:rFonts w:ascii="宋体" w:hAnsi="宋体" w:eastAsia="宋体"/>
          <w:sz w:val="24"/>
          <w:highlight w:val="none"/>
        </w:rPr>
      </w:pPr>
      <w:r>
        <w:rPr>
          <w:rFonts w:hint="eastAsia" w:ascii="宋体" w:hAnsi="宋体" w:eastAsia="宋体"/>
          <w:sz w:val="24"/>
          <w:highlight w:val="none"/>
        </w:rPr>
        <w:t>27.2招标文件、中标人的投标文件及其澄清文件等，均为签订合同的依据。</w:t>
      </w:r>
    </w:p>
    <w:p w14:paraId="4B9016DD">
      <w:pPr>
        <w:spacing w:line="360" w:lineRule="auto"/>
        <w:ind w:firstLine="435"/>
        <w:rPr>
          <w:rFonts w:ascii="宋体" w:hAnsi="宋体" w:eastAsia="宋体"/>
          <w:sz w:val="24"/>
          <w:highlight w:val="none"/>
        </w:rPr>
      </w:pPr>
      <w:r>
        <w:rPr>
          <w:rFonts w:hint="eastAsia" w:ascii="宋体" w:hAnsi="宋体" w:eastAsia="宋体"/>
          <w:sz w:val="24"/>
          <w:highlight w:val="none"/>
        </w:rPr>
        <w:t>27.3中</w:t>
      </w:r>
      <w:r>
        <w:rPr>
          <w:rFonts w:ascii="宋体" w:hAnsi="宋体" w:eastAsia="宋体"/>
          <w:sz w:val="24"/>
          <w:highlight w:val="none"/>
        </w:rPr>
        <w:t>标</w:t>
      </w:r>
      <w:r>
        <w:rPr>
          <w:rFonts w:hint="eastAsia" w:ascii="宋体" w:hAnsi="宋体" w:eastAsia="宋体"/>
          <w:sz w:val="24"/>
          <w:highlight w:val="none"/>
        </w:rPr>
        <w:t>人</w:t>
      </w:r>
      <w:r>
        <w:rPr>
          <w:rFonts w:ascii="宋体" w:hAnsi="宋体" w:eastAsia="宋体"/>
          <w:sz w:val="24"/>
          <w:highlight w:val="none"/>
        </w:rPr>
        <w:t>拒绝与采购人签订合同的，采购人可以按照评审报告推荐的中标候选人</w:t>
      </w:r>
      <w:r>
        <w:rPr>
          <w:rFonts w:hint="eastAsia" w:ascii="宋体" w:hAnsi="宋体" w:eastAsia="宋体"/>
          <w:sz w:val="24"/>
          <w:highlight w:val="none"/>
        </w:rPr>
        <w:t>名单</w:t>
      </w:r>
      <w:r>
        <w:rPr>
          <w:rFonts w:ascii="宋体" w:hAnsi="宋体" w:eastAsia="宋体"/>
          <w:sz w:val="24"/>
          <w:highlight w:val="none"/>
        </w:rPr>
        <w:t>排序</w:t>
      </w:r>
      <w:r>
        <w:rPr>
          <w:rFonts w:hint="eastAsia" w:ascii="宋体" w:hAnsi="宋体" w:eastAsia="宋体"/>
          <w:sz w:val="24"/>
          <w:highlight w:val="none"/>
        </w:rPr>
        <w:t>，</w:t>
      </w:r>
      <w:r>
        <w:rPr>
          <w:rFonts w:ascii="宋体" w:hAnsi="宋体" w:eastAsia="宋体"/>
          <w:sz w:val="24"/>
          <w:highlight w:val="none"/>
        </w:rPr>
        <w:t>确定下一</w:t>
      </w:r>
      <w:r>
        <w:rPr>
          <w:rFonts w:hint="eastAsia" w:ascii="宋体" w:hAnsi="宋体" w:eastAsia="宋体"/>
          <w:sz w:val="24"/>
          <w:highlight w:val="none"/>
        </w:rPr>
        <w:t>中标候选</w:t>
      </w:r>
      <w:r>
        <w:rPr>
          <w:rFonts w:ascii="宋体" w:hAnsi="宋体" w:eastAsia="宋体"/>
          <w:sz w:val="24"/>
          <w:highlight w:val="none"/>
        </w:rPr>
        <w:t>人为中标</w:t>
      </w:r>
      <w:r>
        <w:rPr>
          <w:rFonts w:hint="eastAsia" w:ascii="宋体" w:hAnsi="宋体" w:eastAsia="宋体"/>
          <w:sz w:val="24"/>
          <w:highlight w:val="none"/>
        </w:rPr>
        <w:t>人</w:t>
      </w:r>
      <w:r>
        <w:rPr>
          <w:rFonts w:ascii="宋体" w:hAnsi="宋体" w:eastAsia="宋体"/>
          <w:sz w:val="24"/>
          <w:highlight w:val="none"/>
        </w:rPr>
        <w:t>，也可以重新开展政府采购活动。</w:t>
      </w:r>
    </w:p>
    <w:p w14:paraId="7515C6B6">
      <w:pPr>
        <w:spacing w:line="360" w:lineRule="auto"/>
        <w:ind w:firstLine="435"/>
        <w:rPr>
          <w:rFonts w:ascii="宋体" w:hAnsi="宋体" w:eastAsia="宋体"/>
          <w:sz w:val="24"/>
          <w:highlight w:val="none"/>
        </w:rPr>
      </w:pPr>
      <w:r>
        <w:rPr>
          <w:rFonts w:hint="eastAsia" w:ascii="宋体" w:hAnsi="宋体" w:eastAsia="宋体"/>
          <w:sz w:val="24"/>
          <w:highlight w:val="none"/>
        </w:rPr>
        <w:t>27.4依据《政府采购促进中小企业发展管理办法》（财库〔</w:t>
      </w:r>
      <w:r>
        <w:rPr>
          <w:rFonts w:ascii="宋体" w:hAnsi="宋体" w:eastAsia="宋体"/>
          <w:sz w:val="24"/>
          <w:highlight w:val="none"/>
        </w:rPr>
        <w:t>2020〕46号</w:t>
      </w:r>
      <w:r>
        <w:rPr>
          <w:rFonts w:hint="eastAsia" w:ascii="宋体" w:hAnsi="宋体" w:eastAsia="宋体"/>
          <w:sz w:val="24"/>
          <w:highlight w:val="none"/>
        </w:rPr>
        <w:t>）规定享受扶持政策获得政府采购合同的，小微企业不得将合同分包给大中型企业，中型企业不得将合同分包给大型企业。</w:t>
      </w:r>
    </w:p>
    <w:p w14:paraId="0396ADD5">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28</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代理费用</w:t>
      </w:r>
    </w:p>
    <w:p w14:paraId="53460F4A">
      <w:pPr>
        <w:spacing w:line="360" w:lineRule="auto"/>
        <w:ind w:firstLine="435"/>
        <w:rPr>
          <w:rFonts w:ascii="宋体" w:hAnsi="宋体" w:eastAsia="宋体"/>
          <w:sz w:val="24"/>
          <w:highlight w:val="none"/>
        </w:rPr>
      </w:pPr>
      <w:r>
        <w:rPr>
          <w:rFonts w:hint="eastAsia" w:ascii="宋体" w:hAnsi="宋体" w:eastAsia="宋体"/>
          <w:sz w:val="24"/>
          <w:highlight w:val="none"/>
        </w:rPr>
        <w:t>28</w:t>
      </w:r>
      <w:r>
        <w:rPr>
          <w:rFonts w:ascii="宋体" w:hAnsi="宋体" w:eastAsia="宋体"/>
          <w:sz w:val="24"/>
          <w:highlight w:val="none"/>
        </w:rPr>
        <w:t>.1</w:t>
      </w:r>
      <w:r>
        <w:rPr>
          <w:rFonts w:hint="eastAsia" w:ascii="宋体" w:hAnsi="宋体" w:eastAsia="宋体"/>
          <w:sz w:val="24"/>
          <w:highlight w:val="none"/>
        </w:rPr>
        <w:t>本项目代理费用的收取按</w:t>
      </w:r>
      <w:r>
        <w:rPr>
          <w:rFonts w:hint="eastAsia" w:asciiTheme="minorEastAsia" w:hAnsiTheme="minorEastAsia" w:eastAsiaTheme="minorEastAsia"/>
          <w:sz w:val="24"/>
          <w:highlight w:val="none"/>
          <w:u w:val="single"/>
        </w:rPr>
        <w:t>投标人须知前附表的</w:t>
      </w:r>
      <w:r>
        <w:rPr>
          <w:rFonts w:hint="eastAsia" w:ascii="宋体" w:hAnsi="宋体" w:eastAsia="宋体"/>
          <w:sz w:val="24"/>
          <w:highlight w:val="none"/>
        </w:rPr>
        <w:t>规定执行</w:t>
      </w:r>
      <w:r>
        <w:rPr>
          <w:rFonts w:hint="eastAsia" w:asciiTheme="minorEastAsia" w:hAnsiTheme="minorEastAsia" w:eastAsiaTheme="minorEastAsia"/>
          <w:sz w:val="24"/>
          <w:highlight w:val="none"/>
        </w:rPr>
        <w:t>。</w:t>
      </w:r>
    </w:p>
    <w:p w14:paraId="0D0110CB">
      <w:pPr>
        <w:spacing w:line="360" w:lineRule="auto"/>
        <w:ind w:firstLine="437"/>
        <w:outlineLvl w:val="2"/>
        <w:rPr>
          <w:rFonts w:asciiTheme="minorEastAsia" w:hAnsiTheme="minorEastAsia" w:eastAsiaTheme="minorEastAsia"/>
          <w:b/>
          <w:sz w:val="24"/>
          <w:highlight w:val="none"/>
        </w:rPr>
      </w:pPr>
      <w:bookmarkStart w:id="26" w:name="_Toc518923100"/>
      <w:bookmarkStart w:id="27" w:name="_Toc2583661"/>
      <w:r>
        <w:rPr>
          <w:rFonts w:hint="eastAsia" w:asciiTheme="minorEastAsia" w:hAnsiTheme="minorEastAsia" w:eastAsiaTheme="minorEastAsia"/>
          <w:b/>
          <w:sz w:val="24"/>
          <w:highlight w:val="none"/>
        </w:rPr>
        <w:t>29.廉洁自律</w:t>
      </w:r>
      <w:r>
        <w:rPr>
          <w:rFonts w:asciiTheme="minorEastAsia" w:hAnsiTheme="minorEastAsia" w:eastAsiaTheme="minorEastAsia"/>
          <w:b/>
          <w:sz w:val="24"/>
          <w:highlight w:val="none"/>
        </w:rPr>
        <w:t>规定</w:t>
      </w:r>
      <w:bookmarkEnd w:id="26"/>
      <w:bookmarkEnd w:id="27"/>
    </w:p>
    <w:p w14:paraId="6F4B12FB">
      <w:pPr>
        <w:spacing w:line="360" w:lineRule="auto"/>
        <w:ind w:firstLine="435"/>
        <w:rPr>
          <w:rFonts w:ascii="宋体" w:hAnsi="宋体" w:eastAsia="宋体"/>
          <w:sz w:val="24"/>
          <w:highlight w:val="none"/>
        </w:rPr>
      </w:pPr>
      <w:r>
        <w:rPr>
          <w:rFonts w:hint="eastAsia" w:ascii="宋体" w:hAnsi="宋体" w:eastAsia="宋体"/>
          <w:sz w:val="24"/>
          <w:highlight w:val="none"/>
        </w:rPr>
        <w:t>29.1采购代理机构</w:t>
      </w:r>
      <w:r>
        <w:rPr>
          <w:rFonts w:ascii="宋体" w:hAnsi="宋体" w:eastAsia="宋体"/>
          <w:sz w:val="24"/>
          <w:highlight w:val="none"/>
        </w:rPr>
        <w:t>工作人员</w:t>
      </w:r>
      <w:r>
        <w:rPr>
          <w:rFonts w:hint="eastAsia" w:ascii="宋体" w:hAnsi="宋体" w:eastAsia="宋体"/>
          <w:sz w:val="24"/>
          <w:highlight w:val="none"/>
        </w:rPr>
        <w:t>不得以不正当手段获取政府采购代理业务，不得与采购人、供应商恶意串通。</w:t>
      </w:r>
    </w:p>
    <w:p w14:paraId="1710B07B">
      <w:pPr>
        <w:spacing w:line="360" w:lineRule="auto"/>
        <w:ind w:firstLine="435"/>
        <w:rPr>
          <w:rFonts w:ascii="宋体" w:hAnsi="宋体" w:eastAsia="宋体"/>
          <w:sz w:val="24"/>
          <w:highlight w:val="none"/>
        </w:rPr>
      </w:pPr>
      <w:r>
        <w:rPr>
          <w:rFonts w:hint="eastAsia" w:ascii="宋体" w:hAnsi="宋体" w:eastAsia="宋体"/>
          <w:sz w:val="24"/>
          <w:highlight w:val="none"/>
        </w:rPr>
        <w:t>29.</w:t>
      </w:r>
      <w:r>
        <w:rPr>
          <w:rFonts w:ascii="宋体" w:hAnsi="宋体" w:eastAsia="宋体"/>
          <w:sz w:val="24"/>
          <w:highlight w:val="none"/>
        </w:rPr>
        <w:t>2</w:t>
      </w:r>
      <w:r>
        <w:rPr>
          <w:rFonts w:hint="eastAsia" w:ascii="宋体" w:hAnsi="宋体" w:eastAsia="宋体"/>
          <w:sz w:val="24"/>
          <w:highlight w:val="none"/>
        </w:rPr>
        <w:t>采购代理机构工作人员不得接受采购人或者供应商组织的宴请、旅游、娱乐，不得收受礼品、现金、有价证券等，不得向采购人或者供应商报销应当由个人承担的费用。</w:t>
      </w:r>
    </w:p>
    <w:p w14:paraId="3AD1EAF7">
      <w:pPr>
        <w:spacing w:line="360" w:lineRule="auto"/>
        <w:ind w:firstLine="437"/>
        <w:outlineLvl w:val="2"/>
        <w:rPr>
          <w:rFonts w:asciiTheme="minorEastAsia" w:hAnsiTheme="minorEastAsia" w:eastAsiaTheme="minorEastAsia"/>
          <w:b/>
          <w:sz w:val="24"/>
          <w:highlight w:val="none"/>
        </w:rPr>
      </w:pPr>
      <w:bookmarkStart w:id="28" w:name="_Toc518923101"/>
      <w:bookmarkStart w:id="29" w:name="_Toc2583662"/>
      <w:r>
        <w:rPr>
          <w:rFonts w:hint="eastAsia" w:asciiTheme="minorEastAsia" w:hAnsiTheme="minorEastAsia" w:eastAsiaTheme="minorEastAsia"/>
          <w:b/>
          <w:sz w:val="24"/>
          <w:highlight w:val="none"/>
        </w:rPr>
        <w:t>30.人员回避</w:t>
      </w:r>
      <w:bookmarkEnd w:id="28"/>
      <w:bookmarkEnd w:id="29"/>
    </w:p>
    <w:p w14:paraId="6A80AC05">
      <w:pPr>
        <w:spacing w:line="360" w:lineRule="auto"/>
        <w:ind w:firstLine="435"/>
        <w:rPr>
          <w:rFonts w:ascii="仿宋_GB2312" w:hAnsi="宋体" w:eastAsia="仿宋_GB2312"/>
          <w:sz w:val="24"/>
          <w:highlight w:val="none"/>
        </w:rPr>
      </w:pPr>
      <w:r>
        <w:rPr>
          <w:rFonts w:hint="eastAsia" w:ascii="宋体" w:hAnsi="宋体" w:eastAsia="宋体"/>
          <w:sz w:val="24"/>
          <w:highlight w:val="none"/>
        </w:rPr>
        <w:t>投标人</w:t>
      </w:r>
      <w:r>
        <w:rPr>
          <w:rFonts w:ascii="宋体" w:hAnsi="宋体" w:eastAsia="宋体"/>
          <w:sz w:val="24"/>
          <w:highlight w:val="none"/>
        </w:rPr>
        <w:t>认为采购人员</w:t>
      </w:r>
      <w:r>
        <w:rPr>
          <w:rFonts w:hint="eastAsia" w:ascii="宋体" w:hAnsi="宋体" w:eastAsia="宋体"/>
          <w:sz w:val="24"/>
          <w:highlight w:val="none"/>
        </w:rPr>
        <w:t>及其</w:t>
      </w:r>
      <w:r>
        <w:rPr>
          <w:rFonts w:ascii="宋体" w:hAnsi="宋体" w:eastAsia="宋体"/>
          <w:sz w:val="24"/>
          <w:highlight w:val="none"/>
        </w:rPr>
        <w:t>相关人员有</w:t>
      </w:r>
      <w:r>
        <w:rPr>
          <w:rFonts w:hint="eastAsia" w:ascii="宋体" w:hAnsi="宋体" w:eastAsia="宋体"/>
          <w:sz w:val="24"/>
          <w:highlight w:val="none"/>
        </w:rPr>
        <w:t>法律</w:t>
      </w:r>
      <w:r>
        <w:rPr>
          <w:rFonts w:ascii="宋体" w:hAnsi="宋体" w:eastAsia="宋体"/>
          <w:sz w:val="24"/>
          <w:highlight w:val="none"/>
        </w:rPr>
        <w:t>法规所列与其他供应商</w:t>
      </w:r>
      <w:r>
        <w:rPr>
          <w:rFonts w:hint="eastAsia" w:ascii="宋体" w:hAnsi="宋体" w:eastAsia="宋体"/>
          <w:sz w:val="24"/>
          <w:highlight w:val="none"/>
        </w:rPr>
        <w:t>有</w:t>
      </w:r>
      <w:r>
        <w:rPr>
          <w:rFonts w:ascii="宋体" w:hAnsi="宋体" w:eastAsia="宋体"/>
          <w:sz w:val="24"/>
          <w:highlight w:val="none"/>
        </w:rPr>
        <w:t>利害关系的，可以向</w:t>
      </w:r>
      <w:r>
        <w:rPr>
          <w:rFonts w:hint="eastAsia" w:ascii="宋体" w:hAnsi="宋体" w:eastAsia="宋体"/>
          <w:sz w:val="24"/>
          <w:highlight w:val="none"/>
        </w:rPr>
        <w:t>采购人或</w:t>
      </w:r>
      <w:r>
        <w:rPr>
          <w:rFonts w:ascii="宋体" w:hAnsi="宋体" w:eastAsia="宋体"/>
          <w:sz w:val="24"/>
          <w:highlight w:val="none"/>
        </w:rPr>
        <w:t>采购代理机构书面提出回避申请，并说明理由。</w:t>
      </w:r>
    </w:p>
    <w:p w14:paraId="55AB3F8F">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31</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质疑的提出与接收</w:t>
      </w:r>
    </w:p>
    <w:p w14:paraId="6D6C1250">
      <w:pPr>
        <w:spacing w:line="360" w:lineRule="auto"/>
        <w:ind w:firstLine="435"/>
        <w:rPr>
          <w:rFonts w:ascii="宋体" w:hAnsi="宋体" w:eastAsia="宋体"/>
          <w:sz w:val="24"/>
          <w:highlight w:val="none"/>
        </w:rPr>
      </w:pPr>
      <w:r>
        <w:rPr>
          <w:rFonts w:hint="eastAsia" w:ascii="宋体" w:hAnsi="宋体" w:eastAsia="宋体"/>
          <w:sz w:val="24"/>
          <w:highlight w:val="none"/>
        </w:rPr>
        <w:t>31.1投标人认为招标文件、招标过程和中标结果使自己的权益受到损害的，可以在知道或者应知其权益受到损害之日起七个工作日内，以书面形式向采购人或其委托的采购代理机构提出质疑。</w:t>
      </w:r>
    </w:p>
    <w:p w14:paraId="2414A1A7">
      <w:pPr>
        <w:spacing w:line="360" w:lineRule="auto"/>
        <w:ind w:firstLine="435"/>
        <w:rPr>
          <w:rFonts w:ascii="宋体" w:hAnsi="宋体" w:eastAsia="宋体"/>
          <w:sz w:val="24"/>
          <w:highlight w:val="none"/>
        </w:rPr>
      </w:pPr>
      <w:r>
        <w:rPr>
          <w:rFonts w:hint="eastAsia" w:ascii="宋体" w:hAnsi="宋体" w:eastAsia="宋体"/>
          <w:sz w:val="24"/>
          <w:highlight w:val="none"/>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62CEC085">
      <w:pPr>
        <w:spacing w:line="360" w:lineRule="auto"/>
        <w:ind w:firstLine="435"/>
        <w:rPr>
          <w:rFonts w:ascii="宋体" w:hAnsi="宋体" w:eastAsia="宋体"/>
          <w:sz w:val="24"/>
          <w:highlight w:val="none"/>
        </w:rPr>
      </w:pPr>
      <w:r>
        <w:rPr>
          <w:rFonts w:hint="eastAsia" w:ascii="宋体" w:hAnsi="宋体" w:eastAsia="宋体"/>
          <w:sz w:val="24"/>
          <w:highlight w:val="none"/>
        </w:rPr>
        <w:t>31.3采购代理机构质疑函接收部门、联系电话和通讯地址，见</w:t>
      </w:r>
      <w:r>
        <w:rPr>
          <w:rFonts w:hint="eastAsia" w:ascii="宋体" w:hAnsi="宋体" w:eastAsia="宋体"/>
          <w:sz w:val="24"/>
          <w:highlight w:val="none"/>
          <w:u w:val="single"/>
        </w:rPr>
        <w:t>投标人须知前附表</w:t>
      </w:r>
      <w:r>
        <w:rPr>
          <w:rFonts w:hint="eastAsia" w:ascii="宋体" w:hAnsi="宋体" w:eastAsia="宋体"/>
          <w:sz w:val="24"/>
          <w:highlight w:val="none"/>
        </w:rPr>
        <w:t>。</w:t>
      </w:r>
    </w:p>
    <w:p w14:paraId="45BFE421">
      <w:pPr>
        <w:spacing w:line="360" w:lineRule="auto"/>
        <w:ind w:firstLine="435"/>
        <w:rPr>
          <w:rFonts w:ascii="宋体" w:hAnsi="宋体" w:eastAsia="宋体"/>
          <w:sz w:val="24"/>
          <w:highlight w:val="none"/>
        </w:rPr>
      </w:pPr>
      <w:r>
        <w:rPr>
          <w:rFonts w:hint="eastAsia" w:ascii="宋体" w:hAnsi="宋体" w:eastAsia="宋体"/>
          <w:sz w:val="24"/>
          <w:highlight w:val="none"/>
        </w:rPr>
        <w:t>注：上述条款中所要求的书面形式包含通过电子交易系统递交方式。</w:t>
      </w:r>
    </w:p>
    <w:p w14:paraId="1CF012AD">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32</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需要补充的其他内容</w:t>
      </w:r>
    </w:p>
    <w:p w14:paraId="6390953B">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需要补充的其他内容，见</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w:t>
      </w:r>
    </w:p>
    <w:p w14:paraId="37C5F703">
      <w:pPr>
        <w:widowControl/>
        <w:jc w:val="left"/>
        <w:rPr>
          <w:rFonts w:asciiTheme="minorEastAsia" w:hAnsiTheme="minorEastAsia" w:eastAsiaTheme="minorEastAsia"/>
          <w:b/>
          <w:sz w:val="28"/>
          <w:highlight w:val="none"/>
        </w:rPr>
      </w:pPr>
      <w:r>
        <w:rPr>
          <w:rFonts w:asciiTheme="minorEastAsia" w:hAnsiTheme="minorEastAsia" w:eastAsiaTheme="minorEastAsia"/>
          <w:sz w:val="24"/>
          <w:highlight w:val="none"/>
        </w:rPr>
        <w:br w:type="page"/>
      </w:r>
    </w:p>
    <w:p w14:paraId="33B36AB1">
      <w:pPr>
        <w:spacing w:line="360" w:lineRule="auto"/>
        <w:jc w:val="center"/>
        <w:outlineLvl w:val="0"/>
        <w:rPr>
          <w:rFonts w:asciiTheme="minorEastAsia" w:hAnsiTheme="minorEastAsia" w:eastAsiaTheme="minorEastAsia"/>
          <w:b/>
          <w:sz w:val="28"/>
          <w:highlight w:val="none"/>
        </w:rPr>
      </w:pPr>
      <w:bookmarkStart w:id="30" w:name="_Toc10891"/>
      <w:r>
        <w:rPr>
          <w:rFonts w:hint="eastAsia" w:asciiTheme="minorEastAsia" w:hAnsiTheme="minorEastAsia" w:eastAsiaTheme="minorEastAsia"/>
          <w:b/>
          <w:sz w:val="28"/>
          <w:highlight w:val="none"/>
        </w:rPr>
        <w:t>第三章  采购需求</w:t>
      </w:r>
      <w:bookmarkEnd w:id="30"/>
    </w:p>
    <w:p w14:paraId="6CBD3BC0">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前注：</w:t>
      </w:r>
    </w:p>
    <w:p w14:paraId="57F658E4">
      <w:pPr>
        <w:spacing w:line="360" w:lineRule="auto"/>
        <w:ind w:firstLine="435"/>
        <w:rPr>
          <w:rFonts w:ascii="宋体" w:hAnsi="宋体" w:eastAsia="宋体"/>
          <w:sz w:val="24"/>
          <w:szCs w:val="18"/>
          <w:highlight w:val="none"/>
        </w:rPr>
      </w:pPr>
      <w:r>
        <w:rPr>
          <w:rFonts w:hint="eastAsia" w:asciiTheme="minorEastAsia" w:hAnsiTheme="minorEastAsia" w:eastAsiaTheme="minorEastAsia"/>
          <w:sz w:val="24"/>
          <w:highlight w:val="none"/>
        </w:rPr>
        <w:t>1.</w:t>
      </w:r>
      <w:r>
        <w:rPr>
          <w:rFonts w:ascii="宋体" w:hAnsi="宋体" w:eastAsia="宋体"/>
          <w:sz w:val="24"/>
          <w:szCs w:val="18"/>
          <w:highlight w:val="none"/>
        </w:rPr>
        <w:t>根据《</w:t>
      </w:r>
      <w:r>
        <w:rPr>
          <w:rFonts w:hint="eastAsia" w:ascii="宋体" w:hAnsi="宋体" w:eastAsia="宋体"/>
          <w:sz w:val="24"/>
          <w:szCs w:val="18"/>
          <w:highlight w:val="none"/>
        </w:rPr>
        <w:t>政府采购进口产品管理办法</w:t>
      </w:r>
      <w:r>
        <w:rPr>
          <w:rFonts w:ascii="宋体" w:hAnsi="宋体" w:eastAsia="宋体"/>
          <w:sz w:val="24"/>
          <w:szCs w:val="18"/>
          <w:highlight w:val="none"/>
        </w:rPr>
        <w:t>》及政府采购管理部门的相关规定，下列采购需求中</w:t>
      </w:r>
      <w:r>
        <w:rPr>
          <w:rFonts w:hint="eastAsia" w:ascii="宋体" w:hAnsi="宋体" w:eastAsia="宋体"/>
          <w:sz w:val="24"/>
          <w:szCs w:val="18"/>
          <w:highlight w:val="none"/>
        </w:rPr>
        <w:t>标注进口产品的货物均</w:t>
      </w:r>
      <w:r>
        <w:rPr>
          <w:rFonts w:ascii="宋体" w:hAnsi="宋体" w:eastAsia="宋体"/>
          <w:sz w:val="24"/>
          <w:szCs w:val="18"/>
          <w:highlight w:val="none"/>
        </w:rPr>
        <w:t>已履行相关论证手续，经核准采购进口</w:t>
      </w:r>
      <w:r>
        <w:rPr>
          <w:rFonts w:hint="eastAsia" w:ascii="宋体" w:hAnsi="宋体" w:eastAsia="宋体"/>
          <w:sz w:val="24"/>
          <w:szCs w:val="18"/>
          <w:highlight w:val="none"/>
        </w:rPr>
        <w:t>产品</w:t>
      </w:r>
      <w:r>
        <w:rPr>
          <w:rFonts w:ascii="宋体" w:hAnsi="宋体" w:eastAsia="宋体"/>
          <w:sz w:val="24"/>
          <w:szCs w:val="18"/>
          <w:highlight w:val="none"/>
        </w:rPr>
        <w:t>，但不限制满足招标文件要求的国内产品参与竞争</w:t>
      </w:r>
      <w:r>
        <w:rPr>
          <w:rFonts w:hint="eastAsia" w:ascii="宋体" w:hAnsi="宋体" w:eastAsia="宋体"/>
          <w:sz w:val="24"/>
          <w:szCs w:val="18"/>
          <w:highlight w:val="none"/>
        </w:rPr>
        <w:t>。未标注进口产品的货物均</w:t>
      </w:r>
      <w:r>
        <w:rPr>
          <w:rFonts w:ascii="宋体" w:hAnsi="宋体" w:eastAsia="宋体"/>
          <w:sz w:val="24"/>
          <w:szCs w:val="18"/>
          <w:highlight w:val="none"/>
        </w:rPr>
        <w:t>为拒绝采购进口产品</w:t>
      </w:r>
      <w:r>
        <w:rPr>
          <w:rFonts w:hint="eastAsia" w:ascii="宋体" w:hAnsi="宋体" w:eastAsia="宋体"/>
          <w:sz w:val="24"/>
          <w:szCs w:val="18"/>
          <w:highlight w:val="none"/>
        </w:rPr>
        <w:t>。</w:t>
      </w:r>
    </w:p>
    <w:p w14:paraId="0F5917A6">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2.</w:t>
      </w:r>
      <w:r>
        <w:rPr>
          <w:rFonts w:ascii="宋体" w:hAnsi="宋体" w:eastAsia="宋体" w:cs="宋体"/>
          <w:sz w:val="24"/>
          <w:szCs w:val="24"/>
          <w:highlight w:val="none"/>
        </w:rPr>
        <w:t>政府采购政策（包括但不限于下列具体政策要求</w:t>
      </w:r>
      <w:r>
        <w:rPr>
          <w:rFonts w:hint="eastAsia" w:ascii="宋体" w:hAnsi="宋体" w:eastAsia="宋体" w:cs="宋体"/>
          <w:sz w:val="24"/>
          <w:szCs w:val="24"/>
          <w:highlight w:val="none"/>
        </w:rPr>
        <w:t>）</w:t>
      </w:r>
      <w:r>
        <w:rPr>
          <w:rFonts w:hint="eastAsia" w:ascii="宋体" w:hAnsi="宋体" w:eastAsia="宋体"/>
          <w:sz w:val="24"/>
          <w:szCs w:val="18"/>
          <w:highlight w:val="none"/>
        </w:rPr>
        <w:t>：</w:t>
      </w:r>
    </w:p>
    <w:p w14:paraId="6B4AF9AC">
      <w:pPr>
        <w:spacing w:line="360" w:lineRule="auto"/>
        <w:ind w:firstLine="435"/>
        <w:rPr>
          <w:rFonts w:ascii="宋体" w:hAnsi="宋体" w:eastAsia="宋体" w:cs="宋体"/>
          <w:sz w:val="24"/>
          <w:szCs w:val="24"/>
          <w:highlight w:val="none"/>
        </w:rPr>
      </w:pPr>
      <w:r>
        <w:rPr>
          <w:rFonts w:hint="eastAsia" w:ascii="宋体" w:hAnsi="宋体" w:eastAsia="宋体" w:cs="宋体"/>
          <w:sz w:val="24"/>
          <w:szCs w:val="24"/>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0A7BFE58">
      <w:pPr>
        <w:spacing w:line="360" w:lineRule="auto"/>
        <w:ind w:firstLine="435"/>
        <w:rPr>
          <w:rFonts w:ascii="宋体" w:hAnsi="宋体" w:eastAsia="宋体" w:cs="宋体"/>
          <w:sz w:val="24"/>
          <w:szCs w:val="24"/>
          <w:highlight w:val="none"/>
        </w:rPr>
      </w:pPr>
      <w:r>
        <w:rPr>
          <w:rFonts w:hint="eastAsia" w:ascii="宋体" w:hAnsi="宋体" w:eastAsia="宋体" w:cs="宋体"/>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543BC84E">
      <w:pPr>
        <w:spacing w:line="360" w:lineRule="auto"/>
        <w:ind w:firstLine="435"/>
        <w:rPr>
          <w:highlight w:val="none"/>
        </w:rPr>
      </w:pPr>
      <w:r>
        <w:rPr>
          <w:rFonts w:hint="eastAsia" w:ascii="宋体" w:hAnsi="宋体" w:eastAsia="宋体" w:cs="宋体"/>
          <w:sz w:val="24"/>
          <w:szCs w:val="24"/>
          <w:highlight w:val="none"/>
        </w:rPr>
        <w:t>3.</w:t>
      </w:r>
      <w:r>
        <w:rPr>
          <w:rFonts w:hint="eastAsia" w:ascii="宋体" w:hAnsi="宋体" w:eastAsia="宋体"/>
          <w:sz w:val="24"/>
          <w:szCs w:val="18"/>
          <w:highlight w:val="none"/>
        </w:rPr>
        <w:t>如采购人允许采用分包方式履行合同的，应当明确可以分包履行的相关内容。</w:t>
      </w:r>
    </w:p>
    <w:p w14:paraId="31AEEE38">
      <w:pPr>
        <w:spacing w:line="360" w:lineRule="auto"/>
        <w:ind w:firstLine="437"/>
        <w:outlineLvl w:val="1"/>
        <w:rPr>
          <w:rFonts w:ascii="宋体" w:hAnsi="宋体" w:eastAsia="宋体"/>
          <w:b/>
          <w:sz w:val="24"/>
          <w:szCs w:val="18"/>
          <w:highlight w:val="none"/>
        </w:rPr>
      </w:pPr>
      <w:bookmarkStart w:id="31" w:name="_Toc32151"/>
      <w:bookmarkStart w:id="32" w:name="_Toc2554"/>
      <w:r>
        <w:rPr>
          <w:rFonts w:hint="eastAsia" w:ascii="宋体" w:hAnsi="宋体" w:eastAsia="宋体"/>
          <w:b/>
          <w:sz w:val="24"/>
          <w:szCs w:val="18"/>
          <w:highlight w:val="none"/>
        </w:rPr>
        <w:t>一、采购需求前附表</w:t>
      </w:r>
      <w:bookmarkEnd w:id="31"/>
      <w:bookmarkEnd w:id="32"/>
    </w:p>
    <w:tbl>
      <w:tblPr>
        <w:tblStyle w:val="26"/>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030"/>
        <w:gridCol w:w="5479"/>
      </w:tblGrid>
      <w:tr w14:paraId="6252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6598A231">
            <w:pPr>
              <w:pStyle w:val="48"/>
              <w:pBdr>
                <w:bottom w:val="none" w:color="auto" w:sz="0" w:space="0"/>
              </w:pBdr>
              <w:tabs>
                <w:tab w:val="clear" w:pos="4153"/>
                <w:tab w:val="clear" w:pos="8306"/>
              </w:tabs>
              <w:adjustRightInd/>
              <w:spacing w:line="240" w:lineRule="auto"/>
              <w:textAlignment w:val="auto"/>
              <w:rPr>
                <w:rFonts w:ascii="宋体" w:hAnsi="宋体" w:eastAsia="宋体"/>
                <w:b/>
                <w:kern w:val="2"/>
                <w:highlight w:val="none"/>
              </w:rPr>
            </w:pPr>
            <w:r>
              <w:rPr>
                <w:rFonts w:hint="eastAsia" w:ascii="宋体" w:hAnsi="宋体" w:eastAsia="宋体"/>
                <w:b/>
                <w:kern w:val="2"/>
                <w:highlight w:val="none"/>
              </w:rPr>
              <w:t>序号</w:t>
            </w:r>
          </w:p>
        </w:tc>
        <w:tc>
          <w:tcPr>
            <w:tcW w:w="2030" w:type="dxa"/>
            <w:vAlign w:val="center"/>
          </w:tcPr>
          <w:p w14:paraId="38960E5E">
            <w:pPr>
              <w:pStyle w:val="47"/>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条款名称</w:t>
            </w:r>
          </w:p>
        </w:tc>
        <w:tc>
          <w:tcPr>
            <w:tcW w:w="5479" w:type="dxa"/>
            <w:vAlign w:val="center"/>
          </w:tcPr>
          <w:p w14:paraId="01C52162">
            <w:pPr>
              <w:pStyle w:val="47"/>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内容、说明与要求</w:t>
            </w:r>
          </w:p>
        </w:tc>
      </w:tr>
      <w:tr w14:paraId="30DBD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19493E9F">
            <w:pPr>
              <w:pStyle w:val="4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1</w:t>
            </w:r>
          </w:p>
        </w:tc>
        <w:tc>
          <w:tcPr>
            <w:tcW w:w="2030" w:type="dxa"/>
            <w:vAlign w:val="center"/>
          </w:tcPr>
          <w:p w14:paraId="22A3BD78">
            <w:pPr>
              <w:pStyle w:val="47"/>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付款方式</w:t>
            </w:r>
          </w:p>
        </w:tc>
        <w:tc>
          <w:tcPr>
            <w:tcW w:w="5479" w:type="dxa"/>
            <w:vAlign w:val="center"/>
          </w:tcPr>
          <w:p w14:paraId="45AB3967">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预付款支付方式：预付款为合同价款的60% 。</w:t>
            </w:r>
          </w:p>
          <w:p w14:paraId="28901E43">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合同签订后中标人须向采购人提交等额无条件的“见索即付”银行保函(保函最终有效期为该合同货物最迟供货期之后5个工作日)为合同总价60%的预付款保函作为担保，</w:t>
            </w:r>
            <w:r>
              <w:rPr>
                <w:rFonts w:hint="eastAsia" w:ascii="宋体" w:hAnsi="宋体" w:eastAsia="宋体" w:cs="宋体"/>
                <w:b w:val="0"/>
                <w:bCs/>
                <w:color w:val="000000" w:themeColor="text1"/>
                <w:kern w:val="0"/>
                <w:sz w:val="24"/>
                <w:szCs w:val="28"/>
                <w:highlight w:val="none"/>
                <w:lang w:val="en-US" w:eastAsia="zh-CN" w:bidi="ar-SA"/>
                <w14:textFill>
                  <w14:solidFill>
                    <w14:schemeClr w14:val="tx1"/>
                  </w14:solidFill>
                </w14:textFill>
              </w:rPr>
              <w:t>设备完成安装并验收合格开具全额发票后七个工作日内支付至合同总价的100%</w:t>
            </w:r>
            <w:r>
              <w:rPr>
                <w:rFonts w:hint="eastAsia" w:ascii="宋体" w:hAnsi="宋体" w:eastAsia="宋体" w:cs="宋体"/>
                <w:b w:val="0"/>
                <w:color w:val="000000" w:themeColor="text1"/>
                <w:sz w:val="24"/>
                <w:highlight w:val="none"/>
                <w14:textFill>
                  <w14:solidFill>
                    <w14:schemeClr w14:val="tx1"/>
                  </w14:solidFill>
                </w14:textFill>
              </w:rPr>
              <w:t>。</w:t>
            </w:r>
          </w:p>
          <w:p w14:paraId="3B49C9F0">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注:在签订合同时，如中标人书面明确表示无需预付款，按皖财购(2022)556号文件相关规定，采购人可不支付预付款。</w:t>
            </w:r>
          </w:p>
        </w:tc>
      </w:tr>
      <w:tr w14:paraId="64F3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5FE6D18F">
            <w:pPr>
              <w:pStyle w:val="4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w:t>
            </w:r>
          </w:p>
        </w:tc>
        <w:tc>
          <w:tcPr>
            <w:tcW w:w="2030" w:type="dxa"/>
            <w:vAlign w:val="center"/>
          </w:tcPr>
          <w:p w14:paraId="4B1470B8">
            <w:pPr>
              <w:pStyle w:val="47"/>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供货及安装地点</w:t>
            </w:r>
          </w:p>
        </w:tc>
        <w:tc>
          <w:tcPr>
            <w:tcW w:w="5479" w:type="dxa"/>
            <w:vAlign w:val="center"/>
          </w:tcPr>
          <w:p w14:paraId="4B403FF1">
            <w:pPr>
              <w:pStyle w:val="47"/>
              <w:widowControl w:val="0"/>
              <w:spacing w:before="0" w:beforeAutospacing="0" w:after="0" w:afterAutospacing="0" w:line="360" w:lineRule="auto"/>
              <w:jc w:val="both"/>
              <w:rPr>
                <w:rFonts w:hint="eastAsia" w:ascii="宋体" w:hAnsi="宋体" w:eastAsia="宋体"/>
                <w:b w:val="0"/>
                <w:sz w:val="24"/>
                <w:highlight w:val="none"/>
                <w:lang w:eastAsia="zh-CN"/>
              </w:rPr>
            </w:pPr>
            <w:r>
              <w:rPr>
                <w:rFonts w:hint="eastAsia" w:ascii="宋体" w:hAnsi="宋体" w:eastAsia="宋体"/>
                <w:sz w:val="24"/>
                <w:szCs w:val="18"/>
                <w:highlight w:val="none"/>
                <w:u w:val="none"/>
              </w:rPr>
              <w:t>蚌埠医学院第二附属医院医技楼、住院楼</w:t>
            </w:r>
            <w:r>
              <w:rPr>
                <w:rFonts w:hint="eastAsia" w:ascii="宋体" w:hAnsi="宋体" w:eastAsia="宋体"/>
                <w:sz w:val="24"/>
                <w:szCs w:val="18"/>
                <w:highlight w:val="none"/>
                <w:u w:val="none"/>
                <w:lang w:eastAsia="zh-CN"/>
              </w:rPr>
              <w:t>，</w:t>
            </w:r>
            <w:r>
              <w:rPr>
                <w:rFonts w:hint="eastAsia" w:ascii="宋体" w:hAnsi="宋体" w:eastAsia="宋体"/>
                <w:b w:val="0"/>
                <w:sz w:val="24"/>
                <w:highlight w:val="none"/>
              </w:rPr>
              <w:t>采购人指定地点</w:t>
            </w:r>
          </w:p>
        </w:tc>
      </w:tr>
      <w:tr w14:paraId="275B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66A5D951">
            <w:pPr>
              <w:pStyle w:val="4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3</w:t>
            </w:r>
          </w:p>
        </w:tc>
        <w:tc>
          <w:tcPr>
            <w:tcW w:w="2030" w:type="dxa"/>
            <w:vAlign w:val="center"/>
          </w:tcPr>
          <w:p w14:paraId="4285DBF6">
            <w:pPr>
              <w:pStyle w:val="47"/>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供货及安装期限</w:t>
            </w:r>
          </w:p>
        </w:tc>
        <w:tc>
          <w:tcPr>
            <w:tcW w:w="5479" w:type="dxa"/>
            <w:vAlign w:val="center"/>
          </w:tcPr>
          <w:p w14:paraId="04998C59">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合同签订后，自接到采购人通知之日起30个日历天内完成供货及安装。</w:t>
            </w:r>
          </w:p>
        </w:tc>
      </w:tr>
      <w:tr w14:paraId="3B95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145DF967">
            <w:pPr>
              <w:pStyle w:val="4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4</w:t>
            </w:r>
          </w:p>
        </w:tc>
        <w:tc>
          <w:tcPr>
            <w:tcW w:w="2030" w:type="dxa"/>
            <w:vAlign w:val="center"/>
          </w:tcPr>
          <w:p w14:paraId="2AB8522C">
            <w:pPr>
              <w:pStyle w:val="47"/>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验收方式</w:t>
            </w:r>
          </w:p>
        </w:tc>
        <w:tc>
          <w:tcPr>
            <w:tcW w:w="5479" w:type="dxa"/>
            <w:vAlign w:val="center"/>
          </w:tcPr>
          <w:p w14:paraId="59EFE24A">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color w:val="000000" w:themeColor="text1"/>
                <w:sz w:val="24"/>
                <w:highlight w:val="none"/>
                <w14:textFill>
                  <w14:solidFill>
                    <w14:schemeClr w14:val="tx1"/>
                  </w14:solidFill>
                </w14:textFill>
              </w:rPr>
              <w:t>合同签订时或设备开箱验收前，乙方提供购买</w:t>
            </w:r>
            <w:r>
              <w:rPr>
                <w:rFonts w:hint="eastAsia" w:ascii="宋体" w:hAnsi="宋体" w:eastAsia="宋体"/>
                <w:color w:val="000000" w:themeColor="text1"/>
                <w:sz w:val="24"/>
                <w:highlight w:val="none"/>
                <w14:textFill>
                  <w14:solidFill>
                    <w14:schemeClr w14:val="tx1"/>
                  </w14:solidFill>
                </w14:textFill>
              </w:rPr>
              <w:t>整机</w:t>
            </w:r>
            <w:r>
              <w:rPr>
                <w:rFonts w:hint="eastAsia" w:ascii="宋体" w:hAnsi="宋体" w:eastAsia="宋体"/>
                <w:b w:val="0"/>
                <w:color w:val="000000" w:themeColor="text1"/>
                <w:sz w:val="24"/>
                <w:highlight w:val="none"/>
                <w14:textFill>
                  <w14:solidFill>
                    <w14:schemeClr w14:val="tx1"/>
                  </w14:solidFill>
                </w14:textFill>
              </w:rPr>
              <w:t>原厂</w:t>
            </w:r>
            <w:r>
              <w:rPr>
                <w:rFonts w:ascii="宋体" w:hAnsi="宋体" w:eastAsia="宋体"/>
                <w:b w:val="0"/>
                <w:color w:val="000000" w:themeColor="text1"/>
                <w:sz w:val="24"/>
                <w:highlight w:val="none"/>
                <w14:textFill>
                  <w14:solidFill>
                    <w14:schemeClr w14:val="tx1"/>
                  </w14:solidFill>
                </w14:textFill>
              </w:rPr>
              <w:t>质保服务合同等证明材料</w:t>
            </w:r>
            <w:r>
              <w:rPr>
                <w:rFonts w:hint="eastAsia" w:ascii="宋体" w:hAnsi="宋体" w:eastAsia="宋体"/>
                <w:b w:val="0"/>
                <w:color w:val="000000" w:themeColor="text1"/>
                <w:sz w:val="24"/>
                <w:highlight w:val="none"/>
                <w14:textFill>
                  <w14:solidFill>
                    <w14:schemeClr w14:val="tx1"/>
                  </w14:solidFill>
                </w14:textFill>
              </w:rPr>
              <w:t>。</w:t>
            </w:r>
          </w:p>
        </w:tc>
      </w:tr>
      <w:tr w14:paraId="4FADF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5300683D">
            <w:pPr>
              <w:pStyle w:val="4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5</w:t>
            </w:r>
          </w:p>
        </w:tc>
        <w:tc>
          <w:tcPr>
            <w:tcW w:w="2030" w:type="dxa"/>
            <w:vAlign w:val="center"/>
          </w:tcPr>
          <w:p w14:paraId="0FDA8060">
            <w:pPr>
              <w:pStyle w:val="47"/>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免费质保期</w:t>
            </w:r>
          </w:p>
        </w:tc>
        <w:tc>
          <w:tcPr>
            <w:tcW w:w="5479" w:type="dxa"/>
            <w:vAlign w:val="center"/>
          </w:tcPr>
          <w:p w14:paraId="25B18E02">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sz w:val="24"/>
                <w:highlight w:val="none"/>
              </w:rPr>
              <w:t>验收合格之日起5年</w:t>
            </w:r>
            <w:r>
              <w:rPr>
                <w:rFonts w:hint="eastAsia" w:ascii="宋体" w:hAnsi="宋体" w:eastAsia="宋体"/>
                <w:color w:val="000000" w:themeColor="text1"/>
                <w:sz w:val="24"/>
                <w:highlight w:val="none"/>
                <w14:textFill>
                  <w14:solidFill>
                    <w14:schemeClr w14:val="tx1"/>
                  </w14:solidFill>
                </w14:textFill>
              </w:rPr>
              <w:t>整机</w:t>
            </w:r>
            <w:r>
              <w:rPr>
                <w:rFonts w:hint="eastAsia" w:ascii="宋体" w:hAnsi="宋体" w:eastAsia="宋体"/>
                <w:sz w:val="24"/>
                <w:highlight w:val="none"/>
              </w:rPr>
              <w:t>原厂质保。</w:t>
            </w:r>
          </w:p>
        </w:tc>
      </w:tr>
      <w:tr w14:paraId="01B9C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5C598C7A">
            <w:pPr>
              <w:pStyle w:val="4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6</w:t>
            </w:r>
          </w:p>
        </w:tc>
        <w:tc>
          <w:tcPr>
            <w:tcW w:w="2030" w:type="dxa"/>
            <w:vAlign w:val="center"/>
          </w:tcPr>
          <w:p w14:paraId="7792C9A0">
            <w:pPr>
              <w:pStyle w:val="47"/>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所属行业</w:t>
            </w:r>
          </w:p>
        </w:tc>
        <w:tc>
          <w:tcPr>
            <w:tcW w:w="5479" w:type="dxa"/>
            <w:vAlign w:val="center"/>
          </w:tcPr>
          <w:p w14:paraId="78FDDDF4">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 xml:space="preserve">工业 </w:t>
            </w:r>
          </w:p>
        </w:tc>
      </w:tr>
    </w:tbl>
    <w:p w14:paraId="698B043E">
      <w:pPr>
        <w:numPr>
          <w:ilvl w:val="0"/>
          <w:numId w:val="1"/>
        </w:numPr>
        <w:spacing w:line="360" w:lineRule="auto"/>
        <w:ind w:firstLine="437"/>
        <w:outlineLvl w:val="1"/>
        <w:rPr>
          <w:rFonts w:ascii="宋体" w:hAnsi="宋体" w:eastAsia="宋体"/>
          <w:b/>
          <w:bCs/>
          <w:sz w:val="24"/>
          <w:szCs w:val="18"/>
          <w:highlight w:val="none"/>
        </w:rPr>
      </w:pPr>
      <w:bookmarkStart w:id="33" w:name="_Toc5944"/>
      <w:bookmarkStart w:id="34" w:name="_Toc7671"/>
      <w:r>
        <w:rPr>
          <w:rFonts w:hint="eastAsia" w:ascii="宋体" w:hAnsi="宋体" w:eastAsia="宋体"/>
          <w:b/>
          <w:sz w:val="24"/>
          <w:szCs w:val="18"/>
          <w:highlight w:val="none"/>
        </w:rPr>
        <w:t>货物</w:t>
      </w:r>
      <w:r>
        <w:rPr>
          <w:rFonts w:hint="eastAsia" w:ascii="宋体" w:hAnsi="宋体" w:eastAsia="宋体"/>
          <w:b/>
          <w:bCs/>
          <w:sz w:val="24"/>
          <w:szCs w:val="18"/>
          <w:highlight w:val="none"/>
        </w:rPr>
        <w:t>需求</w:t>
      </w:r>
      <w:bookmarkEnd w:id="33"/>
      <w:bookmarkEnd w:id="34"/>
    </w:p>
    <w:p w14:paraId="0147AD12">
      <w:pPr>
        <w:spacing w:line="360" w:lineRule="auto"/>
        <w:ind w:firstLine="241" w:firstLineChars="100"/>
        <w:rPr>
          <w:rFonts w:ascii="宋体" w:hAnsi="宋体" w:eastAsia="宋体" w:cs="宋体"/>
          <w:b/>
          <w:sz w:val="24"/>
          <w:szCs w:val="24"/>
          <w:highlight w:val="none"/>
        </w:rPr>
      </w:pPr>
      <w:r>
        <w:rPr>
          <w:rFonts w:hint="eastAsia" w:ascii="宋体" w:hAnsi="宋体" w:eastAsia="宋体" w:cs="宋体"/>
          <w:b/>
          <w:sz w:val="24"/>
          <w:szCs w:val="24"/>
          <w:highlight w:val="none"/>
        </w:rPr>
        <w:t>（一）货物需求说明</w:t>
      </w:r>
    </w:p>
    <w:tbl>
      <w:tblPr>
        <w:tblStyle w:val="27"/>
        <w:tblW w:w="9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1333"/>
        <w:gridCol w:w="6316"/>
      </w:tblGrid>
      <w:tr w14:paraId="59F7C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0" w:type="dxa"/>
            <w:vAlign w:val="center"/>
          </w:tcPr>
          <w:p w14:paraId="7CCE1E0B">
            <w:pPr>
              <w:spacing w:line="360" w:lineRule="auto"/>
              <w:jc w:val="center"/>
              <w:rPr>
                <w:rFonts w:ascii="宋体" w:hAnsi="宋体" w:eastAsia="宋体" w:cs="宋体"/>
                <w:kern w:val="0"/>
                <w:sz w:val="24"/>
                <w:szCs w:val="24"/>
                <w:highlight w:val="none"/>
              </w:rPr>
            </w:pPr>
            <w:r>
              <w:rPr>
                <w:rFonts w:hint="eastAsia" w:ascii="宋体" w:hAnsi="宋体" w:eastAsia="宋体" w:cs="宋体"/>
                <w:bCs/>
                <w:kern w:val="0"/>
                <w:sz w:val="24"/>
                <w:szCs w:val="24"/>
                <w:highlight w:val="none"/>
              </w:rPr>
              <w:t>标识重要性</w:t>
            </w:r>
          </w:p>
        </w:tc>
        <w:tc>
          <w:tcPr>
            <w:tcW w:w="1333" w:type="dxa"/>
            <w:vAlign w:val="center"/>
          </w:tcPr>
          <w:p w14:paraId="12594802">
            <w:pPr>
              <w:spacing w:line="360" w:lineRule="auto"/>
              <w:jc w:val="center"/>
              <w:rPr>
                <w:rFonts w:ascii="宋体" w:hAnsi="宋体" w:eastAsia="宋体" w:cs="宋体"/>
                <w:kern w:val="0"/>
                <w:sz w:val="24"/>
                <w:szCs w:val="24"/>
                <w:highlight w:val="none"/>
              </w:rPr>
            </w:pPr>
            <w:r>
              <w:rPr>
                <w:rFonts w:hint="eastAsia" w:ascii="宋体" w:hAnsi="宋体" w:eastAsia="宋体" w:cs="宋体"/>
                <w:bCs/>
                <w:kern w:val="0"/>
                <w:sz w:val="24"/>
                <w:szCs w:val="24"/>
                <w:highlight w:val="none"/>
              </w:rPr>
              <w:t>标识符号</w:t>
            </w:r>
          </w:p>
        </w:tc>
        <w:tc>
          <w:tcPr>
            <w:tcW w:w="6316" w:type="dxa"/>
            <w:vAlign w:val="center"/>
          </w:tcPr>
          <w:p w14:paraId="7975838C">
            <w:pPr>
              <w:spacing w:line="360" w:lineRule="auto"/>
              <w:jc w:val="center"/>
              <w:rPr>
                <w:rFonts w:ascii="宋体" w:hAnsi="宋体" w:eastAsia="宋体" w:cs="宋体"/>
                <w:kern w:val="0"/>
                <w:sz w:val="24"/>
                <w:szCs w:val="24"/>
                <w:highlight w:val="none"/>
              </w:rPr>
            </w:pPr>
            <w:r>
              <w:rPr>
                <w:rFonts w:hint="eastAsia" w:ascii="宋体" w:hAnsi="宋体" w:eastAsia="宋体" w:cs="宋体"/>
                <w:bCs/>
                <w:kern w:val="0"/>
                <w:sz w:val="24"/>
                <w:szCs w:val="24"/>
                <w:highlight w:val="none"/>
              </w:rPr>
              <w:t>代表意思</w:t>
            </w:r>
          </w:p>
        </w:tc>
      </w:tr>
      <w:tr w14:paraId="26FD6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0" w:type="dxa"/>
            <w:vAlign w:val="center"/>
          </w:tcPr>
          <w:p w14:paraId="7B166534">
            <w:pPr>
              <w:spacing w:line="360" w:lineRule="auto"/>
              <w:jc w:val="center"/>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实质性参数</w:t>
            </w:r>
          </w:p>
        </w:tc>
        <w:tc>
          <w:tcPr>
            <w:tcW w:w="1333" w:type="dxa"/>
            <w:vAlign w:val="center"/>
          </w:tcPr>
          <w:p w14:paraId="71070931">
            <w:pPr>
              <w:spacing w:line="360" w:lineRule="auto"/>
              <w:jc w:val="center"/>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
                <w:bCs/>
                <w:kern w:val="0"/>
                <w:sz w:val="24"/>
                <w:szCs w:val="24"/>
                <w:highlight w:val="none"/>
              </w:rPr>
              <w:t>★</w:t>
            </w:r>
          </w:p>
        </w:tc>
        <w:tc>
          <w:tcPr>
            <w:tcW w:w="6316" w:type="dxa"/>
            <w:vAlign w:val="center"/>
          </w:tcPr>
          <w:p w14:paraId="10F0FD66">
            <w:pPr>
              <w:spacing w:line="360" w:lineRule="auto"/>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负偏离或未响应视为实质性不响应招标文件要求</w:t>
            </w:r>
          </w:p>
        </w:tc>
      </w:tr>
      <w:tr w14:paraId="4C83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880" w:type="dxa"/>
            <w:vAlign w:val="center"/>
          </w:tcPr>
          <w:p w14:paraId="50F5FDD8">
            <w:pPr>
              <w:spacing w:line="360" w:lineRule="auto"/>
              <w:jc w:val="center"/>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重要指标项</w:t>
            </w:r>
          </w:p>
        </w:tc>
        <w:tc>
          <w:tcPr>
            <w:tcW w:w="1333" w:type="dxa"/>
            <w:vAlign w:val="center"/>
          </w:tcPr>
          <w:p w14:paraId="7020135B">
            <w:pPr>
              <w:spacing w:line="360" w:lineRule="auto"/>
              <w:jc w:val="center"/>
              <w:rPr>
                <w:rFonts w:ascii="宋体" w:hAnsi="宋体" w:eastAsia="宋体" w:cs="宋体"/>
                <w:kern w:val="0"/>
                <w:sz w:val="24"/>
                <w:szCs w:val="24"/>
                <w:highlight w:val="none"/>
              </w:rPr>
            </w:pPr>
            <w:r>
              <w:rPr>
                <w:rFonts w:hint="eastAsia" w:ascii="宋体" w:hAnsi="宋体" w:eastAsia="宋体" w:cs="宋体"/>
                <w:bCs/>
                <w:color w:val="000000"/>
                <w:kern w:val="0"/>
                <w:sz w:val="24"/>
                <w:szCs w:val="24"/>
                <w:highlight w:val="none"/>
              </w:rPr>
              <w:t>▲</w:t>
            </w:r>
          </w:p>
        </w:tc>
        <w:tc>
          <w:tcPr>
            <w:tcW w:w="6316" w:type="dxa"/>
            <w:vAlign w:val="center"/>
          </w:tcPr>
          <w:p w14:paraId="5A107D57">
            <w:pPr>
              <w:pStyle w:val="47"/>
              <w:widowControl w:val="0"/>
              <w:spacing w:before="0" w:beforeAutospacing="0" w:after="0" w:afterAutospacing="0" w:line="360" w:lineRule="auto"/>
              <w:jc w:val="both"/>
              <w:rPr>
                <w:rFonts w:ascii="宋体" w:hAnsi="宋体" w:eastAsia="宋体" w:cs="宋体"/>
                <w:sz w:val="24"/>
                <w:szCs w:val="24"/>
                <w:highlight w:val="none"/>
              </w:rPr>
            </w:pPr>
            <w:r>
              <w:rPr>
                <w:rFonts w:hint="eastAsia" w:ascii="宋体" w:hAnsi="宋体" w:eastAsia="宋体" w:cs="宋体"/>
                <w:sz w:val="24"/>
                <w:szCs w:val="24"/>
                <w:highlight w:val="none"/>
              </w:rPr>
              <w:t>作为评分项，详见“第四章评标方法和标准”中评分细则。</w:t>
            </w:r>
          </w:p>
        </w:tc>
      </w:tr>
      <w:tr w14:paraId="730C4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0" w:type="dxa"/>
            <w:vAlign w:val="center"/>
          </w:tcPr>
          <w:p w14:paraId="56F1A2DB">
            <w:pPr>
              <w:spacing w:line="360" w:lineRule="auto"/>
              <w:jc w:val="center"/>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一般技术指标（无标识项）</w:t>
            </w:r>
          </w:p>
        </w:tc>
        <w:tc>
          <w:tcPr>
            <w:tcW w:w="1333" w:type="dxa"/>
            <w:vAlign w:val="center"/>
          </w:tcPr>
          <w:p w14:paraId="7074EAA5">
            <w:pPr>
              <w:spacing w:line="360" w:lineRule="auto"/>
              <w:jc w:val="center"/>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无</w:t>
            </w:r>
          </w:p>
        </w:tc>
        <w:tc>
          <w:tcPr>
            <w:tcW w:w="6316" w:type="dxa"/>
            <w:vAlign w:val="center"/>
          </w:tcPr>
          <w:p w14:paraId="427E3D93">
            <w:pPr>
              <w:pStyle w:val="47"/>
              <w:widowControl w:val="0"/>
              <w:spacing w:before="0" w:beforeAutospacing="0" w:after="0" w:afterAutospacing="0" w:line="360" w:lineRule="auto"/>
              <w:jc w:val="both"/>
              <w:rPr>
                <w:rFonts w:ascii="宋体" w:hAnsi="宋体" w:eastAsia="宋体" w:cs="宋体"/>
                <w:sz w:val="24"/>
                <w:szCs w:val="24"/>
                <w:highlight w:val="none"/>
              </w:rPr>
            </w:pPr>
            <w:r>
              <w:rPr>
                <w:rFonts w:hint="eastAsia" w:ascii="宋体" w:hAnsi="宋体" w:eastAsia="宋体" w:cs="宋体"/>
                <w:sz w:val="24"/>
                <w:szCs w:val="24"/>
                <w:highlight w:val="none"/>
              </w:rPr>
              <w:t>作为评分项，详见“第四章评标方法和标准”中评分细则。</w:t>
            </w:r>
          </w:p>
        </w:tc>
      </w:tr>
    </w:tbl>
    <w:p w14:paraId="71C889AA">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注：以投标响应表及采购需求中要求提供的证明材料作为评审依据。</w:t>
      </w:r>
    </w:p>
    <w:p w14:paraId="6A8275FB">
      <w:pPr>
        <w:numPr>
          <w:ilvl w:val="0"/>
          <w:numId w:val="0"/>
        </w:numPr>
        <w:spacing w:line="360" w:lineRule="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（二）</w:t>
      </w:r>
      <w:r>
        <w:rPr>
          <w:rFonts w:hint="eastAsia" w:ascii="宋体" w:hAnsi="宋体" w:eastAsia="宋体" w:cs="宋体"/>
          <w:b/>
          <w:sz w:val="24"/>
          <w:szCs w:val="24"/>
          <w:highlight w:val="none"/>
        </w:rPr>
        <w:t>货物清单表</w:t>
      </w:r>
    </w:p>
    <w:tbl>
      <w:tblPr>
        <w:tblStyle w:val="27"/>
        <w:tblW w:w="9858" w:type="dxa"/>
        <w:tblInd w:w="-4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3587"/>
        <w:gridCol w:w="1475"/>
        <w:gridCol w:w="1230"/>
        <w:gridCol w:w="1070"/>
        <w:gridCol w:w="1810"/>
      </w:tblGrid>
      <w:tr w14:paraId="32E53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14:paraId="0B3AB375">
            <w:pPr>
              <w:spacing w:line="360" w:lineRule="auto"/>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序号</w:t>
            </w:r>
          </w:p>
        </w:tc>
        <w:tc>
          <w:tcPr>
            <w:tcW w:w="3587" w:type="dxa"/>
            <w:vAlign w:val="center"/>
          </w:tcPr>
          <w:p w14:paraId="35C5767D">
            <w:pPr>
              <w:spacing w:line="360" w:lineRule="auto"/>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设备名称</w:t>
            </w:r>
          </w:p>
        </w:tc>
        <w:tc>
          <w:tcPr>
            <w:tcW w:w="1475" w:type="dxa"/>
            <w:vAlign w:val="center"/>
          </w:tcPr>
          <w:p w14:paraId="6A8AFF64">
            <w:pPr>
              <w:spacing w:line="360" w:lineRule="auto"/>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单价（万元）</w:t>
            </w:r>
          </w:p>
        </w:tc>
        <w:tc>
          <w:tcPr>
            <w:tcW w:w="1230" w:type="dxa"/>
            <w:vAlign w:val="center"/>
          </w:tcPr>
          <w:p w14:paraId="4C32D0D4">
            <w:pPr>
              <w:spacing w:line="360" w:lineRule="auto"/>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数量（</w:t>
            </w:r>
            <w:r>
              <w:rPr>
                <w:rFonts w:hint="eastAsia" w:ascii="宋体" w:hAnsi="宋体" w:eastAsia="宋体" w:cs="宋体"/>
                <w:b/>
                <w:bCs/>
                <w:sz w:val="24"/>
                <w:szCs w:val="24"/>
                <w:highlight w:val="none"/>
                <w:lang w:val="en-US" w:eastAsia="zh-CN"/>
              </w:rPr>
              <w:t>台</w:t>
            </w:r>
            <w:r>
              <w:rPr>
                <w:rFonts w:hint="eastAsia" w:ascii="宋体" w:hAnsi="宋体" w:eastAsia="宋体" w:cs="宋体"/>
                <w:b/>
                <w:bCs/>
                <w:sz w:val="24"/>
                <w:szCs w:val="24"/>
                <w:highlight w:val="none"/>
              </w:rPr>
              <w:t>）</w:t>
            </w:r>
          </w:p>
        </w:tc>
        <w:tc>
          <w:tcPr>
            <w:tcW w:w="1070" w:type="dxa"/>
            <w:vAlign w:val="center"/>
          </w:tcPr>
          <w:p w14:paraId="164361FA">
            <w:pPr>
              <w:spacing w:line="360" w:lineRule="auto"/>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是否接受进口</w:t>
            </w:r>
          </w:p>
        </w:tc>
        <w:tc>
          <w:tcPr>
            <w:tcW w:w="1810" w:type="dxa"/>
            <w:vAlign w:val="center"/>
          </w:tcPr>
          <w:p w14:paraId="0534D75F">
            <w:pPr>
              <w:spacing w:line="360" w:lineRule="auto"/>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备注</w:t>
            </w:r>
          </w:p>
        </w:tc>
      </w:tr>
      <w:tr w14:paraId="450FE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14:paraId="2FAC308A">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c>
          <w:tcPr>
            <w:tcW w:w="3587" w:type="dxa"/>
            <w:vAlign w:val="center"/>
          </w:tcPr>
          <w:p w14:paraId="2C2BEE47">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便携彩超机</w:t>
            </w:r>
          </w:p>
        </w:tc>
        <w:tc>
          <w:tcPr>
            <w:tcW w:w="1475" w:type="dxa"/>
            <w:vAlign w:val="center"/>
          </w:tcPr>
          <w:p w14:paraId="158EB35F">
            <w:pPr>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67</w:t>
            </w:r>
          </w:p>
        </w:tc>
        <w:tc>
          <w:tcPr>
            <w:tcW w:w="1230" w:type="dxa"/>
            <w:vAlign w:val="center"/>
          </w:tcPr>
          <w:p w14:paraId="7B0DC715">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p>
        </w:tc>
        <w:tc>
          <w:tcPr>
            <w:tcW w:w="1070" w:type="dxa"/>
            <w:vAlign w:val="center"/>
          </w:tcPr>
          <w:p w14:paraId="57B7FBD0">
            <w:pPr>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否</w:t>
            </w:r>
          </w:p>
        </w:tc>
        <w:tc>
          <w:tcPr>
            <w:tcW w:w="1810" w:type="dxa"/>
            <w:vAlign w:val="center"/>
          </w:tcPr>
          <w:p w14:paraId="70EDE489">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体检中心</w:t>
            </w:r>
          </w:p>
        </w:tc>
      </w:tr>
      <w:tr w14:paraId="29C9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14:paraId="586C592F">
            <w:pPr>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3587" w:type="dxa"/>
            <w:vAlign w:val="center"/>
          </w:tcPr>
          <w:p w14:paraId="0B4C9DB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便携式彩超</w:t>
            </w:r>
          </w:p>
        </w:tc>
        <w:tc>
          <w:tcPr>
            <w:tcW w:w="1475" w:type="dxa"/>
            <w:vAlign w:val="center"/>
          </w:tcPr>
          <w:p w14:paraId="4542DF43">
            <w:pPr>
              <w:spacing w:line="360" w:lineRule="auto"/>
              <w:jc w:val="center"/>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44</w:t>
            </w:r>
          </w:p>
        </w:tc>
        <w:tc>
          <w:tcPr>
            <w:tcW w:w="1230" w:type="dxa"/>
            <w:vAlign w:val="center"/>
          </w:tcPr>
          <w:p w14:paraId="2943CC7C">
            <w:pPr>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070" w:type="dxa"/>
            <w:vAlign w:val="center"/>
          </w:tcPr>
          <w:p w14:paraId="716ED21F">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否</w:t>
            </w:r>
          </w:p>
        </w:tc>
        <w:tc>
          <w:tcPr>
            <w:tcW w:w="1810" w:type="dxa"/>
            <w:vAlign w:val="center"/>
          </w:tcPr>
          <w:p w14:paraId="03674CAF">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介入科</w:t>
            </w:r>
          </w:p>
        </w:tc>
      </w:tr>
      <w:tr w14:paraId="051DB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14:paraId="023B12A2">
            <w:pPr>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3587" w:type="dxa"/>
            <w:vAlign w:val="center"/>
          </w:tcPr>
          <w:p w14:paraId="0989F5A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便携式彩色多普勒超声</w:t>
            </w:r>
          </w:p>
        </w:tc>
        <w:tc>
          <w:tcPr>
            <w:tcW w:w="1475" w:type="dxa"/>
            <w:vAlign w:val="center"/>
          </w:tcPr>
          <w:p w14:paraId="71C6D4CE">
            <w:pPr>
              <w:spacing w:line="360" w:lineRule="auto"/>
              <w:jc w:val="center"/>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89</w:t>
            </w:r>
          </w:p>
        </w:tc>
        <w:tc>
          <w:tcPr>
            <w:tcW w:w="1230" w:type="dxa"/>
            <w:vAlign w:val="center"/>
          </w:tcPr>
          <w:p w14:paraId="62754130">
            <w:pPr>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070" w:type="dxa"/>
            <w:vAlign w:val="center"/>
          </w:tcPr>
          <w:p w14:paraId="370666D2">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否</w:t>
            </w:r>
          </w:p>
        </w:tc>
        <w:tc>
          <w:tcPr>
            <w:tcW w:w="1810" w:type="dxa"/>
            <w:vAlign w:val="center"/>
          </w:tcPr>
          <w:p w14:paraId="5A72395C">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超声医学科</w:t>
            </w:r>
          </w:p>
        </w:tc>
      </w:tr>
      <w:tr w14:paraId="6E186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14:paraId="398C758C">
            <w:pPr>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3587" w:type="dxa"/>
            <w:vAlign w:val="center"/>
          </w:tcPr>
          <w:p w14:paraId="30B2CC3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便携式彩色多普勒超声诊断系统</w:t>
            </w:r>
          </w:p>
        </w:tc>
        <w:tc>
          <w:tcPr>
            <w:tcW w:w="1475" w:type="dxa"/>
            <w:vAlign w:val="center"/>
          </w:tcPr>
          <w:p w14:paraId="52F79622">
            <w:pPr>
              <w:spacing w:line="360" w:lineRule="auto"/>
              <w:jc w:val="center"/>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53</w:t>
            </w:r>
          </w:p>
        </w:tc>
        <w:tc>
          <w:tcPr>
            <w:tcW w:w="1230" w:type="dxa"/>
            <w:vAlign w:val="center"/>
          </w:tcPr>
          <w:p w14:paraId="0858FCE9">
            <w:pPr>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070" w:type="dxa"/>
            <w:vAlign w:val="center"/>
          </w:tcPr>
          <w:p w14:paraId="7DC3F6AC">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否</w:t>
            </w:r>
          </w:p>
        </w:tc>
        <w:tc>
          <w:tcPr>
            <w:tcW w:w="1810" w:type="dxa"/>
            <w:vAlign w:val="center"/>
          </w:tcPr>
          <w:p w14:paraId="16ACDBC3">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新院康复科</w:t>
            </w:r>
          </w:p>
        </w:tc>
      </w:tr>
      <w:tr w14:paraId="6687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14:paraId="6AA57109">
            <w:pPr>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3587" w:type="dxa"/>
            <w:vAlign w:val="center"/>
          </w:tcPr>
          <w:p w14:paraId="3024696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高端平板便携式彩色多普勒超声系统</w:t>
            </w:r>
          </w:p>
        </w:tc>
        <w:tc>
          <w:tcPr>
            <w:tcW w:w="1475" w:type="dxa"/>
            <w:vAlign w:val="center"/>
          </w:tcPr>
          <w:p w14:paraId="46CD4A9D">
            <w:pPr>
              <w:spacing w:line="360" w:lineRule="auto"/>
              <w:jc w:val="center"/>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62</w:t>
            </w:r>
          </w:p>
        </w:tc>
        <w:tc>
          <w:tcPr>
            <w:tcW w:w="1230" w:type="dxa"/>
            <w:vAlign w:val="center"/>
          </w:tcPr>
          <w:p w14:paraId="3DD42D07">
            <w:pPr>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070" w:type="dxa"/>
            <w:vAlign w:val="center"/>
          </w:tcPr>
          <w:p w14:paraId="062BBBA6">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否</w:t>
            </w:r>
          </w:p>
        </w:tc>
        <w:tc>
          <w:tcPr>
            <w:tcW w:w="1810" w:type="dxa"/>
            <w:vAlign w:val="center"/>
          </w:tcPr>
          <w:p w14:paraId="2AB22DF7">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新院急诊内科</w:t>
            </w:r>
          </w:p>
        </w:tc>
      </w:tr>
      <w:tr w14:paraId="163C3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14:paraId="64B80401">
            <w:pPr>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3587" w:type="dxa"/>
            <w:vAlign w:val="center"/>
          </w:tcPr>
          <w:p w14:paraId="39FB6E7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床旁超声机（便携）</w:t>
            </w:r>
          </w:p>
        </w:tc>
        <w:tc>
          <w:tcPr>
            <w:tcW w:w="1475" w:type="dxa"/>
            <w:vAlign w:val="center"/>
          </w:tcPr>
          <w:p w14:paraId="40D2248A">
            <w:pPr>
              <w:spacing w:line="360" w:lineRule="auto"/>
              <w:jc w:val="center"/>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90</w:t>
            </w:r>
          </w:p>
        </w:tc>
        <w:tc>
          <w:tcPr>
            <w:tcW w:w="1230" w:type="dxa"/>
            <w:vAlign w:val="center"/>
          </w:tcPr>
          <w:p w14:paraId="0BF10518">
            <w:pPr>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070" w:type="dxa"/>
            <w:vAlign w:val="center"/>
          </w:tcPr>
          <w:p w14:paraId="29BFB01B">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否</w:t>
            </w:r>
          </w:p>
        </w:tc>
        <w:tc>
          <w:tcPr>
            <w:tcW w:w="1810" w:type="dxa"/>
            <w:vAlign w:val="center"/>
          </w:tcPr>
          <w:p w14:paraId="02561683">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ICU</w:t>
            </w:r>
          </w:p>
        </w:tc>
      </w:tr>
    </w:tbl>
    <w:p w14:paraId="3A44F0D5">
      <w:pPr>
        <w:numPr>
          <w:ilvl w:val="0"/>
          <w:numId w:val="2"/>
        </w:numPr>
        <w:spacing w:line="360" w:lineRule="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货物需求表</w:t>
      </w:r>
    </w:p>
    <w:p w14:paraId="4B343BB5">
      <w:pPr>
        <w:numPr>
          <w:ilvl w:val="0"/>
          <w:numId w:val="0"/>
        </w:numPr>
        <w:spacing w:line="360" w:lineRule="auto"/>
        <w:outlineLvl w:val="9"/>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01包：便携彩超机</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671"/>
        <w:gridCol w:w="5913"/>
        <w:gridCol w:w="688"/>
        <w:gridCol w:w="598"/>
      </w:tblGrid>
      <w:tr w14:paraId="40BA5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14:paraId="7E0B1649">
            <w:pPr>
              <w:spacing w:line="360" w:lineRule="auto"/>
              <w:jc w:val="center"/>
              <w:rPr>
                <w:rFonts w:ascii="宋体" w:hAnsi="宋体" w:eastAsia="宋体"/>
                <w:b/>
                <w:bCs/>
                <w:sz w:val="24"/>
                <w:szCs w:val="18"/>
                <w:highlight w:val="none"/>
              </w:rPr>
            </w:pPr>
            <w:r>
              <w:rPr>
                <w:rFonts w:hint="eastAsia" w:ascii="宋体" w:hAnsi="宋体" w:eastAsia="宋体"/>
                <w:b/>
                <w:bCs/>
                <w:sz w:val="24"/>
                <w:szCs w:val="18"/>
                <w:highlight w:val="none"/>
              </w:rPr>
              <w:t>序号</w:t>
            </w:r>
          </w:p>
        </w:tc>
        <w:tc>
          <w:tcPr>
            <w:tcW w:w="394" w:type="pct"/>
            <w:vAlign w:val="center"/>
          </w:tcPr>
          <w:p w14:paraId="59A2FBCB">
            <w:pPr>
              <w:spacing w:line="360" w:lineRule="auto"/>
              <w:jc w:val="center"/>
              <w:rPr>
                <w:rFonts w:ascii="宋体" w:hAnsi="宋体" w:eastAsia="宋体"/>
                <w:b/>
                <w:bCs/>
                <w:sz w:val="24"/>
                <w:szCs w:val="18"/>
                <w:highlight w:val="none"/>
              </w:rPr>
            </w:pPr>
            <w:r>
              <w:rPr>
                <w:rFonts w:hint="eastAsia" w:ascii="宋体" w:hAnsi="宋体" w:eastAsia="宋体"/>
                <w:b/>
                <w:bCs/>
                <w:sz w:val="24"/>
                <w:szCs w:val="18"/>
                <w:highlight w:val="none"/>
              </w:rPr>
              <w:t>货物名称</w:t>
            </w:r>
          </w:p>
        </w:tc>
        <w:tc>
          <w:tcPr>
            <w:tcW w:w="3472" w:type="pct"/>
            <w:vAlign w:val="center"/>
          </w:tcPr>
          <w:p w14:paraId="1A5B7CF3">
            <w:pPr>
              <w:spacing w:line="360" w:lineRule="auto"/>
              <w:jc w:val="center"/>
              <w:rPr>
                <w:rFonts w:ascii="宋体" w:hAnsi="宋体" w:eastAsia="宋体"/>
                <w:b/>
                <w:bCs/>
                <w:sz w:val="24"/>
                <w:szCs w:val="18"/>
                <w:highlight w:val="none"/>
              </w:rPr>
            </w:pPr>
            <w:r>
              <w:rPr>
                <w:rFonts w:hint="eastAsia" w:ascii="宋体" w:hAnsi="宋体" w:eastAsia="宋体"/>
                <w:b/>
                <w:bCs/>
                <w:sz w:val="24"/>
                <w:szCs w:val="18"/>
                <w:highlight w:val="none"/>
              </w:rPr>
              <w:t>技术参数及要求</w:t>
            </w:r>
          </w:p>
        </w:tc>
        <w:tc>
          <w:tcPr>
            <w:tcW w:w="404" w:type="pct"/>
            <w:vAlign w:val="center"/>
          </w:tcPr>
          <w:p w14:paraId="510E4DC5">
            <w:pPr>
              <w:spacing w:line="360" w:lineRule="auto"/>
              <w:jc w:val="center"/>
              <w:rPr>
                <w:rFonts w:ascii="宋体" w:hAnsi="宋体" w:eastAsia="宋体"/>
                <w:b/>
                <w:bCs/>
                <w:sz w:val="24"/>
                <w:szCs w:val="18"/>
                <w:highlight w:val="none"/>
              </w:rPr>
            </w:pPr>
            <w:r>
              <w:rPr>
                <w:rFonts w:hint="eastAsia" w:ascii="宋体" w:hAnsi="宋体" w:eastAsia="宋体"/>
                <w:b/>
                <w:bCs/>
                <w:sz w:val="24"/>
                <w:szCs w:val="18"/>
                <w:highlight w:val="none"/>
              </w:rPr>
              <w:t>所属</w:t>
            </w:r>
          </w:p>
          <w:p w14:paraId="2A756530">
            <w:pPr>
              <w:spacing w:line="360" w:lineRule="auto"/>
              <w:jc w:val="center"/>
              <w:rPr>
                <w:rFonts w:ascii="宋体" w:hAnsi="宋体" w:eastAsia="宋体"/>
                <w:b/>
                <w:bCs/>
                <w:sz w:val="24"/>
                <w:szCs w:val="18"/>
                <w:highlight w:val="none"/>
              </w:rPr>
            </w:pPr>
            <w:r>
              <w:rPr>
                <w:rFonts w:hint="eastAsia" w:ascii="宋体" w:hAnsi="宋体" w:eastAsia="宋体"/>
                <w:b/>
                <w:bCs/>
                <w:sz w:val="24"/>
                <w:szCs w:val="18"/>
                <w:highlight w:val="none"/>
              </w:rPr>
              <w:t>行业</w:t>
            </w:r>
          </w:p>
        </w:tc>
        <w:tc>
          <w:tcPr>
            <w:tcW w:w="351" w:type="pct"/>
            <w:vAlign w:val="center"/>
          </w:tcPr>
          <w:p w14:paraId="3B99302E">
            <w:pPr>
              <w:spacing w:line="360" w:lineRule="auto"/>
              <w:jc w:val="center"/>
              <w:rPr>
                <w:rFonts w:ascii="宋体" w:hAnsi="宋体" w:eastAsia="宋体"/>
                <w:b/>
                <w:bCs/>
                <w:sz w:val="24"/>
                <w:szCs w:val="18"/>
                <w:highlight w:val="none"/>
              </w:rPr>
            </w:pPr>
            <w:r>
              <w:rPr>
                <w:rFonts w:hint="eastAsia" w:ascii="宋体" w:hAnsi="宋体" w:eastAsia="宋体"/>
                <w:b/>
                <w:bCs/>
                <w:sz w:val="24"/>
                <w:szCs w:val="18"/>
                <w:highlight w:val="none"/>
              </w:rPr>
              <w:t>备注</w:t>
            </w:r>
          </w:p>
        </w:tc>
      </w:tr>
      <w:tr w14:paraId="4399A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78" w:type="pct"/>
            <w:vAlign w:val="center"/>
          </w:tcPr>
          <w:p w14:paraId="2623DE6B">
            <w:pPr>
              <w:spacing w:line="360" w:lineRule="auto"/>
              <w:jc w:val="center"/>
              <w:rPr>
                <w:rFonts w:ascii="宋体" w:hAnsi="宋体" w:eastAsia="宋体"/>
                <w:sz w:val="24"/>
                <w:szCs w:val="18"/>
                <w:highlight w:val="none"/>
              </w:rPr>
            </w:pPr>
            <w:r>
              <w:rPr>
                <w:rFonts w:hint="eastAsia" w:ascii="宋体" w:hAnsi="宋体" w:eastAsia="宋体"/>
                <w:sz w:val="24"/>
                <w:szCs w:val="18"/>
                <w:highlight w:val="none"/>
              </w:rPr>
              <w:t>1</w:t>
            </w:r>
          </w:p>
        </w:tc>
        <w:tc>
          <w:tcPr>
            <w:tcW w:w="394" w:type="pct"/>
            <w:vAlign w:val="center"/>
          </w:tcPr>
          <w:p w14:paraId="007F2EC8">
            <w:pPr>
              <w:spacing w:line="360" w:lineRule="auto"/>
              <w:jc w:val="center"/>
              <w:rPr>
                <w:rFonts w:ascii="宋体" w:hAnsi="宋体" w:eastAsia="宋体"/>
                <w:bCs/>
                <w:sz w:val="24"/>
                <w:szCs w:val="18"/>
                <w:highlight w:val="none"/>
              </w:rPr>
            </w:pPr>
            <w:r>
              <w:rPr>
                <w:rFonts w:hint="eastAsia" w:ascii="宋体" w:hAnsi="宋体" w:eastAsia="宋体"/>
                <w:bCs/>
                <w:sz w:val="24"/>
                <w:szCs w:val="18"/>
                <w:highlight w:val="none"/>
                <w:lang w:val="en-US" w:eastAsia="zh-CN"/>
              </w:rPr>
              <w:t>便携彩超机</w:t>
            </w:r>
          </w:p>
        </w:tc>
        <w:tc>
          <w:tcPr>
            <w:tcW w:w="3472" w:type="pct"/>
            <w:vAlign w:val="center"/>
          </w:tcPr>
          <w:p w14:paraId="6289ECCC">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b/>
                <w:bCs/>
                <w:sz w:val="24"/>
                <w:szCs w:val="24"/>
                <w:highlight w:val="none"/>
              </w:rPr>
            </w:pPr>
            <w:r>
              <w:rPr>
                <w:rFonts w:hint="eastAsia" w:ascii="宋体" w:hAnsi="宋体" w:eastAsia="宋体" w:cs="宋体"/>
                <w:b/>
                <w:bCs/>
                <w:sz w:val="24"/>
                <w:szCs w:val="24"/>
                <w:highlight w:val="none"/>
                <w:lang w:eastAsia="zh-CN"/>
              </w:rPr>
              <w:t>性能</w:t>
            </w:r>
            <w:r>
              <w:rPr>
                <w:rFonts w:hint="eastAsia" w:ascii="宋体" w:hAnsi="宋体" w:eastAsia="宋体" w:cs="宋体"/>
                <w:b/>
                <w:bCs/>
                <w:sz w:val="24"/>
                <w:szCs w:val="24"/>
                <w:highlight w:val="none"/>
              </w:rPr>
              <w:t>参数</w:t>
            </w:r>
          </w:p>
          <w:p w14:paraId="7206CAE6">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sz w:val="24"/>
                <w:szCs w:val="24"/>
                <w:highlight w:val="none"/>
              </w:rPr>
            </w:pP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cstheme="minorEastAsia"/>
                <w:sz w:val="24"/>
                <w:szCs w:val="24"/>
                <w:highlight w:val="none"/>
              </w:rPr>
              <w:t>1、≥15英寸彩色液晶显示器，可根据环境光变化自动调节亮度，可手提携带，可桌面放置</w:t>
            </w:r>
          </w:p>
          <w:p w14:paraId="52116F98">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2、支持用户自定义按键数量≥4个，同一个自定义键支持≥4个功能</w:t>
            </w:r>
          </w:p>
          <w:p w14:paraId="30A12C55">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3、具备数字化二维灰阶成像单元</w:t>
            </w:r>
          </w:p>
          <w:p w14:paraId="70F1CED7">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4、具备数字化彩色及能量多普勒单元</w:t>
            </w:r>
          </w:p>
          <w:p w14:paraId="73F049A1">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5、具备数字化频谱多普勒显示和分析单元</w:t>
            </w:r>
          </w:p>
          <w:p w14:paraId="7FDC2528">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6、全数字式波束形成器</w:t>
            </w:r>
          </w:p>
          <w:p w14:paraId="75098EC5">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7、具备空间复合成像技术</w:t>
            </w:r>
          </w:p>
          <w:p w14:paraId="69CA5D7F">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8、具备智能化超清成像、超清斑点噪声抑制技术（可分多级调节）</w:t>
            </w:r>
          </w:p>
          <w:p w14:paraId="62901185">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sz w:val="24"/>
                <w:szCs w:val="24"/>
                <w:highlight w:val="none"/>
              </w:rPr>
            </w:pP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cstheme="minorEastAsia"/>
                <w:sz w:val="24"/>
                <w:szCs w:val="24"/>
                <w:highlight w:val="none"/>
              </w:rPr>
              <w:t>9、具备穿刺针增强显影技术（双屏实时对比显示增强前后效果，增强平面角度可调，步进10°）</w:t>
            </w:r>
          </w:p>
          <w:p w14:paraId="4D345B13">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10、具备一键自动优化功能： 二维图像自动优化，多普勒图像自动优化</w:t>
            </w:r>
          </w:p>
          <w:p w14:paraId="06354EDD">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11、具备组织谐波成像功能</w:t>
            </w:r>
          </w:p>
          <w:p w14:paraId="2236DEF1">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12、原始数据处理能力（可对已存储的图像进行增益、动态范围、多普勒基线、多普勒角度、扫描速度、自动优化等调节以及测量和分析等）</w:t>
            </w:r>
          </w:p>
          <w:p w14:paraId="63A29C15">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sz w:val="24"/>
                <w:szCs w:val="24"/>
                <w:highlight w:val="none"/>
              </w:rPr>
            </w:pP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cstheme="minorEastAsia"/>
                <w:sz w:val="24"/>
                <w:szCs w:val="24"/>
                <w:highlight w:val="none"/>
              </w:rPr>
              <w:t>13、实时直线解剖 M 型：实时或回放图像上 M 型扫描线 360 度任意旋转调节，对传统 M型扫描进行角度纠正。可用于二维、彩色血流及组织多普勒模式</w:t>
            </w:r>
          </w:p>
          <w:p w14:paraId="18964388">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14、彩色 M 型模式，支持解剖 M 型</w:t>
            </w:r>
          </w:p>
          <w:p w14:paraId="3188B948">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sz w:val="24"/>
                <w:szCs w:val="24"/>
                <w:highlight w:val="none"/>
              </w:rPr>
            </w:pP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cstheme="minorEastAsia"/>
                <w:sz w:val="24"/>
                <w:szCs w:val="24"/>
                <w:highlight w:val="none"/>
              </w:rPr>
              <w:t>15、具备弹性成像定量分析：组织硬度定量分析软件和压力曲线提示图标，支持应变率测量和肿块周边组织弹性定量分析</w:t>
            </w:r>
          </w:p>
          <w:p w14:paraId="1EA894D4">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16、具备虚拟心尖显示技术</w:t>
            </w:r>
          </w:p>
          <w:p w14:paraId="3B509648">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17、高级临床应用：血管内中膜自动测量，可同时进行血管前、后壁的内中膜一段距离的自动描记、自动生成测量数据结果</w:t>
            </w:r>
          </w:p>
          <w:p w14:paraId="560B8EC2">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17.1.1、通过一键取样框可自动识别并追踪主动脉瓣下方左室流出道区域</w:t>
            </w:r>
          </w:p>
          <w:p w14:paraId="2A0F6B19">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sz w:val="24"/>
                <w:szCs w:val="24"/>
                <w:highlight w:val="none"/>
              </w:rPr>
            </w:pP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cstheme="minorEastAsia"/>
                <w:sz w:val="24"/>
                <w:szCs w:val="24"/>
                <w:highlight w:val="none"/>
              </w:rPr>
              <w:t>17.1.2、实时宽景成像，支持凸阵、线阵和相控阵探头，具有扫描速度提示功能，可360度旋转</w:t>
            </w:r>
          </w:p>
          <w:p w14:paraId="26184130">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17.1.3、取样门自动进行追踪最佳取样位置</w:t>
            </w:r>
          </w:p>
          <w:p w14:paraId="54FF5759">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17.1.4、自动记录描记左室流出道频谱； SV（每搏量）、CO(心输出量）； 自动 B 线测量； 通过一键自动识别并标记超声 B 线</w:t>
            </w:r>
          </w:p>
          <w:p w14:paraId="20DB4BE7">
            <w:pPr>
              <w:pStyle w:val="54"/>
              <w:keepNext w:val="0"/>
              <w:keepLines w:val="0"/>
              <w:pageBreakBefore w:val="0"/>
              <w:tabs>
                <w:tab w:val="left" w:pos="1276"/>
              </w:tabs>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eastAsia" w:asciiTheme="minorEastAsia" w:hAnsiTheme="minorEastAsia" w:eastAsiaTheme="minorEastAsia" w:cstheme="minorEastAsia"/>
                <w:color w:val="000000"/>
                <w:sz w:val="24"/>
                <w:szCs w:val="24"/>
                <w:highlight w:val="none"/>
              </w:rPr>
            </w:pP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cstheme="minorEastAsia"/>
                <w:sz w:val="24"/>
                <w:szCs w:val="24"/>
                <w:highlight w:val="none"/>
              </w:rPr>
              <w:t>17.2、≥</w:t>
            </w:r>
            <w:r>
              <w:rPr>
                <w:rFonts w:hint="eastAsia" w:asciiTheme="minorEastAsia" w:hAnsiTheme="minorEastAsia" w:eastAsiaTheme="minorEastAsia" w:cstheme="minorEastAsia"/>
                <w:color w:val="000000"/>
                <w:sz w:val="24"/>
                <w:szCs w:val="24"/>
                <w:highlight w:val="none"/>
              </w:rPr>
              <w:t>2种血管标记功能，可通过触摸屏手动编辑图谱或体表体位图标记</w:t>
            </w:r>
          </w:p>
          <w:p w14:paraId="299AA1EA">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17.3、具备快速创伤超声评估工具</w:t>
            </w:r>
          </w:p>
          <w:p w14:paraId="5EC13CED">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17.4、具备实时射血分数自动测量</w:t>
            </w:r>
          </w:p>
          <w:p w14:paraId="41853401">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17.5、可自动描迹左心室内膜边界，实现实时连续测量射血分数</w:t>
            </w:r>
          </w:p>
          <w:p w14:paraId="0DA09C73">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sz w:val="24"/>
                <w:szCs w:val="24"/>
                <w:highlight w:val="none"/>
              </w:rPr>
            </w:pP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cstheme="minorEastAsia"/>
                <w:sz w:val="24"/>
                <w:szCs w:val="24"/>
                <w:highlight w:val="none"/>
              </w:rPr>
              <w:t>18、造影成像：用于腹部、浅表和微血管造影，支持时间强度分析和运动追踪分析</w:t>
            </w:r>
          </w:p>
          <w:p w14:paraId="2CD28273">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19、具备智能追踪技术：可实时扫查快速重现存储图像全部扫描参数</w:t>
            </w:r>
          </w:p>
          <w:p w14:paraId="38469101">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20、具备实时宽景成像技术</w:t>
            </w:r>
          </w:p>
          <w:p w14:paraId="7EEB5B61">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sz w:val="24"/>
                <w:szCs w:val="24"/>
                <w:highlight w:val="none"/>
              </w:rPr>
            </w:pP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cstheme="minorEastAsia"/>
                <w:sz w:val="24"/>
                <w:szCs w:val="24"/>
                <w:highlight w:val="none"/>
              </w:rPr>
              <w:t>21、主机一体化探头接口：≥1 个，可扩展到3个</w:t>
            </w:r>
          </w:p>
          <w:p w14:paraId="05E805E2">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22、超声系统最大探查深度≥36CM</w:t>
            </w:r>
          </w:p>
          <w:p w14:paraId="31AB845C">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23、可全屏操作</w:t>
            </w:r>
          </w:p>
          <w:p w14:paraId="792AD04F">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24、具备可拆卸锂电池（断电条件下扫查时间≥4 小时）</w:t>
            </w:r>
          </w:p>
          <w:p w14:paraId="69A5D95C">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sz w:val="24"/>
                <w:szCs w:val="24"/>
                <w:highlight w:val="none"/>
              </w:rPr>
            </w:pP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cstheme="minorEastAsia"/>
                <w:sz w:val="24"/>
                <w:szCs w:val="24"/>
                <w:highlight w:val="none"/>
              </w:rPr>
              <w:t>25、内置超声工作站，支持同步存储，即后台存储或导出图像数据的同时前台可以实时扫描，不影响检查操作</w:t>
            </w:r>
          </w:p>
          <w:p w14:paraId="6B4EF232">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26、测量和分析：(B 型、M 型、AMM 型、彩色模式、能量多普勒模式、连续多普勒模式、频谱多普勒模式、组织多普勒模式等)</w:t>
            </w:r>
          </w:p>
          <w:p w14:paraId="7C302240">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27、一般测量：妇产科测量（包括孕期、预产期、胎重的分析及显示，胎儿生长曲线（单幅和多幅同时显示）、多数据对比图、子宫卵巢和卵泡的测量和计算以及全面的可编辑的报告功能）；产科测量包(包括多胎测量菜单）；多普勒血流测量与分析；实时多普勒自动包络、测量和计算；心脏功能测量以及各瓣膜功能的测量、分析及报告；外周血管测量与分析；泌尿科测量与分析等</w:t>
            </w:r>
          </w:p>
          <w:p w14:paraId="586436EC">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28、显示模式：全屏模式、分屏模式（可左右分屏，上下分屏）</w:t>
            </w:r>
          </w:p>
          <w:p w14:paraId="2C5E7ABB">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29、一体化图像存储与(电影)回放重现及病案管理单元：超声图像静态、动态存储回放重现；一体化病案管理单元包括病人资料、报告、图像等的存储、修改、检索和打印等</w:t>
            </w:r>
          </w:p>
          <w:p w14:paraId="219BC027">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30、图像管理与记录装置： 超声图像存档与病案管理系统； 动态图像、静态图像以 PC 通用格式直接存储，无需特殊软件即能在普通 PC 机上直接观看图像；内置固态硬盘≥128GB； 可以存储和回放动态及静态图像</w:t>
            </w:r>
          </w:p>
          <w:p w14:paraId="025E7840">
            <w:pPr>
              <w:pStyle w:val="54"/>
              <w:keepNext w:val="0"/>
              <w:keepLines w:val="0"/>
              <w:pageBreakBefore w:val="0"/>
              <w:kinsoku/>
              <w:wordWrap/>
              <w:overflowPunct/>
              <w:topLinePunct w:val="0"/>
              <w:autoSpaceDE/>
              <w:autoSpaceDN/>
              <w:bidi w:val="0"/>
              <w:spacing w:line="360" w:lineRule="auto"/>
              <w:ind w:leftChars="0" w:right="0" w:rightChars="0" w:firstLine="0" w:firstLine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31、连通性：手机移动终端 APP可进行移动设备无线传输，机器超声图像可通过无线网络直接发送到智能移动终端平台，移动终端设备进行远程控制超声机器图像参数调节、远程病人信息管理，支持Android和苹果系统；图像和通信具备DICOM3.0 版接口部件</w:t>
            </w:r>
          </w:p>
          <w:p w14:paraId="436821D0">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32、搭配台车，台车可升降；配拉杆箱，放置主机和探头</w:t>
            </w:r>
          </w:p>
          <w:p w14:paraId="2C525DEC">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33、探头规格：</w:t>
            </w:r>
          </w:p>
          <w:p w14:paraId="1789D2FC">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33.1、频率：宽频带或变频探头</w:t>
            </w:r>
          </w:p>
          <w:p w14:paraId="26C84FE4">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sz w:val="24"/>
                <w:szCs w:val="24"/>
                <w:highlight w:val="none"/>
              </w:rPr>
            </w:pP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cstheme="minorEastAsia"/>
                <w:sz w:val="24"/>
                <w:szCs w:val="24"/>
                <w:highlight w:val="none"/>
              </w:rPr>
              <w:t>33.2、类型：凸阵，微凸阵，线阵，超高频线阵，相控阵，腔内，经食道探头</w:t>
            </w:r>
          </w:p>
          <w:p w14:paraId="4A9669BD">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33.3、单晶体或冰晶或纯净波电子凸阵：超声频率 1.3-6MHz，支持扩展成像</w:t>
            </w:r>
          </w:p>
          <w:p w14:paraId="1D593239">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33.4、单晶体或冰晶或纯净波电子相控阵：超声频率1.5-5MHz，扫描角度≥90°</w:t>
            </w:r>
          </w:p>
          <w:p w14:paraId="62222D69">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33.5、电子线阵：超声频率3-13MHz，支持扩展成像；</w:t>
            </w:r>
          </w:p>
          <w:p w14:paraId="3A154CE6">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33.6、腔内探头：频率3-11MHz，</w:t>
            </w:r>
          </w:p>
          <w:p w14:paraId="465C361B">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34、彩色多普勒模式：</w:t>
            </w:r>
          </w:p>
          <w:p w14:paraId="74E5522F">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sz w:val="24"/>
                <w:szCs w:val="24"/>
                <w:highlight w:val="none"/>
              </w:rPr>
            </w:pP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cstheme="minorEastAsia"/>
                <w:sz w:val="24"/>
                <w:szCs w:val="24"/>
                <w:highlight w:val="none"/>
              </w:rPr>
              <w:t>34.1 取样框偏转角度：±30 度</w:t>
            </w:r>
          </w:p>
          <w:p w14:paraId="2D98BFEE">
            <w:pPr>
              <w:keepNext w:val="0"/>
              <w:keepLines w:val="0"/>
              <w:pageBreakBefore w:val="0"/>
              <w:widowControl/>
              <w:kinsoku/>
              <w:wordWrap/>
              <w:overflowPunct/>
              <w:topLinePunct w:val="0"/>
              <w:autoSpaceDE/>
              <w:autoSpaceDN/>
              <w:bidi w:val="0"/>
              <w:spacing w:line="360" w:lineRule="auto"/>
              <w:ind w:leftChars="0" w:right="0" w:rightChars="0" w:firstLine="0" w:firstLineChars="0"/>
              <w:jc w:val="left"/>
              <w:textAlignment w:val="auto"/>
              <w:rPr>
                <w:rFonts w:hint="eastAsia" w:ascii="宋体" w:hAnsi="宋体" w:eastAsiaTheme="minorEastAsia"/>
                <w:bCs/>
                <w:sz w:val="24"/>
                <w:szCs w:val="18"/>
                <w:highlight w:val="none"/>
                <w:lang w:val="en-US" w:eastAsia="zh-CN"/>
              </w:rPr>
            </w:pPr>
            <w:r>
              <w:rPr>
                <w:rFonts w:hint="eastAsia" w:asciiTheme="minorEastAsia" w:hAnsiTheme="minorEastAsia" w:eastAsiaTheme="minorEastAsia" w:cstheme="minorEastAsia"/>
                <w:sz w:val="24"/>
                <w:szCs w:val="24"/>
                <w:highlight w:val="none"/>
              </w:rPr>
              <w:t>35、频谱多普勒方式：脉冲波多普勒 PWD；高脉冲重复频率HPFF；连续波多普勒 CWD；组织多普勒速度成像 TDI/TVD</w:t>
            </w:r>
          </w:p>
          <w:p w14:paraId="4F2098C5">
            <w:pPr>
              <w:keepNext w:val="0"/>
              <w:keepLines w:val="0"/>
              <w:pageBreakBefore w:val="0"/>
              <w:kinsoku/>
              <w:wordWrap/>
              <w:overflowPunct/>
              <w:topLinePunct w:val="0"/>
              <w:autoSpaceDE/>
              <w:autoSpaceDN/>
              <w:bidi w:val="0"/>
              <w:spacing w:line="360" w:lineRule="auto"/>
              <w:ind w:leftChars="0" w:right="0" w:rightChars="0" w:firstLine="0" w:firstLineChars="0"/>
              <w:jc w:val="left"/>
              <w:textAlignment w:val="auto"/>
              <w:rPr>
                <w:rFonts w:hint="eastAsia" w:ascii="宋体" w:hAnsi="宋体" w:eastAsia="宋体"/>
                <w:b/>
                <w:bCs w:val="0"/>
                <w:sz w:val="24"/>
                <w:szCs w:val="18"/>
                <w:highlight w:val="none"/>
              </w:rPr>
            </w:pPr>
            <w:r>
              <w:rPr>
                <w:rFonts w:hint="eastAsia" w:ascii="宋体" w:hAnsi="宋体" w:eastAsia="宋体" w:cs="宋体"/>
                <w:b/>
                <w:bCs/>
                <w:kern w:val="0"/>
                <w:sz w:val="24"/>
                <w:szCs w:val="24"/>
                <w:highlight w:val="none"/>
              </w:rPr>
              <w:t>★</w:t>
            </w:r>
            <w:r>
              <w:rPr>
                <w:rFonts w:hint="eastAsia" w:ascii="宋体" w:hAnsi="宋体" w:eastAsia="宋体"/>
                <w:b/>
                <w:bCs w:val="0"/>
                <w:sz w:val="24"/>
                <w:szCs w:val="18"/>
                <w:highlight w:val="none"/>
                <w:lang w:eastAsia="zh-CN"/>
              </w:rPr>
              <w:t>二、</w:t>
            </w:r>
            <w:r>
              <w:rPr>
                <w:rFonts w:hint="eastAsia" w:ascii="宋体" w:hAnsi="宋体" w:eastAsia="宋体"/>
                <w:b/>
                <w:bCs w:val="0"/>
                <w:sz w:val="24"/>
                <w:szCs w:val="18"/>
                <w:highlight w:val="none"/>
              </w:rPr>
              <w:t>相关配置</w:t>
            </w:r>
          </w:p>
          <w:p w14:paraId="292BC386">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default" w:asciiTheme="minorEastAsia" w:hAnsiTheme="minorEastAsia" w:eastAsiaTheme="minorEastAsia" w:cstheme="minorEastAsia"/>
                <w:sz w:val="24"/>
                <w:szCs w:val="22"/>
                <w:highlight w:val="none"/>
                <w:lang w:val="en-US" w:eastAsia="zh-CN"/>
              </w:rPr>
            </w:pPr>
            <w:r>
              <w:rPr>
                <w:rFonts w:hint="eastAsia" w:asciiTheme="minorEastAsia" w:hAnsiTheme="minorEastAsia" w:eastAsiaTheme="minorEastAsia" w:cstheme="minorEastAsia"/>
                <w:sz w:val="24"/>
                <w:szCs w:val="22"/>
                <w:highlight w:val="none"/>
                <w:lang w:val="en-US" w:eastAsia="zh-CN"/>
              </w:rPr>
              <w:t>主机 1台</w:t>
            </w:r>
          </w:p>
          <w:p w14:paraId="24C88C24">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sz w:val="24"/>
                <w:szCs w:val="22"/>
                <w:highlight w:val="none"/>
              </w:rPr>
            </w:pPr>
            <w:r>
              <w:rPr>
                <w:rFonts w:hint="eastAsia" w:asciiTheme="minorEastAsia" w:hAnsiTheme="minorEastAsia" w:eastAsiaTheme="minorEastAsia" w:cstheme="minorEastAsia"/>
                <w:sz w:val="24"/>
                <w:szCs w:val="22"/>
                <w:highlight w:val="none"/>
              </w:rPr>
              <w:t>单晶体电子线阵探头    1 把</w:t>
            </w:r>
          </w:p>
          <w:p w14:paraId="01753803">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sz w:val="24"/>
                <w:szCs w:val="22"/>
                <w:highlight w:val="none"/>
              </w:rPr>
            </w:pPr>
            <w:r>
              <w:rPr>
                <w:rFonts w:hint="eastAsia" w:asciiTheme="minorEastAsia" w:hAnsiTheme="minorEastAsia" w:eastAsiaTheme="minorEastAsia" w:cstheme="minorEastAsia"/>
                <w:sz w:val="24"/>
                <w:szCs w:val="22"/>
                <w:highlight w:val="none"/>
              </w:rPr>
              <w:t>电子单晶体凸阵探头    1 把</w:t>
            </w:r>
          </w:p>
          <w:p w14:paraId="77AAD45C">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sz w:val="24"/>
                <w:szCs w:val="22"/>
                <w:highlight w:val="none"/>
              </w:rPr>
            </w:pPr>
            <w:r>
              <w:rPr>
                <w:rFonts w:hint="eastAsia" w:asciiTheme="minorEastAsia" w:hAnsiTheme="minorEastAsia" w:eastAsiaTheme="minorEastAsia" w:cstheme="minorEastAsia"/>
                <w:sz w:val="24"/>
                <w:szCs w:val="22"/>
                <w:highlight w:val="none"/>
              </w:rPr>
              <w:t>相控阵探头            1 把</w:t>
            </w:r>
          </w:p>
          <w:p w14:paraId="5A5A2123">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sz w:val="24"/>
                <w:szCs w:val="22"/>
                <w:highlight w:val="none"/>
              </w:rPr>
            </w:pPr>
            <w:r>
              <w:rPr>
                <w:rFonts w:hint="eastAsia" w:asciiTheme="minorEastAsia" w:hAnsiTheme="minorEastAsia" w:eastAsiaTheme="minorEastAsia" w:cstheme="minorEastAsia"/>
                <w:sz w:val="24"/>
                <w:szCs w:val="22"/>
                <w:highlight w:val="none"/>
              </w:rPr>
              <w:t>腔内探头              1把</w:t>
            </w:r>
          </w:p>
          <w:p w14:paraId="4B0296C1">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sz w:val="24"/>
                <w:szCs w:val="22"/>
                <w:highlight w:val="none"/>
              </w:rPr>
            </w:pPr>
            <w:r>
              <w:rPr>
                <w:rFonts w:hint="eastAsia" w:asciiTheme="minorEastAsia" w:hAnsiTheme="minorEastAsia" w:eastAsiaTheme="minorEastAsia" w:cstheme="minorEastAsia"/>
                <w:sz w:val="24"/>
                <w:szCs w:val="22"/>
                <w:highlight w:val="none"/>
              </w:rPr>
              <w:t>检查床                1张</w:t>
            </w:r>
          </w:p>
          <w:p w14:paraId="306F6E61">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default" w:asciiTheme="minorEastAsia" w:hAnsiTheme="minorEastAsia" w:eastAsiaTheme="minorEastAsia" w:cstheme="minorEastAsia"/>
                <w:sz w:val="24"/>
                <w:szCs w:val="22"/>
                <w:highlight w:val="none"/>
                <w:lang w:val="en-US" w:eastAsia="zh-CN"/>
              </w:rPr>
            </w:pPr>
            <w:r>
              <w:rPr>
                <w:rFonts w:hint="eastAsia" w:asciiTheme="minorEastAsia" w:hAnsiTheme="minorEastAsia" w:eastAsiaTheme="minorEastAsia" w:cstheme="minorEastAsia"/>
                <w:sz w:val="24"/>
                <w:szCs w:val="22"/>
                <w:highlight w:val="none"/>
              </w:rPr>
              <w:t>专用旅行箱，可装载主机、</w:t>
            </w:r>
            <w:r>
              <w:rPr>
                <w:rFonts w:hint="default" w:asciiTheme="minorEastAsia" w:hAnsiTheme="minorEastAsia" w:eastAsiaTheme="minorEastAsia" w:cstheme="minorEastAsia"/>
                <w:sz w:val="24"/>
                <w:szCs w:val="22"/>
                <w:highlight w:val="none"/>
              </w:rPr>
              <w:t>探头及相关备件</w:t>
            </w:r>
            <w:r>
              <w:rPr>
                <w:rFonts w:hint="eastAsia" w:asciiTheme="minorEastAsia" w:hAnsiTheme="minorEastAsia" w:eastAsiaTheme="minorEastAsia" w:cstheme="minorEastAsia"/>
                <w:sz w:val="24"/>
                <w:szCs w:val="22"/>
                <w:highlight w:val="none"/>
                <w:lang w:val="en-US" w:eastAsia="zh-CN"/>
              </w:rPr>
              <w:t xml:space="preserve"> 1套</w:t>
            </w:r>
          </w:p>
          <w:p w14:paraId="3CD06397">
            <w:pPr>
              <w:keepNext w:val="0"/>
              <w:keepLines w:val="0"/>
              <w:pageBreakBefore w:val="0"/>
              <w:kinsoku/>
              <w:wordWrap/>
              <w:overflowPunct/>
              <w:topLinePunct w:val="0"/>
              <w:autoSpaceDE/>
              <w:autoSpaceDN/>
              <w:bidi w:val="0"/>
              <w:spacing w:line="360" w:lineRule="auto"/>
              <w:ind w:leftChars="0" w:right="0" w:rightChars="0" w:firstLine="0" w:firstLineChars="0"/>
              <w:textAlignment w:val="auto"/>
              <w:rPr>
                <w:rFonts w:hint="eastAsia" w:asciiTheme="minorEastAsia" w:hAnsiTheme="minorEastAsia" w:eastAsiaTheme="minorEastAsia" w:cstheme="minorEastAsia"/>
                <w:sz w:val="24"/>
                <w:szCs w:val="22"/>
                <w:highlight w:val="none"/>
              </w:rPr>
            </w:pPr>
            <w:r>
              <w:rPr>
                <w:rFonts w:hint="eastAsia" w:asciiTheme="minorEastAsia" w:hAnsiTheme="minorEastAsia" w:eastAsiaTheme="minorEastAsia" w:cstheme="minorEastAsia"/>
                <w:sz w:val="24"/>
                <w:szCs w:val="22"/>
                <w:highlight w:val="none"/>
              </w:rPr>
              <w:t>专用台车：可升降、防盗锁模块</w:t>
            </w:r>
            <w:r>
              <w:rPr>
                <w:rFonts w:hint="eastAsia" w:asciiTheme="minorEastAsia" w:hAnsiTheme="minorEastAsia" w:eastAsiaTheme="minorEastAsia" w:cstheme="minorEastAsia"/>
                <w:sz w:val="24"/>
                <w:szCs w:val="22"/>
                <w:highlight w:val="none"/>
                <w:lang w:val="en-US" w:eastAsia="zh-CN"/>
              </w:rPr>
              <w:t xml:space="preserve">  1</w:t>
            </w:r>
            <w:r>
              <w:rPr>
                <w:rFonts w:hint="eastAsia" w:asciiTheme="minorEastAsia" w:hAnsiTheme="minorEastAsia" w:eastAsiaTheme="minorEastAsia" w:cstheme="minorEastAsia"/>
                <w:sz w:val="24"/>
                <w:szCs w:val="22"/>
                <w:highlight w:val="none"/>
              </w:rPr>
              <w:t>台。</w:t>
            </w:r>
          </w:p>
          <w:p w14:paraId="7DFC9EAB">
            <w:pPr>
              <w:keepNext w:val="0"/>
              <w:keepLines w:val="0"/>
              <w:pageBreakBefore w:val="0"/>
              <w:kinsoku/>
              <w:wordWrap/>
              <w:overflowPunct/>
              <w:topLinePunct w:val="0"/>
              <w:autoSpaceDE/>
              <w:autoSpaceDN/>
              <w:bidi w:val="0"/>
              <w:spacing w:line="360" w:lineRule="auto"/>
              <w:ind w:leftChars="0" w:right="0" w:rightChars="0" w:firstLine="0" w:firstLineChars="0"/>
              <w:jc w:val="left"/>
              <w:textAlignment w:val="auto"/>
              <w:rPr>
                <w:rFonts w:hint="eastAsia" w:asciiTheme="minorEastAsia" w:hAnsiTheme="minorEastAsia" w:eastAsiaTheme="minorEastAsia" w:cstheme="minorEastAsia"/>
                <w:sz w:val="24"/>
                <w:szCs w:val="22"/>
                <w:highlight w:val="none"/>
                <w:lang w:val="en-US" w:eastAsia="zh-CN"/>
              </w:rPr>
            </w:pPr>
            <w:r>
              <w:rPr>
                <w:rFonts w:hint="eastAsia" w:asciiTheme="minorEastAsia" w:hAnsiTheme="minorEastAsia" w:eastAsiaTheme="minorEastAsia" w:cstheme="minorEastAsia"/>
                <w:sz w:val="24"/>
                <w:szCs w:val="22"/>
                <w:highlight w:val="none"/>
                <w:lang w:val="en-US" w:eastAsia="zh-CN"/>
              </w:rPr>
              <w:t>超声图文工作站（含高清采集卡，电脑（增加配置）</w:t>
            </w:r>
            <w:r>
              <w:rPr>
                <w:rFonts w:hint="default" w:asciiTheme="minorEastAsia" w:hAnsiTheme="minorEastAsia" w:eastAsiaTheme="minorEastAsia" w:cstheme="minorEastAsia"/>
                <w:sz w:val="24"/>
                <w:szCs w:val="22"/>
                <w:highlight w:val="none"/>
                <w:lang w:val="en-US" w:eastAsia="zh-CN"/>
              </w:rPr>
              <w:t>） 1 套</w:t>
            </w:r>
          </w:p>
          <w:p w14:paraId="7F3A5175">
            <w:pPr>
              <w:keepNext w:val="0"/>
              <w:keepLines w:val="0"/>
              <w:pageBreakBefore w:val="0"/>
              <w:kinsoku/>
              <w:wordWrap/>
              <w:overflowPunct/>
              <w:topLinePunct w:val="0"/>
              <w:autoSpaceDE/>
              <w:autoSpaceDN/>
              <w:bidi w:val="0"/>
              <w:spacing w:line="360" w:lineRule="auto"/>
              <w:ind w:leftChars="0" w:right="0" w:rightChars="0" w:firstLine="0" w:firstLineChars="0"/>
              <w:jc w:val="left"/>
              <w:textAlignment w:val="auto"/>
              <w:rPr>
                <w:rFonts w:ascii="宋体" w:hAnsi="宋体" w:eastAsia="宋体"/>
                <w:bCs/>
                <w:sz w:val="24"/>
                <w:szCs w:val="18"/>
                <w:highlight w:val="none"/>
              </w:rPr>
            </w:pPr>
            <w:r>
              <w:rPr>
                <w:rFonts w:hint="eastAsia" w:asciiTheme="minorEastAsia" w:hAnsiTheme="minorEastAsia" w:eastAsiaTheme="minorEastAsia" w:cstheme="minorEastAsia"/>
                <w:sz w:val="24"/>
                <w:szCs w:val="22"/>
                <w:highlight w:val="none"/>
              </w:rPr>
              <w:t>激光打印机</w:t>
            </w:r>
            <w:r>
              <w:rPr>
                <w:rFonts w:hint="eastAsia" w:asciiTheme="minorEastAsia" w:hAnsiTheme="minorEastAsia" w:eastAsiaTheme="minorEastAsia" w:cstheme="minorEastAsia"/>
                <w:sz w:val="24"/>
                <w:szCs w:val="22"/>
                <w:highlight w:val="none"/>
                <w:lang w:val="en-US" w:eastAsia="zh-CN"/>
              </w:rPr>
              <w:t xml:space="preserve">   1</w:t>
            </w:r>
            <w:r>
              <w:rPr>
                <w:rFonts w:hint="eastAsia" w:asciiTheme="minorEastAsia" w:hAnsiTheme="minorEastAsia" w:eastAsiaTheme="minorEastAsia" w:cstheme="minorEastAsia"/>
                <w:sz w:val="24"/>
                <w:szCs w:val="22"/>
                <w:highlight w:val="none"/>
              </w:rPr>
              <w:t>台</w:t>
            </w:r>
          </w:p>
        </w:tc>
        <w:tc>
          <w:tcPr>
            <w:tcW w:w="404" w:type="pct"/>
            <w:vAlign w:val="center"/>
          </w:tcPr>
          <w:p w14:paraId="2B245808">
            <w:pPr>
              <w:spacing w:line="360" w:lineRule="auto"/>
              <w:jc w:val="center"/>
              <w:rPr>
                <w:rFonts w:ascii="宋体" w:hAnsi="宋体" w:eastAsia="宋体"/>
                <w:bCs/>
                <w:sz w:val="24"/>
                <w:szCs w:val="18"/>
                <w:highlight w:val="none"/>
              </w:rPr>
            </w:pPr>
            <w:r>
              <w:rPr>
                <w:rFonts w:hint="eastAsia" w:ascii="宋体" w:hAnsi="宋体" w:eastAsia="宋体"/>
                <w:bCs/>
                <w:sz w:val="24"/>
                <w:szCs w:val="18"/>
                <w:highlight w:val="none"/>
              </w:rPr>
              <w:t>工业</w:t>
            </w:r>
          </w:p>
        </w:tc>
        <w:tc>
          <w:tcPr>
            <w:tcW w:w="351" w:type="pct"/>
            <w:vAlign w:val="center"/>
          </w:tcPr>
          <w:p w14:paraId="120E2713">
            <w:pPr>
              <w:spacing w:line="360" w:lineRule="auto"/>
              <w:jc w:val="center"/>
              <w:rPr>
                <w:rFonts w:ascii="宋体" w:hAnsi="宋体" w:eastAsia="宋体"/>
                <w:bCs/>
                <w:sz w:val="24"/>
                <w:szCs w:val="18"/>
                <w:highlight w:val="none"/>
              </w:rPr>
            </w:pPr>
            <w:r>
              <w:rPr>
                <w:rFonts w:hint="eastAsia" w:ascii="宋体" w:hAnsi="宋体" w:eastAsia="宋体"/>
                <w:bCs/>
                <w:sz w:val="24"/>
                <w:szCs w:val="18"/>
                <w:highlight w:val="none"/>
              </w:rPr>
              <w:t>/</w:t>
            </w:r>
          </w:p>
        </w:tc>
      </w:tr>
    </w:tbl>
    <w:p w14:paraId="4AC4F0D1">
      <w:pPr>
        <w:numPr>
          <w:ilvl w:val="0"/>
          <w:numId w:val="0"/>
        </w:numPr>
        <w:spacing w:line="360" w:lineRule="auto"/>
        <w:outlineLvl w:val="9"/>
        <w:rPr>
          <w:rFonts w:hint="eastAsia" w:ascii="宋体" w:hAnsi="宋体" w:eastAsia="宋体" w:cs="宋体"/>
          <w:b/>
          <w:sz w:val="24"/>
          <w:szCs w:val="24"/>
          <w:highlight w:val="none"/>
          <w:lang w:val="en-US" w:eastAsia="zh-CN"/>
        </w:rPr>
      </w:pPr>
    </w:p>
    <w:p w14:paraId="74DDCE21">
      <w:pPr>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br w:type="page"/>
      </w:r>
    </w:p>
    <w:p w14:paraId="066B0D3E">
      <w:pPr>
        <w:numPr>
          <w:ilvl w:val="0"/>
          <w:numId w:val="0"/>
        </w:numPr>
        <w:spacing w:line="360" w:lineRule="auto"/>
        <w:outlineLvl w:val="9"/>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02包：便携式彩超</w:t>
      </w:r>
    </w:p>
    <w:tbl>
      <w:tblPr>
        <w:tblStyle w:val="26"/>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61"/>
        <w:gridCol w:w="6754"/>
        <w:gridCol w:w="625"/>
        <w:gridCol w:w="647"/>
      </w:tblGrid>
      <w:tr w14:paraId="5652E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14:paraId="2F895B9C">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ascii="宋体" w:hAnsi="宋体" w:eastAsia="宋体"/>
                <w:b/>
                <w:bCs/>
                <w:sz w:val="24"/>
                <w:szCs w:val="18"/>
                <w:highlight w:val="none"/>
              </w:rPr>
            </w:pPr>
            <w:r>
              <w:rPr>
                <w:rFonts w:hint="eastAsia" w:ascii="宋体" w:hAnsi="宋体" w:eastAsia="宋体"/>
                <w:b/>
                <w:bCs/>
                <w:sz w:val="24"/>
                <w:szCs w:val="18"/>
                <w:highlight w:val="none"/>
              </w:rPr>
              <w:t>序号</w:t>
            </w:r>
          </w:p>
        </w:tc>
        <w:tc>
          <w:tcPr>
            <w:tcW w:w="761" w:type="dxa"/>
            <w:vAlign w:val="center"/>
          </w:tcPr>
          <w:p w14:paraId="1EA6A543">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ascii="宋体" w:hAnsi="宋体" w:eastAsia="宋体"/>
                <w:b/>
                <w:bCs/>
                <w:sz w:val="24"/>
                <w:szCs w:val="18"/>
                <w:highlight w:val="none"/>
              </w:rPr>
            </w:pPr>
            <w:r>
              <w:rPr>
                <w:rFonts w:hint="eastAsia" w:ascii="宋体" w:hAnsi="宋体" w:eastAsia="宋体"/>
                <w:b/>
                <w:bCs/>
                <w:sz w:val="24"/>
                <w:szCs w:val="18"/>
                <w:highlight w:val="none"/>
              </w:rPr>
              <w:t>货物名称</w:t>
            </w:r>
          </w:p>
        </w:tc>
        <w:tc>
          <w:tcPr>
            <w:tcW w:w="6754" w:type="dxa"/>
            <w:vAlign w:val="center"/>
          </w:tcPr>
          <w:p w14:paraId="7335887F">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ascii="宋体" w:hAnsi="宋体" w:eastAsia="宋体"/>
                <w:b/>
                <w:bCs/>
                <w:sz w:val="24"/>
                <w:szCs w:val="18"/>
                <w:highlight w:val="none"/>
              </w:rPr>
            </w:pPr>
            <w:r>
              <w:rPr>
                <w:rFonts w:hint="eastAsia" w:ascii="宋体" w:hAnsi="宋体" w:eastAsia="宋体"/>
                <w:b/>
                <w:bCs/>
                <w:sz w:val="24"/>
                <w:szCs w:val="18"/>
                <w:highlight w:val="none"/>
              </w:rPr>
              <w:t>技术参数及要求</w:t>
            </w:r>
          </w:p>
        </w:tc>
        <w:tc>
          <w:tcPr>
            <w:tcW w:w="625" w:type="dxa"/>
            <w:vAlign w:val="center"/>
          </w:tcPr>
          <w:p w14:paraId="36918DE8">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ascii="宋体" w:hAnsi="宋体" w:eastAsia="宋体"/>
                <w:b/>
                <w:bCs/>
                <w:sz w:val="24"/>
                <w:szCs w:val="18"/>
                <w:highlight w:val="none"/>
              </w:rPr>
            </w:pPr>
            <w:r>
              <w:rPr>
                <w:rFonts w:hint="eastAsia" w:ascii="宋体" w:hAnsi="宋体" w:eastAsia="宋体"/>
                <w:b/>
                <w:bCs/>
                <w:sz w:val="24"/>
                <w:szCs w:val="18"/>
                <w:highlight w:val="none"/>
              </w:rPr>
              <w:t>所属</w:t>
            </w:r>
          </w:p>
          <w:p w14:paraId="0E569537">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ascii="宋体" w:hAnsi="宋体" w:eastAsia="宋体"/>
                <w:b/>
                <w:bCs/>
                <w:sz w:val="24"/>
                <w:szCs w:val="18"/>
                <w:highlight w:val="none"/>
              </w:rPr>
            </w:pPr>
            <w:r>
              <w:rPr>
                <w:rFonts w:hint="eastAsia" w:ascii="宋体" w:hAnsi="宋体" w:eastAsia="宋体"/>
                <w:b/>
                <w:bCs/>
                <w:sz w:val="24"/>
                <w:szCs w:val="18"/>
                <w:highlight w:val="none"/>
              </w:rPr>
              <w:t>行业</w:t>
            </w:r>
          </w:p>
        </w:tc>
        <w:tc>
          <w:tcPr>
            <w:tcW w:w="647" w:type="dxa"/>
            <w:vAlign w:val="center"/>
          </w:tcPr>
          <w:p w14:paraId="265AA2CD">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ascii="宋体" w:hAnsi="宋体" w:eastAsia="宋体"/>
                <w:b/>
                <w:bCs/>
                <w:sz w:val="24"/>
                <w:szCs w:val="18"/>
                <w:highlight w:val="none"/>
              </w:rPr>
            </w:pPr>
            <w:r>
              <w:rPr>
                <w:rFonts w:hint="eastAsia" w:ascii="宋体" w:hAnsi="宋体" w:eastAsia="宋体"/>
                <w:b/>
                <w:bCs/>
                <w:sz w:val="24"/>
                <w:szCs w:val="18"/>
                <w:highlight w:val="none"/>
              </w:rPr>
              <w:t>备注</w:t>
            </w:r>
          </w:p>
        </w:tc>
      </w:tr>
      <w:tr w14:paraId="56B6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20" w:type="dxa"/>
            <w:vAlign w:val="center"/>
          </w:tcPr>
          <w:p w14:paraId="00F3A0DD">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ascii="宋体" w:hAnsi="宋体" w:eastAsia="宋体"/>
                <w:sz w:val="24"/>
                <w:szCs w:val="18"/>
                <w:highlight w:val="none"/>
              </w:rPr>
            </w:pPr>
            <w:r>
              <w:rPr>
                <w:rFonts w:hint="eastAsia" w:ascii="宋体" w:hAnsi="宋体" w:eastAsia="宋体"/>
                <w:sz w:val="24"/>
                <w:szCs w:val="18"/>
                <w:highlight w:val="none"/>
              </w:rPr>
              <w:t>1</w:t>
            </w:r>
          </w:p>
        </w:tc>
        <w:tc>
          <w:tcPr>
            <w:tcW w:w="761" w:type="dxa"/>
            <w:vAlign w:val="center"/>
          </w:tcPr>
          <w:p w14:paraId="02E76168">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ascii="宋体" w:hAnsi="宋体" w:eastAsia="宋体"/>
                <w:bCs/>
                <w:sz w:val="24"/>
                <w:szCs w:val="18"/>
                <w:highlight w:val="none"/>
              </w:rPr>
            </w:pPr>
            <w:r>
              <w:rPr>
                <w:rFonts w:hint="eastAsia" w:ascii="宋体" w:hAnsi="宋体" w:eastAsia="宋体"/>
                <w:bCs/>
                <w:sz w:val="24"/>
                <w:szCs w:val="18"/>
                <w:highlight w:val="none"/>
                <w:lang w:val="en-US" w:eastAsia="zh-CN"/>
              </w:rPr>
              <w:t>便携式彩超</w:t>
            </w:r>
          </w:p>
        </w:tc>
        <w:tc>
          <w:tcPr>
            <w:tcW w:w="6754" w:type="dxa"/>
            <w:vAlign w:val="center"/>
          </w:tcPr>
          <w:p w14:paraId="6E42F4BD">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right="0" w:rightChars="0"/>
              <w:jc w:val="left"/>
              <w:textAlignment w:val="auto"/>
              <w:rPr>
                <w:rFonts w:hint="eastAsia" w:ascii="宋体" w:hAnsi="宋体" w:cs="宋体"/>
                <w:b/>
                <w:bCs/>
                <w:sz w:val="28"/>
                <w:szCs w:val="28"/>
                <w:highlight w:val="none"/>
              </w:rPr>
            </w:pPr>
            <w:r>
              <w:rPr>
                <w:rFonts w:hint="eastAsia" w:ascii="宋体" w:hAnsi="宋体" w:eastAsia="宋体" w:cs="宋体"/>
                <w:b/>
                <w:bCs/>
                <w:sz w:val="24"/>
                <w:szCs w:val="24"/>
                <w:highlight w:val="none"/>
                <w:lang w:eastAsia="zh-CN"/>
              </w:rPr>
              <w:t>性能</w:t>
            </w:r>
            <w:r>
              <w:rPr>
                <w:rFonts w:hint="eastAsia" w:ascii="宋体" w:hAnsi="宋体" w:eastAsia="宋体" w:cs="宋体"/>
                <w:b/>
                <w:bCs/>
                <w:sz w:val="24"/>
                <w:szCs w:val="24"/>
                <w:highlight w:val="none"/>
              </w:rPr>
              <w:t>参数</w:t>
            </w:r>
          </w:p>
          <w:p w14:paraId="3EE04BF4">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Theme="minorEastAsia" w:hAnsiTheme="minorEastAsia" w:eastAsiaTheme="minorEastAsia" w:cstheme="minorEastAsia"/>
                <w:color w:val="1D1B11"/>
                <w:sz w:val="24"/>
                <w:szCs w:val="24"/>
                <w:highlight w:val="none"/>
              </w:rPr>
            </w:pP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cstheme="minorEastAsia"/>
                <w:color w:val="1D1B11"/>
                <w:sz w:val="24"/>
                <w:szCs w:val="24"/>
                <w:highlight w:val="none"/>
              </w:rPr>
              <w:t>1、≥15.6英寸</w:t>
            </w:r>
            <w:r>
              <w:rPr>
                <w:rFonts w:hint="eastAsia" w:asciiTheme="minorEastAsia" w:hAnsiTheme="minorEastAsia" w:eastAsiaTheme="minorEastAsia" w:cstheme="minorEastAsia"/>
                <w:color w:val="000000"/>
                <w:sz w:val="24"/>
                <w:szCs w:val="24"/>
                <w:highlight w:val="none"/>
              </w:rPr>
              <w:t>彩色液晶显示屏</w:t>
            </w:r>
            <w:r>
              <w:rPr>
                <w:rFonts w:hint="eastAsia" w:asciiTheme="minorEastAsia" w:hAnsiTheme="minorEastAsia" w:eastAsiaTheme="minorEastAsia" w:cstheme="minorEastAsia"/>
                <w:color w:val="1D1B11"/>
                <w:sz w:val="24"/>
                <w:szCs w:val="24"/>
                <w:highlight w:val="none"/>
              </w:rPr>
              <w:t>，可独立主机调节，角度≥180°</w:t>
            </w:r>
          </w:p>
          <w:p w14:paraId="139C298D">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2、≥12英寸触摸操作屏，按键支持自定义设置</w:t>
            </w:r>
          </w:p>
          <w:p w14:paraId="0981EF61">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color w:val="1D1B11"/>
                <w:sz w:val="24"/>
                <w:szCs w:val="24"/>
                <w:highlight w:val="none"/>
              </w:rPr>
            </w:pPr>
            <w:r>
              <w:rPr>
                <w:rFonts w:hint="eastAsia" w:asciiTheme="minorEastAsia" w:hAnsiTheme="minorEastAsia" w:eastAsiaTheme="minorEastAsia" w:cstheme="minorEastAsia"/>
                <w:color w:val="1D1B11"/>
                <w:sz w:val="24"/>
                <w:szCs w:val="24"/>
                <w:highlight w:val="none"/>
              </w:rPr>
              <w:t>3、探头接口≥1个，可扩展到≥3个</w:t>
            </w:r>
          </w:p>
          <w:p w14:paraId="7FF08C91">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color w:val="1D1B11"/>
                <w:sz w:val="24"/>
                <w:szCs w:val="24"/>
                <w:highlight w:val="none"/>
              </w:rPr>
            </w:pP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cstheme="minorEastAsia"/>
                <w:color w:val="1D1B11"/>
                <w:sz w:val="24"/>
                <w:szCs w:val="24"/>
                <w:highlight w:val="none"/>
              </w:rPr>
              <w:t>4、整机重量（含电池）＜4.0kg</w:t>
            </w:r>
          </w:p>
          <w:p w14:paraId="2DCA81C5">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color w:val="1D1B11"/>
                <w:sz w:val="24"/>
                <w:szCs w:val="24"/>
                <w:highlight w:val="none"/>
              </w:rPr>
            </w:pP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cstheme="minorEastAsia"/>
                <w:color w:val="1D1B11"/>
                <w:sz w:val="24"/>
                <w:szCs w:val="24"/>
                <w:highlight w:val="none"/>
              </w:rPr>
              <w:t>5、具有全域动态聚焦技术，无需调节焦点</w:t>
            </w:r>
          </w:p>
          <w:p w14:paraId="181845C6">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color w:val="1D1B11"/>
                <w:sz w:val="24"/>
                <w:szCs w:val="24"/>
                <w:highlight w:val="none"/>
              </w:rPr>
            </w:pPr>
            <w:r>
              <w:rPr>
                <w:rFonts w:hint="eastAsia" w:asciiTheme="minorEastAsia" w:hAnsiTheme="minorEastAsia" w:eastAsiaTheme="minorEastAsia" w:cstheme="minorEastAsia"/>
                <w:color w:val="1D1B11"/>
                <w:sz w:val="24"/>
                <w:szCs w:val="24"/>
                <w:highlight w:val="none"/>
              </w:rPr>
              <w:t>6、二维灰阶模式</w:t>
            </w:r>
          </w:p>
          <w:p w14:paraId="2472431A">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sz w:val="24"/>
                <w:szCs w:val="24"/>
                <w:highlight w:val="none"/>
              </w:rPr>
            </w:pP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cstheme="minorEastAsia"/>
                <w:color w:val="1D1B11"/>
                <w:sz w:val="24"/>
                <w:szCs w:val="24"/>
                <w:highlight w:val="none"/>
              </w:rPr>
              <w:t>6.1、</w:t>
            </w:r>
            <w:r>
              <w:rPr>
                <w:rFonts w:hint="eastAsia" w:asciiTheme="minorEastAsia" w:hAnsiTheme="minorEastAsia" w:eastAsiaTheme="minorEastAsia" w:cstheme="minorEastAsia"/>
                <w:sz w:val="24"/>
                <w:szCs w:val="24"/>
                <w:highlight w:val="none"/>
              </w:rPr>
              <w:t>最大显示深度:≥39cm</w:t>
            </w:r>
          </w:p>
          <w:p w14:paraId="4F70FB3D">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color w:val="1D1B11"/>
                <w:sz w:val="24"/>
                <w:szCs w:val="24"/>
                <w:highlight w:val="none"/>
              </w:rPr>
            </w:pPr>
            <w:r>
              <w:rPr>
                <w:rFonts w:hint="eastAsia" w:asciiTheme="minorEastAsia" w:hAnsiTheme="minorEastAsia" w:eastAsiaTheme="minorEastAsia" w:cstheme="minorEastAsia"/>
                <w:sz w:val="24"/>
                <w:szCs w:val="24"/>
                <w:highlight w:val="none"/>
              </w:rPr>
              <w:t>6.2、TGC: ≥8段，非实体按键</w:t>
            </w:r>
          </w:p>
          <w:p w14:paraId="32B42D6B">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color w:val="1D1B11"/>
                <w:sz w:val="24"/>
                <w:szCs w:val="24"/>
                <w:highlight w:val="none"/>
              </w:rPr>
            </w:pPr>
            <w:r>
              <w:rPr>
                <w:rFonts w:hint="eastAsia" w:asciiTheme="minorEastAsia" w:hAnsiTheme="minorEastAsia" w:eastAsiaTheme="minorEastAsia" w:cstheme="minorEastAsia"/>
                <w:color w:val="1D1B11"/>
                <w:sz w:val="24"/>
                <w:szCs w:val="24"/>
                <w:highlight w:val="none"/>
              </w:rPr>
              <w:t>6.3、具备组织谐波成像</w:t>
            </w:r>
          </w:p>
          <w:p w14:paraId="542F620B">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color w:val="1D1B11"/>
                <w:sz w:val="24"/>
                <w:szCs w:val="24"/>
                <w:highlight w:val="none"/>
              </w:rPr>
            </w:pPr>
            <w:r>
              <w:rPr>
                <w:rFonts w:hint="eastAsia" w:asciiTheme="minorEastAsia" w:hAnsiTheme="minorEastAsia" w:eastAsiaTheme="minorEastAsia" w:cstheme="minorEastAsia"/>
                <w:color w:val="1D1B11"/>
                <w:sz w:val="24"/>
                <w:szCs w:val="24"/>
                <w:highlight w:val="none"/>
              </w:rPr>
              <w:t>6.4、具备组织特异性成像</w:t>
            </w:r>
          </w:p>
          <w:p w14:paraId="1FFE247D">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color w:val="1D1B11"/>
                <w:sz w:val="24"/>
                <w:szCs w:val="24"/>
                <w:highlight w:val="none"/>
              </w:rPr>
            </w:pPr>
            <w:r>
              <w:rPr>
                <w:rFonts w:hint="eastAsia" w:asciiTheme="minorEastAsia" w:hAnsiTheme="minorEastAsia" w:eastAsiaTheme="minorEastAsia" w:cstheme="minorEastAsia"/>
                <w:color w:val="1D1B11"/>
                <w:sz w:val="24"/>
                <w:szCs w:val="24"/>
                <w:highlight w:val="none"/>
              </w:rPr>
              <w:t>6.5、具备多角度空间复合成像技术，支持≥9条偏转线，多级可调，支持线阵和凸阵探头</w:t>
            </w:r>
          </w:p>
          <w:p w14:paraId="636223A4">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color w:val="1D1B11"/>
                <w:sz w:val="24"/>
                <w:szCs w:val="24"/>
                <w:highlight w:val="none"/>
              </w:rPr>
            </w:pPr>
            <w:r>
              <w:rPr>
                <w:rFonts w:hint="eastAsia" w:asciiTheme="minorEastAsia" w:hAnsiTheme="minorEastAsia" w:eastAsiaTheme="minorEastAsia" w:cstheme="minorEastAsia"/>
                <w:color w:val="1D1B11"/>
                <w:sz w:val="24"/>
                <w:szCs w:val="24"/>
                <w:highlight w:val="none"/>
              </w:rPr>
              <w:t>6.6、具备频率复合成像</w:t>
            </w:r>
          </w:p>
          <w:p w14:paraId="08286D97">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color w:val="1D1B11"/>
                <w:sz w:val="24"/>
                <w:szCs w:val="24"/>
                <w:highlight w:val="none"/>
              </w:rPr>
            </w:pPr>
            <w:r>
              <w:rPr>
                <w:rFonts w:hint="eastAsia" w:asciiTheme="minorEastAsia" w:hAnsiTheme="minorEastAsia" w:eastAsiaTheme="minorEastAsia" w:cstheme="minorEastAsia"/>
                <w:color w:val="1D1B11"/>
                <w:sz w:val="24"/>
                <w:szCs w:val="24"/>
                <w:highlight w:val="none"/>
              </w:rPr>
              <w:t>6.7、具备斑点噪声抑制成像</w:t>
            </w:r>
          </w:p>
          <w:p w14:paraId="79B925E4">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color w:val="1D1B11"/>
                <w:sz w:val="24"/>
                <w:szCs w:val="24"/>
                <w:highlight w:val="none"/>
              </w:rPr>
            </w:pPr>
            <w:r>
              <w:rPr>
                <w:rFonts w:hint="eastAsia" w:asciiTheme="minorEastAsia" w:hAnsiTheme="minorEastAsia" w:eastAsiaTheme="minorEastAsia" w:cstheme="minorEastAsia"/>
                <w:color w:val="1D1B11"/>
                <w:sz w:val="24"/>
                <w:szCs w:val="24"/>
                <w:highlight w:val="none"/>
              </w:rPr>
              <w:t>6.8、具备回波增强技术</w:t>
            </w:r>
          </w:p>
          <w:p w14:paraId="4A54DFA9">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color w:val="1D1B11"/>
                <w:sz w:val="24"/>
                <w:szCs w:val="24"/>
                <w:highlight w:val="none"/>
              </w:rPr>
            </w:pPr>
            <w:r>
              <w:rPr>
                <w:rFonts w:hint="eastAsia" w:asciiTheme="minorEastAsia" w:hAnsiTheme="minorEastAsia" w:eastAsiaTheme="minorEastAsia" w:cstheme="minorEastAsia"/>
                <w:color w:val="1D1B11"/>
                <w:sz w:val="24"/>
                <w:szCs w:val="24"/>
                <w:highlight w:val="none"/>
              </w:rPr>
              <w:t>6.9、具备局部图像增强技术</w:t>
            </w:r>
          </w:p>
          <w:p w14:paraId="3D65E053">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color w:val="1D1B11"/>
                <w:sz w:val="24"/>
                <w:szCs w:val="24"/>
                <w:highlight w:val="none"/>
              </w:rPr>
            </w:pPr>
            <w:r>
              <w:rPr>
                <w:rFonts w:hint="eastAsia" w:asciiTheme="minorEastAsia" w:hAnsiTheme="minorEastAsia" w:eastAsiaTheme="minorEastAsia" w:cstheme="minorEastAsia"/>
                <w:color w:val="1D1B11"/>
                <w:sz w:val="24"/>
                <w:szCs w:val="24"/>
                <w:highlight w:val="none"/>
              </w:rPr>
              <w:t>6.10、具备一键自动优化，包括应用于二维、彩色、频谱模式、TDI及造影</w:t>
            </w:r>
          </w:p>
          <w:p w14:paraId="6459B53D">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color w:val="1D1B11"/>
                <w:sz w:val="24"/>
                <w:szCs w:val="24"/>
                <w:highlight w:val="none"/>
              </w:rPr>
            </w:pPr>
            <w:r>
              <w:rPr>
                <w:rFonts w:hint="eastAsia" w:asciiTheme="minorEastAsia" w:hAnsiTheme="minorEastAsia" w:eastAsiaTheme="minorEastAsia" w:cstheme="minorEastAsia"/>
                <w:color w:val="1D1B11"/>
                <w:sz w:val="24"/>
                <w:szCs w:val="24"/>
                <w:highlight w:val="none"/>
              </w:rPr>
              <w:t>6.11、具备图像放大技术</w:t>
            </w:r>
          </w:p>
          <w:p w14:paraId="446F35CC">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color w:val="1D1B11"/>
                <w:sz w:val="24"/>
                <w:szCs w:val="24"/>
                <w:highlight w:val="none"/>
              </w:rPr>
            </w:pP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cstheme="minorEastAsia"/>
                <w:color w:val="1D1B11"/>
                <w:sz w:val="24"/>
                <w:szCs w:val="24"/>
                <w:highlight w:val="none"/>
              </w:rPr>
              <w:t>6.12、可支持组织多普勒成像，支持TVI、TVD、TVM、TEI四种模式（提供4种模式证明图片）</w:t>
            </w:r>
          </w:p>
          <w:p w14:paraId="58F6D64D">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color w:val="1D1B11"/>
                <w:sz w:val="24"/>
                <w:szCs w:val="24"/>
                <w:highlight w:val="none"/>
              </w:rPr>
            </w:pPr>
            <w:r>
              <w:rPr>
                <w:rFonts w:hint="eastAsia" w:asciiTheme="minorEastAsia" w:hAnsiTheme="minorEastAsia" w:eastAsiaTheme="minorEastAsia" w:cstheme="minorEastAsia"/>
                <w:color w:val="1D1B11"/>
                <w:sz w:val="24"/>
                <w:szCs w:val="24"/>
                <w:highlight w:val="none"/>
              </w:rPr>
              <w:t>7、M型成像模式</w:t>
            </w:r>
          </w:p>
          <w:p w14:paraId="6D66A04B">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color w:val="1D1B11"/>
                <w:sz w:val="24"/>
                <w:szCs w:val="24"/>
                <w:highlight w:val="none"/>
              </w:rPr>
            </w:pPr>
            <w:r>
              <w:rPr>
                <w:rFonts w:hint="eastAsia" w:asciiTheme="minorEastAsia" w:hAnsiTheme="minorEastAsia" w:eastAsiaTheme="minorEastAsia" w:cstheme="minorEastAsia"/>
                <w:color w:val="1D1B11"/>
                <w:sz w:val="24"/>
                <w:szCs w:val="24"/>
                <w:highlight w:val="none"/>
              </w:rPr>
              <w:t>7.1、彩色M型</w:t>
            </w:r>
          </w:p>
          <w:p w14:paraId="194A26BD">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color w:val="1D1B11"/>
                <w:sz w:val="24"/>
                <w:szCs w:val="24"/>
                <w:highlight w:val="none"/>
              </w:rPr>
            </w:pPr>
            <w:r>
              <w:rPr>
                <w:rFonts w:hint="eastAsia" w:asciiTheme="minorEastAsia" w:hAnsiTheme="minorEastAsia" w:eastAsiaTheme="minorEastAsia" w:cstheme="minorEastAsia"/>
                <w:color w:val="1D1B11"/>
                <w:sz w:val="24"/>
                <w:szCs w:val="24"/>
                <w:highlight w:val="none"/>
              </w:rPr>
              <w:t>7.2、解剖M型，取样线≥3条，可360°任意旋转</w:t>
            </w:r>
          </w:p>
          <w:p w14:paraId="32E14100">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color w:val="1D1B11"/>
                <w:sz w:val="24"/>
                <w:szCs w:val="24"/>
                <w:highlight w:val="none"/>
              </w:rPr>
            </w:pPr>
            <w:r>
              <w:rPr>
                <w:rFonts w:hint="eastAsia" w:asciiTheme="minorEastAsia" w:hAnsiTheme="minorEastAsia" w:eastAsiaTheme="minorEastAsia" w:cstheme="minorEastAsia"/>
                <w:color w:val="1D1B11"/>
                <w:sz w:val="24"/>
                <w:szCs w:val="24"/>
                <w:highlight w:val="none"/>
              </w:rPr>
              <w:t>8、彩色多普勒成像（包括彩色、能量、方向能量多普勒模式）</w:t>
            </w:r>
          </w:p>
          <w:p w14:paraId="345244C0">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color w:val="1D1B11"/>
                <w:sz w:val="24"/>
                <w:szCs w:val="24"/>
                <w:highlight w:val="none"/>
              </w:rPr>
            </w:pPr>
            <w:r>
              <w:rPr>
                <w:rFonts w:hint="eastAsia" w:asciiTheme="minorEastAsia" w:hAnsiTheme="minorEastAsia" w:eastAsiaTheme="minorEastAsia" w:cstheme="minorEastAsia"/>
                <w:color w:val="1D1B11"/>
                <w:sz w:val="24"/>
                <w:szCs w:val="24"/>
                <w:highlight w:val="none"/>
              </w:rPr>
              <w:t>8.1、高分辨率血流成像</w:t>
            </w:r>
          </w:p>
          <w:p w14:paraId="5942FEF3">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color w:val="1D1B11"/>
                <w:sz w:val="24"/>
                <w:szCs w:val="24"/>
                <w:highlight w:val="none"/>
              </w:rPr>
            </w:pPr>
            <w:r>
              <w:rPr>
                <w:rFonts w:hint="eastAsia" w:asciiTheme="minorEastAsia" w:hAnsiTheme="minorEastAsia" w:eastAsiaTheme="minorEastAsia" w:cstheme="minorEastAsia"/>
                <w:color w:val="1D1B11"/>
                <w:sz w:val="24"/>
                <w:szCs w:val="24"/>
                <w:highlight w:val="none"/>
              </w:rPr>
              <w:t>8.2、双实时同屏对比显示</w:t>
            </w:r>
          </w:p>
          <w:p w14:paraId="46A6BFFC">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color w:val="1D1B11"/>
                <w:sz w:val="24"/>
                <w:szCs w:val="24"/>
                <w:highlight w:val="none"/>
              </w:rPr>
            </w:pPr>
            <w:r>
              <w:rPr>
                <w:rFonts w:hint="eastAsia" w:asciiTheme="minorEastAsia" w:hAnsiTheme="minorEastAsia" w:eastAsiaTheme="minorEastAsia" w:cstheme="minorEastAsia"/>
                <w:color w:val="1D1B11"/>
                <w:sz w:val="24"/>
                <w:szCs w:val="24"/>
                <w:highlight w:val="none"/>
              </w:rPr>
              <w:t>8.3、自动调节取样框的角度及位置</w:t>
            </w:r>
          </w:p>
          <w:p w14:paraId="25A12B08">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color w:val="1E1C11"/>
                <w:sz w:val="24"/>
                <w:szCs w:val="24"/>
                <w:highlight w:val="none"/>
              </w:rPr>
            </w:pPr>
            <w:r>
              <w:rPr>
                <w:rFonts w:hint="eastAsia" w:asciiTheme="minorEastAsia" w:hAnsiTheme="minorEastAsia" w:eastAsiaTheme="minorEastAsia" w:cstheme="minorEastAsia"/>
                <w:color w:val="1E1C11"/>
                <w:sz w:val="24"/>
                <w:szCs w:val="24"/>
                <w:highlight w:val="none"/>
              </w:rPr>
              <w:t>8.4、包括速度、速度方差、能量、方向能量显示等</w:t>
            </w:r>
          </w:p>
          <w:p w14:paraId="35180A5B">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color w:val="1E1C11"/>
                <w:sz w:val="24"/>
                <w:szCs w:val="24"/>
                <w:highlight w:val="none"/>
              </w:rPr>
            </w:pPr>
            <w:r>
              <w:rPr>
                <w:rFonts w:hint="eastAsia" w:asciiTheme="minorEastAsia" w:hAnsiTheme="minorEastAsia" w:eastAsiaTheme="minorEastAsia" w:cstheme="minorEastAsia"/>
                <w:color w:val="1E1C11"/>
                <w:sz w:val="24"/>
                <w:szCs w:val="24"/>
                <w:highlight w:val="none"/>
              </w:rPr>
              <w:t>8.5、显示方式：B/C、B/C/M、B/POWER、B/C/PW</w:t>
            </w:r>
          </w:p>
          <w:p w14:paraId="7AA9C9B7">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color w:val="1E1C11"/>
                <w:sz w:val="24"/>
                <w:szCs w:val="24"/>
                <w:highlight w:val="none"/>
              </w:rPr>
            </w:pPr>
            <w:r>
              <w:rPr>
                <w:rFonts w:hint="eastAsia" w:asciiTheme="minorEastAsia" w:hAnsiTheme="minorEastAsia" w:eastAsiaTheme="minorEastAsia" w:cstheme="minorEastAsia"/>
                <w:color w:val="1E1C11"/>
                <w:sz w:val="24"/>
                <w:szCs w:val="24"/>
                <w:highlight w:val="none"/>
              </w:rPr>
              <w:t>8.6、取样框偏转: ≥±30° (线阵探头)</w:t>
            </w:r>
          </w:p>
          <w:p w14:paraId="19D0F4E6">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color w:val="1D1B11"/>
                <w:sz w:val="24"/>
                <w:szCs w:val="24"/>
                <w:highlight w:val="none"/>
              </w:rPr>
            </w:pPr>
            <w:r>
              <w:rPr>
                <w:rFonts w:hint="eastAsia" w:asciiTheme="minorEastAsia" w:hAnsiTheme="minorEastAsia" w:eastAsiaTheme="minorEastAsia" w:cstheme="minorEastAsia"/>
                <w:color w:val="1D1B11"/>
                <w:sz w:val="24"/>
                <w:szCs w:val="24"/>
                <w:highlight w:val="none"/>
              </w:rPr>
              <w:t>9、频谱多普勒成像</w:t>
            </w:r>
          </w:p>
          <w:p w14:paraId="7AAE8977">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color w:val="1E1C11"/>
                <w:sz w:val="24"/>
                <w:szCs w:val="24"/>
                <w:highlight w:val="none"/>
              </w:rPr>
            </w:pPr>
            <w:r>
              <w:rPr>
                <w:rFonts w:hint="eastAsia" w:asciiTheme="minorEastAsia" w:hAnsiTheme="minorEastAsia" w:eastAsiaTheme="minorEastAsia" w:cstheme="minorEastAsia"/>
                <w:color w:val="1E1C11"/>
                <w:sz w:val="24"/>
                <w:szCs w:val="24"/>
                <w:highlight w:val="none"/>
              </w:rPr>
              <w:t>9.1、PW最大速度: ≥9 m/s</w:t>
            </w:r>
          </w:p>
          <w:p w14:paraId="1EFDF0C0">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color w:val="1E1C11"/>
                <w:sz w:val="24"/>
                <w:szCs w:val="24"/>
                <w:highlight w:val="none"/>
              </w:rPr>
            </w:pPr>
            <w:r>
              <w:rPr>
                <w:rFonts w:hint="eastAsia" w:asciiTheme="minorEastAsia" w:hAnsiTheme="minorEastAsia" w:eastAsiaTheme="minorEastAsia" w:cstheme="minorEastAsia"/>
                <w:color w:val="1E1C11"/>
                <w:sz w:val="24"/>
                <w:szCs w:val="24"/>
                <w:highlight w:val="none"/>
              </w:rPr>
              <w:t>9.2、最小速度: ≤1mm/s</w:t>
            </w:r>
          </w:p>
          <w:p w14:paraId="4912791C">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color w:val="1E1C11"/>
                <w:sz w:val="24"/>
                <w:szCs w:val="24"/>
                <w:highlight w:val="none"/>
              </w:rPr>
            </w:pPr>
            <w:r>
              <w:rPr>
                <w:rFonts w:hint="eastAsia" w:asciiTheme="minorEastAsia" w:hAnsiTheme="minorEastAsia" w:eastAsiaTheme="minorEastAsia" w:cstheme="minorEastAsia"/>
                <w:color w:val="1E1C11"/>
                <w:sz w:val="24"/>
                <w:szCs w:val="24"/>
                <w:highlight w:val="none"/>
              </w:rPr>
              <w:t xml:space="preserve">9.3、取样容积: 0.5～20mm </w:t>
            </w:r>
          </w:p>
          <w:p w14:paraId="09422B9F">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vanish/>
                <w:color w:val="1D1B11"/>
                <w:sz w:val="24"/>
                <w:szCs w:val="24"/>
                <w:highlight w:val="none"/>
              </w:rPr>
            </w:pP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cstheme="minorEastAsia"/>
                <w:color w:val="1E1C11"/>
                <w:sz w:val="24"/>
                <w:szCs w:val="24"/>
                <w:highlight w:val="none"/>
              </w:rPr>
              <w:t>9.4、偏转角度: ≥±30° (线阵探头)</w:t>
            </w:r>
          </w:p>
          <w:p w14:paraId="6DD18B40">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color w:val="1D1B11"/>
                <w:sz w:val="24"/>
                <w:szCs w:val="24"/>
                <w:highlight w:val="none"/>
              </w:rPr>
            </w:pPr>
            <w:r>
              <w:rPr>
                <w:rFonts w:hint="eastAsia" w:asciiTheme="minorEastAsia" w:hAnsiTheme="minorEastAsia" w:eastAsiaTheme="minorEastAsia" w:cstheme="minorEastAsia"/>
                <w:color w:val="1D1B11"/>
                <w:sz w:val="24"/>
                <w:szCs w:val="24"/>
                <w:highlight w:val="none"/>
              </w:rPr>
              <w:t>10、具备超声教学助手</w:t>
            </w:r>
          </w:p>
          <w:p w14:paraId="1CA74369">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11、具有手机移动终端APP（要求支持苹果系统和安卓系统），通过APP从超声机器传输图像至智能终端（需提供两种系统手机APP截图）</w:t>
            </w:r>
          </w:p>
          <w:p w14:paraId="6C89A918">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Theme="minorEastAsia" w:hAnsiTheme="minorEastAsia" w:eastAsiaTheme="minorEastAsia" w:cstheme="minorEastAsia"/>
                <w:color w:val="000000"/>
                <w:sz w:val="24"/>
                <w:szCs w:val="24"/>
                <w:highlight w:val="none"/>
              </w:rPr>
            </w:pP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cstheme="minorEastAsia"/>
                <w:color w:val="1D1B11"/>
                <w:sz w:val="24"/>
                <w:szCs w:val="24"/>
                <w:highlight w:val="none"/>
              </w:rPr>
              <w:t>12、可支持曲线解剖M型，非解剖M型模式下的多条线连接的曲线</w:t>
            </w:r>
          </w:p>
          <w:p w14:paraId="487419B6">
            <w:pPr>
              <w:pStyle w:val="86"/>
              <w:keepNext w:val="0"/>
              <w:keepLines w:val="0"/>
              <w:pageBreakBefore w:val="0"/>
              <w:widowControl w:val="0"/>
              <w:tabs>
                <w:tab w:val="left" w:pos="426"/>
              </w:tabs>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vanish/>
                <w:sz w:val="24"/>
                <w:szCs w:val="24"/>
                <w:highlight w:val="none"/>
              </w:rPr>
            </w:pPr>
            <w:r>
              <w:rPr>
                <w:rFonts w:hint="eastAsia" w:asciiTheme="minorEastAsia" w:hAnsiTheme="minorEastAsia" w:eastAsiaTheme="minorEastAsia" w:cstheme="minorEastAsia"/>
                <w:sz w:val="24"/>
                <w:szCs w:val="24"/>
                <w:highlight w:val="none"/>
              </w:rPr>
              <w:t>13、测量分析和报告</w:t>
            </w:r>
          </w:p>
          <w:p w14:paraId="403619E0">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color w:val="1E1C11"/>
                <w:sz w:val="24"/>
                <w:szCs w:val="24"/>
                <w:highlight w:val="none"/>
              </w:rPr>
            </w:pPr>
            <w:r>
              <w:rPr>
                <w:rFonts w:hint="eastAsia" w:asciiTheme="minorEastAsia" w:hAnsiTheme="minorEastAsia" w:eastAsiaTheme="minorEastAsia" w:cstheme="minorEastAsia"/>
                <w:color w:val="1E1C11"/>
                <w:sz w:val="24"/>
                <w:szCs w:val="24"/>
                <w:highlight w:val="none"/>
              </w:rPr>
              <w:t>13.1、常规测量软件包</w:t>
            </w:r>
          </w:p>
          <w:p w14:paraId="4E2C5226">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color w:val="1E1C11"/>
                <w:sz w:val="24"/>
                <w:szCs w:val="24"/>
                <w:highlight w:val="none"/>
              </w:rPr>
            </w:pPr>
            <w:r>
              <w:rPr>
                <w:rFonts w:hint="eastAsia" w:asciiTheme="minorEastAsia" w:hAnsiTheme="minorEastAsia" w:eastAsiaTheme="minorEastAsia" w:cstheme="minorEastAsia"/>
                <w:color w:val="1E1C11"/>
                <w:sz w:val="24"/>
                <w:szCs w:val="24"/>
                <w:highlight w:val="none"/>
              </w:rPr>
              <w:t>13.2、多普勒测量（自动或手动包络测量，自动计算测量参数）</w:t>
            </w:r>
          </w:p>
          <w:p w14:paraId="571E3AA1">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vanish/>
                <w:color w:val="1D1B11"/>
                <w:sz w:val="24"/>
                <w:szCs w:val="24"/>
                <w:highlight w:val="none"/>
              </w:rPr>
            </w:pPr>
            <w:r>
              <w:rPr>
                <w:rFonts w:hint="eastAsia" w:asciiTheme="minorEastAsia" w:hAnsiTheme="minorEastAsia" w:eastAsiaTheme="minorEastAsia" w:cstheme="minorEastAsia"/>
                <w:color w:val="1E1C11"/>
                <w:sz w:val="24"/>
                <w:szCs w:val="24"/>
                <w:highlight w:val="none"/>
              </w:rPr>
              <w:t>13.3、妇科/产科专用测量软件包</w:t>
            </w:r>
          </w:p>
          <w:p w14:paraId="02EC029E">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color w:val="1E1C11"/>
                <w:sz w:val="24"/>
                <w:szCs w:val="24"/>
                <w:highlight w:val="none"/>
              </w:rPr>
            </w:pPr>
            <w:r>
              <w:rPr>
                <w:rFonts w:hint="eastAsia" w:asciiTheme="minorEastAsia" w:hAnsiTheme="minorEastAsia" w:eastAsiaTheme="minorEastAsia" w:cstheme="minorEastAsia"/>
                <w:color w:val="1E1C11"/>
                <w:sz w:val="24"/>
                <w:szCs w:val="24"/>
                <w:highlight w:val="none"/>
              </w:rPr>
              <w:t>13.4、心脏功能专用测量软件包</w:t>
            </w:r>
          </w:p>
          <w:p w14:paraId="28961AB7">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kern w:val="0"/>
                <w:sz w:val="24"/>
                <w:szCs w:val="24"/>
                <w:highlight w:val="none"/>
              </w:rPr>
            </w:pP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cstheme="minorEastAsia"/>
                <w:kern w:val="0"/>
                <w:sz w:val="24"/>
                <w:szCs w:val="24"/>
                <w:highlight w:val="none"/>
              </w:rPr>
              <w:t>13.5、可支持血管内中膜自动测量技术，测量数据包括最大值、最小值、平均值、标准差、ROI长度、测量长度及质量指标，具有IMT分析评估曲线（提供测量数值及分析评估曲线证明图片）</w:t>
            </w:r>
          </w:p>
          <w:p w14:paraId="5C2956A4">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13.6、Auto EF射血分数自动测量</w:t>
            </w:r>
          </w:p>
          <w:p w14:paraId="35B2B47B">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13.7、可支持造影成像，要求支持腹部探头、浅表探头，</w:t>
            </w:r>
            <w:r>
              <w:rPr>
                <w:rFonts w:hint="eastAsia" w:asciiTheme="minorEastAsia" w:hAnsiTheme="minorEastAsia" w:eastAsiaTheme="minorEastAsia" w:cstheme="minorEastAsia"/>
                <w:color w:val="1D1B11"/>
                <w:sz w:val="24"/>
                <w:szCs w:val="24"/>
                <w:highlight w:val="none"/>
              </w:rPr>
              <w:t>支持微血管造影增强，向后存储可存储高达≥480秒的电影，向前存储电影时间高达≥120秒，支持造影击碎功能，支持互换造影图像</w:t>
            </w:r>
            <w:r>
              <w:rPr>
                <w:rFonts w:hint="eastAsia" w:asciiTheme="minorEastAsia" w:hAnsiTheme="minorEastAsia" w:eastAsiaTheme="minorEastAsia" w:cstheme="minorEastAsia"/>
                <w:sz w:val="24"/>
                <w:szCs w:val="24"/>
                <w:highlight w:val="none"/>
              </w:rPr>
              <w:t>和组织图像在屏幕上显示的位置</w:t>
            </w:r>
          </w:p>
          <w:p w14:paraId="63C1B16D">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kern w:val="0"/>
                <w:sz w:val="24"/>
                <w:szCs w:val="24"/>
                <w:highlight w:val="none"/>
              </w:rPr>
            </w:pP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cstheme="minorEastAsia"/>
                <w:kern w:val="0"/>
                <w:sz w:val="24"/>
                <w:szCs w:val="24"/>
                <w:highlight w:val="none"/>
              </w:rPr>
              <w:t>13.8、可支持弹性成像，具有组织硬度定量分析软件和压力曲线提示图标，支持应变率测量和肿块、肿块周边组织以及肿块和周边组织弹性定量分析（提供证明图片）</w:t>
            </w:r>
          </w:p>
          <w:p w14:paraId="4556FE2E">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vanish/>
                <w:sz w:val="24"/>
                <w:szCs w:val="24"/>
                <w:highlight w:val="none"/>
              </w:rPr>
            </w:pP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cstheme="minorEastAsia"/>
                <w:kern w:val="0"/>
                <w:sz w:val="24"/>
                <w:szCs w:val="24"/>
                <w:highlight w:val="none"/>
              </w:rPr>
              <w:t>13.9、</w:t>
            </w:r>
            <w:r>
              <w:rPr>
                <w:rFonts w:hint="eastAsia" w:asciiTheme="minorEastAsia" w:hAnsiTheme="minorEastAsia" w:eastAsiaTheme="minorEastAsia" w:cstheme="minorEastAsia"/>
                <w:color w:val="000000"/>
                <w:sz w:val="24"/>
                <w:szCs w:val="24"/>
                <w:highlight w:val="none"/>
              </w:rPr>
              <w:t>穿刺针显影增强技术，</w:t>
            </w:r>
            <w:r>
              <w:rPr>
                <w:rFonts w:hint="eastAsia" w:asciiTheme="minorEastAsia" w:hAnsiTheme="minorEastAsia" w:eastAsiaTheme="minorEastAsia" w:cstheme="minorEastAsia"/>
                <w:color w:val="1D1B11"/>
                <w:sz w:val="24"/>
                <w:szCs w:val="24"/>
                <w:highlight w:val="none"/>
              </w:rPr>
              <w:t>具有双屏实时对比显示，增强前后效果，</w:t>
            </w:r>
            <w:r>
              <w:rPr>
                <w:rFonts w:hint="eastAsia" w:asciiTheme="minorEastAsia" w:hAnsiTheme="minorEastAsia" w:eastAsiaTheme="minorEastAsia" w:cstheme="minorEastAsia"/>
                <w:sz w:val="24"/>
                <w:szCs w:val="24"/>
                <w:highlight w:val="none"/>
              </w:rPr>
              <w:t>并同时支持增强平面多角度可调，支持凸阵、线阵探头应用。（提供双屏实时对比显示证明图片）</w:t>
            </w:r>
          </w:p>
          <w:p w14:paraId="0906FF8C">
            <w:pPr>
              <w:pStyle w:val="86"/>
              <w:keepNext w:val="0"/>
              <w:keepLines w:val="0"/>
              <w:pageBreakBefore w:val="0"/>
              <w:widowControl w:val="0"/>
              <w:tabs>
                <w:tab w:val="left" w:pos="426"/>
              </w:tabs>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vanish/>
                <w:sz w:val="24"/>
                <w:szCs w:val="24"/>
                <w:highlight w:val="none"/>
              </w:rPr>
            </w:pPr>
            <w:r>
              <w:rPr>
                <w:rFonts w:hint="eastAsia" w:asciiTheme="minorEastAsia" w:hAnsiTheme="minorEastAsia" w:eastAsiaTheme="minorEastAsia" w:cstheme="minorEastAsia"/>
                <w:sz w:val="24"/>
                <w:szCs w:val="24"/>
                <w:highlight w:val="none"/>
              </w:rPr>
              <w:t>14、电影回放及原始数据处理</w:t>
            </w:r>
          </w:p>
          <w:p w14:paraId="1780AF01">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color w:val="1E1C11"/>
                <w:sz w:val="24"/>
                <w:szCs w:val="24"/>
                <w:highlight w:val="none"/>
              </w:rPr>
            </w:pPr>
            <w:r>
              <w:rPr>
                <w:rFonts w:hint="eastAsia" w:asciiTheme="minorEastAsia" w:hAnsiTheme="minorEastAsia" w:eastAsiaTheme="minorEastAsia" w:cstheme="minorEastAsia"/>
                <w:color w:val="1E1C11"/>
                <w:sz w:val="24"/>
                <w:szCs w:val="24"/>
                <w:highlight w:val="none"/>
              </w:rPr>
              <w:t>14.1、电影回放</w:t>
            </w:r>
          </w:p>
          <w:p w14:paraId="05CB1FBF">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color w:val="1E1C11"/>
                <w:sz w:val="24"/>
                <w:szCs w:val="24"/>
                <w:highlight w:val="none"/>
              </w:rPr>
            </w:pPr>
            <w:r>
              <w:rPr>
                <w:rFonts w:hint="eastAsia" w:asciiTheme="minorEastAsia" w:hAnsiTheme="minorEastAsia" w:eastAsiaTheme="minorEastAsia" w:cstheme="minorEastAsia"/>
                <w:color w:val="1E1C11"/>
                <w:sz w:val="24"/>
                <w:szCs w:val="24"/>
                <w:highlight w:val="none"/>
              </w:rPr>
              <w:t>14.1.1、所有模式下支持手动、自动回放</w:t>
            </w:r>
          </w:p>
          <w:p w14:paraId="2EFCDD02">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color w:val="1E1C11"/>
                <w:sz w:val="24"/>
                <w:szCs w:val="24"/>
                <w:highlight w:val="none"/>
              </w:rPr>
            </w:pPr>
            <w:r>
              <w:rPr>
                <w:rFonts w:hint="eastAsia" w:asciiTheme="minorEastAsia" w:hAnsiTheme="minorEastAsia" w:eastAsiaTheme="minorEastAsia" w:cstheme="minorEastAsia"/>
                <w:color w:val="1E1C11"/>
                <w:sz w:val="24"/>
                <w:szCs w:val="24"/>
                <w:highlight w:val="none"/>
              </w:rPr>
              <w:t>14.1.2、支持向后存储和向前存储，时间长度可预置，向后存储≥5分钟的电影</w:t>
            </w:r>
          </w:p>
          <w:p w14:paraId="77BE5C00">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color w:val="1E1C11"/>
                <w:sz w:val="24"/>
                <w:szCs w:val="24"/>
                <w:highlight w:val="none"/>
              </w:rPr>
            </w:pPr>
            <w:r>
              <w:rPr>
                <w:rFonts w:hint="eastAsia" w:asciiTheme="minorEastAsia" w:hAnsiTheme="minorEastAsia" w:eastAsiaTheme="minorEastAsia" w:cstheme="minorEastAsia"/>
                <w:color w:val="1E1C11"/>
                <w:sz w:val="24"/>
                <w:szCs w:val="24"/>
                <w:highlight w:val="none"/>
              </w:rPr>
              <w:t>14.1.3、支持保存后的图像同屏对比分析（动态、静态）</w:t>
            </w:r>
          </w:p>
          <w:p w14:paraId="26C7FFDD">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1E1C11"/>
                <w:sz w:val="24"/>
                <w:szCs w:val="24"/>
                <w:highlight w:val="none"/>
              </w:rPr>
              <w:t>14.2、原始数据处理，可对回放图像进行≥20个参数调节</w:t>
            </w:r>
          </w:p>
          <w:p w14:paraId="729C1482">
            <w:pPr>
              <w:pStyle w:val="86"/>
              <w:keepNext w:val="0"/>
              <w:keepLines w:val="0"/>
              <w:pageBreakBefore w:val="0"/>
              <w:widowControl w:val="0"/>
              <w:tabs>
                <w:tab w:val="left" w:pos="426"/>
              </w:tabs>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15、信息管理与存储</w:t>
            </w:r>
          </w:p>
          <w:p w14:paraId="330F5B43">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color w:val="1E1C11"/>
                <w:sz w:val="24"/>
                <w:szCs w:val="24"/>
                <w:highlight w:val="none"/>
              </w:rPr>
            </w:pPr>
            <w:r>
              <w:rPr>
                <w:rFonts w:hint="eastAsia" w:asciiTheme="minorEastAsia" w:hAnsiTheme="minorEastAsia" w:eastAsiaTheme="minorEastAsia" w:cstheme="minorEastAsia"/>
                <w:color w:val="1E1C11"/>
                <w:sz w:val="24"/>
                <w:szCs w:val="24"/>
                <w:highlight w:val="none"/>
              </w:rPr>
              <w:t>15.1、</w:t>
            </w:r>
            <w:r>
              <w:rPr>
                <w:rFonts w:hint="eastAsia" w:asciiTheme="minorEastAsia" w:hAnsiTheme="minorEastAsia" w:eastAsiaTheme="minorEastAsia" w:cstheme="minorEastAsia"/>
                <w:color w:val="1D1B11"/>
                <w:sz w:val="24"/>
                <w:szCs w:val="24"/>
                <w:highlight w:val="none"/>
              </w:rPr>
              <w:t>≥</w:t>
            </w:r>
            <w:r>
              <w:rPr>
                <w:rFonts w:hint="eastAsia" w:asciiTheme="minorEastAsia" w:hAnsiTheme="minorEastAsia" w:eastAsiaTheme="minorEastAsia" w:cstheme="minorEastAsia"/>
                <w:color w:val="1E1C11"/>
                <w:sz w:val="24"/>
                <w:szCs w:val="24"/>
                <w:highlight w:val="none"/>
              </w:rPr>
              <w:t>128G固态硬盘</w:t>
            </w:r>
          </w:p>
          <w:p w14:paraId="3A4B0CBB">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color w:val="1E1C11"/>
                <w:sz w:val="24"/>
                <w:szCs w:val="24"/>
                <w:highlight w:val="none"/>
              </w:rPr>
            </w:pPr>
            <w:r>
              <w:rPr>
                <w:rFonts w:hint="eastAsia" w:asciiTheme="minorEastAsia" w:hAnsiTheme="minorEastAsia" w:eastAsiaTheme="minorEastAsia" w:cstheme="minorEastAsia"/>
                <w:color w:val="1E1C11"/>
                <w:sz w:val="24"/>
                <w:szCs w:val="24"/>
                <w:highlight w:val="none"/>
              </w:rPr>
              <w:t>15.1.1、内置超声工作站，支持同步存储，即后台存储或导出图像数据的同时前台可以完成实时扫描，不影响检查操作</w:t>
            </w:r>
          </w:p>
          <w:p w14:paraId="49AFFDEB">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color w:val="1E1C11"/>
                <w:sz w:val="24"/>
                <w:szCs w:val="24"/>
                <w:highlight w:val="none"/>
              </w:rPr>
            </w:pPr>
            <w:r>
              <w:rPr>
                <w:rFonts w:hint="eastAsia" w:asciiTheme="minorEastAsia" w:hAnsiTheme="minorEastAsia" w:eastAsiaTheme="minorEastAsia" w:cstheme="minorEastAsia"/>
                <w:color w:val="1E1C11"/>
                <w:sz w:val="24"/>
                <w:szCs w:val="24"/>
                <w:highlight w:val="none"/>
              </w:rPr>
              <w:t>15.1.2、支持直接一键存储至硬盘或U盘</w:t>
            </w:r>
          </w:p>
          <w:p w14:paraId="324137EF">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color w:val="1E1C11"/>
                <w:sz w:val="24"/>
                <w:szCs w:val="24"/>
                <w:highlight w:val="none"/>
              </w:rPr>
            </w:pPr>
            <w:r>
              <w:rPr>
                <w:rFonts w:hint="eastAsia" w:asciiTheme="minorEastAsia" w:hAnsiTheme="minorEastAsia" w:eastAsiaTheme="minorEastAsia" w:cstheme="minorEastAsia"/>
                <w:color w:val="1E1C11"/>
                <w:sz w:val="24"/>
                <w:szCs w:val="24"/>
                <w:highlight w:val="none"/>
              </w:rPr>
              <w:t>15.1.3、动态图像、静态图像以PC格式直接导出（支持单帧图像文件包含： DCM、TIFF、BMP、JPG单帧，电影文件包括：CIN、AVI、DCM、MP4）。</w:t>
            </w:r>
          </w:p>
          <w:p w14:paraId="17474110">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1D1B11"/>
                <w:sz w:val="24"/>
                <w:szCs w:val="24"/>
                <w:highlight w:val="none"/>
              </w:rPr>
              <w:t>15.1.4、</w:t>
            </w:r>
            <w:r>
              <w:rPr>
                <w:rFonts w:hint="eastAsia" w:asciiTheme="minorEastAsia" w:hAnsiTheme="minorEastAsia" w:eastAsiaTheme="minorEastAsia" w:cstheme="minorEastAsia"/>
                <w:color w:val="1E1C11"/>
                <w:sz w:val="24"/>
                <w:szCs w:val="24"/>
                <w:highlight w:val="none"/>
              </w:rPr>
              <w:t>支持主机一键将动态和静态图像快速传输至手机和电脑，并可对接收到的图像能够通过微信分享，添加标签、评论，便于会诊、交流。</w:t>
            </w:r>
          </w:p>
          <w:p w14:paraId="0C660BA8">
            <w:pPr>
              <w:pStyle w:val="86"/>
              <w:keepNext w:val="0"/>
              <w:keepLines w:val="0"/>
              <w:pageBreakBefore w:val="0"/>
              <w:widowControl w:val="0"/>
              <w:tabs>
                <w:tab w:val="left" w:pos="426"/>
              </w:tabs>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vanish/>
                <w:sz w:val="24"/>
                <w:szCs w:val="24"/>
                <w:highlight w:val="none"/>
              </w:rPr>
            </w:pPr>
            <w:r>
              <w:rPr>
                <w:rFonts w:hint="eastAsia" w:asciiTheme="minorEastAsia" w:hAnsiTheme="minorEastAsia" w:eastAsiaTheme="minorEastAsia" w:cstheme="minorEastAsia"/>
                <w:sz w:val="24"/>
                <w:szCs w:val="24"/>
                <w:highlight w:val="none"/>
              </w:rPr>
              <w:t>16、连通性</w:t>
            </w:r>
          </w:p>
          <w:p w14:paraId="06679455">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color w:val="1E1C11"/>
                <w:sz w:val="24"/>
                <w:szCs w:val="24"/>
                <w:highlight w:val="none"/>
              </w:rPr>
            </w:pPr>
            <w:r>
              <w:rPr>
                <w:rFonts w:hint="eastAsia" w:asciiTheme="minorEastAsia" w:hAnsiTheme="minorEastAsia" w:eastAsiaTheme="minorEastAsia" w:cstheme="minorEastAsia"/>
                <w:color w:val="1E1C11"/>
                <w:sz w:val="24"/>
                <w:szCs w:val="24"/>
                <w:highlight w:val="none"/>
              </w:rPr>
              <w:t>16.1、多功能台车：可拆卸的储物篮，电源缆线专用放置架，防撞支架。</w:t>
            </w:r>
          </w:p>
          <w:p w14:paraId="349F4E94">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color w:val="1E1C11"/>
                <w:sz w:val="24"/>
                <w:szCs w:val="24"/>
                <w:highlight w:val="none"/>
              </w:rPr>
            </w:pPr>
            <w:r>
              <w:rPr>
                <w:rFonts w:hint="eastAsia" w:asciiTheme="minorEastAsia" w:hAnsiTheme="minorEastAsia" w:eastAsiaTheme="minorEastAsia" w:cstheme="minorEastAsia"/>
                <w:color w:val="1E1C11"/>
                <w:sz w:val="24"/>
                <w:szCs w:val="24"/>
                <w:highlight w:val="none"/>
              </w:rPr>
              <w:t>16.2、专用旅行箱，可装载主机、探头及相关备件。</w:t>
            </w:r>
          </w:p>
          <w:p w14:paraId="5B52C2E8">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cstheme="minorEastAsia"/>
                <w:color w:val="1D1B11"/>
                <w:sz w:val="24"/>
                <w:szCs w:val="24"/>
                <w:highlight w:val="none"/>
              </w:rPr>
              <w:t>16.3、</w:t>
            </w:r>
            <w:r>
              <w:rPr>
                <w:rFonts w:hint="eastAsia" w:asciiTheme="minorEastAsia" w:hAnsiTheme="minorEastAsia" w:eastAsiaTheme="minorEastAsia" w:cstheme="minorEastAsia"/>
                <w:color w:val="1E1C11"/>
                <w:sz w:val="24"/>
                <w:szCs w:val="24"/>
                <w:highlight w:val="none"/>
              </w:rPr>
              <w:t>采用磁吸电源插头</w:t>
            </w:r>
          </w:p>
          <w:p w14:paraId="7AD54B92">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宋体" w:hAnsi="宋体" w:cs="宋体"/>
                <w:b/>
                <w:bCs/>
                <w:sz w:val="28"/>
                <w:szCs w:val="28"/>
                <w:highlight w:val="none"/>
              </w:rPr>
            </w:pPr>
            <w:r>
              <w:rPr>
                <w:rFonts w:hint="eastAsia" w:ascii="宋体" w:hAnsi="宋体" w:eastAsia="宋体" w:cs="宋体"/>
                <w:b/>
                <w:bCs/>
                <w:kern w:val="0"/>
                <w:sz w:val="24"/>
                <w:szCs w:val="24"/>
                <w:highlight w:val="none"/>
              </w:rPr>
              <w:t>★</w:t>
            </w:r>
            <w:r>
              <w:rPr>
                <w:rFonts w:hint="eastAsia" w:ascii="宋体" w:hAnsi="宋体" w:eastAsia="宋体"/>
                <w:b/>
                <w:bCs w:val="0"/>
                <w:sz w:val="24"/>
                <w:szCs w:val="18"/>
                <w:highlight w:val="none"/>
                <w:lang w:eastAsia="zh-CN"/>
              </w:rPr>
              <w:t>二、</w:t>
            </w:r>
            <w:r>
              <w:rPr>
                <w:rFonts w:hint="eastAsia" w:ascii="宋体" w:hAnsi="宋体" w:eastAsia="宋体"/>
                <w:b/>
                <w:bCs w:val="0"/>
                <w:sz w:val="24"/>
                <w:szCs w:val="18"/>
                <w:highlight w:val="none"/>
              </w:rPr>
              <w:t>相关配置</w:t>
            </w:r>
          </w:p>
          <w:p w14:paraId="4C5F3420">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color w:val="1E1C11"/>
                <w:sz w:val="24"/>
                <w:szCs w:val="24"/>
                <w:highlight w:val="none"/>
              </w:rPr>
            </w:pPr>
            <w:r>
              <w:rPr>
                <w:rFonts w:hint="eastAsia" w:asciiTheme="minorEastAsia" w:hAnsiTheme="minorEastAsia" w:eastAsiaTheme="minorEastAsia" w:cstheme="minorEastAsia"/>
                <w:color w:val="1E1C11"/>
                <w:sz w:val="24"/>
                <w:szCs w:val="24"/>
                <w:highlight w:val="none"/>
              </w:rPr>
              <w:t>1、线阵探头（3.0-13.0MHz） 1把</w:t>
            </w:r>
          </w:p>
          <w:p w14:paraId="7211C19F">
            <w:pPr>
              <w:pStyle w:val="86"/>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rPr>
                <w:rFonts w:hint="eastAsia" w:asciiTheme="minorEastAsia" w:hAnsiTheme="minorEastAsia" w:eastAsiaTheme="minorEastAsia" w:cstheme="minorEastAsia"/>
                <w:color w:val="1E1C11"/>
                <w:sz w:val="24"/>
                <w:szCs w:val="24"/>
                <w:highlight w:val="none"/>
              </w:rPr>
            </w:pPr>
            <w:r>
              <w:rPr>
                <w:rFonts w:hint="eastAsia" w:asciiTheme="minorEastAsia" w:hAnsiTheme="minorEastAsia" w:eastAsiaTheme="minorEastAsia" w:cstheme="minorEastAsia"/>
                <w:color w:val="1E1C11"/>
                <w:sz w:val="24"/>
                <w:szCs w:val="24"/>
                <w:highlight w:val="none"/>
              </w:rPr>
              <w:t>2、凸阵探头（2.0-5.0MHz）  1把</w:t>
            </w:r>
          </w:p>
          <w:p w14:paraId="329B8958">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ascii="宋体" w:hAnsi="宋体" w:eastAsia="宋体"/>
                <w:bCs/>
                <w:sz w:val="24"/>
                <w:szCs w:val="18"/>
                <w:highlight w:val="none"/>
              </w:rPr>
            </w:pPr>
            <w:r>
              <w:rPr>
                <w:rFonts w:hint="eastAsia" w:asciiTheme="minorEastAsia" w:hAnsiTheme="minorEastAsia" w:eastAsiaTheme="minorEastAsia" w:cstheme="minorEastAsia"/>
                <w:color w:val="000000"/>
                <w:sz w:val="24"/>
                <w:szCs w:val="24"/>
                <w:highlight w:val="none"/>
              </w:rPr>
              <w:t>3、台车  1台</w:t>
            </w:r>
          </w:p>
        </w:tc>
        <w:tc>
          <w:tcPr>
            <w:tcW w:w="625" w:type="dxa"/>
            <w:vAlign w:val="center"/>
          </w:tcPr>
          <w:p w14:paraId="0ED0A76C">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ascii="宋体" w:hAnsi="宋体" w:eastAsia="宋体"/>
                <w:bCs/>
                <w:sz w:val="24"/>
                <w:szCs w:val="18"/>
                <w:highlight w:val="none"/>
              </w:rPr>
            </w:pPr>
            <w:r>
              <w:rPr>
                <w:rFonts w:hint="eastAsia" w:ascii="宋体" w:hAnsi="宋体" w:eastAsia="宋体"/>
                <w:bCs/>
                <w:sz w:val="24"/>
                <w:szCs w:val="18"/>
                <w:highlight w:val="none"/>
              </w:rPr>
              <w:t>工业</w:t>
            </w:r>
          </w:p>
        </w:tc>
        <w:tc>
          <w:tcPr>
            <w:tcW w:w="647" w:type="dxa"/>
            <w:vAlign w:val="center"/>
          </w:tcPr>
          <w:p w14:paraId="5DD23EC3">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ascii="宋体" w:hAnsi="宋体" w:eastAsia="宋体"/>
                <w:bCs/>
                <w:sz w:val="24"/>
                <w:szCs w:val="18"/>
                <w:highlight w:val="none"/>
              </w:rPr>
            </w:pPr>
            <w:r>
              <w:rPr>
                <w:rFonts w:hint="eastAsia" w:ascii="宋体" w:hAnsi="宋体" w:eastAsia="宋体"/>
                <w:bCs/>
                <w:sz w:val="24"/>
                <w:szCs w:val="18"/>
                <w:highlight w:val="none"/>
              </w:rPr>
              <w:t>/</w:t>
            </w:r>
          </w:p>
        </w:tc>
      </w:tr>
    </w:tbl>
    <w:p w14:paraId="38A0E470">
      <w:pPr>
        <w:rPr>
          <w:rFonts w:hint="eastAsia" w:ascii="宋体" w:hAnsi="宋体" w:eastAsia="宋体"/>
          <w:b/>
          <w:bCs/>
          <w:sz w:val="24"/>
          <w:szCs w:val="18"/>
          <w:highlight w:val="none"/>
        </w:rPr>
      </w:pPr>
      <w:r>
        <w:rPr>
          <w:rFonts w:hint="eastAsia" w:ascii="宋体" w:hAnsi="宋体" w:eastAsia="宋体"/>
          <w:b/>
          <w:bCs/>
          <w:sz w:val="24"/>
          <w:szCs w:val="18"/>
          <w:highlight w:val="none"/>
        </w:rPr>
        <w:br w:type="page"/>
      </w:r>
    </w:p>
    <w:p w14:paraId="4BC3E6EF">
      <w:pPr>
        <w:rPr>
          <w:rFonts w:hint="eastAsia" w:ascii="宋体" w:hAnsi="宋体" w:eastAsia="宋体"/>
          <w:b/>
          <w:bCs/>
          <w:sz w:val="24"/>
          <w:szCs w:val="18"/>
          <w:highlight w:val="none"/>
        </w:rPr>
      </w:pPr>
      <w:r>
        <w:rPr>
          <w:rFonts w:hint="eastAsia" w:ascii="宋体" w:hAnsi="宋体" w:eastAsia="宋体"/>
          <w:b/>
          <w:bCs/>
          <w:sz w:val="24"/>
          <w:szCs w:val="18"/>
          <w:highlight w:val="none"/>
          <w:lang w:val="en-US" w:eastAsia="zh-CN"/>
        </w:rPr>
        <w:t>03包：便携式彩色多普勒超声</w:t>
      </w:r>
    </w:p>
    <w:tbl>
      <w:tblPr>
        <w:tblStyle w:val="26"/>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47"/>
        <w:gridCol w:w="5932"/>
        <w:gridCol w:w="831"/>
        <w:gridCol w:w="877"/>
      </w:tblGrid>
      <w:tr w14:paraId="66C6D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14:paraId="1093590C">
            <w:pPr>
              <w:spacing w:line="360" w:lineRule="auto"/>
              <w:jc w:val="center"/>
              <w:rPr>
                <w:rFonts w:ascii="宋体" w:hAnsi="宋体" w:eastAsia="宋体"/>
                <w:b/>
                <w:bCs/>
                <w:sz w:val="24"/>
                <w:szCs w:val="18"/>
                <w:highlight w:val="none"/>
              </w:rPr>
            </w:pPr>
            <w:r>
              <w:rPr>
                <w:rFonts w:hint="eastAsia" w:ascii="宋体" w:hAnsi="宋体" w:eastAsia="宋体"/>
                <w:b/>
                <w:bCs/>
                <w:sz w:val="24"/>
                <w:szCs w:val="18"/>
                <w:highlight w:val="none"/>
              </w:rPr>
              <w:t>序号</w:t>
            </w:r>
          </w:p>
        </w:tc>
        <w:tc>
          <w:tcPr>
            <w:tcW w:w="1147" w:type="dxa"/>
            <w:vAlign w:val="center"/>
          </w:tcPr>
          <w:p w14:paraId="0557F2B2">
            <w:pPr>
              <w:spacing w:line="360" w:lineRule="auto"/>
              <w:jc w:val="center"/>
              <w:rPr>
                <w:rFonts w:ascii="宋体" w:hAnsi="宋体" w:eastAsia="宋体"/>
                <w:b/>
                <w:bCs/>
                <w:sz w:val="24"/>
                <w:szCs w:val="18"/>
                <w:highlight w:val="none"/>
              </w:rPr>
            </w:pPr>
            <w:r>
              <w:rPr>
                <w:rFonts w:hint="eastAsia" w:ascii="宋体" w:hAnsi="宋体" w:eastAsia="宋体"/>
                <w:b/>
                <w:bCs/>
                <w:sz w:val="24"/>
                <w:szCs w:val="18"/>
                <w:highlight w:val="none"/>
              </w:rPr>
              <w:t>货物名称</w:t>
            </w:r>
          </w:p>
        </w:tc>
        <w:tc>
          <w:tcPr>
            <w:tcW w:w="5932" w:type="dxa"/>
            <w:vAlign w:val="center"/>
          </w:tcPr>
          <w:p w14:paraId="47D2C5EC">
            <w:pPr>
              <w:spacing w:line="360" w:lineRule="auto"/>
              <w:jc w:val="center"/>
              <w:rPr>
                <w:rFonts w:ascii="宋体" w:hAnsi="宋体" w:eastAsia="宋体"/>
                <w:b/>
                <w:bCs/>
                <w:sz w:val="24"/>
                <w:szCs w:val="18"/>
                <w:highlight w:val="none"/>
              </w:rPr>
            </w:pPr>
            <w:r>
              <w:rPr>
                <w:rFonts w:hint="eastAsia" w:ascii="宋体" w:hAnsi="宋体" w:eastAsia="宋体"/>
                <w:b/>
                <w:bCs/>
                <w:sz w:val="24"/>
                <w:szCs w:val="18"/>
                <w:highlight w:val="none"/>
              </w:rPr>
              <w:t>技术参数及要求</w:t>
            </w:r>
          </w:p>
        </w:tc>
        <w:tc>
          <w:tcPr>
            <w:tcW w:w="831" w:type="dxa"/>
            <w:vAlign w:val="center"/>
          </w:tcPr>
          <w:p w14:paraId="024354D7">
            <w:pPr>
              <w:spacing w:line="360" w:lineRule="auto"/>
              <w:jc w:val="center"/>
              <w:rPr>
                <w:rFonts w:ascii="宋体" w:hAnsi="宋体" w:eastAsia="宋体"/>
                <w:b/>
                <w:bCs/>
                <w:sz w:val="24"/>
                <w:szCs w:val="18"/>
                <w:highlight w:val="none"/>
              </w:rPr>
            </w:pPr>
            <w:r>
              <w:rPr>
                <w:rFonts w:hint="eastAsia" w:ascii="宋体" w:hAnsi="宋体" w:eastAsia="宋体"/>
                <w:b/>
                <w:bCs/>
                <w:sz w:val="24"/>
                <w:szCs w:val="18"/>
                <w:highlight w:val="none"/>
              </w:rPr>
              <w:t>所属</w:t>
            </w:r>
          </w:p>
          <w:p w14:paraId="4F16EACA">
            <w:pPr>
              <w:spacing w:line="360" w:lineRule="auto"/>
              <w:jc w:val="center"/>
              <w:rPr>
                <w:rFonts w:ascii="宋体" w:hAnsi="宋体" w:eastAsia="宋体"/>
                <w:b/>
                <w:bCs/>
                <w:sz w:val="24"/>
                <w:szCs w:val="18"/>
                <w:highlight w:val="none"/>
              </w:rPr>
            </w:pPr>
            <w:r>
              <w:rPr>
                <w:rFonts w:hint="eastAsia" w:ascii="宋体" w:hAnsi="宋体" w:eastAsia="宋体"/>
                <w:b/>
                <w:bCs/>
                <w:sz w:val="24"/>
                <w:szCs w:val="18"/>
                <w:highlight w:val="none"/>
              </w:rPr>
              <w:t>行业</w:t>
            </w:r>
          </w:p>
        </w:tc>
        <w:tc>
          <w:tcPr>
            <w:tcW w:w="877" w:type="dxa"/>
            <w:vAlign w:val="center"/>
          </w:tcPr>
          <w:p w14:paraId="3C4C6C63">
            <w:pPr>
              <w:spacing w:line="360" w:lineRule="auto"/>
              <w:jc w:val="center"/>
              <w:rPr>
                <w:rFonts w:ascii="宋体" w:hAnsi="宋体" w:eastAsia="宋体"/>
                <w:b/>
                <w:bCs/>
                <w:sz w:val="24"/>
                <w:szCs w:val="18"/>
                <w:highlight w:val="none"/>
              </w:rPr>
            </w:pPr>
            <w:r>
              <w:rPr>
                <w:rFonts w:hint="eastAsia" w:ascii="宋体" w:hAnsi="宋体" w:eastAsia="宋体"/>
                <w:b/>
                <w:bCs/>
                <w:sz w:val="24"/>
                <w:szCs w:val="18"/>
                <w:highlight w:val="none"/>
              </w:rPr>
              <w:t>备注</w:t>
            </w:r>
          </w:p>
        </w:tc>
      </w:tr>
      <w:tr w14:paraId="00678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0" w:hRule="atLeast"/>
          <w:jc w:val="center"/>
        </w:trPr>
        <w:tc>
          <w:tcPr>
            <w:tcW w:w="720" w:type="dxa"/>
            <w:vAlign w:val="center"/>
          </w:tcPr>
          <w:p w14:paraId="2FA4F0BD">
            <w:pPr>
              <w:spacing w:line="360" w:lineRule="auto"/>
              <w:jc w:val="center"/>
              <w:rPr>
                <w:rFonts w:ascii="宋体" w:hAnsi="宋体" w:eastAsia="宋体"/>
                <w:color w:val="auto"/>
                <w:sz w:val="24"/>
                <w:szCs w:val="18"/>
                <w:highlight w:val="none"/>
              </w:rPr>
            </w:pPr>
            <w:r>
              <w:rPr>
                <w:rFonts w:hint="eastAsia" w:ascii="宋体" w:hAnsi="宋体" w:eastAsia="宋体"/>
                <w:color w:val="auto"/>
                <w:sz w:val="24"/>
                <w:szCs w:val="18"/>
                <w:highlight w:val="none"/>
              </w:rPr>
              <w:t>1</w:t>
            </w:r>
          </w:p>
        </w:tc>
        <w:tc>
          <w:tcPr>
            <w:tcW w:w="1147" w:type="dxa"/>
            <w:vAlign w:val="center"/>
          </w:tcPr>
          <w:p w14:paraId="24AD437D">
            <w:pPr>
              <w:spacing w:line="360" w:lineRule="auto"/>
              <w:jc w:val="center"/>
              <w:rPr>
                <w:rFonts w:ascii="宋体" w:hAnsi="宋体" w:eastAsia="宋体"/>
                <w:bCs/>
                <w:color w:val="auto"/>
                <w:sz w:val="24"/>
                <w:szCs w:val="18"/>
                <w:highlight w:val="none"/>
              </w:rPr>
            </w:pPr>
            <w:r>
              <w:rPr>
                <w:rFonts w:hint="eastAsia" w:ascii="宋体" w:hAnsi="宋体" w:eastAsia="宋体"/>
                <w:bCs/>
                <w:color w:val="auto"/>
                <w:sz w:val="24"/>
                <w:szCs w:val="18"/>
                <w:highlight w:val="none"/>
              </w:rPr>
              <w:t>便携式彩色多普勒超声</w:t>
            </w:r>
          </w:p>
        </w:tc>
        <w:tc>
          <w:tcPr>
            <w:tcW w:w="5932" w:type="dxa"/>
            <w:vAlign w:val="center"/>
          </w:tcPr>
          <w:p w14:paraId="0327C251">
            <w:pPr>
              <w:spacing w:line="276"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性能</w:t>
            </w:r>
            <w:r>
              <w:rPr>
                <w:rFonts w:hint="eastAsia" w:ascii="宋体" w:hAnsi="宋体" w:eastAsia="宋体" w:cs="宋体"/>
                <w:b/>
                <w:bCs/>
                <w:color w:val="auto"/>
                <w:sz w:val="24"/>
                <w:szCs w:val="24"/>
                <w:highlight w:val="none"/>
              </w:rPr>
              <w:t>参数</w:t>
            </w:r>
          </w:p>
          <w:p w14:paraId="136D4F96">
            <w:pPr>
              <w:spacing w:line="276" w:lineRule="auto"/>
              <w:jc w:val="left"/>
              <w:rPr>
                <w:rFonts w:hint="eastAsia" w:asciiTheme="minorEastAsia" w:hAnsiTheme="minorEastAsia" w:eastAsiaTheme="minorEastAsia" w:cstheme="minorEastAsia"/>
                <w:b/>
                <w:bCs/>
                <w:kern w:val="0"/>
                <w:sz w:val="24"/>
                <w:szCs w:val="22"/>
                <w:highlight w:val="none"/>
              </w:rPr>
            </w:pPr>
            <w:r>
              <w:rPr>
                <w:rFonts w:hint="eastAsia" w:asciiTheme="minorEastAsia" w:hAnsiTheme="minorEastAsia" w:eastAsiaTheme="minorEastAsia" w:cstheme="minorEastAsia"/>
                <w:kern w:val="0"/>
                <w:sz w:val="24"/>
                <w:szCs w:val="22"/>
                <w:highlight w:val="none"/>
              </w:rPr>
              <w:t>一、用于全身各器官超声诊断和相关科研，包括成人心脏、儿童心脏、胎儿心脏、腹部、妇产、泌尿、小儿、血管（外周、颅脑、腹部）、小器官、骨骼肌肉、神经、眼科、术中以及经食管超声心动图等。</w:t>
            </w:r>
          </w:p>
          <w:p w14:paraId="1EF3993E">
            <w:pPr>
              <w:spacing w:line="276" w:lineRule="auto"/>
              <w:rPr>
                <w:rFonts w:hint="eastAsia" w:asciiTheme="minorEastAsia" w:hAnsiTheme="minorEastAsia" w:eastAsiaTheme="minorEastAsia" w:cstheme="minorEastAsia"/>
                <w:b/>
                <w:bCs/>
                <w:kern w:val="0"/>
                <w:sz w:val="24"/>
                <w:szCs w:val="22"/>
                <w:highlight w:val="none"/>
              </w:rPr>
            </w:pPr>
            <w:r>
              <w:rPr>
                <w:rFonts w:hint="eastAsia" w:asciiTheme="minorEastAsia" w:hAnsiTheme="minorEastAsia" w:eastAsiaTheme="minorEastAsia" w:cstheme="minorEastAsia"/>
                <w:b/>
                <w:bCs/>
                <w:kern w:val="0"/>
                <w:sz w:val="24"/>
                <w:szCs w:val="22"/>
                <w:highlight w:val="none"/>
              </w:rPr>
              <w:t>二、主要技术规格及系统概述：</w:t>
            </w:r>
          </w:p>
          <w:p w14:paraId="604D0BB0">
            <w:pPr>
              <w:spacing w:line="276" w:lineRule="auto"/>
              <w:rPr>
                <w:rFonts w:hint="eastAsia" w:asciiTheme="minorEastAsia" w:hAnsiTheme="minorEastAsia" w:eastAsiaTheme="minorEastAsia" w:cstheme="minorEastAsia"/>
                <w:b/>
                <w:bCs/>
                <w:kern w:val="0"/>
                <w:sz w:val="24"/>
                <w:szCs w:val="22"/>
                <w:highlight w:val="none"/>
              </w:rPr>
            </w:pPr>
            <w:r>
              <w:rPr>
                <w:rFonts w:hint="eastAsia" w:asciiTheme="minorEastAsia" w:hAnsiTheme="minorEastAsia" w:eastAsiaTheme="minorEastAsia" w:cstheme="minorEastAsia"/>
                <w:b/>
                <w:bCs/>
                <w:kern w:val="0"/>
                <w:sz w:val="24"/>
                <w:szCs w:val="22"/>
                <w:highlight w:val="none"/>
              </w:rPr>
              <w:t>1、主机系统性能概括</w:t>
            </w:r>
          </w:p>
          <w:p w14:paraId="6260EE7E">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rPr>
              <w:t>1.1、显示器≥15英寸, 分辨率≥1920×1080p</w:t>
            </w:r>
          </w:p>
          <w:p w14:paraId="5AE88BE7">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rPr>
              <w:t>▲1.2、液晶触摸屏≥10英寸,可通过手指滑动触摸屏进行翻页且俯仰调节角度≥60°</w:t>
            </w:r>
          </w:p>
          <w:p w14:paraId="3B2DE653">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rPr>
              <w:t xml:space="preserve">1.3、TGC≥8段，可触摸屏及控制面板调节 </w:t>
            </w:r>
          </w:p>
          <w:p w14:paraId="261C181F">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rPr>
              <w:t>1.4、LGC≥8段，可触摸屏调节</w:t>
            </w:r>
          </w:p>
          <w:p w14:paraId="75759493">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rPr>
              <w:t>1.5、最大显示成像模式，一键全屏显示高清图像</w:t>
            </w:r>
          </w:p>
          <w:p w14:paraId="575F643F">
            <w:pPr>
              <w:spacing w:line="276" w:lineRule="auto"/>
              <w:rPr>
                <w:rFonts w:hint="eastAsia" w:asciiTheme="minorEastAsia" w:hAnsiTheme="minorEastAsia" w:eastAsiaTheme="minorEastAsia" w:cstheme="minorEastAsia"/>
                <w:b/>
                <w:bCs/>
                <w:kern w:val="0"/>
                <w:sz w:val="24"/>
                <w:szCs w:val="22"/>
                <w:highlight w:val="none"/>
              </w:rPr>
            </w:pPr>
            <w:r>
              <w:rPr>
                <w:rFonts w:hint="eastAsia" w:asciiTheme="minorEastAsia" w:hAnsiTheme="minorEastAsia" w:eastAsiaTheme="minorEastAsia" w:cstheme="minorEastAsia"/>
                <w:b/>
                <w:bCs/>
                <w:kern w:val="0"/>
                <w:sz w:val="24"/>
                <w:szCs w:val="22"/>
                <w:highlight w:val="none"/>
              </w:rPr>
              <w:t>2、系统成像技术</w:t>
            </w:r>
          </w:p>
          <w:p w14:paraId="58FD649B">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rPr>
              <w:t>2.1、空间复合成像技术，实时声束偏转技术</w:t>
            </w:r>
          </w:p>
          <w:p w14:paraId="0FD94289">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rPr>
              <w:t>2.2、磁共振相素优化技术，高清斑点噪声抑制</w:t>
            </w:r>
          </w:p>
          <w:p w14:paraId="02F4F106">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rPr>
              <w:t>▲2.3、高帧频实时解剖M型，360°范围内可平移可旋转</w:t>
            </w:r>
          </w:p>
          <w:p w14:paraId="6A051FFB">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rPr>
              <w:t>2.4、支持扩展成像（线阵和凸阵）</w:t>
            </w:r>
          </w:p>
          <w:p w14:paraId="10ED2532">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rPr>
              <w:t>2.5、实时HighQ自动多普勒分析</w:t>
            </w:r>
            <w:r>
              <w:rPr>
                <w:rFonts w:hint="eastAsia" w:asciiTheme="minorEastAsia" w:hAnsiTheme="minorEastAsia" w:eastAsiaTheme="minorEastAsia" w:cstheme="minorEastAsia"/>
                <w:kern w:val="0"/>
                <w:sz w:val="24"/>
                <w:szCs w:val="22"/>
                <w:highlight w:val="none"/>
                <w:lang w:eastAsia="zh-CN"/>
              </w:rPr>
              <w:t>，</w:t>
            </w:r>
            <w:r>
              <w:rPr>
                <w:rFonts w:hint="eastAsia" w:asciiTheme="minorEastAsia" w:hAnsiTheme="minorEastAsia" w:eastAsiaTheme="minorEastAsia" w:cstheme="minorEastAsia"/>
                <w:kern w:val="0"/>
                <w:sz w:val="24"/>
                <w:szCs w:val="22"/>
                <w:highlight w:val="none"/>
              </w:rPr>
              <w:t>支持心脏探头</w:t>
            </w:r>
          </w:p>
          <w:p w14:paraId="4542FAC1">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rPr>
              <w:t>2.6、智能优化技术自动优化Doppler频谱</w:t>
            </w:r>
          </w:p>
          <w:p w14:paraId="70CC0A17">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rPr>
              <w:t>2.7、超宽频带血流技术</w:t>
            </w:r>
          </w:p>
          <w:p w14:paraId="234EC379">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rPr>
              <w:t>2.8、智能优化技术自动优化彩色血流，单键自动调整取样框角度、位置</w:t>
            </w:r>
          </w:p>
          <w:p w14:paraId="67C979DB">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rPr>
              <w:t>2.9、实时双幅对比成像</w:t>
            </w:r>
          </w:p>
          <w:p w14:paraId="1FA7F5AB">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rPr>
              <w:t>2.10、实时彩色血流M型</w:t>
            </w:r>
          </w:p>
          <w:p w14:paraId="4CB7341D">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rPr>
              <w:t>2.11、彩色能量成像（CPA）</w:t>
            </w:r>
          </w:p>
          <w:p w14:paraId="33C7ADFB">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rPr>
              <w:t>2.12、组织多普勒成像（TDI）</w:t>
            </w:r>
          </w:p>
          <w:p w14:paraId="51C40ADC">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rPr>
              <w:t>2.13、二次谐波成像（自然组织谐波成像）</w:t>
            </w:r>
          </w:p>
          <w:p w14:paraId="6F842F33">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b/>
                <w:bCs/>
                <w:kern w:val="0"/>
                <w:sz w:val="24"/>
                <w:szCs w:val="22"/>
                <w:highlight w:val="none"/>
              </w:rPr>
              <w:t>3、先进成像技术</w:t>
            </w:r>
          </w:p>
          <w:p w14:paraId="4149859A">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rPr>
              <w:t>▲3.1、腹部三维容积定量分析</w:t>
            </w:r>
          </w:p>
          <w:p w14:paraId="58BADFD4">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rPr>
              <w:t>3.2、左心造影</w:t>
            </w:r>
          </w:p>
          <w:p w14:paraId="6C9E0C54">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rPr>
              <w:t>3.3、3D/4D 和多平面成像</w:t>
            </w:r>
          </w:p>
          <w:p w14:paraId="10652B07">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rPr>
              <w:t>3.4、时间-空间关联成像（ STIC）</w:t>
            </w:r>
          </w:p>
          <w:p w14:paraId="5332698F">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rPr>
              <w:t>▲3.5、穿刺引导功能：支持相控阵、凸阵、微凸阵、线阵探头穿刺引导功能；凸阵探头穿刺引导角度≥5个；线阵探头穿刺引导角度≥3个</w:t>
            </w:r>
          </w:p>
          <w:p w14:paraId="093E19F4">
            <w:pPr>
              <w:spacing w:line="276" w:lineRule="auto"/>
              <w:rPr>
                <w:rFonts w:hint="eastAsia" w:asciiTheme="minorEastAsia" w:hAnsiTheme="minorEastAsia" w:eastAsiaTheme="minorEastAsia" w:cstheme="minorEastAsia"/>
                <w:b/>
                <w:bCs/>
                <w:kern w:val="0"/>
                <w:sz w:val="24"/>
                <w:szCs w:val="22"/>
                <w:highlight w:val="none"/>
              </w:rPr>
            </w:pPr>
            <w:r>
              <w:rPr>
                <w:rFonts w:hint="eastAsia" w:asciiTheme="minorEastAsia" w:hAnsiTheme="minorEastAsia" w:eastAsiaTheme="minorEastAsia" w:cstheme="minorEastAsia"/>
                <w:b/>
                <w:bCs/>
                <w:kern w:val="0"/>
                <w:sz w:val="24"/>
                <w:szCs w:val="22"/>
                <w:highlight w:val="none"/>
              </w:rPr>
              <w:t>4、测量和分析 (B型、M型、频谱多普勒、彩色多普勒、容积模式)</w:t>
            </w:r>
          </w:p>
          <w:p w14:paraId="7D4BFA5D">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rPr>
              <w:t>4.1、一般测量:距离(直线/曲线)、面积、周长(连续描记/点描记) 、角度、体积等</w:t>
            </w:r>
          </w:p>
          <w:p w14:paraId="6E96ED48">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rPr>
              <w:t>4.2、多普勒血流测量及分析(含自动多普勒频谱包络计算)</w:t>
            </w:r>
          </w:p>
          <w:p w14:paraId="414D1205">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rPr>
              <w:t>4.3、产科测量: 包括全面的产科径线测量、NT测量、单/多胎儿孕龄及生长曲线、羊水指数、胎儿心脏功能测量等</w:t>
            </w:r>
          </w:p>
          <w:p w14:paraId="66B7DB85">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rPr>
              <w:t>4.4、外周血管测量</w:t>
            </w:r>
          </w:p>
          <w:p w14:paraId="6468A1C1">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rPr>
              <w:t>4.5、心脏功能测量与分析</w:t>
            </w:r>
          </w:p>
          <w:p w14:paraId="7ABB1C25">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rPr>
              <w:t>▲4.6、自动、实时Doppler 频谱波形分析（High Q自动Doppler 分析），实时和冻结状态下都可以进行分析</w:t>
            </w:r>
          </w:p>
          <w:p w14:paraId="5441EC4D">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rPr>
              <w:t>4.7、自动二维心功能定量 (a2DQ)</w:t>
            </w:r>
          </w:p>
          <w:p w14:paraId="2B8AE895">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rPr>
              <w:t>▲4.8、自动组织瓣环位移功能可自动对房室瓣环运动进行可视化定量分析，快速评估心脏整体功能</w:t>
            </w:r>
          </w:p>
          <w:p w14:paraId="6FF8723A">
            <w:pPr>
              <w:spacing w:line="276" w:lineRule="auto"/>
              <w:rPr>
                <w:rFonts w:hint="eastAsia" w:asciiTheme="minorEastAsia" w:hAnsiTheme="minorEastAsia" w:eastAsiaTheme="minorEastAsia" w:cstheme="minorEastAsia"/>
                <w:color w:val="000000"/>
                <w:kern w:val="0"/>
                <w:sz w:val="24"/>
                <w:szCs w:val="22"/>
                <w:highlight w:val="none"/>
              </w:rPr>
            </w:pPr>
            <w:r>
              <w:rPr>
                <w:rFonts w:hint="eastAsia" w:asciiTheme="minorEastAsia" w:hAnsiTheme="minorEastAsia" w:eastAsiaTheme="minorEastAsia" w:cstheme="minorEastAsia"/>
                <w:kern w:val="0"/>
                <w:sz w:val="24"/>
                <w:szCs w:val="22"/>
                <w:highlight w:val="none"/>
              </w:rPr>
              <w:t>4.9、</w:t>
            </w:r>
            <w:r>
              <w:rPr>
                <w:rFonts w:hint="eastAsia" w:asciiTheme="minorEastAsia" w:hAnsiTheme="minorEastAsia" w:eastAsiaTheme="minorEastAsia" w:cstheme="minorEastAsia"/>
                <w:color w:val="000000"/>
                <w:kern w:val="0"/>
                <w:sz w:val="24"/>
                <w:szCs w:val="22"/>
                <w:highlight w:val="none"/>
              </w:rPr>
              <w:t xml:space="preserve">心脏自动应变定量 </w:t>
            </w:r>
          </w:p>
          <w:p w14:paraId="4444D18A">
            <w:pPr>
              <w:spacing w:line="276" w:lineRule="auto"/>
              <w:rPr>
                <w:rFonts w:hint="eastAsia" w:asciiTheme="minorEastAsia" w:hAnsiTheme="minorEastAsia" w:eastAsiaTheme="minorEastAsia" w:cstheme="minorEastAsia"/>
                <w:color w:val="000000"/>
                <w:kern w:val="0"/>
                <w:sz w:val="24"/>
                <w:szCs w:val="22"/>
                <w:highlight w:val="none"/>
              </w:rPr>
            </w:pPr>
            <w:r>
              <w:rPr>
                <w:rFonts w:hint="eastAsia" w:asciiTheme="minorEastAsia" w:hAnsiTheme="minorEastAsia" w:eastAsiaTheme="minorEastAsia" w:cstheme="minorEastAsia"/>
                <w:kern w:val="0"/>
                <w:sz w:val="24"/>
                <w:szCs w:val="22"/>
                <w:highlight w:val="none"/>
              </w:rPr>
              <w:t>▲</w:t>
            </w:r>
            <w:r>
              <w:rPr>
                <w:rFonts w:hint="eastAsia" w:asciiTheme="minorEastAsia" w:hAnsiTheme="minorEastAsia" w:eastAsiaTheme="minorEastAsia" w:cstheme="minorEastAsia"/>
                <w:color w:val="000000"/>
                <w:kern w:val="0"/>
                <w:sz w:val="24"/>
                <w:szCs w:val="22"/>
                <w:highlight w:val="none"/>
              </w:rPr>
              <w:t>4.10、连接和未连接心电信号的超声图像均可在机分析</w:t>
            </w:r>
          </w:p>
          <w:p w14:paraId="38FB2C6A">
            <w:pPr>
              <w:spacing w:line="276" w:lineRule="auto"/>
              <w:rPr>
                <w:rFonts w:hint="eastAsia" w:asciiTheme="minorEastAsia" w:hAnsiTheme="minorEastAsia" w:eastAsiaTheme="minorEastAsia" w:cstheme="minorEastAsia"/>
                <w:color w:val="000000"/>
                <w:kern w:val="0"/>
                <w:sz w:val="24"/>
                <w:szCs w:val="22"/>
                <w:highlight w:val="none"/>
              </w:rPr>
            </w:pPr>
            <w:r>
              <w:rPr>
                <w:rFonts w:hint="eastAsia" w:asciiTheme="minorEastAsia" w:hAnsiTheme="minorEastAsia" w:eastAsiaTheme="minorEastAsia" w:cstheme="minorEastAsia"/>
                <w:kern w:val="0"/>
                <w:sz w:val="24"/>
                <w:szCs w:val="22"/>
                <w:highlight w:val="none"/>
              </w:rPr>
              <w:t>▲4.11、</w:t>
            </w:r>
            <w:r>
              <w:rPr>
                <w:rFonts w:hint="eastAsia" w:asciiTheme="minorEastAsia" w:hAnsiTheme="minorEastAsia" w:eastAsiaTheme="minorEastAsia" w:cstheme="minorEastAsia"/>
                <w:color w:val="000000"/>
                <w:kern w:val="0"/>
                <w:sz w:val="24"/>
                <w:szCs w:val="22"/>
                <w:highlight w:val="none"/>
              </w:rPr>
              <w:t>全自动识别左心室切面并追踪，快速获得左心室整体应变值、左心室长径值、左心室18节段应变牛眼图和达峰时间牛眼图</w:t>
            </w:r>
          </w:p>
          <w:p w14:paraId="4D49F38D">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rPr>
              <w:t>5、图像存储与（电影）回放重显单元</w:t>
            </w:r>
          </w:p>
          <w:p w14:paraId="1FB6E6C3">
            <w:pPr>
              <w:pStyle w:val="54"/>
              <w:numPr>
                <w:ilvl w:val="0"/>
                <w:numId w:val="4"/>
              </w:numPr>
              <w:spacing w:line="276" w:lineRule="auto"/>
              <w:ind w:firstLineChars="0"/>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rPr>
              <w:t>参考信号：心电图和生理信号</w:t>
            </w:r>
          </w:p>
          <w:p w14:paraId="65F947A7">
            <w:pPr>
              <w:spacing w:line="276" w:lineRule="auto"/>
              <w:rPr>
                <w:rFonts w:hint="eastAsia" w:asciiTheme="minorEastAsia" w:hAnsiTheme="minorEastAsia" w:eastAsiaTheme="minorEastAsia" w:cstheme="minorEastAsia"/>
                <w:b/>
                <w:bCs/>
                <w:kern w:val="0"/>
                <w:sz w:val="24"/>
                <w:szCs w:val="22"/>
                <w:highlight w:val="none"/>
              </w:rPr>
            </w:pPr>
            <w:r>
              <w:rPr>
                <w:rFonts w:hint="eastAsia" w:asciiTheme="minorEastAsia" w:hAnsiTheme="minorEastAsia" w:eastAsiaTheme="minorEastAsia" w:cstheme="minorEastAsia"/>
                <w:kern w:val="0"/>
                <w:sz w:val="24"/>
                <w:szCs w:val="22"/>
                <w:highlight w:val="none"/>
              </w:rPr>
              <w:t>7、硬盘存储≥1TB</w:t>
            </w:r>
          </w:p>
          <w:p w14:paraId="5B233B37">
            <w:pPr>
              <w:spacing w:line="276" w:lineRule="auto"/>
              <w:rPr>
                <w:rFonts w:hint="eastAsia" w:asciiTheme="minorEastAsia" w:hAnsiTheme="minorEastAsia" w:eastAsiaTheme="minorEastAsia" w:cstheme="minorEastAsia"/>
                <w:b/>
                <w:bCs/>
                <w:kern w:val="0"/>
                <w:sz w:val="24"/>
                <w:szCs w:val="22"/>
                <w:highlight w:val="none"/>
              </w:rPr>
            </w:pPr>
            <w:r>
              <w:rPr>
                <w:rFonts w:hint="eastAsia" w:asciiTheme="minorEastAsia" w:hAnsiTheme="minorEastAsia" w:eastAsiaTheme="minorEastAsia" w:cstheme="minorEastAsia"/>
                <w:b/>
                <w:bCs/>
                <w:kern w:val="0"/>
                <w:sz w:val="24"/>
                <w:szCs w:val="22"/>
                <w:highlight w:val="none"/>
              </w:rPr>
              <w:t>三、技术参数及要求</w:t>
            </w:r>
          </w:p>
          <w:p w14:paraId="1D4C6B33">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rPr>
              <w:t>1、探头规格</w:t>
            </w:r>
          </w:p>
          <w:p w14:paraId="26F7DBAB">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rPr>
              <w:t>1.1、扫描：电子相控阵：超声频率2-4MHz；  电子凸阵探头：超声频率2-6MHz；电子线阵探头：超声频率3-12MHz</w:t>
            </w:r>
          </w:p>
          <w:p w14:paraId="6C5044D9">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rPr>
              <w:t>1.2、扫描速率：相控阵，全视野，17cm深度时，帧速率≥60帧/秒</w:t>
            </w:r>
          </w:p>
          <w:p w14:paraId="28E593BA">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rPr>
              <w:t>▲1.3、扫描深度：1-</w:t>
            </w:r>
            <w:r>
              <w:rPr>
                <w:rFonts w:hint="eastAsia" w:asciiTheme="minorEastAsia" w:hAnsiTheme="minorEastAsia" w:eastAsiaTheme="minorEastAsia" w:cstheme="minorEastAsia"/>
                <w:kern w:val="0"/>
                <w:sz w:val="24"/>
                <w:szCs w:val="22"/>
                <w:highlight w:val="none"/>
                <w:lang w:val="en-US" w:eastAsia="zh-CN"/>
              </w:rPr>
              <w:t>4</w:t>
            </w:r>
            <w:r>
              <w:rPr>
                <w:rFonts w:hint="eastAsia" w:asciiTheme="minorEastAsia" w:hAnsiTheme="minorEastAsia" w:eastAsiaTheme="minorEastAsia" w:cstheme="minorEastAsia"/>
                <w:kern w:val="0"/>
                <w:sz w:val="24"/>
                <w:szCs w:val="22"/>
                <w:highlight w:val="none"/>
              </w:rPr>
              <w:t>0cm</w:t>
            </w:r>
          </w:p>
          <w:p w14:paraId="03D2A40B">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rPr>
              <w:t>1.4、增益调节：B/D可独立调节，TGC分段≥8，LGC分段≥8</w:t>
            </w:r>
          </w:p>
          <w:p w14:paraId="59CCF568">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rPr>
              <w:t>2、频谱多普勒</w:t>
            </w:r>
          </w:p>
          <w:p w14:paraId="1895E074">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rPr>
              <w:t>2.1、方式：脉冲波多普勒PW，连续波多普勒CW，HPRF高脉冲重复频率多普勒</w:t>
            </w:r>
          </w:p>
          <w:p w14:paraId="5341CB4F">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rPr>
              <w:t>2.2、多普勒探头与频率：电子扇形PW，CW</w:t>
            </w:r>
          </w:p>
          <w:p w14:paraId="0890E793">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rPr>
              <w:t>2.3、显示方式：B/D，M/D，D</w:t>
            </w:r>
          </w:p>
          <w:p w14:paraId="1BFC74B5">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rPr>
              <w:t>2.4、取样宽度及位置范围：宽度0.5-20mm; 分级可调</w:t>
            </w:r>
          </w:p>
          <w:p w14:paraId="03026FE5">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rPr>
              <w:t>2.5、显示控制：反转显示(左/右，上/下)，零移位，局部放大及移位</w:t>
            </w:r>
          </w:p>
          <w:p w14:paraId="33954A37">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rPr>
              <w:t>3、彩色多普勒</w:t>
            </w:r>
          </w:p>
          <w:p w14:paraId="0F3678F0">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rPr>
              <w:t>3.1、显示方式：速度方差显示、速度显示、方差显示</w:t>
            </w:r>
          </w:p>
          <w:p w14:paraId="356D5833">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rPr>
              <w:t>3.2、实时双副对比显像</w:t>
            </w:r>
          </w:p>
          <w:p w14:paraId="45B8F5C7">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rPr>
              <w:t>3.3、彩色显示角度：20-90度选择</w:t>
            </w:r>
          </w:p>
          <w:p w14:paraId="6D0E25F3">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rPr>
              <w:t>3.4、彩色显示帧数：相控阵，85度，17cm深度，帧频≥12帧/秒</w:t>
            </w:r>
          </w:p>
          <w:p w14:paraId="422AB439">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rPr>
              <w:t>3.5、组织多普勒帧频：75度，17cm深度，帧频&gt;100帧/秒</w:t>
            </w:r>
          </w:p>
          <w:p w14:paraId="5062C535">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rPr>
              <w:t>3.6、显示位置调整：感兴趣的图像范围：-20”- +20”</w:t>
            </w:r>
          </w:p>
          <w:p w14:paraId="1DBBD927">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rPr>
              <w:t>4、超声功率输出调节：B/M，PW，CDFI，输出功率选择&gt;=8级可调</w:t>
            </w:r>
          </w:p>
          <w:p w14:paraId="16413BFD">
            <w:pPr>
              <w:spacing w:line="360" w:lineRule="auto"/>
              <w:jc w:val="left"/>
              <w:rPr>
                <w:highlight w:val="none"/>
              </w:rPr>
            </w:pPr>
            <w:r>
              <w:rPr>
                <w:rFonts w:hint="eastAsia" w:ascii="宋体" w:hAnsi="宋体" w:eastAsia="宋体" w:cs="宋体"/>
                <w:b/>
                <w:bCs/>
                <w:color w:val="auto"/>
                <w:kern w:val="0"/>
                <w:sz w:val="24"/>
                <w:szCs w:val="24"/>
                <w:highlight w:val="none"/>
              </w:rPr>
              <w:t>★</w:t>
            </w:r>
            <w:r>
              <w:rPr>
                <w:rFonts w:hint="eastAsia" w:ascii="宋体" w:hAnsi="宋体" w:eastAsia="宋体"/>
                <w:b/>
                <w:bCs w:val="0"/>
                <w:color w:val="auto"/>
                <w:sz w:val="24"/>
                <w:szCs w:val="18"/>
                <w:highlight w:val="none"/>
                <w:lang w:eastAsia="zh-CN"/>
              </w:rPr>
              <w:t>二、</w:t>
            </w:r>
            <w:r>
              <w:rPr>
                <w:rFonts w:hint="eastAsia" w:ascii="宋体" w:hAnsi="宋体" w:eastAsia="宋体"/>
                <w:b/>
                <w:bCs w:val="0"/>
                <w:color w:val="auto"/>
                <w:sz w:val="24"/>
                <w:szCs w:val="18"/>
                <w:highlight w:val="none"/>
              </w:rPr>
              <w:t>相关配置</w:t>
            </w:r>
          </w:p>
          <w:p w14:paraId="1E01A6A8">
            <w:pPr>
              <w:spacing w:line="276" w:lineRule="auto"/>
              <w:rPr>
                <w:rFonts w:hint="default" w:asciiTheme="minorEastAsia" w:hAnsiTheme="minorEastAsia" w:eastAsiaTheme="minorEastAsia" w:cstheme="minorEastAsia"/>
                <w:kern w:val="0"/>
                <w:sz w:val="24"/>
                <w:szCs w:val="22"/>
                <w:highlight w:val="none"/>
                <w:lang w:val="en-US" w:eastAsia="zh-CN"/>
              </w:rPr>
            </w:pPr>
            <w:r>
              <w:rPr>
                <w:rFonts w:hint="eastAsia" w:asciiTheme="minorEastAsia" w:hAnsiTheme="minorEastAsia" w:eastAsiaTheme="minorEastAsia" w:cstheme="minorEastAsia"/>
                <w:kern w:val="0"/>
                <w:sz w:val="24"/>
                <w:szCs w:val="22"/>
                <w:highlight w:val="none"/>
                <w:lang w:val="en-US" w:eastAsia="zh-CN"/>
              </w:rPr>
              <w:t>1.</w:t>
            </w:r>
            <w:r>
              <w:rPr>
                <w:rFonts w:hint="eastAsia" w:ascii="宋体" w:hAnsi="宋体" w:eastAsia="宋体"/>
                <w:bCs/>
                <w:color w:val="auto"/>
                <w:sz w:val="24"/>
                <w:szCs w:val="18"/>
                <w:highlight w:val="none"/>
              </w:rPr>
              <w:t>便携式彩色多普勒超声</w:t>
            </w:r>
            <w:r>
              <w:rPr>
                <w:rFonts w:hint="eastAsia" w:asciiTheme="minorEastAsia" w:hAnsiTheme="minorEastAsia" w:eastAsiaTheme="minorEastAsia" w:cstheme="minorEastAsia"/>
                <w:kern w:val="0"/>
                <w:sz w:val="24"/>
                <w:szCs w:val="22"/>
                <w:highlight w:val="none"/>
                <w:lang w:val="en-US" w:eastAsia="zh-CN"/>
              </w:rPr>
              <w:t>主机  1台；</w:t>
            </w:r>
          </w:p>
          <w:p w14:paraId="07F7DC9C">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lang w:val="en-US" w:eastAsia="zh-CN"/>
              </w:rPr>
              <w:t>2.纯净波或单晶体</w:t>
            </w:r>
            <w:r>
              <w:rPr>
                <w:rFonts w:hint="eastAsia" w:asciiTheme="minorEastAsia" w:hAnsiTheme="minorEastAsia" w:eastAsiaTheme="minorEastAsia" w:cstheme="minorEastAsia"/>
                <w:kern w:val="0"/>
                <w:sz w:val="24"/>
                <w:szCs w:val="22"/>
                <w:highlight w:val="none"/>
              </w:rPr>
              <w:t>电子相控阵</w:t>
            </w:r>
            <w:r>
              <w:rPr>
                <w:rFonts w:hint="eastAsia" w:asciiTheme="minorEastAsia" w:hAnsiTheme="minorEastAsia" w:eastAsiaTheme="minorEastAsia" w:cstheme="minorEastAsia"/>
                <w:kern w:val="0"/>
                <w:sz w:val="24"/>
                <w:szCs w:val="22"/>
                <w:highlight w:val="none"/>
                <w:lang w:val="en-US" w:eastAsia="zh-CN"/>
              </w:rPr>
              <w:t>探头 1把</w:t>
            </w:r>
            <w:r>
              <w:rPr>
                <w:rFonts w:hint="eastAsia" w:asciiTheme="minorEastAsia" w:hAnsiTheme="minorEastAsia" w:eastAsiaTheme="minorEastAsia" w:cstheme="minorEastAsia"/>
                <w:kern w:val="0"/>
                <w:sz w:val="24"/>
                <w:szCs w:val="22"/>
                <w:highlight w:val="none"/>
              </w:rPr>
              <w:t xml:space="preserve">；  </w:t>
            </w:r>
          </w:p>
          <w:p w14:paraId="08DCBF96">
            <w:pPr>
              <w:spacing w:line="276" w:lineRule="auto"/>
              <w:rPr>
                <w:rFonts w:hint="eastAsia" w:asciiTheme="minorEastAsia" w:hAnsiTheme="minorEastAsia" w:eastAsiaTheme="minorEastAsia" w:cstheme="minorEastAsia"/>
                <w:kern w:val="0"/>
                <w:sz w:val="24"/>
                <w:szCs w:val="22"/>
                <w:highlight w:val="none"/>
              </w:rPr>
            </w:pPr>
            <w:r>
              <w:rPr>
                <w:rFonts w:hint="eastAsia" w:asciiTheme="minorEastAsia" w:hAnsiTheme="minorEastAsia" w:eastAsiaTheme="minorEastAsia" w:cstheme="minorEastAsia"/>
                <w:kern w:val="0"/>
                <w:sz w:val="24"/>
                <w:szCs w:val="22"/>
                <w:highlight w:val="none"/>
                <w:lang w:val="en-US" w:eastAsia="zh-CN"/>
              </w:rPr>
              <w:t>3.纯净波或单晶体</w:t>
            </w:r>
            <w:r>
              <w:rPr>
                <w:rFonts w:hint="eastAsia" w:asciiTheme="minorEastAsia" w:hAnsiTheme="minorEastAsia" w:eastAsiaTheme="minorEastAsia" w:cstheme="minorEastAsia"/>
                <w:kern w:val="0"/>
                <w:sz w:val="24"/>
                <w:szCs w:val="22"/>
                <w:highlight w:val="none"/>
              </w:rPr>
              <w:t>电子凸阵探头</w:t>
            </w:r>
            <w:r>
              <w:rPr>
                <w:rFonts w:hint="eastAsia" w:asciiTheme="minorEastAsia" w:hAnsiTheme="minorEastAsia" w:eastAsiaTheme="minorEastAsia" w:cstheme="minorEastAsia"/>
                <w:kern w:val="0"/>
                <w:sz w:val="24"/>
                <w:szCs w:val="22"/>
                <w:highlight w:val="none"/>
                <w:lang w:val="en-US" w:eastAsia="zh-CN"/>
              </w:rPr>
              <w:t xml:space="preserve"> 1把</w:t>
            </w:r>
            <w:r>
              <w:rPr>
                <w:rFonts w:hint="eastAsia" w:asciiTheme="minorEastAsia" w:hAnsiTheme="minorEastAsia" w:eastAsiaTheme="minorEastAsia" w:cstheme="minorEastAsia"/>
                <w:kern w:val="0"/>
                <w:sz w:val="24"/>
                <w:szCs w:val="22"/>
                <w:highlight w:val="none"/>
              </w:rPr>
              <w:t>；</w:t>
            </w:r>
          </w:p>
          <w:p w14:paraId="34183642">
            <w:pPr>
              <w:spacing w:line="276" w:lineRule="auto"/>
              <w:rPr>
                <w:rFonts w:hint="default" w:asciiTheme="minorEastAsia" w:hAnsiTheme="minorEastAsia" w:eastAsiaTheme="minorEastAsia" w:cstheme="minorEastAsia"/>
                <w:kern w:val="0"/>
                <w:sz w:val="24"/>
                <w:szCs w:val="22"/>
                <w:highlight w:val="none"/>
                <w:lang w:val="en-US" w:eastAsia="zh-CN"/>
              </w:rPr>
            </w:pPr>
            <w:r>
              <w:rPr>
                <w:rFonts w:hint="eastAsia" w:asciiTheme="minorEastAsia" w:hAnsiTheme="minorEastAsia" w:eastAsiaTheme="minorEastAsia" w:cstheme="minorEastAsia"/>
                <w:kern w:val="0"/>
                <w:sz w:val="24"/>
                <w:szCs w:val="22"/>
                <w:highlight w:val="none"/>
                <w:lang w:val="en-US" w:eastAsia="zh-CN"/>
              </w:rPr>
              <w:t>4.纯净波或单晶体</w:t>
            </w:r>
            <w:r>
              <w:rPr>
                <w:rFonts w:hint="eastAsia" w:asciiTheme="minorEastAsia" w:hAnsiTheme="minorEastAsia" w:eastAsiaTheme="minorEastAsia" w:cstheme="minorEastAsia"/>
                <w:kern w:val="0"/>
                <w:sz w:val="24"/>
                <w:szCs w:val="22"/>
                <w:highlight w:val="none"/>
              </w:rPr>
              <w:t>电子线阵探头</w:t>
            </w:r>
            <w:r>
              <w:rPr>
                <w:rFonts w:hint="eastAsia" w:asciiTheme="minorEastAsia" w:hAnsiTheme="minorEastAsia" w:eastAsiaTheme="minorEastAsia" w:cstheme="minorEastAsia"/>
                <w:kern w:val="0"/>
                <w:sz w:val="24"/>
                <w:szCs w:val="22"/>
                <w:highlight w:val="none"/>
                <w:lang w:val="en-US" w:eastAsia="zh-CN"/>
              </w:rPr>
              <w:t xml:space="preserve"> 1把；</w:t>
            </w:r>
          </w:p>
          <w:p w14:paraId="6934B933">
            <w:pPr>
              <w:numPr>
                <w:ilvl w:val="0"/>
                <w:numId w:val="0"/>
              </w:numPr>
              <w:spacing w:line="360" w:lineRule="auto"/>
              <w:jc w:val="left"/>
              <w:rPr>
                <w:rFonts w:hint="default"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kern w:val="0"/>
                <w:sz w:val="24"/>
                <w:szCs w:val="22"/>
                <w:highlight w:val="none"/>
                <w:lang w:val="en-US" w:eastAsia="zh-CN"/>
              </w:rPr>
              <w:t>5.</w:t>
            </w:r>
            <w:r>
              <w:rPr>
                <w:rFonts w:hint="eastAsia" w:asciiTheme="minorEastAsia" w:hAnsiTheme="minorEastAsia" w:eastAsiaTheme="minorEastAsia" w:cstheme="minorEastAsia"/>
                <w:kern w:val="0"/>
                <w:sz w:val="24"/>
                <w:szCs w:val="22"/>
                <w:highlight w:val="none"/>
              </w:rPr>
              <w:t>专用推车</w:t>
            </w:r>
            <w:r>
              <w:rPr>
                <w:rFonts w:hint="eastAsia" w:asciiTheme="minorEastAsia" w:hAnsiTheme="minorEastAsia" w:eastAsiaTheme="minorEastAsia" w:cstheme="minorEastAsia"/>
                <w:kern w:val="0"/>
                <w:sz w:val="24"/>
                <w:szCs w:val="22"/>
                <w:highlight w:val="none"/>
                <w:lang w:eastAsia="zh-CN"/>
              </w:rPr>
              <w:t>（</w:t>
            </w:r>
            <w:r>
              <w:rPr>
                <w:rFonts w:hint="eastAsia" w:asciiTheme="minorEastAsia" w:hAnsiTheme="minorEastAsia" w:eastAsiaTheme="minorEastAsia" w:cstheme="minorEastAsia"/>
                <w:kern w:val="0"/>
                <w:sz w:val="24"/>
                <w:szCs w:val="22"/>
                <w:highlight w:val="none"/>
              </w:rPr>
              <w:t>高度可调，台车带实体键盘</w:t>
            </w:r>
            <w:r>
              <w:rPr>
                <w:rFonts w:hint="eastAsia" w:asciiTheme="minorEastAsia" w:hAnsiTheme="minorEastAsia" w:eastAsiaTheme="minorEastAsia" w:cstheme="minorEastAsia"/>
                <w:kern w:val="0"/>
                <w:sz w:val="24"/>
                <w:szCs w:val="22"/>
                <w:highlight w:val="none"/>
                <w:lang w:eastAsia="zh-CN"/>
              </w:rPr>
              <w:t>）</w:t>
            </w:r>
            <w:r>
              <w:rPr>
                <w:rFonts w:hint="eastAsia" w:asciiTheme="minorEastAsia" w:hAnsiTheme="minorEastAsia" w:eastAsiaTheme="minorEastAsia" w:cstheme="minorEastAsia"/>
                <w:kern w:val="0"/>
                <w:sz w:val="24"/>
                <w:szCs w:val="22"/>
                <w:highlight w:val="none"/>
                <w:lang w:val="en-US" w:eastAsia="zh-CN"/>
              </w:rPr>
              <w:t>1台；</w:t>
            </w:r>
          </w:p>
          <w:p w14:paraId="3E3FB424">
            <w:pPr>
              <w:spacing w:line="360" w:lineRule="auto"/>
              <w:jc w:val="left"/>
              <w:rPr>
                <w:rFonts w:hint="default" w:asciiTheme="minorEastAsia" w:hAnsiTheme="minorEastAsia" w:eastAsiaTheme="minorEastAsia" w:cstheme="minorEastAsia"/>
                <w:kern w:val="0"/>
                <w:sz w:val="24"/>
                <w:szCs w:val="22"/>
                <w:highlight w:val="none"/>
                <w:lang w:val="en-US" w:eastAsia="zh-CN"/>
              </w:rPr>
            </w:pPr>
            <w:r>
              <w:rPr>
                <w:rFonts w:hint="eastAsia" w:asciiTheme="minorEastAsia" w:hAnsiTheme="minorEastAsia" w:eastAsiaTheme="minorEastAsia" w:cstheme="minorEastAsia"/>
                <w:kern w:val="0"/>
                <w:sz w:val="24"/>
                <w:szCs w:val="22"/>
                <w:highlight w:val="none"/>
                <w:lang w:val="en-US" w:eastAsia="zh-CN"/>
              </w:rPr>
              <w:t>6.所提供的探头适配的所有软件全部永久免费提供</w:t>
            </w:r>
          </w:p>
        </w:tc>
        <w:tc>
          <w:tcPr>
            <w:tcW w:w="831" w:type="dxa"/>
            <w:vAlign w:val="center"/>
          </w:tcPr>
          <w:p w14:paraId="6615ED9E">
            <w:pPr>
              <w:spacing w:line="360" w:lineRule="auto"/>
              <w:jc w:val="center"/>
              <w:rPr>
                <w:rFonts w:ascii="宋体" w:hAnsi="宋体" w:eastAsia="宋体"/>
                <w:bCs/>
                <w:color w:val="auto"/>
                <w:sz w:val="24"/>
                <w:szCs w:val="18"/>
                <w:highlight w:val="none"/>
              </w:rPr>
            </w:pPr>
            <w:r>
              <w:rPr>
                <w:rFonts w:hint="eastAsia" w:ascii="宋体" w:hAnsi="宋体" w:eastAsia="宋体"/>
                <w:bCs/>
                <w:color w:val="auto"/>
                <w:sz w:val="24"/>
                <w:szCs w:val="18"/>
                <w:highlight w:val="none"/>
              </w:rPr>
              <w:t>工业</w:t>
            </w:r>
          </w:p>
        </w:tc>
        <w:tc>
          <w:tcPr>
            <w:tcW w:w="877" w:type="dxa"/>
            <w:vAlign w:val="center"/>
          </w:tcPr>
          <w:p w14:paraId="36094161">
            <w:pPr>
              <w:spacing w:line="360" w:lineRule="auto"/>
              <w:jc w:val="center"/>
              <w:rPr>
                <w:rFonts w:ascii="宋体" w:hAnsi="宋体" w:eastAsia="宋体"/>
                <w:bCs/>
                <w:color w:val="auto"/>
                <w:sz w:val="24"/>
                <w:szCs w:val="18"/>
                <w:highlight w:val="none"/>
              </w:rPr>
            </w:pPr>
            <w:r>
              <w:rPr>
                <w:rFonts w:hint="eastAsia" w:ascii="宋体" w:hAnsi="宋体" w:eastAsia="宋体"/>
                <w:bCs/>
                <w:color w:val="auto"/>
                <w:sz w:val="24"/>
                <w:szCs w:val="18"/>
                <w:highlight w:val="none"/>
              </w:rPr>
              <w:t>/</w:t>
            </w:r>
          </w:p>
        </w:tc>
      </w:tr>
    </w:tbl>
    <w:p w14:paraId="2DFAB6A6">
      <w:pPr>
        <w:rPr>
          <w:rFonts w:hint="eastAsia" w:ascii="宋体" w:hAnsi="宋体" w:eastAsia="宋体"/>
          <w:b/>
          <w:bCs/>
          <w:sz w:val="24"/>
          <w:szCs w:val="18"/>
          <w:highlight w:val="none"/>
          <w:lang w:val="en-US" w:eastAsia="zh-CN"/>
        </w:rPr>
      </w:pPr>
    </w:p>
    <w:p w14:paraId="69E799E5">
      <w:pPr>
        <w:rPr>
          <w:rFonts w:hint="eastAsia" w:ascii="宋体" w:hAnsi="宋体" w:eastAsia="宋体"/>
          <w:b/>
          <w:bCs/>
          <w:sz w:val="24"/>
          <w:szCs w:val="18"/>
          <w:highlight w:val="none"/>
          <w:lang w:val="en-US" w:eastAsia="zh-CN"/>
        </w:rPr>
      </w:pPr>
      <w:r>
        <w:rPr>
          <w:rFonts w:hint="eastAsia" w:ascii="宋体" w:hAnsi="宋体" w:eastAsia="宋体"/>
          <w:b/>
          <w:bCs/>
          <w:sz w:val="24"/>
          <w:szCs w:val="18"/>
          <w:highlight w:val="none"/>
          <w:lang w:val="en-US" w:eastAsia="zh-CN"/>
        </w:rPr>
        <w:br w:type="page"/>
      </w:r>
    </w:p>
    <w:p w14:paraId="6A1BED20">
      <w:pPr>
        <w:rPr>
          <w:rFonts w:hint="eastAsia" w:ascii="宋体" w:hAnsi="宋体" w:eastAsia="宋体"/>
          <w:b/>
          <w:bCs/>
          <w:sz w:val="24"/>
          <w:szCs w:val="18"/>
          <w:highlight w:val="none"/>
        </w:rPr>
      </w:pPr>
      <w:r>
        <w:rPr>
          <w:rFonts w:hint="eastAsia" w:ascii="宋体" w:hAnsi="宋体" w:eastAsia="宋体"/>
          <w:b/>
          <w:bCs/>
          <w:sz w:val="24"/>
          <w:szCs w:val="18"/>
          <w:highlight w:val="none"/>
          <w:lang w:val="en-US" w:eastAsia="zh-CN"/>
        </w:rPr>
        <w:t>04包：便携式彩色多普勒超声诊断系统</w:t>
      </w:r>
    </w:p>
    <w:tbl>
      <w:tblPr>
        <w:tblStyle w:val="26"/>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47"/>
        <w:gridCol w:w="5932"/>
        <w:gridCol w:w="831"/>
        <w:gridCol w:w="877"/>
      </w:tblGrid>
      <w:tr w14:paraId="5E3F3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14:paraId="120EADE3">
            <w:pPr>
              <w:spacing w:line="360" w:lineRule="auto"/>
              <w:jc w:val="center"/>
              <w:rPr>
                <w:rFonts w:ascii="宋体" w:hAnsi="宋体" w:eastAsia="宋体"/>
                <w:b/>
                <w:bCs/>
                <w:sz w:val="24"/>
                <w:szCs w:val="18"/>
                <w:highlight w:val="none"/>
              </w:rPr>
            </w:pPr>
            <w:r>
              <w:rPr>
                <w:rFonts w:hint="eastAsia" w:ascii="宋体" w:hAnsi="宋体" w:eastAsia="宋体"/>
                <w:b/>
                <w:bCs/>
                <w:sz w:val="24"/>
                <w:szCs w:val="18"/>
                <w:highlight w:val="none"/>
              </w:rPr>
              <w:t>序号</w:t>
            </w:r>
          </w:p>
        </w:tc>
        <w:tc>
          <w:tcPr>
            <w:tcW w:w="1147" w:type="dxa"/>
            <w:vAlign w:val="center"/>
          </w:tcPr>
          <w:p w14:paraId="08D646A0">
            <w:pPr>
              <w:spacing w:line="360" w:lineRule="auto"/>
              <w:jc w:val="center"/>
              <w:rPr>
                <w:rFonts w:ascii="宋体" w:hAnsi="宋体" w:eastAsia="宋体"/>
                <w:b/>
                <w:bCs/>
                <w:sz w:val="24"/>
                <w:szCs w:val="18"/>
                <w:highlight w:val="none"/>
              </w:rPr>
            </w:pPr>
            <w:r>
              <w:rPr>
                <w:rFonts w:hint="eastAsia" w:ascii="宋体" w:hAnsi="宋体" w:eastAsia="宋体"/>
                <w:b/>
                <w:bCs/>
                <w:sz w:val="24"/>
                <w:szCs w:val="18"/>
                <w:highlight w:val="none"/>
              </w:rPr>
              <w:t>货物名称</w:t>
            </w:r>
          </w:p>
        </w:tc>
        <w:tc>
          <w:tcPr>
            <w:tcW w:w="5932" w:type="dxa"/>
            <w:vAlign w:val="center"/>
          </w:tcPr>
          <w:p w14:paraId="6DE99D14">
            <w:pPr>
              <w:spacing w:line="360" w:lineRule="auto"/>
              <w:jc w:val="center"/>
              <w:rPr>
                <w:rFonts w:ascii="宋体" w:hAnsi="宋体" w:eastAsia="宋体"/>
                <w:b/>
                <w:bCs/>
                <w:sz w:val="24"/>
                <w:szCs w:val="18"/>
                <w:highlight w:val="none"/>
              </w:rPr>
            </w:pPr>
            <w:r>
              <w:rPr>
                <w:rFonts w:hint="eastAsia" w:ascii="宋体" w:hAnsi="宋体" w:eastAsia="宋体"/>
                <w:b/>
                <w:bCs/>
                <w:sz w:val="24"/>
                <w:szCs w:val="18"/>
                <w:highlight w:val="none"/>
              </w:rPr>
              <w:t>技术参数及要求</w:t>
            </w:r>
          </w:p>
        </w:tc>
        <w:tc>
          <w:tcPr>
            <w:tcW w:w="831" w:type="dxa"/>
            <w:vAlign w:val="center"/>
          </w:tcPr>
          <w:p w14:paraId="48AFF66D">
            <w:pPr>
              <w:spacing w:line="360" w:lineRule="auto"/>
              <w:jc w:val="center"/>
              <w:rPr>
                <w:rFonts w:ascii="宋体" w:hAnsi="宋体" w:eastAsia="宋体"/>
                <w:b/>
                <w:bCs/>
                <w:sz w:val="24"/>
                <w:szCs w:val="18"/>
                <w:highlight w:val="none"/>
              </w:rPr>
            </w:pPr>
            <w:r>
              <w:rPr>
                <w:rFonts w:hint="eastAsia" w:ascii="宋体" w:hAnsi="宋体" w:eastAsia="宋体"/>
                <w:b/>
                <w:bCs/>
                <w:sz w:val="24"/>
                <w:szCs w:val="18"/>
                <w:highlight w:val="none"/>
              </w:rPr>
              <w:t>所属</w:t>
            </w:r>
          </w:p>
          <w:p w14:paraId="172B618B">
            <w:pPr>
              <w:spacing w:line="360" w:lineRule="auto"/>
              <w:jc w:val="center"/>
              <w:rPr>
                <w:rFonts w:ascii="宋体" w:hAnsi="宋体" w:eastAsia="宋体"/>
                <w:b/>
                <w:bCs/>
                <w:sz w:val="24"/>
                <w:szCs w:val="18"/>
                <w:highlight w:val="none"/>
              </w:rPr>
            </w:pPr>
            <w:r>
              <w:rPr>
                <w:rFonts w:hint="eastAsia" w:ascii="宋体" w:hAnsi="宋体" w:eastAsia="宋体"/>
                <w:b/>
                <w:bCs/>
                <w:sz w:val="24"/>
                <w:szCs w:val="18"/>
                <w:highlight w:val="none"/>
              </w:rPr>
              <w:t>行业</w:t>
            </w:r>
          </w:p>
        </w:tc>
        <w:tc>
          <w:tcPr>
            <w:tcW w:w="877" w:type="dxa"/>
            <w:vAlign w:val="center"/>
          </w:tcPr>
          <w:p w14:paraId="0603C1A9">
            <w:pPr>
              <w:spacing w:line="360" w:lineRule="auto"/>
              <w:jc w:val="center"/>
              <w:rPr>
                <w:rFonts w:ascii="宋体" w:hAnsi="宋体" w:eastAsia="宋体"/>
                <w:b/>
                <w:bCs/>
                <w:sz w:val="24"/>
                <w:szCs w:val="18"/>
                <w:highlight w:val="none"/>
              </w:rPr>
            </w:pPr>
            <w:r>
              <w:rPr>
                <w:rFonts w:hint="eastAsia" w:ascii="宋体" w:hAnsi="宋体" w:eastAsia="宋体"/>
                <w:b/>
                <w:bCs/>
                <w:sz w:val="24"/>
                <w:szCs w:val="18"/>
                <w:highlight w:val="none"/>
              </w:rPr>
              <w:t>备注</w:t>
            </w:r>
          </w:p>
        </w:tc>
      </w:tr>
      <w:tr w14:paraId="40950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20" w:type="dxa"/>
            <w:vAlign w:val="center"/>
          </w:tcPr>
          <w:p w14:paraId="408C709F">
            <w:pPr>
              <w:spacing w:line="360" w:lineRule="auto"/>
              <w:jc w:val="center"/>
              <w:rPr>
                <w:rFonts w:ascii="宋体" w:hAnsi="宋体" w:eastAsia="宋体"/>
                <w:color w:val="auto"/>
                <w:sz w:val="24"/>
                <w:szCs w:val="18"/>
                <w:highlight w:val="none"/>
              </w:rPr>
            </w:pPr>
            <w:r>
              <w:rPr>
                <w:rFonts w:hint="eastAsia" w:ascii="宋体" w:hAnsi="宋体" w:eastAsia="宋体"/>
                <w:color w:val="auto"/>
                <w:sz w:val="24"/>
                <w:szCs w:val="18"/>
                <w:highlight w:val="none"/>
              </w:rPr>
              <w:t>1</w:t>
            </w:r>
          </w:p>
        </w:tc>
        <w:tc>
          <w:tcPr>
            <w:tcW w:w="1147" w:type="dxa"/>
            <w:vAlign w:val="center"/>
          </w:tcPr>
          <w:p w14:paraId="40072773">
            <w:pPr>
              <w:spacing w:line="360" w:lineRule="auto"/>
              <w:jc w:val="center"/>
              <w:rPr>
                <w:rFonts w:ascii="宋体" w:hAnsi="宋体" w:eastAsia="宋体"/>
                <w:bCs/>
                <w:color w:val="auto"/>
                <w:sz w:val="24"/>
                <w:szCs w:val="18"/>
                <w:highlight w:val="none"/>
              </w:rPr>
            </w:pPr>
            <w:r>
              <w:rPr>
                <w:rFonts w:hint="eastAsia" w:ascii="宋体" w:hAnsi="宋体" w:eastAsia="宋体"/>
                <w:bCs/>
                <w:color w:val="auto"/>
                <w:sz w:val="24"/>
                <w:szCs w:val="18"/>
                <w:highlight w:val="none"/>
              </w:rPr>
              <w:t>便携式彩色多普勒超声诊断系统</w:t>
            </w:r>
          </w:p>
        </w:tc>
        <w:tc>
          <w:tcPr>
            <w:tcW w:w="5932" w:type="dxa"/>
            <w:vAlign w:val="center"/>
          </w:tcPr>
          <w:p w14:paraId="4656B1FF">
            <w:pPr>
              <w:widowControl/>
              <w:spacing w:after="200"/>
              <w:jc w:val="left"/>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性能</w:t>
            </w:r>
            <w:r>
              <w:rPr>
                <w:rFonts w:hint="eastAsia" w:asciiTheme="minorEastAsia" w:hAnsiTheme="minorEastAsia" w:eastAsiaTheme="minorEastAsia" w:cstheme="minorEastAsia"/>
                <w:b/>
                <w:bCs/>
                <w:color w:val="auto"/>
                <w:sz w:val="24"/>
                <w:szCs w:val="24"/>
                <w:highlight w:val="none"/>
              </w:rPr>
              <w:t>参数</w:t>
            </w:r>
            <w:r>
              <w:rPr>
                <w:rFonts w:hint="eastAsia" w:asciiTheme="minorEastAsia" w:hAnsiTheme="minorEastAsia" w:eastAsiaTheme="minorEastAsia" w:cstheme="minorEastAsia"/>
                <w:b/>
                <w:bCs/>
                <w:sz w:val="24"/>
                <w:szCs w:val="24"/>
                <w:highlight w:val="none"/>
              </w:rPr>
              <w:t>：</w:t>
            </w:r>
          </w:p>
          <w:p w14:paraId="72308378">
            <w:pPr>
              <w:widowControl/>
              <w:spacing w:after="200"/>
              <w:jc w:val="left"/>
              <w:textAlignment w:val="baseline"/>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1、主机系统：</w:t>
            </w:r>
          </w:p>
          <w:p w14:paraId="71F4CEB5">
            <w:pPr>
              <w:widowControl/>
              <w:spacing w:after="200"/>
              <w:jc w:val="left"/>
              <w:textAlignment w:val="baseline"/>
              <w:rPr>
                <w:rFonts w:hint="eastAsia" w:asciiTheme="minorEastAsia" w:hAnsiTheme="minorEastAsia" w:eastAsiaTheme="minorEastAsia" w:cstheme="minorEastAsia"/>
                <w:bCs/>
                <w:kern w:val="0"/>
                <w:sz w:val="24"/>
                <w:szCs w:val="24"/>
                <w:highlight w:val="none"/>
              </w:rPr>
            </w:pP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cstheme="minorEastAsia"/>
                <w:bCs/>
                <w:kern w:val="0"/>
                <w:sz w:val="24"/>
                <w:szCs w:val="24"/>
                <w:highlight w:val="none"/>
              </w:rPr>
              <w:t>1.1、监视器：≥ 15英寸液晶显示器；</w:t>
            </w:r>
          </w:p>
          <w:p w14:paraId="39FB9FAC">
            <w:pPr>
              <w:pStyle w:val="25"/>
              <w:spacing w:line="240" w:lineRule="auto"/>
              <w:ind w:left="0" w:leftChars="0" w:firstLine="0" w:firstLineChars="0"/>
              <w:textAlignment w:val="baseline"/>
              <w:rPr>
                <w:rFonts w:hint="eastAsia" w:asciiTheme="minorEastAsia" w:hAnsiTheme="minorEastAsia" w:eastAsiaTheme="minorEastAsia" w:cstheme="minorEastAsia"/>
                <w:sz w:val="24"/>
                <w:szCs w:val="24"/>
                <w:highlight w:val="none"/>
              </w:rPr>
            </w:pP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cstheme="minorEastAsia"/>
                <w:bCs/>
                <w:kern w:val="0"/>
                <w:sz w:val="24"/>
                <w:szCs w:val="24"/>
                <w:highlight w:val="none"/>
              </w:rPr>
              <w:t>1.2、内置≥12英寸触摸操作屏，支持自定义设置</w:t>
            </w:r>
          </w:p>
          <w:p w14:paraId="547B2F85">
            <w:pPr>
              <w:widowControl/>
              <w:spacing w:after="200"/>
              <w:jc w:val="left"/>
              <w:textAlignment w:val="baseline"/>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1.3、具备二维灰阶成像单元；</w:t>
            </w:r>
          </w:p>
          <w:p w14:paraId="66CA19D9">
            <w:pPr>
              <w:widowControl/>
              <w:spacing w:after="200"/>
              <w:jc w:val="left"/>
              <w:textAlignment w:val="baseline"/>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1.4、具备彩色多普勒成像单元；</w:t>
            </w:r>
            <w:r>
              <w:rPr>
                <w:rFonts w:hint="eastAsia" w:asciiTheme="minorEastAsia" w:hAnsiTheme="minorEastAsia" w:eastAsiaTheme="minorEastAsia" w:cstheme="minorEastAsia"/>
                <w:bCs/>
                <w:kern w:val="0"/>
                <w:sz w:val="24"/>
                <w:szCs w:val="24"/>
                <w:highlight w:val="none"/>
              </w:rPr>
              <w:tab/>
            </w:r>
          </w:p>
          <w:p w14:paraId="6822E065">
            <w:pPr>
              <w:widowControl/>
              <w:spacing w:after="200"/>
              <w:jc w:val="left"/>
              <w:textAlignment w:val="baseline"/>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1.5、具备频谱多普勒显示及分析单元；</w:t>
            </w:r>
            <w:r>
              <w:rPr>
                <w:rFonts w:hint="eastAsia" w:asciiTheme="minorEastAsia" w:hAnsiTheme="minorEastAsia" w:eastAsiaTheme="minorEastAsia" w:cstheme="minorEastAsia"/>
                <w:bCs/>
                <w:kern w:val="0"/>
                <w:sz w:val="24"/>
                <w:szCs w:val="24"/>
                <w:highlight w:val="none"/>
              </w:rPr>
              <w:tab/>
            </w:r>
          </w:p>
          <w:p w14:paraId="6F8D2FCC">
            <w:pPr>
              <w:widowControl/>
              <w:spacing w:after="200"/>
              <w:jc w:val="left"/>
              <w:textAlignment w:val="baseline"/>
              <w:rPr>
                <w:rFonts w:hint="eastAsia" w:asciiTheme="minorEastAsia" w:hAnsiTheme="minorEastAsia" w:eastAsiaTheme="minorEastAsia" w:cstheme="minorEastAsia"/>
                <w:bCs/>
                <w:kern w:val="0"/>
                <w:sz w:val="24"/>
                <w:szCs w:val="24"/>
                <w:highlight w:val="none"/>
              </w:rPr>
            </w:pP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cstheme="minorEastAsia"/>
                <w:bCs/>
                <w:kern w:val="0"/>
                <w:sz w:val="24"/>
                <w:szCs w:val="24"/>
                <w:highlight w:val="none"/>
              </w:rPr>
              <w:t>1.6、具备高级空间复合成像功能，可支持线阵及凸阵探头，做曲别针实验≥9线（提供证明材料）；</w:t>
            </w:r>
          </w:p>
          <w:p w14:paraId="42A4B04A">
            <w:pPr>
              <w:widowControl/>
              <w:spacing w:after="200"/>
              <w:jc w:val="left"/>
              <w:textAlignment w:val="baseline"/>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1.7、具备一键优化功能，可实时优化图像质量；</w:t>
            </w:r>
          </w:p>
          <w:p w14:paraId="24D5CAFD">
            <w:pPr>
              <w:widowControl/>
              <w:spacing w:after="200"/>
              <w:jc w:val="left"/>
              <w:textAlignment w:val="baseline"/>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1.8、具有组织谐波技术：可提升横向分辨力及组织对比度；</w:t>
            </w:r>
          </w:p>
          <w:p w14:paraId="2A2378AF">
            <w:pPr>
              <w:widowControl/>
              <w:spacing w:after="200"/>
              <w:jc w:val="left"/>
              <w:textAlignment w:val="baseline"/>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1.9、具有斑点噪声抑制技术，可提高组织边界的显示，多级可调；</w:t>
            </w:r>
          </w:p>
          <w:p w14:paraId="3EBCF730">
            <w:pPr>
              <w:widowControl/>
              <w:spacing w:after="200"/>
              <w:jc w:val="left"/>
              <w:textAlignment w:val="baseline"/>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1.10、智能化自编程预设置功能，针对不同的检查脏器预置最佳优化图像的检查前条件，具有脏器图形化图标及文字介绍快速引导至预置的检查调节；</w:t>
            </w:r>
          </w:p>
          <w:p w14:paraId="0C1FD441">
            <w:pPr>
              <w:pStyle w:val="25"/>
              <w:spacing w:line="240" w:lineRule="auto"/>
              <w:ind w:left="0" w:leftChars="0" w:firstLine="0" w:firstLineChars="0"/>
              <w:textAlignment w:val="baseline"/>
              <w:rPr>
                <w:rFonts w:hint="eastAsia" w:asciiTheme="minorEastAsia" w:hAnsiTheme="minorEastAsia" w:eastAsiaTheme="minorEastAsia" w:cstheme="minorEastAsia"/>
                <w:bCs/>
                <w:strike/>
                <w:kern w:val="0"/>
                <w:sz w:val="24"/>
                <w:szCs w:val="24"/>
                <w:highlight w:val="none"/>
              </w:rPr>
            </w:pP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cstheme="minorEastAsia"/>
                <w:bCs/>
                <w:kern w:val="0"/>
                <w:sz w:val="24"/>
                <w:szCs w:val="24"/>
                <w:highlight w:val="none"/>
              </w:rPr>
              <w:t>1.11、具有智能穿刺针增强应用，支持凸阵探头及线阵探头应用。</w:t>
            </w:r>
          </w:p>
          <w:p w14:paraId="40F1C830">
            <w:pPr>
              <w:pStyle w:val="25"/>
              <w:spacing w:line="240" w:lineRule="auto"/>
              <w:ind w:left="0" w:leftChars="0" w:firstLine="0" w:firstLineChars="0"/>
              <w:textAlignment w:val="baseline"/>
              <w:rPr>
                <w:rFonts w:hint="eastAsia" w:asciiTheme="minorEastAsia" w:hAnsiTheme="minorEastAsia" w:eastAsiaTheme="minorEastAsia" w:cstheme="minorEastAsia"/>
                <w:bCs/>
                <w:kern w:val="0"/>
                <w:sz w:val="24"/>
                <w:szCs w:val="24"/>
                <w:highlight w:val="none"/>
              </w:rPr>
            </w:pP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cstheme="minorEastAsia"/>
                <w:bCs/>
                <w:kern w:val="0"/>
                <w:sz w:val="24"/>
                <w:szCs w:val="24"/>
                <w:highlight w:val="none"/>
              </w:rPr>
              <w:t>1.12、具有智能下腔静脉测量技术，可智能识别下腔静脉，自动定位IVC。</w:t>
            </w:r>
          </w:p>
          <w:p w14:paraId="244FBA3B">
            <w:pPr>
              <w:pStyle w:val="25"/>
              <w:spacing w:line="240" w:lineRule="auto"/>
              <w:ind w:left="0" w:leftChars="0" w:firstLine="0" w:firstLineChars="0"/>
              <w:textAlignment w:val="baseline"/>
              <w:rPr>
                <w:rFonts w:hint="eastAsia" w:asciiTheme="minorEastAsia" w:hAnsiTheme="minorEastAsia" w:eastAsiaTheme="minorEastAsia" w:cstheme="minorEastAsia"/>
                <w:bCs/>
                <w:kern w:val="0"/>
                <w:sz w:val="24"/>
                <w:szCs w:val="24"/>
                <w:highlight w:val="none"/>
              </w:rPr>
            </w:pP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cstheme="minorEastAsia"/>
                <w:bCs/>
                <w:kern w:val="0"/>
                <w:sz w:val="24"/>
                <w:szCs w:val="24"/>
                <w:highlight w:val="none"/>
              </w:rPr>
              <w:t>1.13、具有智能VTI时间速度积分测量技术，并获得VTI,SV,CO SVV（每搏量）等数值。</w:t>
            </w:r>
          </w:p>
          <w:p w14:paraId="6F457DDD">
            <w:pPr>
              <w:pStyle w:val="25"/>
              <w:spacing w:line="240" w:lineRule="auto"/>
              <w:ind w:left="0" w:leftChars="0" w:firstLine="0" w:firstLineChars="0"/>
              <w:textAlignment w:val="baseline"/>
              <w:rPr>
                <w:rFonts w:hint="eastAsia" w:asciiTheme="minorEastAsia" w:hAnsiTheme="minorEastAsia" w:eastAsiaTheme="minorEastAsia" w:cstheme="minorEastAsia"/>
                <w:bCs/>
                <w:kern w:val="0"/>
                <w:sz w:val="24"/>
                <w:szCs w:val="24"/>
                <w:highlight w:val="none"/>
              </w:rPr>
            </w:pP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cstheme="minorEastAsia"/>
                <w:bCs/>
                <w:kern w:val="0"/>
                <w:sz w:val="24"/>
                <w:szCs w:val="24"/>
                <w:highlight w:val="none"/>
              </w:rPr>
              <w:t>1.14、具有智能肺超B线测量技术，可智能自动计算实时图像上的B线数量。</w:t>
            </w:r>
          </w:p>
          <w:p w14:paraId="4113CD1D">
            <w:pPr>
              <w:widowControl/>
              <w:spacing w:after="200"/>
              <w:jc w:val="left"/>
              <w:textAlignment w:val="baseline"/>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2、测量和分析 ( B-型、M-型、频谱多普勒、彩色多普勒模式) ：</w:t>
            </w:r>
            <w:r>
              <w:rPr>
                <w:rFonts w:hint="eastAsia" w:asciiTheme="minorEastAsia" w:hAnsiTheme="minorEastAsia" w:eastAsiaTheme="minorEastAsia" w:cstheme="minorEastAsia"/>
                <w:bCs/>
                <w:kern w:val="0"/>
                <w:sz w:val="24"/>
                <w:szCs w:val="24"/>
                <w:highlight w:val="none"/>
              </w:rPr>
              <w:tab/>
            </w:r>
          </w:p>
          <w:p w14:paraId="564F77E5">
            <w:pPr>
              <w:widowControl/>
              <w:spacing w:after="200"/>
              <w:jc w:val="left"/>
              <w:textAlignment w:val="baseline"/>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2.1、一般测量（包含产科测量、心脏功能测量、外周血管测量与分析等）；</w:t>
            </w:r>
          </w:p>
          <w:p w14:paraId="681ED8DA">
            <w:pPr>
              <w:widowControl/>
              <w:spacing w:after="200"/>
              <w:jc w:val="left"/>
              <w:textAlignment w:val="baseline"/>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2.2、参考信号：心电图、心电触发</w:t>
            </w:r>
            <w:r>
              <w:rPr>
                <w:rFonts w:hint="eastAsia" w:asciiTheme="minorEastAsia" w:hAnsiTheme="minorEastAsia" w:eastAsiaTheme="minorEastAsia" w:cstheme="minorEastAsia"/>
                <w:bCs/>
                <w:kern w:val="0"/>
                <w:sz w:val="24"/>
                <w:szCs w:val="24"/>
                <w:highlight w:val="none"/>
              </w:rPr>
              <w:tab/>
            </w:r>
          </w:p>
          <w:p w14:paraId="0B0F15E2">
            <w:pPr>
              <w:widowControl/>
              <w:spacing w:after="200"/>
              <w:jc w:val="left"/>
              <w:textAlignment w:val="baseline"/>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 xml:space="preserve">2.3、具有病人图像及数据管理系统，可数字化静态、动态图像采集、存储、回顾及传输，内置≥120GB固态硬盘，图像可存储为PC兼容格式。 </w:t>
            </w:r>
          </w:p>
          <w:p w14:paraId="1C0756FB">
            <w:pPr>
              <w:widowControl/>
              <w:spacing w:after="200"/>
              <w:jc w:val="left"/>
              <w:textAlignment w:val="baseline"/>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2.3.1、具备USB接口，可向外部PC机传送图像并用通用的图像软件来查看图像；</w:t>
            </w:r>
          </w:p>
          <w:p w14:paraId="67E44158">
            <w:pPr>
              <w:widowControl/>
              <w:spacing w:after="200"/>
              <w:jc w:val="left"/>
              <w:textAlignment w:val="baseline"/>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2.3.2、具备DICOM 3.0 标准接口，符合PACS系统影像和数据上传的要求；</w:t>
            </w:r>
          </w:p>
          <w:p w14:paraId="2D906087">
            <w:pPr>
              <w:widowControl/>
              <w:spacing w:after="200"/>
              <w:jc w:val="left"/>
              <w:textAlignment w:val="baseline"/>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2.3.3、可连接心电图；</w:t>
            </w:r>
          </w:p>
          <w:p w14:paraId="2911158D">
            <w:pPr>
              <w:widowControl/>
              <w:spacing w:after="200"/>
              <w:jc w:val="left"/>
              <w:textAlignment w:val="baseline"/>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2.4、输入/输出信号</w:t>
            </w:r>
            <w:r>
              <w:rPr>
                <w:rFonts w:hint="eastAsia" w:asciiTheme="minorEastAsia" w:hAnsiTheme="minorEastAsia" w:eastAsiaTheme="minorEastAsia" w:cstheme="minorEastAsia"/>
                <w:bCs/>
                <w:kern w:val="0"/>
                <w:sz w:val="24"/>
                <w:szCs w:val="24"/>
                <w:highlight w:val="none"/>
              </w:rPr>
              <w:tab/>
            </w:r>
          </w:p>
          <w:p w14:paraId="387A78C2">
            <w:pPr>
              <w:widowControl/>
              <w:spacing w:after="200"/>
              <w:jc w:val="left"/>
              <w:textAlignment w:val="baseline"/>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2.4.1、输入：VCR、外部视频、RGB彩色视频等；</w:t>
            </w:r>
            <w:r>
              <w:rPr>
                <w:rFonts w:hint="eastAsia" w:asciiTheme="minorEastAsia" w:hAnsiTheme="minorEastAsia" w:eastAsiaTheme="minorEastAsia" w:cstheme="minorEastAsia"/>
                <w:bCs/>
                <w:kern w:val="0"/>
                <w:sz w:val="24"/>
                <w:szCs w:val="24"/>
                <w:highlight w:val="none"/>
              </w:rPr>
              <w:tab/>
            </w:r>
          </w:p>
          <w:p w14:paraId="1CE67343">
            <w:pPr>
              <w:widowControl/>
              <w:spacing w:after="200"/>
              <w:jc w:val="left"/>
              <w:textAlignment w:val="baseline"/>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2.4.2、输出：复合视频、RGB彩色视频/S - 视频、USB等。</w:t>
            </w:r>
            <w:r>
              <w:rPr>
                <w:rFonts w:hint="eastAsia" w:asciiTheme="minorEastAsia" w:hAnsiTheme="minorEastAsia" w:eastAsiaTheme="minorEastAsia" w:cstheme="minorEastAsia"/>
                <w:bCs/>
                <w:kern w:val="0"/>
                <w:sz w:val="24"/>
                <w:szCs w:val="24"/>
                <w:highlight w:val="none"/>
              </w:rPr>
              <w:tab/>
            </w:r>
          </w:p>
          <w:p w14:paraId="08CE9721">
            <w:pPr>
              <w:widowControl/>
              <w:spacing w:after="200"/>
              <w:jc w:val="left"/>
              <w:textAlignment w:val="baseline"/>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2.5、系统通用功能</w:t>
            </w:r>
            <w:r>
              <w:rPr>
                <w:rFonts w:hint="eastAsia" w:asciiTheme="minorEastAsia" w:hAnsiTheme="minorEastAsia" w:eastAsiaTheme="minorEastAsia" w:cstheme="minorEastAsia"/>
                <w:bCs/>
                <w:kern w:val="0"/>
                <w:sz w:val="24"/>
                <w:szCs w:val="24"/>
                <w:highlight w:val="none"/>
              </w:rPr>
              <w:tab/>
            </w:r>
          </w:p>
          <w:p w14:paraId="40EF9606">
            <w:pPr>
              <w:widowControl/>
              <w:spacing w:after="200"/>
              <w:jc w:val="left"/>
              <w:textAlignment w:val="baseline"/>
              <w:rPr>
                <w:rFonts w:hint="eastAsia" w:asciiTheme="minorEastAsia" w:hAnsiTheme="minorEastAsia" w:eastAsiaTheme="minorEastAsia" w:cstheme="minorEastAsia"/>
                <w:bCs/>
                <w:strike/>
                <w:kern w:val="0"/>
                <w:sz w:val="24"/>
                <w:szCs w:val="24"/>
                <w:highlight w:val="none"/>
              </w:rPr>
            </w:pP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cstheme="minorEastAsia"/>
                <w:bCs/>
                <w:kern w:val="0"/>
                <w:sz w:val="24"/>
                <w:szCs w:val="24"/>
                <w:highlight w:val="none"/>
              </w:rPr>
              <w:t>2.5.1、标配语音远程控制单元。</w:t>
            </w:r>
          </w:p>
          <w:p w14:paraId="58AE0B97">
            <w:pPr>
              <w:widowControl/>
              <w:spacing w:after="200"/>
              <w:jc w:val="left"/>
              <w:textAlignment w:val="baseline"/>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2.5.2、主机具备标准探头接口≥1个，标配</w:t>
            </w:r>
            <w:r>
              <w:rPr>
                <w:rFonts w:hint="eastAsia" w:asciiTheme="minorEastAsia" w:hAnsiTheme="minorEastAsia" w:eastAsiaTheme="minorEastAsia" w:cstheme="minorEastAsia"/>
                <w:sz w:val="24"/>
                <w:szCs w:val="24"/>
                <w:highlight w:val="none"/>
              </w:rPr>
              <w:t>三探头转换器</w:t>
            </w:r>
            <w:r>
              <w:rPr>
                <w:rFonts w:hint="eastAsia" w:asciiTheme="minorEastAsia" w:hAnsiTheme="minorEastAsia" w:eastAsiaTheme="minorEastAsia" w:cstheme="minorEastAsia"/>
                <w:bCs/>
                <w:kern w:val="0"/>
                <w:sz w:val="24"/>
                <w:szCs w:val="24"/>
                <w:highlight w:val="none"/>
              </w:rPr>
              <w:t xml:space="preserve">，可同时激活探头接口≥3个，可切换使用； </w:t>
            </w:r>
          </w:p>
          <w:p w14:paraId="04A177D4">
            <w:pPr>
              <w:widowControl/>
              <w:spacing w:after="200"/>
              <w:jc w:val="left"/>
              <w:textAlignment w:val="baseline"/>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2.5.3、主机面板为内置触摸板；</w:t>
            </w:r>
          </w:p>
          <w:p w14:paraId="189A38B5">
            <w:pPr>
              <w:widowControl/>
              <w:spacing w:after="200"/>
              <w:jc w:val="left"/>
              <w:textAlignment w:val="baseline"/>
              <w:rPr>
                <w:rFonts w:hint="eastAsia" w:asciiTheme="minorEastAsia" w:hAnsiTheme="minorEastAsia" w:eastAsiaTheme="minorEastAsia" w:cstheme="minorEastAsia"/>
                <w:bCs/>
                <w:kern w:val="0"/>
                <w:sz w:val="24"/>
                <w:szCs w:val="24"/>
                <w:highlight w:val="none"/>
              </w:rPr>
            </w:pP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cstheme="minorEastAsia"/>
                <w:bCs/>
                <w:kern w:val="0"/>
                <w:sz w:val="24"/>
                <w:szCs w:val="24"/>
                <w:highlight w:val="none"/>
              </w:rPr>
              <w:t>2.5.4、主机含电池重量 ≤4Kg；</w:t>
            </w:r>
          </w:p>
          <w:p w14:paraId="7605354C">
            <w:pPr>
              <w:widowControl/>
              <w:spacing w:after="200"/>
              <w:jc w:val="left"/>
              <w:textAlignment w:val="baseline"/>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2.5.5、内置锂电池，电池连续工作时间（非冻结模式）：≥5小时；</w:t>
            </w:r>
          </w:p>
          <w:p w14:paraId="3DBE0FF2">
            <w:pPr>
              <w:widowControl/>
              <w:spacing w:after="200"/>
              <w:jc w:val="left"/>
              <w:textAlignment w:val="baseline"/>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2.6、探头规格：</w:t>
            </w:r>
            <w:r>
              <w:rPr>
                <w:rFonts w:hint="eastAsia" w:asciiTheme="minorEastAsia" w:hAnsiTheme="minorEastAsia" w:eastAsiaTheme="minorEastAsia" w:cstheme="minorEastAsia"/>
                <w:bCs/>
                <w:kern w:val="0"/>
                <w:sz w:val="24"/>
                <w:szCs w:val="24"/>
                <w:highlight w:val="none"/>
              </w:rPr>
              <w:tab/>
            </w:r>
          </w:p>
          <w:p w14:paraId="456B5D26">
            <w:pPr>
              <w:widowControl/>
              <w:spacing w:after="200"/>
              <w:jc w:val="left"/>
              <w:textAlignment w:val="baseline"/>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2.6.1、探头频率范围：2～15MHz</w:t>
            </w:r>
          </w:p>
          <w:p w14:paraId="462C8A7E">
            <w:pPr>
              <w:widowControl/>
              <w:spacing w:after="200"/>
              <w:jc w:val="left"/>
              <w:textAlignment w:val="baseline"/>
              <w:rPr>
                <w:rFonts w:hint="eastAsia" w:asciiTheme="minorEastAsia" w:hAnsiTheme="minorEastAsia" w:eastAsiaTheme="minorEastAsia" w:cstheme="minorEastAsia"/>
                <w:bCs/>
                <w:kern w:val="0"/>
                <w:sz w:val="24"/>
                <w:szCs w:val="24"/>
                <w:highlight w:val="none"/>
              </w:rPr>
            </w:pP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cstheme="minorEastAsia"/>
                <w:bCs/>
                <w:kern w:val="0"/>
                <w:sz w:val="24"/>
                <w:szCs w:val="24"/>
                <w:highlight w:val="none"/>
              </w:rPr>
              <w:t>2.6.2、最大成像深度 ≥40cm；</w:t>
            </w:r>
          </w:p>
          <w:p w14:paraId="0E55FC14">
            <w:pPr>
              <w:widowControl/>
              <w:spacing w:after="200"/>
              <w:jc w:val="left"/>
              <w:textAlignment w:val="baseline"/>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2.7、二维成像主要参数：</w:t>
            </w:r>
          </w:p>
          <w:p w14:paraId="1510B353">
            <w:pPr>
              <w:widowControl/>
              <w:spacing w:after="200"/>
              <w:jc w:val="lef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Cs/>
                <w:kern w:val="0"/>
                <w:sz w:val="24"/>
                <w:szCs w:val="24"/>
                <w:highlight w:val="none"/>
              </w:rPr>
              <w:t>2.7.1、显示：全屏、双幅显示；</w:t>
            </w:r>
            <w:r>
              <w:rPr>
                <w:rFonts w:hint="eastAsia" w:asciiTheme="minorEastAsia" w:hAnsiTheme="minorEastAsia" w:eastAsiaTheme="minorEastAsia" w:cstheme="minorEastAsia"/>
                <w:bCs/>
                <w:kern w:val="0"/>
                <w:sz w:val="24"/>
                <w:szCs w:val="24"/>
                <w:highlight w:val="none"/>
              </w:rPr>
              <w:tab/>
            </w:r>
          </w:p>
          <w:p w14:paraId="0A717EE7">
            <w:pPr>
              <w:widowControl/>
              <w:spacing w:after="200"/>
              <w:jc w:val="left"/>
              <w:textAlignment w:val="baseline"/>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2.7.2、探头连接方式：通用接口，可与同品牌台式机互通互用，支持热插拔；</w:t>
            </w:r>
          </w:p>
          <w:p w14:paraId="7E6A6199">
            <w:pPr>
              <w:widowControl/>
              <w:spacing w:after="200"/>
              <w:jc w:val="left"/>
              <w:textAlignment w:val="baseline"/>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2.7.3、灰阶成像显示水平：≥256级</w:t>
            </w:r>
            <w:r>
              <w:rPr>
                <w:rFonts w:hint="eastAsia" w:asciiTheme="minorEastAsia" w:hAnsiTheme="minorEastAsia" w:eastAsiaTheme="minorEastAsia" w:cstheme="minorEastAsia"/>
                <w:bCs/>
                <w:kern w:val="0"/>
                <w:sz w:val="24"/>
                <w:szCs w:val="24"/>
                <w:highlight w:val="none"/>
              </w:rPr>
              <w:tab/>
            </w:r>
          </w:p>
          <w:p w14:paraId="0619D02B">
            <w:pPr>
              <w:widowControl/>
              <w:spacing w:after="200"/>
              <w:jc w:val="left"/>
              <w:textAlignment w:val="baseline"/>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2.8、频谱多普勒</w:t>
            </w:r>
            <w:r>
              <w:rPr>
                <w:rFonts w:hint="eastAsia" w:asciiTheme="minorEastAsia" w:hAnsiTheme="minorEastAsia" w:eastAsiaTheme="minorEastAsia" w:cstheme="minorEastAsia"/>
                <w:bCs/>
                <w:kern w:val="0"/>
                <w:sz w:val="24"/>
                <w:szCs w:val="24"/>
                <w:highlight w:val="none"/>
              </w:rPr>
              <w:tab/>
            </w:r>
          </w:p>
          <w:p w14:paraId="508D2370">
            <w:pPr>
              <w:widowControl/>
              <w:spacing w:after="200"/>
              <w:jc w:val="left"/>
              <w:textAlignment w:val="baseline"/>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2.8.1、应用模式：脉冲波多普勒 (PW)、连续波多普勒</w:t>
            </w:r>
            <w:bookmarkStart w:id="93" w:name="_GoBack"/>
            <w:r>
              <w:rPr>
                <w:rFonts w:hint="eastAsia" w:asciiTheme="minorEastAsia" w:hAnsiTheme="minorEastAsia" w:eastAsiaTheme="minorEastAsia" w:cstheme="minorEastAsia"/>
                <w:bCs/>
                <w:kern w:val="0"/>
                <w:sz w:val="24"/>
                <w:szCs w:val="24"/>
                <w:highlight w:val="none"/>
              </w:rPr>
              <w:t xml:space="preserve"> </w:t>
            </w:r>
            <w:bookmarkEnd w:id="93"/>
            <w:r>
              <w:rPr>
                <w:rFonts w:hint="eastAsia" w:asciiTheme="minorEastAsia" w:hAnsiTheme="minorEastAsia" w:eastAsiaTheme="minorEastAsia" w:cstheme="minorEastAsia"/>
                <w:bCs/>
                <w:kern w:val="0"/>
                <w:sz w:val="24"/>
                <w:szCs w:val="24"/>
                <w:highlight w:val="none"/>
              </w:rPr>
              <w:t>(CW)等；</w:t>
            </w:r>
          </w:p>
          <w:p w14:paraId="625ECC40">
            <w:pPr>
              <w:widowControl/>
              <w:spacing w:after="200"/>
              <w:jc w:val="left"/>
              <w:textAlignment w:val="baseline"/>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2.8.2、最大测量速度：</w:t>
            </w:r>
          </w:p>
          <w:p w14:paraId="56BC6D49">
            <w:pPr>
              <w:widowControl/>
              <w:spacing w:after="200"/>
              <w:jc w:val="left"/>
              <w:textAlignment w:val="baseline"/>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PW血流速度 ≥8.6m/s，CW血流最大速度 ≥30m/s；</w:t>
            </w:r>
          </w:p>
          <w:p w14:paraId="7ABC0289">
            <w:pPr>
              <w:widowControl/>
              <w:spacing w:after="200"/>
              <w:jc w:val="left"/>
              <w:textAlignment w:val="baseline"/>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2.8.3、最低测量速度：3mm/s；</w:t>
            </w:r>
          </w:p>
          <w:p w14:paraId="0CD50761">
            <w:pPr>
              <w:widowControl/>
              <w:spacing w:after="200"/>
              <w:jc w:val="left"/>
              <w:textAlignment w:val="baseline"/>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2.</w:t>
            </w:r>
            <w:r>
              <w:rPr>
                <w:rFonts w:hint="eastAsia" w:asciiTheme="minorEastAsia" w:hAnsiTheme="minorEastAsia" w:eastAsiaTheme="minorEastAsia" w:cstheme="minorEastAsia"/>
                <w:bCs/>
                <w:kern w:val="0"/>
                <w:sz w:val="24"/>
                <w:szCs w:val="24"/>
                <w:highlight w:val="none"/>
                <w:lang w:val="en-US" w:eastAsia="zh-CN"/>
              </w:rPr>
              <w:t>8</w:t>
            </w:r>
            <w:r>
              <w:rPr>
                <w:rFonts w:hint="eastAsia" w:asciiTheme="minorEastAsia" w:hAnsiTheme="minorEastAsia" w:eastAsiaTheme="minorEastAsia" w:cstheme="minorEastAsia"/>
                <w:bCs/>
                <w:kern w:val="0"/>
                <w:sz w:val="24"/>
                <w:szCs w:val="24"/>
                <w:highlight w:val="none"/>
              </w:rPr>
              <w:t>.4、取样宽度及位置范围：宽度 0.5–20mm；</w:t>
            </w:r>
          </w:p>
          <w:p w14:paraId="409345A2">
            <w:pPr>
              <w:widowControl/>
              <w:spacing w:after="200"/>
              <w:jc w:val="left"/>
              <w:textAlignment w:val="baseline"/>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2.</w:t>
            </w:r>
            <w:r>
              <w:rPr>
                <w:rFonts w:hint="eastAsia" w:asciiTheme="minorEastAsia" w:hAnsiTheme="minorEastAsia" w:eastAsiaTheme="minorEastAsia" w:cstheme="minorEastAsia"/>
                <w:bCs/>
                <w:kern w:val="0"/>
                <w:sz w:val="24"/>
                <w:szCs w:val="24"/>
                <w:highlight w:val="none"/>
                <w:lang w:val="en-US" w:eastAsia="zh-CN"/>
              </w:rPr>
              <w:t>8</w:t>
            </w:r>
            <w:r>
              <w:rPr>
                <w:rFonts w:hint="eastAsia" w:asciiTheme="minorEastAsia" w:hAnsiTheme="minorEastAsia" w:eastAsiaTheme="minorEastAsia" w:cstheme="minorEastAsia"/>
                <w:bCs/>
                <w:kern w:val="0"/>
                <w:sz w:val="24"/>
                <w:szCs w:val="24"/>
                <w:highlight w:val="none"/>
              </w:rPr>
              <w:t>.5、滤波器：具有高通滤波或低通滤波两种；</w:t>
            </w:r>
          </w:p>
          <w:p w14:paraId="4A948DB7">
            <w:pPr>
              <w:widowControl/>
              <w:spacing w:after="200"/>
              <w:jc w:val="left"/>
              <w:textAlignment w:val="baseline"/>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2.</w:t>
            </w:r>
            <w:r>
              <w:rPr>
                <w:rFonts w:hint="eastAsia" w:asciiTheme="minorEastAsia" w:hAnsiTheme="minorEastAsia" w:eastAsiaTheme="minorEastAsia" w:cstheme="minorEastAsia"/>
                <w:bCs/>
                <w:kern w:val="0"/>
                <w:sz w:val="24"/>
                <w:szCs w:val="24"/>
                <w:highlight w:val="none"/>
                <w:lang w:val="en-US" w:eastAsia="zh-CN"/>
              </w:rPr>
              <w:t>9</w:t>
            </w:r>
            <w:r>
              <w:rPr>
                <w:rFonts w:hint="eastAsia" w:asciiTheme="minorEastAsia" w:hAnsiTheme="minorEastAsia" w:eastAsiaTheme="minorEastAsia" w:cstheme="minorEastAsia"/>
                <w:bCs/>
                <w:kern w:val="0"/>
                <w:sz w:val="24"/>
                <w:szCs w:val="24"/>
                <w:highlight w:val="none"/>
              </w:rPr>
              <w:t xml:space="preserve">、彩色多普勒成像 </w:t>
            </w:r>
            <w:r>
              <w:rPr>
                <w:rFonts w:hint="eastAsia" w:asciiTheme="minorEastAsia" w:hAnsiTheme="minorEastAsia" w:eastAsiaTheme="minorEastAsia" w:cstheme="minorEastAsia"/>
                <w:bCs/>
                <w:kern w:val="0"/>
                <w:sz w:val="24"/>
                <w:szCs w:val="24"/>
                <w:highlight w:val="none"/>
              </w:rPr>
              <w:tab/>
            </w:r>
          </w:p>
          <w:p w14:paraId="4BC5E987">
            <w:pPr>
              <w:widowControl/>
              <w:spacing w:after="200"/>
              <w:jc w:val="left"/>
              <w:textAlignment w:val="baseline"/>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2.</w:t>
            </w:r>
            <w:r>
              <w:rPr>
                <w:rFonts w:hint="eastAsia" w:asciiTheme="minorEastAsia" w:hAnsiTheme="minorEastAsia" w:eastAsiaTheme="minorEastAsia" w:cstheme="minorEastAsia"/>
                <w:bCs/>
                <w:kern w:val="0"/>
                <w:sz w:val="24"/>
                <w:szCs w:val="24"/>
                <w:highlight w:val="none"/>
                <w:lang w:val="en-US" w:eastAsia="zh-CN"/>
              </w:rPr>
              <w:t>9</w:t>
            </w:r>
            <w:r>
              <w:rPr>
                <w:rFonts w:hint="eastAsia" w:asciiTheme="minorEastAsia" w:hAnsiTheme="minorEastAsia" w:eastAsiaTheme="minorEastAsia" w:cstheme="minorEastAsia"/>
                <w:bCs/>
                <w:kern w:val="0"/>
                <w:sz w:val="24"/>
                <w:szCs w:val="24"/>
                <w:highlight w:val="none"/>
              </w:rPr>
              <w:t>.1、成像方式：彩色多普勒速度图、彩色多普勒能量图；</w:t>
            </w:r>
            <w:r>
              <w:rPr>
                <w:rFonts w:hint="eastAsia" w:asciiTheme="minorEastAsia" w:hAnsiTheme="minorEastAsia" w:eastAsiaTheme="minorEastAsia" w:cstheme="minorEastAsia"/>
                <w:bCs/>
                <w:kern w:val="0"/>
                <w:sz w:val="24"/>
                <w:szCs w:val="24"/>
                <w:highlight w:val="none"/>
              </w:rPr>
              <w:tab/>
            </w:r>
          </w:p>
          <w:p w14:paraId="6782A8A6">
            <w:pPr>
              <w:widowControl/>
              <w:jc w:val="left"/>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bCs/>
                <w:kern w:val="0"/>
                <w:sz w:val="24"/>
                <w:szCs w:val="24"/>
                <w:highlight w:val="none"/>
              </w:rPr>
              <w:t>2.</w:t>
            </w:r>
            <w:r>
              <w:rPr>
                <w:rFonts w:hint="eastAsia" w:asciiTheme="minorEastAsia" w:hAnsiTheme="minorEastAsia" w:eastAsiaTheme="minorEastAsia" w:cstheme="minorEastAsia"/>
                <w:bCs/>
                <w:kern w:val="0"/>
                <w:sz w:val="24"/>
                <w:szCs w:val="24"/>
                <w:highlight w:val="none"/>
                <w:lang w:val="en-US" w:eastAsia="zh-CN"/>
              </w:rPr>
              <w:t>9</w:t>
            </w:r>
            <w:r>
              <w:rPr>
                <w:rFonts w:hint="eastAsia" w:asciiTheme="minorEastAsia" w:hAnsiTheme="minorEastAsia" w:eastAsiaTheme="minorEastAsia" w:cstheme="minorEastAsia"/>
                <w:bCs/>
                <w:kern w:val="0"/>
                <w:sz w:val="24"/>
                <w:szCs w:val="24"/>
                <w:highlight w:val="none"/>
              </w:rPr>
              <w:t>.2、偏转角：线阵扫描感兴趣的图像范围：-30°~+30°。</w:t>
            </w:r>
          </w:p>
          <w:p w14:paraId="4A1E1EEF">
            <w:pPr>
              <w:spacing w:line="360" w:lineRule="auto"/>
              <w:jc w:val="left"/>
              <w:rPr>
                <w:rFonts w:hint="eastAsia" w:ascii="宋体" w:hAnsi="宋体" w:eastAsia="宋体"/>
                <w:b/>
                <w:bCs w:val="0"/>
                <w:color w:val="auto"/>
                <w:sz w:val="24"/>
                <w:szCs w:val="18"/>
                <w:highlight w:val="none"/>
              </w:rPr>
            </w:pPr>
            <w:r>
              <w:rPr>
                <w:rFonts w:hint="eastAsia" w:ascii="宋体" w:hAnsi="宋体" w:eastAsia="宋体" w:cs="宋体"/>
                <w:b/>
                <w:bCs/>
                <w:color w:val="auto"/>
                <w:kern w:val="0"/>
                <w:sz w:val="24"/>
                <w:szCs w:val="24"/>
                <w:highlight w:val="none"/>
              </w:rPr>
              <w:t>★</w:t>
            </w:r>
            <w:r>
              <w:rPr>
                <w:rFonts w:hint="eastAsia" w:ascii="宋体" w:hAnsi="宋体" w:eastAsia="宋体"/>
                <w:b/>
                <w:bCs w:val="0"/>
                <w:color w:val="auto"/>
                <w:sz w:val="24"/>
                <w:szCs w:val="18"/>
                <w:highlight w:val="none"/>
                <w:lang w:eastAsia="zh-CN"/>
              </w:rPr>
              <w:t>二、</w:t>
            </w:r>
            <w:r>
              <w:rPr>
                <w:rFonts w:hint="eastAsia" w:ascii="宋体" w:hAnsi="宋体" w:eastAsia="宋体"/>
                <w:b/>
                <w:bCs w:val="0"/>
                <w:color w:val="auto"/>
                <w:sz w:val="24"/>
                <w:szCs w:val="18"/>
                <w:highlight w:val="none"/>
              </w:rPr>
              <w:t>相关配置</w:t>
            </w:r>
          </w:p>
          <w:p w14:paraId="127EB4E3">
            <w:pPr>
              <w:widowControl/>
              <w:spacing w:after="200"/>
              <w:jc w:val="left"/>
              <w:textAlignment w:val="baseline"/>
              <w:rPr>
                <w:rFonts w:hint="eastAsia" w:cs="Arial" w:asciiTheme="minorEastAsia" w:hAnsiTheme="minorEastAsia" w:eastAsiaTheme="minorEastAsia"/>
                <w:bCs/>
                <w:kern w:val="0"/>
                <w:sz w:val="24"/>
                <w:szCs w:val="24"/>
                <w:highlight w:val="none"/>
              </w:rPr>
            </w:pPr>
            <w:r>
              <w:rPr>
                <w:rFonts w:hint="eastAsia" w:cs="Arial" w:asciiTheme="minorEastAsia" w:hAnsiTheme="minorEastAsia" w:eastAsiaTheme="minorEastAsia"/>
                <w:bCs/>
                <w:kern w:val="0"/>
                <w:sz w:val="24"/>
                <w:szCs w:val="24"/>
                <w:highlight w:val="none"/>
                <w:lang w:val="en-US" w:eastAsia="zh-CN"/>
              </w:rPr>
              <w:t>电子</w:t>
            </w:r>
            <w:r>
              <w:rPr>
                <w:rFonts w:hint="eastAsia" w:cs="Arial" w:asciiTheme="minorEastAsia" w:hAnsiTheme="minorEastAsia" w:eastAsiaTheme="minorEastAsia"/>
                <w:bCs/>
                <w:kern w:val="0"/>
                <w:sz w:val="24"/>
                <w:szCs w:val="24"/>
                <w:highlight w:val="none"/>
              </w:rPr>
              <w:t>凸阵探头(2.0-5.0MHz):</w:t>
            </w:r>
            <w:r>
              <w:rPr>
                <w:rFonts w:hint="eastAsia" w:cs="Arial" w:asciiTheme="minorEastAsia" w:hAnsiTheme="minorEastAsia" w:eastAsiaTheme="minorEastAsia"/>
                <w:bCs/>
                <w:kern w:val="0"/>
                <w:sz w:val="24"/>
                <w:szCs w:val="24"/>
                <w:highlight w:val="none"/>
                <w:lang w:val="en-US" w:eastAsia="zh-CN"/>
              </w:rPr>
              <w:t>1</w:t>
            </w:r>
            <w:r>
              <w:rPr>
                <w:rFonts w:hint="eastAsia" w:cs="Arial" w:asciiTheme="minorEastAsia" w:hAnsiTheme="minorEastAsia" w:eastAsiaTheme="minorEastAsia"/>
                <w:bCs/>
                <w:kern w:val="0"/>
                <w:sz w:val="24"/>
                <w:szCs w:val="24"/>
                <w:highlight w:val="none"/>
              </w:rPr>
              <w:t>把</w:t>
            </w:r>
          </w:p>
          <w:p w14:paraId="3B8EB065">
            <w:pPr>
              <w:widowControl/>
              <w:spacing w:after="200"/>
              <w:jc w:val="left"/>
              <w:textAlignment w:val="baseline"/>
              <w:rPr>
                <w:rFonts w:hint="eastAsia" w:cs="Arial" w:asciiTheme="minorEastAsia" w:hAnsiTheme="minorEastAsia" w:eastAsiaTheme="minorEastAsia"/>
                <w:bCs/>
                <w:kern w:val="0"/>
                <w:sz w:val="24"/>
                <w:szCs w:val="24"/>
                <w:highlight w:val="none"/>
              </w:rPr>
            </w:pPr>
            <w:r>
              <w:rPr>
                <w:rFonts w:hint="eastAsia" w:cs="Arial" w:asciiTheme="minorEastAsia" w:hAnsiTheme="minorEastAsia" w:eastAsiaTheme="minorEastAsia"/>
                <w:bCs/>
                <w:kern w:val="0"/>
                <w:sz w:val="24"/>
                <w:szCs w:val="24"/>
                <w:highlight w:val="none"/>
              </w:rPr>
              <w:t>电子线阵探头(3.0-12.0MHz):1把</w:t>
            </w:r>
          </w:p>
          <w:p w14:paraId="63B257C4">
            <w:pPr>
              <w:widowControl/>
              <w:spacing w:after="200"/>
              <w:jc w:val="left"/>
              <w:textAlignment w:val="baseline"/>
              <w:rPr>
                <w:rFonts w:hint="eastAsia" w:cs="Arial" w:asciiTheme="minorEastAsia" w:hAnsiTheme="minorEastAsia" w:eastAsiaTheme="minorEastAsia"/>
                <w:bCs/>
                <w:kern w:val="0"/>
                <w:sz w:val="24"/>
                <w:szCs w:val="24"/>
                <w:highlight w:val="none"/>
              </w:rPr>
            </w:pPr>
            <w:r>
              <w:rPr>
                <w:rFonts w:hint="eastAsia" w:cs="Arial" w:asciiTheme="minorEastAsia" w:hAnsiTheme="minorEastAsia" w:eastAsiaTheme="minorEastAsia"/>
                <w:bCs/>
                <w:kern w:val="0"/>
                <w:sz w:val="24"/>
                <w:szCs w:val="24"/>
                <w:highlight w:val="none"/>
              </w:rPr>
              <w:t>电子线阵探头(6.0-14.0MHz):1把</w:t>
            </w:r>
          </w:p>
          <w:p w14:paraId="6CD17942">
            <w:pPr>
              <w:widowControl/>
              <w:spacing w:after="200"/>
              <w:jc w:val="left"/>
              <w:textAlignment w:val="baseline"/>
              <w:rPr>
                <w:rFonts w:hint="eastAsia" w:cs="Arial" w:asciiTheme="minorEastAsia" w:hAnsiTheme="minorEastAsia" w:eastAsiaTheme="minorEastAsia"/>
                <w:bCs/>
                <w:kern w:val="0"/>
                <w:sz w:val="24"/>
                <w:szCs w:val="24"/>
                <w:highlight w:val="none"/>
              </w:rPr>
            </w:pPr>
            <w:r>
              <w:rPr>
                <w:rFonts w:hint="eastAsia" w:cs="Arial" w:asciiTheme="minorEastAsia" w:hAnsiTheme="minorEastAsia" w:eastAsiaTheme="minorEastAsia"/>
                <w:bCs/>
                <w:kern w:val="0"/>
                <w:sz w:val="24"/>
                <w:szCs w:val="24"/>
                <w:highlight w:val="none"/>
              </w:rPr>
              <w:t>电子相控阵探头(2.0-4.0MHz):1把</w:t>
            </w:r>
          </w:p>
          <w:p w14:paraId="62A0A81A">
            <w:pPr>
              <w:pStyle w:val="25"/>
              <w:spacing w:line="240" w:lineRule="auto"/>
              <w:ind w:left="0" w:leftChars="0" w:firstLine="0" w:firstLineChars="0"/>
              <w:rPr>
                <w:rFonts w:hint="eastAsia" w:cs="Arial" w:asciiTheme="minorEastAsia" w:hAnsiTheme="minorEastAsia" w:eastAsiaTheme="minorEastAsia"/>
                <w:bCs/>
                <w:kern w:val="0"/>
                <w:sz w:val="24"/>
                <w:szCs w:val="24"/>
                <w:highlight w:val="none"/>
              </w:rPr>
            </w:pPr>
            <w:r>
              <w:rPr>
                <w:rFonts w:hint="eastAsia" w:cs="Arial" w:asciiTheme="minorEastAsia" w:hAnsiTheme="minorEastAsia" w:eastAsiaTheme="minorEastAsia"/>
                <w:bCs/>
                <w:kern w:val="0"/>
                <w:sz w:val="24"/>
                <w:szCs w:val="24"/>
                <w:highlight w:val="none"/>
              </w:rPr>
              <w:t>台车：1辆</w:t>
            </w:r>
          </w:p>
          <w:p w14:paraId="429129B3">
            <w:pPr>
              <w:spacing w:line="360" w:lineRule="auto"/>
              <w:jc w:val="left"/>
              <w:rPr>
                <w:rFonts w:hint="eastAsia" w:ascii="宋体" w:hAnsi="宋体" w:eastAsia="宋体"/>
                <w:b/>
                <w:bCs w:val="0"/>
                <w:color w:val="auto"/>
                <w:sz w:val="24"/>
                <w:szCs w:val="18"/>
                <w:highlight w:val="none"/>
              </w:rPr>
            </w:pPr>
            <w:r>
              <w:rPr>
                <w:rFonts w:hint="eastAsia" w:cs="Arial" w:asciiTheme="minorEastAsia" w:hAnsiTheme="minorEastAsia" w:eastAsiaTheme="minorEastAsia"/>
                <w:bCs/>
                <w:kern w:val="0"/>
                <w:sz w:val="24"/>
                <w:szCs w:val="24"/>
                <w:highlight w:val="none"/>
                <w:lang w:val="en-US" w:eastAsia="zh-CN"/>
              </w:rPr>
              <w:t>彩色</w:t>
            </w:r>
            <w:r>
              <w:rPr>
                <w:rFonts w:hint="eastAsia" w:cs="Arial" w:asciiTheme="minorEastAsia" w:hAnsiTheme="minorEastAsia" w:eastAsiaTheme="minorEastAsia"/>
                <w:bCs/>
                <w:kern w:val="0"/>
                <w:sz w:val="24"/>
                <w:szCs w:val="24"/>
                <w:highlight w:val="none"/>
              </w:rPr>
              <w:t>激光打印机：1台</w:t>
            </w:r>
          </w:p>
        </w:tc>
        <w:tc>
          <w:tcPr>
            <w:tcW w:w="831" w:type="dxa"/>
            <w:vAlign w:val="center"/>
          </w:tcPr>
          <w:p w14:paraId="0B228D8C">
            <w:pPr>
              <w:spacing w:line="360" w:lineRule="auto"/>
              <w:jc w:val="center"/>
              <w:rPr>
                <w:rFonts w:ascii="宋体" w:hAnsi="宋体" w:eastAsia="宋体"/>
                <w:bCs/>
                <w:color w:val="auto"/>
                <w:sz w:val="24"/>
                <w:szCs w:val="18"/>
                <w:highlight w:val="none"/>
              </w:rPr>
            </w:pPr>
            <w:r>
              <w:rPr>
                <w:rFonts w:hint="eastAsia" w:ascii="宋体" w:hAnsi="宋体" w:eastAsia="宋体"/>
                <w:bCs/>
                <w:color w:val="auto"/>
                <w:sz w:val="24"/>
                <w:szCs w:val="18"/>
                <w:highlight w:val="none"/>
              </w:rPr>
              <w:t>工业</w:t>
            </w:r>
          </w:p>
        </w:tc>
        <w:tc>
          <w:tcPr>
            <w:tcW w:w="877" w:type="dxa"/>
            <w:vAlign w:val="center"/>
          </w:tcPr>
          <w:p w14:paraId="234E1F31">
            <w:pPr>
              <w:spacing w:line="360" w:lineRule="auto"/>
              <w:jc w:val="center"/>
              <w:rPr>
                <w:rFonts w:ascii="宋体" w:hAnsi="宋体" w:eastAsia="宋体"/>
                <w:bCs/>
                <w:color w:val="auto"/>
                <w:sz w:val="24"/>
                <w:szCs w:val="18"/>
                <w:highlight w:val="none"/>
              </w:rPr>
            </w:pPr>
            <w:r>
              <w:rPr>
                <w:rFonts w:hint="eastAsia" w:ascii="宋体" w:hAnsi="宋体" w:eastAsia="宋体"/>
                <w:bCs/>
                <w:color w:val="auto"/>
                <w:sz w:val="24"/>
                <w:szCs w:val="18"/>
                <w:highlight w:val="none"/>
              </w:rPr>
              <w:t>/</w:t>
            </w:r>
          </w:p>
        </w:tc>
      </w:tr>
    </w:tbl>
    <w:p w14:paraId="46B2B472">
      <w:pPr>
        <w:rPr>
          <w:rFonts w:hint="eastAsia" w:ascii="宋体" w:hAnsi="宋体" w:eastAsia="宋体"/>
          <w:b/>
          <w:bCs/>
          <w:sz w:val="24"/>
          <w:szCs w:val="18"/>
          <w:highlight w:val="none"/>
        </w:rPr>
      </w:pPr>
      <w:r>
        <w:rPr>
          <w:rFonts w:hint="eastAsia" w:ascii="宋体" w:hAnsi="宋体" w:eastAsia="宋体"/>
          <w:b/>
          <w:bCs/>
          <w:sz w:val="24"/>
          <w:szCs w:val="18"/>
          <w:highlight w:val="none"/>
        </w:rPr>
        <w:br w:type="page"/>
      </w:r>
    </w:p>
    <w:p w14:paraId="7DDA81DF">
      <w:pPr>
        <w:rPr>
          <w:rFonts w:hint="eastAsia" w:ascii="宋体" w:hAnsi="宋体" w:eastAsia="宋体"/>
          <w:b/>
          <w:bCs/>
          <w:sz w:val="24"/>
          <w:szCs w:val="18"/>
          <w:highlight w:val="none"/>
        </w:rPr>
      </w:pPr>
      <w:r>
        <w:rPr>
          <w:rFonts w:hint="eastAsia" w:ascii="宋体" w:hAnsi="宋体" w:eastAsia="宋体"/>
          <w:b/>
          <w:bCs/>
          <w:sz w:val="24"/>
          <w:szCs w:val="18"/>
          <w:highlight w:val="none"/>
          <w:lang w:val="en-US" w:eastAsia="zh-CN"/>
        </w:rPr>
        <w:t>05包：高端平板便携式彩色多普勒超声系统</w:t>
      </w:r>
    </w:p>
    <w:tbl>
      <w:tblPr>
        <w:tblStyle w:val="26"/>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47"/>
        <w:gridCol w:w="5932"/>
        <w:gridCol w:w="831"/>
        <w:gridCol w:w="877"/>
      </w:tblGrid>
      <w:tr w14:paraId="30E38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14:paraId="57CF3290">
            <w:pPr>
              <w:spacing w:line="360" w:lineRule="auto"/>
              <w:jc w:val="center"/>
              <w:rPr>
                <w:rFonts w:ascii="宋体" w:hAnsi="宋体" w:eastAsia="宋体"/>
                <w:b/>
                <w:bCs/>
                <w:sz w:val="24"/>
                <w:szCs w:val="18"/>
                <w:highlight w:val="none"/>
              </w:rPr>
            </w:pPr>
            <w:r>
              <w:rPr>
                <w:rFonts w:hint="eastAsia" w:ascii="宋体" w:hAnsi="宋体" w:eastAsia="宋体"/>
                <w:b/>
                <w:bCs/>
                <w:sz w:val="24"/>
                <w:szCs w:val="18"/>
                <w:highlight w:val="none"/>
              </w:rPr>
              <w:t>序号</w:t>
            </w:r>
          </w:p>
        </w:tc>
        <w:tc>
          <w:tcPr>
            <w:tcW w:w="1147" w:type="dxa"/>
            <w:vAlign w:val="center"/>
          </w:tcPr>
          <w:p w14:paraId="5687944A">
            <w:pPr>
              <w:spacing w:line="360" w:lineRule="auto"/>
              <w:jc w:val="center"/>
              <w:rPr>
                <w:rFonts w:ascii="宋体" w:hAnsi="宋体" w:eastAsia="宋体"/>
                <w:b/>
                <w:bCs/>
                <w:sz w:val="24"/>
                <w:szCs w:val="18"/>
                <w:highlight w:val="none"/>
              </w:rPr>
            </w:pPr>
            <w:r>
              <w:rPr>
                <w:rFonts w:hint="eastAsia" w:ascii="宋体" w:hAnsi="宋体" w:eastAsia="宋体"/>
                <w:b/>
                <w:bCs/>
                <w:sz w:val="24"/>
                <w:szCs w:val="18"/>
                <w:highlight w:val="none"/>
              </w:rPr>
              <w:t>货物名称</w:t>
            </w:r>
          </w:p>
        </w:tc>
        <w:tc>
          <w:tcPr>
            <w:tcW w:w="5932" w:type="dxa"/>
            <w:vAlign w:val="center"/>
          </w:tcPr>
          <w:p w14:paraId="0554F0F3">
            <w:pPr>
              <w:spacing w:line="360" w:lineRule="auto"/>
              <w:jc w:val="center"/>
              <w:rPr>
                <w:rFonts w:ascii="宋体" w:hAnsi="宋体" w:eastAsia="宋体"/>
                <w:b/>
                <w:bCs/>
                <w:sz w:val="24"/>
                <w:szCs w:val="18"/>
                <w:highlight w:val="none"/>
              </w:rPr>
            </w:pPr>
            <w:r>
              <w:rPr>
                <w:rFonts w:hint="eastAsia" w:ascii="宋体" w:hAnsi="宋体" w:eastAsia="宋体"/>
                <w:b/>
                <w:bCs/>
                <w:sz w:val="24"/>
                <w:szCs w:val="18"/>
                <w:highlight w:val="none"/>
              </w:rPr>
              <w:t>技术参数及要求</w:t>
            </w:r>
          </w:p>
        </w:tc>
        <w:tc>
          <w:tcPr>
            <w:tcW w:w="831" w:type="dxa"/>
            <w:vAlign w:val="center"/>
          </w:tcPr>
          <w:p w14:paraId="4965199D">
            <w:pPr>
              <w:spacing w:line="360" w:lineRule="auto"/>
              <w:jc w:val="center"/>
              <w:rPr>
                <w:rFonts w:ascii="宋体" w:hAnsi="宋体" w:eastAsia="宋体"/>
                <w:b/>
                <w:bCs/>
                <w:sz w:val="24"/>
                <w:szCs w:val="18"/>
                <w:highlight w:val="none"/>
              </w:rPr>
            </w:pPr>
            <w:r>
              <w:rPr>
                <w:rFonts w:hint="eastAsia" w:ascii="宋体" w:hAnsi="宋体" w:eastAsia="宋体"/>
                <w:b/>
                <w:bCs/>
                <w:sz w:val="24"/>
                <w:szCs w:val="18"/>
                <w:highlight w:val="none"/>
              </w:rPr>
              <w:t>所属</w:t>
            </w:r>
          </w:p>
          <w:p w14:paraId="63C1673B">
            <w:pPr>
              <w:spacing w:line="360" w:lineRule="auto"/>
              <w:jc w:val="center"/>
              <w:rPr>
                <w:rFonts w:ascii="宋体" w:hAnsi="宋体" w:eastAsia="宋体"/>
                <w:b/>
                <w:bCs/>
                <w:sz w:val="24"/>
                <w:szCs w:val="18"/>
                <w:highlight w:val="none"/>
              </w:rPr>
            </w:pPr>
            <w:r>
              <w:rPr>
                <w:rFonts w:hint="eastAsia" w:ascii="宋体" w:hAnsi="宋体" w:eastAsia="宋体"/>
                <w:b/>
                <w:bCs/>
                <w:sz w:val="24"/>
                <w:szCs w:val="18"/>
                <w:highlight w:val="none"/>
              </w:rPr>
              <w:t>行业</w:t>
            </w:r>
          </w:p>
        </w:tc>
        <w:tc>
          <w:tcPr>
            <w:tcW w:w="877" w:type="dxa"/>
            <w:vAlign w:val="center"/>
          </w:tcPr>
          <w:p w14:paraId="7E8A4FB4">
            <w:pPr>
              <w:spacing w:line="360" w:lineRule="auto"/>
              <w:jc w:val="center"/>
              <w:rPr>
                <w:rFonts w:ascii="宋体" w:hAnsi="宋体" w:eastAsia="宋体"/>
                <w:b/>
                <w:bCs/>
                <w:sz w:val="24"/>
                <w:szCs w:val="18"/>
                <w:highlight w:val="none"/>
              </w:rPr>
            </w:pPr>
            <w:r>
              <w:rPr>
                <w:rFonts w:hint="eastAsia" w:ascii="宋体" w:hAnsi="宋体" w:eastAsia="宋体"/>
                <w:b/>
                <w:bCs/>
                <w:sz w:val="24"/>
                <w:szCs w:val="18"/>
                <w:highlight w:val="none"/>
              </w:rPr>
              <w:t>备注</w:t>
            </w:r>
          </w:p>
        </w:tc>
      </w:tr>
      <w:tr w14:paraId="15507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20" w:type="dxa"/>
            <w:vAlign w:val="center"/>
          </w:tcPr>
          <w:p w14:paraId="08586A4E">
            <w:pPr>
              <w:spacing w:line="360" w:lineRule="auto"/>
              <w:jc w:val="center"/>
              <w:rPr>
                <w:rFonts w:ascii="宋体" w:hAnsi="宋体" w:eastAsia="宋体"/>
                <w:color w:val="auto"/>
                <w:sz w:val="24"/>
                <w:szCs w:val="18"/>
                <w:highlight w:val="none"/>
              </w:rPr>
            </w:pPr>
            <w:r>
              <w:rPr>
                <w:rFonts w:hint="eastAsia" w:ascii="宋体" w:hAnsi="宋体" w:eastAsia="宋体"/>
                <w:color w:val="auto"/>
                <w:sz w:val="24"/>
                <w:szCs w:val="18"/>
                <w:highlight w:val="none"/>
              </w:rPr>
              <w:t>1</w:t>
            </w:r>
          </w:p>
        </w:tc>
        <w:tc>
          <w:tcPr>
            <w:tcW w:w="1147" w:type="dxa"/>
            <w:vAlign w:val="center"/>
          </w:tcPr>
          <w:p w14:paraId="5C1197FE">
            <w:pPr>
              <w:spacing w:line="360" w:lineRule="auto"/>
              <w:jc w:val="center"/>
              <w:rPr>
                <w:rFonts w:ascii="宋体" w:hAnsi="宋体" w:eastAsia="宋体"/>
                <w:bCs/>
                <w:color w:val="auto"/>
                <w:sz w:val="24"/>
                <w:szCs w:val="18"/>
                <w:highlight w:val="none"/>
              </w:rPr>
            </w:pPr>
            <w:r>
              <w:rPr>
                <w:rFonts w:hint="eastAsia" w:ascii="宋体" w:hAnsi="宋体" w:eastAsia="宋体"/>
                <w:bCs/>
                <w:color w:val="auto"/>
                <w:sz w:val="24"/>
                <w:szCs w:val="18"/>
                <w:highlight w:val="none"/>
              </w:rPr>
              <w:t>高端平板便携式彩色多普勒超声系统</w:t>
            </w:r>
          </w:p>
        </w:tc>
        <w:tc>
          <w:tcPr>
            <w:tcW w:w="5932" w:type="dxa"/>
            <w:vAlign w:val="center"/>
          </w:tcPr>
          <w:p w14:paraId="16C34E56">
            <w:pPr>
              <w:widowControl/>
              <w:spacing w:after="200"/>
              <w:ind w:firstLine="482"/>
              <w:jc w:val="left"/>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性能</w:t>
            </w:r>
            <w:r>
              <w:rPr>
                <w:rFonts w:hint="eastAsia" w:asciiTheme="minorEastAsia" w:hAnsiTheme="minorEastAsia" w:eastAsiaTheme="minorEastAsia" w:cstheme="minorEastAsia"/>
                <w:b/>
                <w:bCs/>
                <w:color w:val="auto"/>
                <w:sz w:val="24"/>
                <w:szCs w:val="24"/>
                <w:highlight w:val="none"/>
              </w:rPr>
              <w:t>参数</w:t>
            </w:r>
          </w:p>
          <w:p w14:paraId="5CB6A1ED">
            <w:pPr>
              <w:rPr>
                <w:rFonts w:hint="eastAsia" w:asciiTheme="minorEastAsia" w:hAnsiTheme="minorEastAsia" w:eastAsiaTheme="minorEastAsia" w:cstheme="minorEastAsia"/>
                <w:sz w:val="24"/>
                <w:szCs w:val="24"/>
                <w:highlight w:val="none"/>
              </w:rPr>
            </w:pP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cstheme="minorEastAsia"/>
                <w:sz w:val="24"/>
                <w:szCs w:val="24"/>
                <w:highlight w:val="none"/>
              </w:rPr>
              <w:t>1、笔记本式超声主机，≥15英寸液晶显示器(非触摸屏)，内置≥12英寸触摸操作屏，支持自定义设置（包括移动、增加、删除功能模块等）。</w:t>
            </w:r>
          </w:p>
          <w:p w14:paraId="3D82A463">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2、具备二维灰阶成像单元、彩色多普勒成像单元、频谱多普勒显示及分析单元。</w:t>
            </w:r>
          </w:p>
          <w:p w14:paraId="0933EA4F">
            <w:pPr>
              <w:spacing w:line="48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kern w:val="0"/>
                <w:sz w:val="24"/>
                <w:szCs w:val="24"/>
                <w:highlight w:val="none"/>
              </w:rPr>
              <w:t>具备高级空间复合成像功能，不同角度发射超声波，所有回波波束可进行复合成像，支持线阵及凸阵探头，做</w:t>
            </w:r>
            <w:bookmarkStart w:id="35" w:name="OLE_LINK1"/>
            <w:bookmarkStart w:id="36" w:name="OLE_LINK2"/>
            <w:r>
              <w:rPr>
                <w:rFonts w:hint="eastAsia" w:asciiTheme="minorEastAsia" w:hAnsiTheme="minorEastAsia" w:eastAsiaTheme="minorEastAsia" w:cstheme="minorEastAsia"/>
                <w:kern w:val="0"/>
                <w:sz w:val="24"/>
                <w:szCs w:val="24"/>
                <w:highlight w:val="none"/>
              </w:rPr>
              <w:t>曲别针实验</w:t>
            </w:r>
            <w:bookmarkEnd w:id="35"/>
            <w:bookmarkEnd w:id="36"/>
            <w:r>
              <w:rPr>
                <w:rFonts w:hint="eastAsia" w:asciiTheme="minorEastAsia" w:hAnsiTheme="minorEastAsia" w:eastAsiaTheme="minorEastAsia" w:cstheme="minorEastAsia"/>
                <w:kern w:val="0"/>
                <w:sz w:val="24"/>
                <w:szCs w:val="24"/>
                <w:highlight w:val="none"/>
              </w:rPr>
              <w:t>≥8线。</w:t>
            </w:r>
          </w:p>
          <w:p w14:paraId="6F8874A5">
            <w:pPr>
              <w:pStyle w:val="25"/>
              <w:ind w:left="0" w:leftChars="0" w:firstLine="0" w:firstLineChars="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4、具有一键优化功能，可实时优化图像质量。</w:t>
            </w:r>
          </w:p>
          <w:p w14:paraId="7A5F92D7">
            <w:pPr>
              <w:pStyle w:val="25"/>
              <w:ind w:left="0" w:leftChars="0" w:firstLine="0" w:firstLineChars="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5、具备组织谐波技术。</w:t>
            </w:r>
          </w:p>
          <w:p w14:paraId="11A273B9">
            <w:pPr>
              <w:pStyle w:val="25"/>
              <w:ind w:left="0" w:leftChars="0" w:firstLine="0" w:firstLineChars="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6、具备斑点噪声抑制技术，可提高组织边界的显示，多级可调。</w:t>
            </w:r>
          </w:p>
          <w:p w14:paraId="48257581">
            <w:pPr>
              <w:pStyle w:val="25"/>
              <w:ind w:left="0" w:leftChars="0" w:firstLine="0" w:firstLineChars="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7、智能化自编程预设置功能，可针对不同的检查脏器预设最佳优化图像的检查前条件。 </w:t>
            </w:r>
          </w:p>
          <w:p w14:paraId="4BBB4AB4">
            <w:pPr>
              <w:pStyle w:val="25"/>
              <w:ind w:left="0" w:leftChars="0" w:firstLine="0" w:firstLineChars="0"/>
              <w:rPr>
                <w:rFonts w:hint="eastAsia" w:asciiTheme="minorEastAsia" w:hAnsiTheme="minorEastAsia" w:eastAsiaTheme="minorEastAsia" w:cstheme="minorEastAsia"/>
                <w:kern w:val="0"/>
                <w:sz w:val="24"/>
                <w:szCs w:val="24"/>
                <w:highlight w:val="none"/>
              </w:rPr>
            </w:pP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cstheme="minorEastAsia"/>
                <w:kern w:val="0"/>
                <w:sz w:val="24"/>
                <w:szCs w:val="24"/>
                <w:highlight w:val="none"/>
              </w:rPr>
              <w:t>8、具备智能穿刺针增强应用，支持凸阵探头及线阵探头应用，支持双幅对比显示，支持提供角度提示信息。</w:t>
            </w:r>
          </w:p>
          <w:p w14:paraId="0B31500A">
            <w:pPr>
              <w:pStyle w:val="25"/>
              <w:ind w:left="0" w:leftChars="0" w:firstLine="0" w:firstLineChars="0"/>
              <w:rPr>
                <w:rFonts w:hint="eastAsia" w:asciiTheme="minorEastAsia" w:hAnsiTheme="minorEastAsia" w:eastAsiaTheme="minorEastAsia" w:cstheme="minorEastAsia"/>
                <w:kern w:val="0"/>
                <w:sz w:val="24"/>
                <w:szCs w:val="24"/>
                <w:highlight w:val="none"/>
              </w:rPr>
            </w:pP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cstheme="minorEastAsia"/>
                <w:kern w:val="0"/>
                <w:sz w:val="24"/>
                <w:szCs w:val="24"/>
                <w:highlight w:val="none"/>
              </w:rPr>
              <w:t>9、具备智能下腔静脉测量技术，可智能识别下腔静脉，自动定位IVC，并实时测量IVC直径变化率计算，包括塌陷指数，膨胀指数。</w:t>
            </w:r>
          </w:p>
          <w:p w14:paraId="689B3E3F">
            <w:pPr>
              <w:pStyle w:val="25"/>
              <w:ind w:left="0" w:leftChars="0" w:firstLine="0" w:firstLineChars="0"/>
              <w:rPr>
                <w:rFonts w:hint="eastAsia" w:asciiTheme="minorEastAsia" w:hAnsiTheme="minorEastAsia" w:eastAsiaTheme="minorEastAsia" w:cstheme="minorEastAsia"/>
                <w:kern w:val="0"/>
                <w:sz w:val="24"/>
                <w:szCs w:val="24"/>
                <w:highlight w:val="none"/>
              </w:rPr>
            </w:pP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cstheme="minorEastAsia"/>
                <w:kern w:val="0"/>
                <w:sz w:val="24"/>
                <w:szCs w:val="24"/>
                <w:highlight w:val="none"/>
              </w:rPr>
              <w:t>10、具备智能时间速度积分测量技术。</w:t>
            </w:r>
          </w:p>
          <w:p w14:paraId="03899273">
            <w:pPr>
              <w:pStyle w:val="25"/>
              <w:ind w:left="0" w:leftChars="0" w:firstLine="0" w:firstLineChars="0"/>
              <w:rPr>
                <w:rFonts w:hint="eastAsia" w:asciiTheme="minorEastAsia" w:hAnsiTheme="minorEastAsia" w:eastAsiaTheme="minorEastAsia" w:cstheme="minorEastAsia"/>
                <w:kern w:val="0"/>
                <w:sz w:val="24"/>
                <w:szCs w:val="24"/>
                <w:highlight w:val="none"/>
              </w:rPr>
            </w:pP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cstheme="minorEastAsia"/>
                <w:kern w:val="0"/>
                <w:sz w:val="24"/>
                <w:szCs w:val="24"/>
                <w:highlight w:val="none"/>
              </w:rPr>
              <w:t>11、具备智能肺超B线测量技术，可智能自动计算实时图像上的B线数量，根据B线情况以不同的分值和颜色显示肺部通气状态。</w:t>
            </w:r>
          </w:p>
          <w:p w14:paraId="075BF170">
            <w:pPr>
              <w:pStyle w:val="25"/>
              <w:ind w:left="0" w:leftChars="0" w:firstLine="0" w:firstLineChars="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12、测量和分析 ( B-型、M-型、频谱多普勒、彩色多普勒模式)。</w:t>
            </w:r>
          </w:p>
          <w:p w14:paraId="10603C23">
            <w:pPr>
              <w:pStyle w:val="25"/>
              <w:ind w:left="0" w:leftChars="0" w:firstLine="0" w:firstLineChars="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13、硬盘存储,内置≥120GB固态硬盘存储，图像可存储为PC兼容格式。</w:t>
            </w:r>
          </w:p>
          <w:p w14:paraId="3BA6A110">
            <w:pPr>
              <w:pStyle w:val="25"/>
              <w:ind w:left="0" w:leftChars="0" w:firstLine="0" w:firstLineChars="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14、USB接口支持数据输出，可向外部PC机传送图像并用通用的图像软件来查看图像。可连接心电图。</w:t>
            </w:r>
          </w:p>
          <w:p w14:paraId="150C7204">
            <w:pPr>
              <w:pStyle w:val="25"/>
              <w:ind w:left="0" w:leftChars="0" w:firstLine="0" w:firstLineChars="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15、DICOM3.0标准接口，与原信息系统连接，所产生费用包含在投标投标报价内</w:t>
            </w:r>
          </w:p>
          <w:p w14:paraId="385B2C3D">
            <w:pPr>
              <w:pStyle w:val="25"/>
              <w:ind w:left="0" w:leftChars="0" w:firstLine="0" w:firstLineChars="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16、标配语音远程控制单元，可控制设备常规操作指令≥50种。</w:t>
            </w:r>
          </w:p>
          <w:p w14:paraId="5186921E">
            <w:pPr>
              <w:pStyle w:val="25"/>
              <w:ind w:left="0" w:leftChars="0" w:firstLine="0" w:firstLineChars="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17、主机具备标准探头接口≥1个，并配置三探头转换器，同时激活探头接口≥3个。</w:t>
            </w:r>
          </w:p>
          <w:p w14:paraId="05189D50">
            <w:pPr>
              <w:pStyle w:val="25"/>
              <w:ind w:left="0" w:leftChars="0" w:firstLine="0" w:firstLineChars="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18、主机面板为内置触摸板设置（非外置式及轨迹球式）。</w:t>
            </w:r>
          </w:p>
          <w:p w14:paraId="7B9072FE">
            <w:pPr>
              <w:pStyle w:val="25"/>
              <w:ind w:left="0" w:leftChars="0" w:firstLine="0" w:firstLineChars="0"/>
              <w:rPr>
                <w:rFonts w:hint="eastAsia" w:asciiTheme="minorEastAsia" w:hAnsiTheme="minorEastAsia" w:eastAsiaTheme="minorEastAsia" w:cstheme="minorEastAsia"/>
                <w:kern w:val="0"/>
                <w:sz w:val="24"/>
                <w:szCs w:val="24"/>
                <w:highlight w:val="none"/>
              </w:rPr>
            </w:pP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cstheme="minorEastAsia"/>
                <w:kern w:val="0"/>
                <w:sz w:val="24"/>
                <w:szCs w:val="24"/>
                <w:highlight w:val="none"/>
              </w:rPr>
              <w:t>19、主机含电池重量≤4.0Kg。内置锂电池，电池连续工作时间（非冻结模式）：≥2小时。</w:t>
            </w:r>
          </w:p>
          <w:p w14:paraId="72E7EF26">
            <w:pPr>
              <w:pStyle w:val="25"/>
              <w:ind w:left="0" w:leftChars="0" w:firstLine="0" w:firstLineChars="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20、所有探头均采用宽频带多频变频技术。探头连接方式：通用探头接口。</w:t>
            </w:r>
          </w:p>
          <w:p w14:paraId="3550C79E">
            <w:pPr>
              <w:pStyle w:val="25"/>
              <w:ind w:left="0" w:leftChars="0" w:firstLine="0" w:firstLineChars="0"/>
              <w:rPr>
                <w:rFonts w:hint="eastAsia" w:asciiTheme="minorEastAsia" w:hAnsiTheme="minorEastAsia" w:eastAsiaTheme="minorEastAsia" w:cstheme="minorEastAsia"/>
                <w:kern w:val="0"/>
                <w:sz w:val="24"/>
                <w:szCs w:val="24"/>
                <w:highlight w:val="none"/>
              </w:rPr>
            </w:pP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cstheme="minorEastAsia"/>
                <w:kern w:val="0"/>
                <w:sz w:val="24"/>
                <w:szCs w:val="24"/>
                <w:highlight w:val="none"/>
              </w:rPr>
              <w:t>21、最大成像深度≥39cm。</w:t>
            </w:r>
          </w:p>
          <w:p w14:paraId="4C40ADC5">
            <w:pPr>
              <w:pStyle w:val="25"/>
              <w:ind w:left="0" w:leftChars="0" w:firstLine="0" w:firstLineChars="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22、二维成像显示：全屏、双幅显示。</w:t>
            </w:r>
          </w:p>
          <w:p w14:paraId="52A7D71F">
            <w:pPr>
              <w:pStyle w:val="25"/>
              <w:ind w:left="0" w:leftChars="0" w:firstLine="0" w:firstLineChars="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23、频谱多普勒应用模式：脉冲波多普勒、连续波多普勒。</w:t>
            </w:r>
          </w:p>
          <w:p w14:paraId="0766B913">
            <w:pPr>
              <w:pStyle w:val="25"/>
              <w:ind w:left="0" w:leftChars="0" w:firstLine="0" w:firstLineChars="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24、频谱多普勒：最大测量速度：</w:t>
            </w:r>
          </w:p>
          <w:p w14:paraId="7CB0BC81">
            <w:pPr>
              <w:pStyle w:val="25"/>
              <w:ind w:left="0" w:leftChars="0" w:firstLine="0" w:firstLineChars="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PW血流最大速度≥8.6m/s</w:t>
            </w:r>
          </w:p>
          <w:p w14:paraId="0921AFA9">
            <w:pPr>
              <w:pStyle w:val="25"/>
              <w:ind w:left="0" w:leftChars="0" w:firstLine="0" w:firstLineChars="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CW血流最大速度≥30m/s</w:t>
            </w:r>
          </w:p>
          <w:p w14:paraId="76A3DC82">
            <w:pPr>
              <w:pStyle w:val="25"/>
              <w:ind w:left="0" w:leftChars="0" w:firstLine="0" w:firstLineChars="0"/>
              <w:rPr>
                <w:rFonts w:hint="eastAsia" w:asciiTheme="minorEastAsia" w:hAnsiTheme="minorEastAsia" w:eastAsiaTheme="minorEastAsia" w:cstheme="minorEastAsia"/>
                <w:kern w:val="0"/>
                <w:sz w:val="24"/>
                <w:szCs w:val="24"/>
                <w:highlight w:val="none"/>
              </w:rPr>
            </w:pP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cstheme="minorEastAsia"/>
                <w:kern w:val="0"/>
                <w:sz w:val="24"/>
                <w:szCs w:val="24"/>
                <w:highlight w:val="none"/>
              </w:rPr>
              <w:t>25、取样宽度及位置范围：宽度0.5～20mm。</w:t>
            </w:r>
          </w:p>
          <w:p w14:paraId="5D282EC3">
            <w:pPr>
              <w:pStyle w:val="25"/>
              <w:ind w:left="0" w:leftChars="0" w:firstLine="0" w:firstLineChars="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26、彩色多普勒成像成像方式：彩色多普勒速度图、彩色多普勒能量图。</w:t>
            </w:r>
          </w:p>
          <w:p w14:paraId="62F38AB1">
            <w:pPr>
              <w:pStyle w:val="25"/>
              <w:ind w:left="0" w:leftChars="0" w:firstLine="0" w:firstLineChars="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27、偏转角：线阵扫描感兴趣的图像范围：±30°。</w:t>
            </w:r>
          </w:p>
          <w:p w14:paraId="5E2969FB">
            <w:pPr>
              <w:spacing w:line="360" w:lineRule="auto"/>
              <w:jc w:val="left"/>
              <w:rPr>
                <w:rFonts w:hint="eastAsia" w:ascii="宋体" w:hAnsi="宋体" w:eastAsia="宋体"/>
                <w:b/>
                <w:bCs w:val="0"/>
                <w:color w:val="auto"/>
                <w:sz w:val="24"/>
                <w:szCs w:val="18"/>
                <w:highlight w:val="none"/>
              </w:rPr>
            </w:pPr>
            <w:r>
              <w:rPr>
                <w:rFonts w:hint="eastAsia" w:ascii="宋体" w:hAnsi="宋体" w:eastAsia="宋体" w:cs="宋体"/>
                <w:b/>
                <w:bCs/>
                <w:color w:val="auto"/>
                <w:kern w:val="0"/>
                <w:sz w:val="24"/>
                <w:szCs w:val="24"/>
                <w:highlight w:val="none"/>
              </w:rPr>
              <w:t>★</w:t>
            </w:r>
            <w:r>
              <w:rPr>
                <w:rFonts w:hint="eastAsia" w:ascii="宋体" w:hAnsi="宋体" w:eastAsia="宋体"/>
                <w:b/>
                <w:bCs w:val="0"/>
                <w:color w:val="auto"/>
                <w:sz w:val="24"/>
                <w:szCs w:val="18"/>
                <w:highlight w:val="none"/>
                <w:lang w:eastAsia="zh-CN"/>
              </w:rPr>
              <w:t>二、</w:t>
            </w:r>
            <w:r>
              <w:rPr>
                <w:rFonts w:hint="eastAsia" w:ascii="宋体" w:hAnsi="宋体" w:eastAsia="宋体"/>
                <w:b/>
                <w:bCs w:val="0"/>
                <w:color w:val="auto"/>
                <w:sz w:val="24"/>
                <w:szCs w:val="18"/>
                <w:highlight w:val="none"/>
              </w:rPr>
              <w:t>相关配置</w:t>
            </w:r>
          </w:p>
          <w:p w14:paraId="1D473412">
            <w:pPr>
              <w:spacing w:line="360" w:lineRule="auto"/>
              <w:jc w:val="left"/>
              <w:rPr>
                <w:rFonts w:hint="eastAsia" w:ascii="宋体" w:hAnsi="宋体" w:eastAsia="宋体"/>
                <w:b w:val="0"/>
                <w:bCs/>
                <w:color w:val="auto"/>
                <w:sz w:val="24"/>
                <w:szCs w:val="18"/>
                <w:highlight w:val="none"/>
              </w:rPr>
            </w:pPr>
            <w:r>
              <w:rPr>
                <w:rFonts w:hint="eastAsia" w:ascii="宋体" w:hAnsi="宋体" w:eastAsia="宋体"/>
                <w:b w:val="0"/>
                <w:bCs/>
                <w:color w:val="auto"/>
                <w:sz w:val="24"/>
                <w:szCs w:val="18"/>
                <w:highlight w:val="none"/>
              </w:rPr>
              <w:t>电子凸阵探头（2.0-5.0MHz ）1把</w:t>
            </w:r>
          </w:p>
          <w:p w14:paraId="38E466EC">
            <w:pPr>
              <w:spacing w:line="360" w:lineRule="auto"/>
              <w:jc w:val="left"/>
              <w:rPr>
                <w:rFonts w:hint="eastAsia" w:ascii="宋体" w:hAnsi="宋体" w:eastAsia="宋体"/>
                <w:b w:val="0"/>
                <w:bCs/>
                <w:color w:val="auto"/>
                <w:sz w:val="24"/>
                <w:szCs w:val="18"/>
                <w:highlight w:val="none"/>
              </w:rPr>
            </w:pPr>
            <w:r>
              <w:rPr>
                <w:rFonts w:hint="eastAsia" w:ascii="宋体" w:hAnsi="宋体" w:eastAsia="宋体"/>
                <w:b w:val="0"/>
                <w:bCs/>
                <w:color w:val="auto"/>
                <w:sz w:val="24"/>
                <w:szCs w:val="18"/>
                <w:highlight w:val="none"/>
              </w:rPr>
              <w:t>电子线阵探头（4.0-12.0MHz，探头内置按键≥3个）1把</w:t>
            </w:r>
          </w:p>
          <w:p w14:paraId="6F10B61A">
            <w:pPr>
              <w:spacing w:line="360" w:lineRule="auto"/>
              <w:jc w:val="left"/>
              <w:rPr>
                <w:rFonts w:hint="eastAsia" w:ascii="宋体" w:hAnsi="宋体" w:eastAsia="宋体"/>
                <w:b w:val="0"/>
                <w:bCs/>
                <w:color w:val="auto"/>
                <w:sz w:val="24"/>
                <w:szCs w:val="18"/>
                <w:highlight w:val="none"/>
              </w:rPr>
            </w:pPr>
            <w:r>
              <w:rPr>
                <w:rFonts w:hint="eastAsia" w:ascii="宋体" w:hAnsi="宋体" w:eastAsia="宋体"/>
                <w:b w:val="0"/>
                <w:bCs/>
                <w:color w:val="auto"/>
                <w:sz w:val="24"/>
                <w:szCs w:val="18"/>
                <w:highlight w:val="none"/>
              </w:rPr>
              <w:t>电子相控阵探头（2.0-4.0MHz）1把</w:t>
            </w:r>
          </w:p>
          <w:p w14:paraId="4B9051D2">
            <w:pPr>
              <w:spacing w:line="360" w:lineRule="auto"/>
              <w:jc w:val="left"/>
              <w:rPr>
                <w:rFonts w:hint="eastAsia" w:ascii="宋体" w:hAnsi="宋体" w:eastAsia="宋体"/>
                <w:b/>
                <w:bCs w:val="0"/>
                <w:color w:val="auto"/>
                <w:sz w:val="24"/>
                <w:szCs w:val="18"/>
                <w:highlight w:val="none"/>
              </w:rPr>
            </w:pPr>
            <w:r>
              <w:rPr>
                <w:rFonts w:hint="eastAsia" w:ascii="宋体" w:hAnsi="宋体" w:eastAsia="宋体"/>
                <w:b w:val="0"/>
                <w:bCs/>
                <w:color w:val="auto"/>
                <w:sz w:val="24"/>
                <w:szCs w:val="18"/>
                <w:highlight w:val="none"/>
              </w:rPr>
              <w:t>台车  1个</w:t>
            </w:r>
          </w:p>
        </w:tc>
        <w:tc>
          <w:tcPr>
            <w:tcW w:w="831" w:type="dxa"/>
            <w:vAlign w:val="center"/>
          </w:tcPr>
          <w:p w14:paraId="6E3B9D0F">
            <w:pPr>
              <w:spacing w:line="360" w:lineRule="auto"/>
              <w:jc w:val="center"/>
              <w:rPr>
                <w:rFonts w:ascii="宋体" w:hAnsi="宋体" w:eastAsia="宋体"/>
                <w:bCs/>
                <w:color w:val="auto"/>
                <w:sz w:val="24"/>
                <w:szCs w:val="18"/>
                <w:highlight w:val="none"/>
              </w:rPr>
            </w:pPr>
            <w:r>
              <w:rPr>
                <w:rFonts w:hint="eastAsia" w:ascii="宋体" w:hAnsi="宋体" w:eastAsia="宋体"/>
                <w:bCs/>
                <w:color w:val="auto"/>
                <w:sz w:val="24"/>
                <w:szCs w:val="18"/>
                <w:highlight w:val="none"/>
              </w:rPr>
              <w:t>工业</w:t>
            </w:r>
          </w:p>
        </w:tc>
        <w:tc>
          <w:tcPr>
            <w:tcW w:w="877" w:type="dxa"/>
            <w:vAlign w:val="center"/>
          </w:tcPr>
          <w:p w14:paraId="109FE24D">
            <w:pPr>
              <w:spacing w:line="360" w:lineRule="auto"/>
              <w:jc w:val="center"/>
              <w:rPr>
                <w:rFonts w:ascii="宋体" w:hAnsi="宋体" w:eastAsia="宋体"/>
                <w:bCs/>
                <w:color w:val="auto"/>
                <w:sz w:val="24"/>
                <w:szCs w:val="18"/>
                <w:highlight w:val="none"/>
              </w:rPr>
            </w:pPr>
            <w:r>
              <w:rPr>
                <w:rFonts w:hint="eastAsia" w:ascii="宋体" w:hAnsi="宋体" w:eastAsia="宋体"/>
                <w:bCs/>
                <w:color w:val="auto"/>
                <w:sz w:val="24"/>
                <w:szCs w:val="18"/>
                <w:highlight w:val="none"/>
              </w:rPr>
              <w:t>/</w:t>
            </w:r>
          </w:p>
        </w:tc>
      </w:tr>
    </w:tbl>
    <w:p w14:paraId="6437456E">
      <w:pPr>
        <w:rPr>
          <w:rFonts w:hint="eastAsia" w:ascii="宋体" w:hAnsi="宋体" w:eastAsia="宋体"/>
          <w:b/>
          <w:bCs/>
          <w:sz w:val="24"/>
          <w:szCs w:val="18"/>
          <w:highlight w:val="none"/>
          <w:lang w:val="en-US" w:eastAsia="zh-CN"/>
        </w:rPr>
      </w:pPr>
      <w:r>
        <w:rPr>
          <w:rFonts w:hint="eastAsia" w:ascii="宋体" w:hAnsi="宋体" w:eastAsia="宋体"/>
          <w:b/>
          <w:bCs/>
          <w:sz w:val="24"/>
          <w:szCs w:val="18"/>
          <w:highlight w:val="none"/>
          <w:lang w:val="en-US" w:eastAsia="zh-CN"/>
        </w:rPr>
        <w:br w:type="page"/>
      </w:r>
    </w:p>
    <w:p w14:paraId="1EFF5539">
      <w:pPr>
        <w:rPr>
          <w:rFonts w:hint="eastAsia" w:ascii="宋体" w:hAnsi="宋体" w:eastAsia="宋体"/>
          <w:b/>
          <w:bCs/>
          <w:sz w:val="24"/>
          <w:szCs w:val="18"/>
          <w:highlight w:val="none"/>
        </w:rPr>
      </w:pPr>
      <w:r>
        <w:rPr>
          <w:rFonts w:hint="eastAsia" w:ascii="宋体" w:hAnsi="宋体" w:eastAsia="宋体"/>
          <w:b/>
          <w:bCs/>
          <w:sz w:val="24"/>
          <w:szCs w:val="18"/>
          <w:highlight w:val="none"/>
          <w:lang w:val="en-US" w:eastAsia="zh-CN"/>
        </w:rPr>
        <w:t>06包：床旁超声机（便携）</w:t>
      </w:r>
    </w:p>
    <w:tbl>
      <w:tblPr>
        <w:tblStyle w:val="26"/>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47"/>
        <w:gridCol w:w="5932"/>
        <w:gridCol w:w="831"/>
        <w:gridCol w:w="877"/>
      </w:tblGrid>
      <w:tr w14:paraId="30974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14:paraId="4FA9650F">
            <w:pPr>
              <w:spacing w:line="360" w:lineRule="auto"/>
              <w:jc w:val="center"/>
              <w:rPr>
                <w:rFonts w:ascii="宋体" w:hAnsi="宋体" w:eastAsia="宋体"/>
                <w:b/>
                <w:bCs/>
                <w:sz w:val="24"/>
                <w:szCs w:val="18"/>
                <w:highlight w:val="none"/>
              </w:rPr>
            </w:pPr>
            <w:r>
              <w:rPr>
                <w:rFonts w:hint="eastAsia" w:ascii="宋体" w:hAnsi="宋体" w:eastAsia="宋体"/>
                <w:b/>
                <w:bCs/>
                <w:sz w:val="24"/>
                <w:szCs w:val="18"/>
                <w:highlight w:val="none"/>
              </w:rPr>
              <w:t>序号</w:t>
            </w:r>
          </w:p>
        </w:tc>
        <w:tc>
          <w:tcPr>
            <w:tcW w:w="1147" w:type="dxa"/>
            <w:vAlign w:val="center"/>
          </w:tcPr>
          <w:p w14:paraId="470C9CCF">
            <w:pPr>
              <w:spacing w:line="360" w:lineRule="auto"/>
              <w:jc w:val="center"/>
              <w:rPr>
                <w:rFonts w:ascii="宋体" w:hAnsi="宋体" w:eastAsia="宋体"/>
                <w:b/>
                <w:bCs/>
                <w:sz w:val="24"/>
                <w:szCs w:val="18"/>
                <w:highlight w:val="none"/>
              </w:rPr>
            </w:pPr>
            <w:r>
              <w:rPr>
                <w:rFonts w:hint="eastAsia" w:ascii="宋体" w:hAnsi="宋体" w:eastAsia="宋体"/>
                <w:b/>
                <w:bCs/>
                <w:sz w:val="24"/>
                <w:szCs w:val="18"/>
                <w:highlight w:val="none"/>
              </w:rPr>
              <w:t>货物名称</w:t>
            </w:r>
          </w:p>
        </w:tc>
        <w:tc>
          <w:tcPr>
            <w:tcW w:w="5932" w:type="dxa"/>
            <w:vAlign w:val="center"/>
          </w:tcPr>
          <w:p w14:paraId="4AD89E20">
            <w:pPr>
              <w:spacing w:line="360" w:lineRule="auto"/>
              <w:jc w:val="center"/>
              <w:rPr>
                <w:rFonts w:ascii="宋体" w:hAnsi="宋体" w:eastAsia="宋体"/>
                <w:b/>
                <w:bCs/>
                <w:sz w:val="24"/>
                <w:szCs w:val="18"/>
                <w:highlight w:val="none"/>
              </w:rPr>
            </w:pPr>
            <w:r>
              <w:rPr>
                <w:rFonts w:hint="eastAsia" w:ascii="宋体" w:hAnsi="宋体" w:eastAsia="宋体"/>
                <w:b/>
                <w:bCs/>
                <w:sz w:val="24"/>
                <w:szCs w:val="18"/>
                <w:highlight w:val="none"/>
              </w:rPr>
              <w:t>技术参数及要求</w:t>
            </w:r>
          </w:p>
        </w:tc>
        <w:tc>
          <w:tcPr>
            <w:tcW w:w="831" w:type="dxa"/>
            <w:vAlign w:val="center"/>
          </w:tcPr>
          <w:p w14:paraId="27C2708B">
            <w:pPr>
              <w:spacing w:line="360" w:lineRule="auto"/>
              <w:jc w:val="center"/>
              <w:rPr>
                <w:rFonts w:ascii="宋体" w:hAnsi="宋体" w:eastAsia="宋体"/>
                <w:b/>
                <w:bCs/>
                <w:sz w:val="24"/>
                <w:szCs w:val="18"/>
                <w:highlight w:val="none"/>
              </w:rPr>
            </w:pPr>
            <w:r>
              <w:rPr>
                <w:rFonts w:hint="eastAsia" w:ascii="宋体" w:hAnsi="宋体" w:eastAsia="宋体"/>
                <w:b/>
                <w:bCs/>
                <w:sz w:val="24"/>
                <w:szCs w:val="18"/>
                <w:highlight w:val="none"/>
              </w:rPr>
              <w:t>所属</w:t>
            </w:r>
          </w:p>
          <w:p w14:paraId="18D24078">
            <w:pPr>
              <w:spacing w:line="360" w:lineRule="auto"/>
              <w:jc w:val="center"/>
              <w:rPr>
                <w:rFonts w:ascii="宋体" w:hAnsi="宋体" w:eastAsia="宋体"/>
                <w:b/>
                <w:bCs/>
                <w:sz w:val="24"/>
                <w:szCs w:val="18"/>
                <w:highlight w:val="none"/>
              </w:rPr>
            </w:pPr>
            <w:r>
              <w:rPr>
                <w:rFonts w:hint="eastAsia" w:ascii="宋体" w:hAnsi="宋体" w:eastAsia="宋体"/>
                <w:b/>
                <w:bCs/>
                <w:sz w:val="24"/>
                <w:szCs w:val="18"/>
                <w:highlight w:val="none"/>
              </w:rPr>
              <w:t>行业</w:t>
            </w:r>
          </w:p>
        </w:tc>
        <w:tc>
          <w:tcPr>
            <w:tcW w:w="877" w:type="dxa"/>
            <w:vAlign w:val="center"/>
          </w:tcPr>
          <w:p w14:paraId="4518D405">
            <w:pPr>
              <w:spacing w:line="360" w:lineRule="auto"/>
              <w:jc w:val="center"/>
              <w:rPr>
                <w:rFonts w:ascii="宋体" w:hAnsi="宋体" w:eastAsia="宋体"/>
                <w:b/>
                <w:bCs/>
                <w:sz w:val="24"/>
                <w:szCs w:val="18"/>
                <w:highlight w:val="none"/>
              </w:rPr>
            </w:pPr>
            <w:r>
              <w:rPr>
                <w:rFonts w:hint="eastAsia" w:ascii="宋体" w:hAnsi="宋体" w:eastAsia="宋体"/>
                <w:b/>
                <w:bCs/>
                <w:sz w:val="24"/>
                <w:szCs w:val="18"/>
                <w:highlight w:val="none"/>
              </w:rPr>
              <w:t>备注</w:t>
            </w:r>
          </w:p>
        </w:tc>
      </w:tr>
      <w:tr w14:paraId="739B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20" w:type="dxa"/>
            <w:vAlign w:val="center"/>
          </w:tcPr>
          <w:p w14:paraId="5BED55DE">
            <w:pPr>
              <w:spacing w:line="360" w:lineRule="auto"/>
              <w:jc w:val="center"/>
              <w:rPr>
                <w:rFonts w:ascii="宋体" w:hAnsi="宋体" w:eastAsia="宋体"/>
                <w:color w:val="auto"/>
                <w:sz w:val="24"/>
                <w:szCs w:val="18"/>
                <w:highlight w:val="none"/>
              </w:rPr>
            </w:pPr>
            <w:r>
              <w:rPr>
                <w:rFonts w:hint="eastAsia" w:ascii="宋体" w:hAnsi="宋体" w:eastAsia="宋体"/>
                <w:color w:val="auto"/>
                <w:sz w:val="24"/>
                <w:szCs w:val="18"/>
                <w:highlight w:val="none"/>
              </w:rPr>
              <w:t>1</w:t>
            </w:r>
          </w:p>
        </w:tc>
        <w:tc>
          <w:tcPr>
            <w:tcW w:w="1147" w:type="dxa"/>
            <w:vAlign w:val="center"/>
          </w:tcPr>
          <w:p w14:paraId="766768CC">
            <w:pPr>
              <w:spacing w:line="360" w:lineRule="auto"/>
              <w:jc w:val="center"/>
              <w:rPr>
                <w:rFonts w:ascii="宋体" w:hAnsi="宋体" w:eastAsia="宋体"/>
                <w:bCs/>
                <w:color w:val="auto"/>
                <w:sz w:val="24"/>
                <w:szCs w:val="18"/>
                <w:highlight w:val="none"/>
              </w:rPr>
            </w:pPr>
            <w:r>
              <w:rPr>
                <w:rFonts w:hint="eastAsia" w:ascii="宋体" w:hAnsi="宋体" w:eastAsia="宋体"/>
                <w:b w:val="0"/>
                <w:bCs/>
                <w:color w:val="auto"/>
                <w:sz w:val="24"/>
                <w:szCs w:val="18"/>
                <w:highlight w:val="none"/>
              </w:rPr>
              <w:t>床旁超声机（便携）</w:t>
            </w:r>
          </w:p>
        </w:tc>
        <w:tc>
          <w:tcPr>
            <w:tcW w:w="5932" w:type="dxa"/>
            <w:vAlign w:val="center"/>
          </w:tcPr>
          <w:p w14:paraId="7EF3F85D">
            <w:pPr>
              <w:widowControl/>
              <w:spacing w:after="200"/>
              <w:ind w:firstLine="482"/>
              <w:jc w:val="left"/>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性能</w:t>
            </w:r>
            <w:r>
              <w:rPr>
                <w:rFonts w:hint="eastAsia" w:asciiTheme="minorEastAsia" w:hAnsiTheme="minorEastAsia" w:eastAsiaTheme="minorEastAsia" w:cstheme="minorEastAsia"/>
                <w:b/>
                <w:bCs/>
                <w:color w:val="auto"/>
                <w:sz w:val="24"/>
                <w:szCs w:val="24"/>
                <w:highlight w:val="none"/>
              </w:rPr>
              <w:t>参数</w:t>
            </w:r>
          </w:p>
          <w:p w14:paraId="6F551A9A">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1.1、便携式彩色超声诊断系统包括：</w:t>
            </w:r>
          </w:p>
          <w:p w14:paraId="507A9865">
            <w:pPr>
              <w:spacing w:line="480" w:lineRule="auto"/>
              <w:rPr>
                <w:rFonts w:hint="eastAsia" w:asciiTheme="minorEastAsia" w:hAnsiTheme="minorEastAsia" w:eastAsiaTheme="minorEastAsia" w:cstheme="minorEastAsia"/>
                <w:sz w:val="24"/>
                <w:szCs w:val="24"/>
                <w:highlight w:val="none"/>
              </w:rPr>
            </w:pP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cstheme="minorEastAsia"/>
                <w:sz w:val="24"/>
                <w:szCs w:val="24"/>
                <w:highlight w:val="none"/>
              </w:rPr>
              <w:t>1.1.1、≥15英寸彩色液晶触摸屏显示器，分辨率≥1920×1080，支持全触摸操控，。Windows 10及以上操作系统，主机可拆卸，可手提，可桌面放置，也支持配台车移动使用。</w:t>
            </w:r>
          </w:p>
          <w:p w14:paraId="3057B8E7">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1.1.2、具有数字化二维灰阶成像单元、彩色及能量多普勒单元、频谱多普勒显示和分析单元</w:t>
            </w:r>
          </w:p>
          <w:p w14:paraId="4BE2D74D">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1.1.3、具有全数字式波束形成器 </w:t>
            </w:r>
          </w:p>
          <w:p w14:paraId="53819D54">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1.1.4、具有空间复合成像技术、智能化超清成像、超清斑点噪声抑制技术（可分多级调节）</w:t>
            </w:r>
          </w:p>
          <w:p w14:paraId="18741516">
            <w:pPr>
              <w:spacing w:line="480" w:lineRule="auto"/>
              <w:rPr>
                <w:rFonts w:hint="eastAsia" w:asciiTheme="minorEastAsia" w:hAnsiTheme="minorEastAsia" w:eastAsiaTheme="minorEastAsia" w:cstheme="minorEastAsia"/>
                <w:sz w:val="24"/>
                <w:szCs w:val="24"/>
                <w:highlight w:val="none"/>
              </w:rPr>
            </w:pP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cstheme="minorEastAsia"/>
                <w:sz w:val="24"/>
                <w:szCs w:val="24"/>
                <w:highlight w:val="none"/>
              </w:rPr>
              <w:t>1.1.5、具有穿刺针增强显影技术，可适用于所有线阵探头和成人凸阵探头）。</w:t>
            </w:r>
          </w:p>
          <w:p w14:paraId="4391855D">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1.1.6、具有组织谐波成像功能、一键自动优化功能。1.1.7、原始数据处理能力：可对已存储的图像进行增益、动态范围、多普勒基线、多普勒角度、扫描速度、自动优化等调节以及测量和分析</w:t>
            </w:r>
          </w:p>
          <w:p w14:paraId="7BA26856">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1.1.8、实时直线解剖M型：可实时或回放图像上M型扫描线360度任意旋转调节，可对传统M型扫描进行角度纠正。可用于二维、彩色血流及组织多普勒模式。</w:t>
            </w:r>
          </w:p>
          <w:p w14:paraId="5262B7C8">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1.1.9、具有彩色M型模式，支持解剖M型</w:t>
            </w:r>
          </w:p>
          <w:p w14:paraId="2DE88531">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1.1.10、具有凸型扩展技术（可支持所有线阵探头）、虚拟心尖显示技术</w:t>
            </w:r>
          </w:p>
          <w:p w14:paraId="3EC6020B">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1.1.11、具有高级临床应用（休克诊疗工具包）</w:t>
            </w:r>
          </w:p>
          <w:p w14:paraId="000AE8D0">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1.1.11.1.1、自动VTI测量：通过一键取样框即可自动识别并追踪主动脉瓣下方左室流出道区域，取样框不同颜色可提示图像切面获取质量</w:t>
            </w:r>
          </w:p>
          <w:p w14:paraId="4EC0680B">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1.1.11.1.2、可自动进行追踪最佳取样位置，可自动记录描记左室流出道频谱</w:t>
            </w:r>
          </w:p>
          <w:p w14:paraId="310AFF41">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1.1.11.1.3、可自动快速测量VTI、SV、CO，无需冻结图像，即可实时动态监测VTI、SV、CO。</w:t>
            </w:r>
          </w:p>
          <w:p w14:paraId="6BB0C85C">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1.1.11.2.1、自动IVC测量：通过一键取样线自动识别并追踪下腔静脉IVC，取样线始终与下腔静脉IVC管壁垂直，取样线不同颜色可提示图像切面获取质量</w:t>
            </w:r>
          </w:p>
          <w:p w14:paraId="144B8B23">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1.1.11.2.2、可自动记录不同呼吸周期下腔静脉IVC管径变化，快速获取IVC最大径、最小径、CI变异率等</w:t>
            </w:r>
          </w:p>
          <w:p w14:paraId="6CAAA469">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1.1.11.2.3、支持机械通气模式下，一键自动测量DI扩张指数</w:t>
            </w:r>
          </w:p>
          <w:p w14:paraId="6923BD8A">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1.1.11.2.4、每个呼吸循环周期实时自动显示</w:t>
            </w:r>
          </w:p>
          <w:p w14:paraId="3D3A1CD4">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1.1.11.3.1、自动B线测量：可自动识别并标记肺部超声B线，通过冻结图像，自动找到B线数量出现最多的一帧图像并进行计数，可根据B线数量得出评分，取样框不同颜色可提示图像切面获取质量</w:t>
            </w:r>
          </w:p>
          <w:p w14:paraId="00CF3BDF">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1.1.11.4.1、VTI趋势图：可快速查看VTI变化趋势，可自动记录最近4个不同时间的VTI测量数据，可显示VTI、变化百分比、时间等数据</w:t>
            </w:r>
          </w:p>
          <w:p w14:paraId="2C52AFFE">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1.1.11.5.1、肺部超声检查工具：可将肺部超声检查各个部位以解剖图示形式显示可按预定顺序或自定义顺序依次扫描肺部不同的区域，可随时查看及评估</w:t>
            </w:r>
          </w:p>
          <w:p w14:paraId="16104F75">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1.1.11.5.2、可显示肺部≥8个区域，可显示每个区域的评分和整个检查的总评分，评估肺部疾病严重程度</w:t>
            </w:r>
          </w:p>
          <w:p w14:paraId="3632E44D">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1.1.11.6.1、快速创伤超声评估工具：将创伤超声重点评估检查流程各个标准切面以解剖图示形式显示。</w:t>
            </w:r>
          </w:p>
          <w:p w14:paraId="5508D928">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1.1.11.6.2、使用创伤超声重点评估工具按预定顺序或自定义顺序依次扫描不同的区域，通过创伤患者是否存在游离液体，同时提供易于记录的标记工具，可快速进行查看及评价。可显示eFAST检查的8个区域</w:t>
            </w:r>
          </w:p>
          <w:p w14:paraId="08015F2E">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1.1.11.7.1、肾积水评估工具：将泌尿系统以解剖图形式显示，包括双肾及膀胱</w:t>
            </w:r>
          </w:p>
          <w:p w14:paraId="6B32E1CA">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1.1.11.7.2、使用评估工具按照预置顺序或自定义顺序依次扫描不同的区域，可以记录患者双肾肾脏集合系统扩张程度（分为轻度、中度、重度扩张），膀胱内的异常情况等，快速进行评估、标记。</w:t>
            </w:r>
          </w:p>
          <w:p w14:paraId="641E8928">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1.1.11.8.1、实时射血分数自动测量：实时进行射血分数（EF）测量，无需连接心电导联</w:t>
            </w:r>
          </w:p>
          <w:p w14:paraId="2E3E207D">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1.1.11.8.2、可自动描迹左心室内膜边界，实现实时连续测量射血分数，并提供ESV及EDV值。智能描迹线可根据不同颜色提示切面标准程度及左心室描迹准确性。</w:t>
            </w:r>
          </w:p>
          <w:p w14:paraId="0A6AB89E">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1.1.12、简易放大模式：隐藏侧边栏，同时使图像显示区域增大≥18%</w:t>
            </w:r>
          </w:p>
          <w:p w14:paraId="3DCAE94B">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1.1.13.1、肺部全景扫查工具：适用于所有具备肺部模式的探头。可以进行肺部连续全景动态扫查，全景图像可存储动态图像。</w:t>
            </w:r>
          </w:p>
          <w:p w14:paraId="74251FCA">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1.1.13.2、具备自动识别探头与皮肤贴合度功能，探头接触皮肤自动开始全景成像，探头离开皮肤自动结束扫查</w:t>
            </w:r>
          </w:p>
          <w:p w14:paraId="19F42FDD">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1.1.13.3、智能追踪技术：实时扫查快速重现存储图像全部扫描参数</w:t>
            </w:r>
          </w:p>
          <w:p w14:paraId="033354AC">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1.1.14.1、具备实时宽景成像技术</w:t>
            </w:r>
          </w:p>
          <w:p w14:paraId="7F29AAB2">
            <w:pPr>
              <w:spacing w:line="480" w:lineRule="auto"/>
              <w:rPr>
                <w:rFonts w:hint="eastAsia" w:asciiTheme="minorEastAsia" w:hAnsiTheme="minorEastAsia" w:eastAsiaTheme="minorEastAsia" w:cstheme="minorEastAsia"/>
                <w:sz w:val="24"/>
                <w:szCs w:val="24"/>
                <w:highlight w:val="none"/>
              </w:rPr>
            </w:pP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cstheme="minorEastAsia"/>
                <w:sz w:val="24"/>
                <w:szCs w:val="24"/>
                <w:highlight w:val="none"/>
              </w:rPr>
              <w:t>1.1.15、主机可配一体化探头接口：≥3个（非扩展接口）</w:t>
            </w:r>
          </w:p>
          <w:p w14:paraId="200A510C">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1.1.16、超声系统最大探查深度≥36CM</w:t>
            </w:r>
          </w:p>
          <w:p w14:paraId="30A344C4">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1.1.17、具备自动环境亮光感应调节，</w:t>
            </w:r>
          </w:p>
          <w:p w14:paraId="111A5DBC">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1.1.18、无缝密闭式电源按键，可拆卸锂电池（断电条件下扫查时间≥2小时）</w:t>
            </w:r>
          </w:p>
          <w:p w14:paraId="66D576BB">
            <w:pPr>
              <w:spacing w:line="480" w:lineRule="auto"/>
              <w:rPr>
                <w:rFonts w:hint="eastAsia" w:asciiTheme="minorEastAsia" w:hAnsiTheme="minorEastAsia" w:eastAsiaTheme="minorEastAsia" w:cstheme="minorEastAsia"/>
                <w:sz w:val="24"/>
                <w:szCs w:val="24"/>
                <w:highlight w:val="none"/>
              </w:rPr>
            </w:pP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cstheme="minorEastAsia"/>
                <w:sz w:val="24"/>
                <w:szCs w:val="24"/>
                <w:highlight w:val="none"/>
              </w:rPr>
              <w:t>1.1.19、具有屏幕清洁模式</w:t>
            </w:r>
          </w:p>
          <w:p w14:paraId="6AAA9482">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1.1.20、关机后剩余电量可视（显示到分钟）</w:t>
            </w:r>
          </w:p>
          <w:p w14:paraId="44C1942D">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1.2、测量和分析：(B型、M型、AMM型、彩色模式、能量多普勒模式、连续多普勒模式、频谱多普勒模式、组织多普勒模式等)</w:t>
            </w:r>
          </w:p>
          <w:p w14:paraId="31A3A653">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1.2.1、一般测量：妇产科测量（包括孕期、预产期、胎重的分析及显示，胎儿生长曲线（单幅和多幅同时显示）、多数据对比图、子宫卵巢和卵泡的测量和计算以及全面的可编辑的报告功能），产科测量包(包括多胎测量菜单）</w:t>
            </w:r>
          </w:p>
          <w:p w14:paraId="0BB76328">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1.2.2、多普勒血流测量与分析，实时多普勒自动包络、测量和计算，</w:t>
            </w:r>
          </w:p>
          <w:p w14:paraId="6D08C0EC">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1.2.3、心脏功能测量以及各瓣膜功能的测量、分析及报告</w:t>
            </w:r>
            <w:r>
              <w:rPr>
                <w:rFonts w:hint="eastAsia" w:asciiTheme="minorEastAsia" w:hAnsiTheme="minorEastAsia" w:eastAsiaTheme="minorEastAsia" w:cstheme="minorEastAsia"/>
                <w:sz w:val="24"/>
                <w:szCs w:val="24"/>
                <w:highlight w:val="none"/>
              </w:rPr>
              <w:tab/>
            </w:r>
          </w:p>
          <w:p w14:paraId="42D590CE">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1.2.4、外周血管测量与分析、泌尿科测量与分析、肺部超声评分</w:t>
            </w:r>
            <w:r>
              <w:rPr>
                <w:rFonts w:hint="eastAsia" w:asciiTheme="minorEastAsia" w:hAnsiTheme="minorEastAsia" w:eastAsiaTheme="minorEastAsia" w:cstheme="minorEastAsia"/>
                <w:sz w:val="24"/>
                <w:szCs w:val="24"/>
                <w:highlight w:val="none"/>
              </w:rPr>
              <w:tab/>
            </w:r>
          </w:p>
          <w:p w14:paraId="283ABE5F">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1.2.5、显示模式：全屏模式（二维图像显示界面更大）、分屏模式（可左右分屏，上下分屏）</w:t>
            </w:r>
          </w:p>
          <w:p w14:paraId="71654B2F">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1.3、一体化图像存储与(电影)回放重现及病案管理单元</w:t>
            </w:r>
          </w:p>
          <w:p w14:paraId="2900B13E">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1.3.1、一体化病案管理单元（病人资料、报告、图像等的存储、修改、检索和打印等），超声图像静态、动态存储回放重现</w:t>
            </w:r>
          </w:p>
          <w:p w14:paraId="46A205A7">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1.3.2、USB3.0接口≥4个，支持快速闪存卡，快速存储屏幕上的图像</w:t>
            </w:r>
          </w:p>
          <w:p w14:paraId="45CFB66A">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1.4、图像管理与记录装置：</w:t>
            </w:r>
          </w:p>
          <w:p w14:paraId="5ECB23B7">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1.4.1、具备超声图像存档与病案管理系统</w:t>
            </w:r>
          </w:p>
          <w:p w14:paraId="659FD7EA">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1.4.2、动态图像、静态图像无需特殊软件即可在普通 PC 机上直接查看</w:t>
            </w:r>
          </w:p>
          <w:p w14:paraId="6CA439E8">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1.4.3、内置固态硬盘≥128GB，可以存储和回放动态及静态图像</w:t>
            </w:r>
          </w:p>
          <w:p w14:paraId="6CCE11FE">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1.5、连通性：医学数字图像和通信DICOM3.0版接口部件</w:t>
            </w:r>
          </w:p>
          <w:p w14:paraId="5AD370B9">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1.6、主机重量≤6.5Kg，开机时间≤75s，休眠模式启动时间≤7s</w:t>
            </w:r>
          </w:p>
          <w:p w14:paraId="2513FC79">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1.7、搭配台车，台车可升降，重量≤25Kg</w:t>
            </w:r>
          </w:p>
          <w:p w14:paraId="743C789A">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1.8、标配拉杆箱，放置主机和探头</w:t>
            </w:r>
          </w:p>
          <w:p w14:paraId="0BDAA898">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1.9、探头规格</w:t>
            </w:r>
          </w:p>
          <w:p w14:paraId="15CDD461">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1.9.1、频率：宽频或变频探头</w:t>
            </w:r>
          </w:p>
          <w:p w14:paraId="3F532E90">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1.9.2</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类型：支持凸阵、微凸阵、线阵、超高频线阵、相控阵、腔内、经食道探头</w:t>
            </w:r>
          </w:p>
          <w:p w14:paraId="4F6BF6C9">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1.9.3、电子凸阵：超声频率 1.4～5.7 MHz，具备穿刺针显影功能</w:t>
            </w:r>
          </w:p>
          <w:p w14:paraId="753468C5">
            <w:pPr>
              <w:spacing w:line="480" w:lineRule="auto"/>
              <w:rPr>
                <w:rFonts w:hint="eastAsia" w:asciiTheme="minorEastAsia" w:hAnsiTheme="minorEastAsia" w:eastAsiaTheme="minorEastAsia" w:cstheme="minorEastAsia"/>
                <w:sz w:val="24"/>
                <w:szCs w:val="24"/>
                <w:highlight w:val="none"/>
              </w:rPr>
            </w:pP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cstheme="minorEastAsia"/>
                <w:sz w:val="24"/>
                <w:szCs w:val="24"/>
                <w:highlight w:val="none"/>
              </w:rPr>
              <w:t>1.9.4、电子相控阵：超声频率1.1-4.7MHz，最大角度 ≥120°</w:t>
            </w:r>
          </w:p>
          <w:p w14:paraId="51464950">
            <w:pPr>
              <w:spacing w:line="480" w:lineRule="auto"/>
              <w:rPr>
                <w:rFonts w:hint="eastAsia" w:asciiTheme="minorEastAsia" w:hAnsiTheme="minorEastAsia" w:eastAsiaTheme="minorEastAsia" w:cstheme="minorEastAsia"/>
                <w:sz w:val="24"/>
                <w:szCs w:val="24"/>
                <w:highlight w:val="none"/>
              </w:rPr>
            </w:pP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cstheme="minorEastAsia"/>
                <w:sz w:val="24"/>
                <w:szCs w:val="24"/>
                <w:highlight w:val="none"/>
              </w:rPr>
              <w:t>1.9.5、电子线阵：超声频率3.4～12.6MHz，具有自定义功能</w:t>
            </w:r>
          </w:p>
          <w:p w14:paraId="3964FD67">
            <w:pPr>
              <w:spacing w:line="480" w:lineRule="auto"/>
              <w:rPr>
                <w:rFonts w:hint="eastAsia" w:asciiTheme="minorEastAsia" w:hAnsiTheme="minorEastAsia" w:eastAsiaTheme="minorEastAsia" w:cstheme="minorEastAsia"/>
                <w:sz w:val="24"/>
                <w:szCs w:val="24"/>
                <w:highlight w:val="none"/>
              </w:rPr>
            </w:pP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cstheme="minorEastAsia"/>
                <w:sz w:val="24"/>
                <w:szCs w:val="24"/>
                <w:highlight w:val="none"/>
              </w:rPr>
              <w:t>1.9.6、单晶体或冰晶或纯净波电子线阵：超声频率3.0～20.0MHz，具有自定义功能</w:t>
            </w:r>
          </w:p>
          <w:p w14:paraId="7889C1C4">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1.10、二维灰阶显像主要参数：</w:t>
            </w:r>
          </w:p>
          <w:p w14:paraId="0887B35D">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1.10.1、热指数：TIC、TIS、TIB</w:t>
            </w:r>
          </w:p>
          <w:p w14:paraId="158D18F1">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1.10.2、线密度≥3级可调</w:t>
            </w:r>
          </w:p>
          <w:p w14:paraId="0C04E22E">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1.10.3</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、回放重现：电影回放时间≥180秒</w:t>
            </w:r>
          </w:p>
          <w:p w14:paraId="447DC6C3">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1.10.4、≥20种预设条件，不同的检查部位，预置最佳化图像的检查条件。</w:t>
            </w:r>
          </w:p>
          <w:p w14:paraId="41C3AD1C">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1.10.5、TGC:8档</w:t>
            </w:r>
          </w:p>
          <w:p w14:paraId="0C6C3C05">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1.10.6、凸阵探头最大视野，18cm深度时帧频≥105帧</w:t>
            </w:r>
          </w:p>
          <w:p w14:paraId="60585A3D">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1.10.7、相控阵探头90度角，18cm深度时帧频≥60帧</w:t>
            </w:r>
          </w:p>
          <w:p w14:paraId="047D91D4">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1.11、彩色多普勒模式：取样框偏转角度±20度</w:t>
            </w:r>
          </w:p>
          <w:p w14:paraId="52F540A6">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1.12、频谱多普勒：PWD，HPFF，CWD，TDI/TVD等</w:t>
            </w:r>
            <w:r>
              <w:rPr>
                <w:rFonts w:hint="eastAsia" w:asciiTheme="minorEastAsia" w:hAnsiTheme="minorEastAsia" w:eastAsiaTheme="minorEastAsia" w:cstheme="minorEastAsia"/>
                <w:sz w:val="24"/>
                <w:szCs w:val="24"/>
                <w:highlight w:val="none"/>
              </w:rPr>
              <w:tab/>
            </w:r>
          </w:p>
          <w:p w14:paraId="7626A4FC">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1.12.1、最大测量速度： PWD：血流速度≥870 cm/s CWD: 血流速度≥1310 cm/s</w:t>
            </w:r>
          </w:p>
          <w:p w14:paraId="639ABE56">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1.12.2</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、最小测量速度：PWD：血流速度：3.0 cm/s CWD: 血流速度: 5.0 cm/s</w:t>
            </w:r>
          </w:p>
          <w:p w14:paraId="7D71F29D">
            <w:pPr>
              <w:widowControl/>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1.12.3、取样宽度及位置范围：宽度1～16mm；分级</w:t>
            </w:r>
          </w:p>
          <w:p w14:paraId="52756891">
            <w:pPr>
              <w:spacing w:line="360" w:lineRule="auto"/>
              <w:jc w:val="left"/>
              <w:rPr>
                <w:rFonts w:hint="eastAsia" w:ascii="宋体" w:hAnsi="宋体" w:eastAsia="宋体"/>
                <w:b/>
                <w:bCs w:val="0"/>
                <w:color w:val="auto"/>
                <w:sz w:val="24"/>
                <w:szCs w:val="18"/>
                <w:highlight w:val="none"/>
              </w:rPr>
            </w:pPr>
            <w:r>
              <w:rPr>
                <w:rFonts w:hint="eastAsia" w:ascii="宋体" w:hAnsi="宋体" w:eastAsia="宋体" w:cs="宋体"/>
                <w:b/>
                <w:bCs/>
                <w:color w:val="auto"/>
                <w:kern w:val="0"/>
                <w:sz w:val="24"/>
                <w:szCs w:val="24"/>
                <w:highlight w:val="none"/>
              </w:rPr>
              <w:t>★</w:t>
            </w:r>
            <w:r>
              <w:rPr>
                <w:rFonts w:hint="eastAsia" w:ascii="宋体" w:hAnsi="宋体" w:eastAsia="宋体"/>
                <w:b/>
                <w:bCs w:val="0"/>
                <w:color w:val="auto"/>
                <w:sz w:val="24"/>
                <w:szCs w:val="18"/>
                <w:highlight w:val="none"/>
                <w:lang w:eastAsia="zh-CN"/>
              </w:rPr>
              <w:t>二、</w:t>
            </w:r>
            <w:r>
              <w:rPr>
                <w:rFonts w:hint="eastAsia" w:ascii="宋体" w:hAnsi="宋体" w:eastAsia="宋体"/>
                <w:b/>
                <w:bCs w:val="0"/>
                <w:color w:val="auto"/>
                <w:sz w:val="24"/>
                <w:szCs w:val="18"/>
                <w:highlight w:val="none"/>
              </w:rPr>
              <w:t>相关配置</w:t>
            </w:r>
          </w:p>
          <w:p w14:paraId="6599F969">
            <w:pPr>
              <w:spacing w:line="480" w:lineRule="auto"/>
              <w:rPr>
                <w:rFonts w:hint="eastAsia" w:asciiTheme="minorEastAsia" w:hAnsiTheme="minorEastAsia" w:eastAsiaTheme="minorEastAsia" w:cstheme="minorEastAsia"/>
                <w:sz w:val="24"/>
                <w:szCs w:val="22"/>
                <w:highlight w:val="none"/>
              </w:rPr>
            </w:pPr>
            <w:r>
              <w:rPr>
                <w:rFonts w:hint="eastAsia" w:asciiTheme="minorEastAsia" w:hAnsiTheme="minorEastAsia" w:eastAsiaTheme="minorEastAsia" w:cstheme="minorEastAsia"/>
                <w:sz w:val="24"/>
                <w:szCs w:val="22"/>
                <w:highlight w:val="none"/>
              </w:rPr>
              <w:t>1、相控阵探头（频率1.1-4.7MHz，最大角度 ≥120°） 一把</w:t>
            </w:r>
          </w:p>
          <w:p w14:paraId="795A9EC7">
            <w:pPr>
              <w:spacing w:line="480" w:lineRule="auto"/>
              <w:rPr>
                <w:rFonts w:hint="eastAsia" w:asciiTheme="minorEastAsia" w:hAnsiTheme="minorEastAsia" w:eastAsiaTheme="minorEastAsia" w:cstheme="minorEastAsia"/>
                <w:sz w:val="24"/>
                <w:szCs w:val="22"/>
                <w:highlight w:val="none"/>
              </w:rPr>
            </w:pPr>
            <w:r>
              <w:rPr>
                <w:rFonts w:hint="eastAsia" w:asciiTheme="minorEastAsia" w:hAnsiTheme="minorEastAsia" w:eastAsiaTheme="minorEastAsia" w:cstheme="minorEastAsia"/>
                <w:sz w:val="24"/>
                <w:szCs w:val="22"/>
                <w:highlight w:val="none"/>
              </w:rPr>
              <w:t>2、凸阵探头（频率 1.4～5.7 MHz，具备穿刺针显影功能）一把</w:t>
            </w:r>
          </w:p>
          <w:p w14:paraId="418D4A6E">
            <w:pPr>
              <w:spacing w:line="480" w:lineRule="auto"/>
              <w:rPr>
                <w:rFonts w:hint="eastAsia" w:asciiTheme="minorEastAsia" w:hAnsiTheme="minorEastAsia" w:eastAsiaTheme="minorEastAsia" w:cstheme="minorEastAsia"/>
                <w:sz w:val="24"/>
                <w:szCs w:val="22"/>
                <w:highlight w:val="none"/>
              </w:rPr>
            </w:pPr>
            <w:r>
              <w:rPr>
                <w:rFonts w:hint="eastAsia" w:asciiTheme="minorEastAsia" w:hAnsiTheme="minorEastAsia" w:eastAsiaTheme="minorEastAsia" w:cstheme="minorEastAsia"/>
                <w:sz w:val="24"/>
                <w:szCs w:val="22"/>
                <w:highlight w:val="none"/>
              </w:rPr>
              <w:t>3、线阵探头（频率3.4～12.6MHz）一把</w:t>
            </w:r>
          </w:p>
          <w:p w14:paraId="7A5F7211">
            <w:pPr>
              <w:spacing w:line="480" w:lineRule="auto"/>
              <w:rPr>
                <w:rFonts w:hint="eastAsia" w:asciiTheme="minorEastAsia" w:hAnsiTheme="minorEastAsia" w:eastAsiaTheme="minorEastAsia" w:cstheme="minorEastAsia"/>
                <w:sz w:val="24"/>
                <w:szCs w:val="22"/>
                <w:highlight w:val="none"/>
              </w:rPr>
            </w:pPr>
            <w:r>
              <w:rPr>
                <w:rFonts w:hint="eastAsia" w:asciiTheme="minorEastAsia" w:hAnsiTheme="minorEastAsia" w:eastAsiaTheme="minorEastAsia" w:cstheme="minorEastAsia"/>
                <w:sz w:val="24"/>
                <w:szCs w:val="22"/>
                <w:highlight w:val="none"/>
              </w:rPr>
              <w:t>4、单晶体或冰晶或纯净波电子线阵探头（频率3.0～20.0MHz） 一把</w:t>
            </w:r>
          </w:p>
          <w:p w14:paraId="75D507BB">
            <w:pPr>
              <w:spacing w:line="360" w:lineRule="auto"/>
              <w:jc w:val="left"/>
              <w:rPr>
                <w:rFonts w:hint="eastAsia" w:ascii="宋体" w:hAnsi="宋体" w:eastAsia="宋体"/>
                <w:b/>
                <w:bCs w:val="0"/>
                <w:color w:val="auto"/>
                <w:sz w:val="24"/>
                <w:szCs w:val="18"/>
                <w:highlight w:val="none"/>
              </w:rPr>
            </w:pPr>
            <w:r>
              <w:rPr>
                <w:rFonts w:hint="eastAsia" w:asciiTheme="minorEastAsia" w:hAnsiTheme="minorEastAsia" w:eastAsiaTheme="minorEastAsia" w:cstheme="minorEastAsia"/>
                <w:sz w:val="24"/>
                <w:szCs w:val="22"/>
                <w:highlight w:val="none"/>
              </w:rPr>
              <w:t>5、专用台车 一台</w:t>
            </w:r>
          </w:p>
        </w:tc>
        <w:tc>
          <w:tcPr>
            <w:tcW w:w="831" w:type="dxa"/>
            <w:vAlign w:val="center"/>
          </w:tcPr>
          <w:p w14:paraId="1DD643B9">
            <w:pPr>
              <w:spacing w:line="360" w:lineRule="auto"/>
              <w:jc w:val="center"/>
              <w:rPr>
                <w:rFonts w:ascii="宋体" w:hAnsi="宋体" w:eastAsia="宋体"/>
                <w:bCs/>
                <w:color w:val="auto"/>
                <w:sz w:val="24"/>
                <w:szCs w:val="18"/>
                <w:highlight w:val="none"/>
              </w:rPr>
            </w:pPr>
            <w:r>
              <w:rPr>
                <w:rFonts w:hint="eastAsia" w:ascii="宋体" w:hAnsi="宋体" w:eastAsia="宋体"/>
                <w:bCs/>
                <w:color w:val="auto"/>
                <w:sz w:val="24"/>
                <w:szCs w:val="18"/>
                <w:highlight w:val="none"/>
              </w:rPr>
              <w:t>工业</w:t>
            </w:r>
          </w:p>
        </w:tc>
        <w:tc>
          <w:tcPr>
            <w:tcW w:w="877" w:type="dxa"/>
            <w:vAlign w:val="center"/>
          </w:tcPr>
          <w:p w14:paraId="0D775D0F">
            <w:pPr>
              <w:spacing w:line="360" w:lineRule="auto"/>
              <w:jc w:val="center"/>
              <w:rPr>
                <w:rFonts w:ascii="宋体" w:hAnsi="宋体" w:eastAsia="宋体"/>
                <w:bCs/>
                <w:color w:val="auto"/>
                <w:sz w:val="24"/>
                <w:szCs w:val="18"/>
                <w:highlight w:val="none"/>
              </w:rPr>
            </w:pPr>
            <w:r>
              <w:rPr>
                <w:rFonts w:hint="eastAsia" w:ascii="宋体" w:hAnsi="宋体" w:eastAsia="宋体"/>
                <w:bCs/>
                <w:color w:val="auto"/>
                <w:sz w:val="24"/>
                <w:szCs w:val="18"/>
                <w:highlight w:val="none"/>
              </w:rPr>
              <w:t>/</w:t>
            </w:r>
          </w:p>
        </w:tc>
      </w:tr>
    </w:tbl>
    <w:p w14:paraId="6186E011">
      <w:pPr>
        <w:rPr>
          <w:rFonts w:ascii="宋体" w:hAnsi="宋体" w:eastAsia="宋体"/>
          <w:b/>
          <w:bCs/>
          <w:sz w:val="24"/>
          <w:szCs w:val="18"/>
          <w:highlight w:val="none"/>
        </w:rPr>
      </w:pPr>
      <w:r>
        <w:rPr>
          <w:rFonts w:hint="eastAsia" w:ascii="宋体" w:hAnsi="宋体" w:eastAsia="宋体"/>
          <w:b/>
          <w:bCs/>
          <w:sz w:val="24"/>
          <w:szCs w:val="18"/>
          <w:highlight w:val="none"/>
        </w:rPr>
        <w:t>三、报价要求</w:t>
      </w:r>
    </w:p>
    <w:p w14:paraId="539FF987">
      <w:pPr>
        <w:spacing w:line="360" w:lineRule="auto"/>
        <w:ind w:firstLine="437"/>
        <w:rPr>
          <w:rFonts w:hint="eastAsia" w:ascii="宋体" w:hAnsi="宋体" w:eastAsia="宋体"/>
          <w:bCs/>
          <w:sz w:val="24"/>
          <w:szCs w:val="18"/>
          <w:highlight w:val="none"/>
        </w:rPr>
      </w:pPr>
      <w:r>
        <w:rPr>
          <w:rFonts w:hint="eastAsia" w:ascii="宋体" w:hAnsi="宋体" w:eastAsia="宋体"/>
          <w:bCs/>
          <w:sz w:val="24"/>
          <w:szCs w:val="18"/>
          <w:highlight w:val="none"/>
        </w:rPr>
        <w:t>本</w:t>
      </w:r>
      <w:r>
        <w:rPr>
          <w:rFonts w:hint="eastAsia" w:ascii="宋体" w:hAnsi="宋体" w:eastAsia="宋体"/>
          <w:bCs/>
          <w:sz w:val="24"/>
          <w:szCs w:val="18"/>
          <w:highlight w:val="none"/>
          <w:lang w:eastAsia="zh-CN"/>
        </w:rPr>
        <w:t>包别设备</w:t>
      </w:r>
      <w:r>
        <w:rPr>
          <w:rFonts w:hint="eastAsia" w:ascii="宋体" w:hAnsi="宋体" w:eastAsia="宋体"/>
          <w:bCs/>
          <w:sz w:val="24"/>
          <w:szCs w:val="18"/>
          <w:highlight w:val="none"/>
        </w:rPr>
        <w:t>报总价及投标分项报价，报价包含完成本项目所需的全部费用，中标后采购人不再另行追加任何费用，请投标人自行考虑报价风险。</w:t>
      </w:r>
      <w:bookmarkStart w:id="37" w:name="_Toc16417"/>
    </w:p>
    <w:p w14:paraId="0E1D8EF4">
      <w:pPr>
        <w:spacing w:line="360" w:lineRule="auto"/>
        <w:ind w:firstLine="437"/>
        <w:rPr>
          <w:rFonts w:hint="eastAsia" w:ascii="宋体" w:hAnsi="宋体" w:eastAsia="宋体"/>
          <w:bCs/>
          <w:sz w:val="24"/>
          <w:szCs w:val="18"/>
          <w:highlight w:val="none"/>
          <w:lang w:val="en-US" w:eastAsia="zh-CN"/>
        </w:rPr>
      </w:pPr>
      <w:bookmarkStart w:id="38" w:name="_Toc14698"/>
      <w:bookmarkStart w:id="39" w:name="_Toc15293"/>
      <w:r>
        <w:rPr>
          <w:rFonts w:hint="eastAsia" w:ascii="宋体" w:hAnsi="宋体" w:eastAsia="宋体"/>
          <w:b/>
          <w:bCs/>
          <w:sz w:val="24"/>
          <w:szCs w:val="18"/>
          <w:highlight w:val="none"/>
        </w:rPr>
        <w:t>四、其他要求</w:t>
      </w:r>
      <w:bookmarkEnd w:id="38"/>
      <w:bookmarkEnd w:id="39"/>
    </w:p>
    <w:p w14:paraId="2CB0BB9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b/>
          <w:bCs/>
          <w:sz w:val="24"/>
          <w:szCs w:val="18"/>
          <w:highlight w:val="none"/>
        </w:rPr>
      </w:pPr>
      <w:r>
        <w:rPr>
          <w:rFonts w:hint="eastAsia" w:ascii="宋体" w:hAnsi="宋体" w:eastAsia="宋体"/>
          <w:b/>
          <w:bCs/>
          <w:sz w:val="24"/>
          <w:szCs w:val="18"/>
          <w:highlight w:val="none"/>
        </w:rPr>
        <w:t>（一）应急服务要求</w:t>
      </w:r>
    </w:p>
    <w:p w14:paraId="5DBBBC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1.备品备件：中标人提供能够满足质量保证期内的设备维修要求的备品备件，备品备件应是新品。中标人应保证10年以上零部件供应期，并对设备故障等突发状况及时响应。</w:t>
      </w:r>
    </w:p>
    <w:p w14:paraId="7DF4F1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2.专用工具：中标人提供设备安装、调试、验收、维修、保养所必要的专用工具、仪器、仪表等工具。</w:t>
      </w:r>
    </w:p>
    <w:p w14:paraId="5EE0E1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3.接到报修后应及时响应，若未及时修复设备故障，应提供备用设备供院方使用。</w:t>
      </w:r>
    </w:p>
    <w:p w14:paraId="7B0A191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b/>
          <w:bCs/>
          <w:sz w:val="24"/>
          <w:szCs w:val="18"/>
          <w:highlight w:val="none"/>
        </w:rPr>
      </w:pPr>
      <w:r>
        <w:rPr>
          <w:rFonts w:hint="eastAsia" w:ascii="宋体" w:hAnsi="宋体" w:eastAsia="宋体"/>
          <w:b/>
          <w:bCs/>
          <w:sz w:val="24"/>
          <w:szCs w:val="18"/>
          <w:highlight w:val="none"/>
        </w:rPr>
        <w:t>（二）安装调试、验收试验及质量保证</w:t>
      </w:r>
    </w:p>
    <w:p w14:paraId="313EDF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1.中标人在设备安装地点负责安装、调试。</w:t>
      </w:r>
    </w:p>
    <w:p w14:paraId="5B6EF3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2.具体设备验收标准和程序按采购人要求执行，下列验收程序可参照执行：</w:t>
      </w:r>
    </w:p>
    <w:p w14:paraId="47CD69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1）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所有需要质检部门进行检测才能使用的设备，投标报价中必须包含首次检测费用。</w:t>
      </w:r>
    </w:p>
    <w:p w14:paraId="4F552E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2）货物在验收时，中标人应提供制造厂家出具的产品合格证书、装箱清单等,涉及进口的部件须提供中国海关进口货物报关单、商检证明等材料；提供制造厂家出具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14:paraId="24D961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（3）中标人应根据采购人的技术要求提供相应的产品。由中标人所提供的设备部件间的连线和插接件均应视为设备内部器件，包含在相应的设备之中。</w:t>
      </w:r>
    </w:p>
    <w:p w14:paraId="25927F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（4）运行测试及最终验收。在系统安装、调试结束后，采购人对其进行全面的测试，系统最终测试完毕经验收合格后，采购人向中标人签发最终验收证明。</w:t>
      </w:r>
    </w:p>
    <w:p w14:paraId="43CCF5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5）中标人应向采购人提供安装调试过程中的各种文档资料,以便采购人今后能掌握操作和维护方法。依据合同与合同有关条件、本招标文件的技术规范、系统配置要求、设备技术文件和系统说明书，以及国家相关文件等要求进行验收。</w:t>
      </w:r>
    </w:p>
    <w:p w14:paraId="32D5B46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b/>
          <w:bCs/>
          <w:sz w:val="24"/>
          <w:szCs w:val="18"/>
          <w:highlight w:val="none"/>
        </w:rPr>
      </w:pPr>
      <w:r>
        <w:rPr>
          <w:rFonts w:hint="eastAsia" w:ascii="宋体" w:hAnsi="宋体" w:eastAsia="宋体"/>
          <w:b/>
          <w:bCs/>
          <w:sz w:val="24"/>
          <w:szCs w:val="18"/>
          <w:highlight w:val="none"/>
        </w:rPr>
        <w:t>（三）培训要求</w:t>
      </w:r>
    </w:p>
    <w:p w14:paraId="2431E4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1.技术人员厂方培训：维修维护人员培训不少于1人，有详细的技术培训方案和完整规范的培训资料，培训结束获得厂方授权或资质许可，一切费用(包含交通、食宿、资料、工具材料等所有与培训相关的费用)包含在投标报价中。</w:t>
      </w:r>
    </w:p>
    <w:p w14:paraId="38C05B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2.设备使用培训：不少于2人，直至完全掌握设备应用技术，并获厂方资质许可；一切费用(包含交通、食宿、资料、工具材料等所有与培训相关的费用)包含在投标报价中。</w:t>
      </w:r>
    </w:p>
    <w:p w14:paraId="0EBC2F6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b w:val="0"/>
          <w:bCs w:val="0"/>
          <w:sz w:val="24"/>
          <w:szCs w:val="18"/>
          <w:highlight w:val="none"/>
        </w:rPr>
      </w:pPr>
      <w:r>
        <w:rPr>
          <w:rFonts w:hint="eastAsia" w:ascii="宋体" w:hAnsi="宋体" w:eastAsia="宋体"/>
          <w:b/>
          <w:bCs/>
          <w:sz w:val="24"/>
          <w:szCs w:val="18"/>
          <w:highlight w:val="none"/>
        </w:rPr>
        <w:t>（四）质保及售后服务</w:t>
      </w:r>
    </w:p>
    <w:p w14:paraId="5B60AF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1.自设备验收合格之日起进入免费质保期。</w:t>
      </w:r>
    </w:p>
    <w:p w14:paraId="42A357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2.在质保期间内，非采购人过失和故意并且在正常使用的情况下发现商品有缺陷、故障，中标人将免费修理或替换该设备。</w:t>
      </w:r>
    </w:p>
    <w:p w14:paraId="29CA802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b/>
          <w:bCs/>
          <w:sz w:val="24"/>
          <w:szCs w:val="18"/>
          <w:highlight w:val="none"/>
        </w:rPr>
      </w:pPr>
      <w:r>
        <w:rPr>
          <w:rFonts w:hint="eastAsia" w:ascii="宋体" w:hAnsi="宋体" w:eastAsia="宋体"/>
          <w:b/>
          <w:bCs/>
          <w:sz w:val="24"/>
          <w:szCs w:val="18"/>
          <w:highlight w:val="none"/>
        </w:rPr>
        <w:t>（五）产品综合性能</w:t>
      </w:r>
    </w:p>
    <w:p w14:paraId="561DB4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1.技术先进性:具有自主创新的设计和功能理念。包含但不限于采用环保新型材料、传感技术、集成度等成果，提升诊疗精准性、安全性和独特性。</w:t>
      </w:r>
    </w:p>
    <w:p w14:paraId="68D54A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2.设备性能与可靠性:具备持续稳定运行能力，符合国家和行业标准，能够在工作中避免故障或失效，具有较高可靠性，故障率低。具有网络安全和数据隐私保护能力，保障患者生命安全与医疗操作的有效性。</w:t>
      </w:r>
    </w:p>
    <w:p w14:paraId="19194C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3.使用和维护便利性:配备全中文（或指定语言）图形用户界面，操作流程简明，易清洁易保养，零件标准化通用性，并提供操作手册、维修手册、电路图及故障诊断指南。确保医护人员可独立完成日常操作及基本维护工作。</w:t>
      </w:r>
    </w:p>
    <w:p w14:paraId="51B72B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4.安全性高:通过国家和行业强制性产品认证,具备硬件和软件安全保护系统与警示标识提醒，具备操作手册含安全警告与说明等，确保全生命周期的使用安全。</w:t>
      </w:r>
    </w:p>
    <w:p w14:paraId="2239CFD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b w:val="0"/>
          <w:bCs w:val="0"/>
          <w:sz w:val="24"/>
          <w:szCs w:val="18"/>
          <w:highlight w:val="none"/>
        </w:rPr>
      </w:pPr>
      <w:r>
        <w:rPr>
          <w:rFonts w:hint="eastAsia" w:ascii="宋体" w:hAnsi="宋体" w:eastAsia="宋体"/>
          <w:b/>
          <w:bCs/>
          <w:sz w:val="24"/>
          <w:szCs w:val="18"/>
          <w:highlight w:val="none"/>
        </w:rPr>
        <w:t>（六）验收</w:t>
      </w:r>
    </w:p>
    <w:p w14:paraId="20BB8E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1、投标人必须提供设备安装、调试、维修等一系列技术材料，为采购人提供足够的技术资料和技术保障。设备的有关证明，如产地、出厂合格证、质量保证书和测试合格证等，并在交货时必须随装箱。</w:t>
      </w:r>
    </w:p>
    <w:p w14:paraId="0200AF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2、若设备验收时有关技术参数不能满足招标文件技术要求，采购人有权解除合同关系，并可以视情决定选择第二中标候选人递补中标或重新招标。</w:t>
      </w:r>
    </w:p>
    <w:p w14:paraId="664D4170">
      <w:pPr>
        <w:spacing w:line="360" w:lineRule="auto"/>
        <w:ind w:firstLine="437"/>
        <w:rPr>
          <w:rFonts w:hint="eastAsia" w:asciiTheme="minorEastAsia" w:hAnsiTheme="minorEastAsia" w:eastAsiaTheme="minorEastAsia"/>
          <w:b/>
          <w:sz w:val="28"/>
          <w:highlight w:val="none"/>
        </w:rPr>
      </w:pPr>
      <w:r>
        <w:rPr>
          <w:rFonts w:hint="eastAsia" w:ascii="宋体" w:hAnsi="宋体" w:eastAsia="宋体"/>
          <w:b w:val="0"/>
          <w:bCs w:val="0"/>
          <w:sz w:val="24"/>
          <w:szCs w:val="18"/>
          <w:highlight w:val="none"/>
        </w:rPr>
        <w:t>3、设备如需检测的，由采购人随机抽样送检，检测的费用包含在投标报价中。如涉及安全等其他需要由质检或行业主管部门进行验收的项目，必须邀请相关部门或相关专家参与验收，相关费用包含在投标报价中。</w:t>
      </w:r>
      <w:r>
        <w:rPr>
          <w:rFonts w:hint="eastAsia" w:asciiTheme="minorEastAsia" w:hAnsiTheme="minorEastAsia" w:eastAsiaTheme="minorEastAsia"/>
          <w:b/>
          <w:sz w:val="28"/>
          <w:highlight w:val="none"/>
        </w:rPr>
        <w:br w:type="page"/>
      </w:r>
    </w:p>
    <w:p w14:paraId="54168CA7">
      <w:pPr>
        <w:spacing w:line="360" w:lineRule="auto"/>
        <w:jc w:val="center"/>
        <w:outlineLvl w:val="0"/>
        <w:rPr>
          <w:rFonts w:asciiTheme="minorEastAsia" w:hAnsiTheme="minorEastAsia" w:eastAsiaTheme="minorEastAsia"/>
          <w:b/>
          <w:sz w:val="28"/>
          <w:highlight w:val="none"/>
        </w:rPr>
      </w:pPr>
      <w:r>
        <w:rPr>
          <w:rFonts w:hint="eastAsia" w:asciiTheme="minorEastAsia" w:hAnsiTheme="minorEastAsia" w:eastAsiaTheme="minorEastAsia"/>
          <w:b/>
          <w:sz w:val="28"/>
          <w:highlight w:val="none"/>
        </w:rPr>
        <w:t>第四章  评标方法和标准（综合评分法）</w:t>
      </w:r>
      <w:bookmarkEnd w:id="37"/>
    </w:p>
    <w:p w14:paraId="6EE93D2D">
      <w:pPr>
        <w:spacing w:line="360" w:lineRule="auto"/>
        <w:ind w:firstLine="437"/>
        <w:outlineLvl w:val="1"/>
        <w:rPr>
          <w:rFonts w:asciiTheme="minorEastAsia" w:hAnsiTheme="minorEastAsia" w:eastAsiaTheme="minorEastAsia"/>
          <w:b/>
          <w:sz w:val="24"/>
          <w:highlight w:val="none"/>
        </w:rPr>
      </w:pPr>
      <w:bookmarkStart w:id="40" w:name="_Toc1246"/>
      <w:bookmarkStart w:id="41" w:name="_Toc11823"/>
      <w:r>
        <w:rPr>
          <w:rFonts w:hint="eastAsia" w:asciiTheme="minorEastAsia" w:hAnsiTheme="minorEastAsia" w:eastAsiaTheme="minorEastAsia"/>
          <w:b/>
          <w:sz w:val="24"/>
          <w:highlight w:val="none"/>
        </w:rPr>
        <w:t>一、总则</w:t>
      </w:r>
      <w:bookmarkEnd w:id="40"/>
      <w:bookmarkEnd w:id="41"/>
    </w:p>
    <w:p w14:paraId="7E8984FA">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本项目将按照招标文件第二章 投标人须知的相关要求</w:t>
      </w:r>
      <w:r>
        <w:rPr>
          <w:rFonts w:asciiTheme="minorEastAsia" w:hAnsiTheme="minorEastAsia" w:eastAsiaTheme="minorEastAsia"/>
          <w:sz w:val="24"/>
          <w:highlight w:val="none"/>
        </w:rPr>
        <w:t>及本章的规定评标。</w:t>
      </w:r>
    </w:p>
    <w:p w14:paraId="0B9E0AB3">
      <w:pPr>
        <w:spacing w:line="360" w:lineRule="auto"/>
        <w:ind w:firstLine="437"/>
        <w:outlineLvl w:val="1"/>
        <w:rPr>
          <w:rFonts w:asciiTheme="minorEastAsia" w:hAnsiTheme="minorEastAsia" w:eastAsiaTheme="minorEastAsia"/>
          <w:b/>
          <w:sz w:val="24"/>
          <w:highlight w:val="none"/>
        </w:rPr>
      </w:pPr>
      <w:bookmarkStart w:id="42" w:name="_Toc31871"/>
      <w:bookmarkStart w:id="43" w:name="_Toc13117"/>
      <w:r>
        <w:rPr>
          <w:rFonts w:hint="eastAsia" w:asciiTheme="minorEastAsia" w:hAnsiTheme="minorEastAsia" w:eastAsiaTheme="minorEastAsia"/>
          <w:b/>
          <w:sz w:val="24"/>
          <w:highlight w:val="none"/>
        </w:rPr>
        <w:t>二、评标方法</w:t>
      </w:r>
      <w:bookmarkEnd w:id="42"/>
      <w:bookmarkEnd w:id="43"/>
    </w:p>
    <w:p w14:paraId="2E3E641E">
      <w:pPr>
        <w:spacing w:line="360" w:lineRule="auto"/>
        <w:ind w:firstLine="437"/>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2.1资格审查</w:t>
      </w:r>
    </w:p>
    <w:tbl>
      <w:tblPr>
        <w:tblStyle w:val="26"/>
        <w:tblW w:w="10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642"/>
        <w:gridCol w:w="6272"/>
        <w:gridCol w:w="1832"/>
      </w:tblGrid>
      <w:tr w14:paraId="16693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395" w:type="dxa"/>
            <w:gridSpan w:val="4"/>
            <w:tcBorders>
              <w:bottom w:val="single" w:color="auto" w:sz="4" w:space="0"/>
            </w:tcBorders>
            <w:vAlign w:val="center"/>
          </w:tcPr>
          <w:p w14:paraId="1F525A02">
            <w:pPr>
              <w:adjustRightInd w:val="0"/>
              <w:snapToGrid w:val="0"/>
              <w:spacing w:line="360" w:lineRule="auto"/>
              <w:ind w:right="-10"/>
              <w:jc w:val="center"/>
              <w:rPr>
                <w:rFonts w:ascii="宋体" w:hAnsi="宋体" w:eastAsia="宋体"/>
                <w:sz w:val="24"/>
                <w:highlight w:val="none"/>
              </w:rPr>
            </w:pPr>
            <w:r>
              <w:rPr>
                <w:rFonts w:hint="eastAsia" w:ascii="宋体" w:hAnsi="宋体" w:eastAsia="宋体"/>
                <w:b/>
                <w:sz w:val="24"/>
                <w:szCs w:val="22"/>
                <w:highlight w:val="none"/>
              </w:rPr>
              <w:t>资格审查表</w:t>
            </w:r>
          </w:p>
        </w:tc>
      </w:tr>
      <w:tr w14:paraId="1FB4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tcBorders>
              <w:bottom w:val="single" w:color="auto" w:sz="4" w:space="0"/>
            </w:tcBorders>
            <w:vAlign w:val="center"/>
          </w:tcPr>
          <w:p w14:paraId="0CB62428">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序号</w:t>
            </w:r>
          </w:p>
        </w:tc>
        <w:tc>
          <w:tcPr>
            <w:tcW w:w="1642" w:type="dxa"/>
            <w:tcBorders>
              <w:bottom w:val="single" w:color="auto" w:sz="4" w:space="0"/>
            </w:tcBorders>
            <w:vAlign w:val="center"/>
          </w:tcPr>
          <w:p w14:paraId="4694A6FD">
            <w:pPr>
              <w:pStyle w:val="48"/>
              <w:pBdr>
                <w:bottom w:val="none" w:color="auto" w:sz="0" w:space="0"/>
              </w:pBdr>
              <w:tabs>
                <w:tab w:val="clear" w:pos="4153"/>
                <w:tab w:val="clear" w:pos="8306"/>
              </w:tabs>
              <w:snapToGrid w:val="0"/>
              <w:spacing w:line="360" w:lineRule="auto"/>
              <w:ind w:right="-10"/>
              <w:textAlignment w:val="auto"/>
              <w:rPr>
                <w:rFonts w:ascii="宋体" w:hAnsi="宋体" w:eastAsia="宋体"/>
                <w:kern w:val="2"/>
                <w:szCs w:val="24"/>
                <w:highlight w:val="none"/>
              </w:rPr>
            </w:pPr>
            <w:r>
              <w:rPr>
                <w:rFonts w:hint="eastAsia" w:ascii="宋体" w:hAnsi="宋体" w:eastAsia="宋体"/>
                <w:kern w:val="2"/>
                <w:szCs w:val="24"/>
                <w:highlight w:val="none"/>
              </w:rPr>
              <w:t>审查因素</w:t>
            </w:r>
          </w:p>
        </w:tc>
        <w:tc>
          <w:tcPr>
            <w:tcW w:w="6272" w:type="dxa"/>
            <w:tcBorders>
              <w:bottom w:val="single" w:color="auto" w:sz="4" w:space="0"/>
            </w:tcBorders>
            <w:vAlign w:val="center"/>
          </w:tcPr>
          <w:p w14:paraId="38177BDD">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审查内容</w:t>
            </w:r>
          </w:p>
        </w:tc>
        <w:tc>
          <w:tcPr>
            <w:tcW w:w="1832" w:type="dxa"/>
            <w:tcBorders>
              <w:bottom w:val="single" w:color="auto" w:sz="4" w:space="0"/>
            </w:tcBorders>
            <w:vAlign w:val="center"/>
          </w:tcPr>
          <w:p w14:paraId="0999740D">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格式要求</w:t>
            </w:r>
          </w:p>
        </w:tc>
      </w:tr>
      <w:tr w14:paraId="04B70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49" w:type="dxa"/>
            <w:tcBorders>
              <w:bottom w:val="single" w:color="auto" w:sz="4" w:space="0"/>
            </w:tcBorders>
            <w:vAlign w:val="center"/>
          </w:tcPr>
          <w:p w14:paraId="715FEC82">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1</w:t>
            </w:r>
          </w:p>
        </w:tc>
        <w:tc>
          <w:tcPr>
            <w:tcW w:w="1642" w:type="dxa"/>
            <w:tcBorders>
              <w:bottom w:val="single" w:color="auto" w:sz="4" w:space="0"/>
            </w:tcBorders>
            <w:vAlign w:val="center"/>
          </w:tcPr>
          <w:p w14:paraId="23D1320A">
            <w:pPr>
              <w:spacing w:after="50" w:line="360" w:lineRule="auto"/>
              <w:ind w:right="-10"/>
              <w:jc w:val="center"/>
              <w:rPr>
                <w:rFonts w:ascii="宋体" w:hAnsi="宋体" w:eastAsia="宋体"/>
                <w:sz w:val="24"/>
                <w:szCs w:val="28"/>
                <w:highlight w:val="none"/>
              </w:rPr>
            </w:pPr>
            <w:r>
              <w:rPr>
                <w:rFonts w:ascii="宋体" w:hAnsi="宋体" w:eastAsia="宋体" w:cs="宋体"/>
                <w:spacing w:val="9"/>
                <w:sz w:val="24"/>
                <w:szCs w:val="24"/>
                <w:highlight w:val="none"/>
              </w:rPr>
              <w:t>营业执照等证明</w:t>
            </w:r>
            <w:r>
              <w:rPr>
                <w:rFonts w:ascii="宋体" w:hAnsi="宋体" w:eastAsia="宋体" w:cs="宋体"/>
                <w:spacing w:val="-3"/>
                <w:sz w:val="24"/>
                <w:szCs w:val="24"/>
                <w:highlight w:val="none"/>
              </w:rPr>
              <w:t>文件</w:t>
            </w:r>
          </w:p>
        </w:tc>
        <w:tc>
          <w:tcPr>
            <w:tcW w:w="6272" w:type="dxa"/>
            <w:tcBorders>
              <w:bottom w:val="single" w:color="auto" w:sz="4" w:space="0"/>
            </w:tcBorders>
            <w:vAlign w:val="center"/>
          </w:tcPr>
          <w:p w14:paraId="6D220326">
            <w:pPr>
              <w:spacing w:after="50" w:line="360" w:lineRule="auto"/>
              <w:ind w:right="-10"/>
              <w:jc w:val="left"/>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投标人为企业（包括合伙企业）的，应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供有效的营业执照；</w:t>
            </w:r>
          </w:p>
          <w:p w14:paraId="32D9937B">
            <w:pPr>
              <w:spacing w:after="50" w:line="360" w:lineRule="auto"/>
              <w:ind w:right="-10"/>
              <w:jc w:val="left"/>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投标人为事业单位的，应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供有效的事业单位法人证书；</w:t>
            </w:r>
          </w:p>
          <w:p w14:paraId="6D5ADAB6">
            <w:pPr>
              <w:spacing w:after="50" w:line="360" w:lineRule="auto"/>
              <w:ind w:right="-10"/>
              <w:jc w:val="left"/>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投标人是非企业机构的，应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供有效的执业许可证</w:t>
            </w:r>
            <w:r>
              <w:rPr>
                <w:rFonts w:hint="eastAsia" w:ascii="宋体" w:hAnsi="宋体" w:eastAsia="宋体" w:cs="宋体"/>
                <w:sz w:val="24"/>
                <w:szCs w:val="24"/>
                <w:highlight w:val="none"/>
              </w:rPr>
              <w:t>或</w:t>
            </w:r>
            <w:r>
              <w:rPr>
                <w:rFonts w:ascii="宋体" w:hAnsi="宋体" w:eastAsia="宋体" w:cs="宋体"/>
                <w:sz w:val="24"/>
                <w:szCs w:val="24"/>
                <w:highlight w:val="none"/>
              </w:rPr>
              <w:t>登记证书等证明文件；</w:t>
            </w:r>
          </w:p>
          <w:p w14:paraId="365A1953">
            <w:pPr>
              <w:spacing w:after="50" w:line="360" w:lineRule="auto"/>
              <w:ind w:right="-10"/>
              <w:jc w:val="left"/>
              <w:rPr>
                <w:rFonts w:ascii="宋体" w:hAnsi="宋体" w:eastAsia="宋体" w:cs="宋体"/>
                <w:sz w:val="24"/>
                <w:szCs w:val="24"/>
                <w:highlight w:val="none"/>
              </w:rPr>
            </w:pPr>
            <w:r>
              <w:rPr>
                <w:rFonts w:hint="eastAsia" w:ascii="宋体" w:hAnsi="宋体" w:eastAsia="宋体" w:cs="宋体"/>
                <w:sz w:val="24"/>
                <w:szCs w:val="24"/>
                <w:highlight w:val="none"/>
              </w:rPr>
              <w:t>（4）</w:t>
            </w:r>
            <w:r>
              <w:rPr>
                <w:rFonts w:ascii="宋体" w:hAnsi="宋体" w:eastAsia="宋体" w:cs="宋体"/>
                <w:sz w:val="24"/>
                <w:szCs w:val="24"/>
                <w:highlight w:val="none"/>
              </w:rPr>
              <w:t>投标人是个体工商户的，应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供有效的个体工商户营业执照；</w:t>
            </w:r>
          </w:p>
          <w:p w14:paraId="1B75A4F2">
            <w:pPr>
              <w:spacing w:after="50" w:line="360" w:lineRule="auto"/>
              <w:ind w:right="-10"/>
              <w:jc w:val="left"/>
              <w:rPr>
                <w:rFonts w:ascii="宋体" w:hAnsi="宋体" w:eastAsia="宋体"/>
                <w:sz w:val="24"/>
                <w:szCs w:val="28"/>
                <w:highlight w:val="none"/>
              </w:rPr>
            </w:pPr>
            <w:r>
              <w:rPr>
                <w:rFonts w:hint="eastAsia" w:ascii="宋体" w:hAnsi="宋体" w:eastAsia="宋体" w:cs="宋体"/>
                <w:sz w:val="24"/>
                <w:szCs w:val="24"/>
                <w:highlight w:val="none"/>
              </w:rPr>
              <w:t>（5）</w:t>
            </w:r>
            <w:r>
              <w:rPr>
                <w:rFonts w:ascii="宋体" w:hAnsi="宋体" w:eastAsia="宋体" w:cs="宋体"/>
                <w:sz w:val="24"/>
                <w:szCs w:val="24"/>
                <w:highlight w:val="none"/>
              </w:rPr>
              <w:t>投标人是自然人的，应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供有效的自然人身份证明。</w:t>
            </w:r>
          </w:p>
        </w:tc>
        <w:tc>
          <w:tcPr>
            <w:tcW w:w="1832" w:type="dxa"/>
            <w:vAlign w:val="center"/>
          </w:tcPr>
          <w:p w14:paraId="7E991A33">
            <w:pPr>
              <w:spacing w:line="360" w:lineRule="auto"/>
              <w:jc w:val="left"/>
              <w:rPr>
                <w:rFonts w:ascii="宋体" w:hAnsi="宋体" w:eastAsia="宋体"/>
                <w:sz w:val="24"/>
                <w:highlight w:val="none"/>
              </w:rPr>
            </w:pPr>
            <w:r>
              <w:rPr>
                <w:rFonts w:hint="eastAsia" w:ascii="宋体" w:hAnsi="宋体" w:eastAsia="宋体" w:cs="宋体"/>
                <w:sz w:val="24"/>
                <w:szCs w:val="24"/>
                <w:highlight w:val="none"/>
              </w:rPr>
              <w:t>提供材料扫描件或电子证照，应完整的体现出材料或电子证照全部内容。联合体投标的联合体各方均须提供。</w:t>
            </w:r>
          </w:p>
        </w:tc>
      </w:tr>
      <w:tr w14:paraId="324FD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649" w:type="dxa"/>
            <w:tcBorders>
              <w:bottom w:val="single" w:color="auto" w:sz="4" w:space="0"/>
            </w:tcBorders>
            <w:vAlign w:val="center"/>
          </w:tcPr>
          <w:p w14:paraId="17CAF388">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2</w:t>
            </w:r>
          </w:p>
        </w:tc>
        <w:tc>
          <w:tcPr>
            <w:tcW w:w="1642" w:type="dxa"/>
            <w:tcBorders>
              <w:bottom w:val="single" w:color="auto" w:sz="4" w:space="0"/>
            </w:tcBorders>
            <w:vAlign w:val="center"/>
          </w:tcPr>
          <w:p w14:paraId="257A3EC1">
            <w:pPr>
              <w:spacing w:after="50" w:line="360" w:lineRule="auto"/>
              <w:ind w:right="-10"/>
              <w:jc w:val="center"/>
              <w:rPr>
                <w:rFonts w:ascii="宋体" w:hAnsi="宋体" w:eastAsia="宋体"/>
                <w:sz w:val="24"/>
                <w:szCs w:val="28"/>
                <w:highlight w:val="none"/>
              </w:rPr>
            </w:pPr>
            <w:r>
              <w:rPr>
                <w:rFonts w:hint="eastAsia" w:ascii="宋体" w:hAnsi="宋体" w:eastAsia="宋体"/>
                <w:sz w:val="24"/>
                <w:szCs w:val="18"/>
                <w:highlight w:val="none"/>
              </w:rPr>
              <w:t>投标人资格声明书</w:t>
            </w:r>
          </w:p>
        </w:tc>
        <w:tc>
          <w:tcPr>
            <w:tcW w:w="6272" w:type="dxa"/>
            <w:tcBorders>
              <w:bottom w:val="single" w:color="auto" w:sz="4" w:space="0"/>
            </w:tcBorders>
            <w:vAlign w:val="center"/>
          </w:tcPr>
          <w:p w14:paraId="5DFCE2F7">
            <w:pPr>
              <w:spacing w:after="50" w:line="360" w:lineRule="auto"/>
              <w:ind w:right="-10"/>
              <w:jc w:val="left"/>
              <w:rPr>
                <w:rFonts w:ascii="宋体" w:hAnsi="宋体" w:eastAsia="宋体"/>
                <w:sz w:val="24"/>
                <w:szCs w:val="28"/>
                <w:highlight w:val="none"/>
              </w:rPr>
            </w:pPr>
            <w:r>
              <w:rPr>
                <w:rFonts w:hint="eastAsia" w:ascii="宋体" w:hAnsi="宋体" w:eastAsia="宋体" w:cs="宋体"/>
                <w:sz w:val="24"/>
                <w:szCs w:val="24"/>
                <w:highlight w:val="none"/>
              </w:rPr>
              <w:t>提</w:t>
            </w:r>
            <w:r>
              <w:rPr>
                <w:rFonts w:ascii="宋体" w:hAnsi="宋体" w:eastAsia="宋体" w:cs="宋体"/>
                <w:sz w:val="24"/>
                <w:szCs w:val="24"/>
                <w:highlight w:val="none"/>
              </w:rPr>
              <w:t>供符合招标文件要求的《投标人资格声明书》</w:t>
            </w:r>
            <w:r>
              <w:rPr>
                <w:rFonts w:hint="eastAsia" w:ascii="宋体" w:hAnsi="宋体" w:eastAsia="宋体" w:cs="宋体"/>
                <w:sz w:val="24"/>
                <w:szCs w:val="24"/>
                <w:highlight w:val="none"/>
              </w:rPr>
              <w:t>。</w:t>
            </w:r>
          </w:p>
        </w:tc>
        <w:tc>
          <w:tcPr>
            <w:tcW w:w="1832" w:type="dxa"/>
            <w:vAlign w:val="center"/>
          </w:tcPr>
          <w:p w14:paraId="3E26D117">
            <w:pPr>
              <w:spacing w:line="360" w:lineRule="auto"/>
              <w:jc w:val="left"/>
              <w:rPr>
                <w:rFonts w:ascii="宋体" w:hAnsi="宋体" w:eastAsia="宋体" w:cs="宋体"/>
                <w:sz w:val="24"/>
                <w:szCs w:val="24"/>
                <w:highlight w:val="none"/>
              </w:rPr>
            </w:pPr>
            <w:r>
              <w:rPr>
                <w:rFonts w:hint="eastAsia" w:ascii="宋体" w:hAnsi="宋体" w:eastAsia="宋体"/>
                <w:sz w:val="24"/>
                <w:highlight w:val="none"/>
              </w:rPr>
              <w:t>详见第六章投标文件格式。</w:t>
            </w:r>
          </w:p>
        </w:tc>
      </w:tr>
      <w:tr w14:paraId="5D35E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tcBorders>
              <w:bottom w:val="single" w:color="auto" w:sz="4" w:space="0"/>
            </w:tcBorders>
            <w:vAlign w:val="center"/>
          </w:tcPr>
          <w:p w14:paraId="18C9BF03">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3</w:t>
            </w:r>
          </w:p>
        </w:tc>
        <w:tc>
          <w:tcPr>
            <w:tcW w:w="1642" w:type="dxa"/>
            <w:tcBorders>
              <w:bottom w:val="single" w:color="auto" w:sz="4" w:space="0"/>
            </w:tcBorders>
            <w:vAlign w:val="center"/>
          </w:tcPr>
          <w:p w14:paraId="31BF2793">
            <w:pPr>
              <w:spacing w:after="50" w:line="360" w:lineRule="auto"/>
              <w:ind w:right="-10"/>
              <w:jc w:val="center"/>
              <w:rPr>
                <w:rFonts w:ascii="宋体" w:hAnsi="宋体" w:eastAsia="宋体"/>
                <w:sz w:val="24"/>
                <w:szCs w:val="28"/>
                <w:highlight w:val="none"/>
              </w:rPr>
            </w:pPr>
            <w:r>
              <w:rPr>
                <w:rFonts w:hint="eastAsia" w:ascii="宋体" w:hAnsi="宋体" w:eastAsia="宋体" w:cs="宋体"/>
                <w:sz w:val="24"/>
                <w:szCs w:val="24"/>
                <w:highlight w:val="none"/>
              </w:rPr>
              <w:t>投标人信用记录</w:t>
            </w:r>
          </w:p>
        </w:tc>
        <w:tc>
          <w:tcPr>
            <w:tcW w:w="6272" w:type="dxa"/>
            <w:tcBorders>
              <w:bottom w:val="single" w:color="auto" w:sz="4" w:space="0"/>
            </w:tcBorders>
            <w:vAlign w:val="center"/>
          </w:tcPr>
          <w:p w14:paraId="352CF69D">
            <w:pPr>
              <w:spacing w:after="50" w:line="360" w:lineRule="auto"/>
              <w:ind w:right="-10"/>
              <w:jc w:val="left"/>
              <w:rPr>
                <w:highlight w:val="none"/>
              </w:rPr>
            </w:pPr>
            <w:r>
              <w:rPr>
                <w:rFonts w:hint="eastAsia" w:ascii="宋体" w:hAnsi="宋体" w:eastAsia="宋体" w:cs="宋体"/>
                <w:sz w:val="24"/>
                <w:szCs w:val="24"/>
                <w:highlight w:val="none"/>
                <w:lang w:val="zh-CN"/>
              </w:rPr>
              <w:t>投标人不得存在投标人须知正文第1</w:t>
            </w:r>
            <w:r>
              <w:rPr>
                <w:rFonts w:hint="eastAsia" w:ascii="宋体" w:hAnsi="宋体" w:eastAsia="宋体" w:cs="宋体"/>
                <w:sz w:val="24"/>
                <w:szCs w:val="24"/>
                <w:highlight w:val="none"/>
              </w:rPr>
              <w:t>4</w:t>
            </w:r>
            <w:r>
              <w:rPr>
                <w:rFonts w:hint="eastAsia" w:ascii="宋体" w:hAnsi="宋体" w:eastAsia="宋体" w:cs="宋体"/>
                <w:sz w:val="24"/>
                <w:szCs w:val="24"/>
                <w:highlight w:val="none"/>
                <w:lang w:val="zh-CN"/>
              </w:rPr>
              <w:t>.2</w:t>
            </w:r>
            <w:r>
              <w:rPr>
                <w:rFonts w:hint="eastAsia" w:ascii="宋体" w:hAnsi="宋体" w:eastAsia="宋体" w:cs="宋体"/>
                <w:sz w:val="24"/>
                <w:szCs w:val="24"/>
                <w:highlight w:val="none"/>
              </w:rPr>
              <w:t>条中</w:t>
            </w:r>
            <w:r>
              <w:rPr>
                <w:rFonts w:hint="eastAsia" w:ascii="宋体" w:hAnsi="宋体" w:eastAsia="宋体"/>
                <w:sz w:val="24"/>
                <w:szCs w:val="28"/>
                <w:highlight w:val="none"/>
              </w:rPr>
              <w:t>的</w:t>
            </w:r>
            <w:r>
              <w:rPr>
                <w:rFonts w:hint="eastAsia" w:ascii="宋体" w:hAnsi="宋体" w:eastAsia="宋体"/>
                <w:sz w:val="24"/>
                <w:szCs w:val="18"/>
                <w:highlight w:val="none"/>
              </w:rPr>
              <w:t>不良信用记录情形</w:t>
            </w:r>
          </w:p>
        </w:tc>
        <w:tc>
          <w:tcPr>
            <w:tcW w:w="1832" w:type="dxa"/>
            <w:tcBorders>
              <w:bottom w:val="single" w:color="auto" w:sz="4" w:space="0"/>
            </w:tcBorders>
            <w:vAlign w:val="center"/>
          </w:tcPr>
          <w:p w14:paraId="3A6B90BF">
            <w:pPr>
              <w:spacing w:line="360" w:lineRule="auto"/>
              <w:jc w:val="left"/>
              <w:rPr>
                <w:highlight w:val="none"/>
              </w:rPr>
            </w:pPr>
            <w:r>
              <w:rPr>
                <w:rFonts w:hint="eastAsia" w:ascii="宋体" w:hAnsi="宋体" w:eastAsia="宋体" w:cs="宋体"/>
                <w:sz w:val="24"/>
                <w:szCs w:val="24"/>
                <w:highlight w:val="none"/>
              </w:rPr>
              <w:t>无须投标人提供，由采购人或采购代理机构查询。</w:t>
            </w:r>
          </w:p>
        </w:tc>
      </w:tr>
      <w:tr w14:paraId="6132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tcBorders>
              <w:bottom w:val="single" w:color="auto" w:sz="4" w:space="0"/>
            </w:tcBorders>
            <w:vAlign w:val="center"/>
          </w:tcPr>
          <w:p w14:paraId="23DF0E11">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4</w:t>
            </w:r>
          </w:p>
        </w:tc>
        <w:tc>
          <w:tcPr>
            <w:tcW w:w="1642" w:type="dxa"/>
            <w:tcBorders>
              <w:bottom w:val="single" w:color="auto" w:sz="4" w:space="0"/>
            </w:tcBorders>
            <w:vAlign w:val="center"/>
          </w:tcPr>
          <w:p w14:paraId="7D8A8058">
            <w:pPr>
              <w:spacing w:after="50" w:line="360" w:lineRule="auto"/>
              <w:ind w:right="-10"/>
              <w:rPr>
                <w:rFonts w:ascii="宋体" w:hAnsi="宋体" w:eastAsia="宋体" w:cs="宋体"/>
                <w:sz w:val="24"/>
                <w:szCs w:val="24"/>
                <w:highlight w:val="none"/>
              </w:rPr>
            </w:pPr>
            <w:r>
              <w:rPr>
                <w:rFonts w:ascii="宋体" w:hAnsi="宋体" w:eastAsia="宋体" w:cs="宋体"/>
                <w:spacing w:val="10"/>
                <w:sz w:val="24"/>
                <w:szCs w:val="24"/>
                <w:highlight w:val="none"/>
              </w:rPr>
              <w:t>其它落实政府采</w:t>
            </w:r>
            <w:r>
              <w:rPr>
                <w:rFonts w:ascii="宋体" w:hAnsi="宋体" w:eastAsia="宋体" w:cs="宋体"/>
                <w:spacing w:val="11"/>
                <w:sz w:val="24"/>
                <w:szCs w:val="24"/>
                <w:highlight w:val="none"/>
              </w:rPr>
              <w:t>购政策的资格要</w:t>
            </w:r>
            <w:r>
              <w:rPr>
                <w:rFonts w:ascii="宋体" w:hAnsi="宋体" w:eastAsia="宋体" w:cs="宋体"/>
                <w:sz w:val="24"/>
                <w:szCs w:val="24"/>
                <w:highlight w:val="none"/>
              </w:rPr>
              <w:t>求</w:t>
            </w:r>
          </w:p>
        </w:tc>
        <w:tc>
          <w:tcPr>
            <w:tcW w:w="6272" w:type="dxa"/>
            <w:tcBorders>
              <w:bottom w:val="single" w:color="auto" w:sz="4" w:space="0"/>
            </w:tcBorders>
            <w:vAlign w:val="center"/>
          </w:tcPr>
          <w:p w14:paraId="38C65BC8">
            <w:pPr>
              <w:spacing w:after="50" w:line="360" w:lineRule="auto"/>
              <w:ind w:right="-10"/>
              <w:rPr>
                <w:rFonts w:ascii="宋体" w:hAnsi="宋体" w:eastAsia="宋体" w:cs="宋体"/>
                <w:sz w:val="24"/>
                <w:szCs w:val="24"/>
                <w:highlight w:val="none"/>
                <w:lang w:val="zh-CN"/>
              </w:rPr>
            </w:pPr>
            <w:r>
              <w:rPr>
                <w:rFonts w:ascii="宋体" w:hAnsi="宋体" w:eastAsia="宋体" w:cs="宋体"/>
                <w:spacing w:val="-2"/>
                <w:sz w:val="24"/>
                <w:szCs w:val="24"/>
                <w:highlight w:val="none"/>
              </w:rPr>
              <w:t>如有，见第一章《投标邀请》</w:t>
            </w:r>
          </w:p>
        </w:tc>
        <w:tc>
          <w:tcPr>
            <w:tcW w:w="1832" w:type="dxa"/>
            <w:tcBorders>
              <w:bottom w:val="single" w:color="auto" w:sz="4" w:space="0"/>
            </w:tcBorders>
            <w:vAlign w:val="center"/>
          </w:tcPr>
          <w:p w14:paraId="4DF0441D">
            <w:pPr>
              <w:spacing w:after="50" w:line="360" w:lineRule="auto"/>
              <w:ind w:right="-10"/>
              <w:rPr>
                <w:rFonts w:ascii="宋体" w:hAnsi="宋体" w:eastAsia="宋体" w:cs="宋体"/>
                <w:sz w:val="24"/>
                <w:szCs w:val="24"/>
                <w:highlight w:val="none"/>
              </w:rPr>
            </w:pPr>
            <w:r>
              <w:rPr>
                <w:rFonts w:hint="eastAsia" w:ascii="宋体" w:hAnsi="宋体" w:eastAsia="宋体" w:cs="宋体"/>
                <w:sz w:val="24"/>
                <w:szCs w:val="24"/>
                <w:highlight w:val="none"/>
              </w:rPr>
              <w:t>提供材料扫描件或电子证照，应完整的体现出材料或电子证照全部内容。</w:t>
            </w:r>
          </w:p>
        </w:tc>
      </w:tr>
      <w:tr w14:paraId="1C4B9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Align w:val="center"/>
          </w:tcPr>
          <w:p w14:paraId="4088DCD1">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5</w:t>
            </w:r>
          </w:p>
        </w:tc>
        <w:tc>
          <w:tcPr>
            <w:tcW w:w="1642" w:type="dxa"/>
            <w:vAlign w:val="center"/>
          </w:tcPr>
          <w:p w14:paraId="093BD2D7">
            <w:pPr>
              <w:spacing w:after="50" w:line="360" w:lineRule="auto"/>
              <w:ind w:right="-10"/>
              <w:rPr>
                <w:rFonts w:ascii="宋体" w:hAnsi="宋体" w:eastAsia="宋体" w:cs="宋体"/>
                <w:spacing w:val="10"/>
                <w:sz w:val="24"/>
                <w:szCs w:val="24"/>
                <w:highlight w:val="none"/>
              </w:rPr>
            </w:pPr>
            <w:r>
              <w:rPr>
                <w:rFonts w:ascii="宋体" w:hAnsi="宋体" w:eastAsia="宋体" w:cs="宋体"/>
                <w:spacing w:val="10"/>
                <w:sz w:val="24"/>
                <w:szCs w:val="24"/>
                <w:highlight w:val="none"/>
              </w:rPr>
              <w:t>其他特定资格要求</w:t>
            </w:r>
          </w:p>
        </w:tc>
        <w:tc>
          <w:tcPr>
            <w:tcW w:w="6272" w:type="dxa"/>
            <w:vAlign w:val="center"/>
          </w:tcPr>
          <w:p w14:paraId="11079699">
            <w:pPr>
              <w:spacing w:after="50" w:line="360" w:lineRule="auto"/>
              <w:ind w:right="-10"/>
              <w:rPr>
                <w:rFonts w:ascii="宋体" w:hAnsi="宋体" w:eastAsia="宋体" w:cs="宋体"/>
                <w:spacing w:val="10"/>
                <w:sz w:val="24"/>
                <w:szCs w:val="24"/>
                <w:highlight w:val="none"/>
              </w:rPr>
            </w:pPr>
            <w:r>
              <w:rPr>
                <w:rFonts w:ascii="宋体" w:hAnsi="宋体" w:eastAsia="宋体" w:cs="宋体"/>
                <w:spacing w:val="10"/>
                <w:sz w:val="24"/>
                <w:szCs w:val="24"/>
                <w:highlight w:val="none"/>
              </w:rPr>
              <w:t>见第一章《投标邀请》</w:t>
            </w:r>
          </w:p>
        </w:tc>
        <w:tc>
          <w:tcPr>
            <w:tcW w:w="1832" w:type="dxa"/>
            <w:vAlign w:val="center"/>
          </w:tcPr>
          <w:p w14:paraId="707BE880">
            <w:pPr>
              <w:spacing w:after="50" w:line="360" w:lineRule="auto"/>
              <w:ind w:right="-10"/>
              <w:rPr>
                <w:rFonts w:ascii="宋体" w:hAnsi="宋体" w:eastAsia="宋体" w:cs="宋体"/>
                <w:spacing w:val="10"/>
                <w:sz w:val="24"/>
                <w:szCs w:val="24"/>
                <w:highlight w:val="none"/>
              </w:rPr>
            </w:pPr>
            <w:r>
              <w:rPr>
                <w:rFonts w:hint="eastAsia" w:ascii="宋体" w:hAnsi="宋体" w:eastAsia="宋体" w:cs="宋体"/>
                <w:sz w:val="24"/>
                <w:szCs w:val="24"/>
                <w:highlight w:val="none"/>
              </w:rPr>
              <w:t>提供材料扫描件或电子证照，应完整的体现出材料或电子证照全部内容。</w:t>
            </w:r>
          </w:p>
        </w:tc>
      </w:tr>
    </w:tbl>
    <w:p w14:paraId="5536BEED">
      <w:pPr>
        <w:spacing w:line="360" w:lineRule="auto"/>
        <w:ind w:firstLine="435"/>
        <w:rPr>
          <w:rFonts w:asciiTheme="minorEastAsia" w:hAnsiTheme="minorEastAsia" w:eastAsiaTheme="minorEastAsia"/>
          <w:sz w:val="24"/>
          <w:highlight w:val="none"/>
        </w:rPr>
      </w:pPr>
      <w:r>
        <w:rPr>
          <w:rFonts w:hint="eastAsia" w:ascii="宋体" w:hAnsi="宋体" w:eastAsia="宋体"/>
          <w:b/>
          <w:bCs/>
          <w:sz w:val="24"/>
          <w:highlight w:val="none"/>
        </w:rPr>
        <w:t>资格审查指标通过标准：</w:t>
      </w:r>
      <w:r>
        <w:rPr>
          <w:rFonts w:hint="eastAsia" w:ascii="宋体" w:hAnsi="宋体" w:eastAsia="宋体"/>
          <w:sz w:val="24"/>
          <w:highlight w:val="none"/>
        </w:rPr>
        <w:t>投标人必须通过资格审查表中的全部评审指标。</w:t>
      </w:r>
    </w:p>
    <w:p w14:paraId="28AE53F5">
      <w:pPr>
        <w:spacing w:line="360" w:lineRule="auto"/>
        <w:ind w:firstLine="437"/>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2.2符合性审查</w:t>
      </w:r>
    </w:p>
    <w:p w14:paraId="100DB311">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评标委员会对通过资格审查的投标人的投标文件进行符合性审查，以确定其是否满足招标文件的实质性要求。符合性审查表如下：</w:t>
      </w:r>
    </w:p>
    <w:tbl>
      <w:tblPr>
        <w:tblStyle w:val="26"/>
        <w:tblW w:w="10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106"/>
        <w:gridCol w:w="3959"/>
        <w:gridCol w:w="3213"/>
      </w:tblGrid>
      <w:tr w14:paraId="0B8B4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039" w:type="dxa"/>
            <w:gridSpan w:val="4"/>
            <w:tcBorders>
              <w:bottom w:val="single" w:color="auto" w:sz="4" w:space="0"/>
            </w:tcBorders>
            <w:vAlign w:val="center"/>
          </w:tcPr>
          <w:p w14:paraId="7CA8BFF0">
            <w:pPr>
              <w:adjustRightInd w:val="0"/>
              <w:snapToGrid w:val="0"/>
              <w:spacing w:line="360" w:lineRule="auto"/>
              <w:ind w:right="-10"/>
              <w:jc w:val="center"/>
              <w:rPr>
                <w:rFonts w:ascii="宋体" w:hAnsi="宋体" w:eastAsia="宋体"/>
                <w:b/>
                <w:bCs/>
                <w:sz w:val="24"/>
                <w:highlight w:val="none"/>
              </w:rPr>
            </w:pPr>
            <w:r>
              <w:rPr>
                <w:rFonts w:hint="eastAsia" w:ascii="宋体" w:hAnsi="宋体" w:eastAsia="宋体"/>
                <w:b/>
                <w:bCs/>
                <w:sz w:val="24"/>
                <w:highlight w:val="none"/>
              </w:rPr>
              <w:t>符合性审查表</w:t>
            </w:r>
          </w:p>
        </w:tc>
      </w:tr>
      <w:tr w14:paraId="478D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1" w:type="dxa"/>
            <w:tcBorders>
              <w:bottom w:val="single" w:color="auto" w:sz="4" w:space="0"/>
            </w:tcBorders>
            <w:vAlign w:val="center"/>
          </w:tcPr>
          <w:p w14:paraId="5EFF58B9">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序号</w:t>
            </w:r>
          </w:p>
        </w:tc>
        <w:tc>
          <w:tcPr>
            <w:tcW w:w="2106" w:type="dxa"/>
            <w:tcBorders>
              <w:bottom w:val="single" w:color="auto" w:sz="4" w:space="0"/>
            </w:tcBorders>
            <w:vAlign w:val="center"/>
          </w:tcPr>
          <w:p w14:paraId="77FCDB57">
            <w:pPr>
              <w:pStyle w:val="48"/>
              <w:pBdr>
                <w:bottom w:val="none" w:color="auto" w:sz="0" w:space="0"/>
              </w:pBdr>
              <w:tabs>
                <w:tab w:val="clear" w:pos="4153"/>
                <w:tab w:val="clear" w:pos="8306"/>
              </w:tabs>
              <w:snapToGrid w:val="0"/>
              <w:spacing w:line="360" w:lineRule="auto"/>
              <w:ind w:right="-10"/>
              <w:textAlignment w:val="auto"/>
              <w:rPr>
                <w:rFonts w:ascii="宋体" w:hAnsi="宋体" w:eastAsia="宋体"/>
                <w:kern w:val="2"/>
                <w:highlight w:val="none"/>
              </w:rPr>
            </w:pPr>
            <w:r>
              <w:rPr>
                <w:rFonts w:hint="eastAsia" w:ascii="宋体" w:hAnsi="宋体" w:eastAsia="宋体"/>
                <w:kern w:val="2"/>
                <w:highlight w:val="none"/>
              </w:rPr>
              <w:t>审查指标</w:t>
            </w:r>
          </w:p>
        </w:tc>
        <w:tc>
          <w:tcPr>
            <w:tcW w:w="3959" w:type="dxa"/>
            <w:tcBorders>
              <w:bottom w:val="single" w:color="auto" w:sz="4" w:space="0"/>
            </w:tcBorders>
            <w:vAlign w:val="center"/>
          </w:tcPr>
          <w:p w14:paraId="1F2E863E">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审查标准</w:t>
            </w:r>
          </w:p>
        </w:tc>
        <w:tc>
          <w:tcPr>
            <w:tcW w:w="3213" w:type="dxa"/>
            <w:tcBorders>
              <w:bottom w:val="single" w:color="auto" w:sz="4" w:space="0"/>
            </w:tcBorders>
            <w:vAlign w:val="center"/>
          </w:tcPr>
          <w:p w14:paraId="0F47D468">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格式要求</w:t>
            </w:r>
          </w:p>
        </w:tc>
      </w:tr>
      <w:tr w14:paraId="124BA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35EA4070">
            <w:pPr>
              <w:adjustRightInd w:val="0"/>
              <w:snapToGrid w:val="0"/>
              <w:spacing w:line="360" w:lineRule="auto"/>
              <w:ind w:right="-1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p>
        </w:tc>
        <w:tc>
          <w:tcPr>
            <w:tcW w:w="2106" w:type="dxa"/>
            <w:vAlign w:val="center"/>
          </w:tcPr>
          <w:p w14:paraId="532E9ED4">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highlight w:val="none"/>
              </w:rPr>
              <w:t>开标一览表</w:t>
            </w:r>
          </w:p>
        </w:tc>
        <w:tc>
          <w:tcPr>
            <w:tcW w:w="3959" w:type="dxa"/>
            <w:vAlign w:val="center"/>
          </w:tcPr>
          <w:p w14:paraId="5D45486F">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格式、填写要求符合招标文件规定并加盖投标人电子签章</w:t>
            </w:r>
          </w:p>
        </w:tc>
        <w:tc>
          <w:tcPr>
            <w:tcW w:w="3213" w:type="dxa"/>
            <w:vAlign w:val="center"/>
          </w:tcPr>
          <w:p w14:paraId="28233B38">
            <w:pPr>
              <w:adjustRightInd w:val="0"/>
              <w:snapToGrid w:val="0"/>
              <w:spacing w:line="360" w:lineRule="auto"/>
              <w:ind w:right="-1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详见第六章投标文件格式。</w:t>
            </w:r>
          </w:p>
        </w:tc>
      </w:tr>
      <w:tr w14:paraId="27FF4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7DE56E2C">
            <w:pPr>
              <w:adjustRightInd w:val="0"/>
              <w:snapToGrid w:val="0"/>
              <w:spacing w:line="360" w:lineRule="auto"/>
              <w:ind w:right="-1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p>
        </w:tc>
        <w:tc>
          <w:tcPr>
            <w:tcW w:w="2106" w:type="dxa"/>
            <w:vAlign w:val="center"/>
          </w:tcPr>
          <w:p w14:paraId="05D11D13">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投标函</w:t>
            </w:r>
          </w:p>
        </w:tc>
        <w:tc>
          <w:tcPr>
            <w:tcW w:w="3959" w:type="dxa"/>
            <w:vAlign w:val="center"/>
          </w:tcPr>
          <w:p w14:paraId="2FA6DC87">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格式、填写要求符合招标文件规定并加盖投标人电子签章</w:t>
            </w:r>
          </w:p>
        </w:tc>
        <w:tc>
          <w:tcPr>
            <w:tcW w:w="3213" w:type="dxa"/>
            <w:vAlign w:val="center"/>
          </w:tcPr>
          <w:p w14:paraId="0BCF7ABA">
            <w:pPr>
              <w:adjustRightInd w:val="0"/>
              <w:snapToGrid w:val="0"/>
              <w:spacing w:line="360" w:lineRule="auto"/>
              <w:ind w:right="-1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详见第六章投标文件格式。</w:t>
            </w:r>
          </w:p>
        </w:tc>
      </w:tr>
      <w:tr w14:paraId="1F09C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19BB37EB">
            <w:pPr>
              <w:adjustRightInd w:val="0"/>
              <w:snapToGrid w:val="0"/>
              <w:spacing w:line="360" w:lineRule="auto"/>
              <w:ind w:right="-10"/>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3</w:t>
            </w:r>
          </w:p>
        </w:tc>
        <w:tc>
          <w:tcPr>
            <w:tcW w:w="2106" w:type="dxa"/>
            <w:vAlign w:val="center"/>
          </w:tcPr>
          <w:p w14:paraId="60879626">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授权书</w:t>
            </w:r>
          </w:p>
        </w:tc>
        <w:tc>
          <w:tcPr>
            <w:tcW w:w="3959" w:type="dxa"/>
            <w:vAlign w:val="center"/>
          </w:tcPr>
          <w:p w14:paraId="2A93E5E6">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格式、填写要求符合招标文件规定并加盖投标人电子签章</w:t>
            </w:r>
          </w:p>
        </w:tc>
        <w:tc>
          <w:tcPr>
            <w:tcW w:w="3213" w:type="dxa"/>
            <w:vAlign w:val="center"/>
          </w:tcPr>
          <w:p w14:paraId="6C78DCD4">
            <w:pPr>
              <w:adjustRightInd w:val="0"/>
              <w:snapToGrid w:val="0"/>
              <w:spacing w:line="360" w:lineRule="auto"/>
              <w:ind w:right="-1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法定代表人参加投标的无需此件，提供身份证明即可。详见第六章投标文件格式。</w:t>
            </w:r>
          </w:p>
        </w:tc>
      </w:tr>
      <w:tr w14:paraId="69997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40121EAD">
            <w:pPr>
              <w:adjustRightInd w:val="0"/>
              <w:snapToGrid w:val="0"/>
              <w:spacing w:line="360" w:lineRule="auto"/>
              <w:ind w:right="-1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p>
        </w:tc>
        <w:tc>
          <w:tcPr>
            <w:tcW w:w="2106" w:type="dxa"/>
            <w:vAlign w:val="center"/>
          </w:tcPr>
          <w:p w14:paraId="72B309F4">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投标报价</w:t>
            </w:r>
          </w:p>
        </w:tc>
        <w:tc>
          <w:tcPr>
            <w:tcW w:w="3959" w:type="dxa"/>
            <w:vAlign w:val="center"/>
          </w:tcPr>
          <w:p w14:paraId="334B110D">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符合</w:t>
            </w:r>
            <w:r>
              <w:rPr>
                <w:rFonts w:hint="eastAsia" w:asciiTheme="minorEastAsia" w:hAnsiTheme="minorEastAsia" w:eastAsiaTheme="minorEastAsia"/>
                <w:sz w:val="24"/>
                <w:highlight w:val="none"/>
              </w:rPr>
              <w:t>招标文件投标人须知正文第9条要求</w:t>
            </w:r>
          </w:p>
        </w:tc>
        <w:tc>
          <w:tcPr>
            <w:tcW w:w="3213" w:type="dxa"/>
            <w:vAlign w:val="center"/>
          </w:tcPr>
          <w:p w14:paraId="06AA1809">
            <w:pPr>
              <w:adjustRightInd w:val="0"/>
              <w:snapToGrid w:val="0"/>
              <w:spacing w:line="360" w:lineRule="auto"/>
              <w:ind w:right="-1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详见第六章投标文件格式。</w:t>
            </w:r>
          </w:p>
        </w:tc>
      </w:tr>
      <w:tr w14:paraId="5F2FB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6AA574C4">
            <w:pPr>
              <w:adjustRightInd w:val="0"/>
              <w:snapToGrid w:val="0"/>
              <w:spacing w:line="360" w:lineRule="auto"/>
              <w:ind w:right="-1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w:t>
            </w:r>
          </w:p>
        </w:tc>
        <w:tc>
          <w:tcPr>
            <w:tcW w:w="2106" w:type="dxa"/>
            <w:vAlign w:val="center"/>
          </w:tcPr>
          <w:p w14:paraId="0388A502">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商务响应情况</w:t>
            </w:r>
          </w:p>
        </w:tc>
        <w:tc>
          <w:tcPr>
            <w:tcW w:w="3959" w:type="dxa"/>
            <w:vAlign w:val="center"/>
          </w:tcPr>
          <w:p w14:paraId="591C5A94">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符合招标文件采购需求中对付款方式、供货及安装期限、供货及安装地点、免费质保期等实质性要求</w:t>
            </w:r>
          </w:p>
        </w:tc>
        <w:tc>
          <w:tcPr>
            <w:tcW w:w="3213" w:type="dxa"/>
            <w:vAlign w:val="center"/>
          </w:tcPr>
          <w:p w14:paraId="29412C86">
            <w:pPr>
              <w:adjustRightInd w:val="0"/>
              <w:snapToGrid w:val="0"/>
              <w:spacing w:line="360" w:lineRule="auto"/>
              <w:ind w:right="-1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详见第六章投标文件格式。</w:t>
            </w:r>
          </w:p>
        </w:tc>
      </w:tr>
      <w:tr w14:paraId="1BE0C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21F82032">
            <w:pPr>
              <w:adjustRightInd w:val="0"/>
              <w:snapToGrid w:val="0"/>
              <w:spacing w:line="360" w:lineRule="auto"/>
              <w:ind w:right="-1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w:t>
            </w:r>
          </w:p>
        </w:tc>
        <w:tc>
          <w:tcPr>
            <w:tcW w:w="2106" w:type="dxa"/>
            <w:vAlign w:val="center"/>
          </w:tcPr>
          <w:p w14:paraId="00E11ABF">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技术响应情况</w:t>
            </w:r>
          </w:p>
        </w:tc>
        <w:tc>
          <w:tcPr>
            <w:tcW w:w="3959" w:type="dxa"/>
            <w:vAlign w:val="center"/>
          </w:tcPr>
          <w:p w14:paraId="67145A51">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符合招标文件采购需求中货物技术参数等实质性要求</w:t>
            </w:r>
          </w:p>
        </w:tc>
        <w:tc>
          <w:tcPr>
            <w:tcW w:w="3213" w:type="dxa"/>
            <w:vAlign w:val="center"/>
          </w:tcPr>
          <w:p w14:paraId="6827B492">
            <w:pPr>
              <w:adjustRightInd w:val="0"/>
              <w:snapToGrid w:val="0"/>
              <w:spacing w:line="360" w:lineRule="auto"/>
              <w:ind w:right="-1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详见第六章投标文件格式。</w:t>
            </w:r>
          </w:p>
        </w:tc>
      </w:tr>
      <w:tr w14:paraId="79C01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7215432D">
            <w:pPr>
              <w:adjustRightInd w:val="0"/>
              <w:snapToGrid w:val="0"/>
              <w:spacing w:line="360" w:lineRule="auto"/>
              <w:ind w:right="-1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w:t>
            </w:r>
          </w:p>
        </w:tc>
        <w:tc>
          <w:tcPr>
            <w:tcW w:w="2106" w:type="dxa"/>
            <w:vAlign w:val="center"/>
          </w:tcPr>
          <w:p w14:paraId="65D33F5C">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其他要求</w:t>
            </w:r>
          </w:p>
        </w:tc>
        <w:tc>
          <w:tcPr>
            <w:tcW w:w="3959" w:type="dxa"/>
            <w:vAlign w:val="center"/>
          </w:tcPr>
          <w:p w14:paraId="609C241B">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符合法律、行政法规规定的其他条件或招标文件列明的其他实质性要求</w:t>
            </w:r>
          </w:p>
        </w:tc>
        <w:tc>
          <w:tcPr>
            <w:tcW w:w="3213" w:type="dxa"/>
            <w:vAlign w:val="center"/>
          </w:tcPr>
          <w:p w14:paraId="25F61823">
            <w:pPr>
              <w:adjustRightInd w:val="0"/>
              <w:snapToGrid w:val="0"/>
              <w:spacing w:line="360" w:lineRule="auto"/>
              <w:ind w:right="-10"/>
              <w:jc w:val="center"/>
              <w:rPr>
                <w:rFonts w:asciiTheme="minorEastAsia" w:hAnsiTheme="minorEastAsia" w:eastAsiaTheme="minorEastAsia"/>
                <w:sz w:val="24"/>
                <w:highlight w:val="none"/>
              </w:rPr>
            </w:pPr>
          </w:p>
        </w:tc>
      </w:tr>
    </w:tbl>
    <w:p w14:paraId="2DF2F19A">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b/>
          <w:bCs/>
          <w:sz w:val="24"/>
          <w:highlight w:val="none"/>
        </w:rPr>
        <w:t>符合性审查指标通过标准：</w:t>
      </w:r>
      <w:r>
        <w:rPr>
          <w:rFonts w:hint="eastAsia" w:asciiTheme="minorEastAsia" w:hAnsiTheme="minorEastAsia" w:eastAsiaTheme="minorEastAsia"/>
          <w:sz w:val="24"/>
          <w:highlight w:val="none"/>
        </w:rPr>
        <w:t>投标人必须通过符合性审查表中的全部评审指标。</w:t>
      </w:r>
    </w:p>
    <w:p w14:paraId="194B3C75">
      <w:pPr>
        <w:spacing w:line="360" w:lineRule="auto"/>
        <w:ind w:firstLine="437"/>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2.3详细审查</w:t>
      </w:r>
    </w:p>
    <w:p w14:paraId="08494585">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.3.1</w:t>
      </w:r>
      <w:r>
        <w:rPr>
          <w:rFonts w:hint="eastAsia" w:asciiTheme="minorEastAsia" w:hAnsiTheme="minorEastAsia" w:eastAsiaTheme="minorEastAsia"/>
          <w:sz w:val="24"/>
          <w:highlight w:val="none"/>
        </w:rPr>
        <w:t>评标委员会按照下表对投标文件进行详细审查和评分。</w:t>
      </w:r>
    </w:p>
    <w:p w14:paraId="6277559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.3.2</w:t>
      </w:r>
      <w:r>
        <w:rPr>
          <w:rFonts w:hint="eastAsia" w:asciiTheme="minorEastAsia" w:hAnsiTheme="minorEastAsia" w:eastAsiaTheme="minorEastAsia"/>
          <w:sz w:val="24"/>
          <w:highlight w:val="none"/>
        </w:rPr>
        <w:t>本项目综合评分满分为1</w:t>
      </w:r>
      <w:r>
        <w:rPr>
          <w:rFonts w:asciiTheme="minorEastAsia" w:hAnsiTheme="minorEastAsia" w:eastAsiaTheme="minorEastAsia"/>
          <w:sz w:val="24"/>
          <w:highlight w:val="none"/>
        </w:rPr>
        <w:t>00</w:t>
      </w:r>
      <w:r>
        <w:rPr>
          <w:rFonts w:hint="eastAsia" w:asciiTheme="minorEastAsia" w:hAnsiTheme="minorEastAsia" w:eastAsiaTheme="minorEastAsia"/>
          <w:sz w:val="24"/>
          <w:highlight w:val="none"/>
        </w:rPr>
        <w:t>分，其中：技术资信分值占总分值的权重为</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70</w:t>
      </w:r>
      <w:r>
        <w:rPr>
          <w:rFonts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%，价格分值占总分值的权重为</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30</w:t>
      </w:r>
      <w:r>
        <w:rPr>
          <w:rFonts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%。具体评分细则如下：</w:t>
      </w:r>
    </w:p>
    <w:p w14:paraId="2675D3B3">
      <w:pPr>
        <w:spacing w:line="360" w:lineRule="auto"/>
        <w:ind w:firstLine="435"/>
        <w:rPr>
          <w:rFonts w:hint="default" w:asciiTheme="minorEastAsia" w:hAnsiTheme="minorEastAsia" w:eastAsiaTheme="minorEastAsia"/>
          <w:b/>
          <w:bCs/>
          <w:sz w:val="24"/>
          <w:highlight w:val="none"/>
          <w:lang w:val="en-US" w:eastAsia="zh-CN"/>
        </w:rPr>
      </w:pPr>
      <w:r>
        <w:rPr>
          <w:rFonts w:hint="eastAsia" w:asciiTheme="minorEastAsia" w:hAnsiTheme="minorEastAsia" w:eastAsiaTheme="minorEastAsia"/>
          <w:b/>
          <w:bCs/>
          <w:sz w:val="24"/>
          <w:highlight w:val="none"/>
          <w:lang w:val="en-US" w:eastAsia="zh-CN"/>
        </w:rPr>
        <w:t>01包：便携彩超机</w:t>
      </w:r>
    </w:p>
    <w:tbl>
      <w:tblPr>
        <w:tblStyle w:val="26"/>
        <w:tblW w:w="9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717"/>
        <w:gridCol w:w="5337"/>
        <w:gridCol w:w="1205"/>
      </w:tblGrid>
      <w:tr w14:paraId="2623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71" w:type="dxa"/>
            <w:tcBorders>
              <w:top w:val="single" w:color="auto" w:sz="4" w:space="0"/>
              <w:left w:val="single" w:color="auto" w:sz="4" w:space="0"/>
              <w:bottom w:val="single" w:color="auto" w:sz="4" w:space="0"/>
              <w:right w:val="single" w:color="auto" w:sz="4" w:space="0"/>
            </w:tcBorders>
            <w:noWrap w:val="0"/>
            <w:vAlign w:val="center"/>
          </w:tcPr>
          <w:p w14:paraId="03CC6C31">
            <w:pPr>
              <w:spacing w:line="360" w:lineRule="auto"/>
              <w:jc w:val="center"/>
              <w:rPr>
                <w:rFonts w:ascii="宋体" w:hAnsi="宋体" w:eastAsia="宋体"/>
                <w:b/>
                <w:bCs/>
                <w:sz w:val="24"/>
                <w:highlight w:val="none"/>
              </w:rPr>
            </w:pPr>
            <w:r>
              <w:rPr>
                <w:rFonts w:hint="eastAsia" w:ascii="宋体" w:hAnsi="宋体" w:eastAsia="宋体"/>
                <w:b/>
                <w:bCs/>
                <w:sz w:val="24"/>
                <w:highlight w:val="none"/>
              </w:rPr>
              <w:t>类别</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12089BB0">
            <w:pPr>
              <w:spacing w:line="360" w:lineRule="auto"/>
              <w:jc w:val="center"/>
              <w:rPr>
                <w:rFonts w:ascii="宋体" w:hAnsi="宋体" w:eastAsia="宋体"/>
                <w:b/>
                <w:bCs/>
                <w:sz w:val="24"/>
                <w:highlight w:val="none"/>
              </w:rPr>
            </w:pPr>
            <w:r>
              <w:rPr>
                <w:rFonts w:hint="eastAsia" w:ascii="宋体" w:hAnsi="宋体" w:eastAsia="宋体"/>
                <w:b/>
                <w:bCs/>
                <w:sz w:val="24"/>
                <w:highlight w:val="none"/>
              </w:rPr>
              <w:t>评分内容</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7C15D96A">
            <w:pPr>
              <w:spacing w:line="360" w:lineRule="auto"/>
              <w:jc w:val="center"/>
              <w:rPr>
                <w:rFonts w:ascii="宋体" w:hAnsi="宋体" w:eastAsia="宋体"/>
                <w:b/>
                <w:bCs/>
                <w:sz w:val="24"/>
                <w:highlight w:val="none"/>
              </w:rPr>
            </w:pPr>
            <w:r>
              <w:rPr>
                <w:rFonts w:hint="eastAsia" w:ascii="宋体" w:hAnsi="宋体" w:eastAsia="宋体"/>
                <w:b/>
                <w:bCs/>
                <w:sz w:val="24"/>
                <w:highlight w:val="none"/>
              </w:rPr>
              <w:t>评分标准</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66B61659">
            <w:pPr>
              <w:spacing w:line="360" w:lineRule="auto"/>
              <w:jc w:val="center"/>
              <w:rPr>
                <w:rFonts w:ascii="宋体" w:hAnsi="宋体" w:eastAsia="宋体"/>
                <w:b/>
                <w:bCs/>
                <w:sz w:val="24"/>
                <w:highlight w:val="none"/>
              </w:rPr>
            </w:pPr>
            <w:r>
              <w:rPr>
                <w:rFonts w:hint="eastAsia" w:ascii="宋体" w:hAnsi="宋体" w:eastAsia="宋体"/>
                <w:b/>
                <w:bCs/>
                <w:sz w:val="24"/>
                <w:highlight w:val="none"/>
              </w:rPr>
              <w:t>分值范围</w:t>
            </w:r>
          </w:p>
        </w:tc>
      </w:tr>
      <w:tr w14:paraId="584EF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restart"/>
            <w:tcBorders>
              <w:top w:val="single" w:color="auto" w:sz="4" w:space="0"/>
              <w:left w:val="single" w:color="auto" w:sz="4" w:space="0"/>
              <w:right w:val="single" w:color="auto" w:sz="4" w:space="0"/>
            </w:tcBorders>
            <w:noWrap w:val="0"/>
            <w:vAlign w:val="center"/>
          </w:tcPr>
          <w:p w14:paraId="0F6D56F3">
            <w:pPr>
              <w:spacing w:line="360" w:lineRule="auto"/>
              <w:jc w:val="center"/>
              <w:rPr>
                <w:rFonts w:ascii="宋体" w:hAnsi="宋体" w:eastAsia="宋体"/>
                <w:sz w:val="24"/>
                <w:highlight w:val="none"/>
              </w:rPr>
            </w:pPr>
            <w:r>
              <w:rPr>
                <w:rFonts w:hint="eastAsia" w:ascii="宋体" w:hAnsi="宋体" w:eastAsia="宋体"/>
                <w:sz w:val="24"/>
                <w:highlight w:val="none"/>
              </w:rPr>
              <w:t>技术资信分</w:t>
            </w:r>
          </w:p>
          <w:p w14:paraId="281919BA">
            <w:pPr>
              <w:spacing w:line="360" w:lineRule="auto"/>
              <w:jc w:val="center"/>
              <w:rPr>
                <w:rFonts w:ascii="宋体" w:hAnsi="宋体" w:eastAsia="宋体"/>
                <w:b/>
                <w:bCs/>
                <w:sz w:val="24"/>
                <w:highlight w:val="none"/>
              </w:rPr>
            </w:pPr>
            <w:r>
              <w:rPr>
                <w:rFonts w:hint="eastAsia" w:ascii="宋体" w:hAnsi="宋体" w:eastAsia="宋体"/>
                <w:sz w:val="24"/>
                <w:highlight w:val="none"/>
              </w:rPr>
              <w:t>（</w:t>
            </w:r>
            <w:r>
              <w:rPr>
                <w:rFonts w:hint="eastAsia" w:ascii="宋体" w:hAnsi="宋体" w:eastAsia="宋体"/>
                <w:sz w:val="24"/>
                <w:highlight w:val="none"/>
                <w:u w:val="single"/>
              </w:rPr>
              <w:t xml:space="preserve"> </w:t>
            </w:r>
            <w:r>
              <w:rPr>
                <w:rFonts w:hint="eastAsia" w:ascii="宋体" w:hAnsi="宋体" w:eastAsia="宋体"/>
                <w:sz w:val="24"/>
                <w:highlight w:val="none"/>
                <w:u w:val="single"/>
                <w:lang w:val="en-US" w:eastAsia="zh-CN"/>
              </w:rPr>
              <w:t>70</w:t>
            </w:r>
            <w:r>
              <w:rPr>
                <w:rFonts w:hint="eastAsia" w:ascii="宋体" w:hAnsi="宋体" w:eastAsia="宋体"/>
                <w:sz w:val="24"/>
                <w:highlight w:val="none"/>
                <w:u w:val="single"/>
              </w:rPr>
              <w:t xml:space="preserve"> </w:t>
            </w:r>
            <w:r>
              <w:rPr>
                <w:rFonts w:hint="eastAsia" w:ascii="宋体" w:hAnsi="宋体" w:eastAsia="宋体"/>
                <w:sz w:val="24"/>
                <w:highlight w:val="none"/>
              </w:rPr>
              <w:t>分）</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7F4C8F2B">
            <w:pPr>
              <w:spacing w:line="360" w:lineRule="auto"/>
              <w:jc w:val="center"/>
              <w:rPr>
                <w:rFonts w:ascii="宋体" w:hAnsi="宋体" w:eastAsia="宋体"/>
                <w:bCs/>
                <w:sz w:val="24"/>
                <w:highlight w:val="none"/>
              </w:rPr>
            </w:pPr>
            <w:r>
              <w:rPr>
                <w:rFonts w:hint="eastAsia" w:ascii="宋体" w:hAnsi="宋体" w:eastAsia="宋体"/>
                <w:bCs/>
                <w:sz w:val="24"/>
                <w:highlight w:val="none"/>
              </w:rPr>
              <w:t>所投设备技</w:t>
            </w:r>
          </w:p>
          <w:p w14:paraId="6855D4B3">
            <w:pPr>
              <w:spacing w:line="360" w:lineRule="auto"/>
              <w:jc w:val="center"/>
              <w:rPr>
                <w:rFonts w:ascii="宋体" w:hAnsi="宋体" w:eastAsia="宋体"/>
                <w:bCs/>
                <w:sz w:val="24"/>
                <w:highlight w:val="none"/>
              </w:rPr>
            </w:pPr>
            <w:r>
              <w:rPr>
                <w:rFonts w:hint="eastAsia" w:ascii="宋体" w:hAnsi="宋体" w:eastAsia="宋体"/>
                <w:bCs/>
                <w:sz w:val="24"/>
                <w:highlight w:val="none"/>
              </w:rPr>
              <w:t>术参数及要</w:t>
            </w:r>
          </w:p>
          <w:p w14:paraId="0B0496E9">
            <w:pPr>
              <w:spacing w:line="360" w:lineRule="auto"/>
              <w:jc w:val="center"/>
              <w:rPr>
                <w:rFonts w:ascii="宋体" w:hAnsi="宋体" w:eastAsia="宋体"/>
                <w:bCs/>
                <w:sz w:val="24"/>
                <w:highlight w:val="none"/>
              </w:rPr>
            </w:pPr>
            <w:r>
              <w:rPr>
                <w:rFonts w:hint="eastAsia" w:ascii="宋体" w:hAnsi="宋体" w:eastAsia="宋体"/>
                <w:bCs/>
                <w:sz w:val="24"/>
                <w:highlight w:val="none"/>
              </w:rPr>
              <w:t>求响应情况</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4BCFF5D9">
            <w:pPr>
              <w:widowControl/>
              <w:numPr>
                <w:ilvl w:val="0"/>
                <w:numId w:val="0"/>
              </w:numPr>
              <w:jc w:val="left"/>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lang w:val="en-US" w:eastAsia="zh-CN"/>
              </w:rPr>
              <w:t>1.</w:t>
            </w:r>
            <w:r>
              <w:rPr>
                <w:rFonts w:hint="eastAsia" w:asciiTheme="minorEastAsia" w:hAnsiTheme="minorEastAsia" w:eastAsiaTheme="minorEastAsia"/>
                <w:bCs/>
                <w:sz w:val="24"/>
                <w:highlight w:val="none"/>
              </w:rPr>
              <w:t>根据投标文件与招标文件要求重要参数（标记“</w:t>
            </w: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bCs/>
                <w:sz w:val="24"/>
                <w:highlight w:val="none"/>
              </w:rPr>
              <w:t>”的技术参数）的偏离情况进行评审。</w:t>
            </w:r>
          </w:p>
          <w:p w14:paraId="36D287DC">
            <w:pPr>
              <w:widowControl/>
              <w:numPr>
                <w:ilvl w:val="0"/>
                <w:numId w:val="0"/>
              </w:numPr>
              <w:jc w:val="left"/>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各项性能指标均有技术支持资料且全部满足招标文件要求的得满分；技术支持资料显示不满足招标文件要求的或未提供技术支持资料的，有一项扣</w:t>
            </w:r>
            <w:r>
              <w:rPr>
                <w:rFonts w:hint="eastAsia" w:asciiTheme="minorEastAsia" w:hAnsiTheme="minorEastAsia" w:eastAsiaTheme="minorEastAsia"/>
                <w:bCs/>
                <w:sz w:val="24"/>
                <w:highlight w:val="none"/>
                <w:lang w:val="en-US" w:eastAsia="zh-CN"/>
              </w:rPr>
              <w:t>2</w:t>
            </w:r>
            <w:r>
              <w:rPr>
                <w:rFonts w:hint="eastAsia" w:asciiTheme="minorEastAsia" w:hAnsiTheme="minorEastAsia" w:eastAsiaTheme="minorEastAsia"/>
                <w:bCs/>
                <w:sz w:val="24"/>
                <w:highlight w:val="none"/>
              </w:rPr>
              <w:t>分，共</w:t>
            </w:r>
            <w:r>
              <w:rPr>
                <w:rFonts w:hint="eastAsia" w:asciiTheme="minorEastAsia" w:hAnsiTheme="minorEastAsia" w:eastAsiaTheme="minorEastAsia"/>
                <w:bCs/>
                <w:sz w:val="24"/>
                <w:highlight w:val="none"/>
                <w:lang w:val="en-US" w:eastAsia="zh-CN"/>
              </w:rPr>
              <w:t>11</w:t>
            </w:r>
            <w:r>
              <w:rPr>
                <w:rFonts w:hint="eastAsia" w:asciiTheme="minorEastAsia" w:hAnsiTheme="minorEastAsia" w:eastAsiaTheme="minorEastAsia"/>
                <w:bCs/>
                <w:sz w:val="24"/>
                <w:highlight w:val="none"/>
              </w:rPr>
              <w:t>项，共</w:t>
            </w:r>
            <w:r>
              <w:rPr>
                <w:rFonts w:hint="eastAsia" w:asciiTheme="minorEastAsia" w:hAnsiTheme="minorEastAsia" w:eastAsiaTheme="minorEastAsia"/>
                <w:bCs/>
                <w:sz w:val="24"/>
                <w:highlight w:val="none"/>
                <w:lang w:val="en-US" w:eastAsia="zh-CN"/>
              </w:rPr>
              <w:t>22</w:t>
            </w:r>
            <w:r>
              <w:rPr>
                <w:rFonts w:hint="eastAsia" w:asciiTheme="minorEastAsia" w:hAnsiTheme="minorEastAsia" w:eastAsiaTheme="minorEastAsia"/>
                <w:bCs/>
                <w:sz w:val="24"/>
                <w:highlight w:val="none"/>
              </w:rPr>
              <w:t>分。（同一项参数不重复扣分）。</w:t>
            </w:r>
          </w:p>
          <w:p w14:paraId="74BB8BF5">
            <w:pPr>
              <w:widowControl/>
              <w:jc w:val="left"/>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2.根据投标文件与招标文件要求的一般参数（未标记“</w:t>
            </w: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bCs/>
                <w:sz w:val="24"/>
                <w:highlight w:val="none"/>
              </w:rPr>
              <w:t xml:space="preserve">”的技术参数）偏离情况进行评审。 </w:t>
            </w:r>
          </w:p>
          <w:p w14:paraId="056CC0D2">
            <w:pPr>
              <w:widowControl/>
              <w:jc w:val="left"/>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各项性能指标全部满足招标文件要求的得满分；不满足招标文件要求的（以投标文件投标响应表载明的为准），有一项扣</w:t>
            </w:r>
            <w:r>
              <w:rPr>
                <w:rFonts w:hint="eastAsia" w:asciiTheme="minorEastAsia" w:hAnsiTheme="minorEastAsia" w:eastAsiaTheme="minorEastAsia"/>
                <w:bCs/>
                <w:sz w:val="24"/>
                <w:highlight w:val="none"/>
                <w:lang w:val="en-US" w:eastAsia="zh-CN"/>
              </w:rPr>
              <w:t>0.4</w:t>
            </w:r>
            <w:r>
              <w:rPr>
                <w:rFonts w:hint="eastAsia" w:asciiTheme="minorEastAsia" w:hAnsiTheme="minorEastAsia" w:eastAsiaTheme="minorEastAsia"/>
                <w:bCs/>
                <w:sz w:val="24"/>
                <w:highlight w:val="none"/>
              </w:rPr>
              <w:t>分，共</w:t>
            </w:r>
            <w:r>
              <w:rPr>
                <w:rFonts w:hint="eastAsia" w:asciiTheme="minorEastAsia" w:hAnsiTheme="minorEastAsia" w:eastAsiaTheme="minorEastAsia"/>
                <w:bCs/>
                <w:sz w:val="24"/>
                <w:highlight w:val="none"/>
                <w:lang w:val="en-US" w:eastAsia="zh-CN"/>
              </w:rPr>
              <w:t>36</w:t>
            </w:r>
            <w:r>
              <w:rPr>
                <w:rFonts w:hint="eastAsia" w:asciiTheme="minorEastAsia" w:hAnsiTheme="minorEastAsia" w:eastAsiaTheme="minorEastAsia"/>
                <w:bCs/>
                <w:sz w:val="24"/>
                <w:highlight w:val="none"/>
              </w:rPr>
              <w:t>项，共</w:t>
            </w:r>
            <w:r>
              <w:rPr>
                <w:rFonts w:hint="eastAsia" w:asciiTheme="minorEastAsia" w:hAnsiTheme="minorEastAsia" w:eastAsiaTheme="minorEastAsia"/>
                <w:bCs/>
                <w:sz w:val="24"/>
                <w:highlight w:val="none"/>
                <w:lang w:val="en-US" w:eastAsia="zh-CN"/>
              </w:rPr>
              <w:t>14.4</w:t>
            </w:r>
            <w:r>
              <w:rPr>
                <w:rFonts w:hint="eastAsia" w:asciiTheme="minorEastAsia" w:hAnsiTheme="minorEastAsia" w:eastAsiaTheme="minorEastAsia"/>
                <w:bCs/>
                <w:sz w:val="24"/>
                <w:highlight w:val="none"/>
              </w:rPr>
              <w:t>分。（同一项参数不重复扣分）</w:t>
            </w:r>
          </w:p>
          <w:p w14:paraId="0E192A56">
            <w:pPr>
              <w:widowControl/>
              <w:jc w:val="left"/>
              <w:rPr>
                <w:highlight w:val="none"/>
              </w:rPr>
            </w:pPr>
            <w:r>
              <w:rPr>
                <w:rFonts w:hint="eastAsia" w:asciiTheme="minorEastAsia" w:hAnsiTheme="minorEastAsia" w:eastAsiaTheme="minorEastAsia"/>
                <w:bCs/>
                <w:sz w:val="24"/>
                <w:highlight w:val="none"/>
                <w:lang w:val="en-US" w:eastAsia="zh-CN"/>
              </w:rPr>
              <w:t>3.</w:t>
            </w:r>
            <w:r>
              <w:rPr>
                <w:rFonts w:hint="eastAsia" w:asciiTheme="minorEastAsia" w:hAnsiTheme="minorEastAsia" w:eastAsiaTheme="minorEastAsia"/>
                <w:bCs/>
                <w:sz w:val="24"/>
                <w:highlight w:val="none"/>
              </w:rPr>
              <w:t>重要参数（标记“</w:t>
            </w: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bCs/>
                <w:sz w:val="24"/>
                <w:highlight w:val="none"/>
              </w:rPr>
              <w:t>”的技术参数）</w:t>
            </w:r>
            <w:r>
              <w:rPr>
                <w:rFonts w:hint="eastAsia" w:asciiTheme="minorEastAsia" w:hAnsiTheme="minorEastAsia" w:eastAsiaTheme="minorEastAsia"/>
                <w:b w:val="0"/>
                <w:bCs/>
                <w:sz w:val="24"/>
                <w:highlight w:val="none"/>
                <w:lang w:val="en-US" w:eastAsia="zh-CN"/>
              </w:rPr>
              <w:t>负偏离3项及以上的，第1小项不得分，</w:t>
            </w:r>
            <w:r>
              <w:rPr>
                <w:rFonts w:hint="eastAsia" w:asciiTheme="minorEastAsia" w:hAnsiTheme="minorEastAsia" w:eastAsiaTheme="minorEastAsia"/>
                <w:bCs/>
                <w:sz w:val="24"/>
                <w:highlight w:val="none"/>
              </w:rPr>
              <w:t>一般参数（未标记“</w:t>
            </w: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bCs/>
                <w:sz w:val="24"/>
                <w:highlight w:val="none"/>
              </w:rPr>
              <w:t>”的技术参数）</w:t>
            </w:r>
            <w:r>
              <w:rPr>
                <w:rFonts w:hint="eastAsia" w:asciiTheme="minorEastAsia" w:hAnsiTheme="minorEastAsia" w:eastAsiaTheme="minorEastAsia"/>
                <w:b w:val="0"/>
                <w:bCs/>
                <w:sz w:val="24"/>
                <w:highlight w:val="none"/>
                <w:lang w:val="en-US" w:eastAsia="zh-CN"/>
              </w:rPr>
              <w:t>负偏离10项及以上的，第2小项不得分。全部参数负偏离13项及以上的，此项技术参数及要求响应情况不得分。</w:t>
            </w:r>
          </w:p>
          <w:p w14:paraId="2B02D24A">
            <w:pPr>
              <w:widowControl/>
              <w:jc w:val="left"/>
              <w:rPr>
                <w:rFonts w:ascii="宋体" w:hAnsi="宋体" w:eastAsia="宋体"/>
                <w:bCs/>
                <w:sz w:val="24"/>
                <w:highlight w:val="none"/>
              </w:rPr>
            </w:pPr>
            <w:r>
              <w:rPr>
                <w:rFonts w:hint="eastAsia" w:asciiTheme="minorEastAsia" w:hAnsiTheme="minorEastAsia" w:eastAsiaTheme="minorEastAsia"/>
                <w:b/>
                <w:sz w:val="24"/>
                <w:highlight w:val="none"/>
              </w:rPr>
              <w:t>注：以技术规格偏离表和要求提供的证明资料为准。未标注</w:t>
            </w:r>
            <w:r>
              <w:rPr>
                <w:rFonts w:hint="eastAsia" w:ascii="宋体" w:hAnsi="宋体" w:eastAsia="宋体" w:cs="宋体"/>
                <w:color w:val="000000"/>
                <w:kern w:val="0"/>
                <w:sz w:val="24"/>
                <w:szCs w:val="24"/>
                <w:highlight w:val="none"/>
                <w:lang w:bidi="ar"/>
              </w:rPr>
              <w:t>“</w:t>
            </w:r>
            <w:r>
              <w:rPr>
                <w:rFonts w:hint="eastAsia" w:ascii="宋体" w:hAnsi="宋体" w:eastAsia="宋体" w:cs="宋体"/>
                <w:bCs/>
                <w:color w:val="000000"/>
                <w:kern w:val="0"/>
                <w:sz w:val="24"/>
                <w:szCs w:val="24"/>
                <w:highlight w:val="none"/>
              </w:rPr>
              <w:t>▲</w:t>
            </w:r>
            <w:r>
              <w:rPr>
                <w:rFonts w:hint="eastAsia" w:ascii="宋体" w:hAnsi="宋体" w:eastAsia="宋体" w:cs="宋体"/>
                <w:color w:val="000000"/>
                <w:kern w:val="0"/>
                <w:sz w:val="24"/>
                <w:szCs w:val="24"/>
                <w:highlight w:val="none"/>
                <w:lang w:bidi="ar"/>
              </w:rPr>
              <w:t>”</w:t>
            </w:r>
            <w:r>
              <w:rPr>
                <w:rFonts w:hint="eastAsia" w:asciiTheme="minorEastAsia" w:hAnsiTheme="minorEastAsia" w:eastAsiaTheme="minorEastAsia"/>
                <w:b/>
                <w:sz w:val="24"/>
                <w:highlight w:val="none"/>
              </w:rPr>
              <w:t>的技术参数响应情况以技术规格偏离表中的响应情况为准；标注</w:t>
            </w:r>
            <w:r>
              <w:rPr>
                <w:rFonts w:hint="eastAsia" w:ascii="宋体" w:hAnsi="宋体" w:eastAsia="宋体" w:cs="宋体"/>
                <w:color w:val="000000"/>
                <w:kern w:val="0"/>
                <w:sz w:val="24"/>
                <w:szCs w:val="24"/>
                <w:highlight w:val="none"/>
                <w:lang w:bidi="ar"/>
              </w:rPr>
              <w:t>“</w:t>
            </w:r>
            <w:r>
              <w:rPr>
                <w:rFonts w:hint="eastAsia" w:ascii="宋体" w:hAnsi="宋体" w:eastAsia="宋体" w:cs="宋体"/>
                <w:bCs/>
                <w:color w:val="000000"/>
                <w:kern w:val="0"/>
                <w:sz w:val="24"/>
                <w:szCs w:val="24"/>
                <w:highlight w:val="none"/>
              </w:rPr>
              <w:t>▲</w:t>
            </w:r>
            <w:r>
              <w:rPr>
                <w:rFonts w:hint="eastAsia" w:ascii="宋体" w:hAnsi="宋体" w:eastAsia="宋体" w:cs="宋体"/>
                <w:color w:val="000000"/>
                <w:kern w:val="0"/>
                <w:sz w:val="24"/>
                <w:szCs w:val="24"/>
                <w:highlight w:val="none"/>
                <w:lang w:bidi="ar"/>
              </w:rPr>
              <w:t>”</w:t>
            </w:r>
            <w:r>
              <w:rPr>
                <w:rFonts w:hint="eastAsia" w:asciiTheme="minorEastAsia" w:hAnsiTheme="minorEastAsia" w:eastAsiaTheme="minorEastAsia"/>
                <w:b/>
                <w:sz w:val="24"/>
                <w:highlight w:val="none"/>
              </w:rPr>
              <w:t>的条款，须提供相关证明材料，如招标文件中明确要求证明材料类型，则以招标文件明确要求的材料为准，如未明确证明材料的类型，则以技术支持资料作为评审依据，技术支持资料包括：医疗器械注册证、具有“CMA”标识且在有效期内的检测或检验报告扫描件或者由放射卫生技术服务机构出具的且在有效期内的检测或检验报告并提供卫健委官网查询截图、技术彩页、技术白皮书、官网截图等，提供其中之一即可。</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55E8E1F3">
            <w:pPr>
              <w:spacing w:line="360" w:lineRule="auto"/>
              <w:jc w:val="center"/>
              <w:rPr>
                <w:rFonts w:ascii="宋体" w:hAnsi="宋体" w:eastAsia="宋体"/>
                <w:b/>
                <w:bCs/>
                <w:sz w:val="24"/>
                <w:highlight w:val="none"/>
              </w:rPr>
            </w:pPr>
            <w:r>
              <w:rPr>
                <w:rFonts w:hint="eastAsia" w:ascii="宋体" w:hAnsi="宋体" w:eastAsia="宋体"/>
                <w:bCs/>
                <w:sz w:val="24"/>
                <w:highlight w:val="none"/>
              </w:rPr>
              <w:t>0-</w:t>
            </w:r>
            <w:r>
              <w:rPr>
                <w:rFonts w:hint="eastAsia" w:ascii="宋体" w:hAnsi="宋体" w:eastAsia="宋体"/>
                <w:bCs/>
                <w:sz w:val="24"/>
                <w:highlight w:val="none"/>
                <w:lang w:val="en-US" w:eastAsia="zh-CN"/>
              </w:rPr>
              <w:t>36.4</w:t>
            </w:r>
            <w:r>
              <w:rPr>
                <w:rFonts w:hint="eastAsia" w:ascii="宋体" w:hAnsi="宋体" w:eastAsia="宋体"/>
                <w:bCs/>
                <w:sz w:val="24"/>
                <w:highlight w:val="none"/>
              </w:rPr>
              <w:t>分</w:t>
            </w:r>
          </w:p>
        </w:tc>
      </w:tr>
      <w:tr w14:paraId="1B0E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tcBorders>
              <w:left w:val="single" w:color="auto" w:sz="4" w:space="0"/>
              <w:right w:val="single" w:color="auto" w:sz="4" w:space="0"/>
            </w:tcBorders>
            <w:noWrap w:val="0"/>
            <w:vAlign w:val="center"/>
          </w:tcPr>
          <w:p w14:paraId="21C774C0">
            <w:pPr>
              <w:spacing w:line="360" w:lineRule="auto"/>
              <w:ind w:firstLine="435"/>
              <w:jc w:val="center"/>
              <w:rPr>
                <w:rFonts w:ascii="宋体" w:hAnsi="宋体" w:eastAsia="宋体"/>
                <w:b/>
                <w:bCs/>
                <w:sz w:val="24"/>
                <w:highlight w:val="none"/>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14:paraId="71FD5952">
            <w:pPr>
              <w:spacing w:line="360" w:lineRule="auto"/>
              <w:jc w:val="center"/>
              <w:rPr>
                <w:rFonts w:ascii="宋体" w:hAnsi="宋体" w:eastAsia="宋体"/>
                <w:sz w:val="24"/>
                <w:highlight w:val="none"/>
              </w:rPr>
            </w:pPr>
            <w:r>
              <w:rPr>
                <w:rFonts w:hint="eastAsia" w:ascii="宋体" w:hAnsi="宋体" w:eastAsia="宋体"/>
                <w:sz w:val="24"/>
                <w:highlight w:val="none"/>
              </w:rPr>
              <w:t>产品业绩</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7FC6D992">
            <w:pPr>
              <w:jc w:val="left"/>
              <w:rPr>
                <w:rFonts w:ascii="宋体" w:hAnsi="宋体" w:eastAsia="宋体"/>
                <w:sz w:val="24"/>
                <w:highlight w:val="none"/>
              </w:rPr>
            </w:pPr>
            <w:r>
              <w:rPr>
                <w:rFonts w:hint="eastAsia" w:ascii="宋体" w:hAnsi="宋体" w:eastAsia="宋体"/>
                <w:sz w:val="24"/>
                <w:highlight w:val="none"/>
              </w:rPr>
              <w:t>202</w:t>
            </w:r>
            <w:r>
              <w:rPr>
                <w:rFonts w:hint="eastAsia" w:ascii="宋体" w:hAnsi="宋体" w:eastAsia="宋体"/>
                <w:sz w:val="24"/>
                <w:highlight w:val="none"/>
                <w:lang w:val="en-US" w:eastAsia="zh-CN"/>
              </w:rPr>
              <w:t>2</w:t>
            </w:r>
            <w:r>
              <w:rPr>
                <w:rFonts w:hint="eastAsia" w:ascii="宋体" w:hAnsi="宋体" w:eastAsia="宋体"/>
                <w:sz w:val="24"/>
                <w:highlight w:val="none"/>
              </w:rPr>
              <w:t>年01月01日至今（以合同签订时间为准），具有所投</w:t>
            </w:r>
            <w:r>
              <w:rPr>
                <w:rFonts w:hint="eastAsia" w:ascii="宋体" w:hAnsi="宋体" w:eastAsia="宋体"/>
                <w:sz w:val="24"/>
                <w:highlight w:val="none"/>
                <w:lang w:eastAsia="zh-CN"/>
              </w:rPr>
              <w:t>设备</w:t>
            </w:r>
            <w:r>
              <w:rPr>
                <w:rFonts w:hint="eastAsia" w:ascii="宋体" w:hAnsi="宋体" w:eastAsia="宋体"/>
                <w:sz w:val="24"/>
                <w:highlight w:val="none"/>
              </w:rPr>
              <w:t>产品（</w:t>
            </w:r>
            <w:r>
              <w:rPr>
                <w:rFonts w:hint="eastAsia" w:ascii="宋体" w:hAnsi="宋体" w:eastAsia="宋体"/>
                <w:b/>
                <w:bCs/>
                <w:sz w:val="24"/>
                <w:highlight w:val="none"/>
              </w:rPr>
              <w:t>同品牌同型号</w:t>
            </w:r>
            <w:r>
              <w:rPr>
                <w:rFonts w:hint="eastAsia" w:ascii="宋体" w:hAnsi="宋体" w:eastAsia="宋体"/>
                <w:b/>
                <w:bCs/>
                <w:sz w:val="24"/>
                <w:highlight w:val="none"/>
                <w:lang w:eastAsia="zh-CN"/>
              </w:rPr>
              <w:t>，</w:t>
            </w:r>
            <w:r>
              <w:rPr>
                <w:rFonts w:hint="eastAsia" w:ascii="宋体" w:hAnsi="宋体" w:eastAsia="宋体"/>
                <w:b/>
                <w:bCs/>
                <w:sz w:val="24"/>
                <w:highlight w:val="none"/>
                <w:lang w:val="en-US" w:eastAsia="zh-CN"/>
              </w:rPr>
              <w:t>至少包括</w:t>
            </w:r>
            <w:r>
              <w:rPr>
                <w:rFonts w:hint="eastAsia" w:asciiTheme="minorEastAsia" w:hAnsiTheme="minorEastAsia" w:eastAsiaTheme="minorEastAsia"/>
                <w:b/>
                <w:bCs/>
                <w:sz w:val="24"/>
                <w:highlight w:val="none"/>
                <w:lang w:val="en-US" w:eastAsia="zh-CN"/>
              </w:rPr>
              <w:t>便携彩超机主机</w:t>
            </w:r>
            <w:r>
              <w:rPr>
                <w:rFonts w:hint="eastAsia" w:ascii="宋体" w:hAnsi="宋体" w:eastAsia="宋体"/>
                <w:sz w:val="24"/>
                <w:highlight w:val="none"/>
              </w:rPr>
              <w:t>）的供货业绩，每提供一个业绩得</w:t>
            </w:r>
            <w:r>
              <w:rPr>
                <w:rFonts w:hint="eastAsia" w:ascii="宋体" w:hAnsi="宋体" w:eastAsia="宋体"/>
                <w:sz w:val="24"/>
                <w:highlight w:val="none"/>
                <w:lang w:val="en-US" w:eastAsia="zh-CN"/>
              </w:rPr>
              <w:t>1</w:t>
            </w:r>
            <w:r>
              <w:rPr>
                <w:rFonts w:hint="eastAsia" w:ascii="宋体" w:hAnsi="宋体" w:eastAsia="宋体"/>
                <w:sz w:val="24"/>
                <w:highlight w:val="none"/>
              </w:rPr>
              <w:t>分，满分</w:t>
            </w:r>
            <w:r>
              <w:rPr>
                <w:rFonts w:hint="eastAsia" w:ascii="宋体" w:hAnsi="宋体" w:eastAsia="宋体"/>
                <w:sz w:val="24"/>
                <w:highlight w:val="none"/>
                <w:lang w:val="en-US" w:eastAsia="zh-CN"/>
              </w:rPr>
              <w:t>2</w:t>
            </w:r>
            <w:r>
              <w:rPr>
                <w:rFonts w:hint="eastAsia" w:ascii="宋体" w:hAnsi="宋体" w:eastAsia="宋体"/>
                <w:sz w:val="24"/>
                <w:highlight w:val="none"/>
              </w:rPr>
              <w:t>分。</w:t>
            </w:r>
          </w:p>
          <w:p w14:paraId="3467F45E">
            <w:pPr>
              <w:jc w:val="left"/>
              <w:rPr>
                <w:rFonts w:ascii="宋体" w:hAnsi="宋体" w:eastAsia="宋体"/>
                <w:sz w:val="24"/>
                <w:highlight w:val="none"/>
              </w:rPr>
            </w:pPr>
            <w:r>
              <w:rPr>
                <w:rFonts w:hint="eastAsia" w:ascii="宋体" w:hAnsi="宋体" w:eastAsia="宋体"/>
                <w:b/>
                <w:bCs/>
                <w:sz w:val="24"/>
                <w:highlight w:val="none"/>
              </w:rPr>
              <w:t>注：投标文件中提供合同扫描件。如合同材料中无法体现合同签订时间等评审因素的，须同时提供业主单位加盖公章证明材料扫描件，否则不得分；特别说明：此处业绩系指所投产品业绩，业绩合同中产品须与所投产品品牌型号一致。</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512C6445">
            <w:pPr>
              <w:spacing w:line="360" w:lineRule="auto"/>
              <w:jc w:val="center"/>
              <w:rPr>
                <w:rFonts w:ascii="宋体" w:hAnsi="宋体" w:eastAsia="宋体"/>
                <w:b/>
                <w:bCs/>
                <w:sz w:val="24"/>
                <w:highlight w:val="none"/>
              </w:rPr>
            </w:pPr>
            <w:r>
              <w:rPr>
                <w:rFonts w:hint="eastAsia" w:ascii="宋体" w:hAnsi="宋体" w:eastAsia="宋体"/>
                <w:bCs/>
                <w:sz w:val="24"/>
                <w:highlight w:val="none"/>
              </w:rPr>
              <w:t>0-</w:t>
            </w:r>
            <w:r>
              <w:rPr>
                <w:rFonts w:hint="eastAsia" w:ascii="宋体" w:hAnsi="宋体" w:eastAsia="宋体"/>
                <w:bCs/>
                <w:sz w:val="24"/>
                <w:highlight w:val="none"/>
                <w:lang w:val="en-US" w:eastAsia="zh-CN"/>
              </w:rPr>
              <w:t>2</w:t>
            </w:r>
            <w:r>
              <w:rPr>
                <w:rFonts w:hint="eastAsia" w:ascii="宋体" w:hAnsi="宋体" w:eastAsia="宋体"/>
                <w:bCs/>
                <w:sz w:val="24"/>
                <w:highlight w:val="none"/>
              </w:rPr>
              <w:t>分</w:t>
            </w:r>
          </w:p>
        </w:tc>
      </w:tr>
      <w:tr w14:paraId="05543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tcBorders>
              <w:left w:val="single" w:color="auto" w:sz="4" w:space="0"/>
              <w:right w:val="single" w:color="auto" w:sz="4" w:space="0"/>
            </w:tcBorders>
            <w:noWrap w:val="0"/>
            <w:vAlign w:val="center"/>
          </w:tcPr>
          <w:p w14:paraId="2F8047B4">
            <w:pPr>
              <w:spacing w:line="360" w:lineRule="auto"/>
              <w:ind w:firstLine="435"/>
              <w:jc w:val="center"/>
              <w:rPr>
                <w:rFonts w:ascii="宋体" w:hAnsi="宋体" w:eastAsia="宋体"/>
                <w:b/>
                <w:bCs/>
                <w:sz w:val="24"/>
                <w:highlight w:val="none"/>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14:paraId="52ADB805">
            <w:pPr>
              <w:spacing w:line="360" w:lineRule="auto"/>
              <w:jc w:val="center"/>
              <w:rPr>
                <w:rFonts w:ascii="宋体" w:hAnsi="宋体" w:eastAsia="宋体"/>
                <w:sz w:val="24"/>
                <w:highlight w:val="none"/>
              </w:rPr>
            </w:pPr>
            <w:r>
              <w:rPr>
                <w:rFonts w:hint="eastAsia" w:ascii="宋体" w:hAnsi="宋体" w:eastAsia="宋体"/>
                <w:sz w:val="24"/>
                <w:highlight w:val="none"/>
              </w:rPr>
              <w:t>免费质保期</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0A69F8BB">
            <w:pPr>
              <w:jc w:val="left"/>
              <w:rPr>
                <w:rFonts w:ascii="宋体" w:hAnsi="宋体" w:eastAsia="宋体"/>
                <w:sz w:val="24"/>
                <w:highlight w:val="none"/>
              </w:rPr>
            </w:pPr>
            <w:r>
              <w:rPr>
                <w:rFonts w:hint="eastAsia" w:ascii="宋体" w:hAnsi="宋体" w:eastAsia="宋体"/>
                <w:sz w:val="24"/>
                <w:highlight w:val="none"/>
              </w:rPr>
              <w:t>投标人在满足招标文件要求的免费质保期（</w:t>
            </w:r>
            <w:r>
              <w:rPr>
                <w:rFonts w:hint="eastAsia" w:ascii="宋体" w:hAnsi="宋体" w:eastAsia="宋体"/>
                <w:b/>
                <w:bCs/>
                <w:sz w:val="24"/>
                <w:highlight w:val="none"/>
              </w:rPr>
              <w:t>5年</w:t>
            </w:r>
            <w:r>
              <w:rPr>
                <w:rFonts w:hint="eastAsia" w:ascii="宋体" w:hAnsi="宋体" w:eastAsia="宋体"/>
                <w:b/>
                <w:bCs/>
                <w:sz w:val="24"/>
                <w:highlight w:val="none"/>
                <w:lang w:eastAsia="zh-CN"/>
              </w:rPr>
              <w:t>整机</w:t>
            </w:r>
            <w:r>
              <w:rPr>
                <w:rFonts w:hint="eastAsia" w:ascii="宋体" w:hAnsi="宋体" w:eastAsia="宋体"/>
                <w:b/>
                <w:bCs/>
                <w:sz w:val="24"/>
                <w:highlight w:val="none"/>
              </w:rPr>
              <w:t>原厂质保</w:t>
            </w:r>
            <w:r>
              <w:rPr>
                <w:rFonts w:hint="eastAsia" w:ascii="宋体" w:hAnsi="宋体" w:eastAsia="宋体"/>
                <w:sz w:val="24"/>
                <w:highlight w:val="none"/>
              </w:rPr>
              <w:t>）的基础上，免费质保期每增加1年整机</w:t>
            </w:r>
            <w:r>
              <w:rPr>
                <w:rFonts w:hint="eastAsia" w:ascii="宋体" w:hAnsi="宋体" w:eastAsia="宋体"/>
                <w:b w:val="0"/>
                <w:bCs w:val="0"/>
                <w:sz w:val="24"/>
                <w:highlight w:val="none"/>
              </w:rPr>
              <w:t>原厂质保</w:t>
            </w:r>
            <w:r>
              <w:rPr>
                <w:rFonts w:hint="eastAsia" w:ascii="宋体" w:hAnsi="宋体" w:eastAsia="宋体"/>
                <w:sz w:val="24"/>
                <w:highlight w:val="none"/>
              </w:rPr>
              <w:t>的，加</w:t>
            </w:r>
            <w:r>
              <w:rPr>
                <w:rFonts w:hint="eastAsia" w:ascii="宋体" w:hAnsi="宋体" w:eastAsia="宋体"/>
                <w:sz w:val="24"/>
                <w:highlight w:val="none"/>
                <w:lang w:val="en-US" w:eastAsia="zh-CN"/>
              </w:rPr>
              <w:t>2.8</w:t>
            </w:r>
            <w:r>
              <w:rPr>
                <w:rFonts w:hint="eastAsia" w:ascii="宋体" w:hAnsi="宋体" w:eastAsia="宋体"/>
                <w:sz w:val="24"/>
                <w:highlight w:val="none"/>
              </w:rPr>
              <w:t>分，最高加</w:t>
            </w:r>
            <w:r>
              <w:rPr>
                <w:rFonts w:hint="eastAsia" w:ascii="宋体" w:hAnsi="宋体" w:eastAsia="宋体"/>
                <w:sz w:val="24"/>
                <w:highlight w:val="none"/>
                <w:lang w:val="en-US" w:eastAsia="zh-CN"/>
              </w:rPr>
              <w:t>5.6</w:t>
            </w:r>
            <w:r>
              <w:rPr>
                <w:rFonts w:hint="eastAsia" w:ascii="宋体" w:hAnsi="宋体" w:eastAsia="宋体"/>
                <w:sz w:val="24"/>
                <w:highlight w:val="none"/>
              </w:rPr>
              <w:t>分（增加不足1年的不加分）。</w:t>
            </w:r>
          </w:p>
          <w:p w14:paraId="441AA0F5">
            <w:pPr>
              <w:jc w:val="left"/>
              <w:rPr>
                <w:rFonts w:ascii="宋体" w:hAnsi="宋体" w:eastAsia="宋体"/>
                <w:sz w:val="24"/>
                <w:highlight w:val="none"/>
              </w:rPr>
            </w:pPr>
            <w:r>
              <w:rPr>
                <w:rFonts w:hint="eastAsia" w:ascii="宋体" w:hAnsi="宋体" w:eastAsia="宋体"/>
                <w:b/>
                <w:bCs/>
                <w:sz w:val="24"/>
                <w:highlight w:val="none"/>
              </w:rPr>
              <w:t>注：以《商务响应表》中填写的质保期作为评审依据。</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3718DA1E">
            <w:pPr>
              <w:spacing w:line="360" w:lineRule="auto"/>
              <w:jc w:val="center"/>
              <w:rPr>
                <w:rFonts w:ascii="宋体" w:hAnsi="宋体" w:eastAsia="宋体"/>
                <w:b/>
                <w:bCs/>
                <w:sz w:val="24"/>
                <w:highlight w:val="none"/>
              </w:rPr>
            </w:pPr>
            <w:r>
              <w:rPr>
                <w:rFonts w:hint="eastAsia" w:ascii="宋体" w:hAnsi="宋体" w:eastAsia="宋体"/>
                <w:bCs/>
                <w:sz w:val="24"/>
                <w:highlight w:val="none"/>
              </w:rPr>
              <w:t>0-</w:t>
            </w:r>
            <w:r>
              <w:rPr>
                <w:rFonts w:hint="eastAsia" w:ascii="宋体" w:hAnsi="宋体" w:eastAsia="宋体"/>
                <w:bCs/>
                <w:sz w:val="24"/>
                <w:highlight w:val="none"/>
                <w:lang w:val="en-US" w:eastAsia="zh-CN"/>
              </w:rPr>
              <w:t>5.6</w:t>
            </w:r>
            <w:r>
              <w:rPr>
                <w:rFonts w:hint="eastAsia" w:ascii="宋体" w:hAnsi="宋体" w:eastAsia="宋体"/>
                <w:bCs/>
                <w:sz w:val="24"/>
                <w:highlight w:val="none"/>
              </w:rPr>
              <w:t>分</w:t>
            </w:r>
          </w:p>
        </w:tc>
      </w:tr>
      <w:tr w14:paraId="4C272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tcBorders>
              <w:left w:val="single" w:color="auto" w:sz="4" w:space="0"/>
              <w:right w:val="single" w:color="auto" w:sz="4" w:space="0"/>
            </w:tcBorders>
            <w:noWrap w:val="0"/>
            <w:vAlign w:val="center"/>
          </w:tcPr>
          <w:p w14:paraId="39CAE916">
            <w:pPr>
              <w:spacing w:line="360" w:lineRule="auto"/>
              <w:ind w:firstLine="435"/>
              <w:jc w:val="center"/>
              <w:rPr>
                <w:rFonts w:ascii="宋体" w:hAnsi="宋体" w:eastAsia="宋体"/>
                <w:b/>
                <w:bCs/>
                <w:sz w:val="24"/>
                <w:highlight w:val="none"/>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14:paraId="22C62843">
            <w:pPr>
              <w:spacing w:line="360" w:lineRule="auto"/>
              <w:jc w:val="center"/>
              <w:rPr>
                <w:rFonts w:ascii="宋体" w:hAnsi="宋体" w:eastAsia="宋体"/>
                <w:sz w:val="24"/>
                <w:highlight w:val="none"/>
              </w:rPr>
            </w:pPr>
            <w:r>
              <w:rPr>
                <w:rFonts w:hint="eastAsia" w:ascii="宋体" w:hAnsi="宋体" w:eastAsia="宋体"/>
                <w:sz w:val="24"/>
                <w:highlight w:val="none"/>
              </w:rPr>
              <w:t>产品技术先</w:t>
            </w:r>
          </w:p>
          <w:p w14:paraId="0657E8F6">
            <w:pPr>
              <w:spacing w:line="360" w:lineRule="auto"/>
              <w:jc w:val="center"/>
              <w:rPr>
                <w:rFonts w:ascii="宋体" w:hAnsi="宋体" w:eastAsia="宋体"/>
                <w:sz w:val="24"/>
                <w:highlight w:val="none"/>
              </w:rPr>
            </w:pPr>
            <w:r>
              <w:rPr>
                <w:rFonts w:hint="eastAsia" w:ascii="宋体" w:hAnsi="宋体" w:eastAsia="宋体"/>
                <w:sz w:val="24"/>
                <w:highlight w:val="none"/>
              </w:rPr>
              <w:t>进性及维修</w:t>
            </w:r>
          </w:p>
          <w:p w14:paraId="27EA2A20">
            <w:pPr>
              <w:spacing w:line="360" w:lineRule="auto"/>
              <w:jc w:val="center"/>
              <w:rPr>
                <w:rFonts w:ascii="宋体" w:hAnsi="宋体" w:eastAsia="宋体"/>
                <w:sz w:val="24"/>
                <w:highlight w:val="none"/>
              </w:rPr>
            </w:pPr>
            <w:r>
              <w:rPr>
                <w:rFonts w:hint="eastAsia" w:ascii="宋体" w:hAnsi="宋体" w:eastAsia="宋体"/>
                <w:sz w:val="24"/>
                <w:highlight w:val="none"/>
              </w:rPr>
              <w:t>便利性等</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1CF06940">
            <w:pPr>
              <w:widowControl/>
              <w:jc w:val="left"/>
              <w:rPr>
                <w:highlight w:val="none"/>
              </w:rPr>
            </w:pPr>
            <w:r>
              <w:rPr>
                <w:rFonts w:hint="eastAsia" w:ascii="宋体" w:hAnsi="宋体" w:eastAsia="宋体" w:cs="宋体"/>
                <w:color w:val="000000"/>
                <w:kern w:val="0"/>
                <w:sz w:val="24"/>
                <w:szCs w:val="24"/>
                <w:highlight w:val="none"/>
                <w:lang w:bidi="ar"/>
              </w:rPr>
              <w:t xml:space="preserve">根据投标人所投产品的技术先进性、设备性能、维修便利性、故障率、安全性等方面进行综合评审： </w:t>
            </w:r>
          </w:p>
          <w:p w14:paraId="5305335B">
            <w:pPr>
              <w:widowControl/>
              <w:jc w:val="left"/>
              <w:rPr>
                <w:highlight w:val="none"/>
              </w:rPr>
            </w:pPr>
            <w:r>
              <w:rPr>
                <w:rFonts w:hint="eastAsia" w:ascii="宋体" w:hAnsi="宋体" w:eastAsia="宋体" w:cs="宋体"/>
                <w:color w:val="000000"/>
                <w:kern w:val="0"/>
                <w:sz w:val="24"/>
                <w:szCs w:val="24"/>
                <w:highlight w:val="none"/>
                <w:lang w:bidi="ar"/>
              </w:rPr>
              <w:t>1、所投产品技术先进优越、性能稳定的得</w:t>
            </w: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bidi="ar"/>
              </w:rPr>
              <w:t>分；所投产品技术较先进，运行稳定的得</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分；所投产品基本满足要求符合标准的得</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bidi="ar"/>
              </w:rPr>
              <w:t xml:space="preserve">分。 </w:t>
            </w:r>
          </w:p>
          <w:p w14:paraId="600428C0">
            <w:pPr>
              <w:widowControl/>
              <w:jc w:val="left"/>
              <w:rPr>
                <w:highlight w:val="none"/>
              </w:rPr>
            </w:pPr>
            <w:r>
              <w:rPr>
                <w:rFonts w:hint="eastAsia" w:ascii="宋体" w:hAnsi="宋体" w:eastAsia="宋体" w:cs="宋体"/>
                <w:color w:val="000000"/>
                <w:kern w:val="0"/>
                <w:sz w:val="24"/>
                <w:szCs w:val="24"/>
                <w:highlight w:val="none"/>
                <w:lang w:bidi="ar"/>
              </w:rPr>
              <w:t xml:space="preserve">2、所投产品维修便利，故障率低、安全性高的得 </w:t>
            </w: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bidi="ar"/>
              </w:rPr>
              <w:t>分；所投产品维修较便利，故障率较低的得</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分；所投产品维修便利性有待提高的得</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bidi="ar"/>
              </w:rPr>
              <w:t xml:space="preserve">分。 </w:t>
            </w:r>
          </w:p>
          <w:p w14:paraId="023BE8AC">
            <w:pPr>
              <w:widowControl/>
              <w:jc w:val="left"/>
              <w:rPr>
                <w:rFonts w:ascii="宋体" w:hAnsi="宋体" w:eastAsia="宋体"/>
                <w:sz w:val="24"/>
                <w:highlight w:val="none"/>
              </w:rPr>
            </w:pPr>
            <w:r>
              <w:rPr>
                <w:rFonts w:hint="eastAsia" w:ascii="宋体" w:hAnsi="宋体" w:eastAsia="宋体" w:cs="宋体"/>
                <w:b/>
                <w:bCs/>
                <w:color w:val="000000"/>
                <w:kern w:val="0"/>
                <w:sz w:val="24"/>
                <w:szCs w:val="24"/>
                <w:highlight w:val="none"/>
                <w:lang w:bidi="ar"/>
              </w:rPr>
              <w:t>注：投标文件中提供证明材料，证明材料无固定形式，如产品技术说明，故障率、维修使用等说明，未提供任何材料的不得分。</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20BAF7BF">
            <w:pPr>
              <w:spacing w:line="360" w:lineRule="auto"/>
              <w:jc w:val="center"/>
              <w:rPr>
                <w:rFonts w:ascii="宋体" w:hAnsi="宋体" w:eastAsia="宋体"/>
                <w:b/>
                <w:bCs/>
                <w:sz w:val="24"/>
                <w:highlight w:val="none"/>
              </w:rPr>
            </w:pPr>
            <w:r>
              <w:rPr>
                <w:rFonts w:hint="eastAsia" w:ascii="宋体" w:hAnsi="宋体" w:eastAsia="宋体"/>
                <w:bCs/>
                <w:sz w:val="24"/>
                <w:highlight w:val="none"/>
              </w:rPr>
              <w:t>0-</w:t>
            </w:r>
            <w:r>
              <w:rPr>
                <w:rFonts w:hint="eastAsia" w:ascii="宋体" w:hAnsi="宋体" w:eastAsia="宋体"/>
                <w:bCs/>
                <w:sz w:val="24"/>
                <w:highlight w:val="none"/>
                <w:lang w:val="en-US" w:eastAsia="zh-CN"/>
              </w:rPr>
              <w:t>6</w:t>
            </w:r>
            <w:r>
              <w:rPr>
                <w:rFonts w:hint="eastAsia" w:ascii="宋体" w:hAnsi="宋体" w:eastAsia="宋体"/>
                <w:bCs/>
                <w:sz w:val="24"/>
                <w:highlight w:val="none"/>
              </w:rPr>
              <w:t>分</w:t>
            </w:r>
          </w:p>
        </w:tc>
      </w:tr>
      <w:tr w14:paraId="07D8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tcBorders>
              <w:left w:val="single" w:color="auto" w:sz="4" w:space="0"/>
              <w:right w:val="single" w:color="auto" w:sz="4" w:space="0"/>
            </w:tcBorders>
            <w:noWrap w:val="0"/>
            <w:vAlign w:val="center"/>
          </w:tcPr>
          <w:p w14:paraId="577BD75D">
            <w:pPr>
              <w:spacing w:line="360" w:lineRule="auto"/>
              <w:ind w:firstLine="435"/>
              <w:jc w:val="center"/>
              <w:rPr>
                <w:rFonts w:ascii="宋体" w:hAnsi="宋体" w:eastAsia="宋体"/>
                <w:b/>
                <w:bCs/>
                <w:sz w:val="24"/>
                <w:highlight w:val="none"/>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14:paraId="112CCF22">
            <w:pPr>
              <w:spacing w:line="360" w:lineRule="auto"/>
              <w:jc w:val="center"/>
              <w:rPr>
                <w:rFonts w:ascii="宋体" w:hAnsi="宋体" w:eastAsia="宋体"/>
                <w:sz w:val="24"/>
                <w:highlight w:val="none"/>
              </w:rPr>
            </w:pPr>
            <w:r>
              <w:rPr>
                <w:rFonts w:hint="eastAsia" w:ascii="宋体" w:hAnsi="宋体" w:eastAsia="宋体"/>
                <w:sz w:val="24"/>
                <w:highlight w:val="none"/>
              </w:rPr>
              <w:t>供货安装及调试方案</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2EB13A1E">
            <w:pPr>
              <w:rPr>
                <w:rFonts w:ascii="宋体" w:hAnsi="宋体" w:eastAsia="宋体"/>
                <w:sz w:val="24"/>
                <w:highlight w:val="none"/>
              </w:rPr>
            </w:pPr>
            <w:r>
              <w:rPr>
                <w:rFonts w:hint="eastAsia" w:ascii="宋体" w:hAnsi="宋体" w:eastAsia="宋体"/>
                <w:sz w:val="24"/>
                <w:highlight w:val="none"/>
              </w:rPr>
              <w:t>评标委员会根据投标人提供的供货安装及调试方案进行评分，内容包括但不限于供货安装计划、调试流程、安全措施等方面。</w:t>
            </w:r>
          </w:p>
          <w:p w14:paraId="46ECD07F">
            <w:pPr>
              <w:rPr>
                <w:rFonts w:ascii="宋体" w:hAnsi="宋体" w:eastAsia="宋体"/>
                <w:sz w:val="24"/>
                <w:highlight w:val="none"/>
              </w:rPr>
            </w:pPr>
            <w:r>
              <w:rPr>
                <w:rFonts w:hint="eastAsia" w:ascii="宋体" w:hAnsi="宋体" w:eastAsia="宋体"/>
                <w:sz w:val="24"/>
                <w:highlight w:val="none"/>
                <w:lang w:val="en-US" w:eastAsia="zh-CN"/>
              </w:rPr>
              <w:t>1、</w:t>
            </w:r>
            <w:r>
              <w:rPr>
                <w:rFonts w:hint="eastAsia" w:ascii="宋体" w:hAnsi="宋体" w:eastAsia="宋体"/>
                <w:sz w:val="24"/>
                <w:highlight w:val="none"/>
              </w:rPr>
              <w:t xml:space="preserve">方案内容完整详细，满足项目需求，可行性、实用性、针对性强，得 </w:t>
            </w:r>
            <w:r>
              <w:rPr>
                <w:rFonts w:hint="eastAsia" w:ascii="宋体" w:hAnsi="宋体" w:eastAsia="宋体"/>
                <w:sz w:val="24"/>
                <w:highlight w:val="none"/>
                <w:lang w:val="en-US" w:eastAsia="zh-CN"/>
              </w:rPr>
              <w:t>5</w:t>
            </w:r>
            <w:r>
              <w:rPr>
                <w:rFonts w:hint="eastAsia" w:ascii="宋体" w:hAnsi="宋体" w:eastAsia="宋体"/>
                <w:sz w:val="24"/>
                <w:highlight w:val="none"/>
              </w:rPr>
              <w:t xml:space="preserve"> 分；</w:t>
            </w:r>
          </w:p>
          <w:p w14:paraId="5FD1C821">
            <w:pPr>
              <w:rPr>
                <w:rFonts w:ascii="宋体" w:hAnsi="宋体" w:eastAsia="宋体"/>
                <w:sz w:val="24"/>
                <w:highlight w:val="none"/>
              </w:rPr>
            </w:pPr>
            <w:r>
              <w:rPr>
                <w:rFonts w:hint="eastAsia" w:ascii="宋体" w:hAnsi="宋体" w:eastAsia="宋体"/>
                <w:sz w:val="24"/>
                <w:highlight w:val="none"/>
                <w:lang w:val="en-US" w:eastAsia="zh-CN"/>
              </w:rPr>
              <w:t>2、</w:t>
            </w:r>
            <w:r>
              <w:rPr>
                <w:rFonts w:hint="eastAsia" w:ascii="宋体" w:hAnsi="宋体" w:eastAsia="宋体"/>
                <w:sz w:val="24"/>
                <w:highlight w:val="none"/>
              </w:rPr>
              <w:t xml:space="preserve">方案内容基本完整详细，适合项目需求，具有可行性、实用性和针对性，得 </w:t>
            </w:r>
            <w:r>
              <w:rPr>
                <w:rFonts w:hint="eastAsia" w:ascii="宋体" w:hAnsi="宋体" w:eastAsia="宋体"/>
                <w:sz w:val="24"/>
                <w:highlight w:val="none"/>
                <w:lang w:val="en-US" w:eastAsia="zh-CN"/>
              </w:rPr>
              <w:t>3</w:t>
            </w:r>
            <w:r>
              <w:rPr>
                <w:rFonts w:hint="eastAsia" w:ascii="宋体" w:hAnsi="宋体" w:eastAsia="宋体"/>
                <w:sz w:val="24"/>
                <w:highlight w:val="none"/>
              </w:rPr>
              <w:t xml:space="preserve"> 分；</w:t>
            </w:r>
          </w:p>
          <w:p w14:paraId="3AF8055B">
            <w:pPr>
              <w:rPr>
                <w:rFonts w:ascii="宋体" w:hAnsi="宋体" w:eastAsia="宋体"/>
                <w:sz w:val="24"/>
                <w:highlight w:val="none"/>
              </w:rPr>
            </w:pPr>
            <w:r>
              <w:rPr>
                <w:rFonts w:hint="eastAsia" w:ascii="宋体" w:hAnsi="宋体" w:eastAsia="宋体"/>
                <w:sz w:val="24"/>
                <w:highlight w:val="none"/>
                <w:lang w:val="en-US" w:eastAsia="zh-CN"/>
              </w:rPr>
              <w:t>3、</w:t>
            </w:r>
            <w:r>
              <w:rPr>
                <w:rFonts w:hint="eastAsia" w:ascii="宋体" w:hAnsi="宋体" w:eastAsia="宋体"/>
                <w:sz w:val="24"/>
                <w:highlight w:val="none"/>
              </w:rPr>
              <w:t>方案内容片面不全，基本适合项目需求，可行性、实用性、针对性有待改善，得 1 分；</w:t>
            </w:r>
          </w:p>
          <w:p w14:paraId="789FDF43">
            <w:pPr>
              <w:rPr>
                <w:rFonts w:ascii="宋体" w:hAnsi="宋体" w:eastAsia="宋体"/>
                <w:sz w:val="24"/>
                <w:highlight w:val="none"/>
              </w:rPr>
            </w:pPr>
            <w:r>
              <w:rPr>
                <w:rFonts w:hint="eastAsia" w:ascii="宋体" w:hAnsi="宋体" w:eastAsia="宋体"/>
                <w:sz w:val="24"/>
                <w:highlight w:val="none"/>
                <w:lang w:val="en-US" w:eastAsia="zh-CN"/>
              </w:rPr>
              <w:t>4、</w:t>
            </w:r>
            <w:r>
              <w:rPr>
                <w:rFonts w:hint="eastAsia" w:ascii="宋体" w:hAnsi="宋体" w:eastAsia="宋体"/>
                <w:sz w:val="24"/>
                <w:highlight w:val="none"/>
              </w:rPr>
              <w:t>方案不可行或者未提供得 0 分。</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3A709415">
            <w:pPr>
              <w:spacing w:line="360" w:lineRule="auto"/>
              <w:jc w:val="center"/>
              <w:rPr>
                <w:rFonts w:ascii="宋体" w:hAnsi="宋体" w:eastAsia="宋体"/>
                <w:b/>
                <w:bCs/>
                <w:sz w:val="24"/>
                <w:highlight w:val="none"/>
              </w:rPr>
            </w:pPr>
            <w:r>
              <w:rPr>
                <w:rFonts w:hint="eastAsia" w:ascii="宋体" w:hAnsi="宋体" w:eastAsia="宋体"/>
                <w:bCs/>
                <w:sz w:val="24"/>
                <w:highlight w:val="none"/>
              </w:rPr>
              <w:t>0-</w:t>
            </w:r>
            <w:r>
              <w:rPr>
                <w:rFonts w:hint="eastAsia" w:ascii="宋体" w:hAnsi="宋体" w:eastAsia="宋体"/>
                <w:bCs/>
                <w:sz w:val="24"/>
                <w:highlight w:val="none"/>
                <w:lang w:val="en-US" w:eastAsia="zh-CN"/>
              </w:rPr>
              <w:t>5</w:t>
            </w:r>
            <w:r>
              <w:rPr>
                <w:rFonts w:hint="eastAsia" w:ascii="宋体" w:hAnsi="宋体" w:eastAsia="宋体"/>
                <w:bCs/>
                <w:sz w:val="24"/>
                <w:highlight w:val="none"/>
              </w:rPr>
              <w:t>分</w:t>
            </w:r>
          </w:p>
        </w:tc>
      </w:tr>
      <w:tr w14:paraId="6035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tcBorders>
              <w:left w:val="single" w:color="auto" w:sz="4" w:space="0"/>
              <w:right w:val="single" w:color="auto" w:sz="4" w:space="0"/>
            </w:tcBorders>
            <w:noWrap w:val="0"/>
            <w:vAlign w:val="center"/>
          </w:tcPr>
          <w:p w14:paraId="176EFCA2">
            <w:pPr>
              <w:spacing w:line="360" w:lineRule="auto"/>
              <w:ind w:firstLine="435"/>
              <w:jc w:val="center"/>
              <w:rPr>
                <w:rFonts w:ascii="宋体" w:hAnsi="宋体" w:eastAsia="宋体"/>
                <w:b/>
                <w:bCs/>
                <w:sz w:val="24"/>
                <w:highlight w:val="none"/>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14:paraId="0DBADD4E">
            <w:pPr>
              <w:spacing w:line="360" w:lineRule="auto"/>
              <w:jc w:val="center"/>
              <w:rPr>
                <w:rFonts w:ascii="宋体" w:hAnsi="宋体" w:eastAsia="宋体"/>
                <w:sz w:val="24"/>
                <w:highlight w:val="none"/>
              </w:rPr>
            </w:pPr>
            <w:r>
              <w:rPr>
                <w:rFonts w:hint="eastAsia" w:ascii="宋体" w:hAnsi="宋体" w:eastAsia="宋体"/>
                <w:sz w:val="24"/>
                <w:highlight w:val="none"/>
              </w:rPr>
              <w:t>培训方案</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3AC4C7CD">
            <w:pPr>
              <w:rPr>
                <w:rFonts w:ascii="宋体" w:hAnsi="宋体" w:eastAsia="宋体"/>
                <w:sz w:val="24"/>
                <w:highlight w:val="none"/>
              </w:rPr>
            </w:pPr>
            <w:r>
              <w:rPr>
                <w:rFonts w:hint="eastAsia" w:ascii="宋体" w:hAnsi="宋体" w:eastAsia="宋体"/>
                <w:sz w:val="24"/>
                <w:highlight w:val="none"/>
              </w:rPr>
              <w:t xml:space="preserve">评标委员会根据投标人提供的培训方案进行评分，内容包括但不限于仪器设备的理论培训、实际操作培训、各种技术参数设定、软件的培训和应用、简单故障排除、系统恢复方法与设备日常维护与保养方案等方面。 </w:t>
            </w:r>
          </w:p>
          <w:p w14:paraId="514F917F">
            <w:pPr>
              <w:rPr>
                <w:rFonts w:ascii="宋体" w:hAnsi="宋体" w:eastAsia="宋体"/>
                <w:sz w:val="24"/>
                <w:highlight w:val="none"/>
              </w:rPr>
            </w:pPr>
            <w:r>
              <w:rPr>
                <w:rFonts w:hint="eastAsia" w:ascii="宋体" w:hAnsi="宋体" w:eastAsia="宋体"/>
                <w:sz w:val="24"/>
                <w:highlight w:val="none"/>
                <w:lang w:val="en-US" w:eastAsia="zh-CN"/>
              </w:rPr>
              <w:t>1、</w:t>
            </w:r>
            <w:r>
              <w:rPr>
                <w:rFonts w:hint="eastAsia" w:ascii="宋体" w:hAnsi="宋体" w:eastAsia="宋体"/>
                <w:sz w:val="24"/>
                <w:highlight w:val="none"/>
              </w:rPr>
              <w:t xml:space="preserve">方案内容完整详细，满足项目需求，可行性、实用性、针对性强，得 </w:t>
            </w:r>
            <w:r>
              <w:rPr>
                <w:rFonts w:hint="eastAsia" w:ascii="宋体" w:hAnsi="宋体" w:eastAsia="宋体"/>
                <w:sz w:val="24"/>
                <w:highlight w:val="none"/>
                <w:lang w:val="en-US" w:eastAsia="zh-CN"/>
              </w:rPr>
              <w:t>5</w:t>
            </w:r>
            <w:r>
              <w:rPr>
                <w:rFonts w:hint="eastAsia" w:ascii="宋体" w:hAnsi="宋体" w:eastAsia="宋体"/>
                <w:sz w:val="24"/>
                <w:highlight w:val="none"/>
              </w:rPr>
              <w:t xml:space="preserve"> 分；</w:t>
            </w:r>
          </w:p>
          <w:p w14:paraId="47CB81C3">
            <w:pPr>
              <w:rPr>
                <w:rFonts w:ascii="宋体" w:hAnsi="宋体" w:eastAsia="宋体"/>
                <w:sz w:val="24"/>
                <w:highlight w:val="none"/>
              </w:rPr>
            </w:pPr>
            <w:r>
              <w:rPr>
                <w:rFonts w:hint="eastAsia" w:ascii="宋体" w:hAnsi="宋体" w:eastAsia="宋体"/>
                <w:sz w:val="24"/>
                <w:highlight w:val="none"/>
                <w:lang w:val="en-US" w:eastAsia="zh-CN"/>
              </w:rPr>
              <w:t>2、</w:t>
            </w:r>
            <w:r>
              <w:rPr>
                <w:rFonts w:hint="eastAsia" w:ascii="宋体" w:hAnsi="宋体" w:eastAsia="宋体"/>
                <w:sz w:val="24"/>
                <w:highlight w:val="none"/>
              </w:rPr>
              <w:t xml:space="preserve">方案内容基本完整详细，适合项目需求，具有可行性、实用性和针对性，得 </w:t>
            </w:r>
            <w:r>
              <w:rPr>
                <w:rFonts w:hint="eastAsia" w:ascii="宋体" w:hAnsi="宋体" w:eastAsia="宋体"/>
                <w:sz w:val="24"/>
                <w:highlight w:val="none"/>
                <w:lang w:val="en-US" w:eastAsia="zh-CN"/>
              </w:rPr>
              <w:t>3</w:t>
            </w:r>
            <w:r>
              <w:rPr>
                <w:rFonts w:hint="eastAsia" w:ascii="宋体" w:hAnsi="宋体" w:eastAsia="宋体"/>
                <w:sz w:val="24"/>
                <w:highlight w:val="none"/>
              </w:rPr>
              <w:t xml:space="preserve"> 分； </w:t>
            </w:r>
          </w:p>
          <w:p w14:paraId="29840985">
            <w:pPr>
              <w:rPr>
                <w:rFonts w:ascii="宋体" w:hAnsi="宋体" w:eastAsia="宋体"/>
                <w:sz w:val="24"/>
                <w:highlight w:val="none"/>
              </w:rPr>
            </w:pPr>
            <w:r>
              <w:rPr>
                <w:rFonts w:hint="eastAsia" w:ascii="宋体" w:hAnsi="宋体" w:eastAsia="宋体"/>
                <w:sz w:val="24"/>
                <w:highlight w:val="none"/>
                <w:lang w:val="en-US" w:eastAsia="zh-CN"/>
              </w:rPr>
              <w:t>3、</w:t>
            </w:r>
            <w:r>
              <w:rPr>
                <w:rFonts w:hint="eastAsia" w:ascii="宋体" w:hAnsi="宋体" w:eastAsia="宋体"/>
                <w:sz w:val="24"/>
                <w:highlight w:val="none"/>
              </w:rPr>
              <w:t xml:space="preserve">方案内容片面不全，基本适合项目需求，可行性、实用性、针对性有待改善，得 1 分； </w:t>
            </w:r>
          </w:p>
          <w:p w14:paraId="5C1FCEDD">
            <w:pPr>
              <w:rPr>
                <w:rFonts w:ascii="宋体" w:hAnsi="宋体" w:eastAsia="宋体"/>
                <w:sz w:val="24"/>
                <w:highlight w:val="none"/>
              </w:rPr>
            </w:pPr>
            <w:r>
              <w:rPr>
                <w:rFonts w:hint="eastAsia" w:ascii="宋体" w:hAnsi="宋体" w:eastAsia="宋体"/>
                <w:sz w:val="24"/>
                <w:highlight w:val="none"/>
                <w:lang w:val="en-US" w:eastAsia="zh-CN"/>
              </w:rPr>
              <w:t>4、</w:t>
            </w:r>
            <w:r>
              <w:rPr>
                <w:rFonts w:hint="eastAsia" w:ascii="宋体" w:hAnsi="宋体" w:eastAsia="宋体"/>
                <w:sz w:val="24"/>
                <w:highlight w:val="none"/>
              </w:rPr>
              <w:t>方案不可行或者未提供得 0 分。</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245BF57F">
            <w:pPr>
              <w:adjustRightInd w:val="0"/>
              <w:snapToGrid w:val="0"/>
              <w:spacing w:line="400" w:lineRule="exact"/>
              <w:jc w:val="center"/>
              <w:rPr>
                <w:rFonts w:ascii="宋体" w:hAnsi="宋体" w:eastAsia="宋体"/>
                <w:bCs/>
                <w:sz w:val="24"/>
                <w:highlight w:val="none"/>
              </w:rPr>
            </w:pPr>
            <w:r>
              <w:rPr>
                <w:rFonts w:hint="eastAsia" w:ascii="宋体" w:hAnsi="宋体" w:eastAsia="宋体"/>
                <w:sz w:val="24"/>
                <w:highlight w:val="none"/>
              </w:rPr>
              <w:t>0-</w:t>
            </w:r>
            <w:r>
              <w:rPr>
                <w:rFonts w:hint="eastAsia" w:ascii="宋体" w:hAnsi="宋体" w:eastAsia="宋体"/>
                <w:sz w:val="24"/>
                <w:highlight w:val="none"/>
                <w:lang w:val="en-US" w:eastAsia="zh-CN"/>
              </w:rPr>
              <w:t>5</w:t>
            </w:r>
            <w:r>
              <w:rPr>
                <w:rFonts w:hint="eastAsia" w:ascii="宋体" w:hAnsi="宋体" w:eastAsia="宋体"/>
                <w:sz w:val="24"/>
                <w:highlight w:val="none"/>
              </w:rPr>
              <w:t>分</w:t>
            </w:r>
          </w:p>
        </w:tc>
      </w:tr>
      <w:tr w14:paraId="71AEE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tcBorders>
              <w:left w:val="single" w:color="auto" w:sz="4" w:space="0"/>
              <w:right w:val="single" w:color="auto" w:sz="4" w:space="0"/>
            </w:tcBorders>
            <w:noWrap w:val="0"/>
            <w:vAlign w:val="center"/>
          </w:tcPr>
          <w:p w14:paraId="7CC7A275">
            <w:pPr>
              <w:spacing w:line="360" w:lineRule="auto"/>
              <w:ind w:firstLine="435"/>
              <w:jc w:val="center"/>
              <w:rPr>
                <w:rFonts w:ascii="宋体" w:hAnsi="宋体" w:eastAsia="宋体"/>
                <w:b/>
                <w:bCs/>
                <w:sz w:val="24"/>
                <w:highlight w:val="none"/>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14:paraId="3E116E7D">
            <w:pPr>
              <w:snapToGrid w:val="0"/>
              <w:jc w:val="center"/>
              <w:rPr>
                <w:rFonts w:ascii="宋体" w:hAnsi="宋体" w:eastAsia="宋体"/>
                <w:sz w:val="24"/>
                <w:highlight w:val="none"/>
              </w:rPr>
            </w:pPr>
            <w:r>
              <w:rPr>
                <w:rFonts w:hint="eastAsia" w:ascii="宋体" w:hAnsi="宋体" w:eastAsia="宋体" w:cs="宋体"/>
                <w:bCs/>
                <w:color w:val="000000" w:themeColor="text1"/>
                <w:sz w:val="24"/>
                <w:szCs w:val="20"/>
                <w:highlight w:val="none"/>
                <w14:textFill>
                  <w14:solidFill>
                    <w14:schemeClr w14:val="tx1"/>
                  </w14:solidFill>
                </w14:textFill>
              </w:rPr>
              <w:t>售后</w:t>
            </w:r>
            <w:r>
              <w:rPr>
                <w:rFonts w:hint="eastAsia" w:ascii="宋体" w:hAnsi="宋体" w:eastAsia="宋体" w:cs="宋体"/>
                <w:bCs/>
                <w:color w:val="000000" w:themeColor="text1"/>
                <w:sz w:val="24"/>
                <w:szCs w:val="20"/>
                <w:highlight w:val="none"/>
                <w:lang w:val="en-US" w:eastAsia="zh-CN"/>
                <w14:textFill>
                  <w14:solidFill>
                    <w14:schemeClr w14:val="tx1"/>
                  </w14:solidFill>
                </w14:textFill>
              </w:rPr>
              <w:t>与应急服务</w:t>
            </w:r>
            <w:r>
              <w:rPr>
                <w:rFonts w:hint="eastAsia" w:ascii="宋体" w:hAnsi="宋体" w:eastAsia="宋体" w:cs="宋体"/>
                <w:bCs/>
                <w:color w:val="000000" w:themeColor="text1"/>
                <w:sz w:val="24"/>
                <w:szCs w:val="20"/>
                <w:highlight w:val="none"/>
                <w14:textFill>
                  <w14:solidFill>
                    <w14:schemeClr w14:val="tx1"/>
                  </w14:solidFill>
                </w14:textFill>
              </w:rPr>
              <w:t>方案</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1A57BE76">
            <w:pPr>
              <w:spacing w:line="24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评标委员会依据投标人提供的售后与应急服务方案进行综合评审：</w:t>
            </w:r>
          </w:p>
          <w:p w14:paraId="684F3844">
            <w:pPr>
              <w:keepNext w:val="0"/>
              <w:keepLines w:val="0"/>
              <w:widowControl/>
              <w:suppressLineNumbers w:val="0"/>
              <w:jc w:val="left"/>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1.根据投标人提供</w:t>
            </w:r>
            <w:r>
              <w:rPr>
                <w:rFonts w:hint="eastAsia" w:ascii="宋体" w:hAnsi="宋体" w:eastAsia="宋体" w:cs="宋体"/>
                <w:b w:val="0"/>
                <w:bCs w:val="0"/>
                <w:color w:val="000000" w:themeColor="text1"/>
                <w:sz w:val="24"/>
                <w:highlight w:val="none"/>
                <w:lang w:eastAsia="zh-CN"/>
                <w14:textFill>
                  <w14:solidFill>
                    <w14:schemeClr w14:val="tx1"/>
                  </w14:solidFill>
                </w14:textFill>
              </w:rPr>
              <w:t>的</w:t>
            </w:r>
            <w:r>
              <w:rPr>
                <w:rFonts w:hint="eastAsia" w:ascii="宋体" w:hAnsi="宋体" w:eastAsia="宋体" w:cs="宋体"/>
                <w:b w:val="0"/>
                <w:bCs w:val="0"/>
                <w:color w:val="000000" w:themeColor="text1"/>
                <w:sz w:val="24"/>
                <w:highlight w:val="none"/>
                <w14:textFill>
                  <w14:solidFill>
                    <w14:schemeClr w14:val="tx1"/>
                  </w14:solidFill>
                </w14:textFill>
              </w:rPr>
              <w:t>售后服务方案进行综合评审</w:t>
            </w:r>
            <w:r>
              <w:rPr>
                <w:rFonts w:hint="eastAsia" w:ascii="宋体" w:hAnsi="宋体" w:eastAsia="宋体" w:cs="宋体"/>
                <w:b w:val="0"/>
                <w:bCs w:val="0"/>
                <w:color w:val="000000" w:themeColor="text1"/>
                <w:sz w:val="24"/>
                <w:highlight w:val="none"/>
                <w:lang w:eastAsia="zh-CN"/>
                <w14:textFill>
                  <w14:solidFill>
                    <w14:schemeClr w14:val="tx1"/>
                  </w14:solidFill>
                </w14:textFill>
              </w:rPr>
              <w:t>，内容包括但不限于售后服务管理制度、保障措施、维保方式、维保内容、质保期满后的维保费用、时间保证、售后人员配备</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等方面</w:t>
            </w:r>
            <w:r>
              <w:rPr>
                <w:rFonts w:hint="eastAsia" w:ascii="宋体" w:hAnsi="宋体" w:eastAsia="宋体" w:cs="宋体"/>
                <w:b w:val="0"/>
                <w:bCs w:val="0"/>
                <w:color w:val="000000" w:themeColor="text1"/>
                <w:sz w:val="24"/>
                <w:highlight w:val="none"/>
                <w14:textFill>
                  <w14:solidFill>
                    <w14:schemeClr w14:val="tx1"/>
                  </w14:solidFill>
                </w14:textFill>
              </w:rPr>
              <w:t>：</w:t>
            </w:r>
          </w:p>
          <w:p w14:paraId="7AD21F26">
            <w:pPr>
              <w:numPr>
                <w:ilvl w:val="0"/>
                <w:numId w:val="0"/>
              </w:numPr>
              <w:spacing w:line="24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1</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对本项目的特点和难点理解准确，售后服务方案优于本项目采购需求，可行性、实用性、针对性强，得5分；</w:t>
            </w:r>
          </w:p>
          <w:p w14:paraId="356ACEE3">
            <w:pPr>
              <w:numPr>
                <w:ilvl w:val="0"/>
                <w:numId w:val="0"/>
              </w:numPr>
              <w:spacing w:line="24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2</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对本项目的特点和难点理解基本准确，售后服务方案基本满足本项目采购需求，具有可行性、实用性和针对性，得3分；</w:t>
            </w:r>
          </w:p>
          <w:p w14:paraId="503F1C79">
            <w:pPr>
              <w:numPr>
                <w:ilvl w:val="0"/>
                <w:numId w:val="0"/>
              </w:numPr>
              <w:spacing w:line="24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3</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对本项目的特点和难点理解有待提升，售后服务方案可行性、实用性和针对性有待改善，得1分；</w:t>
            </w:r>
          </w:p>
          <w:p w14:paraId="1410C22D">
            <w:pPr>
              <w:numPr>
                <w:ilvl w:val="0"/>
                <w:numId w:val="0"/>
              </w:numPr>
              <w:spacing w:line="24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4</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未提供方案的不得分。</w:t>
            </w:r>
          </w:p>
          <w:p w14:paraId="48A99304">
            <w:pPr>
              <w:spacing w:line="240" w:lineRule="auto"/>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2.根据投标人提供针对本项目的应急服务</w:t>
            </w:r>
            <w:r>
              <w:rPr>
                <w:rFonts w:hint="eastAsia" w:ascii="宋体" w:hAnsi="宋体" w:eastAsia="宋体" w:cs="宋体"/>
                <w:b w:val="0"/>
                <w:bCs/>
                <w:color w:val="000000" w:themeColor="text1"/>
                <w:sz w:val="24"/>
                <w:highlight w:val="none"/>
                <w:lang w:eastAsia="zh-CN"/>
                <w14:textFill>
                  <w14:solidFill>
                    <w14:schemeClr w14:val="tx1"/>
                  </w14:solidFill>
                </w14:textFill>
              </w:rPr>
              <w:t>方案</w:t>
            </w:r>
            <w:r>
              <w:rPr>
                <w:rFonts w:hint="eastAsia" w:ascii="宋体" w:hAnsi="宋体" w:eastAsia="宋体" w:cs="宋体"/>
                <w:b w:val="0"/>
                <w:bCs/>
                <w:color w:val="000000" w:themeColor="text1"/>
                <w:sz w:val="24"/>
                <w:highlight w:val="none"/>
                <w14:textFill>
                  <w14:solidFill>
                    <w14:schemeClr w14:val="tx1"/>
                  </w14:solidFill>
                </w14:textFill>
              </w:rPr>
              <w:t>进行综合评审</w:t>
            </w:r>
            <w:r>
              <w:rPr>
                <w:rFonts w:hint="eastAsia" w:ascii="宋体" w:hAnsi="宋体" w:eastAsia="宋体" w:cs="宋体"/>
                <w:b w:val="0"/>
                <w:bCs/>
                <w:color w:val="000000" w:themeColor="text1"/>
                <w:sz w:val="24"/>
                <w:highlight w:val="none"/>
                <w:lang w:eastAsia="zh-CN"/>
                <w14:textFill>
                  <w14:solidFill>
                    <w14:schemeClr w14:val="tx1"/>
                  </w14:solidFill>
                </w14:textFill>
              </w:rPr>
              <w:t>，内容包括但不限于产品故障维修响应时间、故障解决方案、零配件更换服务、备品备件供应及服务便利化措施</w:t>
            </w:r>
            <w:r>
              <w:rPr>
                <w:rFonts w:hint="eastAsia" w:ascii="宋体" w:hAnsi="宋体" w:eastAsia="宋体" w:cs="宋体"/>
                <w:b w:val="0"/>
                <w:bCs/>
                <w:color w:val="000000" w:themeColor="text1"/>
                <w:sz w:val="24"/>
                <w:highlight w:val="none"/>
                <w:lang w:val="en-US" w:eastAsia="zh-CN"/>
                <w14:textFill>
                  <w14:solidFill>
                    <w14:schemeClr w14:val="tx1"/>
                  </w14:solidFill>
                </w14:textFill>
              </w:rPr>
              <w:t>等方面</w:t>
            </w:r>
            <w:r>
              <w:rPr>
                <w:rFonts w:hint="eastAsia" w:ascii="宋体" w:hAnsi="宋体" w:eastAsia="宋体" w:cs="宋体"/>
                <w:b w:val="0"/>
                <w:bCs/>
                <w:color w:val="000000" w:themeColor="text1"/>
                <w:sz w:val="24"/>
                <w:highlight w:val="none"/>
                <w14:textFill>
                  <w14:solidFill>
                    <w14:schemeClr w14:val="tx1"/>
                  </w14:solidFill>
                </w14:textFill>
              </w:rPr>
              <w:t>：</w:t>
            </w:r>
          </w:p>
          <w:p w14:paraId="6EC5C43F">
            <w:pPr>
              <w:spacing w:line="24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1</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应急服务方案完整详细，备品备件供应可以得到充分保障，应急服务响应及时，方案实用性强的，得5分；</w:t>
            </w:r>
          </w:p>
          <w:p w14:paraId="2105E1BA">
            <w:pPr>
              <w:spacing w:line="24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2</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应急服务方案基本完整，备品备件供应基本可以满足使用，应急服务响应较及时，方案实用性较强的，得3分；</w:t>
            </w:r>
          </w:p>
          <w:p w14:paraId="728EABC2">
            <w:pPr>
              <w:spacing w:line="24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3</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应急服务方案内容不够完整，备品备件供应能力有待提升，方案实用性有待加强的得1分；</w:t>
            </w:r>
          </w:p>
          <w:p w14:paraId="17B70265">
            <w:pPr>
              <w:spacing w:line="240" w:lineRule="auto"/>
              <w:rPr>
                <w:rFonts w:ascii="宋体" w:hAnsi="宋体" w:eastAsia="宋体"/>
                <w:sz w:val="24"/>
                <w:highlight w:val="none"/>
              </w:rPr>
            </w:pP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4</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未提供方案的不得分。</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019C8186">
            <w:pPr>
              <w:spacing w:line="360" w:lineRule="auto"/>
              <w:jc w:val="center"/>
              <w:rPr>
                <w:rFonts w:ascii="宋体" w:hAnsi="宋体" w:eastAsia="宋体"/>
                <w:sz w:val="24"/>
                <w:highlight w:val="none"/>
              </w:rPr>
            </w:pPr>
            <w:r>
              <w:rPr>
                <w:rFonts w:hint="eastAsia" w:ascii="宋体" w:hAnsi="宋体" w:eastAsia="宋体"/>
                <w:bCs/>
                <w:color w:val="000000" w:themeColor="text1"/>
                <w:sz w:val="24"/>
                <w:highlight w:val="none"/>
                <w14:textFill>
                  <w14:solidFill>
                    <w14:schemeClr w14:val="tx1"/>
                  </w14:solidFill>
                </w14:textFill>
              </w:rPr>
              <w:t>0-</w:t>
            </w:r>
            <w:r>
              <w:rPr>
                <w:rFonts w:hint="eastAsia" w:ascii="宋体" w:hAnsi="宋体" w:eastAsia="宋体"/>
                <w:bCs/>
                <w:color w:val="000000" w:themeColor="text1"/>
                <w:sz w:val="24"/>
                <w:highlight w:val="none"/>
                <w:lang w:val="en-US" w:eastAsia="zh-CN"/>
                <w14:textFill>
                  <w14:solidFill>
                    <w14:schemeClr w14:val="tx1"/>
                  </w14:solidFill>
                </w14:textFill>
              </w:rPr>
              <w:t>10</w:t>
            </w:r>
            <w:r>
              <w:rPr>
                <w:rFonts w:hint="eastAsia" w:ascii="宋体" w:hAnsi="宋体" w:eastAsia="宋体"/>
                <w:bCs/>
                <w:color w:val="000000" w:themeColor="text1"/>
                <w:sz w:val="24"/>
                <w:highlight w:val="none"/>
                <w14:textFill>
                  <w14:solidFill>
                    <w14:schemeClr w14:val="tx1"/>
                  </w14:solidFill>
                </w14:textFill>
              </w:rPr>
              <w:t>分</w:t>
            </w:r>
          </w:p>
        </w:tc>
      </w:tr>
      <w:tr w14:paraId="56739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tcBorders>
              <w:left w:val="single" w:color="auto" w:sz="4" w:space="0"/>
              <w:right w:val="single" w:color="auto" w:sz="4" w:space="0"/>
            </w:tcBorders>
            <w:noWrap w:val="0"/>
            <w:vAlign w:val="center"/>
          </w:tcPr>
          <w:p w14:paraId="543219B3">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价格分</w:t>
            </w:r>
          </w:p>
          <w:p w14:paraId="31687C03">
            <w:pPr>
              <w:spacing w:line="360" w:lineRule="auto"/>
              <w:jc w:val="center"/>
              <w:rPr>
                <w:rFonts w:ascii="宋体" w:hAnsi="宋体" w:eastAsia="宋体"/>
                <w:b w:val="0"/>
                <w:bCs w:val="0"/>
                <w:color w:val="000000"/>
                <w:sz w:val="24"/>
                <w:highlight w:val="none"/>
              </w:rPr>
            </w:pP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u w:val="single"/>
              </w:rPr>
              <w:t xml:space="preserve"> 30 </w:t>
            </w:r>
            <w:r>
              <w:rPr>
                <w:rFonts w:hint="eastAsia" w:asciiTheme="minorEastAsia" w:hAnsiTheme="minorEastAsia" w:eastAsiaTheme="minorEastAsia"/>
                <w:sz w:val="24"/>
                <w:highlight w:val="none"/>
              </w:rPr>
              <w:t>分）</w:t>
            </w:r>
          </w:p>
        </w:tc>
        <w:tc>
          <w:tcPr>
            <w:tcW w:w="8259" w:type="dxa"/>
            <w:gridSpan w:val="3"/>
            <w:tcBorders>
              <w:top w:val="single" w:color="auto" w:sz="4" w:space="0"/>
              <w:left w:val="single" w:color="auto" w:sz="4" w:space="0"/>
              <w:bottom w:val="single" w:color="auto" w:sz="4" w:space="0"/>
              <w:right w:val="single" w:color="auto" w:sz="4" w:space="0"/>
            </w:tcBorders>
            <w:noWrap w:val="0"/>
            <w:vAlign w:val="center"/>
          </w:tcPr>
          <w:p w14:paraId="416E5A8A">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价格分统一采用低价优先法，即满足招标文件要求且投标价格最低的投标报价为评标基准价，其价格分为满分</w:t>
            </w:r>
            <w:r>
              <w:rPr>
                <w:rFonts w:hint="eastAsia" w:asciiTheme="minorEastAsia" w:hAnsiTheme="minorEastAsia" w:eastAsiaTheme="minorEastAsia"/>
                <w:sz w:val="24"/>
                <w:highlight w:val="none"/>
                <w:u w:val="single"/>
              </w:rPr>
              <w:t xml:space="preserve"> 30 </w:t>
            </w:r>
            <w:r>
              <w:rPr>
                <w:rFonts w:hint="eastAsia" w:asciiTheme="minorEastAsia" w:hAnsiTheme="minorEastAsia" w:eastAsiaTheme="minorEastAsia"/>
                <w:sz w:val="24"/>
                <w:highlight w:val="none"/>
              </w:rPr>
              <w:t>分。其他投标人的价格分统一按照下列公式计算：</w:t>
            </w:r>
          </w:p>
          <w:p w14:paraId="0198641B">
            <w:pPr>
              <w:spacing w:line="360" w:lineRule="auto"/>
              <w:rPr>
                <w:rFonts w:ascii="宋体" w:hAnsi="宋体" w:eastAsia="宋体"/>
                <w:b w:val="0"/>
                <w:bCs w:val="0"/>
                <w:color w:val="000000"/>
                <w:sz w:val="24"/>
                <w:highlight w:val="none"/>
              </w:rPr>
            </w:pPr>
            <w:r>
              <w:rPr>
                <w:rFonts w:hint="eastAsia" w:asciiTheme="minorEastAsia" w:hAnsiTheme="minorEastAsia" w:eastAsiaTheme="minorEastAsia"/>
                <w:sz w:val="24"/>
                <w:highlight w:val="none"/>
              </w:rPr>
              <w:t>投标报价得分＝（评标基准价/投标报价）×</w:t>
            </w:r>
            <w:r>
              <w:rPr>
                <w:rFonts w:hint="eastAsia" w:asciiTheme="minorEastAsia" w:hAnsiTheme="minorEastAsia" w:eastAsiaTheme="minorEastAsia"/>
                <w:sz w:val="24"/>
                <w:highlight w:val="none"/>
                <w:u w:val="single"/>
              </w:rPr>
              <w:t xml:space="preserve"> 30 </w:t>
            </w:r>
            <w:r>
              <w:rPr>
                <w:rFonts w:hint="eastAsia" w:asciiTheme="minorEastAsia" w:hAnsiTheme="minorEastAsia" w:eastAsiaTheme="minorEastAsia"/>
                <w:sz w:val="24"/>
                <w:highlight w:val="none"/>
              </w:rPr>
              <w:t>％×100</w:t>
            </w:r>
          </w:p>
        </w:tc>
      </w:tr>
    </w:tbl>
    <w:p w14:paraId="402B7C38">
      <w:pPr>
        <w:rPr>
          <w:rFonts w:hint="eastAsia" w:asciiTheme="minorEastAsia" w:hAnsiTheme="minorEastAsia" w:eastAsiaTheme="minorEastAsia"/>
          <w:b/>
          <w:bCs/>
          <w:sz w:val="24"/>
          <w:highlight w:val="none"/>
          <w:lang w:val="en-US" w:eastAsia="zh-CN"/>
        </w:rPr>
      </w:pPr>
      <w:r>
        <w:rPr>
          <w:rFonts w:hint="eastAsia" w:asciiTheme="minorEastAsia" w:hAnsiTheme="minorEastAsia" w:eastAsiaTheme="minorEastAsia"/>
          <w:b/>
          <w:bCs/>
          <w:sz w:val="24"/>
          <w:highlight w:val="none"/>
          <w:lang w:val="en-US" w:eastAsia="zh-CN"/>
        </w:rPr>
        <w:br w:type="page"/>
      </w:r>
    </w:p>
    <w:p w14:paraId="3C8A24BA">
      <w:pPr>
        <w:spacing w:line="360" w:lineRule="auto"/>
        <w:ind w:firstLine="435"/>
        <w:rPr>
          <w:rFonts w:hint="default" w:asciiTheme="minorEastAsia" w:hAnsiTheme="minorEastAsia" w:eastAsiaTheme="minorEastAsia"/>
          <w:b/>
          <w:bCs/>
          <w:sz w:val="24"/>
          <w:highlight w:val="none"/>
          <w:lang w:val="en-US" w:eastAsia="zh-CN"/>
        </w:rPr>
      </w:pPr>
      <w:r>
        <w:rPr>
          <w:rFonts w:hint="eastAsia" w:asciiTheme="minorEastAsia" w:hAnsiTheme="minorEastAsia" w:eastAsiaTheme="minorEastAsia"/>
          <w:b/>
          <w:bCs/>
          <w:sz w:val="24"/>
          <w:highlight w:val="none"/>
          <w:lang w:val="en-US" w:eastAsia="zh-CN"/>
        </w:rPr>
        <w:t>02包：便携式彩超</w:t>
      </w:r>
    </w:p>
    <w:tbl>
      <w:tblPr>
        <w:tblStyle w:val="26"/>
        <w:tblW w:w="9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717"/>
        <w:gridCol w:w="5337"/>
        <w:gridCol w:w="1205"/>
      </w:tblGrid>
      <w:tr w14:paraId="6FDC2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71" w:type="dxa"/>
            <w:tcBorders>
              <w:top w:val="single" w:color="auto" w:sz="4" w:space="0"/>
              <w:left w:val="single" w:color="auto" w:sz="4" w:space="0"/>
              <w:bottom w:val="single" w:color="auto" w:sz="4" w:space="0"/>
              <w:right w:val="single" w:color="auto" w:sz="4" w:space="0"/>
            </w:tcBorders>
            <w:noWrap w:val="0"/>
            <w:vAlign w:val="center"/>
          </w:tcPr>
          <w:p w14:paraId="07622FA1">
            <w:pPr>
              <w:spacing w:line="360" w:lineRule="auto"/>
              <w:jc w:val="center"/>
              <w:rPr>
                <w:rFonts w:ascii="宋体" w:hAnsi="宋体" w:eastAsia="宋体"/>
                <w:b/>
                <w:bCs/>
                <w:sz w:val="24"/>
                <w:highlight w:val="none"/>
              </w:rPr>
            </w:pPr>
            <w:r>
              <w:rPr>
                <w:rFonts w:hint="eastAsia" w:ascii="宋体" w:hAnsi="宋体" w:eastAsia="宋体"/>
                <w:b/>
                <w:bCs/>
                <w:sz w:val="24"/>
                <w:highlight w:val="none"/>
              </w:rPr>
              <w:t>类别</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4EBD6C5C">
            <w:pPr>
              <w:spacing w:line="360" w:lineRule="auto"/>
              <w:jc w:val="center"/>
              <w:rPr>
                <w:rFonts w:ascii="宋体" w:hAnsi="宋体" w:eastAsia="宋体"/>
                <w:b/>
                <w:bCs/>
                <w:sz w:val="24"/>
                <w:highlight w:val="none"/>
              </w:rPr>
            </w:pPr>
            <w:r>
              <w:rPr>
                <w:rFonts w:hint="eastAsia" w:ascii="宋体" w:hAnsi="宋体" w:eastAsia="宋体"/>
                <w:b/>
                <w:bCs/>
                <w:sz w:val="24"/>
                <w:highlight w:val="none"/>
              </w:rPr>
              <w:t>评分内容</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5CEBE08C">
            <w:pPr>
              <w:spacing w:line="360" w:lineRule="auto"/>
              <w:jc w:val="center"/>
              <w:rPr>
                <w:rFonts w:ascii="宋体" w:hAnsi="宋体" w:eastAsia="宋体"/>
                <w:b/>
                <w:bCs/>
                <w:sz w:val="24"/>
                <w:highlight w:val="none"/>
              </w:rPr>
            </w:pPr>
            <w:r>
              <w:rPr>
                <w:rFonts w:hint="eastAsia" w:ascii="宋体" w:hAnsi="宋体" w:eastAsia="宋体"/>
                <w:b/>
                <w:bCs/>
                <w:sz w:val="24"/>
                <w:highlight w:val="none"/>
              </w:rPr>
              <w:t>评分标准</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0EFBC12D">
            <w:pPr>
              <w:spacing w:line="360" w:lineRule="auto"/>
              <w:jc w:val="center"/>
              <w:rPr>
                <w:rFonts w:ascii="宋体" w:hAnsi="宋体" w:eastAsia="宋体"/>
                <w:b/>
                <w:bCs/>
                <w:sz w:val="24"/>
                <w:highlight w:val="none"/>
              </w:rPr>
            </w:pPr>
            <w:r>
              <w:rPr>
                <w:rFonts w:hint="eastAsia" w:ascii="宋体" w:hAnsi="宋体" w:eastAsia="宋体"/>
                <w:b/>
                <w:bCs/>
                <w:sz w:val="24"/>
                <w:highlight w:val="none"/>
              </w:rPr>
              <w:t>分值范围</w:t>
            </w:r>
          </w:p>
        </w:tc>
      </w:tr>
      <w:tr w14:paraId="08EF5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restart"/>
            <w:tcBorders>
              <w:top w:val="single" w:color="auto" w:sz="4" w:space="0"/>
              <w:left w:val="single" w:color="auto" w:sz="4" w:space="0"/>
              <w:right w:val="single" w:color="auto" w:sz="4" w:space="0"/>
            </w:tcBorders>
            <w:noWrap w:val="0"/>
            <w:vAlign w:val="center"/>
          </w:tcPr>
          <w:p w14:paraId="0B02A13E">
            <w:pPr>
              <w:spacing w:line="360" w:lineRule="auto"/>
              <w:jc w:val="center"/>
              <w:rPr>
                <w:rFonts w:ascii="宋体" w:hAnsi="宋体" w:eastAsia="宋体"/>
                <w:sz w:val="24"/>
                <w:highlight w:val="none"/>
              </w:rPr>
            </w:pPr>
            <w:r>
              <w:rPr>
                <w:rFonts w:hint="eastAsia" w:ascii="宋体" w:hAnsi="宋体" w:eastAsia="宋体"/>
                <w:sz w:val="24"/>
                <w:highlight w:val="none"/>
              </w:rPr>
              <w:t>技术资信分</w:t>
            </w:r>
          </w:p>
          <w:p w14:paraId="32932277">
            <w:pPr>
              <w:spacing w:line="360" w:lineRule="auto"/>
              <w:jc w:val="center"/>
              <w:rPr>
                <w:rFonts w:ascii="宋体" w:hAnsi="宋体" w:eastAsia="宋体"/>
                <w:b/>
                <w:bCs/>
                <w:sz w:val="24"/>
                <w:highlight w:val="none"/>
              </w:rPr>
            </w:pPr>
            <w:r>
              <w:rPr>
                <w:rFonts w:hint="eastAsia" w:ascii="宋体" w:hAnsi="宋体" w:eastAsia="宋体"/>
                <w:sz w:val="24"/>
                <w:highlight w:val="none"/>
              </w:rPr>
              <w:t>（</w:t>
            </w:r>
            <w:r>
              <w:rPr>
                <w:rFonts w:hint="eastAsia" w:ascii="宋体" w:hAnsi="宋体" w:eastAsia="宋体"/>
                <w:sz w:val="24"/>
                <w:highlight w:val="none"/>
                <w:u w:val="single"/>
              </w:rPr>
              <w:t xml:space="preserve"> </w:t>
            </w:r>
            <w:r>
              <w:rPr>
                <w:rFonts w:hint="eastAsia" w:ascii="宋体" w:hAnsi="宋体" w:eastAsia="宋体"/>
                <w:sz w:val="24"/>
                <w:highlight w:val="none"/>
                <w:u w:val="single"/>
                <w:lang w:val="en-US" w:eastAsia="zh-CN"/>
              </w:rPr>
              <w:t>70</w:t>
            </w:r>
            <w:r>
              <w:rPr>
                <w:rFonts w:hint="eastAsia" w:ascii="宋体" w:hAnsi="宋体" w:eastAsia="宋体"/>
                <w:sz w:val="24"/>
                <w:highlight w:val="none"/>
                <w:u w:val="single"/>
              </w:rPr>
              <w:t xml:space="preserve"> </w:t>
            </w:r>
            <w:r>
              <w:rPr>
                <w:rFonts w:hint="eastAsia" w:ascii="宋体" w:hAnsi="宋体" w:eastAsia="宋体"/>
                <w:sz w:val="24"/>
                <w:highlight w:val="none"/>
              </w:rPr>
              <w:t>分）</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57B25DA9">
            <w:pPr>
              <w:spacing w:line="360" w:lineRule="auto"/>
              <w:jc w:val="center"/>
              <w:rPr>
                <w:rFonts w:ascii="宋体" w:hAnsi="宋体" w:eastAsia="宋体"/>
                <w:bCs/>
                <w:sz w:val="24"/>
                <w:highlight w:val="none"/>
              </w:rPr>
            </w:pPr>
            <w:r>
              <w:rPr>
                <w:rFonts w:hint="eastAsia" w:ascii="宋体" w:hAnsi="宋体" w:eastAsia="宋体"/>
                <w:bCs/>
                <w:sz w:val="24"/>
                <w:highlight w:val="none"/>
              </w:rPr>
              <w:t>所投设备技</w:t>
            </w:r>
          </w:p>
          <w:p w14:paraId="2FDCE45A">
            <w:pPr>
              <w:spacing w:line="360" w:lineRule="auto"/>
              <w:jc w:val="center"/>
              <w:rPr>
                <w:rFonts w:ascii="宋体" w:hAnsi="宋体" w:eastAsia="宋体"/>
                <w:bCs/>
                <w:sz w:val="24"/>
                <w:highlight w:val="none"/>
              </w:rPr>
            </w:pPr>
            <w:r>
              <w:rPr>
                <w:rFonts w:hint="eastAsia" w:ascii="宋体" w:hAnsi="宋体" w:eastAsia="宋体"/>
                <w:bCs/>
                <w:sz w:val="24"/>
                <w:highlight w:val="none"/>
              </w:rPr>
              <w:t>术参数及要</w:t>
            </w:r>
          </w:p>
          <w:p w14:paraId="3B7DF42B">
            <w:pPr>
              <w:spacing w:line="360" w:lineRule="auto"/>
              <w:jc w:val="center"/>
              <w:rPr>
                <w:rFonts w:ascii="宋体" w:hAnsi="宋体" w:eastAsia="宋体"/>
                <w:bCs/>
                <w:sz w:val="24"/>
                <w:highlight w:val="none"/>
              </w:rPr>
            </w:pPr>
            <w:r>
              <w:rPr>
                <w:rFonts w:hint="eastAsia" w:ascii="宋体" w:hAnsi="宋体" w:eastAsia="宋体"/>
                <w:bCs/>
                <w:sz w:val="24"/>
                <w:highlight w:val="none"/>
              </w:rPr>
              <w:t>求响应情况</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5DDAD930">
            <w:pPr>
              <w:widowControl/>
              <w:numPr>
                <w:ilvl w:val="0"/>
                <w:numId w:val="0"/>
              </w:numPr>
              <w:jc w:val="left"/>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lang w:val="en-US" w:eastAsia="zh-CN"/>
              </w:rPr>
              <w:t>1.</w:t>
            </w:r>
            <w:r>
              <w:rPr>
                <w:rFonts w:hint="eastAsia" w:asciiTheme="minorEastAsia" w:hAnsiTheme="minorEastAsia" w:eastAsiaTheme="minorEastAsia"/>
                <w:bCs/>
                <w:sz w:val="24"/>
                <w:highlight w:val="none"/>
              </w:rPr>
              <w:t>根据投标文件与招标文件要求重要参数（标记“</w:t>
            </w: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bCs/>
                <w:sz w:val="24"/>
                <w:highlight w:val="none"/>
              </w:rPr>
              <w:t>”的技术参数）的偏离情况进行评审。</w:t>
            </w:r>
          </w:p>
          <w:p w14:paraId="7BD27C49">
            <w:pPr>
              <w:widowControl/>
              <w:numPr>
                <w:ilvl w:val="0"/>
                <w:numId w:val="0"/>
              </w:numPr>
              <w:jc w:val="left"/>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各项性能指标均有技术支持资料且全部满足招标文件要求的得满分；技术支持资料显示不满足招标文件要求的或未提供技术支持资料的，有一项扣</w:t>
            </w:r>
            <w:r>
              <w:rPr>
                <w:rFonts w:hint="eastAsia" w:asciiTheme="minorEastAsia" w:hAnsiTheme="minorEastAsia" w:eastAsiaTheme="minorEastAsia"/>
                <w:bCs/>
                <w:sz w:val="24"/>
                <w:highlight w:val="none"/>
                <w:lang w:val="en-US" w:eastAsia="zh-CN"/>
              </w:rPr>
              <w:t>1.5</w:t>
            </w:r>
            <w:r>
              <w:rPr>
                <w:rFonts w:hint="eastAsia" w:asciiTheme="minorEastAsia" w:hAnsiTheme="minorEastAsia" w:eastAsiaTheme="minorEastAsia"/>
                <w:bCs/>
                <w:sz w:val="24"/>
                <w:highlight w:val="none"/>
              </w:rPr>
              <w:t>分，共</w:t>
            </w:r>
            <w:r>
              <w:rPr>
                <w:rFonts w:hint="eastAsia" w:asciiTheme="minorEastAsia" w:hAnsiTheme="minorEastAsia" w:eastAsiaTheme="minorEastAsia"/>
                <w:bCs/>
                <w:sz w:val="24"/>
                <w:highlight w:val="none"/>
                <w:lang w:val="en-US" w:eastAsia="zh-CN"/>
              </w:rPr>
              <w:t>11</w:t>
            </w:r>
            <w:r>
              <w:rPr>
                <w:rFonts w:hint="eastAsia" w:asciiTheme="minorEastAsia" w:hAnsiTheme="minorEastAsia" w:eastAsiaTheme="minorEastAsia"/>
                <w:bCs/>
                <w:sz w:val="24"/>
                <w:highlight w:val="none"/>
              </w:rPr>
              <w:t>项，共</w:t>
            </w:r>
            <w:r>
              <w:rPr>
                <w:rFonts w:hint="eastAsia" w:asciiTheme="minorEastAsia" w:hAnsiTheme="minorEastAsia" w:eastAsiaTheme="minorEastAsia"/>
                <w:bCs/>
                <w:sz w:val="24"/>
                <w:highlight w:val="none"/>
                <w:lang w:val="en-US" w:eastAsia="zh-CN"/>
              </w:rPr>
              <w:t>16.5</w:t>
            </w:r>
            <w:r>
              <w:rPr>
                <w:rFonts w:hint="eastAsia" w:asciiTheme="minorEastAsia" w:hAnsiTheme="minorEastAsia" w:eastAsiaTheme="minorEastAsia"/>
                <w:bCs/>
                <w:sz w:val="24"/>
                <w:highlight w:val="none"/>
              </w:rPr>
              <w:t>分。（同一项参数不重复扣分）。</w:t>
            </w:r>
          </w:p>
          <w:p w14:paraId="7912074D">
            <w:pPr>
              <w:widowControl/>
              <w:jc w:val="left"/>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2.根据投标文件与招标文件要求的一般参数（未标记“</w:t>
            </w: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bCs/>
                <w:sz w:val="24"/>
                <w:highlight w:val="none"/>
              </w:rPr>
              <w:t xml:space="preserve">”的技术参数）偏离情况进行评审。 </w:t>
            </w:r>
          </w:p>
          <w:p w14:paraId="474868B2">
            <w:pPr>
              <w:widowControl/>
              <w:jc w:val="left"/>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各项性能指标全部满足招标文件要求的得满分；不满足招标文件要求的（以投标文件投标响应表载明的为准），有一项扣</w:t>
            </w:r>
            <w:r>
              <w:rPr>
                <w:rFonts w:hint="eastAsia" w:asciiTheme="minorEastAsia" w:hAnsiTheme="minorEastAsia" w:eastAsiaTheme="minorEastAsia"/>
                <w:bCs/>
                <w:sz w:val="24"/>
                <w:highlight w:val="none"/>
                <w:lang w:val="en-US" w:eastAsia="zh-CN"/>
              </w:rPr>
              <w:t>0.5</w:t>
            </w:r>
            <w:r>
              <w:rPr>
                <w:rFonts w:hint="eastAsia" w:asciiTheme="minorEastAsia" w:hAnsiTheme="minorEastAsia" w:eastAsiaTheme="minorEastAsia"/>
                <w:bCs/>
                <w:sz w:val="24"/>
                <w:highlight w:val="none"/>
              </w:rPr>
              <w:t>分，共</w:t>
            </w:r>
            <w:r>
              <w:rPr>
                <w:rFonts w:hint="eastAsia" w:asciiTheme="minorEastAsia" w:hAnsiTheme="minorEastAsia" w:eastAsiaTheme="minorEastAsia"/>
                <w:bCs/>
                <w:sz w:val="24"/>
                <w:highlight w:val="none"/>
                <w:lang w:val="en-US" w:eastAsia="zh-CN"/>
              </w:rPr>
              <w:t>43</w:t>
            </w:r>
            <w:r>
              <w:rPr>
                <w:rFonts w:hint="eastAsia" w:asciiTheme="minorEastAsia" w:hAnsiTheme="minorEastAsia" w:eastAsiaTheme="minorEastAsia"/>
                <w:bCs/>
                <w:sz w:val="24"/>
                <w:highlight w:val="none"/>
              </w:rPr>
              <w:t>项，共</w:t>
            </w:r>
            <w:r>
              <w:rPr>
                <w:rFonts w:hint="eastAsia" w:asciiTheme="minorEastAsia" w:hAnsiTheme="minorEastAsia" w:eastAsiaTheme="minorEastAsia"/>
                <w:bCs/>
                <w:sz w:val="24"/>
                <w:highlight w:val="none"/>
                <w:lang w:val="en-US" w:eastAsia="zh-CN"/>
              </w:rPr>
              <w:t>21.5</w:t>
            </w:r>
            <w:r>
              <w:rPr>
                <w:rFonts w:hint="eastAsia" w:asciiTheme="minorEastAsia" w:hAnsiTheme="minorEastAsia" w:eastAsiaTheme="minorEastAsia"/>
                <w:bCs/>
                <w:sz w:val="24"/>
                <w:highlight w:val="none"/>
              </w:rPr>
              <w:t>分。（同一项参数不重复扣分）</w:t>
            </w:r>
          </w:p>
          <w:p w14:paraId="6F16CE79">
            <w:pPr>
              <w:widowControl/>
              <w:jc w:val="left"/>
              <w:rPr>
                <w:highlight w:val="none"/>
              </w:rPr>
            </w:pPr>
            <w:r>
              <w:rPr>
                <w:rFonts w:hint="eastAsia" w:asciiTheme="minorEastAsia" w:hAnsiTheme="minorEastAsia" w:eastAsiaTheme="minorEastAsia"/>
                <w:bCs/>
                <w:sz w:val="24"/>
                <w:highlight w:val="none"/>
                <w:lang w:val="en-US" w:eastAsia="zh-CN"/>
              </w:rPr>
              <w:t>3.</w:t>
            </w:r>
            <w:r>
              <w:rPr>
                <w:rFonts w:hint="eastAsia" w:asciiTheme="minorEastAsia" w:hAnsiTheme="minorEastAsia" w:eastAsiaTheme="minorEastAsia"/>
                <w:bCs/>
                <w:sz w:val="24"/>
                <w:highlight w:val="none"/>
              </w:rPr>
              <w:t>重要参数（标记“</w:t>
            </w: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bCs/>
                <w:sz w:val="24"/>
                <w:highlight w:val="none"/>
              </w:rPr>
              <w:t>”的技术参数）</w:t>
            </w:r>
            <w:r>
              <w:rPr>
                <w:rFonts w:hint="eastAsia" w:asciiTheme="minorEastAsia" w:hAnsiTheme="minorEastAsia" w:eastAsiaTheme="minorEastAsia"/>
                <w:b w:val="0"/>
                <w:bCs/>
                <w:sz w:val="24"/>
                <w:highlight w:val="none"/>
                <w:lang w:val="en-US" w:eastAsia="zh-CN"/>
              </w:rPr>
              <w:t>负偏离3项及以上的，第1小项不得分，</w:t>
            </w:r>
            <w:r>
              <w:rPr>
                <w:rFonts w:hint="eastAsia" w:asciiTheme="minorEastAsia" w:hAnsiTheme="minorEastAsia" w:eastAsiaTheme="minorEastAsia"/>
                <w:bCs/>
                <w:sz w:val="24"/>
                <w:highlight w:val="none"/>
              </w:rPr>
              <w:t>一般参数（未标记“</w:t>
            </w: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bCs/>
                <w:sz w:val="24"/>
                <w:highlight w:val="none"/>
              </w:rPr>
              <w:t>”的技术参数）</w:t>
            </w:r>
            <w:r>
              <w:rPr>
                <w:rFonts w:hint="eastAsia" w:asciiTheme="minorEastAsia" w:hAnsiTheme="minorEastAsia" w:eastAsiaTheme="minorEastAsia"/>
                <w:b w:val="0"/>
                <w:bCs/>
                <w:sz w:val="24"/>
                <w:highlight w:val="none"/>
                <w:lang w:val="en-US" w:eastAsia="zh-CN"/>
              </w:rPr>
              <w:t>负偏离14项及以上的，第2小项不得分。全部参数负偏离17项及以上的，此项技术参数及要求响应情况不得分。</w:t>
            </w:r>
          </w:p>
          <w:p w14:paraId="1154369C">
            <w:pPr>
              <w:widowControl/>
              <w:jc w:val="left"/>
              <w:rPr>
                <w:rFonts w:ascii="宋体" w:hAnsi="宋体" w:eastAsia="宋体"/>
                <w:bCs/>
                <w:sz w:val="24"/>
                <w:highlight w:val="none"/>
              </w:rPr>
            </w:pPr>
            <w:r>
              <w:rPr>
                <w:rFonts w:hint="eastAsia" w:asciiTheme="minorEastAsia" w:hAnsiTheme="minorEastAsia" w:eastAsiaTheme="minorEastAsia"/>
                <w:b/>
                <w:sz w:val="24"/>
                <w:highlight w:val="none"/>
              </w:rPr>
              <w:t>注：以技术规格偏离表和要求提供的证明资料为准。未标注</w:t>
            </w:r>
            <w:r>
              <w:rPr>
                <w:rFonts w:hint="eastAsia" w:ascii="宋体" w:hAnsi="宋体" w:eastAsia="宋体" w:cs="宋体"/>
                <w:color w:val="000000"/>
                <w:kern w:val="0"/>
                <w:sz w:val="24"/>
                <w:szCs w:val="24"/>
                <w:highlight w:val="none"/>
                <w:lang w:bidi="ar"/>
              </w:rPr>
              <w:t>“</w:t>
            </w:r>
            <w:r>
              <w:rPr>
                <w:rFonts w:hint="eastAsia" w:ascii="宋体" w:hAnsi="宋体" w:eastAsia="宋体" w:cs="宋体"/>
                <w:bCs/>
                <w:color w:val="000000"/>
                <w:kern w:val="0"/>
                <w:sz w:val="24"/>
                <w:szCs w:val="24"/>
                <w:highlight w:val="none"/>
              </w:rPr>
              <w:t>▲</w:t>
            </w:r>
            <w:r>
              <w:rPr>
                <w:rFonts w:hint="eastAsia" w:ascii="宋体" w:hAnsi="宋体" w:eastAsia="宋体" w:cs="宋体"/>
                <w:color w:val="000000"/>
                <w:kern w:val="0"/>
                <w:sz w:val="24"/>
                <w:szCs w:val="24"/>
                <w:highlight w:val="none"/>
                <w:lang w:bidi="ar"/>
              </w:rPr>
              <w:t>”</w:t>
            </w:r>
            <w:r>
              <w:rPr>
                <w:rFonts w:hint="eastAsia" w:asciiTheme="minorEastAsia" w:hAnsiTheme="minorEastAsia" w:eastAsiaTheme="minorEastAsia"/>
                <w:b/>
                <w:sz w:val="24"/>
                <w:highlight w:val="none"/>
              </w:rPr>
              <w:t>的技术参数响应情况以技术规格偏离表中的响应情况为准；标注</w:t>
            </w:r>
            <w:r>
              <w:rPr>
                <w:rFonts w:hint="eastAsia" w:ascii="宋体" w:hAnsi="宋体" w:eastAsia="宋体" w:cs="宋体"/>
                <w:color w:val="000000"/>
                <w:kern w:val="0"/>
                <w:sz w:val="24"/>
                <w:szCs w:val="24"/>
                <w:highlight w:val="none"/>
                <w:lang w:bidi="ar"/>
              </w:rPr>
              <w:t>“</w:t>
            </w:r>
            <w:r>
              <w:rPr>
                <w:rFonts w:hint="eastAsia" w:ascii="宋体" w:hAnsi="宋体" w:eastAsia="宋体" w:cs="宋体"/>
                <w:bCs/>
                <w:color w:val="000000"/>
                <w:kern w:val="0"/>
                <w:sz w:val="24"/>
                <w:szCs w:val="24"/>
                <w:highlight w:val="none"/>
              </w:rPr>
              <w:t>▲</w:t>
            </w:r>
            <w:r>
              <w:rPr>
                <w:rFonts w:hint="eastAsia" w:ascii="宋体" w:hAnsi="宋体" w:eastAsia="宋体" w:cs="宋体"/>
                <w:color w:val="000000"/>
                <w:kern w:val="0"/>
                <w:sz w:val="24"/>
                <w:szCs w:val="24"/>
                <w:highlight w:val="none"/>
                <w:lang w:bidi="ar"/>
              </w:rPr>
              <w:t>”</w:t>
            </w:r>
            <w:r>
              <w:rPr>
                <w:rFonts w:hint="eastAsia" w:asciiTheme="minorEastAsia" w:hAnsiTheme="minorEastAsia" w:eastAsiaTheme="minorEastAsia"/>
                <w:b/>
                <w:sz w:val="24"/>
                <w:highlight w:val="none"/>
              </w:rPr>
              <w:t>的条款，须提供相关证明材料，如招标文件中明确要求证明材料类型，则以招标文件明确要求的材料为准，如未明确证明材料的类型，则以技术支持资料作为评审依据，技术支持资料包括：医疗器械注册证、具有“CMA”标识且在有效期内的检测或检验报告扫描件或者由放射卫生技术服务机构出具的且在有效期内的检测或检验报告并提供卫健委官网查询截图、技术彩页、技术白皮书、官网截图等，提供其中之一即可。</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44391568">
            <w:pPr>
              <w:spacing w:line="360" w:lineRule="auto"/>
              <w:jc w:val="center"/>
              <w:rPr>
                <w:rFonts w:ascii="宋体" w:hAnsi="宋体" w:eastAsia="宋体"/>
                <w:b/>
                <w:bCs/>
                <w:sz w:val="24"/>
                <w:highlight w:val="none"/>
              </w:rPr>
            </w:pPr>
            <w:r>
              <w:rPr>
                <w:rFonts w:hint="eastAsia" w:ascii="宋体" w:hAnsi="宋体" w:eastAsia="宋体"/>
                <w:bCs/>
                <w:sz w:val="24"/>
                <w:highlight w:val="none"/>
              </w:rPr>
              <w:t>0-</w:t>
            </w:r>
            <w:r>
              <w:rPr>
                <w:rFonts w:hint="eastAsia" w:ascii="宋体" w:hAnsi="宋体" w:eastAsia="宋体"/>
                <w:bCs/>
                <w:sz w:val="24"/>
                <w:highlight w:val="none"/>
                <w:lang w:val="en-US" w:eastAsia="zh-CN"/>
              </w:rPr>
              <w:t>38</w:t>
            </w:r>
            <w:r>
              <w:rPr>
                <w:rFonts w:hint="eastAsia" w:ascii="宋体" w:hAnsi="宋体" w:eastAsia="宋体"/>
                <w:bCs/>
                <w:sz w:val="24"/>
                <w:highlight w:val="none"/>
              </w:rPr>
              <w:t>分</w:t>
            </w:r>
          </w:p>
        </w:tc>
      </w:tr>
      <w:tr w14:paraId="098B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tcBorders>
              <w:left w:val="single" w:color="auto" w:sz="4" w:space="0"/>
              <w:right w:val="single" w:color="auto" w:sz="4" w:space="0"/>
            </w:tcBorders>
            <w:noWrap w:val="0"/>
            <w:vAlign w:val="center"/>
          </w:tcPr>
          <w:p w14:paraId="305F2C8C">
            <w:pPr>
              <w:spacing w:line="360" w:lineRule="auto"/>
              <w:ind w:firstLine="435"/>
              <w:jc w:val="center"/>
              <w:rPr>
                <w:rFonts w:ascii="宋体" w:hAnsi="宋体" w:eastAsia="宋体"/>
                <w:b/>
                <w:bCs/>
                <w:sz w:val="24"/>
                <w:highlight w:val="none"/>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14:paraId="1BF8B23D">
            <w:pPr>
              <w:spacing w:line="360" w:lineRule="auto"/>
              <w:jc w:val="center"/>
              <w:rPr>
                <w:rFonts w:ascii="宋体" w:hAnsi="宋体" w:eastAsia="宋体"/>
                <w:sz w:val="24"/>
                <w:highlight w:val="none"/>
              </w:rPr>
            </w:pPr>
            <w:r>
              <w:rPr>
                <w:rFonts w:hint="eastAsia" w:ascii="宋体" w:hAnsi="宋体" w:eastAsia="宋体"/>
                <w:sz w:val="24"/>
                <w:highlight w:val="none"/>
              </w:rPr>
              <w:t>产品业绩</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630D54DF">
            <w:pPr>
              <w:jc w:val="left"/>
              <w:rPr>
                <w:rFonts w:ascii="宋体" w:hAnsi="宋体" w:eastAsia="宋体"/>
                <w:sz w:val="24"/>
                <w:highlight w:val="none"/>
              </w:rPr>
            </w:pPr>
            <w:r>
              <w:rPr>
                <w:rFonts w:hint="eastAsia" w:ascii="宋体" w:hAnsi="宋体" w:eastAsia="宋体"/>
                <w:sz w:val="24"/>
                <w:highlight w:val="none"/>
              </w:rPr>
              <w:t>202</w:t>
            </w:r>
            <w:r>
              <w:rPr>
                <w:rFonts w:hint="eastAsia" w:ascii="宋体" w:hAnsi="宋体" w:eastAsia="宋体"/>
                <w:sz w:val="24"/>
                <w:highlight w:val="none"/>
                <w:lang w:val="en-US" w:eastAsia="zh-CN"/>
              </w:rPr>
              <w:t>2</w:t>
            </w:r>
            <w:r>
              <w:rPr>
                <w:rFonts w:hint="eastAsia" w:ascii="宋体" w:hAnsi="宋体" w:eastAsia="宋体"/>
                <w:sz w:val="24"/>
                <w:highlight w:val="none"/>
              </w:rPr>
              <w:t>年01月01日至今（以合同签订时间为准），具有所投</w:t>
            </w:r>
            <w:r>
              <w:rPr>
                <w:rFonts w:hint="eastAsia" w:ascii="宋体" w:hAnsi="宋体" w:eastAsia="宋体"/>
                <w:sz w:val="24"/>
                <w:highlight w:val="none"/>
                <w:lang w:eastAsia="zh-CN"/>
              </w:rPr>
              <w:t>设备</w:t>
            </w:r>
            <w:r>
              <w:rPr>
                <w:rFonts w:hint="eastAsia" w:ascii="宋体" w:hAnsi="宋体" w:eastAsia="宋体"/>
                <w:sz w:val="24"/>
                <w:highlight w:val="none"/>
              </w:rPr>
              <w:t>产品（</w:t>
            </w:r>
            <w:r>
              <w:rPr>
                <w:rFonts w:hint="eastAsia" w:ascii="宋体" w:hAnsi="宋体" w:eastAsia="宋体"/>
                <w:b/>
                <w:bCs/>
                <w:sz w:val="24"/>
                <w:highlight w:val="none"/>
              </w:rPr>
              <w:t>同品牌同型号</w:t>
            </w:r>
            <w:r>
              <w:rPr>
                <w:rFonts w:hint="eastAsia" w:ascii="宋体" w:hAnsi="宋体" w:eastAsia="宋体"/>
                <w:b/>
                <w:bCs/>
                <w:sz w:val="24"/>
                <w:highlight w:val="none"/>
                <w:lang w:eastAsia="zh-CN"/>
              </w:rPr>
              <w:t>，</w:t>
            </w:r>
            <w:r>
              <w:rPr>
                <w:rFonts w:hint="eastAsia" w:ascii="宋体" w:hAnsi="宋体" w:eastAsia="宋体"/>
                <w:b/>
                <w:bCs/>
                <w:sz w:val="24"/>
                <w:highlight w:val="none"/>
                <w:lang w:val="en-US" w:eastAsia="zh-CN"/>
              </w:rPr>
              <w:t>至少包括</w:t>
            </w:r>
            <w:r>
              <w:rPr>
                <w:rFonts w:hint="eastAsia" w:asciiTheme="minorEastAsia" w:hAnsiTheme="minorEastAsia" w:eastAsiaTheme="minorEastAsia"/>
                <w:b/>
                <w:bCs/>
                <w:sz w:val="24"/>
                <w:highlight w:val="none"/>
                <w:lang w:val="en-US" w:eastAsia="zh-CN"/>
              </w:rPr>
              <w:t>便携式彩超主机</w:t>
            </w:r>
            <w:r>
              <w:rPr>
                <w:rFonts w:hint="eastAsia" w:ascii="宋体" w:hAnsi="宋体" w:eastAsia="宋体"/>
                <w:sz w:val="24"/>
                <w:highlight w:val="none"/>
              </w:rPr>
              <w:t>）的供货业绩，每提供一个业绩得</w:t>
            </w:r>
            <w:r>
              <w:rPr>
                <w:rFonts w:hint="eastAsia" w:ascii="宋体" w:hAnsi="宋体" w:eastAsia="宋体"/>
                <w:sz w:val="24"/>
                <w:highlight w:val="none"/>
                <w:lang w:val="en-US" w:eastAsia="zh-CN"/>
              </w:rPr>
              <w:t>1</w:t>
            </w:r>
            <w:r>
              <w:rPr>
                <w:rFonts w:hint="eastAsia" w:ascii="宋体" w:hAnsi="宋体" w:eastAsia="宋体"/>
                <w:sz w:val="24"/>
                <w:highlight w:val="none"/>
              </w:rPr>
              <w:t>分，满分</w:t>
            </w:r>
            <w:r>
              <w:rPr>
                <w:rFonts w:hint="eastAsia" w:ascii="宋体" w:hAnsi="宋体" w:eastAsia="宋体"/>
                <w:sz w:val="24"/>
                <w:highlight w:val="none"/>
                <w:lang w:val="en-US" w:eastAsia="zh-CN"/>
              </w:rPr>
              <w:t>2</w:t>
            </w:r>
            <w:r>
              <w:rPr>
                <w:rFonts w:hint="eastAsia" w:ascii="宋体" w:hAnsi="宋体" w:eastAsia="宋体"/>
                <w:sz w:val="24"/>
                <w:highlight w:val="none"/>
              </w:rPr>
              <w:t>分。</w:t>
            </w:r>
          </w:p>
          <w:p w14:paraId="38061E8C">
            <w:pPr>
              <w:jc w:val="left"/>
              <w:rPr>
                <w:rFonts w:ascii="宋体" w:hAnsi="宋体" w:eastAsia="宋体"/>
                <w:sz w:val="24"/>
                <w:highlight w:val="none"/>
              </w:rPr>
            </w:pPr>
            <w:r>
              <w:rPr>
                <w:rFonts w:hint="eastAsia" w:ascii="宋体" w:hAnsi="宋体" w:eastAsia="宋体"/>
                <w:b/>
                <w:bCs/>
                <w:sz w:val="24"/>
                <w:highlight w:val="none"/>
              </w:rPr>
              <w:t>注：投标文件中提供合同扫描件。如合同材料中无法体现合同签订时间等评审因素的，须同时提供业主单位加盖公章证明材料扫描件，否则不得分；特别说明：此处业绩系指所投产品业绩，业绩合同中产品须与所投产品品牌型号一致。</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1D92972C">
            <w:pPr>
              <w:spacing w:line="360" w:lineRule="auto"/>
              <w:jc w:val="center"/>
              <w:rPr>
                <w:rFonts w:ascii="宋体" w:hAnsi="宋体" w:eastAsia="宋体"/>
                <w:b/>
                <w:bCs/>
                <w:sz w:val="24"/>
                <w:highlight w:val="none"/>
              </w:rPr>
            </w:pPr>
            <w:r>
              <w:rPr>
                <w:rFonts w:hint="eastAsia" w:ascii="宋体" w:hAnsi="宋体" w:eastAsia="宋体"/>
                <w:bCs/>
                <w:sz w:val="24"/>
                <w:highlight w:val="none"/>
              </w:rPr>
              <w:t>0-</w:t>
            </w:r>
            <w:r>
              <w:rPr>
                <w:rFonts w:hint="eastAsia" w:ascii="宋体" w:hAnsi="宋体" w:eastAsia="宋体"/>
                <w:bCs/>
                <w:sz w:val="24"/>
                <w:highlight w:val="none"/>
                <w:lang w:val="en-US" w:eastAsia="zh-CN"/>
              </w:rPr>
              <w:t>2</w:t>
            </w:r>
            <w:r>
              <w:rPr>
                <w:rFonts w:hint="eastAsia" w:ascii="宋体" w:hAnsi="宋体" w:eastAsia="宋体"/>
                <w:bCs/>
                <w:sz w:val="24"/>
                <w:highlight w:val="none"/>
              </w:rPr>
              <w:t>分</w:t>
            </w:r>
          </w:p>
        </w:tc>
      </w:tr>
      <w:tr w14:paraId="5BC56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tcBorders>
              <w:left w:val="single" w:color="auto" w:sz="4" w:space="0"/>
              <w:right w:val="single" w:color="auto" w:sz="4" w:space="0"/>
            </w:tcBorders>
            <w:noWrap w:val="0"/>
            <w:vAlign w:val="center"/>
          </w:tcPr>
          <w:p w14:paraId="2C3A4C4E">
            <w:pPr>
              <w:spacing w:line="360" w:lineRule="auto"/>
              <w:ind w:firstLine="435"/>
              <w:jc w:val="center"/>
              <w:rPr>
                <w:rFonts w:ascii="宋体" w:hAnsi="宋体" w:eastAsia="宋体"/>
                <w:b/>
                <w:bCs/>
                <w:sz w:val="24"/>
                <w:highlight w:val="none"/>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14:paraId="4184F60B">
            <w:pPr>
              <w:spacing w:line="360" w:lineRule="auto"/>
              <w:jc w:val="center"/>
              <w:rPr>
                <w:rFonts w:ascii="宋体" w:hAnsi="宋体" w:eastAsia="宋体"/>
                <w:sz w:val="24"/>
                <w:highlight w:val="none"/>
              </w:rPr>
            </w:pPr>
            <w:r>
              <w:rPr>
                <w:rFonts w:hint="eastAsia" w:ascii="宋体" w:hAnsi="宋体" w:eastAsia="宋体"/>
                <w:sz w:val="24"/>
                <w:highlight w:val="none"/>
              </w:rPr>
              <w:t>免费质保期</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7802B6AE">
            <w:pPr>
              <w:jc w:val="left"/>
              <w:rPr>
                <w:rFonts w:ascii="宋体" w:hAnsi="宋体" w:eastAsia="宋体"/>
                <w:sz w:val="24"/>
                <w:highlight w:val="none"/>
              </w:rPr>
            </w:pPr>
            <w:r>
              <w:rPr>
                <w:rFonts w:hint="eastAsia" w:ascii="宋体" w:hAnsi="宋体" w:eastAsia="宋体"/>
                <w:sz w:val="24"/>
                <w:highlight w:val="none"/>
              </w:rPr>
              <w:t>投标人在满足招标文件要求的免费质保期（</w:t>
            </w:r>
            <w:r>
              <w:rPr>
                <w:rFonts w:hint="eastAsia" w:ascii="宋体" w:hAnsi="宋体" w:eastAsia="宋体"/>
                <w:b/>
                <w:bCs/>
                <w:sz w:val="24"/>
                <w:highlight w:val="none"/>
              </w:rPr>
              <w:t>5年</w:t>
            </w:r>
            <w:r>
              <w:rPr>
                <w:rFonts w:hint="eastAsia" w:ascii="宋体" w:hAnsi="宋体" w:eastAsia="宋体"/>
                <w:b/>
                <w:bCs/>
                <w:sz w:val="24"/>
                <w:highlight w:val="none"/>
                <w:lang w:eastAsia="zh-CN"/>
              </w:rPr>
              <w:t>整机</w:t>
            </w:r>
            <w:r>
              <w:rPr>
                <w:rFonts w:hint="eastAsia" w:ascii="宋体" w:hAnsi="宋体" w:eastAsia="宋体"/>
                <w:b/>
                <w:bCs/>
                <w:sz w:val="24"/>
                <w:highlight w:val="none"/>
              </w:rPr>
              <w:t>原厂质保</w:t>
            </w:r>
            <w:r>
              <w:rPr>
                <w:rFonts w:hint="eastAsia" w:ascii="宋体" w:hAnsi="宋体" w:eastAsia="宋体"/>
                <w:sz w:val="24"/>
                <w:highlight w:val="none"/>
              </w:rPr>
              <w:t>）的基础上，免费质保期每增加1年整机</w:t>
            </w:r>
            <w:r>
              <w:rPr>
                <w:rFonts w:hint="eastAsia" w:ascii="宋体" w:hAnsi="宋体" w:eastAsia="宋体"/>
                <w:b w:val="0"/>
                <w:bCs w:val="0"/>
                <w:sz w:val="24"/>
                <w:highlight w:val="none"/>
              </w:rPr>
              <w:t>原厂质保</w:t>
            </w:r>
            <w:r>
              <w:rPr>
                <w:rFonts w:hint="eastAsia" w:ascii="宋体" w:hAnsi="宋体" w:eastAsia="宋体"/>
                <w:sz w:val="24"/>
                <w:highlight w:val="none"/>
              </w:rPr>
              <w:t>的，加</w:t>
            </w:r>
            <w:r>
              <w:rPr>
                <w:rFonts w:hint="eastAsia" w:ascii="宋体" w:hAnsi="宋体" w:eastAsia="宋体"/>
                <w:sz w:val="24"/>
                <w:highlight w:val="none"/>
                <w:lang w:val="en-US" w:eastAsia="zh-CN"/>
              </w:rPr>
              <w:t>2</w:t>
            </w:r>
            <w:r>
              <w:rPr>
                <w:rFonts w:hint="eastAsia" w:ascii="宋体" w:hAnsi="宋体" w:eastAsia="宋体"/>
                <w:sz w:val="24"/>
                <w:highlight w:val="none"/>
              </w:rPr>
              <w:t>分，最高加</w:t>
            </w:r>
            <w:r>
              <w:rPr>
                <w:rFonts w:hint="eastAsia" w:ascii="宋体" w:hAnsi="宋体" w:eastAsia="宋体"/>
                <w:sz w:val="24"/>
                <w:highlight w:val="none"/>
                <w:lang w:val="en-US" w:eastAsia="zh-CN"/>
              </w:rPr>
              <w:t>4</w:t>
            </w:r>
            <w:r>
              <w:rPr>
                <w:rFonts w:hint="eastAsia" w:ascii="宋体" w:hAnsi="宋体" w:eastAsia="宋体"/>
                <w:sz w:val="24"/>
                <w:highlight w:val="none"/>
              </w:rPr>
              <w:t>分（增加不足1年的不加分）。</w:t>
            </w:r>
          </w:p>
          <w:p w14:paraId="38FA1010">
            <w:pPr>
              <w:jc w:val="left"/>
              <w:rPr>
                <w:rFonts w:ascii="宋体" w:hAnsi="宋体" w:eastAsia="宋体"/>
                <w:sz w:val="24"/>
                <w:highlight w:val="none"/>
              </w:rPr>
            </w:pPr>
            <w:r>
              <w:rPr>
                <w:rFonts w:hint="eastAsia" w:ascii="宋体" w:hAnsi="宋体" w:eastAsia="宋体"/>
                <w:b/>
                <w:bCs/>
                <w:sz w:val="24"/>
                <w:highlight w:val="none"/>
              </w:rPr>
              <w:t>注：以《商务响应表》中填写的质保期作为评审依据。</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774354BD">
            <w:pPr>
              <w:spacing w:line="360" w:lineRule="auto"/>
              <w:jc w:val="center"/>
              <w:rPr>
                <w:rFonts w:ascii="宋体" w:hAnsi="宋体" w:eastAsia="宋体"/>
                <w:b/>
                <w:bCs/>
                <w:sz w:val="24"/>
                <w:highlight w:val="none"/>
              </w:rPr>
            </w:pPr>
            <w:r>
              <w:rPr>
                <w:rFonts w:hint="eastAsia" w:ascii="宋体" w:hAnsi="宋体" w:eastAsia="宋体"/>
                <w:bCs/>
                <w:sz w:val="24"/>
                <w:highlight w:val="none"/>
              </w:rPr>
              <w:t>0-</w:t>
            </w:r>
            <w:r>
              <w:rPr>
                <w:rFonts w:hint="eastAsia" w:ascii="宋体" w:hAnsi="宋体" w:eastAsia="宋体"/>
                <w:bCs/>
                <w:sz w:val="24"/>
                <w:highlight w:val="none"/>
                <w:lang w:val="en-US" w:eastAsia="zh-CN"/>
              </w:rPr>
              <w:t>4</w:t>
            </w:r>
            <w:r>
              <w:rPr>
                <w:rFonts w:hint="eastAsia" w:ascii="宋体" w:hAnsi="宋体" w:eastAsia="宋体"/>
                <w:bCs/>
                <w:sz w:val="24"/>
                <w:highlight w:val="none"/>
              </w:rPr>
              <w:t>分</w:t>
            </w:r>
          </w:p>
        </w:tc>
      </w:tr>
      <w:tr w14:paraId="533A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tcBorders>
              <w:left w:val="single" w:color="auto" w:sz="4" w:space="0"/>
              <w:right w:val="single" w:color="auto" w:sz="4" w:space="0"/>
            </w:tcBorders>
            <w:noWrap w:val="0"/>
            <w:vAlign w:val="center"/>
          </w:tcPr>
          <w:p w14:paraId="65DACEF2">
            <w:pPr>
              <w:spacing w:line="360" w:lineRule="auto"/>
              <w:ind w:firstLine="435"/>
              <w:jc w:val="center"/>
              <w:rPr>
                <w:rFonts w:ascii="宋体" w:hAnsi="宋体" w:eastAsia="宋体"/>
                <w:b/>
                <w:bCs/>
                <w:sz w:val="24"/>
                <w:highlight w:val="none"/>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14:paraId="6349D6C6">
            <w:pPr>
              <w:spacing w:line="360" w:lineRule="auto"/>
              <w:jc w:val="center"/>
              <w:rPr>
                <w:rFonts w:ascii="宋体" w:hAnsi="宋体" w:eastAsia="宋体"/>
                <w:sz w:val="24"/>
                <w:highlight w:val="none"/>
              </w:rPr>
            </w:pPr>
            <w:r>
              <w:rPr>
                <w:rFonts w:hint="eastAsia" w:ascii="宋体" w:hAnsi="宋体" w:eastAsia="宋体"/>
                <w:sz w:val="24"/>
                <w:highlight w:val="none"/>
              </w:rPr>
              <w:t>产品技术先</w:t>
            </w:r>
          </w:p>
          <w:p w14:paraId="4D578268">
            <w:pPr>
              <w:spacing w:line="360" w:lineRule="auto"/>
              <w:jc w:val="center"/>
              <w:rPr>
                <w:rFonts w:ascii="宋体" w:hAnsi="宋体" w:eastAsia="宋体"/>
                <w:sz w:val="24"/>
                <w:highlight w:val="none"/>
              </w:rPr>
            </w:pPr>
            <w:r>
              <w:rPr>
                <w:rFonts w:hint="eastAsia" w:ascii="宋体" w:hAnsi="宋体" w:eastAsia="宋体"/>
                <w:sz w:val="24"/>
                <w:highlight w:val="none"/>
              </w:rPr>
              <w:t>进性及维修</w:t>
            </w:r>
          </w:p>
          <w:p w14:paraId="79A71F57">
            <w:pPr>
              <w:spacing w:line="360" w:lineRule="auto"/>
              <w:jc w:val="center"/>
              <w:rPr>
                <w:rFonts w:ascii="宋体" w:hAnsi="宋体" w:eastAsia="宋体"/>
                <w:sz w:val="24"/>
                <w:highlight w:val="none"/>
              </w:rPr>
            </w:pPr>
            <w:r>
              <w:rPr>
                <w:rFonts w:hint="eastAsia" w:ascii="宋体" w:hAnsi="宋体" w:eastAsia="宋体"/>
                <w:sz w:val="24"/>
                <w:highlight w:val="none"/>
              </w:rPr>
              <w:t>便利性等</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5A981FA5">
            <w:pPr>
              <w:widowControl/>
              <w:jc w:val="left"/>
              <w:rPr>
                <w:highlight w:val="none"/>
              </w:rPr>
            </w:pPr>
            <w:r>
              <w:rPr>
                <w:rFonts w:hint="eastAsia" w:ascii="宋体" w:hAnsi="宋体" w:eastAsia="宋体" w:cs="宋体"/>
                <w:color w:val="000000"/>
                <w:kern w:val="0"/>
                <w:sz w:val="24"/>
                <w:szCs w:val="24"/>
                <w:highlight w:val="none"/>
                <w:lang w:bidi="ar"/>
              </w:rPr>
              <w:t xml:space="preserve">根据投标人所投产品的技术先进性、设备性能、维修便利性、故障率、安全性等方面进行综合评审： </w:t>
            </w:r>
          </w:p>
          <w:p w14:paraId="72808A38">
            <w:pPr>
              <w:widowControl/>
              <w:jc w:val="left"/>
              <w:rPr>
                <w:highlight w:val="none"/>
              </w:rPr>
            </w:pPr>
            <w:r>
              <w:rPr>
                <w:rFonts w:hint="eastAsia" w:ascii="宋体" w:hAnsi="宋体" w:eastAsia="宋体" w:cs="宋体"/>
                <w:color w:val="000000"/>
                <w:kern w:val="0"/>
                <w:sz w:val="24"/>
                <w:szCs w:val="24"/>
                <w:highlight w:val="none"/>
                <w:lang w:bidi="ar"/>
              </w:rPr>
              <w:t>1、所投产品技术先进优越、性能稳定的得</w:t>
            </w: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bidi="ar"/>
              </w:rPr>
              <w:t>分；所投产品技术较先进，运行稳定的得</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分；所投产品基本满足要求符合标准的得</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bidi="ar"/>
              </w:rPr>
              <w:t xml:space="preserve">分。 </w:t>
            </w:r>
          </w:p>
          <w:p w14:paraId="084A4E69">
            <w:pPr>
              <w:widowControl/>
              <w:jc w:val="left"/>
              <w:rPr>
                <w:highlight w:val="none"/>
              </w:rPr>
            </w:pPr>
            <w:r>
              <w:rPr>
                <w:rFonts w:hint="eastAsia" w:ascii="宋体" w:hAnsi="宋体" w:eastAsia="宋体" w:cs="宋体"/>
                <w:color w:val="000000"/>
                <w:kern w:val="0"/>
                <w:sz w:val="24"/>
                <w:szCs w:val="24"/>
                <w:highlight w:val="none"/>
                <w:lang w:bidi="ar"/>
              </w:rPr>
              <w:t xml:space="preserve">2、所投产品维修便利，故障率低、安全性高的得 </w:t>
            </w: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bidi="ar"/>
              </w:rPr>
              <w:t>分；所投产品维修较便利，故障率较低的得</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分；所投产品维修便利性有待提高的得</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bidi="ar"/>
              </w:rPr>
              <w:t xml:space="preserve">分。 </w:t>
            </w:r>
          </w:p>
          <w:p w14:paraId="33CF4EA1">
            <w:pPr>
              <w:widowControl/>
              <w:jc w:val="left"/>
              <w:rPr>
                <w:rFonts w:ascii="宋体" w:hAnsi="宋体" w:eastAsia="宋体"/>
                <w:sz w:val="24"/>
                <w:highlight w:val="none"/>
              </w:rPr>
            </w:pPr>
            <w:r>
              <w:rPr>
                <w:rFonts w:hint="eastAsia" w:ascii="宋体" w:hAnsi="宋体" w:eastAsia="宋体" w:cs="宋体"/>
                <w:b/>
                <w:bCs/>
                <w:color w:val="000000"/>
                <w:kern w:val="0"/>
                <w:sz w:val="24"/>
                <w:szCs w:val="24"/>
                <w:highlight w:val="none"/>
                <w:lang w:bidi="ar"/>
              </w:rPr>
              <w:t>注：投标文件中提供证明材料，证明材料无固定形式，如产品技术说明，故障率、维修使用等说明，未提供任何材料的不得分。</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612FCDFA">
            <w:pPr>
              <w:spacing w:line="360" w:lineRule="auto"/>
              <w:jc w:val="center"/>
              <w:rPr>
                <w:rFonts w:ascii="宋体" w:hAnsi="宋体" w:eastAsia="宋体"/>
                <w:b/>
                <w:bCs/>
                <w:sz w:val="24"/>
                <w:highlight w:val="none"/>
              </w:rPr>
            </w:pPr>
            <w:r>
              <w:rPr>
                <w:rFonts w:hint="eastAsia" w:ascii="宋体" w:hAnsi="宋体" w:eastAsia="宋体"/>
                <w:bCs/>
                <w:sz w:val="24"/>
                <w:highlight w:val="none"/>
              </w:rPr>
              <w:t>0-</w:t>
            </w:r>
            <w:r>
              <w:rPr>
                <w:rFonts w:hint="eastAsia" w:ascii="宋体" w:hAnsi="宋体" w:eastAsia="宋体"/>
                <w:bCs/>
                <w:sz w:val="24"/>
                <w:highlight w:val="none"/>
                <w:lang w:val="en-US" w:eastAsia="zh-CN"/>
              </w:rPr>
              <w:t>6</w:t>
            </w:r>
            <w:r>
              <w:rPr>
                <w:rFonts w:hint="eastAsia" w:ascii="宋体" w:hAnsi="宋体" w:eastAsia="宋体"/>
                <w:bCs/>
                <w:sz w:val="24"/>
                <w:highlight w:val="none"/>
              </w:rPr>
              <w:t>分</w:t>
            </w:r>
          </w:p>
        </w:tc>
      </w:tr>
      <w:tr w14:paraId="7747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tcBorders>
              <w:left w:val="single" w:color="auto" w:sz="4" w:space="0"/>
              <w:right w:val="single" w:color="auto" w:sz="4" w:space="0"/>
            </w:tcBorders>
            <w:noWrap w:val="0"/>
            <w:vAlign w:val="center"/>
          </w:tcPr>
          <w:p w14:paraId="51714894">
            <w:pPr>
              <w:spacing w:line="360" w:lineRule="auto"/>
              <w:ind w:firstLine="435"/>
              <w:jc w:val="center"/>
              <w:rPr>
                <w:rFonts w:ascii="宋体" w:hAnsi="宋体" w:eastAsia="宋体"/>
                <w:b/>
                <w:bCs/>
                <w:sz w:val="24"/>
                <w:highlight w:val="none"/>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14:paraId="7BA2FE47">
            <w:pPr>
              <w:spacing w:line="360" w:lineRule="auto"/>
              <w:jc w:val="center"/>
              <w:rPr>
                <w:rFonts w:ascii="宋体" w:hAnsi="宋体" w:eastAsia="宋体"/>
                <w:sz w:val="24"/>
                <w:highlight w:val="none"/>
              </w:rPr>
            </w:pPr>
            <w:r>
              <w:rPr>
                <w:rFonts w:hint="eastAsia" w:ascii="宋体" w:hAnsi="宋体" w:eastAsia="宋体"/>
                <w:sz w:val="24"/>
                <w:highlight w:val="none"/>
              </w:rPr>
              <w:t>供货安装及调试方案</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16E63F04">
            <w:pPr>
              <w:rPr>
                <w:rFonts w:ascii="宋体" w:hAnsi="宋体" w:eastAsia="宋体"/>
                <w:sz w:val="24"/>
                <w:highlight w:val="none"/>
              </w:rPr>
            </w:pPr>
            <w:r>
              <w:rPr>
                <w:rFonts w:hint="eastAsia" w:ascii="宋体" w:hAnsi="宋体" w:eastAsia="宋体"/>
                <w:sz w:val="24"/>
                <w:highlight w:val="none"/>
              </w:rPr>
              <w:t>评标委员会根据投标人提供的供货安装及调试方案进行评分，内容包括但不限于供货安装计划、调试流程、安全措施等方面。</w:t>
            </w:r>
          </w:p>
          <w:p w14:paraId="4FC00816">
            <w:pPr>
              <w:rPr>
                <w:rFonts w:ascii="宋体" w:hAnsi="宋体" w:eastAsia="宋体"/>
                <w:sz w:val="24"/>
                <w:highlight w:val="none"/>
              </w:rPr>
            </w:pPr>
            <w:r>
              <w:rPr>
                <w:rFonts w:hint="eastAsia" w:ascii="宋体" w:hAnsi="宋体" w:eastAsia="宋体"/>
                <w:sz w:val="24"/>
                <w:highlight w:val="none"/>
                <w:lang w:val="en-US" w:eastAsia="zh-CN"/>
              </w:rPr>
              <w:t>1、</w:t>
            </w:r>
            <w:r>
              <w:rPr>
                <w:rFonts w:hint="eastAsia" w:ascii="宋体" w:hAnsi="宋体" w:eastAsia="宋体"/>
                <w:sz w:val="24"/>
                <w:highlight w:val="none"/>
              </w:rPr>
              <w:t xml:space="preserve">方案内容完整详细，满足项目需求，可行性、实用性、针对性强，得 </w:t>
            </w:r>
            <w:r>
              <w:rPr>
                <w:rFonts w:hint="eastAsia" w:ascii="宋体" w:hAnsi="宋体" w:eastAsia="宋体"/>
                <w:sz w:val="24"/>
                <w:highlight w:val="none"/>
                <w:lang w:val="en-US" w:eastAsia="zh-CN"/>
              </w:rPr>
              <w:t>5</w:t>
            </w:r>
            <w:r>
              <w:rPr>
                <w:rFonts w:hint="eastAsia" w:ascii="宋体" w:hAnsi="宋体" w:eastAsia="宋体"/>
                <w:sz w:val="24"/>
                <w:highlight w:val="none"/>
              </w:rPr>
              <w:t xml:space="preserve"> 分；</w:t>
            </w:r>
          </w:p>
          <w:p w14:paraId="43DAF10D">
            <w:pPr>
              <w:rPr>
                <w:rFonts w:ascii="宋体" w:hAnsi="宋体" w:eastAsia="宋体"/>
                <w:sz w:val="24"/>
                <w:highlight w:val="none"/>
              </w:rPr>
            </w:pPr>
            <w:r>
              <w:rPr>
                <w:rFonts w:hint="eastAsia" w:ascii="宋体" w:hAnsi="宋体" w:eastAsia="宋体"/>
                <w:sz w:val="24"/>
                <w:highlight w:val="none"/>
                <w:lang w:val="en-US" w:eastAsia="zh-CN"/>
              </w:rPr>
              <w:t>2、</w:t>
            </w:r>
            <w:r>
              <w:rPr>
                <w:rFonts w:hint="eastAsia" w:ascii="宋体" w:hAnsi="宋体" w:eastAsia="宋体"/>
                <w:sz w:val="24"/>
                <w:highlight w:val="none"/>
              </w:rPr>
              <w:t xml:space="preserve">方案内容基本完整详细，适合项目需求，具有可行性、实用性和针对性，得 </w:t>
            </w:r>
            <w:r>
              <w:rPr>
                <w:rFonts w:hint="eastAsia" w:ascii="宋体" w:hAnsi="宋体" w:eastAsia="宋体"/>
                <w:sz w:val="24"/>
                <w:highlight w:val="none"/>
                <w:lang w:val="en-US" w:eastAsia="zh-CN"/>
              </w:rPr>
              <w:t>3</w:t>
            </w:r>
            <w:r>
              <w:rPr>
                <w:rFonts w:hint="eastAsia" w:ascii="宋体" w:hAnsi="宋体" w:eastAsia="宋体"/>
                <w:sz w:val="24"/>
                <w:highlight w:val="none"/>
              </w:rPr>
              <w:t xml:space="preserve"> 分；</w:t>
            </w:r>
          </w:p>
          <w:p w14:paraId="69FFF83C">
            <w:pPr>
              <w:rPr>
                <w:rFonts w:ascii="宋体" w:hAnsi="宋体" w:eastAsia="宋体"/>
                <w:sz w:val="24"/>
                <w:highlight w:val="none"/>
              </w:rPr>
            </w:pPr>
            <w:r>
              <w:rPr>
                <w:rFonts w:hint="eastAsia" w:ascii="宋体" w:hAnsi="宋体" w:eastAsia="宋体"/>
                <w:sz w:val="24"/>
                <w:highlight w:val="none"/>
                <w:lang w:val="en-US" w:eastAsia="zh-CN"/>
              </w:rPr>
              <w:t>3、</w:t>
            </w:r>
            <w:r>
              <w:rPr>
                <w:rFonts w:hint="eastAsia" w:ascii="宋体" w:hAnsi="宋体" w:eastAsia="宋体"/>
                <w:sz w:val="24"/>
                <w:highlight w:val="none"/>
              </w:rPr>
              <w:t>方案内容片面不全，基本适合项目需求，可行性、实用性、针对性有待改善，得 1 分；</w:t>
            </w:r>
          </w:p>
          <w:p w14:paraId="4BE8ECA2">
            <w:pPr>
              <w:rPr>
                <w:rFonts w:ascii="宋体" w:hAnsi="宋体" w:eastAsia="宋体"/>
                <w:sz w:val="24"/>
                <w:highlight w:val="none"/>
              </w:rPr>
            </w:pPr>
            <w:r>
              <w:rPr>
                <w:rFonts w:hint="eastAsia" w:ascii="宋体" w:hAnsi="宋体" w:eastAsia="宋体"/>
                <w:sz w:val="24"/>
                <w:highlight w:val="none"/>
                <w:lang w:val="en-US" w:eastAsia="zh-CN"/>
              </w:rPr>
              <w:t>4、</w:t>
            </w:r>
            <w:r>
              <w:rPr>
                <w:rFonts w:hint="eastAsia" w:ascii="宋体" w:hAnsi="宋体" w:eastAsia="宋体"/>
                <w:sz w:val="24"/>
                <w:highlight w:val="none"/>
              </w:rPr>
              <w:t>方案不可行或者未提供得 0 分。</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79C21A64">
            <w:pPr>
              <w:spacing w:line="360" w:lineRule="auto"/>
              <w:jc w:val="center"/>
              <w:rPr>
                <w:rFonts w:ascii="宋体" w:hAnsi="宋体" w:eastAsia="宋体"/>
                <w:b/>
                <w:bCs/>
                <w:sz w:val="24"/>
                <w:highlight w:val="none"/>
              </w:rPr>
            </w:pPr>
            <w:r>
              <w:rPr>
                <w:rFonts w:hint="eastAsia" w:ascii="宋体" w:hAnsi="宋体" w:eastAsia="宋体"/>
                <w:bCs/>
                <w:sz w:val="24"/>
                <w:highlight w:val="none"/>
              </w:rPr>
              <w:t>0-</w:t>
            </w:r>
            <w:r>
              <w:rPr>
                <w:rFonts w:hint="eastAsia" w:ascii="宋体" w:hAnsi="宋体" w:eastAsia="宋体"/>
                <w:bCs/>
                <w:sz w:val="24"/>
                <w:highlight w:val="none"/>
                <w:lang w:val="en-US" w:eastAsia="zh-CN"/>
              </w:rPr>
              <w:t>5</w:t>
            </w:r>
            <w:r>
              <w:rPr>
                <w:rFonts w:hint="eastAsia" w:ascii="宋体" w:hAnsi="宋体" w:eastAsia="宋体"/>
                <w:bCs/>
                <w:sz w:val="24"/>
                <w:highlight w:val="none"/>
              </w:rPr>
              <w:t>分</w:t>
            </w:r>
          </w:p>
        </w:tc>
      </w:tr>
      <w:tr w14:paraId="3E82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tcBorders>
              <w:left w:val="single" w:color="auto" w:sz="4" w:space="0"/>
              <w:right w:val="single" w:color="auto" w:sz="4" w:space="0"/>
            </w:tcBorders>
            <w:noWrap w:val="0"/>
            <w:vAlign w:val="center"/>
          </w:tcPr>
          <w:p w14:paraId="7376E81A">
            <w:pPr>
              <w:spacing w:line="360" w:lineRule="auto"/>
              <w:ind w:firstLine="435"/>
              <w:jc w:val="center"/>
              <w:rPr>
                <w:rFonts w:ascii="宋体" w:hAnsi="宋体" w:eastAsia="宋体"/>
                <w:b/>
                <w:bCs/>
                <w:sz w:val="24"/>
                <w:highlight w:val="none"/>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14:paraId="07367AB0">
            <w:pPr>
              <w:spacing w:line="360" w:lineRule="auto"/>
              <w:jc w:val="center"/>
              <w:rPr>
                <w:rFonts w:ascii="宋体" w:hAnsi="宋体" w:eastAsia="宋体"/>
                <w:sz w:val="24"/>
                <w:highlight w:val="none"/>
              </w:rPr>
            </w:pPr>
            <w:r>
              <w:rPr>
                <w:rFonts w:hint="eastAsia" w:ascii="宋体" w:hAnsi="宋体" w:eastAsia="宋体"/>
                <w:sz w:val="24"/>
                <w:highlight w:val="none"/>
              </w:rPr>
              <w:t>培训方案</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3495342C">
            <w:pPr>
              <w:rPr>
                <w:rFonts w:ascii="宋体" w:hAnsi="宋体" w:eastAsia="宋体"/>
                <w:sz w:val="24"/>
                <w:highlight w:val="none"/>
              </w:rPr>
            </w:pPr>
            <w:r>
              <w:rPr>
                <w:rFonts w:hint="eastAsia" w:ascii="宋体" w:hAnsi="宋体" w:eastAsia="宋体"/>
                <w:sz w:val="24"/>
                <w:highlight w:val="none"/>
              </w:rPr>
              <w:t xml:space="preserve">评标委员会根据投标人提供的培训方案进行评分，内容包括但不限于仪器设备的理论培训、实际操作培训、各种技术参数设定、软件的培训和应用、简单故障排除、系统恢复方法与设备日常维护与保养方案等方面。 </w:t>
            </w:r>
          </w:p>
          <w:p w14:paraId="5C1BAC6D">
            <w:pPr>
              <w:rPr>
                <w:rFonts w:ascii="宋体" w:hAnsi="宋体" w:eastAsia="宋体"/>
                <w:sz w:val="24"/>
                <w:highlight w:val="none"/>
              </w:rPr>
            </w:pPr>
            <w:r>
              <w:rPr>
                <w:rFonts w:hint="eastAsia" w:ascii="宋体" w:hAnsi="宋体" w:eastAsia="宋体"/>
                <w:sz w:val="24"/>
                <w:highlight w:val="none"/>
                <w:lang w:val="en-US" w:eastAsia="zh-CN"/>
              </w:rPr>
              <w:t>1、</w:t>
            </w:r>
            <w:r>
              <w:rPr>
                <w:rFonts w:hint="eastAsia" w:ascii="宋体" w:hAnsi="宋体" w:eastAsia="宋体"/>
                <w:sz w:val="24"/>
                <w:highlight w:val="none"/>
              </w:rPr>
              <w:t xml:space="preserve">方案内容完整详细，满足项目需求，可行性、实用性、针对性强，得 </w:t>
            </w:r>
            <w:r>
              <w:rPr>
                <w:rFonts w:hint="eastAsia" w:ascii="宋体" w:hAnsi="宋体" w:eastAsia="宋体"/>
                <w:sz w:val="24"/>
                <w:highlight w:val="none"/>
                <w:lang w:val="en-US" w:eastAsia="zh-CN"/>
              </w:rPr>
              <w:t>5</w:t>
            </w:r>
            <w:r>
              <w:rPr>
                <w:rFonts w:hint="eastAsia" w:ascii="宋体" w:hAnsi="宋体" w:eastAsia="宋体"/>
                <w:sz w:val="24"/>
                <w:highlight w:val="none"/>
              </w:rPr>
              <w:t xml:space="preserve"> 分；</w:t>
            </w:r>
          </w:p>
          <w:p w14:paraId="40E7098A">
            <w:pPr>
              <w:rPr>
                <w:rFonts w:ascii="宋体" w:hAnsi="宋体" w:eastAsia="宋体"/>
                <w:sz w:val="24"/>
                <w:highlight w:val="none"/>
              </w:rPr>
            </w:pPr>
            <w:r>
              <w:rPr>
                <w:rFonts w:hint="eastAsia" w:ascii="宋体" w:hAnsi="宋体" w:eastAsia="宋体"/>
                <w:sz w:val="24"/>
                <w:highlight w:val="none"/>
                <w:lang w:val="en-US" w:eastAsia="zh-CN"/>
              </w:rPr>
              <w:t>2、</w:t>
            </w:r>
            <w:r>
              <w:rPr>
                <w:rFonts w:hint="eastAsia" w:ascii="宋体" w:hAnsi="宋体" w:eastAsia="宋体"/>
                <w:sz w:val="24"/>
                <w:highlight w:val="none"/>
              </w:rPr>
              <w:t xml:space="preserve">方案内容基本完整详细，适合项目需求，具有可行性、实用性和针对性，得 </w:t>
            </w:r>
            <w:r>
              <w:rPr>
                <w:rFonts w:hint="eastAsia" w:ascii="宋体" w:hAnsi="宋体" w:eastAsia="宋体"/>
                <w:sz w:val="24"/>
                <w:highlight w:val="none"/>
                <w:lang w:val="en-US" w:eastAsia="zh-CN"/>
              </w:rPr>
              <w:t>3</w:t>
            </w:r>
            <w:r>
              <w:rPr>
                <w:rFonts w:hint="eastAsia" w:ascii="宋体" w:hAnsi="宋体" w:eastAsia="宋体"/>
                <w:sz w:val="24"/>
                <w:highlight w:val="none"/>
              </w:rPr>
              <w:t xml:space="preserve"> 分； </w:t>
            </w:r>
          </w:p>
          <w:p w14:paraId="7EC1FFB9">
            <w:pPr>
              <w:rPr>
                <w:rFonts w:ascii="宋体" w:hAnsi="宋体" w:eastAsia="宋体"/>
                <w:sz w:val="24"/>
                <w:highlight w:val="none"/>
              </w:rPr>
            </w:pPr>
            <w:r>
              <w:rPr>
                <w:rFonts w:hint="eastAsia" w:ascii="宋体" w:hAnsi="宋体" w:eastAsia="宋体"/>
                <w:sz w:val="24"/>
                <w:highlight w:val="none"/>
                <w:lang w:val="en-US" w:eastAsia="zh-CN"/>
              </w:rPr>
              <w:t>3、</w:t>
            </w:r>
            <w:r>
              <w:rPr>
                <w:rFonts w:hint="eastAsia" w:ascii="宋体" w:hAnsi="宋体" w:eastAsia="宋体"/>
                <w:sz w:val="24"/>
                <w:highlight w:val="none"/>
              </w:rPr>
              <w:t xml:space="preserve">方案内容片面不全，基本适合项目需求，可行性、实用性、针对性有待改善，得 1 分； </w:t>
            </w:r>
          </w:p>
          <w:p w14:paraId="4E3F3C69">
            <w:pPr>
              <w:rPr>
                <w:rFonts w:ascii="宋体" w:hAnsi="宋体" w:eastAsia="宋体"/>
                <w:sz w:val="24"/>
                <w:highlight w:val="none"/>
              </w:rPr>
            </w:pPr>
            <w:r>
              <w:rPr>
                <w:rFonts w:hint="eastAsia" w:ascii="宋体" w:hAnsi="宋体" w:eastAsia="宋体"/>
                <w:sz w:val="24"/>
                <w:highlight w:val="none"/>
                <w:lang w:val="en-US" w:eastAsia="zh-CN"/>
              </w:rPr>
              <w:t>4、</w:t>
            </w:r>
            <w:r>
              <w:rPr>
                <w:rFonts w:hint="eastAsia" w:ascii="宋体" w:hAnsi="宋体" w:eastAsia="宋体"/>
                <w:sz w:val="24"/>
                <w:highlight w:val="none"/>
              </w:rPr>
              <w:t>方案不可行或者未提供得 0 分。</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5A4BE9EC">
            <w:pPr>
              <w:adjustRightInd w:val="0"/>
              <w:snapToGrid w:val="0"/>
              <w:spacing w:line="400" w:lineRule="exact"/>
              <w:jc w:val="center"/>
              <w:rPr>
                <w:rFonts w:ascii="宋体" w:hAnsi="宋体" w:eastAsia="宋体"/>
                <w:bCs/>
                <w:sz w:val="24"/>
                <w:highlight w:val="none"/>
              </w:rPr>
            </w:pPr>
            <w:r>
              <w:rPr>
                <w:rFonts w:hint="eastAsia" w:ascii="宋体" w:hAnsi="宋体" w:eastAsia="宋体"/>
                <w:sz w:val="24"/>
                <w:highlight w:val="none"/>
              </w:rPr>
              <w:t>0-</w:t>
            </w:r>
            <w:r>
              <w:rPr>
                <w:rFonts w:hint="eastAsia" w:ascii="宋体" w:hAnsi="宋体" w:eastAsia="宋体"/>
                <w:sz w:val="24"/>
                <w:highlight w:val="none"/>
                <w:lang w:val="en-US" w:eastAsia="zh-CN"/>
              </w:rPr>
              <w:t>5</w:t>
            </w:r>
            <w:r>
              <w:rPr>
                <w:rFonts w:hint="eastAsia" w:ascii="宋体" w:hAnsi="宋体" w:eastAsia="宋体"/>
                <w:sz w:val="24"/>
                <w:highlight w:val="none"/>
              </w:rPr>
              <w:t>分</w:t>
            </w:r>
          </w:p>
        </w:tc>
      </w:tr>
      <w:tr w14:paraId="723D6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tcBorders>
              <w:left w:val="single" w:color="auto" w:sz="4" w:space="0"/>
              <w:right w:val="single" w:color="auto" w:sz="4" w:space="0"/>
            </w:tcBorders>
            <w:noWrap w:val="0"/>
            <w:vAlign w:val="center"/>
          </w:tcPr>
          <w:p w14:paraId="69273591">
            <w:pPr>
              <w:spacing w:line="360" w:lineRule="auto"/>
              <w:ind w:firstLine="435"/>
              <w:jc w:val="center"/>
              <w:rPr>
                <w:rFonts w:ascii="宋体" w:hAnsi="宋体" w:eastAsia="宋体"/>
                <w:b/>
                <w:bCs/>
                <w:sz w:val="24"/>
                <w:highlight w:val="none"/>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14:paraId="5395AC1A">
            <w:pPr>
              <w:snapToGrid w:val="0"/>
              <w:jc w:val="center"/>
              <w:rPr>
                <w:rFonts w:ascii="宋体" w:hAnsi="宋体" w:eastAsia="宋体"/>
                <w:sz w:val="24"/>
                <w:highlight w:val="none"/>
              </w:rPr>
            </w:pPr>
            <w:r>
              <w:rPr>
                <w:rFonts w:hint="eastAsia" w:ascii="宋体" w:hAnsi="宋体" w:eastAsia="宋体" w:cs="宋体"/>
                <w:bCs/>
                <w:color w:val="000000" w:themeColor="text1"/>
                <w:sz w:val="24"/>
                <w:szCs w:val="20"/>
                <w:highlight w:val="none"/>
                <w14:textFill>
                  <w14:solidFill>
                    <w14:schemeClr w14:val="tx1"/>
                  </w14:solidFill>
                </w14:textFill>
              </w:rPr>
              <w:t>售后</w:t>
            </w:r>
            <w:r>
              <w:rPr>
                <w:rFonts w:hint="eastAsia" w:ascii="宋体" w:hAnsi="宋体" w:eastAsia="宋体" w:cs="宋体"/>
                <w:bCs/>
                <w:color w:val="000000" w:themeColor="text1"/>
                <w:sz w:val="24"/>
                <w:szCs w:val="20"/>
                <w:highlight w:val="none"/>
                <w:lang w:val="en-US" w:eastAsia="zh-CN"/>
                <w14:textFill>
                  <w14:solidFill>
                    <w14:schemeClr w14:val="tx1"/>
                  </w14:solidFill>
                </w14:textFill>
              </w:rPr>
              <w:t>与应急服务</w:t>
            </w:r>
            <w:r>
              <w:rPr>
                <w:rFonts w:hint="eastAsia" w:ascii="宋体" w:hAnsi="宋体" w:eastAsia="宋体" w:cs="宋体"/>
                <w:bCs/>
                <w:color w:val="000000" w:themeColor="text1"/>
                <w:sz w:val="24"/>
                <w:szCs w:val="20"/>
                <w:highlight w:val="none"/>
                <w14:textFill>
                  <w14:solidFill>
                    <w14:schemeClr w14:val="tx1"/>
                  </w14:solidFill>
                </w14:textFill>
              </w:rPr>
              <w:t>方案</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74A78E92">
            <w:pPr>
              <w:spacing w:line="24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评标委员会依据投标人提供的售后与应急服务方案进行综合评审：</w:t>
            </w:r>
          </w:p>
          <w:p w14:paraId="5ACD786A">
            <w:pPr>
              <w:keepNext w:val="0"/>
              <w:keepLines w:val="0"/>
              <w:widowControl/>
              <w:suppressLineNumbers w:val="0"/>
              <w:jc w:val="left"/>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1.根据投标人提供</w:t>
            </w:r>
            <w:r>
              <w:rPr>
                <w:rFonts w:hint="eastAsia" w:ascii="宋体" w:hAnsi="宋体" w:eastAsia="宋体" w:cs="宋体"/>
                <w:b w:val="0"/>
                <w:bCs w:val="0"/>
                <w:color w:val="000000" w:themeColor="text1"/>
                <w:sz w:val="24"/>
                <w:highlight w:val="none"/>
                <w:lang w:eastAsia="zh-CN"/>
                <w14:textFill>
                  <w14:solidFill>
                    <w14:schemeClr w14:val="tx1"/>
                  </w14:solidFill>
                </w14:textFill>
              </w:rPr>
              <w:t>的</w:t>
            </w:r>
            <w:r>
              <w:rPr>
                <w:rFonts w:hint="eastAsia" w:ascii="宋体" w:hAnsi="宋体" w:eastAsia="宋体" w:cs="宋体"/>
                <w:b w:val="0"/>
                <w:bCs w:val="0"/>
                <w:color w:val="000000" w:themeColor="text1"/>
                <w:sz w:val="24"/>
                <w:highlight w:val="none"/>
                <w14:textFill>
                  <w14:solidFill>
                    <w14:schemeClr w14:val="tx1"/>
                  </w14:solidFill>
                </w14:textFill>
              </w:rPr>
              <w:t>售后服务方案进行综合评审</w:t>
            </w:r>
            <w:r>
              <w:rPr>
                <w:rFonts w:hint="eastAsia" w:ascii="宋体" w:hAnsi="宋体" w:eastAsia="宋体" w:cs="宋体"/>
                <w:b w:val="0"/>
                <w:bCs w:val="0"/>
                <w:color w:val="000000" w:themeColor="text1"/>
                <w:sz w:val="24"/>
                <w:highlight w:val="none"/>
                <w:lang w:eastAsia="zh-CN"/>
                <w14:textFill>
                  <w14:solidFill>
                    <w14:schemeClr w14:val="tx1"/>
                  </w14:solidFill>
                </w14:textFill>
              </w:rPr>
              <w:t>，内容包括但不限于售后服务管理制度、保障措施、维保方式、维保内容、质保期满后的维保费用、时间保证、售后人员配备</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等方面</w:t>
            </w:r>
            <w:r>
              <w:rPr>
                <w:rFonts w:hint="eastAsia" w:ascii="宋体" w:hAnsi="宋体" w:eastAsia="宋体" w:cs="宋体"/>
                <w:b w:val="0"/>
                <w:bCs w:val="0"/>
                <w:color w:val="000000" w:themeColor="text1"/>
                <w:sz w:val="24"/>
                <w:highlight w:val="none"/>
                <w14:textFill>
                  <w14:solidFill>
                    <w14:schemeClr w14:val="tx1"/>
                  </w14:solidFill>
                </w14:textFill>
              </w:rPr>
              <w:t>：</w:t>
            </w:r>
          </w:p>
          <w:p w14:paraId="4B46E103">
            <w:pPr>
              <w:numPr>
                <w:ilvl w:val="0"/>
                <w:numId w:val="0"/>
              </w:numPr>
              <w:spacing w:line="24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1</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对本项目的特点和难点理解准确，售后服务方案优于本项目采购需求，可行性、实用性、针对性强，得5分；</w:t>
            </w:r>
          </w:p>
          <w:p w14:paraId="19F51A38">
            <w:pPr>
              <w:numPr>
                <w:ilvl w:val="0"/>
                <w:numId w:val="0"/>
              </w:numPr>
              <w:spacing w:line="24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2</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对本项目的特点和难点理解基本准确，售后服务方案基本满足本项目采购需求，具有可行性、实用性和针对性，得3分；</w:t>
            </w:r>
          </w:p>
          <w:p w14:paraId="02F1D9B9">
            <w:pPr>
              <w:numPr>
                <w:ilvl w:val="0"/>
                <w:numId w:val="0"/>
              </w:numPr>
              <w:spacing w:line="24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3</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对本项目的特点和难点理解有待提升，售后服务方案可行性、实用性和针对性有待改善，得1分；</w:t>
            </w:r>
          </w:p>
          <w:p w14:paraId="64548484">
            <w:pPr>
              <w:numPr>
                <w:ilvl w:val="0"/>
                <w:numId w:val="0"/>
              </w:numPr>
              <w:spacing w:line="24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4</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未提供方案的不得分。</w:t>
            </w:r>
          </w:p>
          <w:p w14:paraId="6782A93E">
            <w:pPr>
              <w:spacing w:line="240" w:lineRule="auto"/>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2.根据投标人提供针对本项目的应急服务</w:t>
            </w:r>
            <w:r>
              <w:rPr>
                <w:rFonts w:hint="eastAsia" w:ascii="宋体" w:hAnsi="宋体" w:eastAsia="宋体" w:cs="宋体"/>
                <w:b w:val="0"/>
                <w:bCs/>
                <w:color w:val="000000" w:themeColor="text1"/>
                <w:sz w:val="24"/>
                <w:highlight w:val="none"/>
                <w:lang w:eastAsia="zh-CN"/>
                <w14:textFill>
                  <w14:solidFill>
                    <w14:schemeClr w14:val="tx1"/>
                  </w14:solidFill>
                </w14:textFill>
              </w:rPr>
              <w:t>方案</w:t>
            </w:r>
            <w:r>
              <w:rPr>
                <w:rFonts w:hint="eastAsia" w:ascii="宋体" w:hAnsi="宋体" w:eastAsia="宋体" w:cs="宋体"/>
                <w:b w:val="0"/>
                <w:bCs/>
                <w:color w:val="000000" w:themeColor="text1"/>
                <w:sz w:val="24"/>
                <w:highlight w:val="none"/>
                <w14:textFill>
                  <w14:solidFill>
                    <w14:schemeClr w14:val="tx1"/>
                  </w14:solidFill>
                </w14:textFill>
              </w:rPr>
              <w:t>进行综合评审</w:t>
            </w:r>
            <w:r>
              <w:rPr>
                <w:rFonts w:hint="eastAsia" w:ascii="宋体" w:hAnsi="宋体" w:eastAsia="宋体" w:cs="宋体"/>
                <w:b w:val="0"/>
                <w:bCs/>
                <w:color w:val="000000" w:themeColor="text1"/>
                <w:sz w:val="24"/>
                <w:highlight w:val="none"/>
                <w:lang w:eastAsia="zh-CN"/>
                <w14:textFill>
                  <w14:solidFill>
                    <w14:schemeClr w14:val="tx1"/>
                  </w14:solidFill>
                </w14:textFill>
              </w:rPr>
              <w:t>，内容包括但不限于产品故障维修响应时间、故障解决方案、零配件更换服务、备品备件供应及服务便利化措施</w:t>
            </w:r>
            <w:r>
              <w:rPr>
                <w:rFonts w:hint="eastAsia" w:ascii="宋体" w:hAnsi="宋体" w:eastAsia="宋体" w:cs="宋体"/>
                <w:b w:val="0"/>
                <w:bCs/>
                <w:color w:val="000000" w:themeColor="text1"/>
                <w:sz w:val="24"/>
                <w:highlight w:val="none"/>
                <w:lang w:val="en-US" w:eastAsia="zh-CN"/>
                <w14:textFill>
                  <w14:solidFill>
                    <w14:schemeClr w14:val="tx1"/>
                  </w14:solidFill>
                </w14:textFill>
              </w:rPr>
              <w:t>等方面</w:t>
            </w:r>
            <w:r>
              <w:rPr>
                <w:rFonts w:hint="eastAsia" w:ascii="宋体" w:hAnsi="宋体" w:eastAsia="宋体" w:cs="宋体"/>
                <w:b w:val="0"/>
                <w:bCs/>
                <w:color w:val="000000" w:themeColor="text1"/>
                <w:sz w:val="24"/>
                <w:highlight w:val="none"/>
                <w14:textFill>
                  <w14:solidFill>
                    <w14:schemeClr w14:val="tx1"/>
                  </w14:solidFill>
                </w14:textFill>
              </w:rPr>
              <w:t>：</w:t>
            </w:r>
          </w:p>
          <w:p w14:paraId="095399D3">
            <w:pPr>
              <w:spacing w:line="24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1</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应急服务方案完整详细，备品备件供应可以得到充分保障，应急服务响应及时，方案实用性强的，得5分；</w:t>
            </w:r>
          </w:p>
          <w:p w14:paraId="279F935C">
            <w:pPr>
              <w:spacing w:line="24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2</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应急服务方案基本完整，备品备件供应基本可以满足使用，应急服务响应较及时，方案实用性较强的，得3分；</w:t>
            </w:r>
          </w:p>
          <w:p w14:paraId="2201B567">
            <w:pPr>
              <w:spacing w:line="24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3</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应急服务方案内容不够完整，备品备件供应能力有待提升，方案实用性有待加强的得1分；</w:t>
            </w:r>
          </w:p>
          <w:p w14:paraId="7EF1A383">
            <w:pPr>
              <w:spacing w:line="240" w:lineRule="auto"/>
              <w:rPr>
                <w:rFonts w:ascii="宋体" w:hAnsi="宋体" w:eastAsia="宋体"/>
                <w:sz w:val="24"/>
                <w:highlight w:val="none"/>
              </w:rPr>
            </w:pP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4</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未提供方案的不得分。</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432D4097">
            <w:pPr>
              <w:spacing w:line="360" w:lineRule="auto"/>
              <w:jc w:val="center"/>
              <w:rPr>
                <w:rFonts w:ascii="宋体" w:hAnsi="宋体" w:eastAsia="宋体"/>
                <w:sz w:val="24"/>
                <w:highlight w:val="none"/>
              </w:rPr>
            </w:pPr>
            <w:r>
              <w:rPr>
                <w:rFonts w:hint="eastAsia" w:ascii="宋体" w:hAnsi="宋体" w:eastAsia="宋体"/>
                <w:bCs/>
                <w:color w:val="000000" w:themeColor="text1"/>
                <w:sz w:val="24"/>
                <w:highlight w:val="none"/>
                <w14:textFill>
                  <w14:solidFill>
                    <w14:schemeClr w14:val="tx1"/>
                  </w14:solidFill>
                </w14:textFill>
              </w:rPr>
              <w:t>0-</w:t>
            </w:r>
            <w:r>
              <w:rPr>
                <w:rFonts w:hint="eastAsia" w:ascii="宋体" w:hAnsi="宋体" w:eastAsia="宋体"/>
                <w:bCs/>
                <w:color w:val="000000" w:themeColor="text1"/>
                <w:sz w:val="24"/>
                <w:highlight w:val="none"/>
                <w:lang w:val="en-US" w:eastAsia="zh-CN"/>
                <w14:textFill>
                  <w14:solidFill>
                    <w14:schemeClr w14:val="tx1"/>
                  </w14:solidFill>
                </w14:textFill>
              </w:rPr>
              <w:t>10</w:t>
            </w:r>
            <w:r>
              <w:rPr>
                <w:rFonts w:hint="eastAsia" w:ascii="宋体" w:hAnsi="宋体" w:eastAsia="宋体"/>
                <w:bCs/>
                <w:color w:val="000000" w:themeColor="text1"/>
                <w:sz w:val="24"/>
                <w:highlight w:val="none"/>
                <w14:textFill>
                  <w14:solidFill>
                    <w14:schemeClr w14:val="tx1"/>
                  </w14:solidFill>
                </w14:textFill>
              </w:rPr>
              <w:t>分</w:t>
            </w:r>
          </w:p>
        </w:tc>
      </w:tr>
      <w:tr w14:paraId="4E993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tcBorders>
              <w:left w:val="single" w:color="auto" w:sz="4" w:space="0"/>
              <w:right w:val="single" w:color="auto" w:sz="4" w:space="0"/>
            </w:tcBorders>
            <w:noWrap w:val="0"/>
            <w:vAlign w:val="center"/>
          </w:tcPr>
          <w:p w14:paraId="366924C5">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价格分</w:t>
            </w:r>
          </w:p>
          <w:p w14:paraId="02AB38E2">
            <w:pPr>
              <w:spacing w:line="360" w:lineRule="auto"/>
              <w:jc w:val="center"/>
              <w:rPr>
                <w:rFonts w:ascii="宋体" w:hAnsi="宋体" w:eastAsia="宋体"/>
                <w:b w:val="0"/>
                <w:bCs w:val="0"/>
                <w:color w:val="000000"/>
                <w:sz w:val="24"/>
                <w:highlight w:val="none"/>
              </w:rPr>
            </w:pP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u w:val="single"/>
              </w:rPr>
              <w:t xml:space="preserve"> 30 </w:t>
            </w:r>
            <w:r>
              <w:rPr>
                <w:rFonts w:hint="eastAsia" w:asciiTheme="minorEastAsia" w:hAnsiTheme="minorEastAsia" w:eastAsiaTheme="minorEastAsia"/>
                <w:sz w:val="24"/>
                <w:highlight w:val="none"/>
              </w:rPr>
              <w:t>分）</w:t>
            </w:r>
          </w:p>
        </w:tc>
        <w:tc>
          <w:tcPr>
            <w:tcW w:w="8259" w:type="dxa"/>
            <w:gridSpan w:val="3"/>
            <w:tcBorders>
              <w:top w:val="single" w:color="auto" w:sz="4" w:space="0"/>
              <w:left w:val="single" w:color="auto" w:sz="4" w:space="0"/>
              <w:bottom w:val="single" w:color="auto" w:sz="4" w:space="0"/>
              <w:right w:val="single" w:color="auto" w:sz="4" w:space="0"/>
            </w:tcBorders>
            <w:noWrap w:val="0"/>
            <w:vAlign w:val="center"/>
          </w:tcPr>
          <w:p w14:paraId="1791DAF6">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价格分统一采用低价优先法，即满足招标文件要求且投标价格最低的投标报价为评标基准价，其价格分为满分</w:t>
            </w:r>
            <w:r>
              <w:rPr>
                <w:rFonts w:hint="eastAsia" w:asciiTheme="minorEastAsia" w:hAnsiTheme="minorEastAsia" w:eastAsiaTheme="minorEastAsia"/>
                <w:sz w:val="24"/>
                <w:highlight w:val="none"/>
                <w:u w:val="single"/>
              </w:rPr>
              <w:t xml:space="preserve"> 30 </w:t>
            </w:r>
            <w:r>
              <w:rPr>
                <w:rFonts w:hint="eastAsia" w:asciiTheme="minorEastAsia" w:hAnsiTheme="minorEastAsia" w:eastAsiaTheme="minorEastAsia"/>
                <w:sz w:val="24"/>
                <w:highlight w:val="none"/>
              </w:rPr>
              <w:t>分。其他投标人的价格分统一按照下列公式计算：</w:t>
            </w:r>
          </w:p>
          <w:p w14:paraId="4DD6F1FA">
            <w:pPr>
              <w:spacing w:line="360" w:lineRule="auto"/>
              <w:rPr>
                <w:rFonts w:ascii="宋体" w:hAnsi="宋体" w:eastAsia="宋体"/>
                <w:b w:val="0"/>
                <w:bCs w:val="0"/>
                <w:color w:val="000000"/>
                <w:sz w:val="24"/>
                <w:highlight w:val="none"/>
              </w:rPr>
            </w:pPr>
            <w:r>
              <w:rPr>
                <w:rFonts w:hint="eastAsia" w:asciiTheme="minorEastAsia" w:hAnsiTheme="minorEastAsia" w:eastAsiaTheme="minorEastAsia"/>
                <w:sz w:val="24"/>
                <w:highlight w:val="none"/>
              </w:rPr>
              <w:t>投标报价得分＝（评标基准价/投标报价）×</w:t>
            </w:r>
            <w:r>
              <w:rPr>
                <w:rFonts w:hint="eastAsia" w:asciiTheme="minorEastAsia" w:hAnsiTheme="minorEastAsia" w:eastAsiaTheme="minorEastAsia"/>
                <w:sz w:val="24"/>
                <w:highlight w:val="none"/>
                <w:u w:val="single"/>
              </w:rPr>
              <w:t xml:space="preserve"> 30 </w:t>
            </w:r>
            <w:r>
              <w:rPr>
                <w:rFonts w:hint="eastAsia" w:asciiTheme="minorEastAsia" w:hAnsiTheme="minorEastAsia" w:eastAsiaTheme="minorEastAsia"/>
                <w:sz w:val="24"/>
                <w:highlight w:val="none"/>
              </w:rPr>
              <w:t>％×100</w:t>
            </w:r>
          </w:p>
        </w:tc>
      </w:tr>
    </w:tbl>
    <w:p w14:paraId="09F8CDD5">
      <w:pPr>
        <w:rPr>
          <w:rFonts w:hint="eastAsia" w:asciiTheme="minorEastAsia" w:hAnsiTheme="minorEastAsia" w:eastAsiaTheme="minorEastAsia"/>
          <w:b/>
          <w:bCs/>
          <w:sz w:val="24"/>
          <w:highlight w:val="none"/>
          <w:lang w:val="en-US" w:eastAsia="zh-CN"/>
        </w:rPr>
      </w:pPr>
      <w:r>
        <w:rPr>
          <w:rFonts w:hint="eastAsia" w:asciiTheme="minorEastAsia" w:hAnsiTheme="minorEastAsia" w:eastAsiaTheme="minorEastAsia"/>
          <w:b/>
          <w:bCs/>
          <w:sz w:val="24"/>
          <w:highlight w:val="none"/>
          <w:lang w:val="en-US" w:eastAsia="zh-CN"/>
        </w:rPr>
        <w:br w:type="page"/>
      </w:r>
    </w:p>
    <w:p w14:paraId="1BF448A2">
      <w:pPr>
        <w:spacing w:line="360" w:lineRule="auto"/>
        <w:ind w:firstLine="435"/>
        <w:rPr>
          <w:rFonts w:hint="default" w:asciiTheme="minorEastAsia" w:hAnsiTheme="minorEastAsia" w:eastAsiaTheme="minorEastAsia"/>
          <w:b/>
          <w:bCs/>
          <w:sz w:val="24"/>
          <w:highlight w:val="none"/>
          <w:lang w:val="en-US" w:eastAsia="zh-CN"/>
        </w:rPr>
      </w:pPr>
      <w:r>
        <w:rPr>
          <w:rFonts w:hint="eastAsia" w:asciiTheme="minorEastAsia" w:hAnsiTheme="minorEastAsia" w:eastAsiaTheme="minorEastAsia"/>
          <w:b/>
          <w:bCs/>
          <w:sz w:val="24"/>
          <w:highlight w:val="none"/>
          <w:lang w:val="en-US" w:eastAsia="zh-CN"/>
        </w:rPr>
        <w:t>03包：便携式彩色多普勒超声</w:t>
      </w:r>
    </w:p>
    <w:tbl>
      <w:tblPr>
        <w:tblStyle w:val="26"/>
        <w:tblW w:w="9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717"/>
        <w:gridCol w:w="5337"/>
        <w:gridCol w:w="1205"/>
      </w:tblGrid>
      <w:tr w14:paraId="71703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71" w:type="dxa"/>
            <w:tcBorders>
              <w:top w:val="single" w:color="auto" w:sz="4" w:space="0"/>
              <w:left w:val="single" w:color="auto" w:sz="4" w:space="0"/>
              <w:bottom w:val="single" w:color="auto" w:sz="4" w:space="0"/>
              <w:right w:val="single" w:color="auto" w:sz="4" w:space="0"/>
            </w:tcBorders>
            <w:noWrap w:val="0"/>
            <w:vAlign w:val="center"/>
          </w:tcPr>
          <w:p w14:paraId="3F1BC850">
            <w:pPr>
              <w:spacing w:line="360" w:lineRule="auto"/>
              <w:jc w:val="center"/>
              <w:rPr>
                <w:rFonts w:ascii="宋体" w:hAnsi="宋体" w:eastAsia="宋体"/>
                <w:b/>
                <w:bCs/>
                <w:sz w:val="24"/>
                <w:highlight w:val="none"/>
              </w:rPr>
            </w:pPr>
            <w:r>
              <w:rPr>
                <w:rFonts w:hint="eastAsia" w:ascii="宋体" w:hAnsi="宋体" w:eastAsia="宋体"/>
                <w:b/>
                <w:bCs/>
                <w:sz w:val="24"/>
                <w:highlight w:val="none"/>
              </w:rPr>
              <w:t>类别</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4B167B1A">
            <w:pPr>
              <w:spacing w:line="360" w:lineRule="auto"/>
              <w:jc w:val="center"/>
              <w:rPr>
                <w:rFonts w:ascii="宋体" w:hAnsi="宋体" w:eastAsia="宋体"/>
                <w:b/>
                <w:bCs/>
                <w:sz w:val="24"/>
                <w:highlight w:val="none"/>
              </w:rPr>
            </w:pPr>
            <w:r>
              <w:rPr>
                <w:rFonts w:hint="eastAsia" w:ascii="宋体" w:hAnsi="宋体" w:eastAsia="宋体"/>
                <w:b/>
                <w:bCs/>
                <w:sz w:val="24"/>
                <w:highlight w:val="none"/>
              </w:rPr>
              <w:t>评分内容</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3B1CDCA8">
            <w:pPr>
              <w:spacing w:line="360" w:lineRule="auto"/>
              <w:jc w:val="center"/>
              <w:rPr>
                <w:rFonts w:ascii="宋体" w:hAnsi="宋体" w:eastAsia="宋体"/>
                <w:b/>
                <w:bCs/>
                <w:sz w:val="24"/>
                <w:highlight w:val="none"/>
              </w:rPr>
            </w:pPr>
            <w:r>
              <w:rPr>
                <w:rFonts w:hint="eastAsia" w:ascii="宋体" w:hAnsi="宋体" w:eastAsia="宋体"/>
                <w:b/>
                <w:bCs/>
                <w:sz w:val="24"/>
                <w:highlight w:val="none"/>
              </w:rPr>
              <w:t>评分标准</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7D9537F1">
            <w:pPr>
              <w:spacing w:line="360" w:lineRule="auto"/>
              <w:jc w:val="center"/>
              <w:rPr>
                <w:rFonts w:ascii="宋体" w:hAnsi="宋体" w:eastAsia="宋体"/>
                <w:b/>
                <w:bCs/>
                <w:sz w:val="24"/>
                <w:highlight w:val="none"/>
              </w:rPr>
            </w:pPr>
            <w:r>
              <w:rPr>
                <w:rFonts w:hint="eastAsia" w:ascii="宋体" w:hAnsi="宋体" w:eastAsia="宋体"/>
                <w:b/>
                <w:bCs/>
                <w:sz w:val="24"/>
                <w:highlight w:val="none"/>
              </w:rPr>
              <w:t>分值范围</w:t>
            </w:r>
          </w:p>
        </w:tc>
      </w:tr>
      <w:tr w14:paraId="53BD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restart"/>
            <w:tcBorders>
              <w:top w:val="single" w:color="auto" w:sz="4" w:space="0"/>
              <w:left w:val="single" w:color="auto" w:sz="4" w:space="0"/>
              <w:right w:val="single" w:color="auto" w:sz="4" w:space="0"/>
            </w:tcBorders>
            <w:noWrap w:val="0"/>
            <w:vAlign w:val="center"/>
          </w:tcPr>
          <w:p w14:paraId="588DC690">
            <w:pPr>
              <w:spacing w:line="360" w:lineRule="auto"/>
              <w:jc w:val="center"/>
              <w:rPr>
                <w:rFonts w:ascii="宋体" w:hAnsi="宋体" w:eastAsia="宋体"/>
                <w:sz w:val="24"/>
                <w:highlight w:val="none"/>
              </w:rPr>
            </w:pPr>
            <w:r>
              <w:rPr>
                <w:rFonts w:hint="eastAsia" w:ascii="宋体" w:hAnsi="宋体" w:eastAsia="宋体"/>
                <w:sz w:val="24"/>
                <w:highlight w:val="none"/>
              </w:rPr>
              <w:t>技术资信分</w:t>
            </w:r>
          </w:p>
          <w:p w14:paraId="617ABF01">
            <w:pPr>
              <w:spacing w:line="360" w:lineRule="auto"/>
              <w:jc w:val="center"/>
              <w:rPr>
                <w:rFonts w:ascii="宋体" w:hAnsi="宋体" w:eastAsia="宋体"/>
                <w:b/>
                <w:bCs/>
                <w:sz w:val="24"/>
                <w:highlight w:val="none"/>
              </w:rPr>
            </w:pPr>
            <w:r>
              <w:rPr>
                <w:rFonts w:hint="eastAsia" w:ascii="宋体" w:hAnsi="宋体" w:eastAsia="宋体"/>
                <w:sz w:val="24"/>
                <w:highlight w:val="none"/>
              </w:rPr>
              <w:t>（</w:t>
            </w:r>
            <w:r>
              <w:rPr>
                <w:rFonts w:hint="eastAsia" w:ascii="宋体" w:hAnsi="宋体" w:eastAsia="宋体"/>
                <w:sz w:val="24"/>
                <w:highlight w:val="none"/>
                <w:u w:val="single"/>
              </w:rPr>
              <w:t xml:space="preserve"> </w:t>
            </w:r>
            <w:r>
              <w:rPr>
                <w:rFonts w:hint="eastAsia" w:ascii="宋体" w:hAnsi="宋体" w:eastAsia="宋体"/>
                <w:sz w:val="24"/>
                <w:highlight w:val="none"/>
                <w:u w:val="single"/>
                <w:lang w:val="en-US" w:eastAsia="zh-CN"/>
              </w:rPr>
              <w:t>70</w:t>
            </w:r>
            <w:r>
              <w:rPr>
                <w:rFonts w:hint="eastAsia" w:ascii="宋体" w:hAnsi="宋体" w:eastAsia="宋体"/>
                <w:sz w:val="24"/>
                <w:highlight w:val="none"/>
                <w:u w:val="single"/>
              </w:rPr>
              <w:t xml:space="preserve"> </w:t>
            </w:r>
            <w:r>
              <w:rPr>
                <w:rFonts w:hint="eastAsia" w:ascii="宋体" w:hAnsi="宋体" w:eastAsia="宋体"/>
                <w:sz w:val="24"/>
                <w:highlight w:val="none"/>
              </w:rPr>
              <w:t>分）</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2064CA4F">
            <w:pPr>
              <w:spacing w:line="360" w:lineRule="auto"/>
              <w:jc w:val="center"/>
              <w:rPr>
                <w:rFonts w:ascii="宋体" w:hAnsi="宋体" w:eastAsia="宋体"/>
                <w:bCs/>
                <w:sz w:val="24"/>
                <w:highlight w:val="none"/>
              </w:rPr>
            </w:pPr>
            <w:r>
              <w:rPr>
                <w:rFonts w:hint="eastAsia" w:ascii="宋体" w:hAnsi="宋体" w:eastAsia="宋体"/>
                <w:bCs/>
                <w:sz w:val="24"/>
                <w:highlight w:val="none"/>
              </w:rPr>
              <w:t>所投设备技</w:t>
            </w:r>
          </w:p>
          <w:p w14:paraId="06C5FF24">
            <w:pPr>
              <w:spacing w:line="360" w:lineRule="auto"/>
              <w:jc w:val="center"/>
              <w:rPr>
                <w:rFonts w:ascii="宋体" w:hAnsi="宋体" w:eastAsia="宋体"/>
                <w:bCs/>
                <w:sz w:val="24"/>
                <w:highlight w:val="none"/>
              </w:rPr>
            </w:pPr>
            <w:r>
              <w:rPr>
                <w:rFonts w:hint="eastAsia" w:ascii="宋体" w:hAnsi="宋体" w:eastAsia="宋体"/>
                <w:bCs/>
                <w:sz w:val="24"/>
                <w:highlight w:val="none"/>
              </w:rPr>
              <w:t>术参数及要</w:t>
            </w:r>
          </w:p>
          <w:p w14:paraId="359D98B1">
            <w:pPr>
              <w:spacing w:line="360" w:lineRule="auto"/>
              <w:jc w:val="center"/>
              <w:rPr>
                <w:rFonts w:ascii="宋体" w:hAnsi="宋体" w:eastAsia="宋体"/>
                <w:bCs/>
                <w:sz w:val="24"/>
                <w:highlight w:val="none"/>
              </w:rPr>
            </w:pPr>
            <w:r>
              <w:rPr>
                <w:rFonts w:hint="eastAsia" w:ascii="宋体" w:hAnsi="宋体" w:eastAsia="宋体"/>
                <w:bCs/>
                <w:sz w:val="24"/>
                <w:highlight w:val="none"/>
              </w:rPr>
              <w:t>求响应情况</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31112375">
            <w:pPr>
              <w:widowControl/>
              <w:numPr>
                <w:ilvl w:val="0"/>
                <w:numId w:val="0"/>
              </w:numPr>
              <w:jc w:val="left"/>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lang w:val="en-US" w:eastAsia="zh-CN"/>
              </w:rPr>
              <w:t>1.</w:t>
            </w:r>
            <w:r>
              <w:rPr>
                <w:rFonts w:hint="eastAsia" w:asciiTheme="minorEastAsia" w:hAnsiTheme="minorEastAsia" w:eastAsiaTheme="minorEastAsia"/>
                <w:bCs/>
                <w:sz w:val="24"/>
                <w:highlight w:val="none"/>
              </w:rPr>
              <w:t>根据投标文件与招标文件要求重要参数（标记“</w:t>
            </w: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bCs/>
                <w:sz w:val="24"/>
                <w:highlight w:val="none"/>
              </w:rPr>
              <w:t>”的技术参数）的偏离情况进行评审。</w:t>
            </w:r>
          </w:p>
          <w:p w14:paraId="07F470B8">
            <w:pPr>
              <w:widowControl/>
              <w:numPr>
                <w:ilvl w:val="0"/>
                <w:numId w:val="0"/>
              </w:numPr>
              <w:jc w:val="left"/>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各项性能指标均有技术支持资料且全部满足招标文件要求的得满分；技术支持资料显示不满足招标文件要求的或未提供技术支持资料的，有一项扣</w:t>
            </w:r>
            <w:r>
              <w:rPr>
                <w:rFonts w:hint="eastAsia" w:asciiTheme="minorEastAsia" w:hAnsiTheme="minorEastAsia" w:eastAsiaTheme="minorEastAsia"/>
                <w:bCs/>
                <w:sz w:val="24"/>
                <w:highlight w:val="none"/>
                <w:lang w:val="en-US" w:eastAsia="zh-CN"/>
              </w:rPr>
              <w:t>2.5分</w:t>
            </w:r>
            <w:r>
              <w:rPr>
                <w:rFonts w:hint="eastAsia" w:asciiTheme="minorEastAsia" w:hAnsiTheme="minorEastAsia" w:eastAsiaTheme="minorEastAsia"/>
                <w:bCs/>
                <w:sz w:val="24"/>
                <w:highlight w:val="none"/>
              </w:rPr>
              <w:t>，共</w:t>
            </w:r>
            <w:r>
              <w:rPr>
                <w:rFonts w:hint="eastAsia" w:asciiTheme="minorEastAsia" w:hAnsiTheme="minorEastAsia" w:eastAsiaTheme="minorEastAsia"/>
                <w:bCs/>
                <w:sz w:val="24"/>
                <w:highlight w:val="none"/>
                <w:lang w:val="en-US" w:eastAsia="zh-CN"/>
              </w:rPr>
              <w:t>9</w:t>
            </w:r>
            <w:r>
              <w:rPr>
                <w:rFonts w:hint="eastAsia" w:asciiTheme="minorEastAsia" w:hAnsiTheme="minorEastAsia" w:eastAsiaTheme="minorEastAsia"/>
                <w:bCs/>
                <w:sz w:val="24"/>
                <w:highlight w:val="none"/>
              </w:rPr>
              <w:t>项，共</w:t>
            </w:r>
            <w:r>
              <w:rPr>
                <w:rFonts w:hint="eastAsia" w:asciiTheme="minorEastAsia" w:hAnsiTheme="minorEastAsia" w:eastAsiaTheme="minorEastAsia"/>
                <w:bCs/>
                <w:sz w:val="24"/>
                <w:highlight w:val="none"/>
                <w:lang w:val="en-US" w:eastAsia="zh-CN"/>
              </w:rPr>
              <w:t>22.5</w:t>
            </w:r>
            <w:r>
              <w:rPr>
                <w:rFonts w:hint="eastAsia" w:asciiTheme="minorEastAsia" w:hAnsiTheme="minorEastAsia" w:eastAsiaTheme="minorEastAsia"/>
                <w:bCs/>
                <w:sz w:val="24"/>
                <w:highlight w:val="none"/>
              </w:rPr>
              <w:t>分。（同一项参数不重复扣分）。</w:t>
            </w:r>
          </w:p>
          <w:p w14:paraId="39D49FB5">
            <w:pPr>
              <w:widowControl/>
              <w:jc w:val="left"/>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2.根据投标文件与招标文件要求的一般参数（未标记“</w:t>
            </w: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bCs/>
                <w:sz w:val="24"/>
                <w:highlight w:val="none"/>
              </w:rPr>
              <w:t xml:space="preserve">”的技术参数）偏离情况进行评审。 </w:t>
            </w:r>
          </w:p>
          <w:p w14:paraId="61035194">
            <w:pPr>
              <w:widowControl/>
              <w:jc w:val="left"/>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各项性能指标全部满足招标文件要求的得满分；不满足招标文件要求的（以投标文件投标响应表载明的为准），有一项扣</w:t>
            </w:r>
            <w:r>
              <w:rPr>
                <w:rFonts w:hint="eastAsia" w:asciiTheme="minorEastAsia" w:hAnsiTheme="minorEastAsia" w:eastAsiaTheme="minorEastAsia"/>
                <w:bCs/>
                <w:sz w:val="24"/>
                <w:highlight w:val="none"/>
                <w:lang w:val="en-US" w:eastAsia="zh-CN"/>
              </w:rPr>
              <w:t>0.25</w:t>
            </w:r>
            <w:r>
              <w:rPr>
                <w:rFonts w:hint="eastAsia" w:asciiTheme="minorEastAsia" w:hAnsiTheme="minorEastAsia" w:eastAsiaTheme="minorEastAsia"/>
                <w:bCs/>
                <w:sz w:val="24"/>
                <w:highlight w:val="none"/>
              </w:rPr>
              <w:t>分，共</w:t>
            </w:r>
            <w:r>
              <w:rPr>
                <w:rFonts w:hint="eastAsia" w:asciiTheme="minorEastAsia" w:hAnsiTheme="minorEastAsia" w:eastAsiaTheme="minorEastAsia"/>
                <w:bCs/>
                <w:sz w:val="24"/>
                <w:highlight w:val="none"/>
                <w:lang w:val="en-US" w:eastAsia="zh-CN"/>
              </w:rPr>
              <w:t>46</w:t>
            </w:r>
            <w:r>
              <w:rPr>
                <w:rFonts w:hint="eastAsia" w:asciiTheme="minorEastAsia" w:hAnsiTheme="minorEastAsia" w:eastAsiaTheme="minorEastAsia"/>
                <w:bCs/>
                <w:sz w:val="24"/>
                <w:highlight w:val="none"/>
              </w:rPr>
              <w:t>项，共</w:t>
            </w:r>
            <w:r>
              <w:rPr>
                <w:rFonts w:hint="eastAsia" w:asciiTheme="minorEastAsia" w:hAnsiTheme="minorEastAsia" w:eastAsiaTheme="minorEastAsia"/>
                <w:bCs/>
                <w:sz w:val="24"/>
                <w:highlight w:val="none"/>
                <w:lang w:val="en-US" w:eastAsia="zh-CN"/>
              </w:rPr>
              <w:t>11.5</w:t>
            </w:r>
            <w:r>
              <w:rPr>
                <w:rFonts w:hint="eastAsia" w:asciiTheme="minorEastAsia" w:hAnsiTheme="minorEastAsia" w:eastAsiaTheme="minorEastAsia"/>
                <w:bCs/>
                <w:sz w:val="24"/>
                <w:highlight w:val="none"/>
              </w:rPr>
              <w:t>分。（同一项参数不重复扣分）</w:t>
            </w:r>
          </w:p>
          <w:p w14:paraId="08744257">
            <w:pPr>
              <w:widowControl/>
              <w:jc w:val="left"/>
              <w:rPr>
                <w:highlight w:val="none"/>
              </w:rPr>
            </w:pPr>
            <w:r>
              <w:rPr>
                <w:rFonts w:hint="eastAsia" w:asciiTheme="minorEastAsia" w:hAnsiTheme="minorEastAsia" w:eastAsiaTheme="minorEastAsia"/>
                <w:bCs/>
                <w:sz w:val="24"/>
                <w:highlight w:val="none"/>
                <w:lang w:val="en-US" w:eastAsia="zh-CN"/>
              </w:rPr>
              <w:t>3.</w:t>
            </w:r>
            <w:r>
              <w:rPr>
                <w:rFonts w:hint="eastAsia" w:asciiTheme="minorEastAsia" w:hAnsiTheme="minorEastAsia" w:eastAsiaTheme="minorEastAsia"/>
                <w:bCs/>
                <w:sz w:val="24"/>
                <w:highlight w:val="none"/>
              </w:rPr>
              <w:t>重要参数（标记“</w:t>
            </w: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bCs/>
                <w:sz w:val="24"/>
                <w:highlight w:val="none"/>
              </w:rPr>
              <w:t>”的技术参数）</w:t>
            </w:r>
            <w:r>
              <w:rPr>
                <w:rFonts w:hint="eastAsia" w:asciiTheme="minorEastAsia" w:hAnsiTheme="minorEastAsia" w:eastAsiaTheme="minorEastAsia"/>
                <w:b w:val="0"/>
                <w:bCs/>
                <w:sz w:val="24"/>
                <w:highlight w:val="none"/>
                <w:lang w:val="en-US" w:eastAsia="zh-CN"/>
              </w:rPr>
              <w:t>负偏离3项及以上的，第1小项不得分，</w:t>
            </w:r>
            <w:r>
              <w:rPr>
                <w:rFonts w:hint="eastAsia" w:asciiTheme="minorEastAsia" w:hAnsiTheme="minorEastAsia" w:eastAsiaTheme="minorEastAsia"/>
                <w:bCs/>
                <w:sz w:val="24"/>
                <w:highlight w:val="none"/>
              </w:rPr>
              <w:t>一般参数（未标记“</w:t>
            </w: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bCs/>
                <w:sz w:val="24"/>
                <w:highlight w:val="none"/>
              </w:rPr>
              <w:t>”的技术参数）</w:t>
            </w:r>
            <w:r>
              <w:rPr>
                <w:rFonts w:hint="eastAsia" w:asciiTheme="minorEastAsia" w:hAnsiTheme="minorEastAsia" w:eastAsiaTheme="minorEastAsia"/>
                <w:b w:val="0"/>
                <w:bCs/>
                <w:sz w:val="24"/>
                <w:highlight w:val="none"/>
                <w:lang w:val="en-US" w:eastAsia="zh-CN"/>
              </w:rPr>
              <w:t>负偏离15项及以上的，第2小项不得分。全部参数负偏离18项及以上的，此项技术参数及要求响应情况不得分。</w:t>
            </w:r>
          </w:p>
          <w:p w14:paraId="49F9D521">
            <w:pPr>
              <w:widowControl/>
              <w:jc w:val="left"/>
              <w:rPr>
                <w:rFonts w:ascii="宋体" w:hAnsi="宋体" w:eastAsia="宋体"/>
                <w:bCs/>
                <w:sz w:val="24"/>
                <w:highlight w:val="none"/>
              </w:rPr>
            </w:pPr>
            <w:r>
              <w:rPr>
                <w:rFonts w:hint="eastAsia" w:asciiTheme="minorEastAsia" w:hAnsiTheme="minorEastAsia" w:eastAsiaTheme="minorEastAsia"/>
                <w:b/>
                <w:sz w:val="24"/>
                <w:highlight w:val="none"/>
              </w:rPr>
              <w:t>注：以技术规格偏离表和要求提供的证明资料为准。未标注</w:t>
            </w:r>
            <w:r>
              <w:rPr>
                <w:rFonts w:hint="eastAsia" w:ascii="宋体" w:hAnsi="宋体" w:eastAsia="宋体" w:cs="宋体"/>
                <w:color w:val="000000"/>
                <w:kern w:val="0"/>
                <w:sz w:val="24"/>
                <w:szCs w:val="24"/>
                <w:highlight w:val="none"/>
                <w:lang w:bidi="ar"/>
              </w:rPr>
              <w:t>“</w:t>
            </w:r>
            <w:r>
              <w:rPr>
                <w:rFonts w:hint="eastAsia" w:ascii="宋体" w:hAnsi="宋体" w:eastAsia="宋体" w:cs="宋体"/>
                <w:bCs/>
                <w:color w:val="000000"/>
                <w:kern w:val="0"/>
                <w:sz w:val="24"/>
                <w:szCs w:val="24"/>
                <w:highlight w:val="none"/>
              </w:rPr>
              <w:t>▲</w:t>
            </w:r>
            <w:r>
              <w:rPr>
                <w:rFonts w:hint="eastAsia" w:ascii="宋体" w:hAnsi="宋体" w:eastAsia="宋体" w:cs="宋体"/>
                <w:color w:val="000000"/>
                <w:kern w:val="0"/>
                <w:sz w:val="24"/>
                <w:szCs w:val="24"/>
                <w:highlight w:val="none"/>
                <w:lang w:bidi="ar"/>
              </w:rPr>
              <w:t>”</w:t>
            </w:r>
            <w:r>
              <w:rPr>
                <w:rFonts w:hint="eastAsia" w:asciiTheme="minorEastAsia" w:hAnsiTheme="minorEastAsia" w:eastAsiaTheme="minorEastAsia"/>
                <w:b/>
                <w:sz w:val="24"/>
                <w:highlight w:val="none"/>
              </w:rPr>
              <w:t>的技术参数响应情况以技术规格偏离表中的响应情况为准；标注</w:t>
            </w:r>
            <w:r>
              <w:rPr>
                <w:rFonts w:hint="eastAsia" w:ascii="宋体" w:hAnsi="宋体" w:eastAsia="宋体" w:cs="宋体"/>
                <w:color w:val="000000"/>
                <w:kern w:val="0"/>
                <w:sz w:val="24"/>
                <w:szCs w:val="24"/>
                <w:highlight w:val="none"/>
                <w:lang w:bidi="ar"/>
              </w:rPr>
              <w:t>“</w:t>
            </w:r>
            <w:r>
              <w:rPr>
                <w:rFonts w:hint="eastAsia" w:ascii="宋体" w:hAnsi="宋体" w:eastAsia="宋体" w:cs="宋体"/>
                <w:bCs/>
                <w:color w:val="000000"/>
                <w:kern w:val="0"/>
                <w:sz w:val="24"/>
                <w:szCs w:val="24"/>
                <w:highlight w:val="none"/>
              </w:rPr>
              <w:t>▲</w:t>
            </w:r>
            <w:r>
              <w:rPr>
                <w:rFonts w:hint="eastAsia" w:ascii="宋体" w:hAnsi="宋体" w:eastAsia="宋体" w:cs="宋体"/>
                <w:color w:val="000000"/>
                <w:kern w:val="0"/>
                <w:sz w:val="24"/>
                <w:szCs w:val="24"/>
                <w:highlight w:val="none"/>
                <w:lang w:bidi="ar"/>
              </w:rPr>
              <w:t>”</w:t>
            </w:r>
            <w:r>
              <w:rPr>
                <w:rFonts w:hint="eastAsia" w:asciiTheme="minorEastAsia" w:hAnsiTheme="minorEastAsia" w:eastAsiaTheme="minorEastAsia"/>
                <w:b/>
                <w:sz w:val="24"/>
                <w:highlight w:val="none"/>
              </w:rPr>
              <w:t>的条款，须提供相关证明材料，如招标文件中明确要求证明材料类型，则以招标文件明确要求的材料为准，如未明确证明材料的类型，则以技术支持资料作为评审依据，技术支持资料包括：医疗器械注册证、具有“CMA”标识且在有效期内的检测或检验报告扫描件或者由放射卫生技术服务机构出具的且在有效期内的检测或检验报告并提供卫健委官网查询截图、技术彩页、技术白皮书、官网截图等，提供其中之一即可。</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16C18A7F">
            <w:pPr>
              <w:spacing w:line="360" w:lineRule="auto"/>
              <w:jc w:val="center"/>
              <w:rPr>
                <w:rFonts w:ascii="宋体" w:hAnsi="宋体" w:eastAsia="宋体"/>
                <w:b/>
                <w:bCs/>
                <w:sz w:val="24"/>
                <w:highlight w:val="none"/>
              </w:rPr>
            </w:pPr>
            <w:r>
              <w:rPr>
                <w:rFonts w:hint="eastAsia" w:ascii="宋体" w:hAnsi="宋体" w:eastAsia="宋体"/>
                <w:bCs/>
                <w:sz w:val="24"/>
                <w:highlight w:val="none"/>
              </w:rPr>
              <w:t>0-</w:t>
            </w:r>
            <w:r>
              <w:rPr>
                <w:rFonts w:hint="eastAsia" w:ascii="宋体" w:hAnsi="宋体" w:eastAsia="宋体"/>
                <w:bCs/>
                <w:sz w:val="24"/>
                <w:highlight w:val="none"/>
                <w:lang w:val="en-US" w:eastAsia="zh-CN"/>
              </w:rPr>
              <w:t>34</w:t>
            </w:r>
            <w:r>
              <w:rPr>
                <w:rFonts w:hint="eastAsia" w:ascii="宋体" w:hAnsi="宋体" w:eastAsia="宋体"/>
                <w:bCs/>
                <w:sz w:val="24"/>
                <w:highlight w:val="none"/>
              </w:rPr>
              <w:t>分</w:t>
            </w:r>
          </w:p>
        </w:tc>
      </w:tr>
      <w:tr w14:paraId="7DFED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tcBorders>
              <w:left w:val="single" w:color="auto" w:sz="4" w:space="0"/>
              <w:right w:val="single" w:color="auto" w:sz="4" w:space="0"/>
            </w:tcBorders>
            <w:noWrap w:val="0"/>
            <w:vAlign w:val="center"/>
          </w:tcPr>
          <w:p w14:paraId="1E47AF3C">
            <w:pPr>
              <w:spacing w:line="360" w:lineRule="auto"/>
              <w:ind w:firstLine="435"/>
              <w:jc w:val="center"/>
              <w:rPr>
                <w:rFonts w:ascii="宋体" w:hAnsi="宋体" w:eastAsia="宋体"/>
                <w:b/>
                <w:bCs/>
                <w:sz w:val="24"/>
                <w:highlight w:val="none"/>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14:paraId="65396104">
            <w:pPr>
              <w:spacing w:line="360" w:lineRule="auto"/>
              <w:jc w:val="center"/>
              <w:rPr>
                <w:rFonts w:ascii="宋体" w:hAnsi="宋体" w:eastAsia="宋体"/>
                <w:sz w:val="24"/>
                <w:highlight w:val="none"/>
              </w:rPr>
            </w:pPr>
            <w:r>
              <w:rPr>
                <w:rFonts w:hint="eastAsia" w:ascii="宋体" w:hAnsi="宋体" w:eastAsia="宋体"/>
                <w:sz w:val="24"/>
                <w:highlight w:val="none"/>
              </w:rPr>
              <w:t>产品业绩</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6F5AF266">
            <w:pPr>
              <w:jc w:val="left"/>
              <w:rPr>
                <w:rFonts w:ascii="宋体" w:hAnsi="宋体" w:eastAsia="宋体"/>
                <w:sz w:val="24"/>
                <w:highlight w:val="none"/>
              </w:rPr>
            </w:pPr>
            <w:r>
              <w:rPr>
                <w:rFonts w:hint="eastAsia" w:ascii="宋体" w:hAnsi="宋体" w:eastAsia="宋体"/>
                <w:sz w:val="24"/>
                <w:highlight w:val="none"/>
              </w:rPr>
              <w:t>202</w:t>
            </w:r>
            <w:r>
              <w:rPr>
                <w:rFonts w:hint="eastAsia" w:ascii="宋体" w:hAnsi="宋体" w:eastAsia="宋体"/>
                <w:sz w:val="24"/>
                <w:highlight w:val="none"/>
                <w:lang w:val="en-US" w:eastAsia="zh-CN"/>
              </w:rPr>
              <w:t>2</w:t>
            </w:r>
            <w:r>
              <w:rPr>
                <w:rFonts w:hint="eastAsia" w:ascii="宋体" w:hAnsi="宋体" w:eastAsia="宋体"/>
                <w:sz w:val="24"/>
                <w:highlight w:val="none"/>
              </w:rPr>
              <w:t>年01月01日至今（以合同签订时间为准），具有所投</w:t>
            </w:r>
            <w:r>
              <w:rPr>
                <w:rFonts w:hint="eastAsia" w:ascii="宋体" w:hAnsi="宋体" w:eastAsia="宋体"/>
                <w:sz w:val="24"/>
                <w:highlight w:val="none"/>
                <w:lang w:eastAsia="zh-CN"/>
              </w:rPr>
              <w:t>设备</w:t>
            </w:r>
            <w:r>
              <w:rPr>
                <w:rFonts w:hint="eastAsia" w:ascii="宋体" w:hAnsi="宋体" w:eastAsia="宋体"/>
                <w:sz w:val="24"/>
                <w:highlight w:val="none"/>
              </w:rPr>
              <w:t>产品（</w:t>
            </w:r>
            <w:r>
              <w:rPr>
                <w:rFonts w:hint="eastAsia" w:ascii="宋体" w:hAnsi="宋体" w:eastAsia="宋体"/>
                <w:b/>
                <w:bCs/>
                <w:sz w:val="24"/>
                <w:highlight w:val="none"/>
              </w:rPr>
              <w:t>同品牌同型号</w:t>
            </w:r>
            <w:r>
              <w:rPr>
                <w:rFonts w:hint="eastAsia" w:ascii="宋体" w:hAnsi="宋体" w:eastAsia="宋体"/>
                <w:b/>
                <w:bCs/>
                <w:sz w:val="24"/>
                <w:highlight w:val="none"/>
                <w:lang w:eastAsia="zh-CN"/>
              </w:rPr>
              <w:t>，</w:t>
            </w:r>
            <w:r>
              <w:rPr>
                <w:rFonts w:hint="eastAsia" w:ascii="宋体" w:hAnsi="宋体" w:eastAsia="宋体"/>
                <w:b/>
                <w:bCs/>
                <w:sz w:val="24"/>
                <w:highlight w:val="none"/>
                <w:lang w:val="en-US" w:eastAsia="zh-CN"/>
              </w:rPr>
              <w:t>至少包括</w:t>
            </w:r>
            <w:r>
              <w:rPr>
                <w:rFonts w:hint="eastAsia" w:asciiTheme="minorEastAsia" w:hAnsiTheme="minorEastAsia" w:eastAsiaTheme="minorEastAsia"/>
                <w:b/>
                <w:bCs/>
                <w:sz w:val="24"/>
                <w:highlight w:val="none"/>
                <w:lang w:val="en-US" w:eastAsia="zh-CN"/>
              </w:rPr>
              <w:t>便携式彩色多普勒超声</w:t>
            </w:r>
            <w:r>
              <w:rPr>
                <w:rFonts w:hint="eastAsia" w:ascii="宋体" w:hAnsi="宋体" w:eastAsia="宋体"/>
                <w:sz w:val="24"/>
                <w:highlight w:val="none"/>
              </w:rPr>
              <w:t>）的供货业绩，每提供一个业绩得</w:t>
            </w:r>
            <w:r>
              <w:rPr>
                <w:rFonts w:hint="eastAsia" w:ascii="宋体" w:hAnsi="宋体" w:eastAsia="宋体"/>
                <w:sz w:val="24"/>
                <w:highlight w:val="none"/>
                <w:lang w:val="en-US" w:eastAsia="zh-CN"/>
              </w:rPr>
              <w:t>2</w:t>
            </w:r>
            <w:r>
              <w:rPr>
                <w:rFonts w:hint="eastAsia" w:ascii="宋体" w:hAnsi="宋体" w:eastAsia="宋体"/>
                <w:sz w:val="24"/>
                <w:highlight w:val="none"/>
              </w:rPr>
              <w:t>分，满分</w:t>
            </w:r>
            <w:r>
              <w:rPr>
                <w:rFonts w:hint="eastAsia" w:ascii="宋体" w:hAnsi="宋体" w:eastAsia="宋体"/>
                <w:sz w:val="24"/>
                <w:highlight w:val="none"/>
                <w:lang w:val="en-US" w:eastAsia="zh-CN"/>
              </w:rPr>
              <w:t>4</w:t>
            </w:r>
            <w:r>
              <w:rPr>
                <w:rFonts w:hint="eastAsia" w:ascii="宋体" w:hAnsi="宋体" w:eastAsia="宋体"/>
                <w:sz w:val="24"/>
                <w:highlight w:val="none"/>
              </w:rPr>
              <w:t>分。</w:t>
            </w:r>
          </w:p>
          <w:p w14:paraId="74857BC3">
            <w:pPr>
              <w:jc w:val="left"/>
              <w:rPr>
                <w:rFonts w:ascii="宋体" w:hAnsi="宋体" w:eastAsia="宋体"/>
                <w:sz w:val="24"/>
                <w:highlight w:val="none"/>
              </w:rPr>
            </w:pPr>
            <w:r>
              <w:rPr>
                <w:rFonts w:hint="eastAsia" w:ascii="宋体" w:hAnsi="宋体" w:eastAsia="宋体"/>
                <w:b/>
                <w:bCs/>
                <w:sz w:val="24"/>
                <w:highlight w:val="none"/>
              </w:rPr>
              <w:t>注：投标文件中提供合同扫描件。如合同材料中无法体现合同签订时间等评审因素的，须同时提供业主单位加盖公章证明材料扫描件，否则不得分；特别说明：此处业绩系指所投产品业绩，业绩合同中产品须与所投产品品牌型号一致。</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54DD3135">
            <w:pPr>
              <w:spacing w:line="360" w:lineRule="auto"/>
              <w:jc w:val="center"/>
              <w:rPr>
                <w:rFonts w:ascii="宋体" w:hAnsi="宋体" w:eastAsia="宋体"/>
                <w:b/>
                <w:bCs/>
                <w:sz w:val="24"/>
                <w:highlight w:val="none"/>
              </w:rPr>
            </w:pPr>
            <w:r>
              <w:rPr>
                <w:rFonts w:hint="eastAsia" w:ascii="宋体" w:hAnsi="宋体" w:eastAsia="宋体"/>
                <w:bCs/>
                <w:sz w:val="24"/>
                <w:highlight w:val="none"/>
              </w:rPr>
              <w:t>0-</w:t>
            </w:r>
            <w:r>
              <w:rPr>
                <w:rFonts w:hint="eastAsia" w:ascii="宋体" w:hAnsi="宋体" w:eastAsia="宋体"/>
                <w:bCs/>
                <w:sz w:val="24"/>
                <w:highlight w:val="none"/>
                <w:lang w:val="en-US" w:eastAsia="zh-CN"/>
              </w:rPr>
              <w:t>4</w:t>
            </w:r>
            <w:r>
              <w:rPr>
                <w:rFonts w:hint="eastAsia" w:ascii="宋体" w:hAnsi="宋体" w:eastAsia="宋体"/>
                <w:bCs/>
                <w:sz w:val="24"/>
                <w:highlight w:val="none"/>
              </w:rPr>
              <w:t>分</w:t>
            </w:r>
          </w:p>
        </w:tc>
      </w:tr>
      <w:tr w14:paraId="56A90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tcBorders>
              <w:left w:val="single" w:color="auto" w:sz="4" w:space="0"/>
              <w:right w:val="single" w:color="auto" w:sz="4" w:space="0"/>
            </w:tcBorders>
            <w:noWrap w:val="0"/>
            <w:vAlign w:val="center"/>
          </w:tcPr>
          <w:p w14:paraId="4636B8A7">
            <w:pPr>
              <w:spacing w:line="360" w:lineRule="auto"/>
              <w:ind w:firstLine="435"/>
              <w:jc w:val="center"/>
              <w:rPr>
                <w:rFonts w:ascii="宋体" w:hAnsi="宋体" w:eastAsia="宋体"/>
                <w:b/>
                <w:bCs/>
                <w:sz w:val="24"/>
                <w:highlight w:val="none"/>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14:paraId="17F23514">
            <w:pPr>
              <w:spacing w:line="360" w:lineRule="auto"/>
              <w:jc w:val="center"/>
              <w:rPr>
                <w:rFonts w:ascii="宋体" w:hAnsi="宋体" w:eastAsia="宋体"/>
                <w:sz w:val="24"/>
                <w:highlight w:val="none"/>
              </w:rPr>
            </w:pPr>
            <w:r>
              <w:rPr>
                <w:rFonts w:hint="eastAsia" w:ascii="宋体" w:hAnsi="宋体" w:eastAsia="宋体"/>
                <w:sz w:val="24"/>
                <w:highlight w:val="none"/>
              </w:rPr>
              <w:t>免费质保期</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534C7F9C">
            <w:pPr>
              <w:jc w:val="left"/>
              <w:rPr>
                <w:rFonts w:ascii="宋体" w:hAnsi="宋体" w:eastAsia="宋体"/>
                <w:sz w:val="24"/>
                <w:highlight w:val="none"/>
              </w:rPr>
            </w:pPr>
            <w:r>
              <w:rPr>
                <w:rFonts w:hint="eastAsia" w:ascii="宋体" w:hAnsi="宋体" w:eastAsia="宋体"/>
                <w:sz w:val="24"/>
                <w:highlight w:val="none"/>
              </w:rPr>
              <w:t>投标人在满足招标文件要求的免费质保期（</w:t>
            </w:r>
            <w:r>
              <w:rPr>
                <w:rFonts w:hint="eastAsia" w:ascii="宋体" w:hAnsi="宋体" w:eastAsia="宋体"/>
                <w:b/>
                <w:bCs/>
                <w:sz w:val="24"/>
                <w:highlight w:val="none"/>
              </w:rPr>
              <w:t>5年</w:t>
            </w:r>
            <w:r>
              <w:rPr>
                <w:rFonts w:hint="eastAsia" w:ascii="宋体" w:hAnsi="宋体" w:eastAsia="宋体"/>
                <w:b/>
                <w:bCs/>
                <w:sz w:val="24"/>
                <w:highlight w:val="none"/>
                <w:lang w:eastAsia="zh-CN"/>
              </w:rPr>
              <w:t>整机</w:t>
            </w:r>
            <w:r>
              <w:rPr>
                <w:rFonts w:hint="eastAsia" w:ascii="宋体" w:hAnsi="宋体" w:eastAsia="宋体"/>
                <w:b/>
                <w:bCs/>
                <w:sz w:val="24"/>
                <w:highlight w:val="none"/>
              </w:rPr>
              <w:t>原厂质保</w:t>
            </w:r>
            <w:r>
              <w:rPr>
                <w:rFonts w:hint="eastAsia" w:ascii="宋体" w:hAnsi="宋体" w:eastAsia="宋体"/>
                <w:sz w:val="24"/>
                <w:highlight w:val="none"/>
              </w:rPr>
              <w:t>）的基础上，免费质保期每增加1年整机</w:t>
            </w:r>
            <w:r>
              <w:rPr>
                <w:rFonts w:hint="eastAsia" w:ascii="宋体" w:hAnsi="宋体" w:eastAsia="宋体"/>
                <w:b w:val="0"/>
                <w:bCs w:val="0"/>
                <w:sz w:val="24"/>
                <w:highlight w:val="none"/>
              </w:rPr>
              <w:t>原厂质保</w:t>
            </w:r>
            <w:r>
              <w:rPr>
                <w:rFonts w:hint="eastAsia" w:ascii="宋体" w:hAnsi="宋体" w:eastAsia="宋体"/>
                <w:sz w:val="24"/>
                <w:highlight w:val="none"/>
              </w:rPr>
              <w:t>的，加</w:t>
            </w:r>
            <w:r>
              <w:rPr>
                <w:rFonts w:hint="eastAsia" w:ascii="宋体" w:hAnsi="宋体" w:eastAsia="宋体"/>
                <w:sz w:val="24"/>
                <w:highlight w:val="none"/>
                <w:lang w:val="en-US" w:eastAsia="zh-CN"/>
              </w:rPr>
              <w:t>3</w:t>
            </w:r>
            <w:r>
              <w:rPr>
                <w:rFonts w:hint="eastAsia" w:ascii="宋体" w:hAnsi="宋体" w:eastAsia="宋体"/>
                <w:sz w:val="24"/>
                <w:highlight w:val="none"/>
              </w:rPr>
              <w:t>分，最高加</w:t>
            </w:r>
            <w:r>
              <w:rPr>
                <w:rFonts w:hint="eastAsia" w:ascii="宋体" w:hAnsi="宋体" w:eastAsia="宋体"/>
                <w:sz w:val="24"/>
                <w:highlight w:val="none"/>
                <w:lang w:val="en-US" w:eastAsia="zh-CN"/>
              </w:rPr>
              <w:t>6</w:t>
            </w:r>
            <w:r>
              <w:rPr>
                <w:rFonts w:hint="eastAsia" w:ascii="宋体" w:hAnsi="宋体" w:eastAsia="宋体"/>
                <w:sz w:val="24"/>
                <w:highlight w:val="none"/>
              </w:rPr>
              <w:t>分（增加不足1年的不加分）。</w:t>
            </w:r>
          </w:p>
          <w:p w14:paraId="7F4F76AB">
            <w:pPr>
              <w:jc w:val="left"/>
              <w:rPr>
                <w:rFonts w:ascii="宋体" w:hAnsi="宋体" w:eastAsia="宋体"/>
                <w:sz w:val="24"/>
                <w:highlight w:val="none"/>
              </w:rPr>
            </w:pPr>
            <w:r>
              <w:rPr>
                <w:rFonts w:hint="eastAsia" w:ascii="宋体" w:hAnsi="宋体" w:eastAsia="宋体"/>
                <w:b/>
                <w:bCs/>
                <w:sz w:val="24"/>
                <w:highlight w:val="none"/>
              </w:rPr>
              <w:t>注：以《商务响应表》中填写的质保期作为评审依据。</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780E464D">
            <w:pPr>
              <w:spacing w:line="360" w:lineRule="auto"/>
              <w:jc w:val="center"/>
              <w:rPr>
                <w:rFonts w:ascii="宋体" w:hAnsi="宋体" w:eastAsia="宋体"/>
                <w:b/>
                <w:bCs/>
                <w:sz w:val="24"/>
                <w:highlight w:val="none"/>
              </w:rPr>
            </w:pPr>
            <w:r>
              <w:rPr>
                <w:rFonts w:hint="eastAsia" w:ascii="宋体" w:hAnsi="宋体" w:eastAsia="宋体"/>
                <w:bCs/>
                <w:sz w:val="24"/>
                <w:highlight w:val="none"/>
              </w:rPr>
              <w:t>0-</w:t>
            </w:r>
            <w:r>
              <w:rPr>
                <w:rFonts w:hint="eastAsia" w:ascii="宋体" w:hAnsi="宋体" w:eastAsia="宋体"/>
                <w:bCs/>
                <w:sz w:val="24"/>
                <w:highlight w:val="none"/>
                <w:lang w:val="en-US" w:eastAsia="zh-CN"/>
              </w:rPr>
              <w:t>6</w:t>
            </w:r>
            <w:r>
              <w:rPr>
                <w:rFonts w:hint="eastAsia" w:ascii="宋体" w:hAnsi="宋体" w:eastAsia="宋体"/>
                <w:bCs/>
                <w:sz w:val="24"/>
                <w:highlight w:val="none"/>
              </w:rPr>
              <w:t>分</w:t>
            </w:r>
          </w:p>
        </w:tc>
      </w:tr>
      <w:tr w14:paraId="293C4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tcBorders>
              <w:left w:val="single" w:color="auto" w:sz="4" w:space="0"/>
              <w:right w:val="single" w:color="auto" w:sz="4" w:space="0"/>
            </w:tcBorders>
            <w:noWrap w:val="0"/>
            <w:vAlign w:val="center"/>
          </w:tcPr>
          <w:p w14:paraId="6B0E2A19">
            <w:pPr>
              <w:spacing w:line="360" w:lineRule="auto"/>
              <w:ind w:firstLine="435"/>
              <w:jc w:val="center"/>
              <w:rPr>
                <w:rFonts w:ascii="宋体" w:hAnsi="宋体" w:eastAsia="宋体"/>
                <w:b/>
                <w:bCs/>
                <w:sz w:val="24"/>
                <w:highlight w:val="none"/>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14:paraId="7278848F">
            <w:pPr>
              <w:spacing w:line="360" w:lineRule="auto"/>
              <w:jc w:val="center"/>
              <w:rPr>
                <w:rFonts w:ascii="宋体" w:hAnsi="宋体" w:eastAsia="宋体"/>
                <w:sz w:val="24"/>
                <w:highlight w:val="none"/>
              </w:rPr>
            </w:pPr>
            <w:r>
              <w:rPr>
                <w:rFonts w:hint="eastAsia" w:ascii="宋体" w:hAnsi="宋体" w:eastAsia="宋体"/>
                <w:sz w:val="24"/>
                <w:highlight w:val="none"/>
              </w:rPr>
              <w:t>产品技术先</w:t>
            </w:r>
          </w:p>
          <w:p w14:paraId="3DA4CFC6">
            <w:pPr>
              <w:spacing w:line="360" w:lineRule="auto"/>
              <w:jc w:val="center"/>
              <w:rPr>
                <w:rFonts w:ascii="宋体" w:hAnsi="宋体" w:eastAsia="宋体"/>
                <w:sz w:val="24"/>
                <w:highlight w:val="none"/>
              </w:rPr>
            </w:pPr>
            <w:r>
              <w:rPr>
                <w:rFonts w:hint="eastAsia" w:ascii="宋体" w:hAnsi="宋体" w:eastAsia="宋体"/>
                <w:sz w:val="24"/>
                <w:highlight w:val="none"/>
              </w:rPr>
              <w:t>进性及维修</w:t>
            </w:r>
          </w:p>
          <w:p w14:paraId="216E933A">
            <w:pPr>
              <w:spacing w:line="360" w:lineRule="auto"/>
              <w:jc w:val="center"/>
              <w:rPr>
                <w:rFonts w:ascii="宋体" w:hAnsi="宋体" w:eastAsia="宋体"/>
                <w:sz w:val="24"/>
                <w:highlight w:val="none"/>
              </w:rPr>
            </w:pPr>
            <w:r>
              <w:rPr>
                <w:rFonts w:hint="eastAsia" w:ascii="宋体" w:hAnsi="宋体" w:eastAsia="宋体"/>
                <w:sz w:val="24"/>
                <w:highlight w:val="none"/>
              </w:rPr>
              <w:t>便利性等</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0745749B">
            <w:pPr>
              <w:widowControl/>
              <w:jc w:val="left"/>
              <w:rPr>
                <w:highlight w:val="none"/>
              </w:rPr>
            </w:pPr>
            <w:r>
              <w:rPr>
                <w:rFonts w:hint="eastAsia" w:ascii="宋体" w:hAnsi="宋体" w:eastAsia="宋体" w:cs="宋体"/>
                <w:color w:val="000000"/>
                <w:kern w:val="0"/>
                <w:sz w:val="24"/>
                <w:szCs w:val="24"/>
                <w:highlight w:val="none"/>
                <w:lang w:bidi="ar"/>
              </w:rPr>
              <w:t xml:space="preserve">根据投标人所投产品的技术先进性、设备性能、维修便利性、故障率、安全性等方面进行综合评审： </w:t>
            </w:r>
          </w:p>
          <w:p w14:paraId="3BC5E58E">
            <w:pPr>
              <w:widowControl/>
              <w:jc w:val="left"/>
              <w:rPr>
                <w:highlight w:val="none"/>
              </w:rPr>
            </w:pPr>
            <w:r>
              <w:rPr>
                <w:rFonts w:hint="eastAsia" w:ascii="宋体" w:hAnsi="宋体" w:eastAsia="宋体" w:cs="宋体"/>
                <w:color w:val="000000"/>
                <w:kern w:val="0"/>
                <w:sz w:val="24"/>
                <w:szCs w:val="24"/>
                <w:highlight w:val="none"/>
                <w:lang w:bidi="ar"/>
              </w:rPr>
              <w:t>1、所投产品技术先进优越、性能稳定的得</w:t>
            </w: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bidi="ar"/>
              </w:rPr>
              <w:t>分；所投产品技术较先进，运行稳定的得</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分；所投产品基本满足要求符合标准的得</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bidi="ar"/>
              </w:rPr>
              <w:t xml:space="preserve">分。 </w:t>
            </w:r>
          </w:p>
          <w:p w14:paraId="0A884687">
            <w:pPr>
              <w:widowControl/>
              <w:jc w:val="left"/>
              <w:rPr>
                <w:highlight w:val="none"/>
              </w:rPr>
            </w:pPr>
            <w:r>
              <w:rPr>
                <w:rFonts w:hint="eastAsia" w:ascii="宋体" w:hAnsi="宋体" w:eastAsia="宋体" w:cs="宋体"/>
                <w:color w:val="000000"/>
                <w:kern w:val="0"/>
                <w:sz w:val="24"/>
                <w:szCs w:val="24"/>
                <w:highlight w:val="none"/>
                <w:lang w:bidi="ar"/>
              </w:rPr>
              <w:t xml:space="preserve">2、所投产品维修便利，故障率低、安全性高的得 </w:t>
            </w: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bidi="ar"/>
              </w:rPr>
              <w:t>分；所投产品维修较便利，故障率较低的得</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分；所投产品维修便利性有待提高的得</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bidi="ar"/>
              </w:rPr>
              <w:t xml:space="preserve">分。 </w:t>
            </w:r>
          </w:p>
          <w:p w14:paraId="1C2EEAFD">
            <w:pPr>
              <w:widowControl/>
              <w:jc w:val="left"/>
              <w:rPr>
                <w:rFonts w:ascii="宋体" w:hAnsi="宋体" w:eastAsia="宋体"/>
                <w:sz w:val="24"/>
                <w:highlight w:val="none"/>
              </w:rPr>
            </w:pPr>
            <w:r>
              <w:rPr>
                <w:rFonts w:hint="eastAsia" w:ascii="宋体" w:hAnsi="宋体" w:eastAsia="宋体" w:cs="宋体"/>
                <w:b/>
                <w:bCs/>
                <w:color w:val="000000"/>
                <w:kern w:val="0"/>
                <w:sz w:val="24"/>
                <w:szCs w:val="24"/>
                <w:highlight w:val="none"/>
                <w:lang w:bidi="ar"/>
              </w:rPr>
              <w:t>注：投标文件中提供证明材料，证明材料无固定形式，如产品技术说明，故障率、维修使用等说明，未提供任何材料的不得分。</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7E03B17F">
            <w:pPr>
              <w:spacing w:line="360" w:lineRule="auto"/>
              <w:jc w:val="center"/>
              <w:rPr>
                <w:rFonts w:ascii="宋体" w:hAnsi="宋体" w:eastAsia="宋体"/>
                <w:b/>
                <w:bCs/>
                <w:sz w:val="24"/>
                <w:highlight w:val="none"/>
              </w:rPr>
            </w:pPr>
            <w:r>
              <w:rPr>
                <w:rFonts w:hint="eastAsia" w:ascii="宋体" w:hAnsi="宋体" w:eastAsia="宋体"/>
                <w:bCs/>
                <w:sz w:val="24"/>
                <w:highlight w:val="none"/>
              </w:rPr>
              <w:t>0-</w:t>
            </w:r>
            <w:r>
              <w:rPr>
                <w:rFonts w:hint="eastAsia" w:ascii="宋体" w:hAnsi="宋体" w:eastAsia="宋体"/>
                <w:bCs/>
                <w:sz w:val="24"/>
                <w:highlight w:val="none"/>
                <w:lang w:val="en-US" w:eastAsia="zh-CN"/>
              </w:rPr>
              <w:t>6</w:t>
            </w:r>
            <w:r>
              <w:rPr>
                <w:rFonts w:hint="eastAsia" w:ascii="宋体" w:hAnsi="宋体" w:eastAsia="宋体"/>
                <w:bCs/>
                <w:sz w:val="24"/>
                <w:highlight w:val="none"/>
              </w:rPr>
              <w:t>分</w:t>
            </w:r>
          </w:p>
        </w:tc>
      </w:tr>
      <w:tr w14:paraId="3C8AD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tcBorders>
              <w:left w:val="single" w:color="auto" w:sz="4" w:space="0"/>
              <w:right w:val="single" w:color="auto" w:sz="4" w:space="0"/>
            </w:tcBorders>
            <w:noWrap w:val="0"/>
            <w:vAlign w:val="center"/>
          </w:tcPr>
          <w:p w14:paraId="07928F79">
            <w:pPr>
              <w:spacing w:line="360" w:lineRule="auto"/>
              <w:ind w:firstLine="435"/>
              <w:jc w:val="center"/>
              <w:rPr>
                <w:rFonts w:ascii="宋体" w:hAnsi="宋体" w:eastAsia="宋体"/>
                <w:b/>
                <w:bCs/>
                <w:sz w:val="24"/>
                <w:highlight w:val="none"/>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14:paraId="0132E4C8">
            <w:pPr>
              <w:spacing w:line="360" w:lineRule="auto"/>
              <w:jc w:val="center"/>
              <w:rPr>
                <w:rFonts w:ascii="宋体" w:hAnsi="宋体" w:eastAsia="宋体"/>
                <w:sz w:val="24"/>
                <w:highlight w:val="none"/>
              </w:rPr>
            </w:pPr>
            <w:r>
              <w:rPr>
                <w:rFonts w:hint="eastAsia" w:ascii="宋体" w:hAnsi="宋体" w:eastAsia="宋体"/>
                <w:sz w:val="24"/>
                <w:highlight w:val="none"/>
              </w:rPr>
              <w:t>供货安装及调试方案</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72B63691">
            <w:pPr>
              <w:rPr>
                <w:rFonts w:ascii="宋体" w:hAnsi="宋体" w:eastAsia="宋体"/>
                <w:sz w:val="24"/>
                <w:highlight w:val="none"/>
              </w:rPr>
            </w:pPr>
            <w:r>
              <w:rPr>
                <w:rFonts w:hint="eastAsia" w:ascii="宋体" w:hAnsi="宋体" w:eastAsia="宋体"/>
                <w:sz w:val="24"/>
                <w:highlight w:val="none"/>
              </w:rPr>
              <w:t>评标委员会根据投标人提供的供货安装及调试方案进行评分，内容包括但不限于供货安装计划、调试流程、安全措施等方面。</w:t>
            </w:r>
          </w:p>
          <w:p w14:paraId="063EFFAD">
            <w:pPr>
              <w:rPr>
                <w:rFonts w:ascii="宋体" w:hAnsi="宋体" w:eastAsia="宋体"/>
                <w:sz w:val="24"/>
                <w:highlight w:val="none"/>
              </w:rPr>
            </w:pPr>
            <w:r>
              <w:rPr>
                <w:rFonts w:hint="eastAsia" w:ascii="宋体" w:hAnsi="宋体" w:eastAsia="宋体"/>
                <w:sz w:val="24"/>
                <w:highlight w:val="none"/>
                <w:lang w:val="en-US" w:eastAsia="zh-CN"/>
              </w:rPr>
              <w:t>1、</w:t>
            </w:r>
            <w:r>
              <w:rPr>
                <w:rFonts w:hint="eastAsia" w:ascii="宋体" w:hAnsi="宋体" w:eastAsia="宋体"/>
                <w:sz w:val="24"/>
                <w:highlight w:val="none"/>
              </w:rPr>
              <w:t xml:space="preserve">方案内容完整详细，满足项目需求，可行性、实用性、针对性强，得 </w:t>
            </w:r>
            <w:r>
              <w:rPr>
                <w:rFonts w:hint="eastAsia" w:ascii="宋体" w:hAnsi="宋体" w:eastAsia="宋体"/>
                <w:sz w:val="24"/>
                <w:highlight w:val="none"/>
                <w:lang w:val="en-US" w:eastAsia="zh-CN"/>
              </w:rPr>
              <w:t>5</w:t>
            </w:r>
            <w:r>
              <w:rPr>
                <w:rFonts w:hint="eastAsia" w:ascii="宋体" w:hAnsi="宋体" w:eastAsia="宋体"/>
                <w:sz w:val="24"/>
                <w:highlight w:val="none"/>
              </w:rPr>
              <w:t xml:space="preserve"> 分；</w:t>
            </w:r>
          </w:p>
          <w:p w14:paraId="47008D04">
            <w:pPr>
              <w:rPr>
                <w:rFonts w:ascii="宋体" w:hAnsi="宋体" w:eastAsia="宋体"/>
                <w:sz w:val="24"/>
                <w:highlight w:val="none"/>
              </w:rPr>
            </w:pPr>
            <w:r>
              <w:rPr>
                <w:rFonts w:hint="eastAsia" w:ascii="宋体" w:hAnsi="宋体" w:eastAsia="宋体"/>
                <w:sz w:val="24"/>
                <w:highlight w:val="none"/>
                <w:lang w:val="en-US" w:eastAsia="zh-CN"/>
              </w:rPr>
              <w:t>2、</w:t>
            </w:r>
            <w:r>
              <w:rPr>
                <w:rFonts w:hint="eastAsia" w:ascii="宋体" w:hAnsi="宋体" w:eastAsia="宋体"/>
                <w:sz w:val="24"/>
                <w:highlight w:val="none"/>
              </w:rPr>
              <w:t xml:space="preserve">方案内容基本完整详细，适合项目需求，具有可行性、实用性和针对性，得 </w:t>
            </w:r>
            <w:r>
              <w:rPr>
                <w:rFonts w:hint="eastAsia" w:ascii="宋体" w:hAnsi="宋体" w:eastAsia="宋体"/>
                <w:sz w:val="24"/>
                <w:highlight w:val="none"/>
                <w:lang w:val="en-US" w:eastAsia="zh-CN"/>
              </w:rPr>
              <w:t>3</w:t>
            </w:r>
            <w:r>
              <w:rPr>
                <w:rFonts w:hint="eastAsia" w:ascii="宋体" w:hAnsi="宋体" w:eastAsia="宋体"/>
                <w:sz w:val="24"/>
                <w:highlight w:val="none"/>
              </w:rPr>
              <w:t xml:space="preserve"> 分；</w:t>
            </w:r>
          </w:p>
          <w:p w14:paraId="69FF6716">
            <w:pPr>
              <w:rPr>
                <w:rFonts w:ascii="宋体" w:hAnsi="宋体" w:eastAsia="宋体"/>
                <w:sz w:val="24"/>
                <w:highlight w:val="none"/>
              </w:rPr>
            </w:pPr>
            <w:r>
              <w:rPr>
                <w:rFonts w:hint="eastAsia" w:ascii="宋体" w:hAnsi="宋体" w:eastAsia="宋体"/>
                <w:sz w:val="24"/>
                <w:highlight w:val="none"/>
                <w:lang w:val="en-US" w:eastAsia="zh-CN"/>
              </w:rPr>
              <w:t>3、</w:t>
            </w:r>
            <w:r>
              <w:rPr>
                <w:rFonts w:hint="eastAsia" w:ascii="宋体" w:hAnsi="宋体" w:eastAsia="宋体"/>
                <w:sz w:val="24"/>
                <w:highlight w:val="none"/>
              </w:rPr>
              <w:t>方案内容片面不全，基本适合项目需求，可行性、实用性、针对性有待改善，得 1 分；</w:t>
            </w:r>
          </w:p>
          <w:p w14:paraId="704F0D2A">
            <w:pPr>
              <w:rPr>
                <w:rFonts w:ascii="宋体" w:hAnsi="宋体" w:eastAsia="宋体"/>
                <w:sz w:val="24"/>
                <w:highlight w:val="none"/>
              </w:rPr>
            </w:pPr>
            <w:r>
              <w:rPr>
                <w:rFonts w:hint="eastAsia" w:ascii="宋体" w:hAnsi="宋体" w:eastAsia="宋体"/>
                <w:sz w:val="24"/>
                <w:highlight w:val="none"/>
                <w:lang w:val="en-US" w:eastAsia="zh-CN"/>
              </w:rPr>
              <w:t>4、</w:t>
            </w:r>
            <w:r>
              <w:rPr>
                <w:rFonts w:hint="eastAsia" w:ascii="宋体" w:hAnsi="宋体" w:eastAsia="宋体"/>
                <w:sz w:val="24"/>
                <w:highlight w:val="none"/>
              </w:rPr>
              <w:t>方案不可行或者未提供得 0 分。</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7280D693">
            <w:pPr>
              <w:spacing w:line="360" w:lineRule="auto"/>
              <w:jc w:val="center"/>
              <w:rPr>
                <w:rFonts w:ascii="宋体" w:hAnsi="宋体" w:eastAsia="宋体"/>
                <w:b/>
                <w:bCs/>
                <w:sz w:val="24"/>
                <w:highlight w:val="none"/>
              </w:rPr>
            </w:pPr>
            <w:r>
              <w:rPr>
                <w:rFonts w:hint="eastAsia" w:ascii="宋体" w:hAnsi="宋体" w:eastAsia="宋体"/>
                <w:bCs/>
                <w:sz w:val="24"/>
                <w:highlight w:val="none"/>
              </w:rPr>
              <w:t>0-</w:t>
            </w:r>
            <w:r>
              <w:rPr>
                <w:rFonts w:hint="eastAsia" w:ascii="宋体" w:hAnsi="宋体" w:eastAsia="宋体"/>
                <w:bCs/>
                <w:sz w:val="24"/>
                <w:highlight w:val="none"/>
                <w:lang w:val="en-US" w:eastAsia="zh-CN"/>
              </w:rPr>
              <w:t>5</w:t>
            </w:r>
            <w:r>
              <w:rPr>
                <w:rFonts w:hint="eastAsia" w:ascii="宋体" w:hAnsi="宋体" w:eastAsia="宋体"/>
                <w:bCs/>
                <w:sz w:val="24"/>
                <w:highlight w:val="none"/>
              </w:rPr>
              <w:t>分</w:t>
            </w:r>
          </w:p>
        </w:tc>
      </w:tr>
      <w:tr w14:paraId="300EA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tcBorders>
              <w:left w:val="single" w:color="auto" w:sz="4" w:space="0"/>
              <w:right w:val="single" w:color="auto" w:sz="4" w:space="0"/>
            </w:tcBorders>
            <w:noWrap w:val="0"/>
            <w:vAlign w:val="center"/>
          </w:tcPr>
          <w:p w14:paraId="02CCECFE">
            <w:pPr>
              <w:spacing w:line="360" w:lineRule="auto"/>
              <w:ind w:firstLine="435"/>
              <w:jc w:val="center"/>
              <w:rPr>
                <w:rFonts w:ascii="宋体" w:hAnsi="宋体" w:eastAsia="宋体"/>
                <w:b/>
                <w:bCs/>
                <w:sz w:val="24"/>
                <w:highlight w:val="none"/>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14:paraId="6CA0FFB3">
            <w:pPr>
              <w:spacing w:line="360" w:lineRule="auto"/>
              <w:jc w:val="center"/>
              <w:rPr>
                <w:rFonts w:ascii="宋体" w:hAnsi="宋体" w:eastAsia="宋体"/>
                <w:sz w:val="24"/>
                <w:highlight w:val="none"/>
              </w:rPr>
            </w:pPr>
            <w:r>
              <w:rPr>
                <w:rFonts w:hint="eastAsia" w:ascii="宋体" w:hAnsi="宋体" w:eastAsia="宋体"/>
                <w:sz w:val="24"/>
                <w:highlight w:val="none"/>
              </w:rPr>
              <w:t>培训方案</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5A67D475">
            <w:pPr>
              <w:rPr>
                <w:rFonts w:ascii="宋体" w:hAnsi="宋体" w:eastAsia="宋体"/>
                <w:sz w:val="24"/>
                <w:highlight w:val="none"/>
              </w:rPr>
            </w:pPr>
            <w:r>
              <w:rPr>
                <w:rFonts w:hint="eastAsia" w:ascii="宋体" w:hAnsi="宋体" w:eastAsia="宋体"/>
                <w:sz w:val="24"/>
                <w:highlight w:val="none"/>
              </w:rPr>
              <w:t xml:space="preserve">评标委员会根据投标人提供的培训方案进行评分，内容包括但不限于仪器设备的理论培训、实际操作培训、各种技术参数设定、软件的培训和应用、简单故障排除、系统恢复方法与设备日常维护与保养方案等方面。 </w:t>
            </w:r>
          </w:p>
          <w:p w14:paraId="748BC522">
            <w:pPr>
              <w:rPr>
                <w:rFonts w:ascii="宋体" w:hAnsi="宋体" w:eastAsia="宋体"/>
                <w:sz w:val="24"/>
                <w:highlight w:val="none"/>
              </w:rPr>
            </w:pPr>
            <w:r>
              <w:rPr>
                <w:rFonts w:hint="eastAsia" w:ascii="宋体" w:hAnsi="宋体" w:eastAsia="宋体"/>
                <w:sz w:val="24"/>
                <w:highlight w:val="none"/>
                <w:lang w:val="en-US" w:eastAsia="zh-CN"/>
              </w:rPr>
              <w:t>1、</w:t>
            </w:r>
            <w:r>
              <w:rPr>
                <w:rFonts w:hint="eastAsia" w:ascii="宋体" w:hAnsi="宋体" w:eastAsia="宋体"/>
                <w:sz w:val="24"/>
                <w:highlight w:val="none"/>
              </w:rPr>
              <w:t xml:space="preserve">方案内容完整详细，满足项目需求，可行性、实用性、针对性强，得 </w:t>
            </w:r>
            <w:r>
              <w:rPr>
                <w:rFonts w:hint="eastAsia" w:ascii="宋体" w:hAnsi="宋体" w:eastAsia="宋体"/>
                <w:sz w:val="24"/>
                <w:highlight w:val="none"/>
                <w:lang w:val="en-US" w:eastAsia="zh-CN"/>
              </w:rPr>
              <w:t>5</w:t>
            </w:r>
            <w:r>
              <w:rPr>
                <w:rFonts w:hint="eastAsia" w:ascii="宋体" w:hAnsi="宋体" w:eastAsia="宋体"/>
                <w:sz w:val="24"/>
                <w:highlight w:val="none"/>
              </w:rPr>
              <w:t xml:space="preserve"> 分；</w:t>
            </w:r>
          </w:p>
          <w:p w14:paraId="708BA35D">
            <w:pPr>
              <w:rPr>
                <w:rFonts w:ascii="宋体" w:hAnsi="宋体" w:eastAsia="宋体"/>
                <w:sz w:val="24"/>
                <w:highlight w:val="none"/>
              </w:rPr>
            </w:pPr>
            <w:r>
              <w:rPr>
                <w:rFonts w:hint="eastAsia" w:ascii="宋体" w:hAnsi="宋体" w:eastAsia="宋体"/>
                <w:sz w:val="24"/>
                <w:highlight w:val="none"/>
                <w:lang w:val="en-US" w:eastAsia="zh-CN"/>
              </w:rPr>
              <w:t>2、</w:t>
            </w:r>
            <w:r>
              <w:rPr>
                <w:rFonts w:hint="eastAsia" w:ascii="宋体" w:hAnsi="宋体" w:eastAsia="宋体"/>
                <w:sz w:val="24"/>
                <w:highlight w:val="none"/>
              </w:rPr>
              <w:t xml:space="preserve">方案内容基本完整详细，适合项目需求，具有可行性、实用性和针对性，得 </w:t>
            </w:r>
            <w:r>
              <w:rPr>
                <w:rFonts w:hint="eastAsia" w:ascii="宋体" w:hAnsi="宋体" w:eastAsia="宋体"/>
                <w:sz w:val="24"/>
                <w:highlight w:val="none"/>
                <w:lang w:val="en-US" w:eastAsia="zh-CN"/>
              </w:rPr>
              <w:t>3</w:t>
            </w:r>
            <w:r>
              <w:rPr>
                <w:rFonts w:hint="eastAsia" w:ascii="宋体" w:hAnsi="宋体" w:eastAsia="宋体"/>
                <w:sz w:val="24"/>
                <w:highlight w:val="none"/>
              </w:rPr>
              <w:t xml:space="preserve"> 分； </w:t>
            </w:r>
          </w:p>
          <w:p w14:paraId="3FE65C8D">
            <w:pPr>
              <w:rPr>
                <w:rFonts w:ascii="宋体" w:hAnsi="宋体" w:eastAsia="宋体"/>
                <w:sz w:val="24"/>
                <w:highlight w:val="none"/>
              </w:rPr>
            </w:pPr>
            <w:r>
              <w:rPr>
                <w:rFonts w:hint="eastAsia" w:ascii="宋体" w:hAnsi="宋体" w:eastAsia="宋体"/>
                <w:sz w:val="24"/>
                <w:highlight w:val="none"/>
                <w:lang w:val="en-US" w:eastAsia="zh-CN"/>
              </w:rPr>
              <w:t>3、</w:t>
            </w:r>
            <w:r>
              <w:rPr>
                <w:rFonts w:hint="eastAsia" w:ascii="宋体" w:hAnsi="宋体" w:eastAsia="宋体"/>
                <w:sz w:val="24"/>
                <w:highlight w:val="none"/>
              </w:rPr>
              <w:t xml:space="preserve">方案内容片面不全，基本适合项目需求，可行性、实用性、针对性有待改善，得 1 分； </w:t>
            </w:r>
          </w:p>
          <w:p w14:paraId="3F3736B1">
            <w:pPr>
              <w:rPr>
                <w:rFonts w:ascii="宋体" w:hAnsi="宋体" w:eastAsia="宋体"/>
                <w:sz w:val="24"/>
                <w:highlight w:val="none"/>
              </w:rPr>
            </w:pPr>
            <w:r>
              <w:rPr>
                <w:rFonts w:hint="eastAsia" w:ascii="宋体" w:hAnsi="宋体" w:eastAsia="宋体"/>
                <w:sz w:val="24"/>
                <w:highlight w:val="none"/>
                <w:lang w:val="en-US" w:eastAsia="zh-CN"/>
              </w:rPr>
              <w:t>4、</w:t>
            </w:r>
            <w:r>
              <w:rPr>
                <w:rFonts w:hint="eastAsia" w:ascii="宋体" w:hAnsi="宋体" w:eastAsia="宋体"/>
                <w:sz w:val="24"/>
                <w:highlight w:val="none"/>
              </w:rPr>
              <w:t>方案不可行或者未提供得 0 分。</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32501136">
            <w:pPr>
              <w:adjustRightInd w:val="0"/>
              <w:snapToGrid w:val="0"/>
              <w:spacing w:line="400" w:lineRule="exact"/>
              <w:jc w:val="center"/>
              <w:rPr>
                <w:rFonts w:ascii="宋体" w:hAnsi="宋体" w:eastAsia="宋体"/>
                <w:bCs/>
                <w:sz w:val="24"/>
                <w:highlight w:val="none"/>
              </w:rPr>
            </w:pPr>
            <w:r>
              <w:rPr>
                <w:rFonts w:hint="eastAsia" w:ascii="宋体" w:hAnsi="宋体" w:eastAsia="宋体"/>
                <w:sz w:val="24"/>
                <w:highlight w:val="none"/>
              </w:rPr>
              <w:t>0-</w:t>
            </w:r>
            <w:r>
              <w:rPr>
                <w:rFonts w:hint="eastAsia" w:ascii="宋体" w:hAnsi="宋体" w:eastAsia="宋体"/>
                <w:sz w:val="24"/>
                <w:highlight w:val="none"/>
                <w:lang w:val="en-US" w:eastAsia="zh-CN"/>
              </w:rPr>
              <w:t>5</w:t>
            </w:r>
            <w:r>
              <w:rPr>
                <w:rFonts w:hint="eastAsia" w:ascii="宋体" w:hAnsi="宋体" w:eastAsia="宋体"/>
                <w:sz w:val="24"/>
                <w:highlight w:val="none"/>
              </w:rPr>
              <w:t>分</w:t>
            </w:r>
          </w:p>
        </w:tc>
      </w:tr>
      <w:tr w14:paraId="3F5B0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tcBorders>
              <w:left w:val="single" w:color="auto" w:sz="4" w:space="0"/>
              <w:right w:val="single" w:color="auto" w:sz="4" w:space="0"/>
            </w:tcBorders>
            <w:noWrap w:val="0"/>
            <w:vAlign w:val="center"/>
          </w:tcPr>
          <w:p w14:paraId="642D6E01">
            <w:pPr>
              <w:spacing w:line="360" w:lineRule="auto"/>
              <w:ind w:firstLine="435"/>
              <w:jc w:val="center"/>
              <w:rPr>
                <w:rFonts w:ascii="宋体" w:hAnsi="宋体" w:eastAsia="宋体"/>
                <w:b/>
                <w:bCs/>
                <w:sz w:val="24"/>
                <w:highlight w:val="none"/>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14:paraId="397495D3">
            <w:pPr>
              <w:snapToGrid w:val="0"/>
              <w:jc w:val="center"/>
              <w:rPr>
                <w:rFonts w:ascii="宋体" w:hAnsi="宋体" w:eastAsia="宋体"/>
                <w:sz w:val="24"/>
                <w:highlight w:val="none"/>
              </w:rPr>
            </w:pPr>
            <w:r>
              <w:rPr>
                <w:rFonts w:hint="eastAsia" w:ascii="宋体" w:hAnsi="宋体" w:eastAsia="宋体" w:cs="宋体"/>
                <w:bCs/>
                <w:color w:val="000000" w:themeColor="text1"/>
                <w:sz w:val="24"/>
                <w:szCs w:val="20"/>
                <w:highlight w:val="none"/>
                <w14:textFill>
                  <w14:solidFill>
                    <w14:schemeClr w14:val="tx1"/>
                  </w14:solidFill>
                </w14:textFill>
              </w:rPr>
              <w:t>售后</w:t>
            </w:r>
            <w:r>
              <w:rPr>
                <w:rFonts w:hint="eastAsia" w:ascii="宋体" w:hAnsi="宋体" w:eastAsia="宋体" w:cs="宋体"/>
                <w:bCs/>
                <w:color w:val="000000" w:themeColor="text1"/>
                <w:sz w:val="24"/>
                <w:szCs w:val="20"/>
                <w:highlight w:val="none"/>
                <w:lang w:val="en-US" w:eastAsia="zh-CN"/>
                <w14:textFill>
                  <w14:solidFill>
                    <w14:schemeClr w14:val="tx1"/>
                  </w14:solidFill>
                </w14:textFill>
              </w:rPr>
              <w:t>与应急服务</w:t>
            </w:r>
            <w:r>
              <w:rPr>
                <w:rFonts w:hint="eastAsia" w:ascii="宋体" w:hAnsi="宋体" w:eastAsia="宋体" w:cs="宋体"/>
                <w:bCs/>
                <w:color w:val="000000" w:themeColor="text1"/>
                <w:sz w:val="24"/>
                <w:szCs w:val="20"/>
                <w:highlight w:val="none"/>
                <w14:textFill>
                  <w14:solidFill>
                    <w14:schemeClr w14:val="tx1"/>
                  </w14:solidFill>
                </w14:textFill>
              </w:rPr>
              <w:t>方案</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4E4E75C9">
            <w:pPr>
              <w:spacing w:line="24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评标委员会依据投标人提供的售后与应急服务方案进行综合评审：</w:t>
            </w:r>
          </w:p>
          <w:p w14:paraId="08B49D8A">
            <w:pPr>
              <w:keepNext w:val="0"/>
              <w:keepLines w:val="0"/>
              <w:widowControl/>
              <w:suppressLineNumbers w:val="0"/>
              <w:jc w:val="left"/>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1.根据投标人提供</w:t>
            </w:r>
            <w:r>
              <w:rPr>
                <w:rFonts w:hint="eastAsia" w:ascii="宋体" w:hAnsi="宋体" w:eastAsia="宋体" w:cs="宋体"/>
                <w:b w:val="0"/>
                <w:bCs w:val="0"/>
                <w:color w:val="000000" w:themeColor="text1"/>
                <w:sz w:val="24"/>
                <w:highlight w:val="none"/>
                <w:lang w:eastAsia="zh-CN"/>
                <w14:textFill>
                  <w14:solidFill>
                    <w14:schemeClr w14:val="tx1"/>
                  </w14:solidFill>
                </w14:textFill>
              </w:rPr>
              <w:t>的</w:t>
            </w:r>
            <w:r>
              <w:rPr>
                <w:rFonts w:hint="eastAsia" w:ascii="宋体" w:hAnsi="宋体" w:eastAsia="宋体" w:cs="宋体"/>
                <w:b w:val="0"/>
                <w:bCs w:val="0"/>
                <w:color w:val="000000" w:themeColor="text1"/>
                <w:sz w:val="24"/>
                <w:highlight w:val="none"/>
                <w14:textFill>
                  <w14:solidFill>
                    <w14:schemeClr w14:val="tx1"/>
                  </w14:solidFill>
                </w14:textFill>
              </w:rPr>
              <w:t>售后服务方案进行综合评审</w:t>
            </w:r>
            <w:r>
              <w:rPr>
                <w:rFonts w:hint="eastAsia" w:ascii="宋体" w:hAnsi="宋体" w:eastAsia="宋体" w:cs="宋体"/>
                <w:b w:val="0"/>
                <w:bCs w:val="0"/>
                <w:color w:val="000000" w:themeColor="text1"/>
                <w:sz w:val="24"/>
                <w:highlight w:val="none"/>
                <w:lang w:eastAsia="zh-CN"/>
                <w14:textFill>
                  <w14:solidFill>
                    <w14:schemeClr w14:val="tx1"/>
                  </w14:solidFill>
                </w14:textFill>
              </w:rPr>
              <w:t>，内容包括但不限于售后服务管理制度、保障措施、维保方式、维保内容、质保期满后的维保费用、时间保证、售后人员配备</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等方面</w:t>
            </w:r>
            <w:r>
              <w:rPr>
                <w:rFonts w:hint="eastAsia" w:ascii="宋体" w:hAnsi="宋体" w:eastAsia="宋体" w:cs="宋体"/>
                <w:b w:val="0"/>
                <w:bCs w:val="0"/>
                <w:color w:val="000000" w:themeColor="text1"/>
                <w:sz w:val="24"/>
                <w:highlight w:val="none"/>
                <w14:textFill>
                  <w14:solidFill>
                    <w14:schemeClr w14:val="tx1"/>
                  </w14:solidFill>
                </w14:textFill>
              </w:rPr>
              <w:t>：</w:t>
            </w:r>
          </w:p>
          <w:p w14:paraId="22781209">
            <w:pPr>
              <w:numPr>
                <w:ilvl w:val="0"/>
                <w:numId w:val="0"/>
              </w:numPr>
              <w:spacing w:line="24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1</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对本项目的特点和难点理解准确，售后服务方案优于本项目采购需求，可行性、实用性、针对性强，得5分；</w:t>
            </w:r>
          </w:p>
          <w:p w14:paraId="0A13593E">
            <w:pPr>
              <w:numPr>
                <w:ilvl w:val="0"/>
                <w:numId w:val="0"/>
              </w:numPr>
              <w:spacing w:line="24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2</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对本项目的特点和难点理解基本准确，售后服务方案基本满足本项目采购需求，具有可行性、实用性和针对性，得3分；</w:t>
            </w:r>
          </w:p>
          <w:p w14:paraId="14774AA6">
            <w:pPr>
              <w:numPr>
                <w:ilvl w:val="0"/>
                <w:numId w:val="0"/>
              </w:numPr>
              <w:spacing w:line="24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3</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对本项目的特点和难点理解有待提升，售后服务方案可行性、实用性和针对性有待改善，得1分；</w:t>
            </w:r>
          </w:p>
          <w:p w14:paraId="5241564D">
            <w:pPr>
              <w:numPr>
                <w:ilvl w:val="0"/>
                <w:numId w:val="0"/>
              </w:numPr>
              <w:spacing w:line="24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4</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未提供方案的不得分。</w:t>
            </w:r>
          </w:p>
          <w:p w14:paraId="3A1C4D6B">
            <w:pPr>
              <w:spacing w:line="240" w:lineRule="auto"/>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2.根据投标人提供针对本项目的应急服务</w:t>
            </w:r>
            <w:r>
              <w:rPr>
                <w:rFonts w:hint="eastAsia" w:ascii="宋体" w:hAnsi="宋体" w:eastAsia="宋体" w:cs="宋体"/>
                <w:b w:val="0"/>
                <w:bCs/>
                <w:color w:val="000000" w:themeColor="text1"/>
                <w:sz w:val="24"/>
                <w:highlight w:val="none"/>
                <w:lang w:eastAsia="zh-CN"/>
                <w14:textFill>
                  <w14:solidFill>
                    <w14:schemeClr w14:val="tx1"/>
                  </w14:solidFill>
                </w14:textFill>
              </w:rPr>
              <w:t>方案</w:t>
            </w:r>
            <w:r>
              <w:rPr>
                <w:rFonts w:hint="eastAsia" w:ascii="宋体" w:hAnsi="宋体" w:eastAsia="宋体" w:cs="宋体"/>
                <w:b w:val="0"/>
                <w:bCs/>
                <w:color w:val="000000" w:themeColor="text1"/>
                <w:sz w:val="24"/>
                <w:highlight w:val="none"/>
                <w14:textFill>
                  <w14:solidFill>
                    <w14:schemeClr w14:val="tx1"/>
                  </w14:solidFill>
                </w14:textFill>
              </w:rPr>
              <w:t>进行综合评审</w:t>
            </w:r>
            <w:r>
              <w:rPr>
                <w:rFonts w:hint="eastAsia" w:ascii="宋体" w:hAnsi="宋体" w:eastAsia="宋体" w:cs="宋体"/>
                <w:b w:val="0"/>
                <w:bCs/>
                <w:color w:val="000000" w:themeColor="text1"/>
                <w:sz w:val="24"/>
                <w:highlight w:val="none"/>
                <w:lang w:eastAsia="zh-CN"/>
                <w14:textFill>
                  <w14:solidFill>
                    <w14:schemeClr w14:val="tx1"/>
                  </w14:solidFill>
                </w14:textFill>
              </w:rPr>
              <w:t>，内容包括但不限于产品故障维修响应时间、故障解决方案、零配件更换服务、备品备件供应及服务便利化措施</w:t>
            </w:r>
            <w:r>
              <w:rPr>
                <w:rFonts w:hint="eastAsia" w:ascii="宋体" w:hAnsi="宋体" w:eastAsia="宋体" w:cs="宋体"/>
                <w:b w:val="0"/>
                <w:bCs/>
                <w:color w:val="000000" w:themeColor="text1"/>
                <w:sz w:val="24"/>
                <w:highlight w:val="none"/>
                <w:lang w:val="en-US" w:eastAsia="zh-CN"/>
                <w14:textFill>
                  <w14:solidFill>
                    <w14:schemeClr w14:val="tx1"/>
                  </w14:solidFill>
                </w14:textFill>
              </w:rPr>
              <w:t>等方面</w:t>
            </w:r>
            <w:r>
              <w:rPr>
                <w:rFonts w:hint="eastAsia" w:ascii="宋体" w:hAnsi="宋体" w:eastAsia="宋体" w:cs="宋体"/>
                <w:b w:val="0"/>
                <w:bCs/>
                <w:color w:val="000000" w:themeColor="text1"/>
                <w:sz w:val="24"/>
                <w:highlight w:val="none"/>
                <w14:textFill>
                  <w14:solidFill>
                    <w14:schemeClr w14:val="tx1"/>
                  </w14:solidFill>
                </w14:textFill>
              </w:rPr>
              <w:t>：</w:t>
            </w:r>
          </w:p>
          <w:p w14:paraId="3BA76163">
            <w:pPr>
              <w:spacing w:line="24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1</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应急服务方案完整详细，备品备件供应可以得到充分保障，应急服务响应及时，方案实用性强的，得5分；</w:t>
            </w:r>
          </w:p>
          <w:p w14:paraId="2E13C6A6">
            <w:pPr>
              <w:spacing w:line="24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2</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应急服务方案基本完整，备品备件供应基本可以满足使用，应急服务响应较及时，方案实用性较强的，得3分；</w:t>
            </w:r>
          </w:p>
          <w:p w14:paraId="4FB88111">
            <w:pPr>
              <w:spacing w:line="24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3</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应急服务方案内容不够完整，备品备件供应能力有待提升，方案实用性有待加强的得1分；</w:t>
            </w:r>
          </w:p>
          <w:p w14:paraId="2B57C441">
            <w:pPr>
              <w:spacing w:line="240" w:lineRule="auto"/>
              <w:rPr>
                <w:rFonts w:ascii="宋体" w:hAnsi="宋体" w:eastAsia="宋体"/>
                <w:sz w:val="24"/>
                <w:highlight w:val="none"/>
              </w:rPr>
            </w:pP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4</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未提供方案的不得分。</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5632C999">
            <w:pPr>
              <w:spacing w:line="360" w:lineRule="auto"/>
              <w:jc w:val="center"/>
              <w:rPr>
                <w:rFonts w:ascii="宋体" w:hAnsi="宋体" w:eastAsia="宋体"/>
                <w:sz w:val="24"/>
                <w:highlight w:val="none"/>
              </w:rPr>
            </w:pPr>
            <w:r>
              <w:rPr>
                <w:rFonts w:hint="eastAsia" w:ascii="宋体" w:hAnsi="宋体" w:eastAsia="宋体"/>
                <w:bCs/>
                <w:color w:val="000000" w:themeColor="text1"/>
                <w:sz w:val="24"/>
                <w:highlight w:val="none"/>
                <w14:textFill>
                  <w14:solidFill>
                    <w14:schemeClr w14:val="tx1"/>
                  </w14:solidFill>
                </w14:textFill>
              </w:rPr>
              <w:t>0-</w:t>
            </w:r>
            <w:r>
              <w:rPr>
                <w:rFonts w:hint="eastAsia" w:ascii="宋体" w:hAnsi="宋体" w:eastAsia="宋体"/>
                <w:bCs/>
                <w:color w:val="000000" w:themeColor="text1"/>
                <w:sz w:val="24"/>
                <w:highlight w:val="none"/>
                <w:lang w:val="en-US" w:eastAsia="zh-CN"/>
                <w14:textFill>
                  <w14:solidFill>
                    <w14:schemeClr w14:val="tx1"/>
                  </w14:solidFill>
                </w14:textFill>
              </w:rPr>
              <w:t>10</w:t>
            </w:r>
            <w:r>
              <w:rPr>
                <w:rFonts w:hint="eastAsia" w:ascii="宋体" w:hAnsi="宋体" w:eastAsia="宋体"/>
                <w:bCs/>
                <w:color w:val="000000" w:themeColor="text1"/>
                <w:sz w:val="24"/>
                <w:highlight w:val="none"/>
                <w14:textFill>
                  <w14:solidFill>
                    <w14:schemeClr w14:val="tx1"/>
                  </w14:solidFill>
                </w14:textFill>
              </w:rPr>
              <w:t>分</w:t>
            </w:r>
          </w:p>
        </w:tc>
      </w:tr>
      <w:tr w14:paraId="4B5D4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tcBorders>
              <w:left w:val="single" w:color="auto" w:sz="4" w:space="0"/>
              <w:right w:val="single" w:color="auto" w:sz="4" w:space="0"/>
            </w:tcBorders>
            <w:noWrap w:val="0"/>
            <w:vAlign w:val="center"/>
          </w:tcPr>
          <w:p w14:paraId="7EBBF2BB">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价格分</w:t>
            </w:r>
          </w:p>
          <w:p w14:paraId="0C3CB615">
            <w:pPr>
              <w:spacing w:line="360" w:lineRule="auto"/>
              <w:jc w:val="center"/>
              <w:rPr>
                <w:rFonts w:ascii="宋体" w:hAnsi="宋体" w:eastAsia="宋体"/>
                <w:b w:val="0"/>
                <w:bCs w:val="0"/>
                <w:color w:val="000000"/>
                <w:sz w:val="24"/>
                <w:highlight w:val="none"/>
              </w:rPr>
            </w:pP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u w:val="single"/>
              </w:rPr>
              <w:t xml:space="preserve"> 30 </w:t>
            </w:r>
            <w:r>
              <w:rPr>
                <w:rFonts w:hint="eastAsia" w:asciiTheme="minorEastAsia" w:hAnsiTheme="minorEastAsia" w:eastAsiaTheme="minorEastAsia"/>
                <w:sz w:val="24"/>
                <w:highlight w:val="none"/>
              </w:rPr>
              <w:t>分）</w:t>
            </w:r>
          </w:p>
        </w:tc>
        <w:tc>
          <w:tcPr>
            <w:tcW w:w="8259" w:type="dxa"/>
            <w:gridSpan w:val="3"/>
            <w:tcBorders>
              <w:top w:val="single" w:color="auto" w:sz="4" w:space="0"/>
              <w:left w:val="single" w:color="auto" w:sz="4" w:space="0"/>
              <w:bottom w:val="single" w:color="auto" w:sz="4" w:space="0"/>
              <w:right w:val="single" w:color="auto" w:sz="4" w:space="0"/>
            </w:tcBorders>
            <w:noWrap w:val="0"/>
            <w:vAlign w:val="center"/>
          </w:tcPr>
          <w:p w14:paraId="611755ED">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价格分统一采用低价优先法，即满足招标文件要求且投标价格最低的投标报价为评标基准价，其价格分为满分</w:t>
            </w:r>
            <w:r>
              <w:rPr>
                <w:rFonts w:hint="eastAsia" w:asciiTheme="minorEastAsia" w:hAnsiTheme="minorEastAsia" w:eastAsiaTheme="minorEastAsia"/>
                <w:sz w:val="24"/>
                <w:highlight w:val="none"/>
                <w:u w:val="single"/>
              </w:rPr>
              <w:t xml:space="preserve"> 30 </w:t>
            </w:r>
            <w:r>
              <w:rPr>
                <w:rFonts w:hint="eastAsia" w:asciiTheme="minorEastAsia" w:hAnsiTheme="minorEastAsia" w:eastAsiaTheme="minorEastAsia"/>
                <w:sz w:val="24"/>
                <w:highlight w:val="none"/>
              </w:rPr>
              <w:t>分。其他投标人的价格分统一按照下列公式计算：</w:t>
            </w:r>
          </w:p>
          <w:p w14:paraId="357CEA74">
            <w:pPr>
              <w:spacing w:line="360" w:lineRule="auto"/>
              <w:rPr>
                <w:rFonts w:ascii="宋体" w:hAnsi="宋体" w:eastAsia="宋体"/>
                <w:b w:val="0"/>
                <w:bCs w:val="0"/>
                <w:color w:val="000000"/>
                <w:sz w:val="24"/>
                <w:highlight w:val="none"/>
              </w:rPr>
            </w:pPr>
            <w:r>
              <w:rPr>
                <w:rFonts w:hint="eastAsia" w:asciiTheme="minorEastAsia" w:hAnsiTheme="minorEastAsia" w:eastAsiaTheme="minorEastAsia"/>
                <w:sz w:val="24"/>
                <w:highlight w:val="none"/>
              </w:rPr>
              <w:t>投标报价得分＝（评标基准价/投标报价）×</w:t>
            </w:r>
            <w:r>
              <w:rPr>
                <w:rFonts w:hint="eastAsia" w:asciiTheme="minorEastAsia" w:hAnsiTheme="minorEastAsia" w:eastAsiaTheme="minorEastAsia"/>
                <w:sz w:val="24"/>
                <w:highlight w:val="none"/>
                <w:u w:val="single"/>
              </w:rPr>
              <w:t xml:space="preserve"> 30 </w:t>
            </w:r>
            <w:r>
              <w:rPr>
                <w:rFonts w:hint="eastAsia" w:asciiTheme="minorEastAsia" w:hAnsiTheme="minorEastAsia" w:eastAsiaTheme="minorEastAsia"/>
                <w:sz w:val="24"/>
                <w:highlight w:val="none"/>
              </w:rPr>
              <w:t>％×100</w:t>
            </w:r>
          </w:p>
        </w:tc>
      </w:tr>
    </w:tbl>
    <w:p w14:paraId="4AAD6A2E">
      <w:pPr>
        <w:rPr>
          <w:rFonts w:hint="eastAsia" w:asciiTheme="minorEastAsia" w:hAnsiTheme="minorEastAsia" w:eastAsiaTheme="minorEastAsia"/>
          <w:b/>
          <w:bCs/>
          <w:sz w:val="24"/>
          <w:highlight w:val="none"/>
          <w:lang w:eastAsia="zh-CN"/>
        </w:rPr>
      </w:pPr>
      <w:r>
        <w:rPr>
          <w:rFonts w:hint="eastAsia" w:asciiTheme="minorEastAsia" w:hAnsiTheme="minorEastAsia" w:eastAsiaTheme="minorEastAsia"/>
          <w:b/>
          <w:bCs/>
          <w:sz w:val="24"/>
          <w:highlight w:val="none"/>
          <w:lang w:eastAsia="zh-CN"/>
        </w:rPr>
        <w:br w:type="page"/>
      </w:r>
    </w:p>
    <w:p w14:paraId="2A7DA244">
      <w:pPr>
        <w:spacing w:line="360" w:lineRule="auto"/>
        <w:ind w:firstLine="435"/>
        <w:rPr>
          <w:rFonts w:hint="default" w:asciiTheme="minorEastAsia" w:hAnsiTheme="minorEastAsia" w:eastAsiaTheme="minorEastAsia"/>
          <w:b/>
          <w:bCs/>
          <w:sz w:val="24"/>
          <w:highlight w:val="none"/>
          <w:lang w:val="en-US" w:eastAsia="zh-CN"/>
        </w:rPr>
      </w:pPr>
      <w:r>
        <w:rPr>
          <w:rFonts w:hint="eastAsia" w:asciiTheme="minorEastAsia" w:hAnsiTheme="minorEastAsia" w:eastAsiaTheme="minorEastAsia"/>
          <w:b/>
          <w:bCs/>
          <w:sz w:val="24"/>
          <w:highlight w:val="none"/>
          <w:lang w:val="en-US" w:eastAsia="zh-CN"/>
        </w:rPr>
        <w:t>04包：便携式彩色多普勒超声诊断系统</w:t>
      </w:r>
    </w:p>
    <w:tbl>
      <w:tblPr>
        <w:tblStyle w:val="26"/>
        <w:tblW w:w="9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717"/>
        <w:gridCol w:w="5337"/>
        <w:gridCol w:w="1205"/>
      </w:tblGrid>
      <w:tr w14:paraId="31B5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71" w:type="dxa"/>
            <w:tcBorders>
              <w:top w:val="single" w:color="auto" w:sz="4" w:space="0"/>
              <w:left w:val="single" w:color="auto" w:sz="4" w:space="0"/>
              <w:bottom w:val="single" w:color="auto" w:sz="4" w:space="0"/>
              <w:right w:val="single" w:color="auto" w:sz="4" w:space="0"/>
            </w:tcBorders>
            <w:noWrap w:val="0"/>
            <w:vAlign w:val="center"/>
          </w:tcPr>
          <w:p w14:paraId="28BA8D5B">
            <w:pPr>
              <w:spacing w:line="360" w:lineRule="auto"/>
              <w:jc w:val="center"/>
              <w:rPr>
                <w:rFonts w:ascii="宋体" w:hAnsi="宋体" w:eastAsia="宋体"/>
                <w:b/>
                <w:bCs/>
                <w:sz w:val="24"/>
                <w:highlight w:val="none"/>
              </w:rPr>
            </w:pPr>
            <w:r>
              <w:rPr>
                <w:rFonts w:hint="eastAsia" w:ascii="宋体" w:hAnsi="宋体" w:eastAsia="宋体"/>
                <w:b/>
                <w:bCs/>
                <w:sz w:val="24"/>
                <w:highlight w:val="none"/>
              </w:rPr>
              <w:t>类别</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54A5139D">
            <w:pPr>
              <w:spacing w:line="360" w:lineRule="auto"/>
              <w:jc w:val="center"/>
              <w:rPr>
                <w:rFonts w:ascii="宋体" w:hAnsi="宋体" w:eastAsia="宋体"/>
                <w:b/>
                <w:bCs/>
                <w:sz w:val="24"/>
                <w:highlight w:val="none"/>
              </w:rPr>
            </w:pPr>
            <w:r>
              <w:rPr>
                <w:rFonts w:hint="eastAsia" w:ascii="宋体" w:hAnsi="宋体" w:eastAsia="宋体"/>
                <w:b/>
                <w:bCs/>
                <w:sz w:val="24"/>
                <w:highlight w:val="none"/>
              </w:rPr>
              <w:t>评分内容</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01FE843A">
            <w:pPr>
              <w:spacing w:line="360" w:lineRule="auto"/>
              <w:jc w:val="center"/>
              <w:rPr>
                <w:rFonts w:ascii="宋体" w:hAnsi="宋体" w:eastAsia="宋体"/>
                <w:b/>
                <w:bCs/>
                <w:sz w:val="24"/>
                <w:highlight w:val="none"/>
              </w:rPr>
            </w:pPr>
            <w:r>
              <w:rPr>
                <w:rFonts w:hint="eastAsia" w:ascii="宋体" w:hAnsi="宋体" w:eastAsia="宋体"/>
                <w:b/>
                <w:bCs/>
                <w:sz w:val="24"/>
                <w:highlight w:val="none"/>
              </w:rPr>
              <w:t>评分标准</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2BAAE3C5">
            <w:pPr>
              <w:spacing w:line="360" w:lineRule="auto"/>
              <w:jc w:val="center"/>
              <w:rPr>
                <w:rFonts w:ascii="宋体" w:hAnsi="宋体" w:eastAsia="宋体"/>
                <w:b/>
                <w:bCs/>
                <w:sz w:val="24"/>
                <w:highlight w:val="none"/>
              </w:rPr>
            </w:pPr>
            <w:r>
              <w:rPr>
                <w:rFonts w:hint="eastAsia" w:ascii="宋体" w:hAnsi="宋体" w:eastAsia="宋体"/>
                <w:b/>
                <w:bCs/>
                <w:sz w:val="24"/>
                <w:highlight w:val="none"/>
              </w:rPr>
              <w:t>分值范围</w:t>
            </w:r>
          </w:p>
        </w:tc>
      </w:tr>
      <w:tr w14:paraId="04FE9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restart"/>
            <w:tcBorders>
              <w:top w:val="single" w:color="auto" w:sz="4" w:space="0"/>
              <w:left w:val="single" w:color="auto" w:sz="4" w:space="0"/>
              <w:right w:val="single" w:color="auto" w:sz="4" w:space="0"/>
            </w:tcBorders>
            <w:noWrap w:val="0"/>
            <w:vAlign w:val="center"/>
          </w:tcPr>
          <w:p w14:paraId="42FCDB9D">
            <w:pPr>
              <w:spacing w:line="360" w:lineRule="auto"/>
              <w:jc w:val="center"/>
              <w:rPr>
                <w:rFonts w:ascii="宋体" w:hAnsi="宋体" w:eastAsia="宋体"/>
                <w:sz w:val="24"/>
                <w:highlight w:val="none"/>
              </w:rPr>
            </w:pPr>
            <w:r>
              <w:rPr>
                <w:rFonts w:hint="eastAsia" w:ascii="宋体" w:hAnsi="宋体" w:eastAsia="宋体"/>
                <w:sz w:val="24"/>
                <w:highlight w:val="none"/>
              </w:rPr>
              <w:t>技术资信分</w:t>
            </w:r>
          </w:p>
          <w:p w14:paraId="6B3F7968">
            <w:pPr>
              <w:spacing w:line="360" w:lineRule="auto"/>
              <w:jc w:val="center"/>
              <w:rPr>
                <w:rFonts w:ascii="宋体" w:hAnsi="宋体" w:eastAsia="宋体"/>
                <w:b/>
                <w:bCs/>
                <w:sz w:val="24"/>
                <w:highlight w:val="none"/>
              </w:rPr>
            </w:pPr>
            <w:r>
              <w:rPr>
                <w:rFonts w:hint="eastAsia" w:ascii="宋体" w:hAnsi="宋体" w:eastAsia="宋体"/>
                <w:sz w:val="24"/>
                <w:highlight w:val="none"/>
              </w:rPr>
              <w:t>（</w:t>
            </w:r>
            <w:r>
              <w:rPr>
                <w:rFonts w:hint="eastAsia" w:ascii="宋体" w:hAnsi="宋体" w:eastAsia="宋体"/>
                <w:sz w:val="24"/>
                <w:highlight w:val="none"/>
                <w:u w:val="single"/>
              </w:rPr>
              <w:t xml:space="preserve"> </w:t>
            </w:r>
            <w:r>
              <w:rPr>
                <w:rFonts w:hint="eastAsia" w:ascii="宋体" w:hAnsi="宋体" w:eastAsia="宋体"/>
                <w:sz w:val="24"/>
                <w:highlight w:val="none"/>
                <w:u w:val="single"/>
                <w:lang w:val="en-US" w:eastAsia="zh-CN"/>
              </w:rPr>
              <w:t>70</w:t>
            </w:r>
            <w:r>
              <w:rPr>
                <w:rFonts w:hint="eastAsia" w:ascii="宋体" w:hAnsi="宋体" w:eastAsia="宋体"/>
                <w:sz w:val="24"/>
                <w:highlight w:val="none"/>
                <w:u w:val="single"/>
              </w:rPr>
              <w:t xml:space="preserve"> </w:t>
            </w:r>
            <w:r>
              <w:rPr>
                <w:rFonts w:hint="eastAsia" w:ascii="宋体" w:hAnsi="宋体" w:eastAsia="宋体"/>
                <w:sz w:val="24"/>
                <w:highlight w:val="none"/>
              </w:rPr>
              <w:t>分）</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77013F4C">
            <w:pPr>
              <w:spacing w:line="360" w:lineRule="auto"/>
              <w:jc w:val="center"/>
              <w:rPr>
                <w:rFonts w:ascii="宋体" w:hAnsi="宋体" w:eastAsia="宋体"/>
                <w:bCs/>
                <w:sz w:val="24"/>
                <w:highlight w:val="none"/>
              </w:rPr>
            </w:pPr>
            <w:r>
              <w:rPr>
                <w:rFonts w:hint="eastAsia" w:ascii="宋体" w:hAnsi="宋体" w:eastAsia="宋体"/>
                <w:bCs/>
                <w:sz w:val="24"/>
                <w:highlight w:val="none"/>
              </w:rPr>
              <w:t>所投设备技</w:t>
            </w:r>
          </w:p>
          <w:p w14:paraId="532DBF89">
            <w:pPr>
              <w:spacing w:line="360" w:lineRule="auto"/>
              <w:jc w:val="center"/>
              <w:rPr>
                <w:rFonts w:ascii="宋体" w:hAnsi="宋体" w:eastAsia="宋体"/>
                <w:bCs/>
                <w:sz w:val="24"/>
                <w:highlight w:val="none"/>
              </w:rPr>
            </w:pPr>
            <w:r>
              <w:rPr>
                <w:rFonts w:hint="eastAsia" w:ascii="宋体" w:hAnsi="宋体" w:eastAsia="宋体"/>
                <w:bCs/>
                <w:sz w:val="24"/>
                <w:highlight w:val="none"/>
              </w:rPr>
              <w:t>术参数及要</w:t>
            </w:r>
          </w:p>
          <w:p w14:paraId="28132598">
            <w:pPr>
              <w:spacing w:line="360" w:lineRule="auto"/>
              <w:jc w:val="center"/>
              <w:rPr>
                <w:rFonts w:ascii="宋体" w:hAnsi="宋体" w:eastAsia="宋体"/>
                <w:bCs/>
                <w:sz w:val="24"/>
                <w:highlight w:val="none"/>
              </w:rPr>
            </w:pPr>
            <w:r>
              <w:rPr>
                <w:rFonts w:hint="eastAsia" w:ascii="宋体" w:hAnsi="宋体" w:eastAsia="宋体"/>
                <w:bCs/>
                <w:sz w:val="24"/>
                <w:highlight w:val="none"/>
              </w:rPr>
              <w:t>求响应情况</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56340A6B">
            <w:pPr>
              <w:widowControl/>
              <w:numPr>
                <w:ilvl w:val="0"/>
                <w:numId w:val="0"/>
              </w:numPr>
              <w:jc w:val="left"/>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lang w:val="en-US" w:eastAsia="zh-CN"/>
              </w:rPr>
              <w:t>1.</w:t>
            </w:r>
            <w:r>
              <w:rPr>
                <w:rFonts w:hint="eastAsia" w:asciiTheme="minorEastAsia" w:hAnsiTheme="minorEastAsia" w:eastAsiaTheme="minorEastAsia"/>
                <w:bCs/>
                <w:sz w:val="24"/>
                <w:highlight w:val="none"/>
              </w:rPr>
              <w:t>根据投标文件与招标文件要求重要参数（标记“</w:t>
            </w: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bCs/>
                <w:sz w:val="24"/>
                <w:highlight w:val="none"/>
              </w:rPr>
              <w:t>”的技术参数）的偏离情况进行评审。</w:t>
            </w:r>
          </w:p>
          <w:p w14:paraId="65646416">
            <w:pPr>
              <w:widowControl/>
              <w:numPr>
                <w:ilvl w:val="0"/>
                <w:numId w:val="0"/>
              </w:numPr>
              <w:jc w:val="left"/>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各项性能指标均有技术支持资料且全部满足招标文件要求的得满分；技术支持资料显示不满足招标文件要求的或未提供技术支持资料的，有一项扣</w:t>
            </w:r>
            <w:r>
              <w:rPr>
                <w:rFonts w:hint="eastAsia" w:asciiTheme="minorEastAsia" w:hAnsiTheme="minorEastAsia" w:eastAsiaTheme="minorEastAsia"/>
                <w:bCs/>
                <w:sz w:val="24"/>
                <w:highlight w:val="none"/>
                <w:lang w:val="en-US" w:eastAsia="zh-CN"/>
              </w:rPr>
              <w:t>2分</w:t>
            </w:r>
            <w:r>
              <w:rPr>
                <w:rFonts w:hint="eastAsia" w:asciiTheme="minorEastAsia" w:hAnsiTheme="minorEastAsia" w:eastAsiaTheme="minorEastAsia"/>
                <w:bCs/>
                <w:sz w:val="24"/>
                <w:highlight w:val="none"/>
              </w:rPr>
              <w:t>，共</w:t>
            </w:r>
            <w:r>
              <w:rPr>
                <w:rFonts w:hint="eastAsia" w:asciiTheme="minorEastAsia" w:hAnsiTheme="minorEastAsia" w:eastAsiaTheme="minorEastAsia"/>
                <w:bCs/>
                <w:sz w:val="24"/>
                <w:highlight w:val="none"/>
                <w:lang w:val="en-US" w:eastAsia="zh-CN"/>
              </w:rPr>
              <w:t>10</w:t>
            </w:r>
            <w:r>
              <w:rPr>
                <w:rFonts w:hint="eastAsia" w:asciiTheme="minorEastAsia" w:hAnsiTheme="minorEastAsia" w:eastAsiaTheme="minorEastAsia"/>
                <w:bCs/>
                <w:sz w:val="24"/>
                <w:highlight w:val="none"/>
              </w:rPr>
              <w:t>项，共</w:t>
            </w:r>
            <w:r>
              <w:rPr>
                <w:rFonts w:hint="eastAsia" w:asciiTheme="minorEastAsia" w:hAnsiTheme="minorEastAsia" w:eastAsiaTheme="minorEastAsia"/>
                <w:bCs/>
                <w:sz w:val="24"/>
                <w:highlight w:val="none"/>
                <w:lang w:val="en-US" w:eastAsia="zh-CN"/>
              </w:rPr>
              <w:t>20</w:t>
            </w:r>
            <w:r>
              <w:rPr>
                <w:rFonts w:hint="eastAsia" w:asciiTheme="minorEastAsia" w:hAnsiTheme="minorEastAsia" w:eastAsiaTheme="minorEastAsia"/>
                <w:bCs/>
                <w:sz w:val="24"/>
                <w:highlight w:val="none"/>
              </w:rPr>
              <w:t>分。（同一项参数不重复扣分）。</w:t>
            </w:r>
          </w:p>
          <w:p w14:paraId="36713646">
            <w:pPr>
              <w:widowControl/>
              <w:jc w:val="left"/>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2.根据投标文件与招标文件要求的一般参数（未标记“</w:t>
            </w: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bCs/>
                <w:sz w:val="24"/>
                <w:highlight w:val="none"/>
              </w:rPr>
              <w:t xml:space="preserve">”的技术参数）偏离情况进行评审。 </w:t>
            </w:r>
          </w:p>
          <w:p w14:paraId="375BA19A">
            <w:pPr>
              <w:widowControl/>
              <w:jc w:val="left"/>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各项性能指标全部满足招标文件要求的得满分；不满足招标文件要求的（以投标文件投标响应表载明的为准），有一项扣</w:t>
            </w:r>
            <w:r>
              <w:rPr>
                <w:rFonts w:hint="eastAsia" w:asciiTheme="minorEastAsia" w:hAnsiTheme="minorEastAsia" w:eastAsiaTheme="minorEastAsia"/>
                <w:bCs/>
                <w:sz w:val="24"/>
                <w:highlight w:val="none"/>
                <w:lang w:val="en-US" w:eastAsia="zh-CN"/>
              </w:rPr>
              <w:t>0.5</w:t>
            </w:r>
            <w:r>
              <w:rPr>
                <w:rFonts w:hint="eastAsia" w:asciiTheme="minorEastAsia" w:hAnsiTheme="minorEastAsia" w:eastAsiaTheme="minorEastAsia"/>
                <w:bCs/>
                <w:sz w:val="24"/>
                <w:highlight w:val="none"/>
              </w:rPr>
              <w:t>分，共</w:t>
            </w:r>
            <w:r>
              <w:rPr>
                <w:rFonts w:hint="eastAsia" w:asciiTheme="minorEastAsia" w:hAnsiTheme="minorEastAsia" w:eastAsiaTheme="minorEastAsia"/>
                <w:bCs/>
                <w:sz w:val="24"/>
                <w:highlight w:val="none"/>
                <w:lang w:val="en-US" w:eastAsia="zh-CN"/>
              </w:rPr>
              <w:t>28</w:t>
            </w:r>
            <w:r>
              <w:rPr>
                <w:rFonts w:hint="eastAsia" w:asciiTheme="minorEastAsia" w:hAnsiTheme="minorEastAsia" w:eastAsiaTheme="minorEastAsia"/>
                <w:bCs/>
                <w:sz w:val="24"/>
                <w:highlight w:val="none"/>
              </w:rPr>
              <w:t>项，共</w:t>
            </w:r>
            <w:r>
              <w:rPr>
                <w:rFonts w:hint="eastAsia" w:asciiTheme="minorEastAsia" w:hAnsiTheme="minorEastAsia" w:eastAsiaTheme="minorEastAsia"/>
                <w:bCs/>
                <w:sz w:val="24"/>
                <w:highlight w:val="none"/>
                <w:lang w:val="en-US" w:eastAsia="zh-CN"/>
              </w:rPr>
              <w:t>14</w:t>
            </w:r>
            <w:r>
              <w:rPr>
                <w:rFonts w:hint="eastAsia" w:asciiTheme="minorEastAsia" w:hAnsiTheme="minorEastAsia" w:eastAsiaTheme="minorEastAsia"/>
                <w:bCs/>
                <w:sz w:val="24"/>
                <w:highlight w:val="none"/>
              </w:rPr>
              <w:t>分。（同一项参数不重复扣分）</w:t>
            </w:r>
          </w:p>
          <w:p w14:paraId="04AE11E2">
            <w:pPr>
              <w:widowControl/>
              <w:jc w:val="left"/>
              <w:rPr>
                <w:highlight w:val="none"/>
              </w:rPr>
            </w:pPr>
            <w:r>
              <w:rPr>
                <w:rFonts w:hint="eastAsia" w:asciiTheme="minorEastAsia" w:hAnsiTheme="minorEastAsia" w:eastAsiaTheme="minorEastAsia"/>
                <w:bCs/>
                <w:sz w:val="24"/>
                <w:highlight w:val="none"/>
                <w:lang w:val="en-US" w:eastAsia="zh-CN"/>
              </w:rPr>
              <w:t>3.</w:t>
            </w:r>
            <w:r>
              <w:rPr>
                <w:rFonts w:hint="eastAsia" w:asciiTheme="minorEastAsia" w:hAnsiTheme="minorEastAsia" w:eastAsiaTheme="minorEastAsia"/>
                <w:bCs/>
                <w:sz w:val="24"/>
                <w:highlight w:val="none"/>
              </w:rPr>
              <w:t>重要参数（标记“</w:t>
            </w: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bCs/>
                <w:sz w:val="24"/>
                <w:highlight w:val="none"/>
              </w:rPr>
              <w:t>”的技术参数）</w:t>
            </w:r>
            <w:r>
              <w:rPr>
                <w:rFonts w:hint="eastAsia" w:asciiTheme="minorEastAsia" w:hAnsiTheme="minorEastAsia" w:eastAsiaTheme="minorEastAsia"/>
                <w:b w:val="0"/>
                <w:bCs/>
                <w:sz w:val="24"/>
                <w:highlight w:val="none"/>
                <w:lang w:val="en-US" w:eastAsia="zh-CN"/>
              </w:rPr>
              <w:t>负偏离3项及以上的，第1小项不得分，</w:t>
            </w:r>
            <w:r>
              <w:rPr>
                <w:rFonts w:hint="eastAsia" w:asciiTheme="minorEastAsia" w:hAnsiTheme="minorEastAsia" w:eastAsiaTheme="minorEastAsia"/>
                <w:bCs/>
                <w:sz w:val="24"/>
                <w:highlight w:val="none"/>
              </w:rPr>
              <w:t>一般参数（未标记“</w:t>
            </w: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bCs/>
                <w:sz w:val="24"/>
                <w:highlight w:val="none"/>
              </w:rPr>
              <w:t>”的技术参数）</w:t>
            </w:r>
            <w:r>
              <w:rPr>
                <w:rFonts w:hint="eastAsia" w:asciiTheme="minorEastAsia" w:hAnsiTheme="minorEastAsia" w:eastAsiaTheme="minorEastAsia"/>
                <w:b w:val="0"/>
                <w:bCs/>
                <w:sz w:val="24"/>
                <w:highlight w:val="none"/>
                <w:lang w:val="en-US" w:eastAsia="zh-CN"/>
              </w:rPr>
              <w:t>负偏离9项及以上的，第2小项不得分。全部参数负偏离12项及以上的，此项技术参数及要求响应情况不得分。</w:t>
            </w:r>
          </w:p>
          <w:p w14:paraId="0C936A05">
            <w:pPr>
              <w:widowControl/>
              <w:jc w:val="left"/>
              <w:rPr>
                <w:rFonts w:ascii="宋体" w:hAnsi="宋体" w:eastAsia="宋体"/>
                <w:bCs/>
                <w:sz w:val="24"/>
                <w:highlight w:val="none"/>
              </w:rPr>
            </w:pPr>
            <w:r>
              <w:rPr>
                <w:rFonts w:hint="eastAsia" w:asciiTheme="minorEastAsia" w:hAnsiTheme="minorEastAsia" w:eastAsiaTheme="minorEastAsia"/>
                <w:b/>
                <w:sz w:val="24"/>
                <w:highlight w:val="none"/>
              </w:rPr>
              <w:t>注：以技术规格偏离表和要求提供的证明资料为准。未标注</w:t>
            </w:r>
            <w:r>
              <w:rPr>
                <w:rFonts w:hint="eastAsia" w:ascii="宋体" w:hAnsi="宋体" w:eastAsia="宋体" w:cs="宋体"/>
                <w:color w:val="000000"/>
                <w:kern w:val="0"/>
                <w:sz w:val="24"/>
                <w:szCs w:val="24"/>
                <w:highlight w:val="none"/>
                <w:lang w:bidi="ar"/>
              </w:rPr>
              <w:t>“</w:t>
            </w:r>
            <w:r>
              <w:rPr>
                <w:rFonts w:hint="eastAsia" w:ascii="宋体" w:hAnsi="宋体" w:eastAsia="宋体" w:cs="宋体"/>
                <w:bCs/>
                <w:color w:val="000000"/>
                <w:kern w:val="0"/>
                <w:sz w:val="24"/>
                <w:szCs w:val="24"/>
                <w:highlight w:val="none"/>
              </w:rPr>
              <w:t>▲</w:t>
            </w:r>
            <w:r>
              <w:rPr>
                <w:rFonts w:hint="eastAsia" w:ascii="宋体" w:hAnsi="宋体" w:eastAsia="宋体" w:cs="宋体"/>
                <w:color w:val="000000"/>
                <w:kern w:val="0"/>
                <w:sz w:val="24"/>
                <w:szCs w:val="24"/>
                <w:highlight w:val="none"/>
                <w:lang w:bidi="ar"/>
              </w:rPr>
              <w:t>”</w:t>
            </w:r>
            <w:r>
              <w:rPr>
                <w:rFonts w:hint="eastAsia" w:asciiTheme="minorEastAsia" w:hAnsiTheme="minorEastAsia" w:eastAsiaTheme="minorEastAsia"/>
                <w:b/>
                <w:sz w:val="24"/>
                <w:highlight w:val="none"/>
              </w:rPr>
              <w:t>的技术参数响应情况以技术规格偏离表中的响应情况为准；标注</w:t>
            </w:r>
            <w:r>
              <w:rPr>
                <w:rFonts w:hint="eastAsia" w:ascii="宋体" w:hAnsi="宋体" w:eastAsia="宋体" w:cs="宋体"/>
                <w:color w:val="000000"/>
                <w:kern w:val="0"/>
                <w:sz w:val="24"/>
                <w:szCs w:val="24"/>
                <w:highlight w:val="none"/>
                <w:lang w:bidi="ar"/>
              </w:rPr>
              <w:t>“</w:t>
            </w:r>
            <w:r>
              <w:rPr>
                <w:rFonts w:hint="eastAsia" w:ascii="宋体" w:hAnsi="宋体" w:eastAsia="宋体" w:cs="宋体"/>
                <w:bCs/>
                <w:color w:val="000000"/>
                <w:kern w:val="0"/>
                <w:sz w:val="24"/>
                <w:szCs w:val="24"/>
                <w:highlight w:val="none"/>
              </w:rPr>
              <w:t>▲</w:t>
            </w:r>
            <w:r>
              <w:rPr>
                <w:rFonts w:hint="eastAsia" w:ascii="宋体" w:hAnsi="宋体" w:eastAsia="宋体" w:cs="宋体"/>
                <w:color w:val="000000"/>
                <w:kern w:val="0"/>
                <w:sz w:val="24"/>
                <w:szCs w:val="24"/>
                <w:highlight w:val="none"/>
                <w:lang w:bidi="ar"/>
              </w:rPr>
              <w:t>”</w:t>
            </w:r>
            <w:r>
              <w:rPr>
                <w:rFonts w:hint="eastAsia" w:asciiTheme="minorEastAsia" w:hAnsiTheme="minorEastAsia" w:eastAsiaTheme="minorEastAsia"/>
                <w:b/>
                <w:sz w:val="24"/>
                <w:highlight w:val="none"/>
              </w:rPr>
              <w:t>的条款，须提供相关证明材料，如招标文件中明确要求证明材料类型，则以招标文件明确要求的材料为准，如未明确证明材料的类型，则以技术支持资料作为评审依据，技术支持资料包括：医疗器械注册证、具有“CMA”标识且在有效期内的检测或检验报告扫描件或者由放射卫生技术服务机构出具的且在有效期内的检测或检验报告并提供卫健委官网查询截图、技术彩页、技术白皮书、官网截图等，提供其中之一即可。</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6D68F5F8">
            <w:pPr>
              <w:spacing w:line="360" w:lineRule="auto"/>
              <w:jc w:val="center"/>
              <w:rPr>
                <w:rFonts w:ascii="宋体" w:hAnsi="宋体" w:eastAsia="宋体"/>
                <w:b/>
                <w:bCs/>
                <w:sz w:val="24"/>
                <w:highlight w:val="none"/>
              </w:rPr>
            </w:pPr>
            <w:r>
              <w:rPr>
                <w:rFonts w:hint="eastAsia" w:ascii="宋体" w:hAnsi="宋体" w:eastAsia="宋体"/>
                <w:bCs/>
                <w:sz w:val="24"/>
                <w:highlight w:val="none"/>
              </w:rPr>
              <w:t>0-</w:t>
            </w:r>
            <w:r>
              <w:rPr>
                <w:rFonts w:hint="eastAsia" w:ascii="宋体" w:hAnsi="宋体" w:eastAsia="宋体"/>
                <w:bCs/>
                <w:sz w:val="24"/>
                <w:highlight w:val="none"/>
                <w:lang w:val="en-US" w:eastAsia="zh-CN"/>
              </w:rPr>
              <w:t>34</w:t>
            </w:r>
            <w:r>
              <w:rPr>
                <w:rFonts w:hint="eastAsia" w:ascii="宋体" w:hAnsi="宋体" w:eastAsia="宋体"/>
                <w:bCs/>
                <w:sz w:val="24"/>
                <w:highlight w:val="none"/>
              </w:rPr>
              <w:t>分</w:t>
            </w:r>
          </w:p>
        </w:tc>
      </w:tr>
      <w:tr w14:paraId="255FD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tcBorders>
              <w:left w:val="single" w:color="auto" w:sz="4" w:space="0"/>
              <w:right w:val="single" w:color="auto" w:sz="4" w:space="0"/>
            </w:tcBorders>
            <w:noWrap w:val="0"/>
            <w:vAlign w:val="center"/>
          </w:tcPr>
          <w:p w14:paraId="3D1F7916">
            <w:pPr>
              <w:spacing w:line="360" w:lineRule="auto"/>
              <w:ind w:firstLine="435"/>
              <w:jc w:val="center"/>
              <w:rPr>
                <w:rFonts w:ascii="宋体" w:hAnsi="宋体" w:eastAsia="宋体"/>
                <w:b/>
                <w:bCs/>
                <w:sz w:val="24"/>
                <w:highlight w:val="none"/>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14:paraId="48E44536">
            <w:pPr>
              <w:spacing w:line="360" w:lineRule="auto"/>
              <w:jc w:val="center"/>
              <w:rPr>
                <w:rFonts w:ascii="宋体" w:hAnsi="宋体" w:eastAsia="宋体"/>
                <w:sz w:val="24"/>
                <w:highlight w:val="none"/>
              </w:rPr>
            </w:pPr>
            <w:r>
              <w:rPr>
                <w:rFonts w:hint="eastAsia" w:ascii="宋体" w:hAnsi="宋体" w:eastAsia="宋体"/>
                <w:sz w:val="24"/>
                <w:highlight w:val="none"/>
              </w:rPr>
              <w:t>产品业绩</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28735B7B">
            <w:pPr>
              <w:jc w:val="left"/>
              <w:rPr>
                <w:rFonts w:ascii="宋体" w:hAnsi="宋体" w:eastAsia="宋体"/>
                <w:sz w:val="24"/>
                <w:highlight w:val="none"/>
              </w:rPr>
            </w:pPr>
            <w:r>
              <w:rPr>
                <w:rFonts w:hint="eastAsia" w:ascii="宋体" w:hAnsi="宋体" w:eastAsia="宋体"/>
                <w:sz w:val="24"/>
                <w:highlight w:val="none"/>
              </w:rPr>
              <w:t>202</w:t>
            </w:r>
            <w:r>
              <w:rPr>
                <w:rFonts w:hint="eastAsia" w:ascii="宋体" w:hAnsi="宋体" w:eastAsia="宋体"/>
                <w:sz w:val="24"/>
                <w:highlight w:val="none"/>
                <w:lang w:val="en-US" w:eastAsia="zh-CN"/>
              </w:rPr>
              <w:t>2</w:t>
            </w:r>
            <w:r>
              <w:rPr>
                <w:rFonts w:hint="eastAsia" w:ascii="宋体" w:hAnsi="宋体" w:eastAsia="宋体"/>
                <w:sz w:val="24"/>
                <w:highlight w:val="none"/>
              </w:rPr>
              <w:t>年01月01日至今（以合同签订时间为准），具有所投</w:t>
            </w:r>
            <w:r>
              <w:rPr>
                <w:rFonts w:hint="eastAsia" w:ascii="宋体" w:hAnsi="宋体" w:eastAsia="宋体"/>
                <w:sz w:val="24"/>
                <w:highlight w:val="none"/>
                <w:lang w:eastAsia="zh-CN"/>
              </w:rPr>
              <w:t>设备</w:t>
            </w:r>
            <w:r>
              <w:rPr>
                <w:rFonts w:hint="eastAsia" w:ascii="宋体" w:hAnsi="宋体" w:eastAsia="宋体"/>
                <w:sz w:val="24"/>
                <w:highlight w:val="none"/>
              </w:rPr>
              <w:t>产品（</w:t>
            </w:r>
            <w:r>
              <w:rPr>
                <w:rFonts w:hint="eastAsia" w:ascii="宋体" w:hAnsi="宋体" w:eastAsia="宋体"/>
                <w:b/>
                <w:bCs/>
                <w:sz w:val="24"/>
                <w:highlight w:val="none"/>
              </w:rPr>
              <w:t>同品牌同型号</w:t>
            </w:r>
            <w:r>
              <w:rPr>
                <w:rFonts w:hint="eastAsia" w:ascii="宋体" w:hAnsi="宋体" w:eastAsia="宋体"/>
                <w:b/>
                <w:bCs/>
                <w:sz w:val="24"/>
                <w:highlight w:val="none"/>
                <w:lang w:eastAsia="zh-CN"/>
              </w:rPr>
              <w:t>，</w:t>
            </w:r>
            <w:r>
              <w:rPr>
                <w:rFonts w:hint="eastAsia" w:ascii="宋体" w:hAnsi="宋体" w:eastAsia="宋体"/>
                <w:b/>
                <w:bCs/>
                <w:sz w:val="24"/>
                <w:highlight w:val="none"/>
                <w:lang w:val="en-US" w:eastAsia="zh-CN"/>
              </w:rPr>
              <w:t>至少包括便携式彩色多普勒超声诊断系统</w:t>
            </w:r>
            <w:r>
              <w:rPr>
                <w:rFonts w:hint="eastAsia" w:ascii="宋体" w:hAnsi="宋体" w:eastAsia="宋体"/>
                <w:sz w:val="24"/>
                <w:highlight w:val="none"/>
              </w:rPr>
              <w:t>）的供货业绩，每提供一个业绩得</w:t>
            </w:r>
            <w:r>
              <w:rPr>
                <w:rFonts w:hint="eastAsia" w:ascii="宋体" w:hAnsi="宋体" w:eastAsia="宋体"/>
                <w:sz w:val="24"/>
                <w:highlight w:val="none"/>
                <w:lang w:val="en-US" w:eastAsia="zh-CN"/>
              </w:rPr>
              <w:t>2</w:t>
            </w:r>
            <w:r>
              <w:rPr>
                <w:rFonts w:hint="eastAsia" w:ascii="宋体" w:hAnsi="宋体" w:eastAsia="宋体"/>
                <w:sz w:val="24"/>
                <w:highlight w:val="none"/>
              </w:rPr>
              <w:t>分，满分</w:t>
            </w:r>
            <w:r>
              <w:rPr>
                <w:rFonts w:hint="eastAsia" w:ascii="宋体" w:hAnsi="宋体" w:eastAsia="宋体"/>
                <w:sz w:val="24"/>
                <w:highlight w:val="none"/>
                <w:lang w:val="en-US" w:eastAsia="zh-CN"/>
              </w:rPr>
              <w:t>4</w:t>
            </w:r>
            <w:r>
              <w:rPr>
                <w:rFonts w:hint="eastAsia" w:ascii="宋体" w:hAnsi="宋体" w:eastAsia="宋体"/>
                <w:sz w:val="24"/>
                <w:highlight w:val="none"/>
              </w:rPr>
              <w:t>分。</w:t>
            </w:r>
          </w:p>
          <w:p w14:paraId="522AA371">
            <w:pPr>
              <w:jc w:val="left"/>
              <w:rPr>
                <w:rFonts w:ascii="宋体" w:hAnsi="宋体" w:eastAsia="宋体"/>
                <w:sz w:val="24"/>
                <w:highlight w:val="none"/>
              </w:rPr>
            </w:pPr>
            <w:r>
              <w:rPr>
                <w:rFonts w:hint="eastAsia" w:ascii="宋体" w:hAnsi="宋体" w:eastAsia="宋体"/>
                <w:b/>
                <w:bCs/>
                <w:sz w:val="24"/>
                <w:highlight w:val="none"/>
              </w:rPr>
              <w:t>注：投标文件中提供合同扫描件。如合同材料中无法体现合同签订时间等评审因素的，须同时提供业主单位加盖公章证明材料扫描件，否则不得分；特别说明：此处业绩系指所投产品业绩，业绩合同中产品须与所投产品品牌型号一致。</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0DB6D02D">
            <w:pPr>
              <w:spacing w:line="360" w:lineRule="auto"/>
              <w:jc w:val="center"/>
              <w:rPr>
                <w:rFonts w:ascii="宋体" w:hAnsi="宋体" w:eastAsia="宋体"/>
                <w:b/>
                <w:bCs/>
                <w:sz w:val="24"/>
                <w:highlight w:val="none"/>
              </w:rPr>
            </w:pPr>
            <w:r>
              <w:rPr>
                <w:rFonts w:hint="eastAsia" w:ascii="宋体" w:hAnsi="宋体" w:eastAsia="宋体"/>
                <w:bCs/>
                <w:sz w:val="24"/>
                <w:highlight w:val="none"/>
              </w:rPr>
              <w:t>0-</w:t>
            </w:r>
            <w:r>
              <w:rPr>
                <w:rFonts w:hint="eastAsia" w:ascii="宋体" w:hAnsi="宋体" w:eastAsia="宋体"/>
                <w:bCs/>
                <w:sz w:val="24"/>
                <w:highlight w:val="none"/>
                <w:lang w:val="en-US" w:eastAsia="zh-CN"/>
              </w:rPr>
              <w:t>4</w:t>
            </w:r>
            <w:r>
              <w:rPr>
                <w:rFonts w:hint="eastAsia" w:ascii="宋体" w:hAnsi="宋体" w:eastAsia="宋体"/>
                <w:bCs/>
                <w:sz w:val="24"/>
                <w:highlight w:val="none"/>
              </w:rPr>
              <w:t>分</w:t>
            </w:r>
          </w:p>
        </w:tc>
      </w:tr>
      <w:tr w14:paraId="04355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tcBorders>
              <w:left w:val="single" w:color="auto" w:sz="4" w:space="0"/>
              <w:right w:val="single" w:color="auto" w:sz="4" w:space="0"/>
            </w:tcBorders>
            <w:noWrap w:val="0"/>
            <w:vAlign w:val="center"/>
          </w:tcPr>
          <w:p w14:paraId="4BEA0C92">
            <w:pPr>
              <w:spacing w:line="360" w:lineRule="auto"/>
              <w:ind w:firstLine="435"/>
              <w:jc w:val="center"/>
              <w:rPr>
                <w:rFonts w:ascii="宋体" w:hAnsi="宋体" w:eastAsia="宋体"/>
                <w:b/>
                <w:bCs/>
                <w:sz w:val="24"/>
                <w:highlight w:val="none"/>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14:paraId="2A79C3A6">
            <w:pPr>
              <w:spacing w:line="360" w:lineRule="auto"/>
              <w:jc w:val="center"/>
              <w:rPr>
                <w:rFonts w:ascii="宋体" w:hAnsi="宋体" w:eastAsia="宋体"/>
                <w:sz w:val="24"/>
                <w:highlight w:val="none"/>
              </w:rPr>
            </w:pPr>
            <w:r>
              <w:rPr>
                <w:rFonts w:hint="eastAsia" w:ascii="宋体" w:hAnsi="宋体" w:eastAsia="宋体"/>
                <w:sz w:val="24"/>
                <w:highlight w:val="none"/>
              </w:rPr>
              <w:t>免费质保期</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57EE7E27">
            <w:pPr>
              <w:jc w:val="left"/>
              <w:rPr>
                <w:rFonts w:ascii="宋体" w:hAnsi="宋体" w:eastAsia="宋体"/>
                <w:sz w:val="24"/>
                <w:highlight w:val="none"/>
              </w:rPr>
            </w:pPr>
            <w:r>
              <w:rPr>
                <w:rFonts w:hint="eastAsia" w:ascii="宋体" w:hAnsi="宋体" w:eastAsia="宋体"/>
                <w:sz w:val="24"/>
                <w:highlight w:val="none"/>
              </w:rPr>
              <w:t>投标人在满足招标文件要求的免费质保期（</w:t>
            </w:r>
            <w:r>
              <w:rPr>
                <w:rFonts w:hint="eastAsia" w:ascii="宋体" w:hAnsi="宋体" w:eastAsia="宋体"/>
                <w:b/>
                <w:bCs/>
                <w:sz w:val="24"/>
                <w:highlight w:val="none"/>
              </w:rPr>
              <w:t>5年</w:t>
            </w:r>
            <w:r>
              <w:rPr>
                <w:rFonts w:hint="eastAsia" w:ascii="宋体" w:hAnsi="宋体" w:eastAsia="宋体"/>
                <w:b/>
                <w:bCs/>
                <w:sz w:val="24"/>
                <w:highlight w:val="none"/>
                <w:lang w:eastAsia="zh-CN"/>
              </w:rPr>
              <w:t>整机</w:t>
            </w:r>
            <w:r>
              <w:rPr>
                <w:rFonts w:hint="eastAsia" w:ascii="宋体" w:hAnsi="宋体" w:eastAsia="宋体"/>
                <w:b/>
                <w:bCs/>
                <w:sz w:val="24"/>
                <w:highlight w:val="none"/>
              </w:rPr>
              <w:t>原厂质保</w:t>
            </w:r>
            <w:r>
              <w:rPr>
                <w:rFonts w:hint="eastAsia" w:ascii="宋体" w:hAnsi="宋体" w:eastAsia="宋体"/>
                <w:sz w:val="24"/>
                <w:highlight w:val="none"/>
              </w:rPr>
              <w:t>）的基础上，免费质保期每增加1年整机</w:t>
            </w:r>
            <w:r>
              <w:rPr>
                <w:rFonts w:hint="eastAsia" w:ascii="宋体" w:hAnsi="宋体" w:eastAsia="宋体"/>
                <w:b w:val="0"/>
                <w:bCs w:val="0"/>
                <w:sz w:val="24"/>
                <w:highlight w:val="none"/>
              </w:rPr>
              <w:t>原厂质保</w:t>
            </w:r>
            <w:r>
              <w:rPr>
                <w:rFonts w:hint="eastAsia" w:ascii="宋体" w:hAnsi="宋体" w:eastAsia="宋体"/>
                <w:sz w:val="24"/>
                <w:highlight w:val="none"/>
              </w:rPr>
              <w:t>的，加</w:t>
            </w:r>
            <w:r>
              <w:rPr>
                <w:rFonts w:hint="eastAsia" w:ascii="宋体" w:hAnsi="宋体" w:eastAsia="宋体"/>
                <w:sz w:val="24"/>
                <w:highlight w:val="none"/>
                <w:lang w:val="en-US" w:eastAsia="zh-CN"/>
              </w:rPr>
              <w:t>3</w:t>
            </w:r>
            <w:r>
              <w:rPr>
                <w:rFonts w:hint="eastAsia" w:ascii="宋体" w:hAnsi="宋体" w:eastAsia="宋体"/>
                <w:sz w:val="24"/>
                <w:highlight w:val="none"/>
              </w:rPr>
              <w:t>分，最高加</w:t>
            </w:r>
            <w:r>
              <w:rPr>
                <w:rFonts w:hint="eastAsia" w:ascii="宋体" w:hAnsi="宋体" w:eastAsia="宋体"/>
                <w:sz w:val="24"/>
                <w:highlight w:val="none"/>
                <w:lang w:val="en-US" w:eastAsia="zh-CN"/>
              </w:rPr>
              <w:t>6</w:t>
            </w:r>
            <w:r>
              <w:rPr>
                <w:rFonts w:hint="eastAsia" w:ascii="宋体" w:hAnsi="宋体" w:eastAsia="宋体"/>
                <w:sz w:val="24"/>
                <w:highlight w:val="none"/>
              </w:rPr>
              <w:t>分（增加不足1年的不加分）。</w:t>
            </w:r>
          </w:p>
          <w:p w14:paraId="3C11C862">
            <w:pPr>
              <w:jc w:val="left"/>
              <w:rPr>
                <w:rFonts w:ascii="宋体" w:hAnsi="宋体" w:eastAsia="宋体"/>
                <w:sz w:val="24"/>
                <w:highlight w:val="none"/>
              </w:rPr>
            </w:pPr>
            <w:r>
              <w:rPr>
                <w:rFonts w:hint="eastAsia" w:ascii="宋体" w:hAnsi="宋体" w:eastAsia="宋体"/>
                <w:b/>
                <w:bCs/>
                <w:sz w:val="24"/>
                <w:highlight w:val="none"/>
              </w:rPr>
              <w:t>注：以《商务响应表》中填写的质保期作为评审依据。</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407B5C9B">
            <w:pPr>
              <w:spacing w:line="360" w:lineRule="auto"/>
              <w:jc w:val="center"/>
              <w:rPr>
                <w:rFonts w:ascii="宋体" w:hAnsi="宋体" w:eastAsia="宋体"/>
                <w:b/>
                <w:bCs/>
                <w:sz w:val="24"/>
                <w:highlight w:val="none"/>
              </w:rPr>
            </w:pPr>
            <w:r>
              <w:rPr>
                <w:rFonts w:hint="eastAsia" w:ascii="宋体" w:hAnsi="宋体" w:eastAsia="宋体"/>
                <w:bCs/>
                <w:sz w:val="24"/>
                <w:highlight w:val="none"/>
              </w:rPr>
              <w:t>0-</w:t>
            </w:r>
            <w:r>
              <w:rPr>
                <w:rFonts w:hint="eastAsia" w:ascii="宋体" w:hAnsi="宋体" w:eastAsia="宋体"/>
                <w:bCs/>
                <w:sz w:val="24"/>
                <w:highlight w:val="none"/>
                <w:lang w:val="en-US" w:eastAsia="zh-CN"/>
              </w:rPr>
              <w:t>6</w:t>
            </w:r>
            <w:r>
              <w:rPr>
                <w:rFonts w:hint="eastAsia" w:ascii="宋体" w:hAnsi="宋体" w:eastAsia="宋体"/>
                <w:bCs/>
                <w:sz w:val="24"/>
                <w:highlight w:val="none"/>
              </w:rPr>
              <w:t>分</w:t>
            </w:r>
          </w:p>
        </w:tc>
      </w:tr>
      <w:tr w14:paraId="674AC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tcBorders>
              <w:left w:val="single" w:color="auto" w:sz="4" w:space="0"/>
              <w:right w:val="single" w:color="auto" w:sz="4" w:space="0"/>
            </w:tcBorders>
            <w:noWrap w:val="0"/>
            <w:vAlign w:val="center"/>
          </w:tcPr>
          <w:p w14:paraId="50308774">
            <w:pPr>
              <w:spacing w:line="360" w:lineRule="auto"/>
              <w:ind w:firstLine="435"/>
              <w:jc w:val="center"/>
              <w:rPr>
                <w:rFonts w:ascii="宋体" w:hAnsi="宋体" w:eastAsia="宋体"/>
                <w:b/>
                <w:bCs/>
                <w:sz w:val="24"/>
                <w:highlight w:val="none"/>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14:paraId="6E2378C6">
            <w:pPr>
              <w:spacing w:line="360" w:lineRule="auto"/>
              <w:jc w:val="center"/>
              <w:rPr>
                <w:rFonts w:ascii="宋体" w:hAnsi="宋体" w:eastAsia="宋体"/>
                <w:sz w:val="24"/>
                <w:highlight w:val="none"/>
              </w:rPr>
            </w:pPr>
            <w:r>
              <w:rPr>
                <w:rFonts w:hint="eastAsia" w:ascii="宋体" w:hAnsi="宋体" w:eastAsia="宋体"/>
                <w:sz w:val="24"/>
                <w:highlight w:val="none"/>
              </w:rPr>
              <w:t>产品技术先</w:t>
            </w:r>
          </w:p>
          <w:p w14:paraId="4C498BE0">
            <w:pPr>
              <w:spacing w:line="360" w:lineRule="auto"/>
              <w:jc w:val="center"/>
              <w:rPr>
                <w:rFonts w:ascii="宋体" w:hAnsi="宋体" w:eastAsia="宋体"/>
                <w:sz w:val="24"/>
                <w:highlight w:val="none"/>
              </w:rPr>
            </w:pPr>
            <w:r>
              <w:rPr>
                <w:rFonts w:hint="eastAsia" w:ascii="宋体" w:hAnsi="宋体" w:eastAsia="宋体"/>
                <w:sz w:val="24"/>
                <w:highlight w:val="none"/>
              </w:rPr>
              <w:t>进性及维修</w:t>
            </w:r>
          </w:p>
          <w:p w14:paraId="201C74D2">
            <w:pPr>
              <w:spacing w:line="360" w:lineRule="auto"/>
              <w:jc w:val="center"/>
              <w:rPr>
                <w:rFonts w:ascii="宋体" w:hAnsi="宋体" w:eastAsia="宋体"/>
                <w:sz w:val="24"/>
                <w:highlight w:val="none"/>
              </w:rPr>
            </w:pPr>
            <w:r>
              <w:rPr>
                <w:rFonts w:hint="eastAsia" w:ascii="宋体" w:hAnsi="宋体" w:eastAsia="宋体"/>
                <w:sz w:val="24"/>
                <w:highlight w:val="none"/>
              </w:rPr>
              <w:t>便利性等</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37E553A8">
            <w:pPr>
              <w:widowControl/>
              <w:jc w:val="left"/>
              <w:rPr>
                <w:highlight w:val="none"/>
              </w:rPr>
            </w:pPr>
            <w:r>
              <w:rPr>
                <w:rFonts w:hint="eastAsia" w:ascii="宋体" w:hAnsi="宋体" w:eastAsia="宋体" w:cs="宋体"/>
                <w:color w:val="000000"/>
                <w:kern w:val="0"/>
                <w:sz w:val="24"/>
                <w:szCs w:val="24"/>
                <w:highlight w:val="none"/>
                <w:lang w:bidi="ar"/>
              </w:rPr>
              <w:t xml:space="preserve">根据投标人所投产品的技术先进性、设备性能、维修便利性、故障率、安全性等方面进行综合评审： </w:t>
            </w:r>
          </w:p>
          <w:p w14:paraId="069E6D33">
            <w:pPr>
              <w:widowControl/>
              <w:jc w:val="left"/>
              <w:rPr>
                <w:highlight w:val="none"/>
              </w:rPr>
            </w:pPr>
            <w:r>
              <w:rPr>
                <w:rFonts w:hint="eastAsia" w:ascii="宋体" w:hAnsi="宋体" w:eastAsia="宋体" w:cs="宋体"/>
                <w:color w:val="000000"/>
                <w:kern w:val="0"/>
                <w:sz w:val="24"/>
                <w:szCs w:val="24"/>
                <w:highlight w:val="none"/>
                <w:lang w:bidi="ar"/>
              </w:rPr>
              <w:t>1、所投产品技术先进优越、性能稳定的得</w:t>
            </w: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bidi="ar"/>
              </w:rPr>
              <w:t>分；所投产品技术较先进，运行稳定的得</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分；所投产品基本满足要求符合标准的得</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bidi="ar"/>
              </w:rPr>
              <w:t xml:space="preserve">分。 </w:t>
            </w:r>
          </w:p>
          <w:p w14:paraId="59192C1A">
            <w:pPr>
              <w:widowControl/>
              <w:jc w:val="left"/>
              <w:rPr>
                <w:highlight w:val="none"/>
              </w:rPr>
            </w:pPr>
            <w:r>
              <w:rPr>
                <w:rFonts w:hint="eastAsia" w:ascii="宋体" w:hAnsi="宋体" w:eastAsia="宋体" w:cs="宋体"/>
                <w:color w:val="000000"/>
                <w:kern w:val="0"/>
                <w:sz w:val="24"/>
                <w:szCs w:val="24"/>
                <w:highlight w:val="none"/>
                <w:lang w:bidi="ar"/>
              </w:rPr>
              <w:t xml:space="preserve">2、所投产品维修便利，故障率低、安全性高的得 </w:t>
            </w: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bidi="ar"/>
              </w:rPr>
              <w:t>分；所投产品维修较便利，故障率较低的得</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分；所投产品维修便利性有待提高的得</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bidi="ar"/>
              </w:rPr>
              <w:t xml:space="preserve">分。 </w:t>
            </w:r>
          </w:p>
          <w:p w14:paraId="0CF8FCB4">
            <w:pPr>
              <w:widowControl/>
              <w:jc w:val="left"/>
              <w:rPr>
                <w:rFonts w:ascii="宋体" w:hAnsi="宋体" w:eastAsia="宋体"/>
                <w:sz w:val="24"/>
                <w:highlight w:val="none"/>
              </w:rPr>
            </w:pPr>
            <w:r>
              <w:rPr>
                <w:rFonts w:hint="eastAsia" w:ascii="宋体" w:hAnsi="宋体" w:eastAsia="宋体" w:cs="宋体"/>
                <w:b/>
                <w:bCs/>
                <w:color w:val="000000"/>
                <w:kern w:val="0"/>
                <w:sz w:val="24"/>
                <w:szCs w:val="24"/>
                <w:highlight w:val="none"/>
                <w:lang w:bidi="ar"/>
              </w:rPr>
              <w:t>注：投标文件中提供证明材料，证明材料无固定形式，如产品技术说明，故障率、维修使用等说明，未提供任何材料的不得分。</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7998F758">
            <w:pPr>
              <w:spacing w:line="360" w:lineRule="auto"/>
              <w:jc w:val="center"/>
              <w:rPr>
                <w:rFonts w:ascii="宋体" w:hAnsi="宋体" w:eastAsia="宋体"/>
                <w:b/>
                <w:bCs/>
                <w:sz w:val="24"/>
                <w:highlight w:val="none"/>
              </w:rPr>
            </w:pPr>
            <w:r>
              <w:rPr>
                <w:rFonts w:hint="eastAsia" w:ascii="宋体" w:hAnsi="宋体" w:eastAsia="宋体"/>
                <w:bCs/>
                <w:sz w:val="24"/>
                <w:highlight w:val="none"/>
              </w:rPr>
              <w:t>0-</w:t>
            </w:r>
            <w:r>
              <w:rPr>
                <w:rFonts w:hint="eastAsia" w:ascii="宋体" w:hAnsi="宋体" w:eastAsia="宋体"/>
                <w:bCs/>
                <w:sz w:val="24"/>
                <w:highlight w:val="none"/>
                <w:lang w:val="en-US" w:eastAsia="zh-CN"/>
              </w:rPr>
              <w:t>6</w:t>
            </w:r>
            <w:r>
              <w:rPr>
                <w:rFonts w:hint="eastAsia" w:ascii="宋体" w:hAnsi="宋体" w:eastAsia="宋体"/>
                <w:bCs/>
                <w:sz w:val="24"/>
                <w:highlight w:val="none"/>
              </w:rPr>
              <w:t>分</w:t>
            </w:r>
          </w:p>
        </w:tc>
      </w:tr>
      <w:tr w14:paraId="48FF4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tcBorders>
              <w:left w:val="single" w:color="auto" w:sz="4" w:space="0"/>
              <w:right w:val="single" w:color="auto" w:sz="4" w:space="0"/>
            </w:tcBorders>
            <w:noWrap w:val="0"/>
            <w:vAlign w:val="center"/>
          </w:tcPr>
          <w:p w14:paraId="530FE499">
            <w:pPr>
              <w:spacing w:line="360" w:lineRule="auto"/>
              <w:ind w:firstLine="435"/>
              <w:jc w:val="center"/>
              <w:rPr>
                <w:rFonts w:ascii="宋体" w:hAnsi="宋体" w:eastAsia="宋体"/>
                <w:b/>
                <w:bCs/>
                <w:sz w:val="24"/>
                <w:highlight w:val="none"/>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14:paraId="6590CA7A">
            <w:pPr>
              <w:spacing w:line="360" w:lineRule="auto"/>
              <w:jc w:val="center"/>
              <w:rPr>
                <w:rFonts w:ascii="宋体" w:hAnsi="宋体" w:eastAsia="宋体"/>
                <w:sz w:val="24"/>
                <w:highlight w:val="none"/>
              </w:rPr>
            </w:pPr>
            <w:r>
              <w:rPr>
                <w:rFonts w:hint="eastAsia" w:ascii="宋体" w:hAnsi="宋体" w:eastAsia="宋体"/>
                <w:sz w:val="24"/>
                <w:highlight w:val="none"/>
              </w:rPr>
              <w:t>供货安装及调试方案</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6EAF5003">
            <w:pPr>
              <w:rPr>
                <w:rFonts w:ascii="宋体" w:hAnsi="宋体" w:eastAsia="宋体"/>
                <w:sz w:val="24"/>
                <w:highlight w:val="none"/>
              </w:rPr>
            </w:pPr>
            <w:r>
              <w:rPr>
                <w:rFonts w:hint="eastAsia" w:ascii="宋体" w:hAnsi="宋体" w:eastAsia="宋体"/>
                <w:sz w:val="24"/>
                <w:highlight w:val="none"/>
              </w:rPr>
              <w:t>评标委员会根据投标人提供的供货安装及调试方案进行评分，内容包括但不限于供货安装计划、调试流程、安全措施等方面。</w:t>
            </w:r>
          </w:p>
          <w:p w14:paraId="1125781D">
            <w:pPr>
              <w:rPr>
                <w:rFonts w:ascii="宋体" w:hAnsi="宋体" w:eastAsia="宋体"/>
                <w:sz w:val="24"/>
                <w:highlight w:val="none"/>
              </w:rPr>
            </w:pPr>
            <w:r>
              <w:rPr>
                <w:rFonts w:hint="eastAsia" w:ascii="宋体" w:hAnsi="宋体" w:eastAsia="宋体"/>
                <w:sz w:val="24"/>
                <w:highlight w:val="none"/>
                <w:lang w:val="en-US" w:eastAsia="zh-CN"/>
              </w:rPr>
              <w:t>1、</w:t>
            </w:r>
            <w:r>
              <w:rPr>
                <w:rFonts w:hint="eastAsia" w:ascii="宋体" w:hAnsi="宋体" w:eastAsia="宋体"/>
                <w:sz w:val="24"/>
                <w:highlight w:val="none"/>
              </w:rPr>
              <w:t xml:space="preserve">方案内容完整详细，满足项目需求，可行性、实用性、针对性强，得 </w:t>
            </w:r>
            <w:r>
              <w:rPr>
                <w:rFonts w:hint="eastAsia" w:ascii="宋体" w:hAnsi="宋体" w:eastAsia="宋体"/>
                <w:sz w:val="24"/>
                <w:highlight w:val="none"/>
                <w:lang w:val="en-US" w:eastAsia="zh-CN"/>
              </w:rPr>
              <w:t>5</w:t>
            </w:r>
            <w:r>
              <w:rPr>
                <w:rFonts w:hint="eastAsia" w:ascii="宋体" w:hAnsi="宋体" w:eastAsia="宋体"/>
                <w:sz w:val="24"/>
                <w:highlight w:val="none"/>
              </w:rPr>
              <w:t xml:space="preserve"> 分；</w:t>
            </w:r>
          </w:p>
          <w:p w14:paraId="148BD14F">
            <w:pPr>
              <w:rPr>
                <w:rFonts w:ascii="宋体" w:hAnsi="宋体" w:eastAsia="宋体"/>
                <w:sz w:val="24"/>
                <w:highlight w:val="none"/>
              </w:rPr>
            </w:pPr>
            <w:r>
              <w:rPr>
                <w:rFonts w:hint="eastAsia" w:ascii="宋体" w:hAnsi="宋体" w:eastAsia="宋体"/>
                <w:sz w:val="24"/>
                <w:highlight w:val="none"/>
                <w:lang w:val="en-US" w:eastAsia="zh-CN"/>
              </w:rPr>
              <w:t>2、</w:t>
            </w:r>
            <w:r>
              <w:rPr>
                <w:rFonts w:hint="eastAsia" w:ascii="宋体" w:hAnsi="宋体" w:eastAsia="宋体"/>
                <w:sz w:val="24"/>
                <w:highlight w:val="none"/>
              </w:rPr>
              <w:t xml:space="preserve">方案内容基本完整详细，适合项目需求，具有可行性、实用性和针对性，得 </w:t>
            </w:r>
            <w:r>
              <w:rPr>
                <w:rFonts w:hint="eastAsia" w:ascii="宋体" w:hAnsi="宋体" w:eastAsia="宋体"/>
                <w:sz w:val="24"/>
                <w:highlight w:val="none"/>
                <w:lang w:val="en-US" w:eastAsia="zh-CN"/>
              </w:rPr>
              <w:t>3</w:t>
            </w:r>
            <w:r>
              <w:rPr>
                <w:rFonts w:hint="eastAsia" w:ascii="宋体" w:hAnsi="宋体" w:eastAsia="宋体"/>
                <w:sz w:val="24"/>
                <w:highlight w:val="none"/>
              </w:rPr>
              <w:t xml:space="preserve"> 分；</w:t>
            </w:r>
          </w:p>
          <w:p w14:paraId="2FB0E907">
            <w:pPr>
              <w:rPr>
                <w:rFonts w:ascii="宋体" w:hAnsi="宋体" w:eastAsia="宋体"/>
                <w:sz w:val="24"/>
                <w:highlight w:val="none"/>
              </w:rPr>
            </w:pPr>
            <w:r>
              <w:rPr>
                <w:rFonts w:hint="eastAsia" w:ascii="宋体" w:hAnsi="宋体" w:eastAsia="宋体"/>
                <w:sz w:val="24"/>
                <w:highlight w:val="none"/>
                <w:lang w:val="en-US" w:eastAsia="zh-CN"/>
              </w:rPr>
              <w:t>3、</w:t>
            </w:r>
            <w:r>
              <w:rPr>
                <w:rFonts w:hint="eastAsia" w:ascii="宋体" w:hAnsi="宋体" w:eastAsia="宋体"/>
                <w:sz w:val="24"/>
                <w:highlight w:val="none"/>
              </w:rPr>
              <w:t>方案内容片面不全，基本适合项目需求，可行性、实用性、针对性有待改善，得 1 分；</w:t>
            </w:r>
          </w:p>
          <w:p w14:paraId="7A62480F">
            <w:pPr>
              <w:rPr>
                <w:rFonts w:ascii="宋体" w:hAnsi="宋体" w:eastAsia="宋体"/>
                <w:sz w:val="24"/>
                <w:highlight w:val="none"/>
              </w:rPr>
            </w:pPr>
            <w:r>
              <w:rPr>
                <w:rFonts w:hint="eastAsia" w:ascii="宋体" w:hAnsi="宋体" w:eastAsia="宋体"/>
                <w:sz w:val="24"/>
                <w:highlight w:val="none"/>
                <w:lang w:val="en-US" w:eastAsia="zh-CN"/>
              </w:rPr>
              <w:t>4、</w:t>
            </w:r>
            <w:r>
              <w:rPr>
                <w:rFonts w:hint="eastAsia" w:ascii="宋体" w:hAnsi="宋体" w:eastAsia="宋体"/>
                <w:sz w:val="24"/>
                <w:highlight w:val="none"/>
              </w:rPr>
              <w:t>方案不可行或者未提供得 0 分。</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535CBBCE">
            <w:pPr>
              <w:spacing w:line="360" w:lineRule="auto"/>
              <w:jc w:val="center"/>
              <w:rPr>
                <w:rFonts w:ascii="宋体" w:hAnsi="宋体" w:eastAsia="宋体"/>
                <w:b/>
                <w:bCs/>
                <w:sz w:val="24"/>
                <w:highlight w:val="none"/>
              </w:rPr>
            </w:pPr>
            <w:r>
              <w:rPr>
                <w:rFonts w:hint="eastAsia" w:ascii="宋体" w:hAnsi="宋体" w:eastAsia="宋体"/>
                <w:bCs/>
                <w:sz w:val="24"/>
                <w:highlight w:val="none"/>
              </w:rPr>
              <w:t>0-</w:t>
            </w:r>
            <w:r>
              <w:rPr>
                <w:rFonts w:hint="eastAsia" w:ascii="宋体" w:hAnsi="宋体" w:eastAsia="宋体"/>
                <w:bCs/>
                <w:sz w:val="24"/>
                <w:highlight w:val="none"/>
                <w:lang w:val="en-US" w:eastAsia="zh-CN"/>
              </w:rPr>
              <w:t>5</w:t>
            </w:r>
            <w:r>
              <w:rPr>
                <w:rFonts w:hint="eastAsia" w:ascii="宋体" w:hAnsi="宋体" w:eastAsia="宋体"/>
                <w:bCs/>
                <w:sz w:val="24"/>
                <w:highlight w:val="none"/>
              </w:rPr>
              <w:t>分</w:t>
            </w:r>
          </w:p>
        </w:tc>
      </w:tr>
      <w:tr w14:paraId="326A4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tcBorders>
              <w:left w:val="single" w:color="auto" w:sz="4" w:space="0"/>
              <w:right w:val="single" w:color="auto" w:sz="4" w:space="0"/>
            </w:tcBorders>
            <w:noWrap w:val="0"/>
            <w:vAlign w:val="center"/>
          </w:tcPr>
          <w:p w14:paraId="02F3780E">
            <w:pPr>
              <w:spacing w:line="360" w:lineRule="auto"/>
              <w:ind w:firstLine="435"/>
              <w:jc w:val="center"/>
              <w:rPr>
                <w:rFonts w:ascii="宋体" w:hAnsi="宋体" w:eastAsia="宋体"/>
                <w:b/>
                <w:bCs/>
                <w:sz w:val="24"/>
                <w:highlight w:val="none"/>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14:paraId="209434C8">
            <w:pPr>
              <w:spacing w:line="360" w:lineRule="auto"/>
              <w:jc w:val="center"/>
              <w:rPr>
                <w:rFonts w:ascii="宋体" w:hAnsi="宋体" w:eastAsia="宋体"/>
                <w:sz w:val="24"/>
                <w:highlight w:val="none"/>
              </w:rPr>
            </w:pPr>
            <w:r>
              <w:rPr>
                <w:rFonts w:hint="eastAsia" w:ascii="宋体" w:hAnsi="宋体" w:eastAsia="宋体"/>
                <w:sz w:val="24"/>
                <w:highlight w:val="none"/>
              </w:rPr>
              <w:t>培训方案</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131D4676">
            <w:pPr>
              <w:rPr>
                <w:rFonts w:ascii="宋体" w:hAnsi="宋体" w:eastAsia="宋体"/>
                <w:sz w:val="24"/>
                <w:highlight w:val="none"/>
              </w:rPr>
            </w:pPr>
            <w:r>
              <w:rPr>
                <w:rFonts w:hint="eastAsia" w:ascii="宋体" w:hAnsi="宋体" w:eastAsia="宋体"/>
                <w:sz w:val="24"/>
                <w:highlight w:val="none"/>
              </w:rPr>
              <w:t xml:space="preserve">评标委员会根据投标人提供的培训方案进行评分，内容包括但不限于仪器设备的理论培训、实际操作培训、各种技术参数设定、软件的培训和应用、简单故障排除、系统恢复方法与设备日常维护与保养方案等方面。 </w:t>
            </w:r>
          </w:p>
          <w:p w14:paraId="5241525E">
            <w:pPr>
              <w:rPr>
                <w:rFonts w:ascii="宋体" w:hAnsi="宋体" w:eastAsia="宋体"/>
                <w:sz w:val="24"/>
                <w:highlight w:val="none"/>
              </w:rPr>
            </w:pPr>
            <w:r>
              <w:rPr>
                <w:rFonts w:hint="eastAsia" w:ascii="宋体" w:hAnsi="宋体" w:eastAsia="宋体"/>
                <w:sz w:val="24"/>
                <w:highlight w:val="none"/>
                <w:lang w:val="en-US" w:eastAsia="zh-CN"/>
              </w:rPr>
              <w:t>1、</w:t>
            </w:r>
            <w:r>
              <w:rPr>
                <w:rFonts w:hint="eastAsia" w:ascii="宋体" w:hAnsi="宋体" w:eastAsia="宋体"/>
                <w:sz w:val="24"/>
                <w:highlight w:val="none"/>
              </w:rPr>
              <w:t xml:space="preserve">方案内容完整详细，满足项目需求，可行性、实用性、针对性强，得 </w:t>
            </w:r>
            <w:r>
              <w:rPr>
                <w:rFonts w:hint="eastAsia" w:ascii="宋体" w:hAnsi="宋体" w:eastAsia="宋体"/>
                <w:sz w:val="24"/>
                <w:highlight w:val="none"/>
                <w:lang w:val="en-US" w:eastAsia="zh-CN"/>
              </w:rPr>
              <w:t>5</w:t>
            </w:r>
            <w:r>
              <w:rPr>
                <w:rFonts w:hint="eastAsia" w:ascii="宋体" w:hAnsi="宋体" w:eastAsia="宋体"/>
                <w:sz w:val="24"/>
                <w:highlight w:val="none"/>
              </w:rPr>
              <w:t xml:space="preserve"> 分；</w:t>
            </w:r>
          </w:p>
          <w:p w14:paraId="262792C0">
            <w:pPr>
              <w:rPr>
                <w:rFonts w:ascii="宋体" w:hAnsi="宋体" w:eastAsia="宋体"/>
                <w:sz w:val="24"/>
                <w:highlight w:val="none"/>
              </w:rPr>
            </w:pPr>
            <w:r>
              <w:rPr>
                <w:rFonts w:hint="eastAsia" w:ascii="宋体" w:hAnsi="宋体" w:eastAsia="宋体"/>
                <w:sz w:val="24"/>
                <w:highlight w:val="none"/>
                <w:lang w:val="en-US" w:eastAsia="zh-CN"/>
              </w:rPr>
              <w:t>2、</w:t>
            </w:r>
            <w:r>
              <w:rPr>
                <w:rFonts w:hint="eastAsia" w:ascii="宋体" w:hAnsi="宋体" w:eastAsia="宋体"/>
                <w:sz w:val="24"/>
                <w:highlight w:val="none"/>
              </w:rPr>
              <w:t xml:space="preserve">方案内容基本完整详细，适合项目需求，具有可行性、实用性和针对性，得 </w:t>
            </w:r>
            <w:r>
              <w:rPr>
                <w:rFonts w:hint="eastAsia" w:ascii="宋体" w:hAnsi="宋体" w:eastAsia="宋体"/>
                <w:sz w:val="24"/>
                <w:highlight w:val="none"/>
                <w:lang w:val="en-US" w:eastAsia="zh-CN"/>
              </w:rPr>
              <w:t>3</w:t>
            </w:r>
            <w:r>
              <w:rPr>
                <w:rFonts w:hint="eastAsia" w:ascii="宋体" w:hAnsi="宋体" w:eastAsia="宋体"/>
                <w:sz w:val="24"/>
                <w:highlight w:val="none"/>
              </w:rPr>
              <w:t xml:space="preserve"> 分； </w:t>
            </w:r>
          </w:p>
          <w:p w14:paraId="486044D6">
            <w:pPr>
              <w:rPr>
                <w:rFonts w:ascii="宋体" w:hAnsi="宋体" w:eastAsia="宋体"/>
                <w:sz w:val="24"/>
                <w:highlight w:val="none"/>
              </w:rPr>
            </w:pPr>
            <w:r>
              <w:rPr>
                <w:rFonts w:hint="eastAsia" w:ascii="宋体" w:hAnsi="宋体" w:eastAsia="宋体"/>
                <w:sz w:val="24"/>
                <w:highlight w:val="none"/>
                <w:lang w:val="en-US" w:eastAsia="zh-CN"/>
              </w:rPr>
              <w:t>3、</w:t>
            </w:r>
            <w:r>
              <w:rPr>
                <w:rFonts w:hint="eastAsia" w:ascii="宋体" w:hAnsi="宋体" w:eastAsia="宋体"/>
                <w:sz w:val="24"/>
                <w:highlight w:val="none"/>
              </w:rPr>
              <w:t xml:space="preserve">方案内容片面不全，基本适合项目需求，可行性、实用性、针对性有待改善，得 1 分； </w:t>
            </w:r>
          </w:p>
          <w:p w14:paraId="4741CAF9">
            <w:pPr>
              <w:rPr>
                <w:rFonts w:ascii="宋体" w:hAnsi="宋体" w:eastAsia="宋体"/>
                <w:sz w:val="24"/>
                <w:highlight w:val="none"/>
              </w:rPr>
            </w:pPr>
            <w:r>
              <w:rPr>
                <w:rFonts w:hint="eastAsia" w:ascii="宋体" w:hAnsi="宋体" w:eastAsia="宋体"/>
                <w:sz w:val="24"/>
                <w:highlight w:val="none"/>
                <w:lang w:val="en-US" w:eastAsia="zh-CN"/>
              </w:rPr>
              <w:t>4、</w:t>
            </w:r>
            <w:r>
              <w:rPr>
                <w:rFonts w:hint="eastAsia" w:ascii="宋体" w:hAnsi="宋体" w:eastAsia="宋体"/>
                <w:sz w:val="24"/>
                <w:highlight w:val="none"/>
              </w:rPr>
              <w:t>方案不可行或者未提供得 0 分。</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642C1F68">
            <w:pPr>
              <w:adjustRightInd w:val="0"/>
              <w:snapToGrid w:val="0"/>
              <w:spacing w:line="400" w:lineRule="exact"/>
              <w:jc w:val="center"/>
              <w:rPr>
                <w:rFonts w:ascii="宋体" w:hAnsi="宋体" w:eastAsia="宋体"/>
                <w:bCs/>
                <w:sz w:val="24"/>
                <w:highlight w:val="none"/>
              </w:rPr>
            </w:pPr>
            <w:r>
              <w:rPr>
                <w:rFonts w:hint="eastAsia" w:ascii="宋体" w:hAnsi="宋体" w:eastAsia="宋体"/>
                <w:sz w:val="24"/>
                <w:highlight w:val="none"/>
              </w:rPr>
              <w:t>0-</w:t>
            </w:r>
            <w:r>
              <w:rPr>
                <w:rFonts w:hint="eastAsia" w:ascii="宋体" w:hAnsi="宋体" w:eastAsia="宋体"/>
                <w:sz w:val="24"/>
                <w:highlight w:val="none"/>
                <w:lang w:val="en-US" w:eastAsia="zh-CN"/>
              </w:rPr>
              <w:t>5</w:t>
            </w:r>
            <w:r>
              <w:rPr>
                <w:rFonts w:hint="eastAsia" w:ascii="宋体" w:hAnsi="宋体" w:eastAsia="宋体"/>
                <w:sz w:val="24"/>
                <w:highlight w:val="none"/>
              </w:rPr>
              <w:t>分</w:t>
            </w:r>
          </w:p>
        </w:tc>
      </w:tr>
      <w:tr w14:paraId="15B9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tcBorders>
              <w:left w:val="single" w:color="auto" w:sz="4" w:space="0"/>
              <w:right w:val="single" w:color="auto" w:sz="4" w:space="0"/>
            </w:tcBorders>
            <w:noWrap w:val="0"/>
            <w:vAlign w:val="center"/>
          </w:tcPr>
          <w:p w14:paraId="6BD4DDA5">
            <w:pPr>
              <w:spacing w:line="360" w:lineRule="auto"/>
              <w:ind w:firstLine="435"/>
              <w:jc w:val="center"/>
              <w:rPr>
                <w:rFonts w:ascii="宋体" w:hAnsi="宋体" w:eastAsia="宋体"/>
                <w:b/>
                <w:bCs/>
                <w:sz w:val="24"/>
                <w:highlight w:val="none"/>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14:paraId="343CD473">
            <w:pPr>
              <w:snapToGrid w:val="0"/>
              <w:jc w:val="center"/>
              <w:rPr>
                <w:rFonts w:ascii="宋体" w:hAnsi="宋体" w:eastAsia="宋体"/>
                <w:sz w:val="24"/>
                <w:highlight w:val="none"/>
              </w:rPr>
            </w:pPr>
            <w:r>
              <w:rPr>
                <w:rFonts w:hint="eastAsia" w:ascii="宋体" w:hAnsi="宋体" w:eastAsia="宋体" w:cs="宋体"/>
                <w:bCs/>
                <w:color w:val="000000" w:themeColor="text1"/>
                <w:sz w:val="24"/>
                <w:szCs w:val="20"/>
                <w:highlight w:val="none"/>
                <w14:textFill>
                  <w14:solidFill>
                    <w14:schemeClr w14:val="tx1"/>
                  </w14:solidFill>
                </w14:textFill>
              </w:rPr>
              <w:t>售后</w:t>
            </w:r>
            <w:r>
              <w:rPr>
                <w:rFonts w:hint="eastAsia" w:ascii="宋体" w:hAnsi="宋体" w:eastAsia="宋体" w:cs="宋体"/>
                <w:bCs/>
                <w:color w:val="000000" w:themeColor="text1"/>
                <w:sz w:val="24"/>
                <w:szCs w:val="20"/>
                <w:highlight w:val="none"/>
                <w:lang w:val="en-US" w:eastAsia="zh-CN"/>
                <w14:textFill>
                  <w14:solidFill>
                    <w14:schemeClr w14:val="tx1"/>
                  </w14:solidFill>
                </w14:textFill>
              </w:rPr>
              <w:t>与应急服务</w:t>
            </w:r>
            <w:r>
              <w:rPr>
                <w:rFonts w:hint="eastAsia" w:ascii="宋体" w:hAnsi="宋体" w:eastAsia="宋体" w:cs="宋体"/>
                <w:bCs/>
                <w:color w:val="000000" w:themeColor="text1"/>
                <w:sz w:val="24"/>
                <w:szCs w:val="20"/>
                <w:highlight w:val="none"/>
                <w14:textFill>
                  <w14:solidFill>
                    <w14:schemeClr w14:val="tx1"/>
                  </w14:solidFill>
                </w14:textFill>
              </w:rPr>
              <w:t>方案</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64F6245F">
            <w:pPr>
              <w:spacing w:line="24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评标委员会依据投标人提供的售后与应急服务方案进行综合评审：</w:t>
            </w:r>
          </w:p>
          <w:p w14:paraId="646E771C">
            <w:pPr>
              <w:keepNext w:val="0"/>
              <w:keepLines w:val="0"/>
              <w:widowControl/>
              <w:suppressLineNumbers w:val="0"/>
              <w:jc w:val="left"/>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1.根据投标人提供</w:t>
            </w:r>
            <w:r>
              <w:rPr>
                <w:rFonts w:hint="eastAsia" w:ascii="宋体" w:hAnsi="宋体" w:eastAsia="宋体" w:cs="宋体"/>
                <w:b w:val="0"/>
                <w:bCs w:val="0"/>
                <w:color w:val="000000" w:themeColor="text1"/>
                <w:sz w:val="24"/>
                <w:highlight w:val="none"/>
                <w:lang w:eastAsia="zh-CN"/>
                <w14:textFill>
                  <w14:solidFill>
                    <w14:schemeClr w14:val="tx1"/>
                  </w14:solidFill>
                </w14:textFill>
              </w:rPr>
              <w:t>的</w:t>
            </w:r>
            <w:r>
              <w:rPr>
                <w:rFonts w:hint="eastAsia" w:ascii="宋体" w:hAnsi="宋体" w:eastAsia="宋体" w:cs="宋体"/>
                <w:b w:val="0"/>
                <w:bCs w:val="0"/>
                <w:color w:val="000000" w:themeColor="text1"/>
                <w:sz w:val="24"/>
                <w:highlight w:val="none"/>
                <w14:textFill>
                  <w14:solidFill>
                    <w14:schemeClr w14:val="tx1"/>
                  </w14:solidFill>
                </w14:textFill>
              </w:rPr>
              <w:t>售后服务方案进行综合评审</w:t>
            </w:r>
            <w:r>
              <w:rPr>
                <w:rFonts w:hint="eastAsia" w:ascii="宋体" w:hAnsi="宋体" w:eastAsia="宋体" w:cs="宋体"/>
                <w:b w:val="0"/>
                <w:bCs w:val="0"/>
                <w:color w:val="000000" w:themeColor="text1"/>
                <w:sz w:val="24"/>
                <w:highlight w:val="none"/>
                <w:lang w:eastAsia="zh-CN"/>
                <w14:textFill>
                  <w14:solidFill>
                    <w14:schemeClr w14:val="tx1"/>
                  </w14:solidFill>
                </w14:textFill>
              </w:rPr>
              <w:t>，内容包括但不限于售后服务管理制度、保障措施、维保方式、维保内容、质保期满后的维保费用、时间保证、售后人员配备</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等方面</w:t>
            </w:r>
            <w:r>
              <w:rPr>
                <w:rFonts w:hint="eastAsia" w:ascii="宋体" w:hAnsi="宋体" w:eastAsia="宋体" w:cs="宋体"/>
                <w:b w:val="0"/>
                <w:bCs w:val="0"/>
                <w:color w:val="000000" w:themeColor="text1"/>
                <w:sz w:val="24"/>
                <w:highlight w:val="none"/>
                <w14:textFill>
                  <w14:solidFill>
                    <w14:schemeClr w14:val="tx1"/>
                  </w14:solidFill>
                </w14:textFill>
              </w:rPr>
              <w:t>：</w:t>
            </w:r>
          </w:p>
          <w:p w14:paraId="2E8D0E30">
            <w:pPr>
              <w:numPr>
                <w:ilvl w:val="0"/>
                <w:numId w:val="0"/>
              </w:numPr>
              <w:spacing w:line="24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1</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对本项目的特点和难点理解准确，售后服务方案优于本项目采购需求，可行性、实用性、针对性强，得5分；</w:t>
            </w:r>
          </w:p>
          <w:p w14:paraId="14D7EA92">
            <w:pPr>
              <w:numPr>
                <w:ilvl w:val="0"/>
                <w:numId w:val="0"/>
              </w:numPr>
              <w:spacing w:line="24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2</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对本项目的特点和难点理解基本准确，售后服务方案基本满足本项目采购需求，具有可行性、实用性和针对性，得3分；</w:t>
            </w:r>
          </w:p>
          <w:p w14:paraId="7D04700E">
            <w:pPr>
              <w:numPr>
                <w:ilvl w:val="0"/>
                <w:numId w:val="0"/>
              </w:numPr>
              <w:spacing w:line="24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3</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对本项目的特点和难点理解有待提升，售后服务方案可行性、实用性和针对性有待改善，得1分；</w:t>
            </w:r>
          </w:p>
          <w:p w14:paraId="6209C644">
            <w:pPr>
              <w:numPr>
                <w:ilvl w:val="0"/>
                <w:numId w:val="0"/>
              </w:numPr>
              <w:spacing w:line="24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4</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未提供方案的不得分。</w:t>
            </w:r>
          </w:p>
          <w:p w14:paraId="2CE9CB4C">
            <w:pPr>
              <w:spacing w:line="240" w:lineRule="auto"/>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2.根据投标人提供针对本项目的应急服务</w:t>
            </w:r>
            <w:r>
              <w:rPr>
                <w:rFonts w:hint="eastAsia" w:ascii="宋体" w:hAnsi="宋体" w:eastAsia="宋体" w:cs="宋体"/>
                <w:b w:val="0"/>
                <w:bCs/>
                <w:color w:val="000000" w:themeColor="text1"/>
                <w:sz w:val="24"/>
                <w:highlight w:val="none"/>
                <w:lang w:eastAsia="zh-CN"/>
                <w14:textFill>
                  <w14:solidFill>
                    <w14:schemeClr w14:val="tx1"/>
                  </w14:solidFill>
                </w14:textFill>
              </w:rPr>
              <w:t>方案</w:t>
            </w:r>
            <w:r>
              <w:rPr>
                <w:rFonts w:hint="eastAsia" w:ascii="宋体" w:hAnsi="宋体" w:eastAsia="宋体" w:cs="宋体"/>
                <w:b w:val="0"/>
                <w:bCs/>
                <w:color w:val="000000" w:themeColor="text1"/>
                <w:sz w:val="24"/>
                <w:highlight w:val="none"/>
                <w14:textFill>
                  <w14:solidFill>
                    <w14:schemeClr w14:val="tx1"/>
                  </w14:solidFill>
                </w14:textFill>
              </w:rPr>
              <w:t>进行综合评审</w:t>
            </w:r>
            <w:r>
              <w:rPr>
                <w:rFonts w:hint="eastAsia" w:ascii="宋体" w:hAnsi="宋体" w:eastAsia="宋体" w:cs="宋体"/>
                <w:b w:val="0"/>
                <w:bCs/>
                <w:color w:val="000000" w:themeColor="text1"/>
                <w:sz w:val="24"/>
                <w:highlight w:val="none"/>
                <w:lang w:eastAsia="zh-CN"/>
                <w14:textFill>
                  <w14:solidFill>
                    <w14:schemeClr w14:val="tx1"/>
                  </w14:solidFill>
                </w14:textFill>
              </w:rPr>
              <w:t>，内容包括但不限于产品故障维修响应时间、故障解决方案、零配件更换服务、备品备件供应及服务便利化措施</w:t>
            </w:r>
            <w:r>
              <w:rPr>
                <w:rFonts w:hint="eastAsia" w:ascii="宋体" w:hAnsi="宋体" w:eastAsia="宋体" w:cs="宋体"/>
                <w:b w:val="0"/>
                <w:bCs/>
                <w:color w:val="000000" w:themeColor="text1"/>
                <w:sz w:val="24"/>
                <w:highlight w:val="none"/>
                <w:lang w:val="en-US" w:eastAsia="zh-CN"/>
                <w14:textFill>
                  <w14:solidFill>
                    <w14:schemeClr w14:val="tx1"/>
                  </w14:solidFill>
                </w14:textFill>
              </w:rPr>
              <w:t>等方面</w:t>
            </w:r>
            <w:r>
              <w:rPr>
                <w:rFonts w:hint="eastAsia" w:ascii="宋体" w:hAnsi="宋体" w:eastAsia="宋体" w:cs="宋体"/>
                <w:b w:val="0"/>
                <w:bCs/>
                <w:color w:val="000000" w:themeColor="text1"/>
                <w:sz w:val="24"/>
                <w:highlight w:val="none"/>
                <w14:textFill>
                  <w14:solidFill>
                    <w14:schemeClr w14:val="tx1"/>
                  </w14:solidFill>
                </w14:textFill>
              </w:rPr>
              <w:t>：</w:t>
            </w:r>
          </w:p>
          <w:p w14:paraId="1FC2A96B">
            <w:pPr>
              <w:spacing w:line="24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1</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应急服务方案完整详细，备品备件供应可以得到充分保障，应急服务响应及时，方案实用性强的，得5分；</w:t>
            </w:r>
          </w:p>
          <w:p w14:paraId="12F04B9F">
            <w:pPr>
              <w:spacing w:line="24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2</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应急服务方案基本完整，备品备件供应基本可以满足使用，应急服务响应较及时，方案实用性较强的，得3分；</w:t>
            </w:r>
          </w:p>
          <w:p w14:paraId="4C4620A6">
            <w:pPr>
              <w:spacing w:line="24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3</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应急服务方案内容不够完整，备品备件供应能力有待提升，方案实用性有待加强的得1分；</w:t>
            </w:r>
          </w:p>
          <w:p w14:paraId="67E4B5A1">
            <w:pPr>
              <w:spacing w:line="240" w:lineRule="auto"/>
              <w:rPr>
                <w:rFonts w:ascii="宋体" w:hAnsi="宋体" w:eastAsia="宋体"/>
                <w:sz w:val="24"/>
                <w:highlight w:val="none"/>
              </w:rPr>
            </w:pP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4</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未提供方案的不得分。</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43B7B7DC">
            <w:pPr>
              <w:spacing w:line="360" w:lineRule="auto"/>
              <w:jc w:val="center"/>
              <w:rPr>
                <w:rFonts w:ascii="宋体" w:hAnsi="宋体" w:eastAsia="宋体"/>
                <w:sz w:val="24"/>
                <w:highlight w:val="none"/>
              </w:rPr>
            </w:pPr>
            <w:r>
              <w:rPr>
                <w:rFonts w:hint="eastAsia" w:ascii="宋体" w:hAnsi="宋体" w:eastAsia="宋体"/>
                <w:bCs/>
                <w:color w:val="000000" w:themeColor="text1"/>
                <w:sz w:val="24"/>
                <w:highlight w:val="none"/>
                <w14:textFill>
                  <w14:solidFill>
                    <w14:schemeClr w14:val="tx1"/>
                  </w14:solidFill>
                </w14:textFill>
              </w:rPr>
              <w:t>0-</w:t>
            </w:r>
            <w:r>
              <w:rPr>
                <w:rFonts w:hint="eastAsia" w:ascii="宋体" w:hAnsi="宋体" w:eastAsia="宋体"/>
                <w:bCs/>
                <w:color w:val="000000" w:themeColor="text1"/>
                <w:sz w:val="24"/>
                <w:highlight w:val="none"/>
                <w:lang w:val="en-US" w:eastAsia="zh-CN"/>
                <w14:textFill>
                  <w14:solidFill>
                    <w14:schemeClr w14:val="tx1"/>
                  </w14:solidFill>
                </w14:textFill>
              </w:rPr>
              <w:t>10</w:t>
            </w:r>
            <w:r>
              <w:rPr>
                <w:rFonts w:hint="eastAsia" w:ascii="宋体" w:hAnsi="宋体" w:eastAsia="宋体"/>
                <w:bCs/>
                <w:color w:val="000000" w:themeColor="text1"/>
                <w:sz w:val="24"/>
                <w:highlight w:val="none"/>
                <w14:textFill>
                  <w14:solidFill>
                    <w14:schemeClr w14:val="tx1"/>
                  </w14:solidFill>
                </w14:textFill>
              </w:rPr>
              <w:t>分</w:t>
            </w:r>
          </w:p>
        </w:tc>
      </w:tr>
      <w:tr w14:paraId="160E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tcBorders>
              <w:left w:val="single" w:color="auto" w:sz="4" w:space="0"/>
              <w:right w:val="single" w:color="auto" w:sz="4" w:space="0"/>
            </w:tcBorders>
            <w:noWrap w:val="0"/>
            <w:vAlign w:val="center"/>
          </w:tcPr>
          <w:p w14:paraId="45B57927">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价格分</w:t>
            </w:r>
          </w:p>
          <w:p w14:paraId="6BE8E0B1">
            <w:pPr>
              <w:spacing w:line="360" w:lineRule="auto"/>
              <w:jc w:val="center"/>
              <w:rPr>
                <w:rFonts w:ascii="宋体" w:hAnsi="宋体" w:eastAsia="宋体"/>
                <w:b w:val="0"/>
                <w:bCs w:val="0"/>
                <w:color w:val="000000"/>
                <w:sz w:val="24"/>
                <w:highlight w:val="none"/>
              </w:rPr>
            </w:pP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u w:val="single"/>
              </w:rPr>
              <w:t xml:space="preserve"> 30 </w:t>
            </w:r>
            <w:r>
              <w:rPr>
                <w:rFonts w:hint="eastAsia" w:asciiTheme="minorEastAsia" w:hAnsiTheme="minorEastAsia" w:eastAsiaTheme="minorEastAsia"/>
                <w:sz w:val="24"/>
                <w:highlight w:val="none"/>
              </w:rPr>
              <w:t>分）</w:t>
            </w:r>
          </w:p>
        </w:tc>
        <w:tc>
          <w:tcPr>
            <w:tcW w:w="8259" w:type="dxa"/>
            <w:gridSpan w:val="3"/>
            <w:tcBorders>
              <w:top w:val="single" w:color="auto" w:sz="4" w:space="0"/>
              <w:left w:val="single" w:color="auto" w:sz="4" w:space="0"/>
              <w:bottom w:val="single" w:color="auto" w:sz="4" w:space="0"/>
              <w:right w:val="single" w:color="auto" w:sz="4" w:space="0"/>
            </w:tcBorders>
            <w:noWrap w:val="0"/>
            <w:vAlign w:val="center"/>
          </w:tcPr>
          <w:p w14:paraId="23BCAA94">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价格分统一采用低价优先法，即满足招标文件要求且投标价格最低的投标报价为评标基准价，其价格分为满分</w:t>
            </w:r>
            <w:r>
              <w:rPr>
                <w:rFonts w:hint="eastAsia" w:asciiTheme="minorEastAsia" w:hAnsiTheme="minorEastAsia" w:eastAsiaTheme="minorEastAsia"/>
                <w:sz w:val="24"/>
                <w:highlight w:val="none"/>
                <w:u w:val="single"/>
              </w:rPr>
              <w:t xml:space="preserve"> 30 </w:t>
            </w:r>
            <w:r>
              <w:rPr>
                <w:rFonts w:hint="eastAsia" w:asciiTheme="minorEastAsia" w:hAnsiTheme="minorEastAsia" w:eastAsiaTheme="minorEastAsia"/>
                <w:sz w:val="24"/>
                <w:highlight w:val="none"/>
              </w:rPr>
              <w:t>分。其他投标人的价格分统一按照下列公式计算：</w:t>
            </w:r>
          </w:p>
          <w:p w14:paraId="3CF08DA7">
            <w:pPr>
              <w:spacing w:line="360" w:lineRule="auto"/>
              <w:rPr>
                <w:rFonts w:ascii="宋体" w:hAnsi="宋体" w:eastAsia="宋体"/>
                <w:b w:val="0"/>
                <w:bCs w:val="0"/>
                <w:color w:val="000000"/>
                <w:sz w:val="24"/>
                <w:highlight w:val="none"/>
              </w:rPr>
            </w:pPr>
            <w:r>
              <w:rPr>
                <w:rFonts w:hint="eastAsia" w:asciiTheme="minorEastAsia" w:hAnsiTheme="minorEastAsia" w:eastAsiaTheme="minorEastAsia"/>
                <w:sz w:val="24"/>
                <w:highlight w:val="none"/>
              </w:rPr>
              <w:t>投标报价得分＝（评标基准价/投标报价）×</w:t>
            </w:r>
            <w:r>
              <w:rPr>
                <w:rFonts w:hint="eastAsia" w:asciiTheme="minorEastAsia" w:hAnsiTheme="minorEastAsia" w:eastAsiaTheme="minorEastAsia"/>
                <w:sz w:val="24"/>
                <w:highlight w:val="none"/>
                <w:u w:val="single"/>
              </w:rPr>
              <w:t xml:space="preserve"> 30 </w:t>
            </w:r>
            <w:r>
              <w:rPr>
                <w:rFonts w:hint="eastAsia" w:asciiTheme="minorEastAsia" w:hAnsiTheme="minorEastAsia" w:eastAsiaTheme="minorEastAsia"/>
                <w:sz w:val="24"/>
                <w:highlight w:val="none"/>
              </w:rPr>
              <w:t>％×100</w:t>
            </w:r>
          </w:p>
        </w:tc>
      </w:tr>
    </w:tbl>
    <w:p w14:paraId="13F7AD02">
      <w:pPr>
        <w:rPr>
          <w:rFonts w:hint="eastAsia" w:asciiTheme="minorEastAsia" w:hAnsiTheme="minorEastAsia" w:eastAsiaTheme="minorEastAsia"/>
          <w:b/>
          <w:bCs/>
          <w:sz w:val="24"/>
          <w:highlight w:val="none"/>
          <w:lang w:eastAsia="zh-CN"/>
        </w:rPr>
      </w:pPr>
      <w:r>
        <w:rPr>
          <w:rFonts w:hint="eastAsia" w:asciiTheme="minorEastAsia" w:hAnsiTheme="minorEastAsia" w:eastAsiaTheme="minorEastAsia"/>
          <w:b/>
          <w:bCs/>
          <w:sz w:val="24"/>
          <w:highlight w:val="none"/>
          <w:lang w:eastAsia="zh-CN"/>
        </w:rPr>
        <w:br w:type="page"/>
      </w:r>
    </w:p>
    <w:p w14:paraId="07E1AF13">
      <w:pPr>
        <w:spacing w:line="360" w:lineRule="auto"/>
        <w:ind w:firstLine="435"/>
        <w:rPr>
          <w:rFonts w:hint="default" w:asciiTheme="minorEastAsia" w:hAnsiTheme="minorEastAsia" w:eastAsiaTheme="minorEastAsia"/>
          <w:b/>
          <w:bCs/>
          <w:sz w:val="24"/>
          <w:highlight w:val="none"/>
          <w:lang w:val="en-US" w:eastAsia="zh-CN"/>
        </w:rPr>
      </w:pPr>
      <w:r>
        <w:rPr>
          <w:rFonts w:hint="eastAsia" w:asciiTheme="minorEastAsia" w:hAnsiTheme="minorEastAsia" w:eastAsiaTheme="minorEastAsia"/>
          <w:b/>
          <w:bCs/>
          <w:sz w:val="24"/>
          <w:highlight w:val="none"/>
          <w:lang w:val="en-US" w:eastAsia="zh-CN"/>
        </w:rPr>
        <w:t>05包：高端平板便携式彩色多普勒超声系统</w:t>
      </w:r>
    </w:p>
    <w:tbl>
      <w:tblPr>
        <w:tblStyle w:val="26"/>
        <w:tblW w:w="9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717"/>
        <w:gridCol w:w="5337"/>
        <w:gridCol w:w="1205"/>
      </w:tblGrid>
      <w:tr w14:paraId="6376D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71" w:type="dxa"/>
            <w:tcBorders>
              <w:top w:val="single" w:color="auto" w:sz="4" w:space="0"/>
              <w:left w:val="single" w:color="auto" w:sz="4" w:space="0"/>
              <w:bottom w:val="single" w:color="auto" w:sz="4" w:space="0"/>
              <w:right w:val="single" w:color="auto" w:sz="4" w:space="0"/>
            </w:tcBorders>
            <w:noWrap w:val="0"/>
            <w:vAlign w:val="center"/>
          </w:tcPr>
          <w:p w14:paraId="42F609A1">
            <w:pPr>
              <w:spacing w:line="360" w:lineRule="auto"/>
              <w:jc w:val="center"/>
              <w:rPr>
                <w:rFonts w:ascii="宋体" w:hAnsi="宋体" w:eastAsia="宋体"/>
                <w:b/>
                <w:bCs/>
                <w:sz w:val="24"/>
                <w:highlight w:val="none"/>
              </w:rPr>
            </w:pPr>
            <w:r>
              <w:rPr>
                <w:rFonts w:hint="eastAsia" w:ascii="宋体" w:hAnsi="宋体" w:eastAsia="宋体"/>
                <w:b/>
                <w:bCs/>
                <w:sz w:val="24"/>
                <w:highlight w:val="none"/>
              </w:rPr>
              <w:t>类别</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415D0D31">
            <w:pPr>
              <w:spacing w:line="360" w:lineRule="auto"/>
              <w:jc w:val="center"/>
              <w:rPr>
                <w:rFonts w:ascii="宋体" w:hAnsi="宋体" w:eastAsia="宋体"/>
                <w:b/>
                <w:bCs/>
                <w:sz w:val="24"/>
                <w:highlight w:val="none"/>
              </w:rPr>
            </w:pPr>
            <w:r>
              <w:rPr>
                <w:rFonts w:hint="eastAsia" w:ascii="宋体" w:hAnsi="宋体" w:eastAsia="宋体"/>
                <w:b/>
                <w:bCs/>
                <w:sz w:val="24"/>
                <w:highlight w:val="none"/>
              </w:rPr>
              <w:t>评分内容</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4071829A">
            <w:pPr>
              <w:spacing w:line="360" w:lineRule="auto"/>
              <w:jc w:val="center"/>
              <w:rPr>
                <w:rFonts w:ascii="宋体" w:hAnsi="宋体" w:eastAsia="宋体"/>
                <w:b/>
                <w:bCs/>
                <w:sz w:val="24"/>
                <w:highlight w:val="none"/>
              </w:rPr>
            </w:pPr>
            <w:r>
              <w:rPr>
                <w:rFonts w:hint="eastAsia" w:ascii="宋体" w:hAnsi="宋体" w:eastAsia="宋体"/>
                <w:b/>
                <w:bCs/>
                <w:sz w:val="24"/>
                <w:highlight w:val="none"/>
              </w:rPr>
              <w:t>评分标准</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77AB0978">
            <w:pPr>
              <w:spacing w:line="360" w:lineRule="auto"/>
              <w:jc w:val="center"/>
              <w:rPr>
                <w:rFonts w:ascii="宋体" w:hAnsi="宋体" w:eastAsia="宋体"/>
                <w:b/>
                <w:bCs/>
                <w:sz w:val="24"/>
                <w:highlight w:val="none"/>
              </w:rPr>
            </w:pPr>
            <w:r>
              <w:rPr>
                <w:rFonts w:hint="eastAsia" w:ascii="宋体" w:hAnsi="宋体" w:eastAsia="宋体"/>
                <w:b/>
                <w:bCs/>
                <w:sz w:val="24"/>
                <w:highlight w:val="none"/>
              </w:rPr>
              <w:t>分值范围</w:t>
            </w:r>
          </w:p>
        </w:tc>
      </w:tr>
      <w:tr w14:paraId="3BEF6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restart"/>
            <w:tcBorders>
              <w:top w:val="single" w:color="auto" w:sz="4" w:space="0"/>
              <w:left w:val="single" w:color="auto" w:sz="4" w:space="0"/>
              <w:right w:val="single" w:color="auto" w:sz="4" w:space="0"/>
            </w:tcBorders>
            <w:noWrap w:val="0"/>
            <w:vAlign w:val="center"/>
          </w:tcPr>
          <w:p w14:paraId="3CA4E641">
            <w:pPr>
              <w:spacing w:line="360" w:lineRule="auto"/>
              <w:jc w:val="center"/>
              <w:rPr>
                <w:rFonts w:ascii="宋体" w:hAnsi="宋体" w:eastAsia="宋体"/>
                <w:sz w:val="24"/>
                <w:highlight w:val="none"/>
              </w:rPr>
            </w:pPr>
            <w:r>
              <w:rPr>
                <w:rFonts w:hint="eastAsia" w:ascii="宋体" w:hAnsi="宋体" w:eastAsia="宋体"/>
                <w:sz w:val="24"/>
                <w:highlight w:val="none"/>
              </w:rPr>
              <w:t>技术资信分</w:t>
            </w:r>
          </w:p>
          <w:p w14:paraId="3A8506E3">
            <w:pPr>
              <w:spacing w:line="360" w:lineRule="auto"/>
              <w:jc w:val="center"/>
              <w:rPr>
                <w:rFonts w:ascii="宋体" w:hAnsi="宋体" w:eastAsia="宋体"/>
                <w:b/>
                <w:bCs/>
                <w:sz w:val="24"/>
                <w:highlight w:val="none"/>
              </w:rPr>
            </w:pPr>
            <w:r>
              <w:rPr>
                <w:rFonts w:hint="eastAsia" w:ascii="宋体" w:hAnsi="宋体" w:eastAsia="宋体"/>
                <w:sz w:val="24"/>
                <w:highlight w:val="none"/>
              </w:rPr>
              <w:t>（</w:t>
            </w:r>
            <w:r>
              <w:rPr>
                <w:rFonts w:hint="eastAsia" w:ascii="宋体" w:hAnsi="宋体" w:eastAsia="宋体"/>
                <w:sz w:val="24"/>
                <w:highlight w:val="none"/>
                <w:u w:val="single"/>
              </w:rPr>
              <w:t xml:space="preserve"> </w:t>
            </w:r>
            <w:r>
              <w:rPr>
                <w:rFonts w:hint="eastAsia" w:ascii="宋体" w:hAnsi="宋体" w:eastAsia="宋体"/>
                <w:sz w:val="24"/>
                <w:highlight w:val="none"/>
                <w:u w:val="single"/>
                <w:lang w:val="en-US" w:eastAsia="zh-CN"/>
              </w:rPr>
              <w:t>70</w:t>
            </w:r>
            <w:r>
              <w:rPr>
                <w:rFonts w:hint="eastAsia" w:ascii="宋体" w:hAnsi="宋体" w:eastAsia="宋体"/>
                <w:sz w:val="24"/>
                <w:highlight w:val="none"/>
                <w:u w:val="single"/>
              </w:rPr>
              <w:t xml:space="preserve"> </w:t>
            </w:r>
            <w:r>
              <w:rPr>
                <w:rFonts w:hint="eastAsia" w:ascii="宋体" w:hAnsi="宋体" w:eastAsia="宋体"/>
                <w:sz w:val="24"/>
                <w:highlight w:val="none"/>
              </w:rPr>
              <w:t>分）</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413352FA">
            <w:pPr>
              <w:spacing w:line="360" w:lineRule="auto"/>
              <w:jc w:val="center"/>
              <w:rPr>
                <w:rFonts w:ascii="宋体" w:hAnsi="宋体" w:eastAsia="宋体"/>
                <w:bCs/>
                <w:sz w:val="24"/>
                <w:highlight w:val="none"/>
              </w:rPr>
            </w:pPr>
            <w:r>
              <w:rPr>
                <w:rFonts w:hint="eastAsia" w:ascii="宋体" w:hAnsi="宋体" w:eastAsia="宋体"/>
                <w:bCs/>
                <w:sz w:val="24"/>
                <w:highlight w:val="none"/>
              </w:rPr>
              <w:t>所投设备技</w:t>
            </w:r>
          </w:p>
          <w:p w14:paraId="4FB42DD9">
            <w:pPr>
              <w:spacing w:line="360" w:lineRule="auto"/>
              <w:jc w:val="center"/>
              <w:rPr>
                <w:rFonts w:ascii="宋体" w:hAnsi="宋体" w:eastAsia="宋体"/>
                <w:bCs/>
                <w:sz w:val="24"/>
                <w:highlight w:val="none"/>
              </w:rPr>
            </w:pPr>
            <w:r>
              <w:rPr>
                <w:rFonts w:hint="eastAsia" w:ascii="宋体" w:hAnsi="宋体" w:eastAsia="宋体"/>
                <w:bCs/>
                <w:sz w:val="24"/>
                <w:highlight w:val="none"/>
              </w:rPr>
              <w:t>术参数及要</w:t>
            </w:r>
          </w:p>
          <w:p w14:paraId="589C7BD5">
            <w:pPr>
              <w:spacing w:line="360" w:lineRule="auto"/>
              <w:jc w:val="center"/>
              <w:rPr>
                <w:rFonts w:ascii="宋体" w:hAnsi="宋体" w:eastAsia="宋体"/>
                <w:bCs/>
                <w:sz w:val="24"/>
                <w:highlight w:val="none"/>
              </w:rPr>
            </w:pPr>
            <w:r>
              <w:rPr>
                <w:rFonts w:hint="eastAsia" w:ascii="宋体" w:hAnsi="宋体" w:eastAsia="宋体"/>
                <w:bCs/>
                <w:sz w:val="24"/>
                <w:highlight w:val="none"/>
              </w:rPr>
              <w:t>求响应情况</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6C0630DA">
            <w:pPr>
              <w:widowControl/>
              <w:numPr>
                <w:ilvl w:val="0"/>
                <w:numId w:val="0"/>
              </w:numPr>
              <w:jc w:val="left"/>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lang w:val="en-US" w:eastAsia="zh-CN"/>
              </w:rPr>
              <w:t>1.</w:t>
            </w:r>
            <w:r>
              <w:rPr>
                <w:rFonts w:hint="eastAsia" w:asciiTheme="minorEastAsia" w:hAnsiTheme="minorEastAsia" w:eastAsiaTheme="minorEastAsia"/>
                <w:bCs/>
                <w:sz w:val="24"/>
                <w:highlight w:val="none"/>
              </w:rPr>
              <w:t>根据投标文件与招标文件要求重要参数（标记“</w:t>
            </w: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bCs/>
                <w:sz w:val="24"/>
                <w:highlight w:val="none"/>
              </w:rPr>
              <w:t>”的技术参数）的偏离情况进行评审。</w:t>
            </w:r>
          </w:p>
          <w:p w14:paraId="4CC638DE">
            <w:pPr>
              <w:widowControl/>
              <w:numPr>
                <w:ilvl w:val="0"/>
                <w:numId w:val="0"/>
              </w:numPr>
              <w:jc w:val="left"/>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各项性能指标均有技术支持资料且全部满足招标文件要求的得满分；技术支持资料显示不满足招标文件要求的或未提供技术支持资料的，有一项扣</w:t>
            </w:r>
            <w:r>
              <w:rPr>
                <w:rFonts w:hint="eastAsia" w:asciiTheme="minorEastAsia" w:hAnsiTheme="minorEastAsia" w:eastAsiaTheme="minorEastAsia"/>
                <w:bCs/>
                <w:sz w:val="24"/>
                <w:highlight w:val="none"/>
                <w:lang w:val="en-US" w:eastAsia="zh-CN"/>
              </w:rPr>
              <w:t>3分</w:t>
            </w:r>
            <w:r>
              <w:rPr>
                <w:rFonts w:hint="eastAsia" w:asciiTheme="minorEastAsia" w:hAnsiTheme="minorEastAsia" w:eastAsiaTheme="minorEastAsia"/>
                <w:bCs/>
                <w:sz w:val="24"/>
                <w:highlight w:val="none"/>
              </w:rPr>
              <w:t>，共</w:t>
            </w:r>
            <w:r>
              <w:rPr>
                <w:rFonts w:hint="eastAsia" w:asciiTheme="minorEastAsia" w:hAnsiTheme="minorEastAsia" w:eastAsiaTheme="minorEastAsia"/>
                <w:bCs/>
                <w:sz w:val="24"/>
                <w:highlight w:val="none"/>
                <w:lang w:val="en-US" w:eastAsia="zh-CN"/>
              </w:rPr>
              <w:t>8</w:t>
            </w:r>
            <w:r>
              <w:rPr>
                <w:rFonts w:hint="eastAsia" w:asciiTheme="minorEastAsia" w:hAnsiTheme="minorEastAsia" w:eastAsiaTheme="minorEastAsia"/>
                <w:bCs/>
                <w:sz w:val="24"/>
                <w:highlight w:val="none"/>
              </w:rPr>
              <w:t>项，共</w:t>
            </w:r>
            <w:r>
              <w:rPr>
                <w:rFonts w:hint="eastAsia" w:asciiTheme="minorEastAsia" w:hAnsiTheme="minorEastAsia" w:eastAsiaTheme="minorEastAsia"/>
                <w:bCs/>
                <w:sz w:val="24"/>
                <w:highlight w:val="none"/>
                <w:lang w:val="en-US" w:eastAsia="zh-CN"/>
              </w:rPr>
              <w:t>24</w:t>
            </w:r>
            <w:r>
              <w:rPr>
                <w:rFonts w:hint="eastAsia" w:asciiTheme="minorEastAsia" w:hAnsiTheme="minorEastAsia" w:eastAsiaTheme="minorEastAsia"/>
                <w:bCs/>
                <w:sz w:val="24"/>
                <w:highlight w:val="none"/>
              </w:rPr>
              <w:t>分。（同一项参数不重复扣分）。</w:t>
            </w:r>
          </w:p>
          <w:p w14:paraId="22A6071D">
            <w:pPr>
              <w:widowControl/>
              <w:jc w:val="left"/>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2.根据投标文件与招标文件要求的一般参数（未标记“</w:t>
            </w: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bCs/>
                <w:sz w:val="24"/>
                <w:highlight w:val="none"/>
              </w:rPr>
              <w:t xml:space="preserve">”的技术参数）偏离情况进行评审。 </w:t>
            </w:r>
          </w:p>
          <w:p w14:paraId="5C7B0185">
            <w:pPr>
              <w:widowControl/>
              <w:jc w:val="left"/>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各项性能指标全部满足招标文件要求的得满分；不满足招标文件要求的（以投标文件投标响应表载明的为准），有一项扣</w:t>
            </w:r>
            <w:r>
              <w:rPr>
                <w:rFonts w:hint="eastAsia" w:asciiTheme="minorEastAsia" w:hAnsiTheme="minorEastAsia" w:eastAsiaTheme="minorEastAsia"/>
                <w:bCs/>
                <w:sz w:val="24"/>
                <w:highlight w:val="none"/>
                <w:lang w:val="en-US" w:eastAsia="zh-CN"/>
              </w:rPr>
              <w:t>0.5</w:t>
            </w:r>
            <w:r>
              <w:rPr>
                <w:rFonts w:hint="eastAsia" w:asciiTheme="minorEastAsia" w:hAnsiTheme="minorEastAsia" w:eastAsiaTheme="minorEastAsia"/>
                <w:bCs/>
                <w:sz w:val="24"/>
                <w:highlight w:val="none"/>
              </w:rPr>
              <w:t>分，共</w:t>
            </w:r>
            <w:r>
              <w:rPr>
                <w:rFonts w:hint="eastAsia" w:asciiTheme="minorEastAsia" w:hAnsiTheme="minorEastAsia" w:eastAsiaTheme="minorEastAsia"/>
                <w:bCs/>
                <w:sz w:val="24"/>
                <w:highlight w:val="none"/>
                <w:lang w:val="en-US" w:eastAsia="zh-CN"/>
              </w:rPr>
              <w:t>19</w:t>
            </w:r>
            <w:r>
              <w:rPr>
                <w:rFonts w:hint="eastAsia" w:asciiTheme="minorEastAsia" w:hAnsiTheme="minorEastAsia" w:eastAsiaTheme="minorEastAsia"/>
                <w:bCs/>
                <w:sz w:val="24"/>
                <w:highlight w:val="none"/>
              </w:rPr>
              <w:t>项，共</w:t>
            </w:r>
            <w:r>
              <w:rPr>
                <w:rFonts w:hint="eastAsia" w:asciiTheme="minorEastAsia" w:hAnsiTheme="minorEastAsia" w:eastAsiaTheme="minorEastAsia"/>
                <w:bCs/>
                <w:sz w:val="24"/>
                <w:highlight w:val="none"/>
                <w:lang w:val="en-US" w:eastAsia="zh-CN"/>
              </w:rPr>
              <w:t>9.5</w:t>
            </w:r>
            <w:r>
              <w:rPr>
                <w:rFonts w:hint="eastAsia" w:asciiTheme="minorEastAsia" w:hAnsiTheme="minorEastAsia" w:eastAsiaTheme="minorEastAsia"/>
                <w:bCs/>
                <w:sz w:val="24"/>
                <w:highlight w:val="none"/>
              </w:rPr>
              <w:t>分。（同一项参数不重复扣分）</w:t>
            </w:r>
          </w:p>
          <w:p w14:paraId="5942CE2F">
            <w:pPr>
              <w:widowControl/>
              <w:jc w:val="left"/>
              <w:rPr>
                <w:highlight w:val="none"/>
              </w:rPr>
            </w:pPr>
            <w:r>
              <w:rPr>
                <w:rFonts w:hint="eastAsia" w:asciiTheme="minorEastAsia" w:hAnsiTheme="minorEastAsia" w:eastAsiaTheme="minorEastAsia"/>
                <w:bCs/>
                <w:sz w:val="24"/>
                <w:highlight w:val="none"/>
                <w:lang w:val="en-US" w:eastAsia="zh-CN"/>
              </w:rPr>
              <w:t>3.</w:t>
            </w:r>
            <w:r>
              <w:rPr>
                <w:rFonts w:hint="eastAsia" w:asciiTheme="minorEastAsia" w:hAnsiTheme="minorEastAsia" w:eastAsiaTheme="minorEastAsia"/>
                <w:bCs/>
                <w:sz w:val="24"/>
                <w:highlight w:val="none"/>
              </w:rPr>
              <w:t>重要参数（标记“</w:t>
            </w: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bCs/>
                <w:sz w:val="24"/>
                <w:highlight w:val="none"/>
              </w:rPr>
              <w:t>”的技术参数）</w:t>
            </w:r>
            <w:r>
              <w:rPr>
                <w:rFonts w:hint="eastAsia" w:asciiTheme="minorEastAsia" w:hAnsiTheme="minorEastAsia" w:eastAsiaTheme="minorEastAsia"/>
                <w:b w:val="0"/>
                <w:bCs/>
                <w:sz w:val="24"/>
                <w:highlight w:val="none"/>
                <w:lang w:val="en-US" w:eastAsia="zh-CN"/>
              </w:rPr>
              <w:t>负偏离3项及以上的，第1小项不得分，</w:t>
            </w:r>
            <w:r>
              <w:rPr>
                <w:rFonts w:hint="eastAsia" w:asciiTheme="minorEastAsia" w:hAnsiTheme="minorEastAsia" w:eastAsiaTheme="minorEastAsia"/>
                <w:bCs/>
                <w:sz w:val="24"/>
                <w:highlight w:val="none"/>
              </w:rPr>
              <w:t>一般参数（未标记“</w:t>
            </w: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bCs/>
                <w:sz w:val="24"/>
                <w:highlight w:val="none"/>
              </w:rPr>
              <w:t>”的技术参数）</w:t>
            </w:r>
            <w:r>
              <w:rPr>
                <w:rFonts w:hint="eastAsia" w:asciiTheme="minorEastAsia" w:hAnsiTheme="minorEastAsia" w:eastAsiaTheme="minorEastAsia"/>
                <w:b w:val="0"/>
                <w:bCs/>
                <w:sz w:val="24"/>
                <w:highlight w:val="none"/>
                <w:lang w:val="en-US" w:eastAsia="zh-CN"/>
              </w:rPr>
              <w:t>负偏离6项及以上的，第2小项不得分。全部参数负偏离9项及以上的，此项技术参数及要求响应情况不得分。</w:t>
            </w:r>
          </w:p>
          <w:p w14:paraId="08E0A5C0">
            <w:pPr>
              <w:widowControl/>
              <w:jc w:val="left"/>
              <w:rPr>
                <w:rFonts w:ascii="宋体" w:hAnsi="宋体" w:eastAsia="宋体"/>
                <w:bCs/>
                <w:sz w:val="24"/>
                <w:highlight w:val="none"/>
              </w:rPr>
            </w:pPr>
            <w:r>
              <w:rPr>
                <w:rFonts w:hint="eastAsia" w:asciiTheme="minorEastAsia" w:hAnsiTheme="minorEastAsia" w:eastAsiaTheme="minorEastAsia"/>
                <w:b/>
                <w:sz w:val="24"/>
                <w:highlight w:val="none"/>
              </w:rPr>
              <w:t>注：以技术规格偏离表和要求提供的证明资料为准。未标注</w:t>
            </w:r>
            <w:r>
              <w:rPr>
                <w:rFonts w:hint="eastAsia" w:ascii="宋体" w:hAnsi="宋体" w:eastAsia="宋体" w:cs="宋体"/>
                <w:color w:val="000000"/>
                <w:kern w:val="0"/>
                <w:sz w:val="24"/>
                <w:szCs w:val="24"/>
                <w:highlight w:val="none"/>
                <w:lang w:bidi="ar"/>
              </w:rPr>
              <w:t>“</w:t>
            </w:r>
            <w:r>
              <w:rPr>
                <w:rFonts w:hint="eastAsia" w:ascii="宋体" w:hAnsi="宋体" w:eastAsia="宋体" w:cs="宋体"/>
                <w:bCs/>
                <w:color w:val="000000"/>
                <w:kern w:val="0"/>
                <w:sz w:val="24"/>
                <w:szCs w:val="24"/>
                <w:highlight w:val="none"/>
              </w:rPr>
              <w:t>▲</w:t>
            </w:r>
            <w:r>
              <w:rPr>
                <w:rFonts w:hint="eastAsia" w:ascii="宋体" w:hAnsi="宋体" w:eastAsia="宋体" w:cs="宋体"/>
                <w:color w:val="000000"/>
                <w:kern w:val="0"/>
                <w:sz w:val="24"/>
                <w:szCs w:val="24"/>
                <w:highlight w:val="none"/>
                <w:lang w:bidi="ar"/>
              </w:rPr>
              <w:t>”</w:t>
            </w:r>
            <w:r>
              <w:rPr>
                <w:rFonts w:hint="eastAsia" w:asciiTheme="minorEastAsia" w:hAnsiTheme="minorEastAsia" w:eastAsiaTheme="minorEastAsia"/>
                <w:b/>
                <w:sz w:val="24"/>
                <w:highlight w:val="none"/>
              </w:rPr>
              <w:t>的技术参数响应情况以技术规格偏离表中的响应情况为准；标注</w:t>
            </w:r>
            <w:r>
              <w:rPr>
                <w:rFonts w:hint="eastAsia" w:ascii="宋体" w:hAnsi="宋体" w:eastAsia="宋体" w:cs="宋体"/>
                <w:color w:val="000000"/>
                <w:kern w:val="0"/>
                <w:sz w:val="24"/>
                <w:szCs w:val="24"/>
                <w:highlight w:val="none"/>
                <w:lang w:bidi="ar"/>
              </w:rPr>
              <w:t>“</w:t>
            </w:r>
            <w:r>
              <w:rPr>
                <w:rFonts w:hint="eastAsia" w:ascii="宋体" w:hAnsi="宋体" w:eastAsia="宋体" w:cs="宋体"/>
                <w:bCs/>
                <w:color w:val="000000"/>
                <w:kern w:val="0"/>
                <w:sz w:val="24"/>
                <w:szCs w:val="24"/>
                <w:highlight w:val="none"/>
              </w:rPr>
              <w:t>▲</w:t>
            </w:r>
            <w:r>
              <w:rPr>
                <w:rFonts w:hint="eastAsia" w:ascii="宋体" w:hAnsi="宋体" w:eastAsia="宋体" w:cs="宋体"/>
                <w:color w:val="000000"/>
                <w:kern w:val="0"/>
                <w:sz w:val="24"/>
                <w:szCs w:val="24"/>
                <w:highlight w:val="none"/>
                <w:lang w:bidi="ar"/>
              </w:rPr>
              <w:t>”</w:t>
            </w:r>
            <w:r>
              <w:rPr>
                <w:rFonts w:hint="eastAsia" w:asciiTheme="minorEastAsia" w:hAnsiTheme="minorEastAsia" w:eastAsiaTheme="minorEastAsia"/>
                <w:b/>
                <w:sz w:val="24"/>
                <w:highlight w:val="none"/>
              </w:rPr>
              <w:t>的条款，须提供相关证明材料，如招标文件中明确要求证明材料类型，则以招标文件明确要求的材料为准，如未明确证明材料的类型，则以技术支持资料作为评审依据，技术支持资料包括：医疗器械注册证、具有“CMA”标识且在有效期内的检测或检验报告扫描件或者由放射卫生技术服务机构出具的且在有效期内的检测或检验报告并提供卫健委官网查询截图、技术彩页、技术白皮书、官网截图等，提供其中之一即可。</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0BA99335">
            <w:pPr>
              <w:spacing w:line="360" w:lineRule="auto"/>
              <w:jc w:val="center"/>
              <w:rPr>
                <w:rFonts w:ascii="宋体" w:hAnsi="宋体" w:eastAsia="宋体"/>
                <w:b/>
                <w:bCs/>
                <w:sz w:val="24"/>
                <w:highlight w:val="none"/>
              </w:rPr>
            </w:pPr>
            <w:r>
              <w:rPr>
                <w:rFonts w:hint="eastAsia" w:ascii="宋体" w:hAnsi="宋体" w:eastAsia="宋体"/>
                <w:bCs/>
                <w:sz w:val="24"/>
                <w:highlight w:val="none"/>
              </w:rPr>
              <w:t>0-</w:t>
            </w:r>
            <w:r>
              <w:rPr>
                <w:rFonts w:hint="eastAsia" w:ascii="宋体" w:hAnsi="宋体" w:eastAsia="宋体"/>
                <w:bCs/>
                <w:sz w:val="24"/>
                <w:highlight w:val="none"/>
                <w:lang w:val="en-US" w:eastAsia="zh-CN"/>
              </w:rPr>
              <w:t>33.5</w:t>
            </w:r>
            <w:r>
              <w:rPr>
                <w:rFonts w:hint="eastAsia" w:ascii="宋体" w:hAnsi="宋体" w:eastAsia="宋体"/>
                <w:bCs/>
                <w:sz w:val="24"/>
                <w:highlight w:val="none"/>
              </w:rPr>
              <w:t>分</w:t>
            </w:r>
          </w:p>
        </w:tc>
      </w:tr>
      <w:tr w14:paraId="22232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tcBorders>
              <w:left w:val="single" w:color="auto" w:sz="4" w:space="0"/>
              <w:right w:val="single" w:color="auto" w:sz="4" w:space="0"/>
            </w:tcBorders>
            <w:noWrap w:val="0"/>
            <w:vAlign w:val="center"/>
          </w:tcPr>
          <w:p w14:paraId="018C0774">
            <w:pPr>
              <w:spacing w:line="360" w:lineRule="auto"/>
              <w:ind w:firstLine="435"/>
              <w:jc w:val="center"/>
              <w:rPr>
                <w:rFonts w:ascii="宋体" w:hAnsi="宋体" w:eastAsia="宋体"/>
                <w:b/>
                <w:bCs/>
                <w:sz w:val="24"/>
                <w:highlight w:val="none"/>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14:paraId="679C7246">
            <w:pPr>
              <w:spacing w:line="360" w:lineRule="auto"/>
              <w:jc w:val="center"/>
              <w:rPr>
                <w:rFonts w:ascii="宋体" w:hAnsi="宋体" w:eastAsia="宋体"/>
                <w:sz w:val="24"/>
                <w:highlight w:val="none"/>
              </w:rPr>
            </w:pPr>
            <w:r>
              <w:rPr>
                <w:rFonts w:hint="eastAsia" w:ascii="宋体" w:hAnsi="宋体" w:eastAsia="宋体"/>
                <w:sz w:val="24"/>
                <w:highlight w:val="none"/>
              </w:rPr>
              <w:t>产品业绩</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7FFE5F86">
            <w:pPr>
              <w:jc w:val="left"/>
              <w:rPr>
                <w:rFonts w:ascii="宋体" w:hAnsi="宋体" w:eastAsia="宋体"/>
                <w:sz w:val="24"/>
                <w:highlight w:val="none"/>
              </w:rPr>
            </w:pPr>
            <w:r>
              <w:rPr>
                <w:rFonts w:hint="eastAsia" w:ascii="宋体" w:hAnsi="宋体" w:eastAsia="宋体"/>
                <w:sz w:val="24"/>
                <w:highlight w:val="none"/>
              </w:rPr>
              <w:t>202</w:t>
            </w:r>
            <w:r>
              <w:rPr>
                <w:rFonts w:hint="eastAsia" w:ascii="宋体" w:hAnsi="宋体" w:eastAsia="宋体"/>
                <w:sz w:val="24"/>
                <w:highlight w:val="none"/>
                <w:lang w:val="en-US" w:eastAsia="zh-CN"/>
              </w:rPr>
              <w:t>2</w:t>
            </w:r>
            <w:r>
              <w:rPr>
                <w:rFonts w:hint="eastAsia" w:ascii="宋体" w:hAnsi="宋体" w:eastAsia="宋体"/>
                <w:sz w:val="24"/>
                <w:highlight w:val="none"/>
              </w:rPr>
              <w:t>年01月01日至今（以合同签订时间为准），具有所投</w:t>
            </w:r>
            <w:r>
              <w:rPr>
                <w:rFonts w:hint="eastAsia" w:ascii="宋体" w:hAnsi="宋体" w:eastAsia="宋体"/>
                <w:sz w:val="24"/>
                <w:highlight w:val="none"/>
                <w:lang w:eastAsia="zh-CN"/>
              </w:rPr>
              <w:t>设备</w:t>
            </w:r>
            <w:r>
              <w:rPr>
                <w:rFonts w:hint="eastAsia" w:ascii="宋体" w:hAnsi="宋体" w:eastAsia="宋体"/>
                <w:sz w:val="24"/>
                <w:highlight w:val="none"/>
              </w:rPr>
              <w:t>产品（</w:t>
            </w:r>
            <w:r>
              <w:rPr>
                <w:rFonts w:hint="eastAsia" w:ascii="宋体" w:hAnsi="宋体" w:eastAsia="宋体"/>
                <w:b/>
                <w:bCs/>
                <w:sz w:val="24"/>
                <w:highlight w:val="none"/>
              </w:rPr>
              <w:t>同品牌同型号</w:t>
            </w:r>
            <w:r>
              <w:rPr>
                <w:rFonts w:hint="eastAsia" w:ascii="宋体" w:hAnsi="宋体" w:eastAsia="宋体"/>
                <w:b/>
                <w:bCs/>
                <w:sz w:val="24"/>
                <w:highlight w:val="none"/>
                <w:lang w:eastAsia="zh-CN"/>
              </w:rPr>
              <w:t>，</w:t>
            </w:r>
            <w:r>
              <w:rPr>
                <w:rFonts w:hint="eastAsia" w:ascii="宋体" w:hAnsi="宋体" w:eastAsia="宋体"/>
                <w:b/>
                <w:bCs/>
                <w:sz w:val="24"/>
                <w:highlight w:val="none"/>
                <w:lang w:val="en-US" w:eastAsia="zh-CN"/>
              </w:rPr>
              <w:t>至少包括高端平板便携式彩色多普勒超声系统</w:t>
            </w:r>
            <w:r>
              <w:rPr>
                <w:rFonts w:hint="eastAsia" w:ascii="宋体" w:hAnsi="宋体" w:eastAsia="宋体"/>
                <w:sz w:val="24"/>
                <w:highlight w:val="none"/>
              </w:rPr>
              <w:t>）的供货业绩，每提供一个业绩得</w:t>
            </w:r>
            <w:r>
              <w:rPr>
                <w:rFonts w:hint="eastAsia" w:ascii="宋体" w:hAnsi="宋体" w:eastAsia="宋体"/>
                <w:sz w:val="24"/>
                <w:highlight w:val="none"/>
                <w:lang w:val="en-US" w:eastAsia="zh-CN"/>
              </w:rPr>
              <w:t>1</w:t>
            </w:r>
            <w:r>
              <w:rPr>
                <w:rFonts w:hint="eastAsia" w:ascii="宋体" w:hAnsi="宋体" w:eastAsia="宋体"/>
                <w:sz w:val="24"/>
                <w:highlight w:val="none"/>
              </w:rPr>
              <w:t>分，满分</w:t>
            </w:r>
            <w:r>
              <w:rPr>
                <w:rFonts w:hint="eastAsia" w:ascii="宋体" w:hAnsi="宋体" w:eastAsia="宋体"/>
                <w:sz w:val="24"/>
                <w:highlight w:val="none"/>
                <w:lang w:val="en-US" w:eastAsia="zh-CN"/>
              </w:rPr>
              <w:t>3</w:t>
            </w:r>
            <w:r>
              <w:rPr>
                <w:rFonts w:hint="eastAsia" w:ascii="宋体" w:hAnsi="宋体" w:eastAsia="宋体"/>
                <w:sz w:val="24"/>
                <w:highlight w:val="none"/>
              </w:rPr>
              <w:t>分。</w:t>
            </w:r>
          </w:p>
          <w:p w14:paraId="78A937A7">
            <w:pPr>
              <w:jc w:val="left"/>
              <w:rPr>
                <w:rFonts w:ascii="宋体" w:hAnsi="宋体" w:eastAsia="宋体"/>
                <w:sz w:val="24"/>
                <w:highlight w:val="none"/>
              </w:rPr>
            </w:pPr>
            <w:r>
              <w:rPr>
                <w:rFonts w:hint="eastAsia" w:ascii="宋体" w:hAnsi="宋体" w:eastAsia="宋体"/>
                <w:b/>
                <w:bCs/>
                <w:sz w:val="24"/>
                <w:highlight w:val="none"/>
              </w:rPr>
              <w:t>注：投标文件中提供合同扫描件。如合同材料中无法体现合同签订时间等评审因素的，须同时提供业主单位加盖公章证明材料扫描件，否则不得分；特别说明：此处业绩系指所投产品业绩，业绩合同中产品须与所投产品品牌型号一致。</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40E30D9D">
            <w:pPr>
              <w:spacing w:line="360" w:lineRule="auto"/>
              <w:jc w:val="center"/>
              <w:rPr>
                <w:rFonts w:ascii="宋体" w:hAnsi="宋体" w:eastAsia="宋体"/>
                <w:b/>
                <w:bCs/>
                <w:sz w:val="24"/>
                <w:highlight w:val="none"/>
              </w:rPr>
            </w:pPr>
            <w:r>
              <w:rPr>
                <w:rFonts w:hint="eastAsia" w:ascii="宋体" w:hAnsi="宋体" w:eastAsia="宋体"/>
                <w:bCs/>
                <w:sz w:val="24"/>
                <w:highlight w:val="none"/>
              </w:rPr>
              <w:t>0-</w:t>
            </w:r>
            <w:r>
              <w:rPr>
                <w:rFonts w:hint="eastAsia" w:ascii="宋体" w:hAnsi="宋体" w:eastAsia="宋体"/>
                <w:bCs/>
                <w:sz w:val="24"/>
                <w:highlight w:val="none"/>
                <w:lang w:val="en-US" w:eastAsia="zh-CN"/>
              </w:rPr>
              <w:t>3</w:t>
            </w:r>
            <w:r>
              <w:rPr>
                <w:rFonts w:hint="eastAsia" w:ascii="宋体" w:hAnsi="宋体" w:eastAsia="宋体"/>
                <w:bCs/>
                <w:sz w:val="24"/>
                <w:highlight w:val="none"/>
              </w:rPr>
              <w:t>分</w:t>
            </w:r>
          </w:p>
        </w:tc>
      </w:tr>
      <w:tr w14:paraId="11CD9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tcBorders>
              <w:left w:val="single" w:color="auto" w:sz="4" w:space="0"/>
              <w:right w:val="single" w:color="auto" w:sz="4" w:space="0"/>
            </w:tcBorders>
            <w:noWrap w:val="0"/>
            <w:vAlign w:val="center"/>
          </w:tcPr>
          <w:p w14:paraId="11A33B62">
            <w:pPr>
              <w:spacing w:line="360" w:lineRule="auto"/>
              <w:ind w:firstLine="435"/>
              <w:jc w:val="center"/>
              <w:rPr>
                <w:rFonts w:ascii="宋体" w:hAnsi="宋体" w:eastAsia="宋体"/>
                <w:b/>
                <w:bCs/>
                <w:sz w:val="24"/>
                <w:highlight w:val="none"/>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14:paraId="7BB29EB9">
            <w:pPr>
              <w:spacing w:line="360" w:lineRule="auto"/>
              <w:jc w:val="center"/>
              <w:rPr>
                <w:rFonts w:ascii="宋体" w:hAnsi="宋体" w:eastAsia="宋体"/>
                <w:sz w:val="24"/>
                <w:highlight w:val="none"/>
              </w:rPr>
            </w:pPr>
            <w:r>
              <w:rPr>
                <w:rFonts w:hint="eastAsia" w:ascii="宋体" w:hAnsi="宋体" w:eastAsia="宋体"/>
                <w:sz w:val="24"/>
                <w:highlight w:val="none"/>
              </w:rPr>
              <w:t>免费质保期</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66A9DFDE">
            <w:pPr>
              <w:jc w:val="left"/>
              <w:rPr>
                <w:rFonts w:ascii="宋体" w:hAnsi="宋体" w:eastAsia="宋体"/>
                <w:sz w:val="24"/>
                <w:highlight w:val="none"/>
              </w:rPr>
            </w:pPr>
            <w:r>
              <w:rPr>
                <w:rFonts w:hint="eastAsia" w:ascii="宋体" w:hAnsi="宋体" w:eastAsia="宋体"/>
                <w:sz w:val="24"/>
                <w:highlight w:val="none"/>
              </w:rPr>
              <w:t>投标人在满足招标文件要求的免费质保期（</w:t>
            </w:r>
            <w:r>
              <w:rPr>
                <w:rFonts w:hint="eastAsia" w:ascii="宋体" w:hAnsi="宋体" w:eastAsia="宋体"/>
                <w:b/>
                <w:bCs/>
                <w:sz w:val="24"/>
                <w:highlight w:val="none"/>
              </w:rPr>
              <w:t>5年</w:t>
            </w:r>
            <w:r>
              <w:rPr>
                <w:rFonts w:hint="eastAsia" w:ascii="宋体" w:hAnsi="宋体" w:eastAsia="宋体"/>
                <w:b/>
                <w:bCs/>
                <w:sz w:val="24"/>
                <w:highlight w:val="none"/>
                <w:lang w:eastAsia="zh-CN"/>
              </w:rPr>
              <w:t>整机</w:t>
            </w:r>
            <w:r>
              <w:rPr>
                <w:rFonts w:hint="eastAsia" w:ascii="宋体" w:hAnsi="宋体" w:eastAsia="宋体"/>
                <w:b/>
                <w:bCs/>
                <w:sz w:val="24"/>
                <w:highlight w:val="none"/>
              </w:rPr>
              <w:t>原厂质保</w:t>
            </w:r>
            <w:r>
              <w:rPr>
                <w:rFonts w:hint="eastAsia" w:ascii="宋体" w:hAnsi="宋体" w:eastAsia="宋体"/>
                <w:sz w:val="24"/>
                <w:highlight w:val="none"/>
              </w:rPr>
              <w:t>）的基础上，免费质保期每增加1年整机</w:t>
            </w:r>
            <w:r>
              <w:rPr>
                <w:rFonts w:hint="eastAsia" w:ascii="宋体" w:hAnsi="宋体" w:eastAsia="宋体"/>
                <w:b w:val="0"/>
                <w:bCs w:val="0"/>
                <w:sz w:val="24"/>
                <w:highlight w:val="none"/>
              </w:rPr>
              <w:t>原厂质保</w:t>
            </w:r>
            <w:r>
              <w:rPr>
                <w:rFonts w:hint="eastAsia" w:ascii="宋体" w:hAnsi="宋体" w:eastAsia="宋体"/>
                <w:sz w:val="24"/>
                <w:highlight w:val="none"/>
              </w:rPr>
              <w:t>的，加</w:t>
            </w:r>
            <w:r>
              <w:rPr>
                <w:rFonts w:hint="eastAsia" w:ascii="宋体" w:hAnsi="宋体" w:eastAsia="宋体"/>
                <w:sz w:val="24"/>
                <w:highlight w:val="none"/>
                <w:lang w:val="en-US" w:eastAsia="zh-CN"/>
              </w:rPr>
              <w:t>2.75</w:t>
            </w:r>
            <w:r>
              <w:rPr>
                <w:rFonts w:hint="eastAsia" w:ascii="宋体" w:hAnsi="宋体" w:eastAsia="宋体"/>
                <w:sz w:val="24"/>
                <w:highlight w:val="none"/>
              </w:rPr>
              <w:t>分，最高加</w:t>
            </w:r>
            <w:r>
              <w:rPr>
                <w:rFonts w:hint="eastAsia" w:ascii="宋体" w:hAnsi="宋体" w:eastAsia="宋体"/>
                <w:sz w:val="24"/>
                <w:highlight w:val="none"/>
                <w:lang w:val="en-US" w:eastAsia="zh-CN"/>
              </w:rPr>
              <w:t>5.5</w:t>
            </w:r>
            <w:r>
              <w:rPr>
                <w:rFonts w:hint="eastAsia" w:ascii="宋体" w:hAnsi="宋体" w:eastAsia="宋体"/>
                <w:sz w:val="24"/>
                <w:highlight w:val="none"/>
              </w:rPr>
              <w:t>分（增加不足1年的不加分）。</w:t>
            </w:r>
          </w:p>
          <w:p w14:paraId="0BE78B49">
            <w:pPr>
              <w:jc w:val="left"/>
              <w:rPr>
                <w:rFonts w:ascii="宋体" w:hAnsi="宋体" w:eastAsia="宋体"/>
                <w:sz w:val="24"/>
                <w:highlight w:val="none"/>
              </w:rPr>
            </w:pPr>
            <w:r>
              <w:rPr>
                <w:rFonts w:hint="eastAsia" w:ascii="宋体" w:hAnsi="宋体" w:eastAsia="宋体"/>
                <w:b/>
                <w:bCs/>
                <w:sz w:val="24"/>
                <w:highlight w:val="none"/>
              </w:rPr>
              <w:t>注：以《商务响应表》中填写的质保期作为评审依据。</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3ED5C206">
            <w:pPr>
              <w:spacing w:line="360" w:lineRule="auto"/>
              <w:jc w:val="center"/>
              <w:rPr>
                <w:rFonts w:ascii="宋体" w:hAnsi="宋体" w:eastAsia="宋体"/>
                <w:b/>
                <w:bCs/>
                <w:sz w:val="24"/>
                <w:highlight w:val="none"/>
              </w:rPr>
            </w:pPr>
            <w:r>
              <w:rPr>
                <w:rFonts w:hint="eastAsia" w:ascii="宋体" w:hAnsi="宋体" w:eastAsia="宋体"/>
                <w:bCs/>
                <w:sz w:val="24"/>
                <w:highlight w:val="none"/>
              </w:rPr>
              <w:t>0-</w:t>
            </w:r>
            <w:r>
              <w:rPr>
                <w:rFonts w:hint="eastAsia" w:ascii="宋体" w:hAnsi="宋体" w:eastAsia="宋体"/>
                <w:bCs/>
                <w:sz w:val="24"/>
                <w:highlight w:val="none"/>
                <w:lang w:val="en-US" w:eastAsia="zh-CN"/>
              </w:rPr>
              <w:t>5.5</w:t>
            </w:r>
            <w:r>
              <w:rPr>
                <w:rFonts w:hint="eastAsia" w:ascii="宋体" w:hAnsi="宋体" w:eastAsia="宋体"/>
                <w:bCs/>
                <w:sz w:val="24"/>
                <w:highlight w:val="none"/>
              </w:rPr>
              <w:t>分</w:t>
            </w:r>
          </w:p>
        </w:tc>
      </w:tr>
      <w:tr w14:paraId="242AE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tcBorders>
              <w:left w:val="single" w:color="auto" w:sz="4" w:space="0"/>
              <w:right w:val="single" w:color="auto" w:sz="4" w:space="0"/>
            </w:tcBorders>
            <w:noWrap w:val="0"/>
            <w:vAlign w:val="center"/>
          </w:tcPr>
          <w:p w14:paraId="78BF8AD3">
            <w:pPr>
              <w:spacing w:line="360" w:lineRule="auto"/>
              <w:ind w:firstLine="435"/>
              <w:jc w:val="center"/>
              <w:rPr>
                <w:rFonts w:ascii="宋体" w:hAnsi="宋体" w:eastAsia="宋体"/>
                <w:b/>
                <w:bCs/>
                <w:sz w:val="24"/>
                <w:highlight w:val="none"/>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14:paraId="2C511818">
            <w:pPr>
              <w:spacing w:line="360" w:lineRule="auto"/>
              <w:jc w:val="center"/>
              <w:rPr>
                <w:rFonts w:ascii="宋体" w:hAnsi="宋体" w:eastAsia="宋体"/>
                <w:sz w:val="24"/>
                <w:highlight w:val="none"/>
              </w:rPr>
            </w:pPr>
            <w:r>
              <w:rPr>
                <w:rFonts w:hint="eastAsia" w:ascii="宋体" w:hAnsi="宋体" w:eastAsia="宋体"/>
                <w:sz w:val="24"/>
                <w:highlight w:val="none"/>
              </w:rPr>
              <w:t>产品技术先</w:t>
            </w:r>
          </w:p>
          <w:p w14:paraId="29506FA6">
            <w:pPr>
              <w:spacing w:line="360" w:lineRule="auto"/>
              <w:jc w:val="center"/>
              <w:rPr>
                <w:rFonts w:ascii="宋体" w:hAnsi="宋体" w:eastAsia="宋体"/>
                <w:sz w:val="24"/>
                <w:highlight w:val="none"/>
              </w:rPr>
            </w:pPr>
            <w:r>
              <w:rPr>
                <w:rFonts w:hint="eastAsia" w:ascii="宋体" w:hAnsi="宋体" w:eastAsia="宋体"/>
                <w:sz w:val="24"/>
                <w:highlight w:val="none"/>
              </w:rPr>
              <w:t>进性及维修</w:t>
            </w:r>
          </w:p>
          <w:p w14:paraId="1A5D70D2">
            <w:pPr>
              <w:spacing w:line="360" w:lineRule="auto"/>
              <w:jc w:val="center"/>
              <w:rPr>
                <w:rFonts w:ascii="宋体" w:hAnsi="宋体" w:eastAsia="宋体"/>
                <w:sz w:val="24"/>
                <w:highlight w:val="none"/>
              </w:rPr>
            </w:pPr>
            <w:r>
              <w:rPr>
                <w:rFonts w:hint="eastAsia" w:ascii="宋体" w:hAnsi="宋体" w:eastAsia="宋体"/>
                <w:sz w:val="24"/>
                <w:highlight w:val="none"/>
              </w:rPr>
              <w:t>便利性等</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4664DBA5">
            <w:pPr>
              <w:widowControl/>
              <w:jc w:val="left"/>
              <w:rPr>
                <w:highlight w:val="none"/>
              </w:rPr>
            </w:pPr>
            <w:r>
              <w:rPr>
                <w:rFonts w:hint="eastAsia" w:ascii="宋体" w:hAnsi="宋体" w:eastAsia="宋体" w:cs="宋体"/>
                <w:color w:val="000000"/>
                <w:kern w:val="0"/>
                <w:sz w:val="24"/>
                <w:szCs w:val="24"/>
                <w:highlight w:val="none"/>
                <w:lang w:bidi="ar"/>
              </w:rPr>
              <w:t xml:space="preserve">根据投标人所投产品的技术先进性、设备性能、维修便利性、故障率、安全性等方面进行综合评审： </w:t>
            </w:r>
          </w:p>
          <w:p w14:paraId="059E0D55">
            <w:pPr>
              <w:widowControl/>
              <w:jc w:val="left"/>
              <w:rPr>
                <w:highlight w:val="none"/>
              </w:rPr>
            </w:pPr>
            <w:r>
              <w:rPr>
                <w:rFonts w:hint="eastAsia" w:ascii="宋体" w:hAnsi="宋体" w:eastAsia="宋体" w:cs="宋体"/>
                <w:color w:val="000000"/>
                <w:kern w:val="0"/>
                <w:sz w:val="24"/>
                <w:szCs w:val="24"/>
                <w:highlight w:val="none"/>
                <w:lang w:bidi="ar"/>
              </w:rPr>
              <w:t>1、所投产品技术先进优越、性能稳定的得</w:t>
            </w:r>
            <w:r>
              <w:rPr>
                <w:rFonts w:hint="eastAsia" w:ascii="宋体" w:hAnsi="宋体" w:eastAsia="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bidi="ar"/>
              </w:rPr>
              <w:t>分；所投产品技术较先进，运行稳定的得</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分；所投产品基本满足要求符合标准的得</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bidi="ar"/>
              </w:rPr>
              <w:t xml:space="preserve">分。 </w:t>
            </w:r>
          </w:p>
          <w:p w14:paraId="3447E494">
            <w:pPr>
              <w:widowControl/>
              <w:jc w:val="left"/>
              <w:rPr>
                <w:highlight w:val="none"/>
              </w:rPr>
            </w:pPr>
            <w:r>
              <w:rPr>
                <w:rFonts w:hint="eastAsia" w:ascii="宋体" w:hAnsi="宋体" w:eastAsia="宋体" w:cs="宋体"/>
                <w:color w:val="000000"/>
                <w:kern w:val="0"/>
                <w:sz w:val="24"/>
                <w:szCs w:val="24"/>
                <w:highlight w:val="none"/>
                <w:lang w:bidi="ar"/>
              </w:rPr>
              <w:t xml:space="preserve">2、所投产品维修便利，故障率低、安全性高的得 </w:t>
            </w:r>
            <w:r>
              <w:rPr>
                <w:rFonts w:hint="eastAsia" w:ascii="宋体" w:hAnsi="宋体" w:eastAsia="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bidi="ar"/>
              </w:rPr>
              <w:t>分；所投产品维修较便利，故障率较低的得</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分；所投产品维修便利性有待提高的得</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bidi="ar"/>
              </w:rPr>
              <w:t xml:space="preserve">分。 </w:t>
            </w:r>
          </w:p>
          <w:p w14:paraId="68369A55">
            <w:pPr>
              <w:widowControl/>
              <w:jc w:val="left"/>
              <w:rPr>
                <w:rFonts w:ascii="宋体" w:hAnsi="宋体" w:eastAsia="宋体"/>
                <w:sz w:val="24"/>
                <w:highlight w:val="none"/>
              </w:rPr>
            </w:pPr>
            <w:r>
              <w:rPr>
                <w:rFonts w:hint="eastAsia" w:ascii="宋体" w:hAnsi="宋体" w:eastAsia="宋体" w:cs="宋体"/>
                <w:b/>
                <w:bCs/>
                <w:color w:val="000000"/>
                <w:kern w:val="0"/>
                <w:sz w:val="24"/>
                <w:szCs w:val="24"/>
                <w:highlight w:val="none"/>
                <w:lang w:bidi="ar"/>
              </w:rPr>
              <w:t>注：投标文件中提供证明材料，证明材料无固定形式，如产品技术说明，故障率、维修使用等说明，未提供任何材料的不得分。</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71F90936">
            <w:pPr>
              <w:spacing w:line="360" w:lineRule="auto"/>
              <w:jc w:val="center"/>
              <w:rPr>
                <w:rFonts w:ascii="宋体" w:hAnsi="宋体" w:eastAsia="宋体"/>
                <w:b/>
                <w:bCs/>
                <w:sz w:val="24"/>
                <w:highlight w:val="none"/>
              </w:rPr>
            </w:pPr>
            <w:r>
              <w:rPr>
                <w:rFonts w:hint="eastAsia" w:ascii="宋体" w:hAnsi="宋体" w:eastAsia="宋体"/>
                <w:bCs/>
                <w:sz w:val="24"/>
                <w:highlight w:val="none"/>
              </w:rPr>
              <w:t>0-</w:t>
            </w:r>
            <w:r>
              <w:rPr>
                <w:rFonts w:hint="eastAsia" w:ascii="宋体" w:hAnsi="宋体" w:eastAsia="宋体"/>
                <w:bCs/>
                <w:sz w:val="24"/>
                <w:highlight w:val="none"/>
                <w:lang w:val="en-US" w:eastAsia="zh-CN"/>
              </w:rPr>
              <w:t>8</w:t>
            </w:r>
            <w:r>
              <w:rPr>
                <w:rFonts w:hint="eastAsia" w:ascii="宋体" w:hAnsi="宋体" w:eastAsia="宋体"/>
                <w:bCs/>
                <w:sz w:val="24"/>
                <w:highlight w:val="none"/>
              </w:rPr>
              <w:t>分</w:t>
            </w:r>
          </w:p>
        </w:tc>
      </w:tr>
      <w:tr w14:paraId="563B1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tcBorders>
              <w:left w:val="single" w:color="auto" w:sz="4" w:space="0"/>
              <w:right w:val="single" w:color="auto" w:sz="4" w:space="0"/>
            </w:tcBorders>
            <w:noWrap w:val="0"/>
            <w:vAlign w:val="center"/>
          </w:tcPr>
          <w:p w14:paraId="26CA22AC">
            <w:pPr>
              <w:spacing w:line="360" w:lineRule="auto"/>
              <w:ind w:firstLine="435"/>
              <w:jc w:val="center"/>
              <w:rPr>
                <w:rFonts w:ascii="宋体" w:hAnsi="宋体" w:eastAsia="宋体"/>
                <w:b/>
                <w:bCs/>
                <w:sz w:val="24"/>
                <w:highlight w:val="none"/>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14:paraId="03A0DA9A">
            <w:pPr>
              <w:spacing w:line="360" w:lineRule="auto"/>
              <w:jc w:val="center"/>
              <w:rPr>
                <w:rFonts w:ascii="宋体" w:hAnsi="宋体" w:eastAsia="宋体"/>
                <w:sz w:val="24"/>
                <w:highlight w:val="none"/>
              </w:rPr>
            </w:pPr>
            <w:r>
              <w:rPr>
                <w:rFonts w:hint="eastAsia" w:ascii="宋体" w:hAnsi="宋体" w:eastAsia="宋体"/>
                <w:sz w:val="24"/>
                <w:highlight w:val="none"/>
              </w:rPr>
              <w:t>供货安装及调试方案</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79AD0BFD">
            <w:pPr>
              <w:rPr>
                <w:rFonts w:ascii="宋体" w:hAnsi="宋体" w:eastAsia="宋体"/>
                <w:sz w:val="24"/>
                <w:highlight w:val="none"/>
              </w:rPr>
            </w:pPr>
            <w:r>
              <w:rPr>
                <w:rFonts w:hint="eastAsia" w:ascii="宋体" w:hAnsi="宋体" w:eastAsia="宋体"/>
                <w:sz w:val="24"/>
                <w:highlight w:val="none"/>
              </w:rPr>
              <w:t>评标委员会根据投标人提供的供货安装及调试方案进行评分，内容包括但不限于供货安装计划、调试流程、安全措施等方面。</w:t>
            </w:r>
          </w:p>
          <w:p w14:paraId="33E53C1B">
            <w:pPr>
              <w:rPr>
                <w:rFonts w:ascii="宋体" w:hAnsi="宋体" w:eastAsia="宋体"/>
                <w:sz w:val="24"/>
                <w:highlight w:val="none"/>
              </w:rPr>
            </w:pPr>
            <w:r>
              <w:rPr>
                <w:rFonts w:hint="eastAsia" w:ascii="宋体" w:hAnsi="宋体" w:eastAsia="宋体"/>
                <w:sz w:val="24"/>
                <w:highlight w:val="none"/>
                <w:lang w:val="en-US" w:eastAsia="zh-CN"/>
              </w:rPr>
              <w:t>1、</w:t>
            </w:r>
            <w:r>
              <w:rPr>
                <w:rFonts w:hint="eastAsia" w:ascii="宋体" w:hAnsi="宋体" w:eastAsia="宋体"/>
                <w:sz w:val="24"/>
                <w:highlight w:val="none"/>
              </w:rPr>
              <w:t xml:space="preserve">方案内容完整详细，满足项目需求，可行性、实用性、针对性强，得 </w:t>
            </w:r>
            <w:r>
              <w:rPr>
                <w:rFonts w:hint="eastAsia" w:ascii="宋体" w:hAnsi="宋体" w:eastAsia="宋体"/>
                <w:sz w:val="24"/>
                <w:highlight w:val="none"/>
                <w:lang w:val="en-US" w:eastAsia="zh-CN"/>
              </w:rPr>
              <w:t>5</w:t>
            </w:r>
            <w:r>
              <w:rPr>
                <w:rFonts w:hint="eastAsia" w:ascii="宋体" w:hAnsi="宋体" w:eastAsia="宋体"/>
                <w:sz w:val="24"/>
                <w:highlight w:val="none"/>
              </w:rPr>
              <w:t xml:space="preserve"> 分；</w:t>
            </w:r>
          </w:p>
          <w:p w14:paraId="2A85B4EF">
            <w:pPr>
              <w:rPr>
                <w:rFonts w:ascii="宋体" w:hAnsi="宋体" w:eastAsia="宋体"/>
                <w:sz w:val="24"/>
                <w:highlight w:val="none"/>
              </w:rPr>
            </w:pPr>
            <w:r>
              <w:rPr>
                <w:rFonts w:hint="eastAsia" w:ascii="宋体" w:hAnsi="宋体" w:eastAsia="宋体"/>
                <w:sz w:val="24"/>
                <w:highlight w:val="none"/>
                <w:lang w:val="en-US" w:eastAsia="zh-CN"/>
              </w:rPr>
              <w:t>2、</w:t>
            </w:r>
            <w:r>
              <w:rPr>
                <w:rFonts w:hint="eastAsia" w:ascii="宋体" w:hAnsi="宋体" w:eastAsia="宋体"/>
                <w:sz w:val="24"/>
                <w:highlight w:val="none"/>
              </w:rPr>
              <w:t xml:space="preserve">方案内容基本完整详细，适合项目需求，具有可行性、实用性和针对性，得 </w:t>
            </w:r>
            <w:r>
              <w:rPr>
                <w:rFonts w:hint="eastAsia" w:ascii="宋体" w:hAnsi="宋体" w:eastAsia="宋体"/>
                <w:sz w:val="24"/>
                <w:highlight w:val="none"/>
                <w:lang w:val="en-US" w:eastAsia="zh-CN"/>
              </w:rPr>
              <w:t>3</w:t>
            </w:r>
            <w:r>
              <w:rPr>
                <w:rFonts w:hint="eastAsia" w:ascii="宋体" w:hAnsi="宋体" w:eastAsia="宋体"/>
                <w:sz w:val="24"/>
                <w:highlight w:val="none"/>
              </w:rPr>
              <w:t xml:space="preserve"> 分；</w:t>
            </w:r>
          </w:p>
          <w:p w14:paraId="4315A102">
            <w:pPr>
              <w:rPr>
                <w:rFonts w:ascii="宋体" w:hAnsi="宋体" w:eastAsia="宋体"/>
                <w:sz w:val="24"/>
                <w:highlight w:val="none"/>
              </w:rPr>
            </w:pPr>
            <w:r>
              <w:rPr>
                <w:rFonts w:hint="eastAsia" w:ascii="宋体" w:hAnsi="宋体" w:eastAsia="宋体"/>
                <w:sz w:val="24"/>
                <w:highlight w:val="none"/>
                <w:lang w:val="en-US" w:eastAsia="zh-CN"/>
              </w:rPr>
              <w:t>3、</w:t>
            </w:r>
            <w:r>
              <w:rPr>
                <w:rFonts w:hint="eastAsia" w:ascii="宋体" w:hAnsi="宋体" w:eastAsia="宋体"/>
                <w:sz w:val="24"/>
                <w:highlight w:val="none"/>
              </w:rPr>
              <w:t>方案内容片面不全，基本适合项目需求，可行性、实用性、针对性有待改善，得 1 分；</w:t>
            </w:r>
          </w:p>
          <w:p w14:paraId="1D7F0DB1">
            <w:pPr>
              <w:rPr>
                <w:rFonts w:ascii="宋体" w:hAnsi="宋体" w:eastAsia="宋体"/>
                <w:sz w:val="24"/>
                <w:highlight w:val="none"/>
              </w:rPr>
            </w:pPr>
            <w:r>
              <w:rPr>
                <w:rFonts w:hint="eastAsia" w:ascii="宋体" w:hAnsi="宋体" w:eastAsia="宋体"/>
                <w:sz w:val="24"/>
                <w:highlight w:val="none"/>
                <w:lang w:val="en-US" w:eastAsia="zh-CN"/>
              </w:rPr>
              <w:t>4、</w:t>
            </w:r>
            <w:r>
              <w:rPr>
                <w:rFonts w:hint="eastAsia" w:ascii="宋体" w:hAnsi="宋体" w:eastAsia="宋体"/>
                <w:sz w:val="24"/>
                <w:highlight w:val="none"/>
              </w:rPr>
              <w:t>方案不可行或者未提供得 0 分。</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29208B2A">
            <w:pPr>
              <w:spacing w:line="360" w:lineRule="auto"/>
              <w:jc w:val="center"/>
              <w:rPr>
                <w:rFonts w:ascii="宋体" w:hAnsi="宋体" w:eastAsia="宋体"/>
                <w:b/>
                <w:bCs/>
                <w:sz w:val="24"/>
                <w:highlight w:val="none"/>
              </w:rPr>
            </w:pPr>
            <w:r>
              <w:rPr>
                <w:rFonts w:hint="eastAsia" w:ascii="宋体" w:hAnsi="宋体" w:eastAsia="宋体"/>
                <w:bCs/>
                <w:sz w:val="24"/>
                <w:highlight w:val="none"/>
              </w:rPr>
              <w:t>0-</w:t>
            </w:r>
            <w:r>
              <w:rPr>
                <w:rFonts w:hint="eastAsia" w:ascii="宋体" w:hAnsi="宋体" w:eastAsia="宋体"/>
                <w:bCs/>
                <w:sz w:val="24"/>
                <w:highlight w:val="none"/>
                <w:lang w:val="en-US" w:eastAsia="zh-CN"/>
              </w:rPr>
              <w:t>5</w:t>
            </w:r>
            <w:r>
              <w:rPr>
                <w:rFonts w:hint="eastAsia" w:ascii="宋体" w:hAnsi="宋体" w:eastAsia="宋体"/>
                <w:bCs/>
                <w:sz w:val="24"/>
                <w:highlight w:val="none"/>
              </w:rPr>
              <w:t>分</w:t>
            </w:r>
          </w:p>
        </w:tc>
      </w:tr>
      <w:tr w14:paraId="08906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tcBorders>
              <w:left w:val="single" w:color="auto" w:sz="4" w:space="0"/>
              <w:right w:val="single" w:color="auto" w:sz="4" w:space="0"/>
            </w:tcBorders>
            <w:noWrap w:val="0"/>
            <w:vAlign w:val="center"/>
          </w:tcPr>
          <w:p w14:paraId="0C219702">
            <w:pPr>
              <w:spacing w:line="360" w:lineRule="auto"/>
              <w:ind w:firstLine="435"/>
              <w:jc w:val="center"/>
              <w:rPr>
                <w:rFonts w:ascii="宋体" w:hAnsi="宋体" w:eastAsia="宋体"/>
                <w:b/>
                <w:bCs/>
                <w:sz w:val="24"/>
                <w:highlight w:val="none"/>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14:paraId="518BC972">
            <w:pPr>
              <w:spacing w:line="360" w:lineRule="auto"/>
              <w:jc w:val="center"/>
              <w:rPr>
                <w:rFonts w:ascii="宋体" w:hAnsi="宋体" w:eastAsia="宋体"/>
                <w:sz w:val="24"/>
                <w:highlight w:val="none"/>
              </w:rPr>
            </w:pPr>
            <w:r>
              <w:rPr>
                <w:rFonts w:hint="eastAsia" w:ascii="宋体" w:hAnsi="宋体" w:eastAsia="宋体"/>
                <w:sz w:val="24"/>
                <w:highlight w:val="none"/>
              </w:rPr>
              <w:t>培训方案</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73D20F56">
            <w:pPr>
              <w:rPr>
                <w:rFonts w:ascii="宋体" w:hAnsi="宋体" w:eastAsia="宋体"/>
                <w:sz w:val="24"/>
                <w:highlight w:val="none"/>
              </w:rPr>
            </w:pPr>
            <w:r>
              <w:rPr>
                <w:rFonts w:hint="eastAsia" w:ascii="宋体" w:hAnsi="宋体" w:eastAsia="宋体"/>
                <w:sz w:val="24"/>
                <w:highlight w:val="none"/>
              </w:rPr>
              <w:t xml:space="preserve">评标委员会根据投标人提供的培训方案进行评分，内容包括但不限于仪器设备的理论培训、实际操作培训、各种技术参数设定、软件的培训和应用、简单故障排除、系统恢复方法与设备日常维护与保养方案等方面。 </w:t>
            </w:r>
          </w:p>
          <w:p w14:paraId="695FDE28">
            <w:pPr>
              <w:rPr>
                <w:rFonts w:ascii="宋体" w:hAnsi="宋体" w:eastAsia="宋体"/>
                <w:sz w:val="24"/>
                <w:highlight w:val="none"/>
              </w:rPr>
            </w:pPr>
            <w:r>
              <w:rPr>
                <w:rFonts w:hint="eastAsia" w:ascii="宋体" w:hAnsi="宋体" w:eastAsia="宋体"/>
                <w:sz w:val="24"/>
                <w:highlight w:val="none"/>
                <w:lang w:val="en-US" w:eastAsia="zh-CN"/>
              </w:rPr>
              <w:t>1、</w:t>
            </w:r>
            <w:r>
              <w:rPr>
                <w:rFonts w:hint="eastAsia" w:ascii="宋体" w:hAnsi="宋体" w:eastAsia="宋体"/>
                <w:sz w:val="24"/>
                <w:highlight w:val="none"/>
              </w:rPr>
              <w:t xml:space="preserve">方案内容完整详细，满足项目需求，可行性、实用性、针对性强，得 </w:t>
            </w:r>
            <w:r>
              <w:rPr>
                <w:rFonts w:hint="eastAsia" w:ascii="宋体" w:hAnsi="宋体" w:eastAsia="宋体"/>
                <w:sz w:val="24"/>
                <w:highlight w:val="none"/>
                <w:lang w:val="en-US" w:eastAsia="zh-CN"/>
              </w:rPr>
              <w:t>5</w:t>
            </w:r>
            <w:r>
              <w:rPr>
                <w:rFonts w:hint="eastAsia" w:ascii="宋体" w:hAnsi="宋体" w:eastAsia="宋体"/>
                <w:sz w:val="24"/>
                <w:highlight w:val="none"/>
              </w:rPr>
              <w:t xml:space="preserve"> 分；</w:t>
            </w:r>
          </w:p>
          <w:p w14:paraId="0006F55C">
            <w:pPr>
              <w:rPr>
                <w:rFonts w:ascii="宋体" w:hAnsi="宋体" w:eastAsia="宋体"/>
                <w:sz w:val="24"/>
                <w:highlight w:val="none"/>
              </w:rPr>
            </w:pPr>
            <w:r>
              <w:rPr>
                <w:rFonts w:hint="eastAsia" w:ascii="宋体" w:hAnsi="宋体" w:eastAsia="宋体"/>
                <w:sz w:val="24"/>
                <w:highlight w:val="none"/>
                <w:lang w:val="en-US" w:eastAsia="zh-CN"/>
              </w:rPr>
              <w:t>2、</w:t>
            </w:r>
            <w:r>
              <w:rPr>
                <w:rFonts w:hint="eastAsia" w:ascii="宋体" w:hAnsi="宋体" w:eastAsia="宋体"/>
                <w:sz w:val="24"/>
                <w:highlight w:val="none"/>
              </w:rPr>
              <w:t xml:space="preserve">方案内容基本完整详细，适合项目需求，具有可行性、实用性和针对性，得 </w:t>
            </w:r>
            <w:r>
              <w:rPr>
                <w:rFonts w:hint="eastAsia" w:ascii="宋体" w:hAnsi="宋体" w:eastAsia="宋体"/>
                <w:sz w:val="24"/>
                <w:highlight w:val="none"/>
                <w:lang w:val="en-US" w:eastAsia="zh-CN"/>
              </w:rPr>
              <w:t>3</w:t>
            </w:r>
            <w:r>
              <w:rPr>
                <w:rFonts w:hint="eastAsia" w:ascii="宋体" w:hAnsi="宋体" w:eastAsia="宋体"/>
                <w:sz w:val="24"/>
                <w:highlight w:val="none"/>
              </w:rPr>
              <w:t xml:space="preserve"> 分； </w:t>
            </w:r>
          </w:p>
          <w:p w14:paraId="27AB30A6">
            <w:pPr>
              <w:rPr>
                <w:rFonts w:ascii="宋体" w:hAnsi="宋体" w:eastAsia="宋体"/>
                <w:sz w:val="24"/>
                <w:highlight w:val="none"/>
              </w:rPr>
            </w:pPr>
            <w:r>
              <w:rPr>
                <w:rFonts w:hint="eastAsia" w:ascii="宋体" w:hAnsi="宋体" w:eastAsia="宋体"/>
                <w:sz w:val="24"/>
                <w:highlight w:val="none"/>
                <w:lang w:val="en-US" w:eastAsia="zh-CN"/>
              </w:rPr>
              <w:t>3、</w:t>
            </w:r>
            <w:r>
              <w:rPr>
                <w:rFonts w:hint="eastAsia" w:ascii="宋体" w:hAnsi="宋体" w:eastAsia="宋体"/>
                <w:sz w:val="24"/>
                <w:highlight w:val="none"/>
              </w:rPr>
              <w:t xml:space="preserve">方案内容片面不全，基本适合项目需求，可行性、实用性、针对性有待改善，得 1 分； </w:t>
            </w:r>
          </w:p>
          <w:p w14:paraId="35E77260">
            <w:pPr>
              <w:rPr>
                <w:rFonts w:ascii="宋体" w:hAnsi="宋体" w:eastAsia="宋体"/>
                <w:sz w:val="24"/>
                <w:highlight w:val="none"/>
              </w:rPr>
            </w:pPr>
            <w:r>
              <w:rPr>
                <w:rFonts w:hint="eastAsia" w:ascii="宋体" w:hAnsi="宋体" w:eastAsia="宋体"/>
                <w:sz w:val="24"/>
                <w:highlight w:val="none"/>
                <w:lang w:val="en-US" w:eastAsia="zh-CN"/>
              </w:rPr>
              <w:t>4、</w:t>
            </w:r>
            <w:r>
              <w:rPr>
                <w:rFonts w:hint="eastAsia" w:ascii="宋体" w:hAnsi="宋体" w:eastAsia="宋体"/>
                <w:sz w:val="24"/>
                <w:highlight w:val="none"/>
              </w:rPr>
              <w:t>方案不可行或者未提供得 0 分。</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47931EB1">
            <w:pPr>
              <w:adjustRightInd w:val="0"/>
              <w:snapToGrid w:val="0"/>
              <w:spacing w:line="400" w:lineRule="exact"/>
              <w:jc w:val="center"/>
              <w:rPr>
                <w:rFonts w:ascii="宋体" w:hAnsi="宋体" w:eastAsia="宋体"/>
                <w:bCs/>
                <w:sz w:val="24"/>
                <w:highlight w:val="none"/>
              </w:rPr>
            </w:pPr>
            <w:r>
              <w:rPr>
                <w:rFonts w:hint="eastAsia" w:ascii="宋体" w:hAnsi="宋体" w:eastAsia="宋体"/>
                <w:sz w:val="24"/>
                <w:highlight w:val="none"/>
              </w:rPr>
              <w:t>0-</w:t>
            </w:r>
            <w:r>
              <w:rPr>
                <w:rFonts w:hint="eastAsia" w:ascii="宋体" w:hAnsi="宋体" w:eastAsia="宋体"/>
                <w:sz w:val="24"/>
                <w:highlight w:val="none"/>
                <w:lang w:val="en-US" w:eastAsia="zh-CN"/>
              </w:rPr>
              <w:t>5</w:t>
            </w:r>
            <w:r>
              <w:rPr>
                <w:rFonts w:hint="eastAsia" w:ascii="宋体" w:hAnsi="宋体" w:eastAsia="宋体"/>
                <w:sz w:val="24"/>
                <w:highlight w:val="none"/>
              </w:rPr>
              <w:t>分</w:t>
            </w:r>
          </w:p>
        </w:tc>
      </w:tr>
      <w:tr w14:paraId="3E0E9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tcBorders>
              <w:left w:val="single" w:color="auto" w:sz="4" w:space="0"/>
              <w:right w:val="single" w:color="auto" w:sz="4" w:space="0"/>
            </w:tcBorders>
            <w:noWrap w:val="0"/>
            <w:vAlign w:val="center"/>
          </w:tcPr>
          <w:p w14:paraId="78E1AE07">
            <w:pPr>
              <w:spacing w:line="360" w:lineRule="auto"/>
              <w:ind w:firstLine="435"/>
              <w:jc w:val="center"/>
              <w:rPr>
                <w:rFonts w:ascii="宋体" w:hAnsi="宋体" w:eastAsia="宋体"/>
                <w:b/>
                <w:bCs/>
                <w:sz w:val="24"/>
                <w:highlight w:val="none"/>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14:paraId="681C4250">
            <w:pPr>
              <w:snapToGrid w:val="0"/>
              <w:jc w:val="center"/>
              <w:rPr>
                <w:rFonts w:ascii="宋体" w:hAnsi="宋体" w:eastAsia="宋体"/>
                <w:sz w:val="24"/>
                <w:highlight w:val="none"/>
              </w:rPr>
            </w:pPr>
            <w:r>
              <w:rPr>
                <w:rFonts w:hint="eastAsia" w:ascii="宋体" w:hAnsi="宋体" w:eastAsia="宋体" w:cs="宋体"/>
                <w:bCs/>
                <w:color w:val="000000" w:themeColor="text1"/>
                <w:sz w:val="24"/>
                <w:szCs w:val="20"/>
                <w:highlight w:val="none"/>
                <w14:textFill>
                  <w14:solidFill>
                    <w14:schemeClr w14:val="tx1"/>
                  </w14:solidFill>
                </w14:textFill>
              </w:rPr>
              <w:t>售后</w:t>
            </w:r>
            <w:r>
              <w:rPr>
                <w:rFonts w:hint="eastAsia" w:ascii="宋体" w:hAnsi="宋体" w:eastAsia="宋体" w:cs="宋体"/>
                <w:bCs/>
                <w:color w:val="000000" w:themeColor="text1"/>
                <w:sz w:val="24"/>
                <w:szCs w:val="20"/>
                <w:highlight w:val="none"/>
                <w:lang w:val="en-US" w:eastAsia="zh-CN"/>
                <w14:textFill>
                  <w14:solidFill>
                    <w14:schemeClr w14:val="tx1"/>
                  </w14:solidFill>
                </w14:textFill>
              </w:rPr>
              <w:t>与应急服务</w:t>
            </w:r>
            <w:r>
              <w:rPr>
                <w:rFonts w:hint="eastAsia" w:ascii="宋体" w:hAnsi="宋体" w:eastAsia="宋体" w:cs="宋体"/>
                <w:bCs/>
                <w:color w:val="000000" w:themeColor="text1"/>
                <w:sz w:val="24"/>
                <w:szCs w:val="20"/>
                <w:highlight w:val="none"/>
                <w14:textFill>
                  <w14:solidFill>
                    <w14:schemeClr w14:val="tx1"/>
                  </w14:solidFill>
                </w14:textFill>
              </w:rPr>
              <w:t>方案</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2075E42C">
            <w:pPr>
              <w:spacing w:line="24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评标委员会依据投标人提供的售后与应急服务方案进行综合评审：</w:t>
            </w:r>
          </w:p>
          <w:p w14:paraId="7F7FAB2B">
            <w:pPr>
              <w:keepNext w:val="0"/>
              <w:keepLines w:val="0"/>
              <w:widowControl/>
              <w:suppressLineNumbers w:val="0"/>
              <w:jc w:val="left"/>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1.根据投标人提供</w:t>
            </w:r>
            <w:r>
              <w:rPr>
                <w:rFonts w:hint="eastAsia" w:ascii="宋体" w:hAnsi="宋体" w:eastAsia="宋体" w:cs="宋体"/>
                <w:b w:val="0"/>
                <w:bCs w:val="0"/>
                <w:color w:val="000000" w:themeColor="text1"/>
                <w:sz w:val="24"/>
                <w:highlight w:val="none"/>
                <w:lang w:eastAsia="zh-CN"/>
                <w14:textFill>
                  <w14:solidFill>
                    <w14:schemeClr w14:val="tx1"/>
                  </w14:solidFill>
                </w14:textFill>
              </w:rPr>
              <w:t>的</w:t>
            </w:r>
            <w:r>
              <w:rPr>
                <w:rFonts w:hint="eastAsia" w:ascii="宋体" w:hAnsi="宋体" w:eastAsia="宋体" w:cs="宋体"/>
                <w:b w:val="0"/>
                <w:bCs w:val="0"/>
                <w:color w:val="000000" w:themeColor="text1"/>
                <w:sz w:val="24"/>
                <w:highlight w:val="none"/>
                <w14:textFill>
                  <w14:solidFill>
                    <w14:schemeClr w14:val="tx1"/>
                  </w14:solidFill>
                </w14:textFill>
              </w:rPr>
              <w:t>售后服务方案进行综合评审</w:t>
            </w:r>
            <w:r>
              <w:rPr>
                <w:rFonts w:hint="eastAsia" w:ascii="宋体" w:hAnsi="宋体" w:eastAsia="宋体" w:cs="宋体"/>
                <w:b w:val="0"/>
                <w:bCs w:val="0"/>
                <w:color w:val="000000" w:themeColor="text1"/>
                <w:sz w:val="24"/>
                <w:highlight w:val="none"/>
                <w:lang w:eastAsia="zh-CN"/>
                <w14:textFill>
                  <w14:solidFill>
                    <w14:schemeClr w14:val="tx1"/>
                  </w14:solidFill>
                </w14:textFill>
              </w:rPr>
              <w:t>，内容包括但不限于售后服务管理制度、保障措施、维保方式、维保内容、质保期满后的维保费用、时间保证、售后人员配备</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等方面</w:t>
            </w:r>
            <w:r>
              <w:rPr>
                <w:rFonts w:hint="eastAsia" w:ascii="宋体" w:hAnsi="宋体" w:eastAsia="宋体" w:cs="宋体"/>
                <w:b w:val="0"/>
                <w:bCs w:val="0"/>
                <w:color w:val="000000" w:themeColor="text1"/>
                <w:sz w:val="24"/>
                <w:highlight w:val="none"/>
                <w14:textFill>
                  <w14:solidFill>
                    <w14:schemeClr w14:val="tx1"/>
                  </w14:solidFill>
                </w14:textFill>
              </w:rPr>
              <w:t>：</w:t>
            </w:r>
          </w:p>
          <w:p w14:paraId="2AF210EC">
            <w:pPr>
              <w:numPr>
                <w:ilvl w:val="0"/>
                <w:numId w:val="0"/>
              </w:numPr>
              <w:spacing w:line="24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1</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对本项目的特点和难点理解准确，售后服务方案优于本项目采购需求，可行性、实用性、针对性强，得5分；</w:t>
            </w:r>
          </w:p>
          <w:p w14:paraId="460B2C27">
            <w:pPr>
              <w:numPr>
                <w:ilvl w:val="0"/>
                <w:numId w:val="0"/>
              </w:numPr>
              <w:spacing w:line="24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2</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对本项目的特点和难点理解基本准确，售后服务方案基本满足本项目采购需求，具有可行性、实用性和针对性，得3分；</w:t>
            </w:r>
          </w:p>
          <w:p w14:paraId="27C6EBEE">
            <w:pPr>
              <w:numPr>
                <w:ilvl w:val="0"/>
                <w:numId w:val="0"/>
              </w:numPr>
              <w:spacing w:line="24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3</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对本项目的特点和难点理解有待提升，售后服务方案可行性、实用性和针对性有待改善，得1分；</w:t>
            </w:r>
          </w:p>
          <w:p w14:paraId="0578CD5A">
            <w:pPr>
              <w:numPr>
                <w:ilvl w:val="0"/>
                <w:numId w:val="0"/>
              </w:numPr>
              <w:spacing w:line="24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4</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未提供方案的不得分。</w:t>
            </w:r>
          </w:p>
          <w:p w14:paraId="5F0CE3F0">
            <w:pPr>
              <w:spacing w:line="240" w:lineRule="auto"/>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2.根据投标人提供针对本项目的应急服务</w:t>
            </w:r>
            <w:r>
              <w:rPr>
                <w:rFonts w:hint="eastAsia" w:ascii="宋体" w:hAnsi="宋体" w:eastAsia="宋体" w:cs="宋体"/>
                <w:b w:val="0"/>
                <w:bCs/>
                <w:color w:val="000000" w:themeColor="text1"/>
                <w:sz w:val="24"/>
                <w:highlight w:val="none"/>
                <w:lang w:eastAsia="zh-CN"/>
                <w14:textFill>
                  <w14:solidFill>
                    <w14:schemeClr w14:val="tx1"/>
                  </w14:solidFill>
                </w14:textFill>
              </w:rPr>
              <w:t>方案</w:t>
            </w:r>
            <w:r>
              <w:rPr>
                <w:rFonts w:hint="eastAsia" w:ascii="宋体" w:hAnsi="宋体" w:eastAsia="宋体" w:cs="宋体"/>
                <w:b w:val="0"/>
                <w:bCs/>
                <w:color w:val="000000" w:themeColor="text1"/>
                <w:sz w:val="24"/>
                <w:highlight w:val="none"/>
                <w14:textFill>
                  <w14:solidFill>
                    <w14:schemeClr w14:val="tx1"/>
                  </w14:solidFill>
                </w14:textFill>
              </w:rPr>
              <w:t>进行综合评审</w:t>
            </w:r>
            <w:r>
              <w:rPr>
                <w:rFonts w:hint="eastAsia" w:ascii="宋体" w:hAnsi="宋体" w:eastAsia="宋体" w:cs="宋体"/>
                <w:b w:val="0"/>
                <w:bCs/>
                <w:color w:val="000000" w:themeColor="text1"/>
                <w:sz w:val="24"/>
                <w:highlight w:val="none"/>
                <w:lang w:eastAsia="zh-CN"/>
                <w14:textFill>
                  <w14:solidFill>
                    <w14:schemeClr w14:val="tx1"/>
                  </w14:solidFill>
                </w14:textFill>
              </w:rPr>
              <w:t>，内容包括但不限于产品故障维修响应时间、故障解决方案、零配件更换服务、备品备件供应及服务便利化措施</w:t>
            </w:r>
            <w:r>
              <w:rPr>
                <w:rFonts w:hint="eastAsia" w:ascii="宋体" w:hAnsi="宋体" w:eastAsia="宋体" w:cs="宋体"/>
                <w:b w:val="0"/>
                <w:bCs/>
                <w:color w:val="000000" w:themeColor="text1"/>
                <w:sz w:val="24"/>
                <w:highlight w:val="none"/>
                <w:lang w:val="en-US" w:eastAsia="zh-CN"/>
                <w14:textFill>
                  <w14:solidFill>
                    <w14:schemeClr w14:val="tx1"/>
                  </w14:solidFill>
                </w14:textFill>
              </w:rPr>
              <w:t>等方面</w:t>
            </w:r>
            <w:r>
              <w:rPr>
                <w:rFonts w:hint="eastAsia" w:ascii="宋体" w:hAnsi="宋体" w:eastAsia="宋体" w:cs="宋体"/>
                <w:b w:val="0"/>
                <w:bCs/>
                <w:color w:val="000000" w:themeColor="text1"/>
                <w:sz w:val="24"/>
                <w:highlight w:val="none"/>
                <w14:textFill>
                  <w14:solidFill>
                    <w14:schemeClr w14:val="tx1"/>
                  </w14:solidFill>
                </w14:textFill>
              </w:rPr>
              <w:t>：</w:t>
            </w:r>
          </w:p>
          <w:p w14:paraId="26C1D521">
            <w:pPr>
              <w:spacing w:line="24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1</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应急服务方案完整详细，备品备件供应可以得到充分保障，应急服务响应及时，方案实用性强的，得5分；</w:t>
            </w:r>
          </w:p>
          <w:p w14:paraId="63BE111A">
            <w:pPr>
              <w:spacing w:line="24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2</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应急服务方案基本完整，备品备件供应基本可以满足使用，应急服务响应较及时，方案实用性较强的，得3分；</w:t>
            </w:r>
          </w:p>
          <w:p w14:paraId="35BC5D68">
            <w:pPr>
              <w:spacing w:line="24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3</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应急服务方案内容不够完整，备品备件供应能力有待提升，方案实用性有待加强的得1分；</w:t>
            </w:r>
          </w:p>
          <w:p w14:paraId="39D33DBC">
            <w:pPr>
              <w:spacing w:line="240" w:lineRule="auto"/>
              <w:rPr>
                <w:rFonts w:ascii="宋体" w:hAnsi="宋体" w:eastAsia="宋体"/>
                <w:sz w:val="24"/>
                <w:highlight w:val="none"/>
              </w:rPr>
            </w:pP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4</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未提供方案的不得分。</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71365D6D">
            <w:pPr>
              <w:spacing w:line="360" w:lineRule="auto"/>
              <w:jc w:val="center"/>
              <w:rPr>
                <w:rFonts w:ascii="宋体" w:hAnsi="宋体" w:eastAsia="宋体"/>
                <w:sz w:val="24"/>
                <w:highlight w:val="none"/>
              </w:rPr>
            </w:pPr>
            <w:r>
              <w:rPr>
                <w:rFonts w:hint="eastAsia" w:ascii="宋体" w:hAnsi="宋体" w:eastAsia="宋体"/>
                <w:bCs/>
                <w:color w:val="000000" w:themeColor="text1"/>
                <w:sz w:val="24"/>
                <w:highlight w:val="none"/>
                <w14:textFill>
                  <w14:solidFill>
                    <w14:schemeClr w14:val="tx1"/>
                  </w14:solidFill>
                </w14:textFill>
              </w:rPr>
              <w:t>0-</w:t>
            </w:r>
            <w:r>
              <w:rPr>
                <w:rFonts w:hint="eastAsia" w:ascii="宋体" w:hAnsi="宋体" w:eastAsia="宋体"/>
                <w:bCs/>
                <w:color w:val="000000" w:themeColor="text1"/>
                <w:sz w:val="24"/>
                <w:highlight w:val="none"/>
                <w:lang w:val="en-US" w:eastAsia="zh-CN"/>
                <w14:textFill>
                  <w14:solidFill>
                    <w14:schemeClr w14:val="tx1"/>
                  </w14:solidFill>
                </w14:textFill>
              </w:rPr>
              <w:t>10</w:t>
            </w:r>
            <w:r>
              <w:rPr>
                <w:rFonts w:hint="eastAsia" w:ascii="宋体" w:hAnsi="宋体" w:eastAsia="宋体"/>
                <w:bCs/>
                <w:color w:val="000000" w:themeColor="text1"/>
                <w:sz w:val="24"/>
                <w:highlight w:val="none"/>
                <w14:textFill>
                  <w14:solidFill>
                    <w14:schemeClr w14:val="tx1"/>
                  </w14:solidFill>
                </w14:textFill>
              </w:rPr>
              <w:t>分</w:t>
            </w:r>
          </w:p>
        </w:tc>
      </w:tr>
      <w:tr w14:paraId="0404F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tcBorders>
              <w:left w:val="single" w:color="auto" w:sz="4" w:space="0"/>
              <w:right w:val="single" w:color="auto" w:sz="4" w:space="0"/>
            </w:tcBorders>
            <w:noWrap w:val="0"/>
            <w:vAlign w:val="center"/>
          </w:tcPr>
          <w:p w14:paraId="5F011E1F">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价格分</w:t>
            </w:r>
          </w:p>
          <w:p w14:paraId="3E13317B">
            <w:pPr>
              <w:spacing w:line="360" w:lineRule="auto"/>
              <w:jc w:val="center"/>
              <w:rPr>
                <w:rFonts w:ascii="宋体" w:hAnsi="宋体" w:eastAsia="宋体"/>
                <w:b w:val="0"/>
                <w:bCs w:val="0"/>
                <w:color w:val="000000"/>
                <w:sz w:val="24"/>
                <w:highlight w:val="none"/>
              </w:rPr>
            </w:pP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u w:val="single"/>
              </w:rPr>
              <w:t xml:space="preserve"> 30 </w:t>
            </w:r>
            <w:r>
              <w:rPr>
                <w:rFonts w:hint="eastAsia" w:asciiTheme="minorEastAsia" w:hAnsiTheme="minorEastAsia" w:eastAsiaTheme="minorEastAsia"/>
                <w:sz w:val="24"/>
                <w:highlight w:val="none"/>
              </w:rPr>
              <w:t>分）</w:t>
            </w:r>
          </w:p>
        </w:tc>
        <w:tc>
          <w:tcPr>
            <w:tcW w:w="8259" w:type="dxa"/>
            <w:gridSpan w:val="3"/>
            <w:tcBorders>
              <w:top w:val="single" w:color="auto" w:sz="4" w:space="0"/>
              <w:left w:val="single" w:color="auto" w:sz="4" w:space="0"/>
              <w:bottom w:val="single" w:color="auto" w:sz="4" w:space="0"/>
              <w:right w:val="single" w:color="auto" w:sz="4" w:space="0"/>
            </w:tcBorders>
            <w:noWrap w:val="0"/>
            <w:vAlign w:val="center"/>
          </w:tcPr>
          <w:p w14:paraId="6B6B9A7E">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价格分统一采用低价优先法，即满足招标文件要求且投标价格最低的投标报价为评标基准价，其价格分为满分</w:t>
            </w:r>
            <w:r>
              <w:rPr>
                <w:rFonts w:hint="eastAsia" w:asciiTheme="minorEastAsia" w:hAnsiTheme="minorEastAsia" w:eastAsiaTheme="minorEastAsia"/>
                <w:sz w:val="24"/>
                <w:highlight w:val="none"/>
                <w:u w:val="single"/>
              </w:rPr>
              <w:t xml:space="preserve"> 30 </w:t>
            </w:r>
            <w:r>
              <w:rPr>
                <w:rFonts w:hint="eastAsia" w:asciiTheme="minorEastAsia" w:hAnsiTheme="minorEastAsia" w:eastAsiaTheme="minorEastAsia"/>
                <w:sz w:val="24"/>
                <w:highlight w:val="none"/>
              </w:rPr>
              <w:t>分。其他投标人的价格分统一按照下列公式计算：</w:t>
            </w:r>
          </w:p>
          <w:p w14:paraId="4EA0FCF2">
            <w:pPr>
              <w:spacing w:line="360" w:lineRule="auto"/>
              <w:rPr>
                <w:rFonts w:ascii="宋体" w:hAnsi="宋体" w:eastAsia="宋体"/>
                <w:b w:val="0"/>
                <w:bCs w:val="0"/>
                <w:color w:val="000000"/>
                <w:sz w:val="24"/>
                <w:highlight w:val="none"/>
              </w:rPr>
            </w:pPr>
            <w:r>
              <w:rPr>
                <w:rFonts w:hint="eastAsia" w:asciiTheme="minorEastAsia" w:hAnsiTheme="minorEastAsia" w:eastAsiaTheme="minorEastAsia"/>
                <w:sz w:val="24"/>
                <w:highlight w:val="none"/>
              </w:rPr>
              <w:t>投标报价得分＝（评标基准价/投标报价）×</w:t>
            </w:r>
            <w:r>
              <w:rPr>
                <w:rFonts w:hint="eastAsia" w:asciiTheme="minorEastAsia" w:hAnsiTheme="minorEastAsia" w:eastAsiaTheme="minorEastAsia"/>
                <w:sz w:val="24"/>
                <w:highlight w:val="none"/>
                <w:u w:val="single"/>
              </w:rPr>
              <w:t xml:space="preserve"> 30 </w:t>
            </w:r>
            <w:r>
              <w:rPr>
                <w:rFonts w:hint="eastAsia" w:asciiTheme="minorEastAsia" w:hAnsiTheme="minorEastAsia" w:eastAsiaTheme="minorEastAsia"/>
                <w:sz w:val="24"/>
                <w:highlight w:val="none"/>
              </w:rPr>
              <w:t>％×100</w:t>
            </w:r>
          </w:p>
        </w:tc>
      </w:tr>
    </w:tbl>
    <w:p w14:paraId="7BC7C7E9">
      <w:pPr>
        <w:rPr>
          <w:rFonts w:hint="eastAsia" w:asciiTheme="minorEastAsia" w:hAnsiTheme="minorEastAsia" w:eastAsiaTheme="minorEastAsia"/>
          <w:b/>
          <w:bCs/>
          <w:sz w:val="24"/>
          <w:highlight w:val="none"/>
          <w:lang w:eastAsia="zh-CN"/>
        </w:rPr>
      </w:pPr>
      <w:r>
        <w:rPr>
          <w:rFonts w:hint="eastAsia" w:asciiTheme="minorEastAsia" w:hAnsiTheme="minorEastAsia" w:eastAsiaTheme="minorEastAsia"/>
          <w:b/>
          <w:bCs/>
          <w:sz w:val="24"/>
          <w:highlight w:val="none"/>
          <w:lang w:eastAsia="zh-CN"/>
        </w:rPr>
        <w:br w:type="page"/>
      </w:r>
    </w:p>
    <w:p w14:paraId="6D110826">
      <w:pPr>
        <w:spacing w:line="360" w:lineRule="auto"/>
        <w:ind w:firstLine="435"/>
        <w:rPr>
          <w:rFonts w:hint="default" w:asciiTheme="minorEastAsia" w:hAnsiTheme="minorEastAsia" w:eastAsiaTheme="minorEastAsia"/>
          <w:b/>
          <w:bCs/>
          <w:sz w:val="24"/>
          <w:highlight w:val="none"/>
          <w:lang w:val="en-US" w:eastAsia="zh-CN"/>
        </w:rPr>
      </w:pPr>
      <w:r>
        <w:rPr>
          <w:rFonts w:hint="eastAsia" w:asciiTheme="minorEastAsia" w:hAnsiTheme="minorEastAsia" w:eastAsiaTheme="minorEastAsia"/>
          <w:b/>
          <w:bCs/>
          <w:sz w:val="24"/>
          <w:highlight w:val="none"/>
          <w:lang w:val="en-US" w:eastAsia="zh-CN"/>
        </w:rPr>
        <w:t>06包：床旁超声机（便携）</w:t>
      </w:r>
    </w:p>
    <w:tbl>
      <w:tblPr>
        <w:tblStyle w:val="26"/>
        <w:tblW w:w="9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717"/>
        <w:gridCol w:w="5337"/>
        <w:gridCol w:w="1205"/>
      </w:tblGrid>
      <w:tr w14:paraId="6AD53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71" w:type="dxa"/>
            <w:tcBorders>
              <w:top w:val="single" w:color="auto" w:sz="4" w:space="0"/>
              <w:left w:val="single" w:color="auto" w:sz="4" w:space="0"/>
              <w:bottom w:val="single" w:color="auto" w:sz="4" w:space="0"/>
              <w:right w:val="single" w:color="auto" w:sz="4" w:space="0"/>
            </w:tcBorders>
            <w:noWrap w:val="0"/>
            <w:vAlign w:val="center"/>
          </w:tcPr>
          <w:p w14:paraId="28A4D8C7">
            <w:pPr>
              <w:spacing w:line="360" w:lineRule="auto"/>
              <w:jc w:val="center"/>
              <w:rPr>
                <w:rFonts w:ascii="宋体" w:hAnsi="宋体" w:eastAsia="宋体"/>
                <w:b/>
                <w:bCs/>
                <w:sz w:val="24"/>
                <w:highlight w:val="none"/>
              </w:rPr>
            </w:pPr>
            <w:r>
              <w:rPr>
                <w:rFonts w:hint="eastAsia" w:ascii="宋体" w:hAnsi="宋体" w:eastAsia="宋体"/>
                <w:b/>
                <w:bCs/>
                <w:sz w:val="24"/>
                <w:highlight w:val="none"/>
              </w:rPr>
              <w:t>类别</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64DE5B9E">
            <w:pPr>
              <w:spacing w:line="360" w:lineRule="auto"/>
              <w:jc w:val="center"/>
              <w:rPr>
                <w:rFonts w:ascii="宋体" w:hAnsi="宋体" w:eastAsia="宋体"/>
                <w:b/>
                <w:bCs/>
                <w:sz w:val="24"/>
                <w:highlight w:val="none"/>
              </w:rPr>
            </w:pPr>
            <w:r>
              <w:rPr>
                <w:rFonts w:hint="eastAsia" w:ascii="宋体" w:hAnsi="宋体" w:eastAsia="宋体"/>
                <w:b/>
                <w:bCs/>
                <w:sz w:val="24"/>
                <w:highlight w:val="none"/>
              </w:rPr>
              <w:t>评分内容</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68544FAF">
            <w:pPr>
              <w:spacing w:line="360" w:lineRule="auto"/>
              <w:jc w:val="center"/>
              <w:rPr>
                <w:rFonts w:ascii="宋体" w:hAnsi="宋体" w:eastAsia="宋体"/>
                <w:b/>
                <w:bCs/>
                <w:sz w:val="24"/>
                <w:highlight w:val="none"/>
              </w:rPr>
            </w:pPr>
            <w:r>
              <w:rPr>
                <w:rFonts w:hint="eastAsia" w:ascii="宋体" w:hAnsi="宋体" w:eastAsia="宋体"/>
                <w:b/>
                <w:bCs/>
                <w:sz w:val="24"/>
                <w:highlight w:val="none"/>
              </w:rPr>
              <w:t>评分标准</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5EDDFD16">
            <w:pPr>
              <w:spacing w:line="360" w:lineRule="auto"/>
              <w:jc w:val="center"/>
              <w:rPr>
                <w:rFonts w:ascii="宋体" w:hAnsi="宋体" w:eastAsia="宋体"/>
                <w:b/>
                <w:bCs/>
                <w:sz w:val="24"/>
                <w:highlight w:val="none"/>
              </w:rPr>
            </w:pPr>
            <w:r>
              <w:rPr>
                <w:rFonts w:hint="eastAsia" w:ascii="宋体" w:hAnsi="宋体" w:eastAsia="宋体"/>
                <w:b/>
                <w:bCs/>
                <w:sz w:val="24"/>
                <w:highlight w:val="none"/>
              </w:rPr>
              <w:t>分值范围</w:t>
            </w:r>
          </w:p>
        </w:tc>
      </w:tr>
      <w:tr w14:paraId="761B2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restart"/>
            <w:tcBorders>
              <w:top w:val="single" w:color="auto" w:sz="4" w:space="0"/>
              <w:left w:val="single" w:color="auto" w:sz="4" w:space="0"/>
              <w:right w:val="single" w:color="auto" w:sz="4" w:space="0"/>
            </w:tcBorders>
            <w:noWrap w:val="0"/>
            <w:vAlign w:val="center"/>
          </w:tcPr>
          <w:p w14:paraId="3C988B36">
            <w:pPr>
              <w:spacing w:line="360" w:lineRule="auto"/>
              <w:jc w:val="center"/>
              <w:rPr>
                <w:rFonts w:ascii="宋体" w:hAnsi="宋体" w:eastAsia="宋体"/>
                <w:sz w:val="24"/>
                <w:highlight w:val="none"/>
              </w:rPr>
            </w:pPr>
            <w:r>
              <w:rPr>
                <w:rFonts w:hint="eastAsia" w:ascii="宋体" w:hAnsi="宋体" w:eastAsia="宋体"/>
                <w:sz w:val="24"/>
                <w:highlight w:val="none"/>
              </w:rPr>
              <w:t>技术资信分</w:t>
            </w:r>
          </w:p>
          <w:p w14:paraId="4FA66949">
            <w:pPr>
              <w:spacing w:line="360" w:lineRule="auto"/>
              <w:jc w:val="center"/>
              <w:rPr>
                <w:rFonts w:ascii="宋体" w:hAnsi="宋体" w:eastAsia="宋体"/>
                <w:b/>
                <w:bCs/>
                <w:sz w:val="24"/>
                <w:highlight w:val="none"/>
              </w:rPr>
            </w:pPr>
            <w:r>
              <w:rPr>
                <w:rFonts w:hint="eastAsia" w:ascii="宋体" w:hAnsi="宋体" w:eastAsia="宋体"/>
                <w:sz w:val="24"/>
                <w:highlight w:val="none"/>
              </w:rPr>
              <w:t>（</w:t>
            </w:r>
            <w:r>
              <w:rPr>
                <w:rFonts w:hint="eastAsia" w:ascii="宋体" w:hAnsi="宋体" w:eastAsia="宋体"/>
                <w:sz w:val="24"/>
                <w:highlight w:val="none"/>
                <w:u w:val="single"/>
              </w:rPr>
              <w:t xml:space="preserve"> </w:t>
            </w:r>
            <w:r>
              <w:rPr>
                <w:rFonts w:hint="eastAsia" w:ascii="宋体" w:hAnsi="宋体" w:eastAsia="宋体"/>
                <w:sz w:val="24"/>
                <w:highlight w:val="none"/>
                <w:u w:val="single"/>
                <w:lang w:val="en-US" w:eastAsia="zh-CN"/>
              </w:rPr>
              <w:t>70</w:t>
            </w:r>
            <w:r>
              <w:rPr>
                <w:rFonts w:hint="eastAsia" w:ascii="宋体" w:hAnsi="宋体" w:eastAsia="宋体"/>
                <w:sz w:val="24"/>
                <w:highlight w:val="none"/>
                <w:u w:val="single"/>
              </w:rPr>
              <w:t xml:space="preserve"> </w:t>
            </w:r>
            <w:r>
              <w:rPr>
                <w:rFonts w:hint="eastAsia" w:ascii="宋体" w:hAnsi="宋体" w:eastAsia="宋体"/>
                <w:sz w:val="24"/>
                <w:highlight w:val="none"/>
              </w:rPr>
              <w:t>分）</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0F0FA681">
            <w:pPr>
              <w:spacing w:line="360" w:lineRule="auto"/>
              <w:jc w:val="center"/>
              <w:rPr>
                <w:rFonts w:ascii="宋体" w:hAnsi="宋体" w:eastAsia="宋体"/>
                <w:bCs/>
                <w:sz w:val="24"/>
                <w:highlight w:val="none"/>
              </w:rPr>
            </w:pPr>
            <w:r>
              <w:rPr>
                <w:rFonts w:hint="eastAsia" w:ascii="宋体" w:hAnsi="宋体" w:eastAsia="宋体"/>
                <w:bCs/>
                <w:sz w:val="24"/>
                <w:highlight w:val="none"/>
              </w:rPr>
              <w:t>所投设备技</w:t>
            </w:r>
          </w:p>
          <w:p w14:paraId="1D98F9E8">
            <w:pPr>
              <w:spacing w:line="360" w:lineRule="auto"/>
              <w:jc w:val="center"/>
              <w:rPr>
                <w:rFonts w:ascii="宋体" w:hAnsi="宋体" w:eastAsia="宋体"/>
                <w:bCs/>
                <w:sz w:val="24"/>
                <w:highlight w:val="none"/>
              </w:rPr>
            </w:pPr>
            <w:r>
              <w:rPr>
                <w:rFonts w:hint="eastAsia" w:ascii="宋体" w:hAnsi="宋体" w:eastAsia="宋体"/>
                <w:bCs/>
                <w:sz w:val="24"/>
                <w:highlight w:val="none"/>
              </w:rPr>
              <w:t>术参数及要</w:t>
            </w:r>
          </w:p>
          <w:p w14:paraId="60B62488">
            <w:pPr>
              <w:spacing w:line="360" w:lineRule="auto"/>
              <w:jc w:val="center"/>
              <w:rPr>
                <w:rFonts w:ascii="宋体" w:hAnsi="宋体" w:eastAsia="宋体"/>
                <w:bCs/>
                <w:sz w:val="24"/>
                <w:highlight w:val="none"/>
              </w:rPr>
            </w:pPr>
            <w:r>
              <w:rPr>
                <w:rFonts w:hint="eastAsia" w:ascii="宋体" w:hAnsi="宋体" w:eastAsia="宋体"/>
                <w:bCs/>
                <w:sz w:val="24"/>
                <w:highlight w:val="none"/>
              </w:rPr>
              <w:t>求响应情况</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5AFBC7F3">
            <w:pPr>
              <w:widowControl/>
              <w:numPr>
                <w:ilvl w:val="0"/>
                <w:numId w:val="0"/>
              </w:numPr>
              <w:jc w:val="left"/>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lang w:val="en-US" w:eastAsia="zh-CN"/>
              </w:rPr>
              <w:t>1.</w:t>
            </w:r>
            <w:r>
              <w:rPr>
                <w:rFonts w:hint="eastAsia" w:asciiTheme="minorEastAsia" w:hAnsiTheme="minorEastAsia" w:eastAsiaTheme="minorEastAsia"/>
                <w:bCs/>
                <w:sz w:val="24"/>
                <w:highlight w:val="none"/>
              </w:rPr>
              <w:t>根据投标文件与招标文件要求重要参数（标记“</w:t>
            </w: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bCs/>
                <w:sz w:val="24"/>
                <w:highlight w:val="none"/>
              </w:rPr>
              <w:t>”的技术参数）的偏离情况进行评审。</w:t>
            </w:r>
          </w:p>
          <w:p w14:paraId="297CAE4F">
            <w:pPr>
              <w:widowControl/>
              <w:numPr>
                <w:ilvl w:val="0"/>
                <w:numId w:val="0"/>
              </w:numPr>
              <w:jc w:val="left"/>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各项性能指标均有技术支持资料且全部满足招标文件要求的得满分；技术支持资料显示不满足招标文件要求的或未提供技术支持资料的，有一项扣</w:t>
            </w:r>
            <w:r>
              <w:rPr>
                <w:rFonts w:hint="eastAsia" w:asciiTheme="minorEastAsia" w:hAnsiTheme="minorEastAsia" w:eastAsiaTheme="minorEastAsia"/>
                <w:bCs/>
                <w:sz w:val="24"/>
                <w:highlight w:val="none"/>
                <w:lang w:val="en-US" w:eastAsia="zh-CN"/>
              </w:rPr>
              <w:t>2.5</w:t>
            </w:r>
            <w:r>
              <w:rPr>
                <w:rFonts w:hint="eastAsia" w:asciiTheme="minorEastAsia" w:hAnsiTheme="minorEastAsia" w:eastAsiaTheme="minorEastAsia"/>
                <w:bCs/>
                <w:sz w:val="24"/>
                <w:highlight w:val="none"/>
              </w:rPr>
              <w:t>，共</w:t>
            </w:r>
            <w:r>
              <w:rPr>
                <w:rFonts w:hint="eastAsia" w:asciiTheme="minorEastAsia" w:hAnsiTheme="minorEastAsia" w:eastAsiaTheme="minorEastAsia"/>
                <w:bCs/>
                <w:sz w:val="24"/>
                <w:highlight w:val="none"/>
                <w:lang w:val="en-US" w:eastAsia="zh-CN"/>
              </w:rPr>
              <w:t>7</w:t>
            </w:r>
            <w:r>
              <w:rPr>
                <w:rFonts w:hint="eastAsia" w:asciiTheme="minorEastAsia" w:hAnsiTheme="minorEastAsia" w:eastAsiaTheme="minorEastAsia"/>
                <w:bCs/>
                <w:sz w:val="24"/>
                <w:highlight w:val="none"/>
              </w:rPr>
              <w:t>项，共</w:t>
            </w:r>
            <w:r>
              <w:rPr>
                <w:rFonts w:hint="eastAsia" w:asciiTheme="minorEastAsia" w:hAnsiTheme="minorEastAsia" w:eastAsiaTheme="minorEastAsia"/>
                <w:bCs/>
                <w:sz w:val="24"/>
                <w:highlight w:val="none"/>
                <w:lang w:val="en-US" w:eastAsia="zh-CN"/>
              </w:rPr>
              <w:t>17.5</w:t>
            </w:r>
            <w:r>
              <w:rPr>
                <w:rFonts w:hint="eastAsia" w:asciiTheme="minorEastAsia" w:hAnsiTheme="minorEastAsia" w:eastAsiaTheme="minorEastAsia"/>
                <w:bCs/>
                <w:sz w:val="24"/>
                <w:highlight w:val="none"/>
              </w:rPr>
              <w:t>分。（同一项参数不重复扣分）。</w:t>
            </w:r>
          </w:p>
          <w:p w14:paraId="38F19BC5">
            <w:pPr>
              <w:widowControl/>
              <w:jc w:val="left"/>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2.根据投标文件与招标文件要求的一般参数（未标记“</w:t>
            </w: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bCs/>
                <w:sz w:val="24"/>
                <w:highlight w:val="none"/>
              </w:rPr>
              <w:t xml:space="preserve">”的技术参数）偏离情况进行评审。 </w:t>
            </w:r>
          </w:p>
          <w:p w14:paraId="65E80A15">
            <w:pPr>
              <w:widowControl/>
              <w:jc w:val="left"/>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各项性能指标全部满足招标文件要求的得满分；不满足招标文件要求的（以投标文件投标响应表载明的为准），有一项扣</w:t>
            </w:r>
            <w:r>
              <w:rPr>
                <w:rFonts w:hint="eastAsia" w:asciiTheme="minorEastAsia" w:hAnsiTheme="minorEastAsia" w:eastAsiaTheme="minorEastAsia"/>
                <w:bCs/>
                <w:sz w:val="24"/>
                <w:highlight w:val="none"/>
                <w:lang w:val="en-US" w:eastAsia="zh-CN"/>
              </w:rPr>
              <w:t>0.25</w:t>
            </w:r>
            <w:r>
              <w:rPr>
                <w:rFonts w:hint="eastAsia" w:asciiTheme="minorEastAsia" w:hAnsiTheme="minorEastAsia" w:eastAsiaTheme="minorEastAsia"/>
                <w:bCs/>
                <w:sz w:val="24"/>
                <w:highlight w:val="none"/>
              </w:rPr>
              <w:t>分，共</w:t>
            </w:r>
            <w:r>
              <w:rPr>
                <w:rFonts w:hint="eastAsia" w:asciiTheme="minorEastAsia" w:hAnsiTheme="minorEastAsia" w:eastAsiaTheme="minorEastAsia"/>
                <w:bCs/>
                <w:sz w:val="24"/>
                <w:highlight w:val="none"/>
                <w:lang w:val="en-US" w:eastAsia="zh-CN"/>
              </w:rPr>
              <w:t>62</w:t>
            </w:r>
            <w:r>
              <w:rPr>
                <w:rFonts w:hint="eastAsia" w:asciiTheme="minorEastAsia" w:hAnsiTheme="minorEastAsia" w:eastAsiaTheme="minorEastAsia"/>
                <w:bCs/>
                <w:sz w:val="24"/>
                <w:highlight w:val="none"/>
              </w:rPr>
              <w:t>项，共</w:t>
            </w:r>
            <w:r>
              <w:rPr>
                <w:rFonts w:hint="eastAsia" w:asciiTheme="minorEastAsia" w:hAnsiTheme="minorEastAsia" w:eastAsiaTheme="minorEastAsia"/>
                <w:bCs/>
                <w:sz w:val="24"/>
                <w:highlight w:val="none"/>
                <w:lang w:val="en-US" w:eastAsia="zh-CN"/>
              </w:rPr>
              <w:t>15.5</w:t>
            </w:r>
            <w:r>
              <w:rPr>
                <w:rFonts w:hint="eastAsia" w:asciiTheme="minorEastAsia" w:hAnsiTheme="minorEastAsia" w:eastAsiaTheme="minorEastAsia"/>
                <w:bCs/>
                <w:sz w:val="24"/>
                <w:highlight w:val="none"/>
              </w:rPr>
              <w:t>分。（同一项参数不重复扣分）</w:t>
            </w:r>
          </w:p>
          <w:p w14:paraId="7DC9F15E">
            <w:pPr>
              <w:widowControl/>
              <w:jc w:val="left"/>
              <w:rPr>
                <w:highlight w:val="none"/>
              </w:rPr>
            </w:pPr>
            <w:r>
              <w:rPr>
                <w:rFonts w:hint="eastAsia" w:asciiTheme="minorEastAsia" w:hAnsiTheme="minorEastAsia" w:eastAsiaTheme="minorEastAsia"/>
                <w:bCs/>
                <w:sz w:val="24"/>
                <w:highlight w:val="none"/>
                <w:lang w:val="en-US" w:eastAsia="zh-CN"/>
              </w:rPr>
              <w:t>3.</w:t>
            </w:r>
            <w:r>
              <w:rPr>
                <w:rFonts w:hint="eastAsia" w:asciiTheme="minorEastAsia" w:hAnsiTheme="minorEastAsia" w:eastAsiaTheme="minorEastAsia"/>
                <w:bCs/>
                <w:sz w:val="24"/>
                <w:highlight w:val="none"/>
              </w:rPr>
              <w:t>重要参数（标记“</w:t>
            </w: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bCs/>
                <w:sz w:val="24"/>
                <w:highlight w:val="none"/>
              </w:rPr>
              <w:t>”的技术参数）</w:t>
            </w:r>
            <w:r>
              <w:rPr>
                <w:rFonts w:hint="eastAsia" w:asciiTheme="minorEastAsia" w:hAnsiTheme="minorEastAsia" w:eastAsiaTheme="minorEastAsia"/>
                <w:b w:val="0"/>
                <w:bCs/>
                <w:sz w:val="24"/>
                <w:highlight w:val="none"/>
                <w:lang w:val="en-US" w:eastAsia="zh-CN"/>
              </w:rPr>
              <w:t>负偏离3项及以上的，第1小项不得分，</w:t>
            </w:r>
            <w:r>
              <w:rPr>
                <w:rFonts w:hint="eastAsia" w:asciiTheme="minorEastAsia" w:hAnsiTheme="minorEastAsia" w:eastAsiaTheme="minorEastAsia"/>
                <w:bCs/>
                <w:sz w:val="24"/>
                <w:highlight w:val="none"/>
              </w:rPr>
              <w:t>一般参数（未标记“</w:t>
            </w:r>
            <w:r>
              <w:rPr>
                <w:rFonts w:hint="eastAsia" w:ascii="宋体" w:hAnsi="宋体" w:eastAsia="宋体" w:cs="宋体"/>
                <w:bCs/>
                <w:color w:val="000000"/>
                <w:kern w:val="0"/>
                <w:sz w:val="24"/>
                <w:szCs w:val="24"/>
                <w:highlight w:val="none"/>
              </w:rPr>
              <w:t>▲</w:t>
            </w:r>
            <w:r>
              <w:rPr>
                <w:rFonts w:hint="eastAsia" w:asciiTheme="minorEastAsia" w:hAnsiTheme="minorEastAsia" w:eastAsiaTheme="minorEastAsia"/>
                <w:bCs/>
                <w:sz w:val="24"/>
                <w:highlight w:val="none"/>
              </w:rPr>
              <w:t>”的技术参数）</w:t>
            </w:r>
            <w:r>
              <w:rPr>
                <w:rFonts w:hint="eastAsia" w:asciiTheme="minorEastAsia" w:hAnsiTheme="minorEastAsia" w:eastAsiaTheme="minorEastAsia"/>
                <w:b w:val="0"/>
                <w:bCs/>
                <w:sz w:val="24"/>
                <w:highlight w:val="none"/>
                <w:lang w:val="en-US" w:eastAsia="zh-CN"/>
              </w:rPr>
              <w:t>负偏离20项及以上的，第2小项不得分。全部参数负偏离23项及以上的，此项技术参数及要求响应情况不得分。</w:t>
            </w:r>
          </w:p>
          <w:p w14:paraId="1EF74905">
            <w:pPr>
              <w:widowControl/>
              <w:jc w:val="left"/>
              <w:rPr>
                <w:rFonts w:ascii="宋体" w:hAnsi="宋体" w:eastAsia="宋体"/>
                <w:bCs/>
                <w:sz w:val="24"/>
                <w:highlight w:val="none"/>
              </w:rPr>
            </w:pPr>
            <w:r>
              <w:rPr>
                <w:rFonts w:hint="eastAsia" w:asciiTheme="minorEastAsia" w:hAnsiTheme="minorEastAsia" w:eastAsiaTheme="minorEastAsia"/>
                <w:b/>
                <w:sz w:val="24"/>
                <w:highlight w:val="none"/>
              </w:rPr>
              <w:t>注：以技术规格偏离表和要求提供的证明资料为准。未标注</w:t>
            </w:r>
            <w:r>
              <w:rPr>
                <w:rFonts w:hint="eastAsia" w:ascii="宋体" w:hAnsi="宋体" w:eastAsia="宋体" w:cs="宋体"/>
                <w:color w:val="000000"/>
                <w:kern w:val="0"/>
                <w:sz w:val="24"/>
                <w:szCs w:val="24"/>
                <w:highlight w:val="none"/>
                <w:lang w:bidi="ar"/>
              </w:rPr>
              <w:t>“</w:t>
            </w:r>
            <w:r>
              <w:rPr>
                <w:rFonts w:hint="eastAsia" w:ascii="宋体" w:hAnsi="宋体" w:eastAsia="宋体" w:cs="宋体"/>
                <w:bCs/>
                <w:color w:val="000000"/>
                <w:kern w:val="0"/>
                <w:sz w:val="24"/>
                <w:szCs w:val="24"/>
                <w:highlight w:val="none"/>
              </w:rPr>
              <w:t>▲</w:t>
            </w:r>
            <w:r>
              <w:rPr>
                <w:rFonts w:hint="eastAsia" w:ascii="宋体" w:hAnsi="宋体" w:eastAsia="宋体" w:cs="宋体"/>
                <w:color w:val="000000"/>
                <w:kern w:val="0"/>
                <w:sz w:val="24"/>
                <w:szCs w:val="24"/>
                <w:highlight w:val="none"/>
                <w:lang w:bidi="ar"/>
              </w:rPr>
              <w:t>”</w:t>
            </w:r>
            <w:r>
              <w:rPr>
                <w:rFonts w:hint="eastAsia" w:asciiTheme="minorEastAsia" w:hAnsiTheme="minorEastAsia" w:eastAsiaTheme="minorEastAsia"/>
                <w:b/>
                <w:sz w:val="24"/>
                <w:highlight w:val="none"/>
              </w:rPr>
              <w:t>的技术参数响应情况以技术规格偏离表中的响应情况为准；标注</w:t>
            </w:r>
            <w:r>
              <w:rPr>
                <w:rFonts w:hint="eastAsia" w:ascii="宋体" w:hAnsi="宋体" w:eastAsia="宋体" w:cs="宋体"/>
                <w:color w:val="000000"/>
                <w:kern w:val="0"/>
                <w:sz w:val="24"/>
                <w:szCs w:val="24"/>
                <w:highlight w:val="none"/>
                <w:lang w:bidi="ar"/>
              </w:rPr>
              <w:t>“</w:t>
            </w:r>
            <w:r>
              <w:rPr>
                <w:rFonts w:hint="eastAsia" w:ascii="宋体" w:hAnsi="宋体" w:eastAsia="宋体" w:cs="宋体"/>
                <w:bCs/>
                <w:color w:val="000000"/>
                <w:kern w:val="0"/>
                <w:sz w:val="24"/>
                <w:szCs w:val="24"/>
                <w:highlight w:val="none"/>
              </w:rPr>
              <w:t>▲</w:t>
            </w:r>
            <w:r>
              <w:rPr>
                <w:rFonts w:hint="eastAsia" w:ascii="宋体" w:hAnsi="宋体" w:eastAsia="宋体" w:cs="宋体"/>
                <w:color w:val="000000"/>
                <w:kern w:val="0"/>
                <w:sz w:val="24"/>
                <w:szCs w:val="24"/>
                <w:highlight w:val="none"/>
                <w:lang w:bidi="ar"/>
              </w:rPr>
              <w:t>”</w:t>
            </w:r>
            <w:r>
              <w:rPr>
                <w:rFonts w:hint="eastAsia" w:asciiTheme="minorEastAsia" w:hAnsiTheme="minorEastAsia" w:eastAsiaTheme="minorEastAsia"/>
                <w:b/>
                <w:sz w:val="24"/>
                <w:highlight w:val="none"/>
              </w:rPr>
              <w:t>的条款，须提供相关证明材料，如招标文件中明确要求证明材料类型，则以招标文件明确要求的材料为准，如未明确证明材料的类型，则以技术支持资料作为评审依据，技术支持资料包括：医疗器械注册证、具有“CMA”标识且在有效期内的检测或检验报告扫描件或者由放射卫生技术服务机构出具的且在有效期内的检测或检验报告并提供卫健委官网查询截图、技术彩页、技术白皮书、官网截图等，提供其中之一即可。</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698342A7">
            <w:pPr>
              <w:spacing w:line="360" w:lineRule="auto"/>
              <w:jc w:val="center"/>
              <w:rPr>
                <w:rFonts w:ascii="宋体" w:hAnsi="宋体" w:eastAsia="宋体"/>
                <w:b/>
                <w:bCs/>
                <w:sz w:val="24"/>
                <w:highlight w:val="none"/>
              </w:rPr>
            </w:pPr>
            <w:r>
              <w:rPr>
                <w:rFonts w:hint="eastAsia" w:ascii="宋体" w:hAnsi="宋体" w:eastAsia="宋体"/>
                <w:bCs/>
                <w:sz w:val="24"/>
                <w:highlight w:val="none"/>
              </w:rPr>
              <w:t>0-</w:t>
            </w:r>
            <w:r>
              <w:rPr>
                <w:rFonts w:hint="eastAsia" w:ascii="宋体" w:hAnsi="宋体" w:eastAsia="宋体"/>
                <w:bCs/>
                <w:sz w:val="24"/>
                <w:highlight w:val="none"/>
                <w:lang w:val="en-US" w:eastAsia="zh-CN"/>
              </w:rPr>
              <w:t>33</w:t>
            </w:r>
            <w:r>
              <w:rPr>
                <w:rFonts w:hint="eastAsia" w:ascii="宋体" w:hAnsi="宋体" w:eastAsia="宋体"/>
                <w:bCs/>
                <w:sz w:val="24"/>
                <w:highlight w:val="none"/>
              </w:rPr>
              <w:t>分</w:t>
            </w:r>
          </w:p>
        </w:tc>
      </w:tr>
      <w:tr w14:paraId="4B8C3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tcBorders>
              <w:left w:val="single" w:color="auto" w:sz="4" w:space="0"/>
              <w:right w:val="single" w:color="auto" w:sz="4" w:space="0"/>
            </w:tcBorders>
            <w:noWrap w:val="0"/>
            <w:vAlign w:val="center"/>
          </w:tcPr>
          <w:p w14:paraId="4639B073">
            <w:pPr>
              <w:spacing w:line="360" w:lineRule="auto"/>
              <w:ind w:firstLine="435"/>
              <w:jc w:val="center"/>
              <w:rPr>
                <w:rFonts w:ascii="宋体" w:hAnsi="宋体" w:eastAsia="宋体"/>
                <w:b/>
                <w:bCs/>
                <w:sz w:val="24"/>
                <w:highlight w:val="none"/>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14:paraId="614584DD">
            <w:pPr>
              <w:spacing w:line="360" w:lineRule="auto"/>
              <w:jc w:val="center"/>
              <w:rPr>
                <w:rFonts w:ascii="宋体" w:hAnsi="宋体" w:eastAsia="宋体"/>
                <w:sz w:val="24"/>
                <w:highlight w:val="none"/>
              </w:rPr>
            </w:pPr>
            <w:r>
              <w:rPr>
                <w:rFonts w:hint="eastAsia" w:ascii="宋体" w:hAnsi="宋体" w:eastAsia="宋体"/>
                <w:sz w:val="24"/>
                <w:highlight w:val="none"/>
              </w:rPr>
              <w:t>产品业绩</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49056C19">
            <w:pPr>
              <w:jc w:val="left"/>
              <w:rPr>
                <w:rFonts w:ascii="宋体" w:hAnsi="宋体" w:eastAsia="宋体"/>
                <w:sz w:val="24"/>
                <w:highlight w:val="none"/>
              </w:rPr>
            </w:pPr>
            <w:r>
              <w:rPr>
                <w:rFonts w:hint="eastAsia" w:ascii="宋体" w:hAnsi="宋体" w:eastAsia="宋体"/>
                <w:sz w:val="24"/>
                <w:highlight w:val="none"/>
              </w:rPr>
              <w:t>202</w:t>
            </w:r>
            <w:r>
              <w:rPr>
                <w:rFonts w:hint="eastAsia" w:ascii="宋体" w:hAnsi="宋体" w:eastAsia="宋体"/>
                <w:sz w:val="24"/>
                <w:highlight w:val="none"/>
                <w:lang w:val="en-US" w:eastAsia="zh-CN"/>
              </w:rPr>
              <w:t>2</w:t>
            </w:r>
            <w:r>
              <w:rPr>
                <w:rFonts w:hint="eastAsia" w:ascii="宋体" w:hAnsi="宋体" w:eastAsia="宋体"/>
                <w:sz w:val="24"/>
                <w:highlight w:val="none"/>
              </w:rPr>
              <w:t>年01月01日至今（以合同签订时间为准），具有所投</w:t>
            </w:r>
            <w:r>
              <w:rPr>
                <w:rFonts w:hint="eastAsia" w:ascii="宋体" w:hAnsi="宋体" w:eastAsia="宋体"/>
                <w:sz w:val="24"/>
                <w:highlight w:val="none"/>
                <w:lang w:eastAsia="zh-CN"/>
              </w:rPr>
              <w:t>设备</w:t>
            </w:r>
            <w:r>
              <w:rPr>
                <w:rFonts w:hint="eastAsia" w:ascii="宋体" w:hAnsi="宋体" w:eastAsia="宋体"/>
                <w:sz w:val="24"/>
                <w:highlight w:val="none"/>
              </w:rPr>
              <w:t>产品（</w:t>
            </w:r>
            <w:r>
              <w:rPr>
                <w:rFonts w:hint="eastAsia" w:ascii="宋体" w:hAnsi="宋体" w:eastAsia="宋体"/>
                <w:b/>
                <w:bCs/>
                <w:sz w:val="24"/>
                <w:highlight w:val="none"/>
              </w:rPr>
              <w:t>同品牌同型号</w:t>
            </w:r>
            <w:r>
              <w:rPr>
                <w:rFonts w:hint="eastAsia" w:ascii="宋体" w:hAnsi="宋体" w:eastAsia="宋体"/>
                <w:b/>
                <w:bCs/>
                <w:sz w:val="24"/>
                <w:highlight w:val="none"/>
                <w:lang w:eastAsia="zh-CN"/>
              </w:rPr>
              <w:t>，</w:t>
            </w:r>
            <w:r>
              <w:rPr>
                <w:rFonts w:hint="eastAsia" w:ascii="宋体" w:hAnsi="宋体" w:eastAsia="宋体"/>
                <w:b/>
                <w:bCs/>
                <w:sz w:val="24"/>
                <w:highlight w:val="none"/>
                <w:lang w:val="en-US" w:eastAsia="zh-CN"/>
              </w:rPr>
              <w:t>至少包括床旁超声机（便携）</w:t>
            </w:r>
            <w:r>
              <w:rPr>
                <w:rFonts w:hint="eastAsia" w:ascii="宋体" w:hAnsi="宋体" w:eastAsia="宋体"/>
                <w:sz w:val="24"/>
                <w:highlight w:val="none"/>
              </w:rPr>
              <w:t>）的供货业绩，每提供一个业绩得</w:t>
            </w:r>
            <w:r>
              <w:rPr>
                <w:rFonts w:hint="eastAsia" w:ascii="宋体" w:hAnsi="宋体" w:eastAsia="宋体"/>
                <w:sz w:val="24"/>
                <w:highlight w:val="none"/>
                <w:lang w:val="en-US" w:eastAsia="zh-CN"/>
              </w:rPr>
              <w:t>1</w:t>
            </w:r>
            <w:r>
              <w:rPr>
                <w:rFonts w:hint="eastAsia" w:ascii="宋体" w:hAnsi="宋体" w:eastAsia="宋体"/>
                <w:sz w:val="24"/>
                <w:highlight w:val="none"/>
              </w:rPr>
              <w:t>分，满分</w:t>
            </w:r>
            <w:r>
              <w:rPr>
                <w:rFonts w:hint="eastAsia" w:ascii="宋体" w:hAnsi="宋体" w:eastAsia="宋体"/>
                <w:sz w:val="24"/>
                <w:highlight w:val="none"/>
                <w:lang w:val="en-US" w:eastAsia="zh-CN"/>
              </w:rPr>
              <w:t>3</w:t>
            </w:r>
            <w:r>
              <w:rPr>
                <w:rFonts w:hint="eastAsia" w:ascii="宋体" w:hAnsi="宋体" w:eastAsia="宋体"/>
                <w:sz w:val="24"/>
                <w:highlight w:val="none"/>
              </w:rPr>
              <w:t>分。</w:t>
            </w:r>
          </w:p>
          <w:p w14:paraId="26E1B34E">
            <w:pPr>
              <w:jc w:val="left"/>
              <w:rPr>
                <w:rFonts w:ascii="宋体" w:hAnsi="宋体" w:eastAsia="宋体"/>
                <w:sz w:val="24"/>
                <w:highlight w:val="none"/>
              </w:rPr>
            </w:pPr>
            <w:r>
              <w:rPr>
                <w:rFonts w:hint="eastAsia" w:ascii="宋体" w:hAnsi="宋体" w:eastAsia="宋体"/>
                <w:b/>
                <w:bCs/>
                <w:sz w:val="24"/>
                <w:highlight w:val="none"/>
              </w:rPr>
              <w:t>注：投标文件中提供合同扫描件。如合同材料中无法体现合同签订时间等评审因素的，须同时提供业主单位加盖公章证明材料扫描件，否则不得分；特别说明：此处业绩系指所投产品业绩，业绩合同中产品须与所投产品品牌型号一致。</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4ECCE554">
            <w:pPr>
              <w:spacing w:line="360" w:lineRule="auto"/>
              <w:jc w:val="center"/>
              <w:rPr>
                <w:rFonts w:ascii="宋体" w:hAnsi="宋体" w:eastAsia="宋体"/>
                <w:b/>
                <w:bCs/>
                <w:sz w:val="24"/>
                <w:highlight w:val="none"/>
              </w:rPr>
            </w:pPr>
            <w:r>
              <w:rPr>
                <w:rFonts w:hint="eastAsia" w:ascii="宋体" w:hAnsi="宋体" w:eastAsia="宋体"/>
                <w:bCs/>
                <w:sz w:val="24"/>
                <w:highlight w:val="none"/>
              </w:rPr>
              <w:t>0-</w:t>
            </w:r>
            <w:r>
              <w:rPr>
                <w:rFonts w:hint="eastAsia" w:ascii="宋体" w:hAnsi="宋体" w:eastAsia="宋体"/>
                <w:bCs/>
                <w:sz w:val="24"/>
                <w:highlight w:val="none"/>
                <w:lang w:val="en-US" w:eastAsia="zh-CN"/>
              </w:rPr>
              <w:t>3</w:t>
            </w:r>
            <w:r>
              <w:rPr>
                <w:rFonts w:hint="eastAsia" w:ascii="宋体" w:hAnsi="宋体" w:eastAsia="宋体"/>
                <w:bCs/>
                <w:sz w:val="24"/>
                <w:highlight w:val="none"/>
              </w:rPr>
              <w:t>分</w:t>
            </w:r>
          </w:p>
        </w:tc>
      </w:tr>
      <w:tr w14:paraId="1B43E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tcBorders>
              <w:left w:val="single" w:color="auto" w:sz="4" w:space="0"/>
              <w:right w:val="single" w:color="auto" w:sz="4" w:space="0"/>
            </w:tcBorders>
            <w:noWrap w:val="0"/>
            <w:vAlign w:val="center"/>
          </w:tcPr>
          <w:p w14:paraId="4845E47E">
            <w:pPr>
              <w:spacing w:line="360" w:lineRule="auto"/>
              <w:ind w:firstLine="435"/>
              <w:jc w:val="center"/>
              <w:rPr>
                <w:rFonts w:ascii="宋体" w:hAnsi="宋体" w:eastAsia="宋体"/>
                <w:b/>
                <w:bCs/>
                <w:sz w:val="24"/>
                <w:highlight w:val="none"/>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14:paraId="4E300A93">
            <w:pPr>
              <w:spacing w:line="360" w:lineRule="auto"/>
              <w:jc w:val="center"/>
              <w:rPr>
                <w:rFonts w:ascii="宋体" w:hAnsi="宋体" w:eastAsia="宋体"/>
                <w:sz w:val="24"/>
                <w:highlight w:val="none"/>
              </w:rPr>
            </w:pPr>
            <w:r>
              <w:rPr>
                <w:rFonts w:hint="eastAsia" w:ascii="宋体" w:hAnsi="宋体" w:eastAsia="宋体"/>
                <w:sz w:val="24"/>
                <w:highlight w:val="none"/>
              </w:rPr>
              <w:t>免费质保期</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27A3D60A">
            <w:pPr>
              <w:jc w:val="left"/>
              <w:rPr>
                <w:rFonts w:ascii="宋体" w:hAnsi="宋体" w:eastAsia="宋体"/>
                <w:sz w:val="24"/>
                <w:highlight w:val="none"/>
              </w:rPr>
            </w:pPr>
            <w:r>
              <w:rPr>
                <w:rFonts w:hint="eastAsia" w:ascii="宋体" w:hAnsi="宋体" w:eastAsia="宋体"/>
                <w:sz w:val="24"/>
                <w:highlight w:val="none"/>
              </w:rPr>
              <w:t>投标人在满足招标文件要求的免费质保期（</w:t>
            </w:r>
            <w:r>
              <w:rPr>
                <w:rFonts w:hint="eastAsia" w:ascii="宋体" w:hAnsi="宋体" w:eastAsia="宋体"/>
                <w:b/>
                <w:bCs/>
                <w:sz w:val="24"/>
                <w:highlight w:val="none"/>
              </w:rPr>
              <w:t>5年</w:t>
            </w:r>
            <w:r>
              <w:rPr>
                <w:rFonts w:hint="eastAsia" w:ascii="宋体" w:hAnsi="宋体" w:eastAsia="宋体"/>
                <w:b/>
                <w:bCs/>
                <w:sz w:val="24"/>
                <w:highlight w:val="none"/>
                <w:lang w:eastAsia="zh-CN"/>
              </w:rPr>
              <w:t>整机</w:t>
            </w:r>
            <w:r>
              <w:rPr>
                <w:rFonts w:hint="eastAsia" w:ascii="宋体" w:hAnsi="宋体" w:eastAsia="宋体"/>
                <w:b/>
                <w:bCs/>
                <w:sz w:val="24"/>
                <w:highlight w:val="none"/>
              </w:rPr>
              <w:t>原厂质保</w:t>
            </w:r>
            <w:r>
              <w:rPr>
                <w:rFonts w:hint="eastAsia" w:ascii="宋体" w:hAnsi="宋体" w:eastAsia="宋体"/>
                <w:sz w:val="24"/>
                <w:highlight w:val="none"/>
              </w:rPr>
              <w:t>）的基础上，免费质保期每增加1年整机</w:t>
            </w:r>
            <w:r>
              <w:rPr>
                <w:rFonts w:hint="eastAsia" w:ascii="宋体" w:hAnsi="宋体" w:eastAsia="宋体"/>
                <w:b w:val="0"/>
                <w:bCs w:val="0"/>
                <w:sz w:val="24"/>
                <w:highlight w:val="none"/>
              </w:rPr>
              <w:t>原厂质保</w:t>
            </w:r>
            <w:r>
              <w:rPr>
                <w:rFonts w:hint="eastAsia" w:ascii="宋体" w:hAnsi="宋体" w:eastAsia="宋体"/>
                <w:sz w:val="24"/>
                <w:highlight w:val="none"/>
              </w:rPr>
              <w:t>的，加</w:t>
            </w:r>
            <w:r>
              <w:rPr>
                <w:rFonts w:hint="eastAsia" w:ascii="宋体" w:hAnsi="宋体" w:eastAsia="宋体"/>
                <w:sz w:val="24"/>
                <w:highlight w:val="none"/>
                <w:lang w:val="en-US" w:eastAsia="zh-CN"/>
              </w:rPr>
              <w:t>3</w:t>
            </w:r>
            <w:r>
              <w:rPr>
                <w:rFonts w:hint="eastAsia" w:ascii="宋体" w:hAnsi="宋体" w:eastAsia="宋体"/>
                <w:sz w:val="24"/>
                <w:highlight w:val="none"/>
              </w:rPr>
              <w:t>分，最高加</w:t>
            </w:r>
            <w:r>
              <w:rPr>
                <w:rFonts w:hint="eastAsia" w:ascii="宋体" w:hAnsi="宋体" w:eastAsia="宋体"/>
                <w:sz w:val="24"/>
                <w:highlight w:val="none"/>
                <w:lang w:val="en-US" w:eastAsia="zh-CN"/>
              </w:rPr>
              <w:t>6</w:t>
            </w:r>
            <w:r>
              <w:rPr>
                <w:rFonts w:hint="eastAsia" w:ascii="宋体" w:hAnsi="宋体" w:eastAsia="宋体"/>
                <w:sz w:val="24"/>
                <w:highlight w:val="none"/>
              </w:rPr>
              <w:t>分（增加不足1年的不加分）。</w:t>
            </w:r>
          </w:p>
          <w:p w14:paraId="01B38489">
            <w:pPr>
              <w:jc w:val="left"/>
              <w:rPr>
                <w:rFonts w:ascii="宋体" w:hAnsi="宋体" w:eastAsia="宋体"/>
                <w:sz w:val="24"/>
                <w:highlight w:val="none"/>
              </w:rPr>
            </w:pPr>
            <w:r>
              <w:rPr>
                <w:rFonts w:hint="eastAsia" w:ascii="宋体" w:hAnsi="宋体" w:eastAsia="宋体"/>
                <w:b/>
                <w:bCs/>
                <w:sz w:val="24"/>
                <w:highlight w:val="none"/>
              </w:rPr>
              <w:t>注：以《商务响应表》中填写的质保期作为评审依据。</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693F0680">
            <w:pPr>
              <w:spacing w:line="360" w:lineRule="auto"/>
              <w:jc w:val="center"/>
              <w:rPr>
                <w:rFonts w:ascii="宋体" w:hAnsi="宋体" w:eastAsia="宋体"/>
                <w:b/>
                <w:bCs/>
                <w:sz w:val="24"/>
                <w:highlight w:val="none"/>
              </w:rPr>
            </w:pPr>
            <w:r>
              <w:rPr>
                <w:rFonts w:hint="eastAsia" w:ascii="宋体" w:hAnsi="宋体" w:eastAsia="宋体"/>
                <w:bCs/>
                <w:sz w:val="24"/>
                <w:highlight w:val="none"/>
              </w:rPr>
              <w:t>0-</w:t>
            </w:r>
            <w:r>
              <w:rPr>
                <w:rFonts w:hint="eastAsia" w:ascii="宋体" w:hAnsi="宋体" w:eastAsia="宋体"/>
                <w:bCs/>
                <w:sz w:val="24"/>
                <w:highlight w:val="none"/>
                <w:lang w:val="en-US" w:eastAsia="zh-CN"/>
              </w:rPr>
              <w:t>6</w:t>
            </w:r>
            <w:r>
              <w:rPr>
                <w:rFonts w:hint="eastAsia" w:ascii="宋体" w:hAnsi="宋体" w:eastAsia="宋体"/>
                <w:bCs/>
                <w:sz w:val="24"/>
                <w:highlight w:val="none"/>
              </w:rPr>
              <w:t>分</w:t>
            </w:r>
          </w:p>
        </w:tc>
      </w:tr>
      <w:tr w14:paraId="686BA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tcBorders>
              <w:left w:val="single" w:color="auto" w:sz="4" w:space="0"/>
              <w:right w:val="single" w:color="auto" w:sz="4" w:space="0"/>
            </w:tcBorders>
            <w:noWrap w:val="0"/>
            <w:vAlign w:val="center"/>
          </w:tcPr>
          <w:p w14:paraId="114170CF">
            <w:pPr>
              <w:spacing w:line="360" w:lineRule="auto"/>
              <w:ind w:firstLine="435"/>
              <w:jc w:val="center"/>
              <w:rPr>
                <w:rFonts w:ascii="宋体" w:hAnsi="宋体" w:eastAsia="宋体"/>
                <w:b/>
                <w:bCs/>
                <w:sz w:val="24"/>
                <w:highlight w:val="none"/>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14:paraId="06C7E667">
            <w:pPr>
              <w:spacing w:line="360" w:lineRule="auto"/>
              <w:jc w:val="center"/>
              <w:rPr>
                <w:rFonts w:ascii="宋体" w:hAnsi="宋体" w:eastAsia="宋体"/>
                <w:sz w:val="24"/>
                <w:highlight w:val="none"/>
              </w:rPr>
            </w:pPr>
            <w:r>
              <w:rPr>
                <w:rFonts w:hint="eastAsia" w:ascii="宋体" w:hAnsi="宋体" w:eastAsia="宋体"/>
                <w:sz w:val="24"/>
                <w:highlight w:val="none"/>
              </w:rPr>
              <w:t>产品技术先</w:t>
            </w:r>
          </w:p>
          <w:p w14:paraId="5837A091">
            <w:pPr>
              <w:spacing w:line="360" w:lineRule="auto"/>
              <w:jc w:val="center"/>
              <w:rPr>
                <w:rFonts w:ascii="宋体" w:hAnsi="宋体" w:eastAsia="宋体"/>
                <w:sz w:val="24"/>
                <w:highlight w:val="none"/>
              </w:rPr>
            </w:pPr>
            <w:r>
              <w:rPr>
                <w:rFonts w:hint="eastAsia" w:ascii="宋体" w:hAnsi="宋体" w:eastAsia="宋体"/>
                <w:sz w:val="24"/>
                <w:highlight w:val="none"/>
              </w:rPr>
              <w:t>进性及维修</w:t>
            </w:r>
          </w:p>
          <w:p w14:paraId="1410976B">
            <w:pPr>
              <w:spacing w:line="360" w:lineRule="auto"/>
              <w:jc w:val="center"/>
              <w:rPr>
                <w:rFonts w:ascii="宋体" w:hAnsi="宋体" w:eastAsia="宋体"/>
                <w:sz w:val="24"/>
                <w:highlight w:val="none"/>
              </w:rPr>
            </w:pPr>
            <w:r>
              <w:rPr>
                <w:rFonts w:hint="eastAsia" w:ascii="宋体" w:hAnsi="宋体" w:eastAsia="宋体"/>
                <w:sz w:val="24"/>
                <w:highlight w:val="none"/>
              </w:rPr>
              <w:t>便利性等</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4466DF49">
            <w:pPr>
              <w:widowControl/>
              <w:jc w:val="left"/>
              <w:rPr>
                <w:highlight w:val="none"/>
              </w:rPr>
            </w:pPr>
            <w:r>
              <w:rPr>
                <w:rFonts w:hint="eastAsia" w:ascii="宋体" w:hAnsi="宋体" w:eastAsia="宋体" w:cs="宋体"/>
                <w:color w:val="000000"/>
                <w:kern w:val="0"/>
                <w:sz w:val="24"/>
                <w:szCs w:val="24"/>
                <w:highlight w:val="none"/>
                <w:lang w:bidi="ar"/>
              </w:rPr>
              <w:t xml:space="preserve">根据投标人所投产品的技术先进性、设备性能、维修便利性、故障率、安全性等方面进行综合评审： </w:t>
            </w:r>
          </w:p>
          <w:p w14:paraId="20B6AEE5">
            <w:pPr>
              <w:widowControl/>
              <w:jc w:val="left"/>
              <w:rPr>
                <w:highlight w:val="none"/>
              </w:rPr>
            </w:pPr>
            <w:r>
              <w:rPr>
                <w:rFonts w:hint="eastAsia" w:ascii="宋体" w:hAnsi="宋体" w:eastAsia="宋体" w:cs="宋体"/>
                <w:color w:val="000000"/>
                <w:kern w:val="0"/>
                <w:sz w:val="24"/>
                <w:szCs w:val="24"/>
                <w:highlight w:val="none"/>
                <w:lang w:bidi="ar"/>
              </w:rPr>
              <w:t>1、所投产品技术先进优越、性能稳定的得</w:t>
            </w:r>
            <w:r>
              <w:rPr>
                <w:rFonts w:hint="eastAsia" w:ascii="宋体" w:hAnsi="宋体" w:eastAsia="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bidi="ar"/>
              </w:rPr>
              <w:t>分；所投产品技术较先进，运行稳定的得</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分；所投产品基本满足要求符合标准的得</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bidi="ar"/>
              </w:rPr>
              <w:t xml:space="preserve">分。 </w:t>
            </w:r>
          </w:p>
          <w:p w14:paraId="2E8BA517">
            <w:pPr>
              <w:widowControl/>
              <w:jc w:val="left"/>
              <w:rPr>
                <w:highlight w:val="none"/>
              </w:rPr>
            </w:pPr>
            <w:r>
              <w:rPr>
                <w:rFonts w:hint="eastAsia" w:ascii="宋体" w:hAnsi="宋体" w:eastAsia="宋体" w:cs="宋体"/>
                <w:color w:val="000000"/>
                <w:kern w:val="0"/>
                <w:sz w:val="24"/>
                <w:szCs w:val="24"/>
                <w:highlight w:val="none"/>
                <w:lang w:bidi="ar"/>
              </w:rPr>
              <w:t xml:space="preserve">2、所投产品维修便利，故障率低、安全性高的得 </w:t>
            </w:r>
            <w:r>
              <w:rPr>
                <w:rFonts w:hint="eastAsia" w:ascii="宋体" w:hAnsi="宋体" w:eastAsia="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bidi="ar"/>
              </w:rPr>
              <w:t>分；所投产品维修较便利，故障率较低的得</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分；所投产品维修便利性有待提高的得</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bidi="ar"/>
              </w:rPr>
              <w:t xml:space="preserve">分。 </w:t>
            </w:r>
          </w:p>
          <w:p w14:paraId="410583A7">
            <w:pPr>
              <w:widowControl/>
              <w:jc w:val="left"/>
              <w:rPr>
                <w:rFonts w:ascii="宋体" w:hAnsi="宋体" w:eastAsia="宋体"/>
                <w:sz w:val="24"/>
                <w:highlight w:val="none"/>
              </w:rPr>
            </w:pPr>
            <w:r>
              <w:rPr>
                <w:rFonts w:hint="eastAsia" w:ascii="宋体" w:hAnsi="宋体" w:eastAsia="宋体" w:cs="宋体"/>
                <w:b/>
                <w:bCs/>
                <w:color w:val="000000"/>
                <w:kern w:val="0"/>
                <w:sz w:val="24"/>
                <w:szCs w:val="24"/>
                <w:highlight w:val="none"/>
                <w:lang w:bidi="ar"/>
              </w:rPr>
              <w:t>注：投标文件中提供证明材料，证明材料无固定形式，如产品技术说明，故障率、维修使用等说明，未提供任何材料的不得分。</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12224AD4">
            <w:pPr>
              <w:spacing w:line="360" w:lineRule="auto"/>
              <w:jc w:val="center"/>
              <w:rPr>
                <w:rFonts w:ascii="宋体" w:hAnsi="宋体" w:eastAsia="宋体"/>
                <w:b/>
                <w:bCs/>
                <w:sz w:val="24"/>
                <w:highlight w:val="none"/>
              </w:rPr>
            </w:pPr>
            <w:r>
              <w:rPr>
                <w:rFonts w:hint="eastAsia" w:ascii="宋体" w:hAnsi="宋体" w:eastAsia="宋体"/>
                <w:bCs/>
                <w:sz w:val="24"/>
                <w:highlight w:val="none"/>
              </w:rPr>
              <w:t>0-</w:t>
            </w:r>
            <w:r>
              <w:rPr>
                <w:rFonts w:hint="eastAsia" w:ascii="宋体" w:hAnsi="宋体" w:eastAsia="宋体"/>
                <w:bCs/>
                <w:sz w:val="24"/>
                <w:highlight w:val="none"/>
                <w:lang w:val="en-US" w:eastAsia="zh-CN"/>
              </w:rPr>
              <w:t>8</w:t>
            </w:r>
            <w:r>
              <w:rPr>
                <w:rFonts w:hint="eastAsia" w:ascii="宋体" w:hAnsi="宋体" w:eastAsia="宋体"/>
                <w:bCs/>
                <w:sz w:val="24"/>
                <w:highlight w:val="none"/>
              </w:rPr>
              <w:t>分</w:t>
            </w:r>
          </w:p>
        </w:tc>
      </w:tr>
      <w:tr w14:paraId="7CAA5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tcBorders>
              <w:left w:val="single" w:color="auto" w:sz="4" w:space="0"/>
              <w:right w:val="single" w:color="auto" w:sz="4" w:space="0"/>
            </w:tcBorders>
            <w:noWrap w:val="0"/>
            <w:vAlign w:val="center"/>
          </w:tcPr>
          <w:p w14:paraId="1F5870E9">
            <w:pPr>
              <w:spacing w:line="360" w:lineRule="auto"/>
              <w:ind w:firstLine="435"/>
              <w:jc w:val="center"/>
              <w:rPr>
                <w:rFonts w:ascii="宋体" w:hAnsi="宋体" w:eastAsia="宋体"/>
                <w:b/>
                <w:bCs/>
                <w:sz w:val="24"/>
                <w:highlight w:val="none"/>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14:paraId="696C7C7C">
            <w:pPr>
              <w:spacing w:line="360" w:lineRule="auto"/>
              <w:jc w:val="center"/>
              <w:rPr>
                <w:rFonts w:ascii="宋体" w:hAnsi="宋体" w:eastAsia="宋体"/>
                <w:sz w:val="24"/>
                <w:highlight w:val="none"/>
              </w:rPr>
            </w:pPr>
            <w:r>
              <w:rPr>
                <w:rFonts w:hint="eastAsia" w:ascii="宋体" w:hAnsi="宋体" w:eastAsia="宋体"/>
                <w:sz w:val="24"/>
                <w:highlight w:val="none"/>
              </w:rPr>
              <w:t>供货安装及调试方案</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14A433C7">
            <w:pPr>
              <w:rPr>
                <w:rFonts w:ascii="宋体" w:hAnsi="宋体" w:eastAsia="宋体"/>
                <w:sz w:val="24"/>
                <w:highlight w:val="none"/>
              </w:rPr>
            </w:pPr>
            <w:r>
              <w:rPr>
                <w:rFonts w:hint="eastAsia" w:ascii="宋体" w:hAnsi="宋体" w:eastAsia="宋体"/>
                <w:sz w:val="24"/>
                <w:highlight w:val="none"/>
              </w:rPr>
              <w:t>评标委员会根据投标人提供的供货安装及调试方案进行评分，内容包括但不限于供货安装计划、调试流程、安全措施等方面。</w:t>
            </w:r>
          </w:p>
          <w:p w14:paraId="71D6B37A">
            <w:pPr>
              <w:rPr>
                <w:rFonts w:ascii="宋体" w:hAnsi="宋体" w:eastAsia="宋体"/>
                <w:sz w:val="24"/>
                <w:highlight w:val="none"/>
              </w:rPr>
            </w:pPr>
            <w:r>
              <w:rPr>
                <w:rFonts w:hint="eastAsia" w:ascii="宋体" w:hAnsi="宋体" w:eastAsia="宋体"/>
                <w:sz w:val="24"/>
                <w:highlight w:val="none"/>
                <w:lang w:val="en-US" w:eastAsia="zh-CN"/>
              </w:rPr>
              <w:t>1、</w:t>
            </w:r>
            <w:r>
              <w:rPr>
                <w:rFonts w:hint="eastAsia" w:ascii="宋体" w:hAnsi="宋体" w:eastAsia="宋体"/>
                <w:sz w:val="24"/>
                <w:highlight w:val="none"/>
              </w:rPr>
              <w:t xml:space="preserve">方案内容完整详细，满足项目需求，可行性、实用性、针对性强，得 </w:t>
            </w:r>
            <w:r>
              <w:rPr>
                <w:rFonts w:hint="eastAsia" w:ascii="宋体" w:hAnsi="宋体" w:eastAsia="宋体"/>
                <w:sz w:val="24"/>
                <w:highlight w:val="none"/>
                <w:lang w:val="en-US" w:eastAsia="zh-CN"/>
              </w:rPr>
              <w:t>5</w:t>
            </w:r>
            <w:r>
              <w:rPr>
                <w:rFonts w:hint="eastAsia" w:ascii="宋体" w:hAnsi="宋体" w:eastAsia="宋体"/>
                <w:sz w:val="24"/>
                <w:highlight w:val="none"/>
              </w:rPr>
              <w:t xml:space="preserve"> 分；</w:t>
            </w:r>
          </w:p>
          <w:p w14:paraId="62991F79">
            <w:pPr>
              <w:rPr>
                <w:rFonts w:ascii="宋体" w:hAnsi="宋体" w:eastAsia="宋体"/>
                <w:sz w:val="24"/>
                <w:highlight w:val="none"/>
              </w:rPr>
            </w:pPr>
            <w:r>
              <w:rPr>
                <w:rFonts w:hint="eastAsia" w:ascii="宋体" w:hAnsi="宋体" w:eastAsia="宋体"/>
                <w:sz w:val="24"/>
                <w:highlight w:val="none"/>
                <w:lang w:val="en-US" w:eastAsia="zh-CN"/>
              </w:rPr>
              <w:t>2、</w:t>
            </w:r>
            <w:r>
              <w:rPr>
                <w:rFonts w:hint="eastAsia" w:ascii="宋体" w:hAnsi="宋体" w:eastAsia="宋体"/>
                <w:sz w:val="24"/>
                <w:highlight w:val="none"/>
              </w:rPr>
              <w:t xml:space="preserve">方案内容基本完整详细，适合项目需求，具有可行性、实用性和针对性，得 </w:t>
            </w:r>
            <w:r>
              <w:rPr>
                <w:rFonts w:hint="eastAsia" w:ascii="宋体" w:hAnsi="宋体" w:eastAsia="宋体"/>
                <w:sz w:val="24"/>
                <w:highlight w:val="none"/>
                <w:lang w:val="en-US" w:eastAsia="zh-CN"/>
              </w:rPr>
              <w:t>3</w:t>
            </w:r>
            <w:r>
              <w:rPr>
                <w:rFonts w:hint="eastAsia" w:ascii="宋体" w:hAnsi="宋体" w:eastAsia="宋体"/>
                <w:sz w:val="24"/>
                <w:highlight w:val="none"/>
              </w:rPr>
              <w:t xml:space="preserve"> 分；</w:t>
            </w:r>
          </w:p>
          <w:p w14:paraId="3279A647">
            <w:pPr>
              <w:rPr>
                <w:rFonts w:ascii="宋体" w:hAnsi="宋体" w:eastAsia="宋体"/>
                <w:sz w:val="24"/>
                <w:highlight w:val="none"/>
              </w:rPr>
            </w:pPr>
            <w:r>
              <w:rPr>
                <w:rFonts w:hint="eastAsia" w:ascii="宋体" w:hAnsi="宋体" w:eastAsia="宋体"/>
                <w:sz w:val="24"/>
                <w:highlight w:val="none"/>
                <w:lang w:val="en-US" w:eastAsia="zh-CN"/>
              </w:rPr>
              <w:t>3、</w:t>
            </w:r>
            <w:r>
              <w:rPr>
                <w:rFonts w:hint="eastAsia" w:ascii="宋体" w:hAnsi="宋体" w:eastAsia="宋体"/>
                <w:sz w:val="24"/>
                <w:highlight w:val="none"/>
              </w:rPr>
              <w:t>方案内容片面不全，基本适合项目需求，可行性、实用性、针对性有待改善，得 1 分；</w:t>
            </w:r>
          </w:p>
          <w:p w14:paraId="37A92E80">
            <w:pPr>
              <w:rPr>
                <w:rFonts w:ascii="宋体" w:hAnsi="宋体" w:eastAsia="宋体"/>
                <w:sz w:val="24"/>
                <w:highlight w:val="none"/>
              </w:rPr>
            </w:pPr>
            <w:r>
              <w:rPr>
                <w:rFonts w:hint="eastAsia" w:ascii="宋体" w:hAnsi="宋体" w:eastAsia="宋体"/>
                <w:sz w:val="24"/>
                <w:highlight w:val="none"/>
                <w:lang w:val="en-US" w:eastAsia="zh-CN"/>
              </w:rPr>
              <w:t>4、</w:t>
            </w:r>
            <w:r>
              <w:rPr>
                <w:rFonts w:hint="eastAsia" w:ascii="宋体" w:hAnsi="宋体" w:eastAsia="宋体"/>
                <w:sz w:val="24"/>
                <w:highlight w:val="none"/>
              </w:rPr>
              <w:t>方案不可行或者未提供得 0 分。</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19B15A1D">
            <w:pPr>
              <w:spacing w:line="360" w:lineRule="auto"/>
              <w:jc w:val="center"/>
              <w:rPr>
                <w:rFonts w:ascii="宋体" w:hAnsi="宋体" w:eastAsia="宋体"/>
                <w:b/>
                <w:bCs/>
                <w:sz w:val="24"/>
                <w:highlight w:val="none"/>
              </w:rPr>
            </w:pPr>
            <w:r>
              <w:rPr>
                <w:rFonts w:hint="eastAsia" w:ascii="宋体" w:hAnsi="宋体" w:eastAsia="宋体"/>
                <w:bCs/>
                <w:sz w:val="24"/>
                <w:highlight w:val="none"/>
              </w:rPr>
              <w:t>0-</w:t>
            </w:r>
            <w:r>
              <w:rPr>
                <w:rFonts w:hint="eastAsia" w:ascii="宋体" w:hAnsi="宋体" w:eastAsia="宋体"/>
                <w:bCs/>
                <w:sz w:val="24"/>
                <w:highlight w:val="none"/>
                <w:lang w:val="en-US" w:eastAsia="zh-CN"/>
              </w:rPr>
              <w:t>5</w:t>
            </w:r>
            <w:r>
              <w:rPr>
                <w:rFonts w:hint="eastAsia" w:ascii="宋体" w:hAnsi="宋体" w:eastAsia="宋体"/>
                <w:bCs/>
                <w:sz w:val="24"/>
                <w:highlight w:val="none"/>
              </w:rPr>
              <w:t>分</w:t>
            </w:r>
          </w:p>
        </w:tc>
      </w:tr>
      <w:tr w14:paraId="1BEF5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tcBorders>
              <w:left w:val="single" w:color="auto" w:sz="4" w:space="0"/>
              <w:right w:val="single" w:color="auto" w:sz="4" w:space="0"/>
            </w:tcBorders>
            <w:noWrap w:val="0"/>
            <w:vAlign w:val="center"/>
          </w:tcPr>
          <w:p w14:paraId="3F6BE105">
            <w:pPr>
              <w:spacing w:line="360" w:lineRule="auto"/>
              <w:ind w:firstLine="435"/>
              <w:jc w:val="center"/>
              <w:rPr>
                <w:rFonts w:ascii="宋体" w:hAnsi="宋体" w:eastAsia="宋体"/>
                <w:b/>
                <w:bCs/>
                <w:sz w:val="24"/>
                <w:highlight w:val="none"/>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14:paraId="68825158">
            <w:pPr>
              <w:spacing w:line="360" w:lineRule="auto"/>
              <w:jc w:val="center"/>
              <w:rPr>
                <w:rFonts w:ascii="宋体" w:hAnsi="宋体" w:eastAsia="宋体"/>
                <w:sz w:val="24"/>
                <w:highlight w:val="none"/>
              </w:rPr>
            </w:pPr>
            <w:r>
              <w:rPr>
                <w:rFonts w:hint="eastAsia" w:ascii="宋体" w:hAnsi="宋体" w:eastAsia="宋体"/>
                <w:sz w:val="24"/>
                <w:highlight w:val="none"/>
              </w:rPr>
              <w:t>培训方案</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45B76909">
            <w:pPr>
              <w:rPr>
                <w:rFonts w:ascii="宋体" w:hAnsi="宋体" w:eastAsia="宋体"/>
                <w:sz w:val="24"/>
                <w:highlight w:val="none"/>
              </w:rPr>
            </w:pPr>
            <w:r>
              <w:rPr>
                <w:rFonts w:hint="eastAsia" w:ascii="宋体" w:hAnsi="宋体" w:eastAsia="宋体"/>
                <w:sz w:val="24"/>
                <w:highlight w:val="none"/>
              </w:rPr>
              <w:t xml:space="preserve">评标委员会根据投标人提供的培训方案进行评分，内容包括但不限于仪器设备的理论培训、实际操作培训、各种技术参数设定、软件的培训和应用、简单故障排除、系统恢复方法与设备日常维护与保养方案等方面。 </w:t>
            </w:r>
          </w:p>
          <w:p w14:paraId="741F527C">
            <w:pPr>
              <w:rPr>
                <w:rFonts w:ascii="宋体" w:hAnsi="宋体" w:eastAsia="宋体"/>
                <w:sz w:val="24"/>
                <w:highlight w:val="none"/>
              </w:rPr>
            </w:pPr>
            <w:r>
              <w:rPr>
                <w:rFonts w:hint="eastAsia" w:ascii="宋体" w:hAnsi="宋体" w:eastAsia="宋体"/>
                <w:sz w:val="24"/>
                <w:highlight w:val="none"/>
                <w:lang w:val="en-US" w:eastAsia="zh-CN"/>
              </w:rPr>
              <w:t>1、</w:t>
            </w:r>
            <w:r>
              <w:rPr>
                <w:rFonts w:hint="eastAsia" w:ascii="宋体" w:hAnsi="宋体" w:eastAsia="宋体"/>
                <w:sz w:val="24"/>
                <w:highlight w:val="none"/>
              </w:rPr>
              <w:t xml:space="preserve">方案内容完整详细，满足项目需求，可行性、实用性、针对性强，得 </w:t>
            </w:r>
            <w:r>
              <w:rPr>
                <w:rFonts w:hint="eastAsia" w:ascii="宋体" w:hAnsi="宋体" w:eastAsia="宋体"/>
                <w:sz w:val="24"/>
                <w:highlight w:val="none"/>
                <w:lang w:val="en-US" w:eastAsia="zh-CN"/>
              </w:rPr>
              <w:t>5</w:t>
            </w:r>
            <w:r>
              <w:rPr>
                <w:rFonts w:hint="eastAsia" w:ascii="宋体" w:hAnsi="宋体" w:eastAsia="宋体"/>
                <w:sz w:val="24"/>
                <w:highlight w:val="none"/>
              </w:rPr>
              <w:t xml:space="preserve"> 分；</w:t>
            </w:r>
          </w:p>
          <w:p w14:paraId="3CC0BDD3">
            <w:pPr>
              <w:rPr>
                <w:rFonts w:ascii="宋体" w:hAnsi="宋体" w:eastAsia="宋体"/>
                <w:sz w:val="24"/>
                <w:highlight w:val="none"/>
              </w:rPr>
            </w:pPr>
            <w:r>
              <w:rPr>
                <w:rFonts w:hint="eastAsia" w:ascii="宋体" w:hAnsi="宋体" w:eastAsia="宋体"/>
                <w:sz w:val="24"/>
                <w:highlight w:val="none"/>
                <w:lang w:val="en-US" w:eastAsia="zh-CN"/>
              </w:rPr>
              <w:t>2、</w:t>
            </w:r>
            <w:r>
              <w:rPr>
                <w:rFonts w:hint="eastAsia" w:ascii="宋体" w:hAnsi="宋体" w:eastAsia="宋体"/>
                <w:sz w:val="24"/>
                <w:highlight w:val="none"/>
              </w:rPr>
              <w:t xml:space="preserve">方案内容基本完整详细，适合项目需求，具有可行性、实用性和针对性，得 </w:t>
            </w:r>
            <w:r>
              <w:rPr>
                <w:rFonts w:hint="eastAsia" w:ascii="宋体" w:hAnsi="宋体" w:eastAsia="宋体"/>
                <w:sz w:val="24"/>
                <w:highlight w:val="none"/>
                <w:lang w:val="en-US" w:eastAsia="zh-CN"/>
              </w:rPr>
              <w:t>3</w:t>
            </w:r>
            <w:r>
              <w:rPr>
                <w:rFonts w:hint="eastAsia" w:ascii="宋体" w:hAnsi="宋体" w:eastAsia="宋体"/>
                <w:sz w:val="24"/>
                <w:highlight w:val="none"/>
              </w:rPr>
              <w:t xml:space="preserve"> 分； </w:t>
            </w:r>
          </w:p>
          <w:p w14:paraId="6B49E5EF">
            <w:pPr>
              <w:rPr>
                <w:rFonts w:ascii="宋体" w:hAnsi="宋体" w:eastAsia="宋体"/>
                <w:sz w:val="24"/>
                <w:highlight w:val="none"/>
              </w:rPr>
            </w:pPr>
            <w:r>
              <w:rPr>
                <w:rFonts w:hint="eastAsia" w:ascii="宋体" w:hAnsi="宋体" w:eastAsia="宋体"/>
                <w:sz w:val="24"/>
                <w:highlight w:val="none"/>
                <w:lang w:val="en-US" w:eastAsia="zh-CN"/>
              </w:rPr>
              <w:t>3、</w:t>
            </w:r>
            <w:r>
              <w:rPr>
                <w:rFonts w:hint="eastAsia" w:ascii="宋体" w:hAnsi="宋体" w:eastAsia="宋体"/>
                <w:sz w:val="24"/>
                <w:highlight w:val="none"/>
              </w:rPr>
              <w:t xml:space="preserve">方案内容片面不全，基本适合项目需求，可行性、实用性、针对性有待改善，得 1 分； </w:t>
            </w:r>
          </w:p>
          <w:p w14:paraId="43328F11">
            <w:pPr>
              <w:rPr>
                <w:rFonts w:ascii="宋体" w:hAnsi="宋体" w:eastAsia="宋体"/>
                <w:sz w:val="24"/>
                <w:highlight w:val="none"/>
              </w:rPr>
            </w:pPr>
            <w:r>
              <w:rPr>
                <w:rFonts w:hint="eastAsia" w:ascii="宋体" w:hAnsi="宋体" w:eastAsia="宋体"/>
                <w:sz w:val="24"/>
                <w:highlight w:val="none"/>
                <w:lang w:val="en-US" w:eastAsia="zh-CN"/>
              </w:rPr>
              <w:t>4、</w:t>
            </w:r>
            <w:r>
              <w:rPr>
                <w:rFonts w:hint="eastAsia" w:ascii="宋体" w:hAnsi="宋体" w:eastAsia="宋体"/>
                <w:sz w:val="24"/>
                <w:highlight w:val="none"/>
              </w:rPr>
              <w:t>方案不可行或者未提供得 0 分。</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15366DCB">
            <w:pPr>
              <w:adjustRightInd w:val="0"/>
              <w:snapToGrid w:val="0"/>
              <w:spacing w:line="400" w:lineRule="exact"/>
              <w:jc w:val="center"/>
              <w:rPr>
                <w:rFonts w:ascii="宋体" w:hAnsi="宋体" w:eastAsia="宋体"/>
                <w:bCs/>
                <w:sz w:val="24"/>
                <w:highlight w:val="none"/>
              </w:rPr>
            </w:pPr>
            <w:r>
              <w:rPr>
                <w:rFonts w:hint="eastAsia" w:ascii="宋体" w:hAnsi="宋体" w:eastAsia="宋体"/>
                <w:sz w:val="24"/>
                <w:highlight w:val="none"/>
              </w:rPr>
              <w:t>0-</w:t>
            </w:r>
            <w:r>
              <w:rPr>
                <w:rFonts w:hint="eastAsia" w:ascii="宋体" w:hAnsi="宋体" w:eastAsia="宋体"/>
                <w:sz w:val="24"/>
                <w:highlight w:val="none"/>
                <w:lang w:val="en-US" w:eastAsia="zh-CN"/>
              </w:rPr>
              <w:t>5</w:t>
            </w:r>
            <w:r>
              <w:rPr>
                <w:rFonts w:hint="eastAsia" w:ascii="宋体" w:hAnsi="宋体" w:eastAsia="宋体"/>
                <w:sz w:val="24"/>
                <w:highlight w:val="none"/>
              </w:rPr>
              <w:t>分</w:t>
            </w:r>
          </w:p>
        </w:tc>
      </w:tr>
      <w:tr w14:paraId="6699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Merge w:val="continue"/>
            <w:tcBorders>
              <w:left w:val="single" w:color="auto" w:sz="4" w:space="0"/>
              <w:right w:val="single" w:color="auto" w:sz="4" w:space="0"/>
            </w:tcBorders>
            <w:noWrap w:val="0"/>
            <w:vAlign w:val="center"/>
          </w:tcPr>
          <w:p w14:paraId="2CB0DEF3">
            <w:pPr>
              <w:spacing w:line="360" w:lineRule="auto"/>
              <w:ind w:firstLine="435"/>
              <w:jc w:val="center"/>
              <w:rPr>
                <w:rFonts w:ascii="宋体" w:hAnsi="宋体" w:eastAsia="宋体"/>
                <w:b/>
                <w:bCs/>
                <w:sz w:val="24"/>
                <w:highlight w:val="none"/>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14:paraId="23710277">
            <w:pPr>
              <w:snapToGrid w:val="0"/>
              <w:jc w:val="center"/>
              <w:rPr>
                <w:rFonts w:ascii="宋体" w:hAnsi="宋体" w:eastAsia="宋体"/>
                <w:sz w:val="24"/>
                <w:highlight w:val="none"/>
              </w:rPr>
            </w:pPr>
            <w:r>
              <w:rPr>
                <w:rFonts w:hint="eastAsia" w:ascii="宋体" w:hAnsi="宋体" w:eastAsia="宋体" w:cs="宋体"/>
                <w:bCs/>
                <w:color w:val="000000" w:themeColor="text1"/>
                <w:sz w:val="24"/>
                <w:szCs w:val="20"/>
                <w:highlight w:val="none"/>
                <w14:textFill>
                  <w14:solidFill>
                    <w14:schemeClr w14:val="tx1"/>
                  </w14:solidFill>
                </w14:textFill>
              </w:rPr>
              <w:t>售后</w:t>
            </w:r>
            <w:r>
              <w:rPr>
                <w:rFonts w:hint="eastAsia" w:ascii="宋体" w:hAnsi="宋体" w:eastAsia="宋体" w:cs="宋体"/>
                <w:bCs/>
                <w:color w:val="000000" w:themeColor="text1"/>
                <w:sz w:val="24"/>
                <w:szCs w:val="20"/>
                <w:highlight w:val="none"/>
                <w:lang w:val="en-US" w:eastAsia="zh-CN"/>
                <w14:textFill>
                  <w14:solidFill>
                    <w14:schemeClr w14:val="tx1"/>
                  </w14:solidFill>
                </w14:textFill>
              </w:rPr>
              <w:t>与应急服务</w:t>
            </w:r>
            <w:r>
              <w:rPr>
                <w:rFonts w:hint="eastAsia" w:ascii="宋体" w:hAnsi="宋体" w:eastAsia="宋体" w:cs="宋体"/>
                <w:bCs/>
                <w:color w:val="000000" w:themeColor="text1"/>
                <w:sz w:val="24"/>
                <w:szCs w:val="20"/>
                <w:highlight w:val="none"/>
                <w14:textFill>
                  <w14:solidFill>
                    <w14:schemeClr w14:val="tx1"/>
                  </w14:solidFill>
                </w14:textFill>
              </w:rPr>
              <w:t>方案</w:t>
            </w:r>
          </w:p>
        </w:tc>
        <w:tc>
          <w:tcPr>
            <w:tcW w:w="5337" w:type="dxa"/>
            <w:tcBorders>
              <w:top w:val="single" w:color="auto" w:sz="4" w:space="0"/>
              <w:left w:val="single" w:color="auto" w:sz="4" w:space="0"/>
              <w:bottom w:val="single" w:color="auto" w:sz="4" w:space="0"/>
              <w:right w:val="single" w:color="auto" w:sz="4" w:space="0"/>
            </w:tcBorders>
            <w:noWrap w:val="0"/>
            <w:vAlign w:val="center"/>
          </w:tcPr>
          <w:p w14:paraId="56189A15">
            <w:pPr>
              <w:spacing w:line="24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评标委员会依据投标人提供的售后与应急服务方案进行综合评审：</w:t>
            </w:r>
          </w:p>
          <w:p w14:paraId="7C9FB0F4">
            <w:pPr>
              <w:keepNext w:val="0"/>
              <w:keepLines w:val="0"/>
              <w:widowControl/>
              <w:suppressLineNumbers w:val="0"/>
              <w:jc w:val="left"/>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1.根据投标人提供</w:t>
            </w:r>
            <w:r>
              <w:rPr>
                <w:rFonts w:hint="eastAsia" w:ascii="宋体" w:hAnsi="宋体" w:eastAsia="宋体" w:cs="宋体"/>
                <w:b w:val="0"/>
                <w:bCs w:val="0"/>
                <w:color w:val="000000" w:themeColor="text1"/>
                <w:sz w:val="24"/>
                <w:highlight w:val="none"/>
                <w:lang w:eastAsia="zh-CN"/>
                <w14:textFill>
                  <w14:solidFill>
                    <w14:schemeClr w14:val="tx1"/>
                  </w14:solidFill>
                </w14:textFill>
              </w:rPr>
              <w:t>的</w:t>
            </w:r>
            <w:r>
              <w:rPr>
                <w:rFonts w:hint="eastAsia" w:ascii="宋体" w:hAnsi="宋体" w:eastAsia="宋体" w:cs="宋体"/>
                <w:b w:val="0"/>
                <w:bCs w:val="0"/>
                <w:color w:val="000000" w:themeColor="text1"/>
                <w:sz w:val="24"/>
                <w:highlight w:val="none"/>
                <w14:textFill>
                  <w14:solidFill>
                    <w14:schemeClr w14:val="tx1"/>
                  </w14:solidFill>
                </w14:textFill>
              </w:rPr>
              <w:t>售后服务方案进行综合评审</w:t>
            </w:r>
            <w:r>
              <w:rPr>
                <w:rFonts w:hint="eastAsia" w:ascii="宋体" w:hAnsi="宋体" w:eastAsia="宋体" w:cs="宋体"/>
                <w:b w:val="0"/>
                <w:bCs w:val="0"/>
                <w:color w:val="000000" w:themeColor="text1"/>
                <w:sz w:val="24"/>
                <w:highlight w:val="none"/>
                <w:lang w:eastAsia="zh-CN"/>
                <w14:textFill>
                  <w14:solidFill>
                    <w14:schemeClr w14:val="tx1"/>
                  </w14:solidFill>
                </w14:textFill>
              </w:rPr>
              <w:t>，内容包括但不限于售后服务管理制度、保障措施、维保方式、维保内容、质保期满后的维保费用、时间保证、售后人员配备</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等方面</w:t>
            </w:r>
            <w:r>
              <w:rPr>
                <w:rFonts w:hint="eastAsia" w:ascii="宋体" w:hAnsi="宋体" w:eastAsia="宋体" w:cs="宋体"/>
                <w:b w:val="0"/>
                <w:bCs w:val="0"/>
                <w:color w:val="000000" w:themeColor="text1"/>
                <w:sz w:val="24"/>
                <w:highlight w:val="none"/>
                <w14:textFill>
                  <w14:solidFill>
                    <w14:schemeClr w14:val="tx1"/>
                  </w14:solidFill>
                </w14:textFill>
              </w:rPr>
              <w:t>：</w:t>
            </w:r>
          </w:p>
          <w:p w14:paraId="4ACE5C68">
            <w:pPr>
              <w:numPr>
                <w:ilvl w:val="0"/>
                <w:numId w:val="0"/>
              </w:numPr>
              <w:spacing w:line="24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1</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对本项目的特点和难点理解准确，售后服务方案优于本项目采购需求，可行性、实用性、针对性强，得5分；</w:t>
            </w:r>
          </w:p>
          <w:p w14:paraId="517355C6">
            <w:pPr>
              <w:numPr>
                <w:ilvl w:val="0"/>
                <w:numId w:val="0"/>
              </w:numPr>
              <w:spacing w:line="24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2</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对本项目的特点和难点理解基本准确，售后服务方案基本满足本项目采购需求，具有可行性、实用性和针对性，得3分；</w:t>
            </w:r>
          </w:p>
          <w:p w14:paraId="07C89174">
            <w:pPr>
              <w:numPr>
                <w:ilvl w:val="0"/>
                <w:numId w:val="0"/>
              </w:numPr>
              <w:spacing w:line="24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3</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对本项目的特点和难点理解有待提升，售后服务方案可行性、实用性和针对性有待改善，得1分；</w:t>
            </w:r>
          </w:p>
          <w:p w14:paraId="1C2E6D8F">
            <w:pPr>
              <w:numPr>
                <w:ilvl w:val="0"/>
                <w:numId w:val="0"/>
              </w:numPr>
              <w:spacing w:line="24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4</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未提供方案的不得分。</w:t>
            </w:r>
          </w:p>
          <w:p w14:paraId="14F59065">
            <w:pPr>
              <w:spacing w:line="240" w:lineRule="auto"/>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2.根据投标人提供针对本项目的应急服务</w:t>
            </w:r>
            <w:r>
              <w:rPr>
                <w:rFonts w:hint="eastAsia" w:ascii="宋体" w:hAnsi="宋体" w:eastAsia="宋体" w:cs="宋体"/>
                <w:b w:val="0"/>
                <w:bCs/>
                <w:color w:val="000000" w:themeColor="text1"/>
                <w:sz w:val="24"/>
                <w:highlight w:val="none"/>
                <w:lang w:eastAsia="zh-CN"/>
                <w14:textFill>
                  <w14:solidFill>
                    <w14:schemeClr w14:val="tx1"/>
                  </w14:solidFill>
                </w14:textFill>
              </w:rPr>
              <w:t>方案</w:t>
            </w:r>
            <w:r>
              <w:rPr>
                <w:rFonts w:hint="eastAsia" w:ascii="宋体" w:hAnsi="宋体" w:eastAsia="宋体" w:cs="宋体"/>
                <w:b w:val="0"/>
                <w:bCs/>
                <w:color w:val="000000" w:themeColor="text1"/>
                <w:sz w:val="24"/>
                <w:highlight w:val="none"/>
                <w14:textFill>
                  <w14:solidFill>
                    <w14:schemeClr w14:val="tx1"/>
                  </w14:solidFill>
                </w14:textFill>
              </w:rPr>
              <w:t>进行综合评审</w:t>
            </w:r>
            <w:r>
              <w:rPr>
                <w:rFonts w:hint="eastAsia" w:ascii="宋体" w:hAnsi="宋体" w:eastAsia="宋体" w:cs="宋体"/>
                <w:b w:val="0"/>
                <w:bCs/>
                <w:color w:val="000000" w:themeColor="text1"/>
                <w:sz w:val="24"/>
                <w:highlight w:val="none"/>
                <w:lang w:eastAsia="zh-CN"/>
                <w14:textFill>
                  <w14:solidFill>
                    <w14:schemeClr w14:val="tx1"/>
                  </w14:solidFill>
                </w14:textFill>
              </w:rPr>
              <w:t>，内容包括但不限于产品故障维修响应时间、故障解决方案、零配件更换服务、备品备件供应及服务便利化措施</w:t>
            </w:r>
            <w:r>
              <w:rPr>
                <w:rFonts w:hint="eastAsia" w:ascii="宋体" w:hAnsi="宋体" w:eastAsia="宋体" w:cs="宋体"/>
                <w:b w:val="0"/>
                <w:bCs/>
                <w:color w:val="000000" w:themeColor="text1"/>
                <w:sz w:val="24"/>
                <w:highlight w:val="none"/>
                <w:lang w:val="en-US" w:eastAsia="zh-CN"/>
                <w14:textFill>
                  <w14:solidFill>
                    <w14:schemeClr w14:val="tx1"/>
                  </w14:solidFill>
                </w14:textFill>
              </w:rPr>
              <w:t>等方面</w:t>
            </w:r>
            <w:r>
              <w:rPr>
                <w:rFonts w:hint="eastAsia" w:ascii="宋体" w:hAnsi="宋体" w:eastAsia="宋体" w:cs="宋体"/>
                <w:b w:val="0"/>
                <w:bCs/>
                <w:color w:val="000000" w:themeColor="text1"/>
                <w:sz w:val="24"/>
                <w:highlight w:val="none"/>
                <w14:textFill>
                  <w14:solidFill>
                    <w14:schemeClr w14:val="tx1"/>
                  </w14:solidFill>
                </w14:textFill>
              </w:rPr>
              <w:t>：</w:t>
            </w:r>
          </w:p>
          <w:p w14:paraId="78B934B7">
            <w:pPr>
              <w:spacing w:line="24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1</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应急服务方案完整详细，备品备件供应可以得到充分保障，应急服务响应及时，方案实用性强的，得5分；</w:t>
            </w:r>
          </w:p>
          <w:p w14:paraId="6120D1A7">
            <w:pPr>
              <w:spacing w:line="24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2</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应急服务方案基本完整，备品备件供应基本可以满足使用，应急服务响应较及时，方案实用性较强的，得3分；</w:t>
            </w:r>
          </w:p>
          <w:p w14:paraId="3FC5CD8F">
            <w:pPr>
              <w:spacing w:line="24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3</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应急服务方案内容不够完整，备品备件供应能力有待提升，方案实用性有待加强的得1分；</w:t>
            </w:r>
          </w:p>
          <w:p w14:paraId="4477FB80">
            <w:pPr>
              <w:spacing w:line="240" w:lineRule="auto"/>
              <w:rPr>
                <w:rFonts w:ascii="宋体" w:hAnsi="宋体" w:eastAsia="宋体"/>
                <w:sz w:val="24"/>
                <w:highlight w:val="none"/>
              </w:rPr>
            </w:pP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4</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未提供方案的不得分。</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13A8542A">
            <w:pPr>
              <w:spacing w:line="360" w:lineRule="auto"/>
              <w:jc w:val="center"/>
              <w:rPr>
                <w:rFonts w:ascii="宋体" w:hAnsi="宋体" w:eastAsia="宋体"/>
                <w:sz w:val="24"/>
                <w:highlight w:val="none"/>
              </w:rPr>
            </w:pPr>
            <w:r>
              <w:rPr>
                <w:rFonts w:hint="eastAsia" w:ascii="宋体" w:hAnsi="宋体" w:eastAsia="宋体"/>
                <w:bCs/>
                <w:color w:val="000000" w:themeColor="text1"/>
                <w:sz w:val="24"/>
                <w:highlight w:val="none"/>
                <w14:textFill>
                  <w14:solidFill>
                    <w14:schemeClr w14:val="tx1"/>
                  </w14:solidFill>
                </w14:textFill>
              </w:rPr>
              <w:t>0-</w:t>
            </w:r>
            <w:r>
              <w:rPr>
                <w:rFonts w:hint="eastAsia" w:ascii="宋体" w:hAnsi="宋体" w:eastAsia="宋体"/>
                <w:bCs/>
                <w:color w:val="000000" w:themeColor="text1"/>
                <w:sz w:val="24"/>
                <w:highlight w:val="none"/>
                <w:lang w:val="en-US" w:eastAsia="zh-CN"/>
                <w14:textFill>
                  <w14:solidFill>
                    <w14:schemeClr w14:val="tx1"/>
                  </w14:solidFill>
                </w14:textFill>
              </w:rPr>
              <w:t>10</w:t>
            </w:r>
            <w:r>
              <w:rPr>
                <w:rFonts w:hint="eastAsia" w:ascii="宋体" w:hAnsi="宋体" w:eastAsia="宋体"/>
                <w:bCs/>
                <w:color w:val="000000" w:themeColor="text1"/>
                <w:sz w:val="24"/>
                <w:highlight w:val="none"/>
                <w14:textFill>
                  <w14:solidFill>
                    <w14:schemeClr w14:val="tx1"/>
                  </w14:solidFill>
                </w14:textFill>
              </w:rPr>
              <w:t>分</w:t>
            </w:r>
          </w:p>
        </w:tc>
      </w:tr>
      <w:tr w14:paraId="6AE6B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tcBorders>
              <w:left w:val="single" w:color="auto" w:sz="4" w:space="0"/>
              <w:right w:val="single" w:color="auto" w:sz="4" w:space="0"/>
            </w:tcBorders>
            <w:noWrap w:val="0"/>
            <w:vAlign w:val="center"/>
          </w:tcPr>
          <w:p w14:paraId="47E533BD">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价格分</w:t>
            </w:r>
          </w:p>
          <w:p w14:paraId="661B13E8">
            <w:pPr>
              <w:spacing w:line="360" w:lineRule="auto"/>
              <w:jc w:val="center"/>
              <w:rPr>
                <w:rFonts w:ascii="宋体" w:hAnsi="宋体" w:eastAsia="宋体"/>
                <w:b w:val="0"/>
                <w:bCs w:val="0"/>
                <w:color w:val="000000"/>
                <w:sz w:val="24"/>
                <w:highlight w:val="none"/>
              </w:rPr>
            </w:pP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u w:val="single"/>
              </w:rPr>
              <w:t xml:space="preserve"> 30 </w:t>
            </w:r>
            <w:r>
              <w:rPr>
                <w:rFonts w:hint="eastAsia" w:asciiTheme="minorEastAsia" w:hAnsiTheme="minorEastAsia" w:eastAsiaTheme="minorEastAsia"/>
                <w:sz w:val="24"/>
                <w:highlight w:val="none"/>
              </w:rPr>
              <w:t>分）</w:t>
            </w:r>
          </w:p>
        </w:tc>
        <w:tc>
          <w:tcPr>
            <w:tcW w:w="8259" w:type="dxa"/>
            <w:gridSpan w:val="3"/>
            <w:tcBorders>
              <w:top w:val="single" w:color="auto" w:sz="4" w:space="0"/>
              <w:left w:val="single" w:color="auto" w:sz="4" w:space="0"/>
              <w:bottom w:val="single" w:color="auto" w:sz="4" w:space="0"/>
              <w:right w:val="single" w:color="auto" w:sz="4" w:space="0"/>
            </w:tcBorders>
            <w:noWrap w:val="0"/>
            <w:vAlign w:val="center"/>
          </w:tcPr>
          <w:p w14:paraId="4630F917">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价格分统一采用低价优先法，即满足招标文件要求且投标价格最低的投标报价为评标基准价，其价格分为满分</w:t>
            </w:r>
            <w:r>
              <w:rPr>
                <w:rFonts w:hint="eastAsia" w:asciiTheme="minorEastAsia" w:hAnsiTheme="minorEastAsia" w:eastAsiaTheme="minorEastAsia"/>
                <w:sz w:val="24"/>
                <w:highlight w:val="none"/>
                <w:u w:val="single"/>
              </w:rPr>
              <w:t xml:space="preserve"> 30 </w:t>
            </w:r>
            <w:r>
              <w:rPr>
                <w:rFonts w:hint="eastAsia" w:asciiTheme="minorEastAsia" w:hAnsiTheme="minorEastAsia" w:eastAsiaTheme="minorEastAsia"/>
                <w:sz w:val="24"/>
                <w:highlight w:val="none"/>
              </w:rPr>
              <w:t>分。其他投标人的价格分统一按照下列公式计算：</w:t>
            </w:r>
          </w:p>
          <w:p w14:paraId="13AFBF50">
            <w:pPr>
              <w:spacing w:line="360" w:lineRule="auto"/>
              <w:rPr>
                <w:rFonts w:ascii="宋体" w:hAnsi="宋体" w:eastAsia="宋体"/>
                <w:b w:val="0"/>
                <w:bCs w:val="0"/>
                <w:color w:val="000000"/>
                <w:sz w:val="24"/>
                <w:highlight w:val="none"/>
              </w:rPr>
            </w:pPr>
            <w:r>
              <w:rPr>
                <w:rFonts w:hint="eastAsia" w:asciiTheme="minorEastAsia" w:hAnsiTheme="minorEastAsia" w:eastAsiaTheme="minorEastAsia"/>
                <w:sz w:val="24"/>
                <w:highlight w:val="none"/>
              </w:rPr>
              <w:t>投标报价得分＝（评标基准价/投标报价）×</w:t>
            </w:r>
            <w:r>
              <w:rPr>
                <w:rFonts w:hint="eastAsia" w:asciiTheme="minorEastAsia" w:hAnsiTheme="minorEastAsia" w:eastAsiaTheme="minorEastAsia"/>
                <w:sz w:val="24"/>
                <w:highlight w:val="none"/>
                <w:u w:val="single"/>
              </w:rPr>
              <w:t xml:space="preserve"> 30 </w:t>
            </w:r>
            <w:r>
              <w:rPr>
                <w:rFonts w:hint="eastAsia" w:asciiTheme="minorEastAsia" w:hAnsiTheme="minorEastAsia" w:eastAsiaTheme="minorEastAsia"/>
                <w:sz w:val="24"/>
                <w:highlight w:val="none"/>
              </w:rPr>
              <w:t>％×100</w:t>
            </w:r>
          </w:p>
        </w:tc>
      </w:tr>
    </w:tbl>
    <w:p w14:paraId="790274DB">
      <w:pPr>
        <w:spacing w:line="360" w:lineRule="auto"/>
        <w:rPr>
          <w:rFonts w:hint="eastAsia" w:asciiTheme="minorEastAsia" w:hAnsiTheme="minorEastAsia" w:eastAsiaTheme="minorEastAsia"/>
          <w:b/>
          <w:bCs/>
          <w:sz w:val="24"/>
          <w:highlight w:val="none"/>
          <w:lang w:eastAsia="zh-CN"/>
        </w:rPr>
      </w:pPr>
    </w:p>
    <w:p w14:paraId="3FC7C8F1">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.3.3</w:t>
      </w:r>
      <w:r>
        <w:rPr>
          <w:rFonts w:hint="eastAsia" w:asciiTheme="minorEastAsia" w:hAnsiTheme="minorEastAsia" w:eastAsiaTheme="minorEastAsia"/>
          <w:sz w:val="24"/>
          <w:highlight w:val="none"/>
        </w:rPr>
        <w:t>分值汇总</w:t>
      </w:r>
    </w:p>
    <w:p w14:paraId="51532475">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评标委员会各成员应当独立对每个</w:t>
      </w:r>
      <w:r>
        <w:rPr>
          <w:rFonts w:hint="eastAsia" w:asciiTheme="minorEastAsia" w:hAnsiTheme="minorEastAsia" w:eastAsiaTheme="minorEastAsia"/>
          <w:sz w:val="24"/>
          <w:highlight w:val="none"/>
        </w:rPr>
        <w:t>有效</w:t>
      </w:r>
      <w:r>
        <w:rPr>
          <w:rFonts w:asciiTheme="minorEastAsia" w:hAnsiTheme="minorEastAsia" w:eastAsiaTheme="minorEastAsia"/>
          <w:sz w:val="24"/>
          <w:highlight w:val="none"/>
        </w:rPr>
        <w:t>投标人的投标文件进行评</w:t>
      </w:r>
      <w:r>
        <w:rPr>
          <w:rFonts w:hint="eastAsia" w:asciiTheme="minorEastAsia" w:hAnsiTheme="minorEastAsia" w:eastAsiaTheme="minorEastAsia"/>
          <w:sz w:val="24"/>
          <w:highlight w:val="none"/>
        </w:rPr>
        <w:t>分</w:t>
      </w:r>
      <w:r>
        <w:rPr>
          <w:rFonts w:asciiTheme="minorEastAsia" w:hAnsiTheme="minorEastAsia" w:eastAsiaTheme="minorEastAsia"/>
          <w:sz w:val="24"/>
          <w:highlight w:val="none"/>
        </w:rPr>
        <w:t>，并汇总每个投</w:t>
      </w:r>
      <w:r>
        <w:rPr>
          <w:rFonts w:hint="eastAsia" w:asciiTheme="minorEastAsia" w:hAnsiTheme="minorEastAsia" w:eastAsiaTheme="minorEastAsia"/>
          <w:sz w:val="24"/>
          <w:highlight w:val="none"/>
        </w:rPr>
        <w:t>标人的得分。取各位评委评分之平均值，四舍五入保留至小数点后两位数，</w:t>
      </w:r>
      <w:r>
        <w:rPr>
          <w:rFonts w:asciiTheme="minorEastAsia" w:hAnsiTheme="minorEastAsia" w:eastAsiaTheme="minorEastAsia"/>
          <w:sz w:val="24"/>
          <w:highlight w:val="none"/>
        </w:rPr>
        <w:t>得到该投标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的技术资信分</w:t>
      </w:r>
      <w:r>
        <w:rPr>
          <w:rFonts w:hint="eastAsia" w:asciiTheme="minorEastAsia" w:hAnsiTheme="minorEastAsia" w:eastAsiaTheme="minorEastAsia"/>
          <w:sz w:val="24"/>
          <w:highlight w:val="none"/>
        </w:rPr>
        <w:t>。</w:t>
      </w:r>
    </w:p>
    <w:p w14:paraId="64967E1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将投标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的技术资信分加上根据上述标准计算出的价格分，即为该投标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的综合总得分。</w:t>
      </w:r>
      <w:r>
        <w:rPr>
          <w:rFonts w:asciiTheme="minorEastAsia" w:hAnsiTheme="minorEastAsia" w:eastAsiaTheme="minorEastAsia"/>
          <w:sz w:val="24"/>
          <w:highlight w:val="none"/>
        </w:rPr>
        <w:br w:type="page"/>
      </w:r>
    </w:p>
    <w:p w14:paraId="1CF44E79">
      <w:pPr>
        <w:spacing w:line="360" w:lineRule="auto"/>
        <w:jc w:val="center"/>
        <w:outlineLvl w:val="0"/>
        <w:rPr>
          <w:rFonts w:asciiTheme="minorEastAsia" w:hAnsiTheme="minorEastAsia" w:eastAsiaTheme="minorEastAsia"/>
          <w:b/>
          <w:sz w:val="28"/>
          <w:highlight w:val="none"/>
        </w:rPr>
      </w:pPr>
      <w:bookmarkStart w:id="44" w:name="_Toc4682"/>
      <w:r>
        <w:rPr>
          <w:rFonts w:hint="eastAsia" w:asciiTheme="minorEastAsia" w:hAnsiTheme="minorEastAsia" w:eastAsiaTheme="minorEastAsia"/>
          <w:b/>
          <w:sz w:val="28"/>
          <w:highlight w:val="none"/>
        </w:rPr>
        <w:t xml:space="preserve">第五章  </w:t>
      </w:r>
      <w:r>
        <w:rPr>
          <w:rFonts w:asciiTheme="minorEastAsia" w:hAnsiTheme="minorEastAsia" w:eastAsiaTheme="minorEastAsia"/>
          <w:b/>
          <w:sz w:val="28"/>
          <w:highlight w:val="none"/>
        </w:rPr>
        <w:t>政府采购合同</w:t>
      </w:r>
      <w:bookmarkEnd w:id="44"/>
    </w:p>
    <w:p w14:paraId="2D553C53">
      <w:pPr>
        <w:pStyle w:val="8"/>
        <w:spacing w:after="0" w:line="360" w:lineRule="auto"/>
        <w:rPr>
          <w:rFonts w:ascii="宋体" w:hAnsi="宋体" w:eastAsia="宋体" w:cs="宋体"/>
          <w:b/>
          <w:bCs/>
          <w:spacing w:val="-20"/>
          <w:kern w:val="44"/>
          <w:sz w:val="24"/>
          <w:highlight w:val="none"/>
        </w:rPr>
      </w:pPr>
    </w:p>
    <w:p w14:paraId="7D8AC296">
      <w:pPr>
        <w:pStyle w:val="8"/>
        <w:spacing w:after="0" w:line="360" w:lineRule="auto"/>
        <w:jc w:val="center"/>
        <w:rPr>
          <w:rFonts w:ascii="宋体" w:hAnsi="宋体" w:eastAsia="宋体" w:cs="宋体"/>
          <w:b/>
          <w:bCs/>
          <w:spacing w:val="-20"/>
          <w:kern w:val="44"/>
          <w:sz w:val="24"/>
          <w:highlight w:val="none"/>
        </w:rPr>
      </w:pPr>
    </w:p>
    <w:p w14:paraId="19F234D3">
      <w:pPr>
        <w:pStyle w:val="8"/>
        <w:spacing w:after="0" w:line="360" w:lineRule="auto"/>
        <w:jc w:val="center"/>
        <w:rPr>
          <w:rFonts w:ascii="宋体" w:hAnsi="宋体" w:eastAsia="宋体" w:cs="宋体"/>
          <w:b/>
          <w:bCs/>
          <w:spacing w:val="-20"/>
          <w:kern w:val="44"/>
          <w:sz w:val="24"/>
          <w:highlight w:val="none"/>
        </w:rPr>
      </w:pPr>
    </w:p>
    <w:p w14:paraId="0119801E">
      <w:pPr>
        <w:pStyle w:val="8"/>
        <w:spacing w:after="0" w:line="360" w:lineRule="auto"/>
        <w:jc w:val="center"/>
        <w:rPr>
          <w:rFonts w:ascii="宋体" w:hAnsi="宋体" w:eastAsia="宋体" w:cs="宋体"/>
          <w:b/>
          <w:bCs/>
          <w:spacing w:val="-20"/>
          <w:kern w:val="44"/>
          <w:sz w:val="24"/>
          <w:highlight w:val="none"/>
        </w:rPr>
      </w:pPr>
    </w:p>
    <w:p w14:paraId="4FB5C434">
      <w:pPr>
        <w:spacing w:line="360" w:lineRule="auto"/>
        <w:rPr>
          <w:rFonts w:ascii="宋体" w:hAnsi="宋体" w:eastAsia="宋体" w:cs="宋体"/>
          <w:b/>
          <w:bCs/>
          <w:spacing w:val="-20"/>
          <w:kern w:val="44"/>
          <w:sz w:val="24"/>
          <w:szCs w:val="24"/>
          <w:highlight w:val="none"/>
        </w:rPr>
      </w:pPr>
    </w:p>
    <w:p w14:paraId="24E1A63E">
      <w:pPr>
        <w:pStyle w:val="8"/>
        <w:rPr>
          <w:rFonts w:ascii="宋体" w:hAnsi="宋体" w:eastAsia="宋体" w:cs="宋体"/>
          <w:b/>
          <w:bCs/>
          <w:spacing w:val="-20"/>
          <w:kern w:val="44"/>
          <w:sz w:val="24"/>
          <w:highlight w:val="none"/>
        </w:rPr>
      </w:pPr>
    </w:p>
    <w:p w14:paraId="77BBDB02">
      <w:pPr>
        <w:pStyle w:val="8"/>
        <w:rPr>
          <w:rFonts w:ascii="宋体" w:hAnsi="宋体" w:eastAsia="宋体" w:cs="宋体"/>
          <w:b/>
          <w:bCs/>
          <w:spacing w:val="-20"/>
          <w:kern w:val="44"/>
          <w:sz w:val="24"/>
          <w:highlight w:val="none"/>
        </w:rPr>
      </w:pPr>
    </w:p>
    <w:p w14:paraId="48BFC3D1">
      <w:pPr>
        <w:spacing w:line="360" w:lineRule="auto"/>
        <w:rPr>
          <w:rFonts w:ascii="宋体" w:hAnsi="宋体" w:eastAsia="宋体" w:cs="宋体"/>
          <w:b/>
          <w:bCs/>
          <w:spacing w:val="-20"/>
          <w:kern w:val="44"/>
          <w:sz w:val="24"/>
          <w:szCs w:val="24"/>
          <w:highlight w:val="none"/>
        </w:rPr>
      </w:pPr>
    </w:p>
    <w:p w14:paraId="5FA6CE04">
      <w:pPr>
        <w:pStyle w:val="8"/>
        <w:spacing w:line="360" w:lineRule="auto"/>
        <w:rPr>
          <w:highlight w:val="none"/>
        </w:rPr>
      </w:pPr>
    </w:p>
    <w:p w14:paraId="1E3C3376">
      <w:pPr>
        <w:spacing w:line="360" w:lineRule="auto"/>
        <w:rPr>
          <w:rFonts w:ascii="宋体" w:hAnsi="宋体" w:eastAsia="宋体" w:cs="宋体"/>
          <w:b/>
          <w:bCs/>
          <w:spacing w:val="-20"/>
          <w:kern w:val="44"/>
          <w:sz w:val="24"/>
          <w:szCs w:val="24"/>
          <w:highlight w:val="none"/>
        </w:rPr>
      </w:pPr>
    </w:p>
    <w:p w14:paraId="1BF34E37">
      <w:pPr>
        <w:spacing w:line="360" w:lineRule="auto"/>
        <w:ind w:left="420" w:leftChars="200"/>
        <w:rPr>
          <w:rFonts w:cs="Times New Roman" w:asciiTheme="minorEastAsia" w:hAnsiTheme="minorEastAsia" w:eastAsiaTheme="minorEastAsia"/>
          <w:i/>
          <w:iCs/>
          <w:color w:val="000000" w:themeColor="text1"/>
          <w:sz w:val="24"/>
          <w:szCs w:val="24"/>
          <w:highlight w:val="none"/>
          <w14:textFill>
            <w14:solidFill>
              <w14:schemeClr w14:val="tx1"/>
            </w14:solidFill>
          </w14:textFill>
        </w:rPr>
      </w:pPr>
      <w:r>
        <w:rPr>
          <w:rFonts w:hint="eastAsia" w:ascii="宋体" w:hAnsi="宋体" w:eastAsia="宋体" w:cs="宋体"/>
          <w:kern w:val="0"/>
          <w:sz w:val="24"/>
          <w:szCs w:val="24"/>
          <w:highlight w:val="none"/>
        </w:rPr>
        <w:t>项目名称：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cs="Times New Roman" w:asciiTheme="minorEastAsia" w:hAnsiTheme="minorEastAsia" w:eastAsiaTheme="minorEastAsia"/>
          <w:i/>
          <w:iCs/>
          <w:color w:val="000000" w:themeColor="text1"/>
          <w:sz w:val="24"/>
          <w:szCs w:val="24"/>
          <w:highlight w:val="none"/>
          <w14:textFill>
            <w14:solidFill>
              <w14:schemeClr w14:val="tx1"/>
            </w14:solidFill>
          </w14:textFill>
        </w:rPr>
        <w:t>（分包项目须填写完整的分包号及分包名称）</w:t>
      </w:r>
    </w:p>
    <w:p w14:paraId="5EC97251">
      <w:pPr>
        <w:spacing w:line="360" w:lineRule="auto"/>
        <w:ind w:left="420" w:leftChars="200"/>
        <w:rPr>
          <w:highlight w:val="none"/>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7D1BA254">
      <w:pPr>
        <w:spacing w:line="360" w:lineRule="auto"/>
        <w:ind w:left="420" w:leftChars="200"/>
        <w:rPr>
          <w:rFonts w:ascii="宋体" w:hAnsi="宋体" w:eastAsia="宋体" w:cs="宋体"/>
          <w:sz w:val="24"/>
          <w:szCs w:val="24"/>
          <w:highlight w:val="none"/>
          <w:u w:val="single"/>
        </w:rPr>
      </w:pPr>
      <w:r>
        <w:rPr>
          <w:rFonts w:hint="eastAsia" w:ascii="宋体" w:hAnsi="宋体" w:eastAsia="宋体" w:cs="宋体"/>
          <w:sz w:val="24"/>
          <w:szCs w:val="24"/>
          <w:highlight w:val="none"/>
        </w:rPr>
        <w:t>合同编号：</w:t>
      </w:r>
      <w:r>
        <w:rPr>
          <w:rFonts w:hint="eastAsia" w:ascii="宋体" w:hAnsi="宋体" w:eastAsia="宋体" w:cs="宋体"/>
          <w:sz w:val="24"/>
          <w:szCs w:val="24"/>
          <w:highlight w:val="none"/>
          <w:u w:val="single"/>
        </w:rPr>
        <w:t xml:space="preserve">                             </w:t>
      </w:r>
    </w:p>
    <w:p w14:paraId="48C43452">
      <w:pPr>
        <w:spacing w:line="360" w:lineRule="auto"/>
        <w:ind w:left="420" w:leftChars="200"/>
        <w:rPr>
          <w:rFonts w:ascii="宋体" w:hAnsi="宋体" w:eastAsia="宋体" w:cs="宋体"/>
          <w:sz w:val="24"/>
          <w:szCs w:val="24"/>
          <w:highlight w:val="none"/>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甲方（采购人）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蚌埠医学院第二附属医院     </w:t>
      </w:r>
    </w:p>
    <w:p w14:paraId="3A64EBF1">
      <w:pPr>
        <w:spacing w:line="360" w:lineRule="auto"/>
        <w:ind w:left="420" w:leftChars="200"/>
        <w:rPr>
          <w:rFonts w:ascii="宋体" w:hAnsi="宋体" w:eastAsia="宋体" w:cs="宋体"/>
          <w:sz w:val="24"/>
          <w:szCs w:val="24"/>
          <w:highlight w:val="none"/>
          <w:u w:val="single"/>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乙方（中标人）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p>
    <w:p w14:paraId="3166C29E">
      <w:pPr>
        <w:spacing w:line="360" w:lineRule="auto"/>
        <w:ind w:left="420" w:leftChars="200"/>
        <w:rPr>
          <w:rFonts w:ascii="宋体" w:hAnsi="宋体" w:eastAsia="宋体" w:cs="宋体"/>
          <w:sz w:val="24"/>
          <w:szCs w:val="24"/>
          <w:highlight w:val="none"/>
        </w:rPr>
      </w:pPr>
      <w:r>
        <w:rPr>
          <w:rFonts w:hint="eastAsia" w:ascii="宋体" w:hAnsi="宋体" w:eastAsia="宋体" w:cs="宋体"/>
          <w:sz w:val="24"/>
          <w:szCs w:val="24"/>
          <w:highlight w:val="none"/>
        </w:rPr>
        <w:t>签订时间：</w:t>
      </w:r>
      <w:r>
        <w:rPr>
          <w:rFonts w:hint="eastAsia" w:ascii="宋体" w:hAnsi="宋体" w:eastAsia="宋体" w:cs="宋体"/>
          <w:sz w:val="24"/>
          <w:szCs w:val="24"/>
          <w:highlight w:val="none"/>
          <w:u w:val="single"/>
        </w:rPr>
        <w:t xml:space="preserve">                             </w:t>
      </w:r>
    </w:p>
    <w:p w14:paraId="3D6F6EDD">
      <w:pPr>
        <w:spacing w:line="360" w:lineRule="auto"/>
        <w:rPr>
          <w:rFonts w:ascii="宋体" w:hAnsi="宋体" w:eastAsia="宋体" w:cs="宋体"/>
          <w:sz w:val="24"/>
          <w:szCs w:val="24"/>
          <w:highlight w:val="none"/>
        </w:rPr>
      </w:pPr>
    </w:p>
    <w:p w14:paraId="78CE9127">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br w:type="page"/>
      </w:r>
    </w:p>
    <w:p w14:paraId="7EE8CEFB">
      <w:pPr>
        <w:spacing w:line="360" w:lineRule="auto"/>
        <w:jc w:val="center"/>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使 用 说 明</w:t>
      </w:r>
    </w:p>
    <w:p w14:paraId="4123B10C">
      <w:pPr>
        <w:spacing w:line="360" w:lineRule="auto"/>
        <w:ind w:firstLine="480" w:firstLineChars="200"/>
        <w:rPr>
          <w:rFonts w:ascii="宋体" w:hAnsi="宋体" w:eastAsia="宋体" w:cs="宋体"/>
          <w:sz w:val="24"/>
          <w:szCs w:val="24"/>
          <w:highlight w:val="none"/>
        </w:rPr>
      </w:pPr>
    </w:p>
    <w:p w14:paraId="03C3EF73">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1.本合同标准文本适用于购买现成货物的采购项目，不包括需要供应商定制开发、创新研发的货物采购项目。</w:t>
      </w:r>
    </w:p>
    <w:p w14:paraId="084BB039">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   2.本合同标准文本为政府采购货物买卖合同编制提供参考，可以结合采购项目具体情况，对文本作必要的调整修订后使用。</w:t>
      </w:r>
    </w:p>
    <w:p w14:paraId="097F3819">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3.本合同标准文本各条款中，如涉及填写多家供应商、制造商，多种采购标的、分包主要内容等信息的，可根据采购项目具体情况添加信息项。</w:t>
      </w:r>
    </w:p>
    <w:p w14:paraId="1F55AF88">
      <w:pPr>
        <w:spacing w:line="360" w:lineRule="auto"/>
        <w:ind w:firstLine="480" w:firstLineChars="200"/>
        <w:rPr>
          <w:rFonts w:ascii="宋体" w:hAnsi="宋体" w:eastAsia="宋体" w:cs="宋体"/>
          <w:sz w:val="24"/>
          <w:szCs w:val="24"/>
          <w:highlight w:val="none"/>
        </w:rPr>
        <w:sectPr>
          <w:headerReference r:id="rId5" w:type="default"/>
          <w:footerReference r:id="rId6" w:type="default"/>
          <w:pgSz w:w="11906" w:h="16838"/>
          <w:pgMar w:top="1440" w:right="1803" w:bottom="1440" w:left="1803" w:header="851" w:footer="992" w:gutter="0"/>
          <w:pgNumType w:fmt="decimal"/>
          <w:cols w:space="0" w:num="1"/>
          <w:rtlGutter w:val="0"/>
          <w:docGrid w:type="lines" w:linePitch="332" w:charSpace="0"/>
        </w:sectPr>
      </w:pPr>
    </w:p>
    <w:p w14:paraId="7E6E682E">
      <w:pPr>
        <w:spacing w:line="360" w:lineRule="auto"/>
        <w:jc w:val="center"/>
        <w:outlineLvl w:val="1"/>
        <w:rPr>
          <w:rFonts w:asciiTheme="minorEastAsia" w:hAnsiTheme="minorEastAsia" w:eastAsiaTheme="minorEastAsia"/>
          <w:b/>
          <w:sz w:val="24"/>
          <w:highlight w:val="none"/>
        </w:rPr>
      </w:pPr>
      <w:bookmarkStart w:id="45" w:name="_Toc22209"/>
      <w:r>
        <w:rPr>
          <w:rFonts w:hint="eastAsia" w:asciiTheme="minorEastAsia" w:hAnsiTheme="minorEastAsia" w:eastAsiaTheme="minorEastAsia"/>
          <w:b/>
          <w:sz w:val="24"/>
          <w:highlight w:val="none"/>
        </w:rPr>
        <w:t xml:space="preserve">第一节 </w:t>
      </w:r>
      <w:bookmarkEnd w:id="45"/>
      <w:r>
        <w:rPr>
          <w:rFonts w:hint="eastAsia" w:asciiTheme="minorEastAsia" w:hAnsiTheme="minorEastAsia" w:eastAsiaTheme="minorEastAsia"/>
          <w:b/>
          <w:sz w:val="24"/>
          <w:highlight w:val="none"/>
        </w:rPr>
        <w:t>政府采购合同协议书</w:t>
      </w:r>
    </w:p>
    <w:p w14:paraId="071A01D9">
      <w:pPr>
        <w:adjustRightInd w:val="0"/>
        <w:snapToGrid w:val="0"/>
        <w:spacing w:line="360" w:lineRule="auto"/>
        <w:rPr>
          <w:rFonts w:ascii="宋体" w:hAnsi="宋体" w:eastAsia="宋体" w:cs="宋体"/>
          <w:sz w:val="24"/>
          <w:szCs w:val="24"/>
          <w:highlight w:val="none"/>
        </w:rPr>
      </w:pPr>
    </w:p>
    <w:p w14:paraId="6810076A">
      <w:pPr>
        <w:adjustRightInd w:val="0"/>
        <w:snapToGrid w:val="0"/>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甲方（全称）：</w:t>
      </w:r>
      <w:r>
        <w:rPr>
          <w:rFonts w:hint="eastAsia" w:ascii="宋体" w:hAnsi="宋体" w:eastAsia="宋体" w:cs="宋体"/>
          <w:sz w:val="24"/>
          <w:szCs w:val="24"/>
          <w:highlight w:val="none"/>
          <w:u w:val="single"/>
        </w:rPr>
        <w:t xml:space="preserve">   蚌埠医学院第二附属医院  </w:t>
      </w:r>
      <w:r>
        <w:rPr>
          <w:rFonts w:hint="eastAsia" w:ascii="宋体" w:hAnsi="宋体" w:eastAsia="宋体" w:cs="宋体"/>
          <w:sz w:val="24"/>
          <w:szCs w:val="24"/>
          <w:highlight w:val="none"/>
        </w:rPr>
        <w:t>（采购人、受采购人委托签订合同的单位或采购文件约定的合同甲方）</w:t>
      </w:r>
    </w:p>
    <w:p w14:paraId="2D07699C">
      <w:pPr>
        <w:adjustRightInd w:val="0"/>
        <w:snapToGrid w:val="0"/>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乙方1（全称）：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w:t>
      </w:r>
    </w:p>
    <w:p w14:paraId="6A6B922F">
      <w:pPr>
        <w:adjustRightInd w:val="0"/>
        <w:snapToGrid w:val="0"/>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乙方2（全称）：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（联合体成员供应商或其他合同主体）（如有）</w:t>
      </w:r>
    </w:p>
    <w:p w14:paraId="2B16C2BA">
      <w:pPr>
        <w:adjustRightInd w:val="0"/>
        <w:snapToGrid w:val="0"/>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乙方3（全称）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（联合体成员供应商或其他合同主体）（如有）</w:t>
      </w:r>
    </w:p>
    <w:p w14:paraId="7CBEF1C1">
      <w:pPr>
        <w:spacing w:line="360" w:lineRule="auto"/>
        <w:rPr>
          <w:rFonts w:ascii="宋体" w:hAnsi="宋体" w:eastAsia="宋体" w:cs="宋体"/>
          <w:sz w:val="24"/>
          <w:szCs w:val="24"/>
          <w:highlight w:val="none"/>
        </w:rPr>
      </w:pPr>
    </w:p>
    <w:p w14:paraId="01E5641D">
      <w:pPr>
        <w:pStyle w:val="9"/>
        <w:adjustRightInd w:val="0"/>
        <w:snapToGrid w:val="0"/>
        <w:spacing w:after="0" w:line="360" w:lineRule="auto"/>
        <w:ind w:left="0" w:leftChars="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56F5DEB4">
      <w:pPr>
        <w:numPr>
          <w:ilvl w:val="0"/>
          <w:numId w:val="5"/>
        </w:numPr>
        <w:adjustRightInd w:val="0"/>
        <w:snapToGri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项目信息</w:t>
      </w:r>
    </w:p>
    <w:p w14:paraId="21E8AD43">
      <w:pPr>
        <w:pStyle w:val="9"/>
        <w:numPr>
          <w:ilvl w:val="0"/>
          <w:numId w:val="6"/>
        </w:numPr>
        <w:adjustRightInd w:val="0"/>
        <w:snapToGrid w:val="0"/>
        <w:spacing w:after="0" w:line="360" w:lineRule="auto"/>
        <w:ind w:left="0" w:leftChars="0" w:firstLine="480" w:firstLineChars="200"/>
        <w:rPr>
          <w:rFonts w:ascii="宋体" w:hAnsi="宋体" w:eastAsia="宋体" w:cs="宋体"/>
          <w:sz w:val="24"/>
          <w:szCs w:val="24"/>
          <w:highlight w:val="none"/>
          <w:u w:val="single"/>
        </w:rPr>
      </w:pPr>
      <w:r>
        <w:rPr>
          <w:rFonts w:hint="eastAsia" w:ascii="宋体" w:hAnsi="宋体" w:eastAsia="宋体" w:cs="宋体"/>
          <w:sz w:val="24"/>
          <w:szCs w:val="24"/>
          <w:highlight w:val="none"/>
        </w:rPr>
        <w:t>采购项目名称：</w:t>
      </w:r>
      <w:r>
        <w:rPr>
          <w:rFonts w:hint="eastAsia" w:ascii="宋体" w:hAnsi="宋体" w:eastAsia="宋体" w:cs="宋体"/>
          <w:sz w:val="24"/>
          <w:szCs w:val="24"/>
          <w:highlight w:val="none"/>
          <w:u w:val="single"/>
        </w:rPr>
        <w:t xml:space="preserve">                                          </w:t>
      </w:r>
    </w:p>
    <w:p w14:paraId="2BE507BC">
      <w:pPr>
        <w:pStyle w:val="9"/>
        <w:numPr>
          <w:ilvl w:val="255"/>
          <w:numId w:val="0"/>
        </w:numPr>
        <w:tabs>
          <w:tab w:val="left" w:pos="999"/>
        </w:tabs>
        <w:adjustRightInd w:val="0"/>
        <w:snapToGrid w:val="0"/>
        <w:spacing w:after="0" w:line="360"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         采购项目编号：</w:t>
      </w:r>
      <w:r>
        <w:rPr>
          <w:rFonts w:hint="eastAsia" w:ascii="宋体" w:hAnsi="宋体" w:eastAsia="宋体" w:cs="宋体"/>
          <w:sz w:val="24"/>
          <w:szCs w:val="24"/>
          <w:highlight w:val="none"/>
          <w:u w:val="single"/>
        </w:rPr>
        <w:t xml:space="preserve">                                          </w:t>
      </w:r>
    </w:p>
    <w:p w14:paraId="2842A448">
      <w:pPr>
        <w:pStyle w:val="9"/>
        <w:adjustRightInd w:val="0"/>
        <w:snapToGrid w:val="0"/>
        <w:spacing w:after="0" w:line="360" w:lineRule="auto"/>
        <w:ind w:left="0" w:leftChars="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（2）采购计划编号：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2D5CCE3A">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（3）项目内容：</w:t>
      </w:r>
    </w:p>
    <w:p w14:paraId="79E696C1">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 xml:space="preserve">     采购标的及数量（台/套</w:t>
      </w:r>
      <w:r>
        <w:rPr>
          <w:rFonts w:hint="eastAsia" w:ascii="宋体" w:hAnsi="宋体" w:eastAsia="宋体" w:cs="宋体"/>
          <w:sz w:val="24"/>
          <w:szCs w:val="24"/>
          <w:highlight w:val="none"/>
          <w:lang w:val="en"/>
        </w:rPr>
        <w:t>/个/架/组等</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35E986C2">
      <w:pPr>
        <w:numPr>
          <w:ilvl w:val="255"/>
          <w:numId w:val="0"/>
        </w:numPr>
        <w:adjustRightInd w:val="0"/>
        <w:snapToGrid w:val="0"/>
        <w:spacing w:line="360" w:lineRule="auto"/>
        <w:ind w:firstLine="480" w:firstLineChars="200"/>
        <w:rPr>
          <w:rFonts w:ascii="宋体" w:hAnsi="宋体" w:eastAsia="宋体" w:cs="宋体"/>
          <w:sz w:val="24"/>
          <w:szCs w:val="24"/>
          <w:highlight w:val="none"/>
          <w:lang w:val="en"/>
        </w:rPr>
      </w:pPr>
      <w:r>
        <w:rPr>
          <w:rFonts w:hint="eastAsia" w:ascii="宋体" w:hAnsi="宋体" w:eastAsia="宋体" w:cs="宋体"/>
          <w:sz w:val="24"/>
          <w:szCs w:val="24"/>
          <w:highlight w:val="none"/>
        </w:rPr>
        <w:t xml:space="preserve">     品牌：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val="en"/>
        </w:rPr>
        <w:t xml:space="preserve">     </w:t>
      </w:r>
      <w:r>
        <w:rPr>
          <w:rFonts w:hint="eastAsia" w:ascii="宋体" w:hAnsi="宋体" w:eastAsia="宋体" w:cs="宋体"/>
          <w:sz w:val="24"/>
          <w:szCs w:val="24"/>
          <w:highlight w:val="none"/>
        </w:rPr>
        <w:t>规格型号：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
        </w:rPr>
        <w:t xml:space="preserve">   </w:t>
      </w:r>
    </w:p>
    <w:p w14:paraId="078DB0AD">
      <w:pPr>
        <w:adjustRightInd w:val="0"/>
        <w:snapToGrid w:val="0"/>
        <w:spacing w:line="360" w:lineRule="auto"/>
        <w:ind w:firstLine="1080" w:firstLineChars="450"/>
        <w:rPr>
          <w:rFonts w:ascii="宋体" w:hAnsi="宋体" w:eastAsia="宋体" w:cs="宋体"/>
          <w:sz w:val="24"/>
          <w:szCs w:val="24"/>
          <w:highlight w:val="none"/>
          <w:u w:val="single"/>
        </w:rPr>
      </w:pPr>
      <w:r>
        <w:rPr>
          <w:rFonts w:hint="eastAsia" w:ascii="宋体" w:hAnsi="宋体" w:eastAsia="宋体" w:cs="宋体"/>
          <w:sz w:val="24"/>
          <w:szCs w:val="24"/>
          <w:highlight w:val="none"/>
        </w:rPr>
        <w:t>采购标的的技术要求、商务要求具体见附件。</w:t>
      </w:r>
    </w:p>
    <w:p w14:paraId="54B5ABE1">
      <w:pPr>
        <w:numPr>
          <w:ilvl w:val="255"/>
          <w:numId w:val="0"/>
        </w:numPr>
        <w:adjustRightInd w:val="0"/>
        <w:snapToGrid w:val="0"/>
        <w:spacing w:line="360" w:lineRule="auto"/>
        <w:ind w:firstLine="1080" w:firstLineChars="450"/>
        <w:rPr>
          <w:rFonts w:ascii="宋体" w:hAnsi="宋体" w:eastAsia="宋体" w:cs="宋体"/>
          <w:sz w:val="24"/>
          <w:szCs w:val="24"/>
          <w:highlight w:val="none"/>
        </w:rPr>
      </w:pPr>
      <w:r>
        <w:rPr>
          <w:rFonts w:hint="eastAsia" w:ascii="宋体" w:hAnsi="宋体" w:eastAsia="宋体" w:cs="宋体"/>
          <w:sz w:val="24"/>
          <w:szCs w:val="24"/>
          <w:highlight w:val="none"/>
        </w:rPr>
        <w:t>①涉及信息类产品，请填写该产品关键部件的品牌、型号：</w:t>
      </w:r>
    </w:p>
    <w:p w14:paraId="4D50DFF4">
      <w:pPr>
        <w:numPr>
          <w:ilvl w:val="255"/>
          <w:numId w:val="0"/>
        </w:numPr>
        <w:adjustRightInd w:val="0"/>
        <w:snapToGrid w:val="0"/>
        <w:spacing w:line="360" w:lineRule="auto"/>
        <w:ind w:firstLine="480" w:firstLineChars="200"/>
        <w:rPr>
          <w:rFonts w:ascii="宋体" w:hAnsi="宋体" w:eastAsia="宋体" w:cs="宋体"/>
          <w:kern w:val="0"/>
          <w:sz w:val="24"/>
          <w:szCs w:val="24"/>
          <w:highlight w:val="none"/>
          <w:u w:val="single"/>
        </w:rPr>
      </w:pPr>
      <w:r>
        <w:rPr>
          <w:rFonts w:hint="eastAsia" w:ascii="宋体" w:hAnsi="宋体" w:eastAsia="宋体" w:cs="宋体"/>
          <w:sz w:val="24"/>
          <w:szCs w:val="24"/>
          <w:highlight w:val="none"/>
        </w:rPr>
        <w:t xml:space="preserve">     标的名称：</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
        </w:rPr>
        <w:t xml:space="preserve">               </w:t>
      </w:r>
      <w:r>
        <w:rPr>
          <w:rFonts w:hint="eastAsia" w:ascii="宋体" w:hAnsi="宋体" w:eastAsia="宋体" w:cs="宋体"/>
          <w:kern w:val="0"/>
          <w:sz w:val="24"/>
          <w:szCs w:val="24"/>
          <w:highlight w:val="none"/>
          <w:u w:val="single"/>
        </w:rPr>
        <w:t xml:space="preserve">    </w:t>
      </w:r>
    </w:p>
    <w:p w14:paraId="1F79C5D6">
      <w:pPr>
        <w:numPr>
          <w:ilvl w:val="255"/>
          <w:numId w:val="0"/>
        </w:num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 xml:space="preserve">     关键部件：</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w:t>
      </w:r>
      <w:r>
        <w:rPr>
          <w:rFonts w:hint="eastAsia" w:ascii="宋体" w:hAnsi="宋体" w:eastAsia="宋体" w:cs="宋体"/>
          <w:sz w:val="24"/>
          <w:szCs w:val="24"/>
          <w:highlight w:val="none"/>
        </w:rPr>
        <w:t>品牌：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型号：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56BE64AF">
      <w:pPr>
        <w:pStyle w:val="73"/>
        <w:spacing w:line="360" w:lineRule="auto"/>
        <w:ind w:firstLine="480"/>
        <w:rPr>
          <w:rFonts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kern w:val="2"/>
          <w:sz w:val="24"/>
          <w:szCs w:val="24"/>
          <w:highlight w:val="none"/>
        </w:rPr>
        <w:t>关键部件</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品牌：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型号：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5B131EC6">
      <w:pPr>
        <w:pStyle w:val="73"/>
        <w:spacing w:line="360" w:lineRule="auto"/>
        <w:ind w:firstLine="480"/>
        <w:rPr>
          <w:rFonts w:ascii="宋体" w:hAnsi="宋体" w:eastAsia="宋体" w:cs="宋体"/>
          <w:sz w:val="24"/>
          <w:szCs w:val="24"/>
          <w:highlight w:val="none"/>
        </w:rPr>
      </w:pPr>
      <w:r>
        <w:rPr>
          <w:rFonts w:hint="eastAsia" w:ascii="宋体" w:hAnsi="宋体" w:eastAsia="宋体" w:cs="宋体"/>
          <w:sz w:val="24"/>
          <w:szCs w:val="24"/>
          <w:highlight w:val="none"/>
        </w:rPr>
        <w:t xml:space="preserve">     关键部件：</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品牌：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型号：</w:t>
      </w:r>
      <w:r>
        <w:rPr>
          <w:rFonts w:hint="eastAsia" w:ascii="宋体" w:hAnsi="宋体" w:eastAsia="宋体" w:cs="宋体"/>
          <w:sz w:val="24"/>
          <w:szCs w:val="24"/>
          <w:highlight w:val="none"/>
          <w:u w:val="single"/>
        </w:rPr>
        <w:t xml:space="preserve">       </w:t>
      </w:r>
    </w:p>
    <w:p w14:paraId="286B3A52">
      <w:pPr>
        <w:pStyle w:val="73"/>
        <w:numPr>
          <w:ilvl w:val="255"/>
          <w:numId w:val="0"/>
        </w:numPr>
        <w:snapToGrid w:val="0"/>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0F3C6F14">
      <w:pPr>
        <w:pStyle w:val="73"/>
        <w:numPr>
          <w:ilvl w:val="255"/>
          <w:numId w:val="0"/>
        </w:numPr>
        <w:snapToGrid w:val="0"/>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         ②涉及车辆采购，请填写是否属于新能源汽车：</w:t>
      </w:r>
    </w:p>
    <w:p w14:paraId="0FB8A47E">
      <w:pPr>
        <w:pStyle w:val="73"/>
        <w:numPr>
          <w:ilvl w:val="255"/>
          <w:numId w:val="0"/>
        </w:numPr>
        <w:snapToGrid w:val="0"/>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是，《政府采购品目分类目录》底级品目名称：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数量：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金额：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1729A3B2">
      <w:pPr>
        <w:pStyle w:val="73"/>
        <w:numPr>
          <w:ilvl w:val="255"/>
          <w:numId w:val="0"/>
        </w:numPr>
        <w:snapToGrid w:val="0"/>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sym w:font="Wingdings" w:char="00FE"/>
      </w:r>
      <w:r>
        <w:rPr>
          <w:rFonts w:hint="eastAsia" w:ascii="宋体" w:hAnsi="宋体" w:eastAsia="宋体" w:cs="宋体"/>
          <w:sz w:val="24"/>
          <w:szCs w:val="24"/>
          <w:highlight w:val="none"/>
        </w:rPr>
        <w:t>否</w:t>
      </w:r>
    </w:p>
    <w:p w14:paraId="73873279">
      <w:pPr>
        <w:pStyle w:val="73"/>
        <w:numPr>
          <w:ilvl w:val="255"/>
          <w:numId w:val="0"/>
        </w:numPr>
        <w:snapToGrid w:val="0"/>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
        </w:rPr>
        <w:t>4</w:t>
      </w:r>
      <w:r>
        <w:rPr>
          <w:rFonts w:hint="eastAsia" w:ascii="宋体" w:hAnsi="宋体" w:eastAsia="宋体" w:cs="宋体"/>
          <w:sz w:val="24"/>
          <w:szCs w:val="24"/>
          <w:highlight w:val="none"/>
        </w:rPr>
        <w:t>）政府采购组织形式：</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 xml:space="preserve">政府集中采购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 xml:space="preserve">部门集中采购  </w:t>
      </w:r>
      <w:r>
        <w:rPr>
          <w:rFonts w:hint="eastAsia" w:ascii="宋体" w:hAnsi="宋体" w:eastAsia="宋体" w:cs="宋体"/>
          <w:sz w:val="24"/>
          <w:szCs w:val="24"/>
          <w:highlight w:val="none"/>
        </w:rPr>
        <w:sym w:font="Wingdings" w:char="00FE"/>
      </w:r>
      <w:r>
        <w:rPr>
          <w:rFonts w:hint="eastAsia" w:ascii="宋体" w:hAnsi="宋体" w:eastAsia="宋体" w:cs="宋体"/>
          <w:sz w:val="24"/>
          <w:szCs w:val="24"/>
          <w:highlight w:val="none"/>
        </w:rPr>
        <w:t>分散采购</w:t>
      </w:r>
    </w:p>
    <w:p w14:paraId="70CB40BD">
      <w:pPr>
        <w:pStyle w:val="73"/>
        <w:numPr>
          <w:ilvl w:val="255"/>
          <w:numId w:val="0"/>
        </w:numPr>
        <w:snapToGrid w:val="0"/>
        <w:spacing w:line="360" w:lineRule="auto"/>
        <w:ind w:firstLine="420"/>
        <w:rPr>
          <w:rFonts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
        </w:rPr>
        <w:t>5</w:t>
      </w:r>
      <w:r>
        <w:rPr>
          <w:rFonts w:hint="eastAsia" w:ascii="宋体" w:hAnsi="宋体" w:eastAsia="宋体" w:cs="宋体"/>
          <w:sz w:val="24"/>
          <w:szCs w:val="24"/>
          <w:highlight w:val="none"/>
        </w:rPr>
        <w:t>）政府采购方式：</w:t>
      </w:r>
      <w:r>
        <w:rPr>
          <w:rFonts w:hint="eastAsia" w:ascii="宋体" w:hAnsi="宋体" w:eastAsia="宋体" w:cs="宋体"/>
          <w:sz w:val="24"/>
          <w:szCs w:val="24"/>
          <w:highlight w:val="none"/>
        </w:rPr>
        <w:sym w:font="Wingdings" w:char="00FE"/>
      </w:r>
      <w:r>
        <w:rPr>
          <w:rFonts w:hint="eastAsia" w:ascii="宋体" w:hAnsi="宋体" w:eastAsia="宋体" w:cs="宋体"/>
          <w:sz w:val="24"/>
          <w:szCs w:val="24"/>
          <w:highlight w:val="none"/>
        </w:rPr>
        <w:t xml:space="preserve">公开招标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 xml:space="preserve">邀请招标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 xml:space="preserve">竞争性谈判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竞争性磋商</w:t>
      </w:r>
    </w:p>
    <w:p w14:paraId="4FDBC0D2">
      <w:pPr>
        <w:pStyle w:val="73"/>
        <w:numPr>
          <w:ilvl w:val="255"/>
          <w:numId w:val="0"/>
        </w:numPr>
        <w:snapToGrid w:val="0"/>
        <w:spacing w:line="360" w:lineRule="auto"/>
        <w:ind w:firstLine="420"/>
        <w:rPr>
          <w:rFonts w:ascii="宋体" w:hAnsi="宋体" w:eastAsia="宋体" w:cs="宋体"/>
          <w:sz w:val="24"/>
          <w:szCs w:val="24"/>
          <w:highlight w:val="none"/>
          <w:u w:val="singl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 xml:space="preserve">询价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 xml:space="preserve">单一来源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 xml:space="preserve">框架协议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其他：</w:t>
      </w:r>
      <w:r>
        <w:rPr>
          <w:rFonts w:hint="eastAsia" w:ascii="宋体" w:hAnsi="宋体" w:eastAsia="宋体" w:cs="宋体"/>
          <w:sz w:val="24"/>
          <w:szCs w:val="24"/>
          <w:highlight w:val="none"/>
          <w:u w:val="single"/>
        </w:rPr>
        <w:t xml:space="preserve">          </w:t>
      </w:r>
    </w:p>
    <w:p w14:paraId="582CB9DD">
      <w:pPr>
        <w:pStyle w:val="73"/>
        <w:numPr>
          <w:ilvl w:val="255"/>
          <w:numId w:val="0"/>
        </w:numPr>
        <w:snapToGrid w:val="0"/>
        <w:spacing w:line="360" w:lineRule="auto"/>
        <w:ind w:firstLine="420"/>
        <w:rPr>
          <w:rFonts w:ascii="宋体" w:hAnsi="宋体" w:eastAsia="宋体" w:cs="宋体"/>
          <w:sz w:val="24"/>
          <w:szCs w:val="24"/>
          <w:highlight w:val="none"/>
        </w:rPr>
      </w:pPr>
      <w:r>
        <w:rPr>
          <w:rFonts w:hint="eastAsia" w:ascii="宋体" w:hAnsi="宋体" w:eastAsia="宋体" w:cs="宋体"/>
          <w:sz w:val="24"/>
          <w:szCs w:val="24"/>
          <w:highlight w:val="none"/>
        </w:rPr>
        <w:t>（注：在框架协议采购的第二阶段，可选择使用该合同文本）</w:t>
      </w:r>
    </w:p>
    <w:p w14:paraId="635A81BE">
      <w:pPr>
        <w:pStyle w:val="73"/>
        <w:numPr>
          <w:ilvl w:val="255"/>
          <w:numId w:val="0"/>
        </w:numPr>
        <w:snapToGrid w:val="0"/>
        <w:spacing w:line="360" w:lineRule="auto"/>
        <w:ind w:firstLine="240" w:firstLineChars="100"/>
        <w:rPr>
          <w:rFonts w:ascii="宋体" w:hAnsi="宋体" w:eastAsia="宋体" w:cs="宋体"/>
          <w:kern w:val="2"/>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
        </w:rPr>
        <w:t>6</w:t>
      </w:r>
      <w:r>
        <w:rPr>
          <w:rFonts w:hint="eastAsia" w:ascii="宋体" w:hAnsi="宋体" w:eastAsia="宋体" w:cs="宋体"/>
          <w:sz w:val="24"/>
          <w:szCs w:val="24"/>
          <w:highlight w:val="none"/>
        </w:rPr>
        <w:t>）</w:t>
      </w:r>
      <w:r>
        <w:rPr>
          <w:rFonts w:hint="eastAsia" w:ascii="宋体" w:hAnsi="宋体" w:eastAsia="宋体" w:cs="宋体"/>
          <w:kern w:val="2"/>
          <w:sz w:val="24"/>
          <w:szCs w:val="24"/>
          <w:highlight w:val="none"/>
        </w:rPr>
        <w:t>中标（成交）采购标的制造商是否为中小企业：</w:t>
      </w:r>
      <w:r>
        <w:rPr>
          <w:rFonts w:hint="eastAsia" w:ascii="宋体" w:hAnsi="宋体" w:eastAsia="宋体" w:cs="宋体"/>
          <w:kern w:val="2"/>
          <w:sz w:val="24"/>
          <w:szCs w:val="24"/>
          <w:highlight w:val="none"/>
        </w:rPr>
        <w:sym w:font="Wingdings" w:char="00A8"/>
      </w:r>
      <w:r>
        <w:rPr>
          <w:rFonts w:hint="eastAsia" w:ascii="宋体" w:hAnsi="宋体" w:eastAsia="宋体" w:cs="宋体"/>
          <w:kern w:val="2"/>
          <w:sz w:val="24"/>
          <w:szCs w:val="24"/>
          <w:highlight w:val="none"/>
        </w:rPr>
        <w:t xml:space="preserve">是      </w:t>
      </w:r>
      <w:r>
        <w:rPr>
          <w:rFonts w:hint="eastAsia" w:ascii="宋体" w:hAnsi="宋体" w:eastAsia="宋体" w:cs="宋体"/>
          <w:kern w:val="2"/>
          <w:sz w:val="24"/>
          <w:szCs w:val="24"/>
          <w:highlight w:val="none"/>
        </w:rPr>
        <w:sym w:font="Wingdings" w:char="00A8"/>
      </w:r>
      <w:r>
        <w:rPr>
          <w:rFonts w:hint="eastAsia" w:ascii="宋体" w:hAnsi="宋体" w:eastAsia="宋体" w:cs="宋体"/>
          <w:kern w:val="2"/>
          <w:sz w:val="24"/>
          <w:szCs w:val="24"/>
          <w:highlight w:val="none"/>
        </w:rPr>
        <w:t>否</w:t>
      </w:r>
    </w:p>
    <w:p w14:paraId="762154AB">
      <w:pPr>
        <w:numPr>
          <w:ilvl w:val="255"/>
          <w:numId w:val="0"/>
        </w:numPr>
        <w:adjustRightInd w:val="0"/>
        <w:snapToGrid w:val="0"/>
        <w:spacing w:line="360" w:lineRule="auto"/>
        <w:rPr>
          <w:rFonts w:ascii="宋体" w:hAnsi="宋体" w:eastAsia="宋体" w:cs="宋体"/>
          <w:iCs/>
          <w:sz w:val="24"/>
          <w:szCs w:val="24"/>
          <w:highlight w:val="none"/>
        </w:rPr>
      </w:pPr>
      <w:r>
        <w:rPr>
          <w:rFonts w:hint="eastAsia" w:ascii="宋体" w:hAnsi="宋体" w:eastAsia="宋体" w:cs="宋体"/>
          <w:sz w:val="24"/>
          <w:szCs w:val="24"/>
          <w:highlight w:val="none"/>
        </w:rPr>
        <w:t xml:space="preserve">         本合同是否为专门面向中小企业的采购合同（中小企业预留合同）：</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否</w:t>
      </w:r>
    </w:p>
    <w:p w14:paraId="5515166C">
      <w:pPr>
        <w:numPr>
          <w:ilvl w:val="255"/>
          <w:numId w:val="0"/>
        </w:numPr>
        <w:adjustRightInd w:val="0"/>
        <w:snapToGrid w:val="0"/>
        <w:spacing w:line="360" w:lineRule="auto"/>
        <w:rPr>
          <w:rFonts w:ascii="宋体" w:hAnsi="宋体" w:eastAsia="宋体" w:cs="宋体"/>
          <w:iCs/>
          <w:sz w:val="24"/>
          <w:szCs w:val="24"/>
          <w:highlight w:val="none"/>
        </w:rPr>
      </w:pPr>
      <w:r>
        <w:rPr>
          <w:rFonts w:hint="eastAsia" w:ascii="宋体" w:hAnsi="宋体" w:eastAsia="宋体" w:cs="宋体"/>
          <w:sz w:val="24"/>
          <w:szCs w:val="24"/>
          <w:highlight w:val="none"/>
        </w:rPr>
        <w:t xml:space="preserve">         若本项目不专门面向中小企业采购，是否给予小微企业评审优惠：</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否</w:t>
      </w:r>
    </w:p>
    <w:p w14:paraId="054DF8F9">
      <w:pPr>
        <w:numPr>
          <w:ilvl w:val="255"/>
          <w:numId w:val="0"/>
        </w:numPr>
        <w:adjustRightInd w:val="0"/>
        <w:snapToGrid w:val="0"/>
        <w:spacing w:line="360" w:lineRule="auto"/>
        <w:rPr>
          <w:rFonts w:ascii="宋体" w:hAnsi="宋体" w:eastAsia="宋体" w:cs="宋体"/>
          <w:iCs/>
          <w:sz w:val="24"/>
          <w:szCs w:val="24"/>
          <w:highlight w:val="none"/>
        </w:rPr>
      </w:pPr>
      <w:r>
        <w:rPr>
          <w:rFonts w:hint="eastAsia" w:ascii="宋体" w:hAnsi="宋体" w:eastAsia="宋体" w:cs="宋体"/>
          <w:sz w:val="24"/>
          <w:szCs w:val="24"/>
          <w:highlight w:val="none"/>
        </w:rPr>
        <w:t xml:space="preserve">         中标（成交）采购标的制造商是否为残疾人福利性单位：</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否</w:t>
      </w:r>
    </w:p>
    <w:p w14:paraId="1E3A69DC">
      <w:pPr>
        <w:snapToGrid w:val="0"/>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         中标（成交）采购标的制造商是否为监狱企业：</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否</w:t>
      </w:r>
    </w:p>
    <w:p w14:paraId="0E993921">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
        </w:rPr>
        <w:t>7</w:t>
      </w:r>
      <w:r>
        <w:rPr>
          <w:rFonts w:hint="eastAsia" w:ascii="宋体" w:hAnsi="宋体" w:eastAsia="宋体" w:cs="宋体"/>
          <w:sz w:val="24"/>
          <w:szCs w:val="24"/>
          <w:highlight w:val="none"/>
        </w:rPr>
        <w:t>）合同是否分包：</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FE"/>
      </w:r>
      <w:r>
        <w:rPr>
          <w:rFonts w:hint="eastAsia" w:ascii="宋体" w:hAnsi="宋体" w:eastAsia="宋体" w:cs="宋体"/>
          <w:iCs/>
          <w:sz w:val="24"/>
          <w:szCs w:val="24"/>
          <w:highlight w:val="none"/>
        </w:rPr>
        <w:t>否</w:t>
      </w:r>
    </w:p>
    <w:p w14:paraId="12ABA1D1">
      <w:pPr>
        <w:adjustRightInd w:val="0"/>
        <w:snapToGrid w:val="0"/>
        <w:spacing w:line="360" w:lineRule="auto"/>
        <w:ind w:firstLine="960" w:firstLineChars="400"/>
        <w:rPr>
          <w:rFonts w:ascii="宋体" w:hAnsi="宋体" w:eastAsia="宋体" w:cs="宋体"/>
          <w:sz w:val="24"/>
          <w:szCs w:val="24"/>
          <w:highlight w:val="none"/>
          <w:u w:val="single"/>
        </w:rPr>
      </w:pPr>
      <w:r>
        <w:rPr>
          <w:rFonts w:hint="eastAsia" w:ascii="宋体" w:hAnsi="宋体" w:eastAsia="宋体" w:cs="宋体"/>
          <w:sz w:val="24"/>
          <w:szCs w:val="24"/>
          <w:highlight w:val="none"/>
        </w:rPr>
        <w:t xml:space="preserve"> 分包主要内容：</w:t>
      </w:r>
      <w:r>
        <w:rPr>
          <w:rFonts w:hint="eastAsia" w:ascii="宋体" w:hAnsi="宋体" w:eastAsia="宋体" w:cs="宋体"/>
          <w:sz w:val="24"/>
          <w:szCs w:val="24"/>
          <w:highlight w:val="none"/>
          <w:u w:val="single"/>
        </w:rPr>
        <w:t xml:space="preserve">                                            </w:t>
      </w:r>
    </w:p>
    <w:p w14:paraId="3FF71D79">
      <w:pPr>
        <w:adjustRightInd w:val="0"/>
        <w:snapToGrid w:val="0"/>
        <w:spacing w:line="360" w:lineRule="auto"/>
        <w:ind w:firstLine="960" w:firstLineChars="400"/>
        <w:rPr>
          <w:rFonts w:ascii="宋体" w:hAnsi="宋体" w:eastAsia="宋体" w:cs="宋体"/>
          <w:sz w:val="24"/>
          <w:szCs w:val="24"/>
          <w:highlight w:val="none"/>
        </w:rPr>
      </w:pPr>
      <w:r>
        <w:rPr>
          <w:rFonts w:hint="eastAsia" w:ascii="宋体" w:hAnsi="宋体" w:eastAsia="宋体" w:cs="宋体"/>
          <w:sz w:val="24"/>
          <w:szCs w:val="24"/>
          <w:highlight w:val="none"/>
        </w:rPr>
        <w:t xml:space="preserve"> 分包供应商/制造商名称（如供应商和制造商不同，请分别填写）：</w:t>
      </w:r>
    </w:p>
    <w:p w14:paraId="7624E9D5">
      <w:pPr>
        <w:adjustRightInd w:val="0"/>
        <w:snapToGrid w:val="0"/>
        <w:spacing w:line="360" w:lineRule="auto"/>
        <w:ind w:firstLine="960" w:firstLineChars="400"/>
        <w:rPr>
          <w:rFonts w:ascii="宋体" w:hAnsi="宋体" w:eastAsia="宋体" w:cs="宋体"/>
          <w:sz w:val="24"/>
          <w:szCs w:val="24"/>
          <w:highlight w:val="none"/>
          <w:u w:val="singl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p>
    <w:p w14:paraId="3F1EBD90">
      <w:pPr>
        <w:adjustRightInd w:val="0"/>
        <w:snapToGrid w:val="0"/>
        <w:spacing w:line="360" w:lineRule="auto"/>
        <w:ind w:firstLine="960" w:firstLineChars="400"/>
        <w:rPr>
          <w:rFonts w:ascii="宋体" w:hAnsi="宋体" w:eastAsia="宋体" w:cs="宋体"/>
          <w:sz w:val="24"/>
          <w:szCs w:val="24"/>
          <w:highlight w:val="none"/>
        </w:rPr>
      </w:pPr>
      <w:r>
        <w:rPr>
          <w:rFonts w:hint="eastAsia" w:ascii="宋体" w:hAnsi="宋体" w:eastAsia="宋体" w:cs="宋体"/>
          <w:sz w:val="24"/>
          <w:szCs w:val="24"/>
          <w:highlight w:val="none"/>
        </w:rPr>
        <w:t xml:space="preserve"> 分包供应商/制造商类型（如果供应商和制造商不同，只填写制造商类型）：</w:t>
      </w:r>
    </w:p>
    <w:p w14:paraId="42AB3C96">
      <w:pPr>
        <w:adjustRightInd w:val="0"/>
        <w:snapToGrid w:val="0"/>
        <w:spacing w:line="360" w:lineRule="auto"/>
        <w:ind w:firstLine="960" w:firstLineChars="400"/>
        <w:rPr>
          <w:rFonts w:ascii="宋体" w:hAnsi="宋体" w:eastAsia="宋体" w:cs="宋体"/>
          <w:iCs/>
          <w:sz w:val="24"/>
          <w:szCs w:val="24"/>
          <w:highlight w:val="none"/>
        </w:rPr>
      </w:pPr>
      <w:r>
        <w:rPr>
          <w:rFonts w:hint="eastAsia" w:ascii="宋体" w:hAnsi="宋体" w:eastAsia="宋体" w:cs="宋体"/>
          <w:iCs/>
          <w:sz w:val="24"/>
          <w:szCs w:val="24"/>
          <w:highlight w:val="none"/>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大型企业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中型企业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小微型企业  </w:t>
      </w:r>
    </w:p>
    <w:p w14:paraId="3BEA37BE">
      <w:pPr>
        <w:adjustRightInd w:val="0"/>
        <w:snapToGrid w:val="0"/>
        <w:spacing w:line="360" w:lineRule="auto"/>
        <w:ind w:firstLine="960" w:firstLineChars="400"/>
        <w:rPr>
          <w:rFonts w:ascii="宋体" w:hAnsi="宋体" w:eastAsia="宋体" w:cs="宋体"/>
          <w:sz w:val="24"/>
          <w:szCs w:val="24"/>
          <w:highlight w:val="none"/>
        </w:rPr>
      </w:pPr>
      <w:r>
        <w:rPr>
          <w:rFonts w:hint="eastAsia" w:ascii="宋体" w:hAnsi="宋体" w:eastAsia="宋体" w:cs="宋体"/>
          <w:iCs/>
          <w:sz w:val="24"/>
          <w:szCs w:val="24"/>
          <w:highlight w:val="none"/>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残疾人福利性单位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监狱企业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其他</w:t>
      </w:r>
    </w:p>
    <w:p w14:paraId="728D480C">
      <w:pPr>
        <w:numPr>
          <w:ilvl w:val="255"/>
          <w:numId w:val="0"/>
        </w:numPr>
        <w:adjustRightInd w:val="0"/>
        <w:snapToGrid w:val="0"/>
        <w:spacing w:line="360" w:lineRule="auto"/>
        <w:rPr>
          <w:rFonts w:ascii="宋体" w:hAnsi="宋体" w:eastAsia="宋体" w:cs="宋体"/>
          <w:iCs/>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
        </w:rPr>
        <w:t>8</w:t>
      </w:r>
      <w:r>
        <w:rPr>
          <w:rFonts w:hint="eastAsia" w:ascii="宋体" w:hAnsi="宋体" w:eastAsia="宋体" w:cs="宋体"/>
          <w:sz w:val="24"/>
          <w:szCs w:val="24"/>
          <w:highlight w:val="none"/>
        </w:rPr>
        <w:t>）中标（成交）供应商是否为外商投资企业：</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否</w:t>
      </w:r>
    </w:p>
    <w:p w14:paraId="5A950567">
      <w:pPr>
        <w:pStyle w:val="73"/>
        <w:tabs>
          <w:tab w:val="left" w:pos="1340"/>
        </w:tabs>
        <w:spacing w:line="360" w:lineRule="auto"/>
        <w:ind w:firstLine="480"/>
        <w:rPr>
          <w:rFonts w:ascii="宋体" w:hAnsi="宋体" w:eastAsia="宋体" w:cs="宋体"/>
          <w:sz w:val="24"/>
          <w:szCs w:val="24"/>
          <w:highlight w:val="none"/>
          <w:u w:val="single"/>
        </w:rPr>
      </w:pPr>
      <w:r>
        <w:rPr>
          <w:rFonts w:hint="eastAsia" w:ascii="宋体" w:hAnsi="宋体" w:eastAsia="宋体" w:cs="宋体"/>
          <w:sz w:val="24"/>
          <w:szCs w:val="24"/>
          <w:highlight w:val="none"/>
        </w:rPr>
        <w:t xml:space="preserve">     外商投资企业类型：</w:t>
      </w:r>
      <w:r>
        <w:rPr>
          <w:rFonts w:hint="eastAsia" w:ascii="宋体" w:hAnsi="宋体" w:eastAsia="宋体" w:cs="宋体"/>
          <w:iCs/>
          <w:sz w:val="24"/>
          <w:szCs w:val="24"/>
          <w:highlight w:val="none"/>
        </w:rPr>
        <w:sym w:font="Wingdings" w:char="00A8"/>
      </w:r>
      <w:r>
        <w:rPr>
          <w:rFonts w:hint="eastAsia" w:ascii="宋体" w:hAnsi="宋体" w:eastAsia="宋体" w:cs="宋体"/>
          <w:sz w:val="24"/>
          <w:szCs w:val="24"/>
          <w:highlight w:val="none"/>
        </w:rPr>
        <w:t xml:space="preserve">全部由外国投资者投资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部分由外国投资者投资</w:t>
      </w:r>
    </w:p>
    <w:p w14:paraId="1B2F8A73">
      <w:pPr>
        <w:numPr>
          <w:ilvl w:val="255"/>
          <w:numId w:val="0"/>
        </w:num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
        </w:rPr>
        <w:t>9</w:t>
      </w:r>
      <w:r>
        <w:rPr>
          <w:rFonts w:hint="eastAsia" w:ascii="宋体" w:hAnsi="宋体" w:eastAsia="宋体" w:cs="宋体"/>
          <w:sz w:val="24"/>
          <w:szCs w:val="24"/>
          <w:highlight w:val="none"/>
        </w:rPr>
        <w:t>）是否涉及进口产品：</w:t>
      </w:r>
    </w:p>
    <w:p w14:paraId="00D77759">
      <w:pPr>
        <w:numPr>
          <w:ilvl w:val="255"/>
          <w:numId w:val="0"/>
        </w:numPr>
        <w:adjustRightInd w:val="0"/>
        <w:snapToGrid w:val="0"/>
        <w:spacing w:line="360" w:lineRule="auto"/>
        <w:ind w:firstLine="960" w:firstLineChars="400"/>
        <w:rPr>
          <w:rFonts w:ascii="宋体" w:hAnsi="宋体" w:eastAsia="宋体" w:cs="宋体"/>
          <w:sz w:val="24"/>
          <w:szCs w:val="24"/>
          <w:highlight w:val="none"/>
          <w:u w:val="singl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是，《政府采购品目分类目录》底级品目名称：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金额：</w:t>
      </w:r>
      <w:r>
        <w:rPr>
          <w:rFonts w:hint="eastAsia" w:ascii="宋体" w:hAnsi="宋体" w:eastAsia="宋体" w:cs="宋体"/>
          <w:sz w:val="24"/>
          <w:szCs w:val="24"/>
          <w:highlight w:val="none"/>
          <w:u w:val="single"/>
        </w:rPr>
        <w:t xml:space="preserve">        </w:t>
      </w:r>
    </w:p>
    <w:p w14:paraId="00474956">
      <w:pPr>
        <w:numPr>
          <w:ilvl w:val="255"/>
          <w:numId w:val="0"/>
        </w:numPr>
        <w:adjustRightInd w:val="0"/>
        <w:snapToGrid w:val="0"/>
        <w:spacing w:line="360" w:lineRule="auto"/>
        <w:ind w:firstLine="960" w:firstLineChars="400"/>
        <w:rPr>
          <w:rFonts w:ascii="宋体" w:hAnsi="宋体" w:eastAsia="宋体" w:cs="宋体"/>
          <w:sz w:val="24"/>
          <w:szCs w:val="24"/>
          <w:highlight w:val="none"/>
        </w:rPr>
      </w:pPr>
      <w:r>
        <w:rPr>
          <w:rFonts w:hint="eastAsia" w:ascii="宋体" w:hAnsi="宋体" w:eastAsia="宋体" w:cs="宋体"/>
          <w:sz w:val="24"/>
          <w:szCs w:val="24"/>
          <w:highlight w:val="none"/>
        </w:rPr>
        <w:t xml:space="preserve">        国别：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品牌：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规格型号：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56A8A156">
      <w:pPr>
        <w:adjustRightInd w:val="0"/>
        <w:snapToGrid w:val="0"/>
        <w:spacing w:line="360" w:lineRule="auto"/>
        <w:ind w:firstLine="960" w:firstLineChars="400"/>
        <w:rPr>
          <w:rFonts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否</w:t>
      </w:r>
    </w:p>
    <w:p w14:paraId="44FD905D">
      <w:pPr>
        <w:numPr>
          <w:ilvl w:val="255"/>
          <w:numId w:val="0"/>
        </w:numPr>
        <w:tabs>
          <w:tab w:val="left" w:pos="740"/>
        </w:tabs>
        <w:adjustRightInd w:val="0"/>
        <w:snapToGrid w:val="0"/>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    （1</w:t>
      </w:r>
      <w:r>
        <w:rPr>
          <w:rFonts w:hint="eastAsia" w:ascii="宋体" w:hAnsi="宋体" w:eastAsia="宋体" w:cs="宋体"/>
          <w:sz w:val="24"/>
          <w:szCs w:val="24"/>
          <w:highlight w:val="none"/>
          <w:lang w:val="en"/>
        </w:rPr>
        <w:t>0</w:t>
      </w:r>
      <w:r>
        <w:rPr>
          <w:rFonts w:hint="eastAsia" w:ascii="宋体" w:hAnsi="宋体" w:eastAsia="宋体" w:cs="宋体"/>
          <w:sz w:val="24"/>
          <w:szCs w:val="24"/>
          <w:highlight w:val="none"/>
        </w:rPr>
        <w:t>）是否涉及节能产品：</w:t>
      </w:r>
    </w:p>
    <w:p w14:paraId="02F66FD3">
      <w:pPr>
        <w:numPr>
          <w:ilvl w:val="255"/>
          <w:numId w:val="0"/>
        </w:numPr>
        <w:tabs>
          <w:tab w:val="left" w:pos="740"/>
        </w:tabs>
        <w:adjustRightInd w:val="0"/>
        <w:snapToGrid w:val="0"/>
        <w:spacing w:line="360" w:lineRule="auto"/>
        <w:rPr>
          <w:rFonts w:ascii="宋体" w:hAnsi="宋体" w:eastAsia="宋体" w:cs="宋体"/>
          <w:iCs/>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是，《节能产品政府采购品目清单》的底级品目名称：</w:t>
      </w:r>
      <w:r>
        <w:rPr>
          <w:rFonts w:hint="eastAsia" w:ascii="宋体" w:hAnsi="宋体" w:eastAsia="宋体" w:cs="宋体"/>
          <w:sz w:val="24"/>
          <w:szCs w:val="24"/>
          <w:highlight w:val="none"/>
          <w:u w:val="single"/>
        </w:rPr>
        <w:t xml:space="preserve">         </w:t>
      </w:r>
      <w:r>
        <w:rPr>
          <w:rFonts w:hint="eastAsia" w:ascii="宋体" w:hAnsi="宋体" w:eastAsia="宋体" w:cs="宋体"/>
          <w:iCs/>
          <w:sz w:val="24"/>
          <w:szCs w:val="24"/>
          <w:highlight w:val="none"/>
        </w:rPr>
        <w:t xml:space="preserve">     </w:t>
      </w:r>
    </w:p>
    <w:p w14:paraId="5A33BFED">
      <w:pPr>
        <w:numPr>
          <w:ilvl w:val="255"/>
          <w:numId w:val="0"/>
        </w:numPr>
        <w:tabs>
          <w:tab w:val="left" w:pos="740"/>
        </w:tabs>
        <w:adjustRightInd w:val="0"/>
        <w:snapToGrid w:val="0"/>
        <w:spacing w:line="360" w:lineRule="auto"/>
        <w:rPr>
          <w:rFonts w:ascii="宋体" w:hAnsi="宋体" w:eastAsia="宋体" w:cs="宋体"/>
          <w:iCs/>
          <w:sz w:val="24"/>
          <w:szCs w:val="24"/>
          <w:highlight w:val="none"/>
        </w:rPr>
      </w:pPr>
      <w:r>
        <w:rPr>
          <w:rFonts w:hint="eastAsia" w:ascii="宋体" w:hAnsi="宋体" w:eastAsia="宋体" w:cs="宋体"/>
          <w:iCs/>
          <w:sz w:val="24"/>
          <w:szCs w:val="24"/>
          <w:highlight w:val="none"/>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强制采购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优先采购    </w:t>
      </w:r>
    </w:p>
    <w:p w14:paraId="1D50A61D">
      <w:pPr>
        <w:numPr>
          <w:ilvl w:val="255"/>
          <w:numId w:val="0"/>
        </w:numPr>
        <w:tabs>
          <w:tab w:val="left" w:pos="740"/>
        </w:tabs>
        <w:adjustRightInd w:val="0"/>
        <w:snapToGrid w:val="0"/>
        <w:spacing w:line="360" w:lineRule="auto"/>
        <w:rPr>
          <w:rFonts w:ascii="宋体" w:hAnsi="宋体" w:eastAsia="宋体" w:cs="宋体"/>
          <w:sz w:val="24"/>
          <w:szCs w:val="24"/>
          <w:highlight w:val="none"/>
        </w:rPr>
      </w:pPr>
      <w:r>
        <w:rPr>
          <w:rFonts w:hint="eastAsia" w:ascii="宋体" w:hAnsi="宋体" w:eastAsia="宋体" w:cs="宋体"/>
          <w:iCs/>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否</w:t>
      </w:r>
    </w:p>
    <w:p w14:paraId="2A933270">
      <w:pPr>
        <w:numPr>
          <w:ilvl w:val="255"/>
          <w:numId w:val="0"/>
        </w:numPr>
        <w:tabs>
          <w:tab w:val="left" w:pos="740"/>
        </w:tabs>
        <w:adjustRightInd w:val="0"/>
        <w:snapToGrid w:val="0"/>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          是否涉及环境标志产品：</w:t>
      </w:r>
    </w:p>
    <w:p w14:paraId="78D781BA">
      <w:pPr>
        <w:numPr>
          <w:ilvl w:val="255"/>
          <w:numId w:val="0"/>
        </w:numPr>
        <w:tabs>
          <w:tab w:val="left" w:pos="740"/>
        </w:tabs>
        <w:adjustRightInd w:val="0"/>
        <w:snapToGrid w:val="0"/>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是，《环境标志产品政府采购品目清单》的底级品目名称：</w:t>
      </w:r>
      <w:r>
        <w:rPr>
          <w:rFonts w:hint="eastAsia" w:ascii="宋体" w:hAnsi="宋体" w:eastAsia="宋体" w:cs="宋体"/>
          <w:sz w:val="24"/>
          <w:szCs w:val="24"/>
          <w:highlight w:val="none"/>
          <w:u w:val="single"/>
        </w:rPr>
        <w:t xml:space="preserve">         </w:t>
      </w:r>
      <w:r>
        <w:rPr>
          <w:rFonts w:hint="eastAsia" w:ascii="宋体" w:hAnsi="宋体" w:eastAsia="宋体" w:cs="宋体"/>
          <w:iCs/>
          <w:sz w:val="24"/>
          <w:szCs w:val="24"/>
          <w:highlight w:val="none"/>
        </w:rPr>
        <w:t xml:space="preserve"> </w:t>
      </w:r>
    </w:p>
    <w:p w14:paraId="6F347B6D">
      <w:pPr>
        <w:numPr>
          <w:ilvl w:val="255"/>
          <w:numId w:val="0"/>
        </w:numPr>
        <w:tabs>
          <w:tab w:val="left" w:pos="740"/>
        </w:tabs>
        <w:adjustRightInd w:val="0"/>
        <w:snapToGrid w:val="0"/>
        <w:spacing w:line="360" w:lineRule="auto"/>
        <w:rPr>
          <w:rFonts w:ascii="宋体" w:hAnsi="宋体" w:eastAsia="宋体" w:cs="宋体"/>
          <w:iCs/>
          <w:sz w:val="24"/>
          <w:szCs w:val="24"/>
          <w:highlight w:val="none"/>
        </w:rPr>
      </w:pPr>
      <w:r>
        <w:rPr>
          <w:rFonts w:hint="eastAsia" w:ascii="宋体" w:hAnsi="宋体" w:eastAsia="宋体" w:cs="宋体"/>
          <w:iCs/>
          <w:sz w:val="24"/>
          <w:szCs w:val="24"/>
          <w:highlight w:val="none"/>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强制采购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优先采购    </w:t>
      </w:r>
    </w:p>
    <w:p w14:paraId="5842ED7A">
      <w:pPr>
        <w:numPr>
          <w:ilvl w:val="255"/>
          <w:numId w:val="0"/>
        </w:numPr>
        <w:tabs>
          <w:tab w:val="left" w:pos="740"/>
        </w:tabs>
        <w:adjustRightInd w:val="0"/>
        <w:snapToGrid w:val="0"/>
        <w:spacing w:line="360" w:lineRule="auto"/>
        <w:rPr>
          <w:rFonts w:ascii="宋体" w:hAnsi="宋体" w:eastAsia="宋体" w:cs="宋体"/>
          <w:sz w:val="24"/>
          <w:szCs w:val="24"/>
          <w:highlight w:val="none"/>
        </w:rPr>
      </w:pPr>
      <w:r>
        <w:rPr>
          <w:rFonts w:hint="eastAsia" w:ascii="宋体" w:hAnsi="宋体" w:eastAsia="宋体" w:cs="宋体"/>
          <w:iCs/>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否</w:t>
      </w:r>
    </w:p>
    <w:p w14:paraId="579F97F1">
      <w:pPr>
        <w:pStyle w:val="73"/>
        <w:numPr>
          <w:ilvl w:val="255"/>
          <w:numId w:val="0"/>
        </w:numPr>
        <w:snapToGrid w:val="0"/>
        <w:spacing w:line="360" w:lineRule="auto"/>
        <w:rPr>
          <w:rFonts w:ascii="宋体" w:hAnsi="宋体" w:eastAsia="宋体" w:cs="宋体"/>
          <w:kern w:val="2"/>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kern w:val="2"/>
          <w:sz w:val="24"/>
          <w:szCs w:val="24"/>
          <w:highlight w:val="none"/>
        </w:rPr>
        <w:t xml:space="preserve">是否涉及绿色产品： </w:t>
      </w:r>
    </w:p>
    <w:p w14:paraId="5C182EEB">
      <w:pPr>
        <w:pStyle w:val="73"/>
        <w:spacing w:line="360" w:lineRule="auto"/>
        <w:ind w:firstLine="420" w:firstLineChars="0"/>
        <w:rPr>
          <w:rFonts w:ascii="宋体" w:hAnsi="宋体" w:eastAsia="宋体" w:cs="宋体"/>
          <w:sz w:val="24"/>
          <w:szCs w:val="24"/>
          <w:highlight w:val="none"/>
          <w:u w:val="single"/>
        </w:rPr>
      </w:pPr>
      <w:r>
        <w:rPr>
          <w:rFonts w:hint="eastAsia" w:ascii="宋体" w:hAnsi="宋体" w:eastAsia="宋体" w:cs="宋体"/>
          <w:kern w:val="2"/>
          <w:sz w:val="24"/>
          <w:szCs w:val="24"/>
          <w:highlight w:val="none"/>
        </w:rPr>
        <w:t xml:space="preserve">     </w:t>
      </w:r>
      <w:r>
        <w:rPr>
          <w:rFonts w:hint="eastAsia" w:ascii="宋体" w:hAnsi="宋体" w:eastAsia="宋体" w:cs="宋体"/>
          <w:kern w:val="2"/>
          <w:sz w:val="24"/>
          <w:szCs w:val="24"/>
          <w:highlight w:val="none"/>
        </w:rPr>
        <w:sym w:font="Wingdings" w:char="00A8"/>
      </w:r>
      <w:r>
        <w:rPr>
          <w:rFonts w:hint="eastAsia" w:ascii="宋体" w:hAnsi="宋体" w:eastAsia="宋体" w:cs="宋体"/>
          <w:kern w:val="2"/>
          <w:sz w:val="24"/>
          <w:szCs w:val="24"/>
          <w:highlight w:val="none"/>
        </w:rPr>
        <w:t>是，绿色产品政府采购相关政策确定的底级品目名称：</w:t>
      </w:r>
      <w:r>
        <w:rPr>
          <w:rFonts w:hint="eastAsia" w:ascii="宋体" w:hAnsi="宋体" w:eastAsia="宋体" w:cs="宋体"/>
          <w:sz w:val="24"/>
          <w:szCs w:val="24"/>
          <w:highlight w:val="none"/>
          <w:u w:val="single"/>
        </w:rPr>
        <w:t xml:space="preserve">         </w:t>
      </w:r>
    </w:p>
    <w:p w14:paraId="7F9DA468">
      <w:pPr>
        <w:numPr>
          <w:ilvl w:val="255"/>
          <w:numId w:val="0"/>
        </w:numPr>
        <w:tabs>
          <w:tab w:val="left" w:pos="740"/>
        </w:tabs>
        <w:adjustRightInd w:val="0"/>
        <w:snapToGrid w:val="0"/>
        <w:spacing w:line="360" w:lineRule="auto"/>
        <w:rPr>
          <w:rFonts w:ascii="宋体" w:hAnsi="宋体" w:eastAsia="宋体" w:cs="宋体"/>
          <w:iCs/>
          <w:sz w:val="24"/>
          <w:szCs w:val="24"/>
          <w:highlight w:val="none"/>
        </w:rPr>
      </w:pPr>
      <w:r>
        <w:rPr>
          <w:rFonts w:hint="eastAsia" w:ascii="宋体" w:hAnsi="宋体" w:eastAsia="宋体" w:cs="宋体"/>
          <w:iCs/>
          <w:sz w:val="24"/>
          <w:szCs w:val="24"/>
          <w:highlight w:val="none"/>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强制采购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优先采购    </w:t>
      </w:r>
    </w:p>
    <w:p w14:paraId="187AB4FC">
      <w:pPr>
        <w:pStyle w:val="73"/>
        <w:spacing w:line="360" w:lineRule="auto"/>
        <w:ind w:firstLine="420" w:firstLineChars="0"/>
        <w:rPr>
          <w:rFonts w:ascii="宋体" w:hAnsi="宋体" w:eastAsia="宋体" w:cs="宋体"/>
          <w:sz w:val="24"/>
          <w:szCs w:val="24"/>
          <w:highlight w:val="none"/>
        </w:rPr>
      </w:pPr>
      <w:r>
        <w:rPr>
          <w:rFonts w:hint="eastAsia" w:ascii="宋体" w:hAnsi="宋体" w:eastAsia="宋体" w:cs="宋体"/>
          <w:kern w:val="2"/>
          <w:sz w:val="24"/>
          <w:szCs w:val="24"/>
          <w:highlight w:val="none"/>
        </w:rPr>
        <w:t xml:space="preserve">     </w:t>
      </w:r>
      <w:r>
        <w:rPr>
          <w:rFonts w:hint="eastAsia" w:ascii="宋体" w:hAnsi="宋体" w:eastAsia="宋体" w:cs="宋体"/>
          <w:kern w:val="2"/>
          <w:sz w:val="24"/>
          <w:szCs w:val="24"/>
          <w:highlight w:val="none"/>
        </w:rPr>
        <w:sym w:font="Wingdings" w:char="00A8"/>
      </w:r>
      <w:r>
        <w:rPr>
          <w:rFonts w:hint="eastAsia" w:ascii="宋体" w:hAnsi="宋体" w:eastAsia="宋体" w:cs="宋体"/>
          <w:kern w:val="2"/>
          <w:sz w:val="24"/>
          <w:szCs w:val="24"/>
          <w:highlight w:val="none"/>
        </w:rPr>
        <w:t>否</w:t>
      </w:r>
    </w:p>
    <w:p w14:paraId="7753CA43">
      <w:pPr>
        <w:numPr>
          <w:ilvl w:val="255"/>
          <w:numId w:val="0"/>
        </w:numPr>
        <w:adjustRightInd w:val="0"/>
        <w:snapToGrid w:val="0"/>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    （1</w:t>
      </w:r>
      <w:r>
        <w:rPr>
          <w:rFonts w:hint="eastAsia" w:ascii="宋体" w:hAnsi="宋体" w:eastAsia="宋体" w:cs="宋体"/>
          <w:sz w:val="24"/>
          <w:szCs w:val="24"/>
          <w:highlight w:val="none"/>
          <w:lang w:val="en"/>
        </w:rPr>
        <w:t>1</w:t>
      </w:r>
      <w:r>
        <w:rPr>
          <w:rFonts w:hint="eastAsia" w:ascii="宋体" w:hAnsi="宋体" w:eastAsia="宋体" w:cs="宋体"/>
          <w:sz w:val="24"/>
          <w:szCs w:val="24"/>
          <w:highlight w:val="none"/>
        </w:rPr>
        <w:t>）涉及商品包装和快递包装的，是否参考《商品包装政府采购需求标准（试行）》、《快递包装政府采购需求标准（试行）》明确产品及相关快递服务的具体包装要求：</w:t>
      </w:r>
    </w:p>
    <w:p w14:paraId="6704E40B">
      <w:pPr>
        <w:numPr>
          <w:ilvl w:val="255"/>
          <w:numId w:val="0"/>
        </w:numPr>
        <w:adjustRightInd w:val="0"/>
        <w:snapToGrid w:val="0"/>
        <w:spacing w:line="360" w:lineRule="auto"/>
        <w:ind w:firstLine="960" w:firstLineChars="400"/>
        <w:rPr>
          <w:rFonts w:ascii="宋体" w:hAnsi="宋体" w:eastAsia="宋体" w:cs="宋体"/>
          <w:sz w:val="24"/>
          <w:szCs w:val="24"/>
          <w:highlight w:val="none"/>
        </w:rPr>
      </w:pPr>
      <w:r>
        <w:rPr>
          <w:rFonts w:hint="eastAsia" w:ascii="宋体" w:hAnsi="宋体" w:eastAsia="宋体" w:cs="宋体"/>
          <w:sz w:val="24"/>
          <w:szCs w:val="24"/>
          <w:highlight w:val="none"/>
        </w:rPr>
        <w:sym w:font="Wingdings" w:char="00FE"/>
      </w:r>
      <w:r>
        <w:rPr>
          <w:rFonts w:hint="eastAsia" w:ascii="宋体" w:hAnsi="宋体" w:eastAsia="宋体" w:cs="宋体"/>
          <w:sz w:val="24"/>
          <w:szCs w:val="24"/>
          <w:highlight w:val="none"/>
        </w:rPr>
        <w:t xml:space="preserve">是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 xml:space="preserve">否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不涉及</w:t>
      </w:r>
    </w:p>
    <w:p w14:paraId="24C3A787">
      <w:pPr>
        <w:numPr>
          <w:ilvl w:val="0"/>
          <w:numId w:val="5"/>
        </w:numPr>
        <w:adjustRightInd w:val="0"/>
        <w:snapToGri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合同金额</w:t>
      </w:r>
    </w:p>
    <w:p w14:paraId="02D48E9D">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（1）合同金额小写：</w:t>
      </w:r>
      <w:r>
        <w:rPr>
          <w:rFonts w:hint="eastAsia" w:ascii="宋体" w:hAnsi="宋体" w:eastAsia="宋体" w:cs="宋体"/>
          <w:sz w:val="24"/>
          <w:szCs w:val="24"/>
          <w:highlight w:val="none"/>
          <w:u w:val="single"/>
        </w:rPr>
        <w:t xml:space="preserve">                           </w:t>
      </w:r>
    </w:p>
    <w:p w14:paraId="6E8625D0">
      <w:pPr>
        <w:adjustRightInd w:val="0"/>
        <w:snapToGrid w:val="0"/>
        <w:spacing w:line="360" w:lineRule="auto"/>
        <w:rPr>
          <w:rFonts w:ascii="宋体" w:hAnsi="宋体" w:eastAsia="宋体" w:cs="宋体"/>
          <w:sz w:val="24"/>
          <w:szCs w:val="24"/>
          <w:highlight w:val="none"/>
          <w:u w:val="single"/>
        </w:rPr>
      </w:pPr>
      <w:r>
        <w:rPr>
          <w:rFonts w:hint="eastAsia" w:ascii="宋体" w:hAnsi="宋体" w:eastAsia="宋体" w:cs="宋体"/>
          <w:sz w:val="24"/>
          <w:szCs w:val="24"/>
          <w:highlight w:val="none"/>
        </w:rPr>
        <w:t xml:space="preserve">                 大写：</w:t>
      </w:r>
      <w:r>
        <w:rPr>
          <w:rFonts w:hint="eastAsia" w:ascii="宋体" w:hAnsi="宋体" w:eastAsia="宋体" w:cs="宋体"/>
          <w:sz w:val="24"/>
          <w:szCs w:val="24"/>
          <w:highlight w:val="none"/>
          <w:u w:val="single"/>
        </w:rPr>
        <w:t xml:space="preserve">                           </w:t>
      </w:r>
    </w:p>
    <w:p w14:paraId="351D9EB0">
      <w:pPr>
        <w:adjustRightInd w:val="0"/>
        <w:snapToGrid w:val="0"/>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         分包金额（如有）小写：</w:t>
      </w:r>
      <w:r>
        <w:rPr>
          <w:rFonts w:hint="eastAsia" w:ascii="宋体" w:hAnsi="宋体" w:eastAsia="宋体" w:cs="宋体"/>
          <w:sz w:val="24"/>
          <w:szCs w:val="24"/>
          <w:highlight w:val="none"/>
          <w:u w:val="single"/>
        </w:rPr>
        <w:t xml:space="preserve">                   </w:t>
      </w:r>
    </w:p>
    <w:p w14:paraId="2511B79D">
      <w:pPr>
        <w:adjustRightInd w:val="0"/>
        <w:snapToGrid w:val="0"/>
        <w:spacing w:line="360" w:lineRule="auto"/>
        <w:rPr>
          <w:rFonts w:ascii="宋体" w:hAnsi="宋体" w:eastAsia="宋体" w:cs="宋体"/>
          <w:sz w:val="24"/>
          <w:szCs w:val="24"/>
          <w:highlight w:val="none"/>
          <w:u w:val="single"/>
        </w:rPr>
      </w:pPr>
      <w:r>
        <w:rPr>
          <w:rFonts w:hint="eastAsia" w:ascii="宋体" w:hAnsi="宋体" w:eastAsia="宋体" w:cs="宋体"/>
          <w:sz w:val="24"/>
          <w:szCs w:val="24"/>
          <w:highlight w:val="none"/>
        </w:rPr>
        <w:t xml:space="preserve">                     大写：</w:t>
      </w:r>
      <w:r>
        <w:rPr>
          <w:rFonts w:hint="eastAsia" w:ascii="宋体" w:hAnsi="宋体" w:eastAsia="宋体" w:cs="宋体"/>
          <w:sz w:val="24"/>
          <w:szCs w:val="24"/>
          <w:highlight w:val="none"/>
          <w:u w:val="single"/>
        </w:rPr>
        <w:t xml:space="preserve">                       </w:t>
      </w:r>
    </w:p>
    <w:p w14:paraId="586C91A8">
      <w:pPr>
        <w:adjustRightInd w:val="0"/>
        <w:snapToGrid w:val="0"/>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    （注：固定单价合同应填写单价和最高限价）</w:t>
      </w:r>
    </w:p>
    <w:p w14:paraId="0C3AC63B">
      <w:pPr>
        <w:numPr>
          <w:ilvl w:val="255"/>
          <w:numId w:val="0"/>
        </w:numPr>
        <w:adjustRightInd w:val="0"/>
        <w:snapToGrid w:val="0"/>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    （2）合同定价方式（采用组合定价方式的，可以勾选多项）：</w:t>
      </w:r>
    </w:p>
    <w:p w14:paraId="002A754B">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iCs/>
          <w:sz w:val="24"/>
          <w:szCs w:val="24"/>
          <w:highlight w:val="none"/>
        </w:rPr>
        <w:t xml:space="preserve">  </w:t>
      </w:r>
      <w:r>
        <w:rPr>
          <w:rFonts w:hint="eastAsia" w:ascii="宋体" w:hAnsi="宋体" w:eastAsia="宋体" w:cs="宋体"/>
          <w:iCs/>
          <w:sz w:val="24"/>
          <w:szCs w:val="24"/>
          <w:highlight w:val="none"/>
        </w:rPr>
        <w:sym w:font="Wingdings" w:char="00FE"/>
      </w:r>
      <w:r>
        <w:rPr>
          <w:rFonts w:hint="eastAsia" w:ascii="宋体" w:hAnsi="宋体" w:eastAsia="宋体" w:cs="宋体"/>
          <w:iCs/>
          <w:sz w:val="24"/>
          <w:szCs w:val="24"/>
          <w:highlight w:val="none"/>
        </w:rPr>
        <w:t xml:space="preserve">固定总价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固定单价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固定费率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成本补偿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绩效激励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其他</w:t>
      </w:r>
      <w:r>
        <w:rPr>
          <w:rFonts w:hint="eastAsia" w:ascii="宋体" w:hAnsi="宋体" w:eastAsia="宋体" w:cs="宋体"/>
          <w:sz w:val="24"/>
          <w:szCs w:val="24"/>
          <w:highlight w:val="none"/>
          <w:u w:val="single"/>
        </w:rPr>
        <w:t xml:space="preserve">       </w:t>
      </w:r>
    </w:p>
    <w:p w14:paraId="7B730CCC">
      <w:pPr>
        <w:pStyle w:val="74"/>
        <w:spacing w:line="360" w:lineRule="auto"/>
        <w:ind w:firstLine="480"/>
        <w:rPr>
          <w:rFonts w:ascii="宋体" w:hAnsi="宋体" w:eastAsia="宋体" w:cs="宋体"/>
          <w:sz w:val="24"/>
          <w:szCs w:val="24"/>
          <w:highlight w:val="none"/>
        </w:rPr>
      </w:pPr>
      <w:r>
        <w:rPr>
          <w:rFonts w:hint="eastAsia" w:ascii="宋体" w:hAnsi="宋体" w:eastAsia="宋体" w:cs="宋体"/>
          <w:sz w:val="24"/>
          <w:szCs w:val="24"/>
          <w:highlight w:val="none"/>
        </w:rPr>
        <w:t>（3）付款方式（按项目实际勾选填写）：</w:t>
      </w:r>
    </w:p>
    <w:p w14:paraId="5FD610DB">
      <w:pPr>
        <w:adjustRightInd w:val="0"/>
        <w:snapToGrid w:val="0"/>
        <w:spacing w:line="360" w:lineRule="auto"/>
        <w:ind w:firstLine="720" w:firstLineChars="300"/>
        <w:rPr>
          <w:rFonts w:ascii="宋体" w:hAnsi="宋体" w:eastAsia="宋体" w:cs="宋体"/>
          <w:sz w:val="24"/>
          <w:szCs w:val="24"/>
          <w:highlight w:val="none"/>
          <w:u w:val="single"/>
        </w:rPr>
      </w:pP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全额付款：</w:t>
      </w:r>
      <w:r>
        <w:rPr>
          <w:rFonts w:hint="eastAsia" w:ascii="宋体" w:hAnsi="宋体" w:eastAsia="宋体" w:cs="宋体"/>
          <w:sz w:val="24"/>
          <w:szCs w:val="24"/>
          <w:highlight w:val="none"/>
          <w:u w:val="single"/>
        </w:rPr>
        <w:t xml:space="preserve">                                                 </w:t>
      </w:r>
    </w:p>
    <w:p w14:paraId="350F7777">
      <w:pPr>
        <w:snapToGrid w:val="0"/>
        <w:spacing w:line="360" w:lineRule="auto"/>
        <w:ind w:firstLine="720" w:firstLineChars="300"/>
        <w:rPr>
          <w:rFonts w:ascii="宋体" w:hAnsi="宋体" w:eastAsia="宋体" w:cs="宋体"/>
          <w:sz w:val="24"/>
          <w:szCs w:val="24"/>
          <w:highlight w:val="none"/>
        </w:rPr>
      </w:pP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分期付款：</w:t>
      </w:r>
      <w:r>
        <w:rPr>
          <w:rFonts w:hint="eastAsia" w:ascii="宋体" w:hAnsi="宋体" w:eastAsia="宋体" w:cs="宋体"/>
          <w:sz w:val="24"/>
          <w:szCs w:val="24"/>
          <w:highlight w:val="none"/>
          <w:u w:val="single"/>
        </w:rPr>
        <w:t xml:space="preserve">  （应明确分期支付合同款项的各期比例和支付条件，各期支付条件应与分期履约验收情况挂钩） </w:t>
      </w:r>
      <w:r>
        <w:rPr>
          <w:rFonts w:hint="eastAsia" w:ascii="宋体" w:hAnsi="宋体" w:eastAsia="宋体" w:cs="宋体"/>
          <w:sz w:val="24"/>
          <w:szCs w:val="24"/>
          <w:highlight w:val="none"/>
        </w:rPr>
        <w:t>，其中涉及预付款的：</w:t>
      </w:r>
      <w:r>
        <w:rPr>
          <w:rFonts w:hint="eastAsia" w:ascii="宋体" w:hAnsi="宋体" w:eastAsia="宋体" w:cs="宋体"/>
          <w:sz w:val="24"/>
          <w:szCs w:val="24"/>
          <w:highlight w:val="none"/>
          <w:u w:val="single"/>
        </w:rPr>
        <w:t xml:space="preserve"> （应明确预付款的支付比例和支付条件） </w:t>
      </w:r>
    </w:p>
    <w:p w14:paraId="25F7F02D">
      <w:pPr>
        <w:adjustRightInd w:val="0"/>
        <w:snapToGrid w:val="0"/>
        <w:spacing w:line="360" w:lineRule="auto"/>
        <w:ind w:firstLine="720" w:firstLineChars="300"/>
        <w:rPr>
          <w:rFonts w:ascii="宋体" w:hAnsi="宋体" w:eastAsia="宋体" w:cs="宋体"/>
          <w:sz w:val="24"/>
          <w:szCs w:val="24"/>
          <w:highlight w:val="none"/>
          <w:u w:val="single"/>
        </w:rPr>
      </w:pP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成本补偿：</w:t>
      </w:r>
      <w:r>
        <w:rPr>
          <w:rFonts w:hint="eastAsia" w:ascii="宋体" w:hAnsi="宋体" w:eastAsia="宋体" w:cs="宋体"/>
          <w:sz w:val="24"/>
          <w:szCs w:val="24"/>
          <w:highlight w:val="none"/>
          <w:u w:val="single"/>
        </w:rPr>
        <w:t xml:space="preserve">      （应明确按照成本补偿方式的支付方式和支付条件）   </w:t>
      </w:r>
    </w:p>
    <w:p w14:paraId="0F3031A3">
      <w:pPr>
        <w:adjustRightInd w:val="0"/>
        <w:snapToGrid w:val="0"/>
        <w:spacing w:line="360" w:lineRule="auto"/>
        <w:ind w:firstLine="720" w:firstLineChars="300"/>
        <w:rPr>
          <w:rFonts w:ascii="宋体" w:hAnsi="宋体" w:eastAsia="宋体" w:cs="宋体"/>
          <w:sz w:val="24"/>
          <w:szCs w:val="24"/>
          <w:highlight w:val="none"/>
        </w:rPr>
      </w:pP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绩效激励：</w:t>
      </w:r>
      <w:r>
        <w:rPr>
          <w:rFonts w:hint="eastAsia" w:ascii="宋体" w:hAnsi="宋体" w:eastAsia="宋体" w:cs="宋体"/>
          <w:sz w:val="24"/>
          <w:szCs w:val="24"/>
          <w:highlight w:val="none"/>
          <w:u w:val="single"/>
        </w:rPr>
        <w:t xml:space="preserve">      （应明确按照绩效激励方式的支付方式和支付条件）   </w:t>
      </w:r>
    </w:p>
    <w:p w14:paraId="5D53CCB9">
      <w:pPr>
        <w:numPr>
          <w:ilvl w:val="0"/>
          <w:numId w:val="5"/>
        </w:numPr>
        <w:adjustRightInd w:val="0"/>
        <w:snapToGrid w:val="0"/>
        <w:spacing w:line="360" w:lineRule="auto"/>
        <w:ind w:firstLine="482" w:firstLineChars="200"/>
        <w:rPr>
          <w:rFonts w:ascii="宋体" w:hAnsi="宋体" w:eastAsia="宋体" w:cs="宋体"/>
          <w:b/>
          <w:sz w:val="24"/>
          <w:szCs w:val="24"/>
          <w:highlight w:val="none"/>
          <w:u w:val="single"/>
        </w:rPr>
      </w:pPr>
      <w:r>
        <w:rPr>
          <w:rFonts w:hint="eastAsia" w:ascii="宋体" w:hAnsi="宋体" w:eastAsia="宋体" w:cs="宋体"/>
          <w:b/>
          <w:sz w:val="24"/>
          <w:szCs w:val="24"/>
          <w:highlight w:val="none"/>
        </w:rPr>
        <w:t>合同履行</w:t>
      </w:r>
    </w:p>
    <w:p w14:paraId="713F8323">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（1）起始日期：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日，完成日期：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72CEDF60">
      <w:pPr>
        <w:adjustRightInd w:val="0"/>
        <w:snapToGrid w:val="0"/>
        <w:spacing w:line="360" w:lineRule="auto"/>
        <w:ind w:firstLine="480" w:firstLineChars="200"/>
        <w:rPr>
          <w:rFonts w:ascii="宋体" w:hAnsi="宋体" w:eastAsia="宋体" w:cs="宋体"/>
          <w:sz w:val="24"/>
          <w:szCs w:val="24"/>
          <w:highlight w:val="none"/>
          <w:u w:val="single"/>
        </w:rPr>
      </w:pPr>
      <w:r>
        <w:rPr>
          <w:rFonts w:hint="eastAsia" w:ascii="宋体" w:hAnsi="宋体" w:eastAsia="宋体" w:cs="宋体"/>
          <w:sz w:val="24"/>
          <w:szCs w:val="24"/>
          <w:highlight w:val="none"/>
        </w:rPr>
        <w:t>（2）履约地点</w:t>
      </w:r>
      <w:r>
        <w:rPr>
          <w:rFonts w:hint="eastAsia" w:ascii="宋体" w:hAnsi="宋体" w:eastAsia="宋体" w:cs="宋体"/>
          <w:bCs/>
          <w:sz w:val="24"/>
          <w:szCs w:val="24"/>
          <w:highlight w:val="none"/>
        </w:rPr>
        <w:t>：</w:t>
      </w:r>
      <w:r>
        <w:rPr>
          <w:rFonts w:hint="eastAsia" w:ascii="宋体" w:hAnsi="宋体" w:eastAsia="宋体" w:cs="宋体"/>
          <w:sz w:val="24"/>
          <w:szCs w:val="24"/>
          <w:highlight w:val="none"/>
          <w:u w:val="single"/>
        </w:rPr>
        <w:t xml:space="preserve">                             </w:t>
      </w:r>
    </w:p>
    <w:p w14:paraId="45FC9031">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bCs/>
          <w:sz w:val="24"/>
          <w:szCs w:val="24"/>
          <w:highlight w:val="none"/>
        </w:rPr>
        <w:t>（3）履约担保：</w:t>
      </w:r>
      <w:r>
        <w:rPr>
          <w:rFonts w:hint="eastAsia" w:ascii="宋体" w:hAnsi="宋体" w:eastAsia="宋体" w:cs="宋体"/>
          <w:sz w:val="24"/>
          <w:szCs w:val="24"/>
          <w:highlight w:val="none"/>
        </w:rPr>
        <w:t>是否收取履约保证金：</w:t>
      </w:r>
      <w:r>
        <w:rPr>
          <w:rFonts w:hint="eastAsia" w:ascii="宋体" w:hAnsi="宋体" w:eastAsia="宋体" w:cs="宋体"/>
          <w:sz w:val="24"/>
          <w:szCs w:val="24"/>
          <w:highlight w:val="none"/>
        </w:rPr>
        <w:sym w:font="Wingdings" w:char="00FE"/>
      </w:r>
      <w:r>
        <w:rPr>
          <w:rFonts w:hint="eastAsia" w:ascii="宋体" w:hAnsi="宋体" w:eastAsia="宋体" w:cs="宋体"/>
          <w:sz w:val="24"/>
          <w:szCs w:val="24"/>
          <w:highlight w:val="none"/>
        </w:rPr>
        <w:t xml:space="preserve">是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否</w:t>
      </w:r>
    </w:p>
    <w:p w14:paraId="5882E2A7">
      <w:pPr>
        <w:pStyle w:val="73"/>
        <w:spacing w:line="360" w:lineRule="auto"/>
        <w:ind w:firstLine="480"/>
        <w:rPr>
          <w:rFonts w:ascii="宋体" w:hAnsi="宋体" w:eastAsia="宋体" w:cs="宋体"/>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sz w:val="24"/>
          <w:szCs w:val="24"/>
          <w:highlight w:val="none"/>
        </w:rPr>
        <w:t xml:space="preserve">  收取履约保证金形式：</w:t>
      </w:r>
      <w:r>
        <w:rPr>
          <w:rFonts w:hint="eastAsia" w:ascii="宋体" w:hAnsi="宋体" w:eastAsia="宋体" w:cs="宋体"/>
          <w:bCs/>
          <w:sz w:val="24"/>
          <w:szCs w:val="24"/>
          <w:highlight w:val="none"/>
          <w:u w:val="single"/>
        </w:rPr>
        <w:t xml:space="preserve">                            </w:t>
      </w:r>
    </w:p>
    <w:p w14:paraId="0FBC2BEB">
      <w:pPr>
        <w:pStyle w:val="73"/>
        <w:spacing w:line="360" w:lineRule="auto"/>
        <w:ind w:firstLine="480"/>
        <w:rPr>
          <w:rFonts w:ascii="宋体" w:hAnsi="宋体" w:eastAsia="宋体" w:cs="宋体"/>
          <w:sz w:val="24"/>
          <w:szCs w:val="24"/>
          <w:highlight w:val="none"/>
        </w:rPr>
      </w:pPr>
      <w:r>
        <w:rPr>
          <w:rFonts w:hint="eastAsia" w:ascii="宋体" w:hAnsi="宋体" w:eastAsia="宋体" w:cs="宋体"/>
          <w:sz w:val="24"/>
          <w:szCs w:val="24"/>
          <w:highlight w:val="none"/>
        </w:rPr>
        <w:t xml:space="preserve">    收取履约保证金金额：</w:t>
      </w:r>
      <w:r>
        <w:rPr>
          <w:rFonts w:hint="eastAsia" w:ascii="宋体" w:hAnsi="宋体" w:eastAsia="宋体" w:cs="宋体"/>
          <w:bCs/>
          <w:sz w:val="24"/>
          <w:szCs w:val="24"/>
          <w:highlight w:val="none"/>
          <w:u w:val="single"/>
        </w:rPr>
        <w:t xml:space="preserve">                            </w:t>
      </w:r>
    </w:p>
    <w:p w14:paraId="62FD913C">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bCs/>
          <w:sz w:val="24"/>
          <w:szCs w:val="24"/>
          <w:highlight w:val="none"/>
        </w:rPr>
        <w:t xml:space="preserve">    履约担保期限：</w:t>
      </w:r>
      <w:r>
        <w:rPr>
          <w:rFonts w:hint="eastAsia" w:ascii="宋体" w:hAnsi="宋体" w:eastAsia="宋体" w:cs="宋体"/>
          <w:bCs/>
          <w:sz w:val="24"/>
          <w:szCs w:val="24"/>
          <w:highlight w:val="none"/>
          <w:u w:val="single"/>
        </w:rPr>
        <w:t xml:space="preserve">                                  </w:t>
      </w:r>
    </w:p>
    <w:p w14:paraId="2EC6FD5E">
      <w:pPr>
        <w:adjustRightInd w:val="0"/>
        <w:snapToGrid w:val="0"/>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（4）分期履行要求：</w:t>
      </w:r>
      <w:r>
        <w:rPr>
          <w:rFonts w:hint="eastAsia" w:ascii="宋体" w:hAnsi="宋体" w:eastAsia="宋体" w:cs="宋体"/>
          <w:bCs/>
          <w:sz w:val="24"/>
          <w:szCs w:val="24"/>
          <w:highlight w:val="none"/>
          <w:u w:val="single"/>
        </w:rPr>
        <w:t xml:space="preserve">                                                        </w:t>
      </w:r>
    </w:p>
    <w:p w14:paraId="2D2490F5">
      <w:pPr>
        <w:adjustRightInd w:val="0"/>
        <w:snapToGrid w:val="0"/>
        <w:spacing w:line="360" w:lineRule="auto"/>
        <w:ind w:firstLine="480" w:firstLineChars="200"/>
        <w:rPr>
          <w:rFonts w:ascii="宋体" w:hAnsi="宋体" w:eastAsia="宋体" w:cs="宋体"/>
          <w:sz w:val="24"/>
          <w:szCs w:val="24"/>
          <w:highlight w:val="none"/>
          <w:u w:val="single"/>
        </w:rPr>
      </w:pPr>
      <w:r>
        <w:rPr>
          <w:rFonts w:hint="eastAsia" w:ascii="宋体" w:hAnsi="宋体" w:eastAsia="宋体" w:cs="宋体"/>
          <w:bCs/>
          <w:sz w:val="24"/>
          <w:szCs w:val="24"/>
          <w:highlight w:val="none"/>
        </w:rPr>
        <w:t>（5）风险处置措施和替代方案：</w:t>
      </w:r>
      <w:r>
        <w:rPr>
          <w:rFonts w:hint="eastAsia" w:ascii="宋体" w:hAnsi="宋体" w:eastAsia="宋体" w:cs="宋体"/>
          <w:sz w:val="24"/>
          <w:szCs w:val="24"/>
          <w:highlight w:val="none"/>
          <w:u w:val="single"/>
        </w:rPr>
        <w:t xml:space="preserve">                                                               </w:t>
      </w:r>
    </w:p>
    <w:p w14:paraId="444DD4BF">
      <w:pPr>
        <w:numPr>
          <w:ilvl w:val="0"/>
          <w:numId w:val="5"/>
        </w:numPr>
        <w:adjustRightInd w:val="0"/>
        <w:snapToGri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合同验收</w:t>
      </w:r>
    </w:p>
    <w:p w14:paraId="5F15C6B4">
      <w:pPr>
        <w:numPr>
          <w:ilvl w:val="0"/>
          <w:numId w:val="7"/>
        </w:numPr>
        <w:adjustRightInd w:val="0"/>
        <w:snapToGrid w:val="0"/>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验收组织方式：</w:t>
      </w:r>
      <w:r>
        <w:rPr>
          <w:rFonts w:hint="eastAsia" w:ascii="宋体" w:hAnsi="宋体" w:eastAsia="宋体" w:cs="宋体"/>
          <w:sz w:val="24"/>
          <w:szCs w:val="24"/>
          <w:highlight w:val="none"/>
        </w:rPr>
        <w:sym w:font="Wingdings" w:char="00FE"/>
      </w:r>
      <w:r>
        <w:rPr>
          <w:rFonts w:hint="eastAsia" w:ascii="宋体" w:hAnsi="宋体" w:eastAsia="宋体" w:cs="宋体"/>
          <w:bCs/>
          <w:sz w:val="24"/>
          <w:szCs w:val="24"/>
          <w:highlight w:val="none"/>
        </w:rPr>
        <w:t xml:space="preserve">自行组织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委托第三方组织</w:t>
      </w:r>
    </w:p>
    <w:p w14:paraId="14519FB6">
      <w:pPr>
        <w:rPr>
          <w:rFonts w:ascii="宋体" w:hAnsi="宋体" w:eastAsia="宋体" w:cs="宋体"/>
          <w:bCs/>
          <w:sz w:val="24"/>
          <w:szCs w:val="24"/>
          <w:highlight w:val="none"/>
        </w:rPr>
      </w:pPr>
      <w:r>
        <w:rPr>
          <w:rFonts w:hint="eastAsia" w:ascii="宋体" w:hAnsi="宋体" w:eastAsia="宋体" w:cs="宋体"/>
          <w:bCs/>
          <w:sz w:val="24"/>
          <w:szCs w:val="24"/>
          <w:highlight w:val="none"/>
        </w:rPr>
        <w:t xml:space="preserve">         验收主体：</w:t>
      </w:r>
      <w:r>
        <w:rPr>
          <w:rFonts w:hint="eastAsia" w:ascii="宋体" w:hAnsi="宋体" w:eastAsia="宋体" w:cs="宋体"/>
          <w:bCs/>
          <w:sz w:val="24"/>
          <w:szCs w:val="24"/>
          <w:highlight w:val="none"/>
          <w:u w:val="single"/>
        </w:rPr>
        <w:t xml:space="preserve"> 上海市第一人民医院蚌埠医院（</w:t>
      </w:r>
      <w:r>
        <w:rPr>
          <w:rFonts w:hint="eastAsia" w:ascii="宋体" w:hAnsi="宋体" w:eastAsia="宋体" w:cs="宋体"/>
          <w:bCs/>
          <w:sz w:val="24"/>
          <w:szCs w:val="24"/>
          <w:highlight w:val="none"/>
          <w:u w:val="single"/>
          <w:lang w:eastAsia="zh-CN"/>
        </w:rPr>
        <w:t>蚌埠</w:t>
      </w:r>
      <w:r>
        <w:rPr>
          <w:rFonts w:hint="eastAsia" w:ascii="宋体" w:hAnsi="宋体" w:eastAsia="宋体" w:cs="宋体"/>
          <w:bCs/>
          <w:sz w:val="24"/>
          <w:szCs w:val="24"/>
          <w:highlight w:val="none"/>
          <w:u w:val="single"/>
        </w:rPr>
        <w:t>医科大学第二附属医院）</w:t>
      </w:r>
    </w:p>
    <w:p w14:paraId="32A3E1F3">
      <w:pPr>
        <w:adjustRightInd w:val="0"/>
        <w:snapToGrid w:val="0"/>
        <w:spacing w:line="360" w:lineRule="auto"/>
        <w:rPr>
          <w:rFonts w:ascii="宋体" w:hAnsi="宋体" w:eastAsia="宋体" w:cs="宋体"/>
          <w:bCs/>
          <w:sz w:val="24"/>
          <w:szCs w:val="24"/>
          <w:highlight w:val="none"/>
        </w:rPr>
      </w:pPr>
      <w:r>
        <w:rPr>
          <w:rFonts w:hint="eastAsia" w:ascii="宋体" w:hAnsi="宋体" w:eastAsia="宋体" w:cs="宋体"/>
          <w:bCs/>
          <w:sz w:val="24"/>
          <w:szCs w:val="24"/>
          <w:highlight w:val="none"/>
        </w:rPr>
        <w:t xml:space="preserve">        是否邀请本项目的其他供应商参加验收：</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是  </w:t>
      </w:r>
      <w:r>
        <w:rPr>
          <w:rFonts w:hint="eastAsia" w:ascii="宋体" w:hAnsi="宋体" w:eastAsia="宋体" w:cs="宋体"/>
          <w:sz w:val="24"/>
          <w:szCs w:val="24"/>
          <w:highlight w:val="none"/>
        </w:rPr>
        <w:sym w:font="Wingdings" w:char="00FE"/>
      </w:r>
      <w:r>
        <w:rPr>
          <w:rFonts w:hint="eastAsia" w:ascii="宋体" w:hAnsi="宋体" w:eastAsia="宋体" w:cs="宋体"/>
          <w:bCs/>
          <w:sz w:val="24"/>
          <w:szCs w:val="24"/>
          <w:highlight w:val="none"/>
        </w:rPr>
        <w:t>否</w:t>
      </w:r>
    </w:p>
    <w:p w14:paraId="4B8DD237">
      <w:pPr>
        <w:adjustRightInd w:val="0"/>
        <w:snapToGrid w:val="0"/>
        <w:spacing w:line="360" w:lineRule="auto"/>
        <w:ind w:firstLine="960" w:firstLineChars="400"/>
        <w:rPr>
          <w:rFonts w:ascii="宋体" w:hAnsi="宋体" w:eastAsia="宋体" w:cs="宋体"/>
          <w:bCs/>
          <w:sz w:val="24"/>
          <w:szCs w:val="24"/>
          <w:highlight w:val="none"/>
        </w:rPr>
      </w:pPr>
      <w:r>
        <w:rPr>
          <w:rFonts w:hint="eastAsia" w:ascii="宋体" w:hAnsi="宋体" w:eastAsia="宋体" w:cs="宋体"/>
          <w:bCs/>
          <w:sz w:val="24"/>
          <w:szCs w:val="24"/>
          <w:highlight w:val="none"/>
        </w:rPr>
        <w:t>是否邀请专家参加验收：</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是  </w:t>
      </w:r>
      <w:r>
        <w:rPr>
          <w:rFonts w:hint="eastAsia" w:ascii="宋体" w:hAnsi="宋体" w:eastAsia="宋体" w:cs="宋体"/>
          <w:sz w:val="24"/>
          <w:szCs w:val="24"/>
          <w:highlight w:val="none"/>
        </w:rPr>
        <w:sym w:font="Wingdings" w:char="00FE"/>
      </w:r>
      <w:r>
        <w:rPr>
          <w:rFonts w:hint="eastAsia" w:ascii="宋体" w:hAnsi="宋体" w:eastAsia="宋体" w:cs="宋体"/>
          <w:bCs/>
          <w:sz w:val="24"/>
          <w:szCs w:val="24"/>
          <w:highlight w:val="none"/>
        </w:rPr>
        <w:t>否</w:t>
      </w:r>
    </w:p>
    <w:p w14:paraId="61C1E1F5">
      <w:pPr>
        <w:adjustRightInd w:val="0"/>
        <w:snapToGrid w:val="0"/>
        <w:spacing w:line="360" w:lineRule="auto"/>
        <w:ind w:firstLine="960" w:firstLineChars="400"/>
        <w:rPr>
          <w:rFonts w:ascii="宋体" w:hAnsi="宋体" w:eastAsia="宋体" w:cs="宋体"/>
          <w:bCs/>
          <w:sz w:val="24"/>
          <w:szCs w:val="24"/>
          <w:highlight w:val="none"/>
        </w:rPr>
      </w:pPr>
      <w:r>
        <w:rPr>
          <w:rFonts w:hint="eastAsia" w:ascii="宋体" w:hAnsi="宋体" w:eastAsia="宋体" w:cs="宋体"/>
          <w:bCs/>
          <w:sz w:val="24"/>
          <w:szCs w:val="24"/>
          <w:highlight w:val="none"/>
        </w:rPr>
        <w:t>是否邀请服务对象参加验收：</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是  </w:t>
      </w:r>
      <w:r>
        <w:rPr>
          <w:rFonts w:hint="eastAsia" w:ascii="宋体" w:hAnsi="宋体" w:eastAsia="宋体" w:cs="宋体"/>
          <w:sz w:val="24"/>
          <w:szCs w:val="24"/>
          <w:highlight w:val="none"/>
        </w:rPr>
        <w:sym w:font="Wingdings" w:char="00FE"/>
      </w:r>
      <w:r>
        <w:rPr>
          <w:rFonts w:hint="eastAsia" w:ascii="宋体" w:hAnsi="宋体" w:eastAsia="宋体" w:cs="宋体"/>
          <w:bCs/>
          <w:sz w:val="24"/>
          <w:szCs w:val="24"/>
          <w:highlight w:val="none"/>
        </w:rPr>
        <w:t>否</w:t>
      </w:r>
    </w:p>
    <w:p w14:paraId="565B0C5A">
      <w:pPr>
        <w:adjustRightInd w:val="0"/>
        <w:snapToGrid w:val="0"/>
        <w:spacing w:line="360" w:lineRule="auto"/>
        <w:ind w:firstLine="960" w:firstLineChars="400"/>
        <w:rPr>
          <w:rFonts w:ascii="宋体" w:hAnsi="宋体" w:eastAsia="宋体" w:cs="宋体"/>
          <w:bCs/>
          <w:sz w:val="24"/>
          <w:szCs w:val="24"/>
          <w:highlight w:val="none"/>
        </w:rPr>
      </w:pPr>
      <w:r>
        <w:rPr>
          <w:rFonts w:hint="eastAsia" w:ascii="宋体" w:hAnsi="宋体" w:eastAsia="宋体" w:cs="宋体"/>
          <w:bCs/>
          <w:sz w:val="24"/>
          <w:szCs w:val="24"/>
          <w:highlight w:val="none"/>
        </w:rPr>
        <w:t>是否邀请第三方检测机构参加验收：</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是  </w:t>
      </w:r>
      <w:r>
        <w:rPr>
          <w:rFonts w:hint="eastAsia" w:ascii="宋体" w:hAnsi="宋体" w:eastAsia="宋体" w:cs="宋体"/>
          <w:sz w:val="24"/>
          <w:szCs w:val="24"/>
          <w:highlight w:val="none"/>
        </w:rPr>
        <w:sym w:font="Wingdings" w:char="00FE"/>
      </w:r>
      <w:r>
        <w:rPr>
          <w:rFonts w:hint="eastAsia" w:ascii="宋体" w:hAnsi="宋体" w:eastAsia="宋体" w:cs="宋体"/>
          <w:bCs/>
          <w:sz w:val="24"/>
          <w:szCs w:val="24"/>
          <w:highlight w:val="none"/>
        </w:rPr>
        <w:t>否</w:t>
      </w:r>
    </w:p>
    <w:p w14:paraId="2CC89879">
      <w:pPr>
        <w:adjustRightInd w:val="0"/>
        <w:snapToGrid w:val="0"/>
        <w:spacing w:line="360" w:lineRule="auto"/>
        <w:ind w:firstLine="960" w:firstLineChars="400"/>
        <w:rPr>
          <w:rFonts w:ascii="宋体" w:hAnsi="宋体" w:eastAsia="宋体" w:cs="宋体"/>
          <w:bCs/>
          <w:sz w:val="24"/>
          <w:szCs w:val="24"/>
          <w:highlight w:val="none"/>
        </w:rPr>
      </w:pPr>
      <w:r>
        <w:rPr>
          <w:rFonts w:hint="eastAsia" w:ascii="宋体" w:hAnsi="宋体" w:eastAsia="宋体" w:cs="宋体"/>
          <w:bCs/>
          <w:sz w:val="24"/>
          <w:szCs w:val="24"/>
          <w:highlight w:val="none"/>
        </w:rPr>
        <w:t>是否进行抽查检测：</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是，抽查比例：</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 xml:space="preserve"> </w:t>
      </w:r>
      <w:r>
        <w:rPr>
          <w:rFonts w:hint="eastAsia" w:ascii="宋体" w:hAnsi="宋体" w:eastAsia="宋体" w:cs="宋体"/>
          <w:sz w:val="24"/>
          <w:szCs w:val="24"/>
          <w:highlight w:val="none"/>
        </w:rPr>
        <w:sym w:font="Wingdings" w:char="00FE"/>
      </w:r>
      <w:r>
        <w:rPr>
          <w:rFonts w:hint="eastAsia" w:ascii="宋体" w:hAnsi="宋体" w:eastAsia="宋体" w:cs="宋体"/>
          <w:bCs/>
          <w:sz w:val="24"/>
          <w:szCs w:val="24"/>
          <w:highlight w:val="none"/>
        </w:rPr>
        <w:t>否</w:t>
      </w:r>
    </w:p>
    <w:p w14:paraId="2B78830D">
      <w:pPr>
        <w:adjustRightInd w:val="0"/>
        <w:snapToGrid w:val="0"/>
        <w:spacing w:line="360" w:lineRule="auto"/>
        <w:ind w:firstLine="960" w:firstLineChars="400"/>
        <w:rPr>
          <w:rFonts w:ascii="宋体" w:hAnsi="宋体" w:eastAsia="宋体" w:cs="宋体"/>
          <w:bCs/>
          <w:sz w:val="24"/>
          <w:szCs w:val="24"/>
          <w:highlight w:val="none"/>
          <w:u w:val="single"/>
        </w:rPr>
      </w:pPr>
      <w:r>
        <w:rPr>
          <w:rFonts w:hint="eastAsia" w:ascii="宋体" w:hAnsi="宋体" w:eastAsia="宋体" w:cs="宋体"/>
          <w:bCs/>
          <w:sz w:val="24"/>
          <w:szCs w:val="24"/>
          <w:highlight w:val="none"/>
        </w:rPr>
        <w:t>是否存在破坏性检测：</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是，</w:t>
      </w:r>
      <w:r>
        <w:rPr>
          <w:rFonts w:hint="eastAsia" w:ascii="宋体" w:hAnsi="宋体" w:eastAsia="宋体" w:cs="宋体"/>
          <w:bCs/>
          <w:sz w:val="24"/>
          <w:szCs w:val="24"/>
          <w:highlight w:val="none"/>
          <w:u w:val="single"/>
        </w:rPr>
        <w:t>（应明确对被破坏的检测产品的处理方式）</w:t>
      </w:r>
    </w:p>
    <w:p w14:paraId="066B5C07">
      <w:pPr>
        <w:adjustRightInd w:val="0"/>
        <w:snapToGrid w:val="0"/>
        <w:spacing w:line="360" w:lineRule="auto"/>
        <w:ind w:firstLine="960" w:firstLineChars="400"/>
        <w:rPr>
          <w:rFonts w:ascii="宋体" w:hAnsi="宋体" w:eastAsia="宋体" w:cs="宋体"/>
          <w:bCs/>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sz w:val="24"/>
          <w:szCs w:val="24"/>
          <w:highlight w:val="none"/>
        </w:rPr>
        <w:sym w:font="Wingdings" w:char="00FE"/>
      </w:r>
      <w:r>
        <w:rPr>
          <w:rFonts w:hint="eastAsia" w:ascii="宋体" w:hAnsi="宋体" w:eastAsia="宋体" w:cs="宋体"/>
          <w:bCs/>
          <w:sz w:val="24"/>
          <w:szCs w:val="24"/>
          <w:highlight w:val="none"/>
        </w:rPr>
        <w:t>否</w:t>
      </w:r>
    </w:p>
    <w:p w14:paraId="3650692F">
      <w:pPr>
        <w:adjustRightInd w:val="0"/>
        <w:snapToGrid w:val="0"/>
        <w:spacing w:line="360" w:lineRule="auto"/>
        <w:ind w:firstLine="960" w:firstLineChars="400"/>
        <w:rPr>
          <w:rFonts w:ascii="宋体" w:hAnsi="宋体" w:eastAsia="宋体" w:cs="宋体"/>
          <w:bCs/>
          <w:sz w:val="24"/>
          <w:szCs w:val="24"/>
          <w:highlight w:val="none"/>
          <w:u w:val="single"/>
        </w:rPr>
      </w:pPr>
      <w:r>
        <w:rPr>
          <w:rFonts w:hint="eastAsia" w:ascii="宋体" w:hAnsi="宋体" w:eastAsia="宋体" w:cs="宋体"/>
          <w:bCs/>
          <w:sz w:val="24"/>
          <w:szCs w:val="24"/>
          <w:highlight w:val="none"/>
        </w:rPr>
        <w:t>验收组织的其他事项：</w:t>
      </w:r>
      <w:r>
        <w:rPr>
          <w:rFonts w:hint="eastAsia" w:ascii="宋体" w:hAnsi="宋体" w:eastAsia="宋体" w:cs="宋体"/>
          <w:bCs/>
          <w:sz w:val="24"/>
          <w:szCs w:val="24"/>
          <w:highlight w:val="none"/>
          <w:u w:val="single"/>
        </w:rPr>
        <w:t xml:space="preserve">                </w:t>
      </w:r>
    </w:p>
    <w:p w14:paraId="228D5417">
      <w:pPr>
        <w:ind w:firstLine="480" w:firstLineChars="200"/>
        <w:rPr>
          <w:rFonts w:ascii="宋体" w:hAnsi="宋体" w:eastAsia="宋体" w:cs="宋体"/>
          <w:bCs/>
          <w:sz w:val="24"/>
          <w:szCs w:val="24"/>
          <w:highlight w:val="none"/>
          <w:u w:val="single"/>
        </w:rPr>
      </w:pPr>
      <w:r>
        <w:rPr>
          <w:rFonts w:hint="eastAsia" w:ascii="宋体" w:hAnsi="宋体" w:eastAsia="宋体" w:cs="宋体"/>
          <w:bCs/>
          <w:sz w:val="24"/>
          <w:szCs w:val="24"/>
          <w:highlight w:val="none"/>
        </w:rPr>
        <w:t>（2）履约验收时间：</w:t>
      </w:r>
      <w:r>
        <w:rPr>
          <w:rFonts w:hint="eastAsia" w:ascii="宋体" w:hAnsi="宋体" w:eastAsia="宋体" w:cs="宋体"/>
          <w:bCs/>
          <w:sz w:val="24"/>
          <w:szCs w:val="24"/>
          <w:highlight w:val="none"/>
          <w:u w:val="single"/>
        </w:rPr>
        <w:t>供应商提出验收申请之日起7日内组织验收</w:t>
      </w:r>
    </w:p>
    <w:p w14:paraId="6E5EF34D">
      <w:pPr>
        <w:adjustRightInd w:val="0"/>
        <w:snapToGrid w:val="0"/>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（3）履约验收方式：</w:t>
      </w:r>
      <w:r>
        <w:rPr>
          <w:rFonts w:hint="eastAsia" w:ascii="宋体" w:hAnsi="宋体" w:eastAsia="宋体" w:cs="宋体"/>
          <w:sz w:val="24"/>
          <w:szCs w:val="24"/>
          <w:highlight w:val="none"/>
        </w:rPr>
        <w:sym w:font="Wingdings" w:char="00FE"/>
      </w:r>
      <w:r>
        <w:rPr>
          <w:rFonts w:hint="eastAsia" w:ascii="宋体" w:hAnsi="宋体" w:eastAsia="宋体" w:cs="宋体"/>
          <w:bCs/>
          <w:sz w:val="24"/>
          <w:szCs w:val="24"/>
          <w:highlight w:val="none"/>
        </w:rPr>
        <w:t xml:space="preserve">一次性验收         </w:t>
      </w:r>
    </w:p>
    <w:p w14:paraId="678F1CC9">
      <w:pPr>
        <w:adjustRightInd w:val="0"/>
        <w:snapToGrid w:val="0"/>
        <w:spacing w:line="360" w:lineRule="auto"/>
        <w:rPr>
          <w:rFonts w:ascii="宋体" w:hAnsi="宋体" w:eastAsia="宋体" w:cs="宋体"/>
          <w:bCs/>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分期/分项验收：</w:t>
      </w:r>
      <w:r>
        <w:rPr>
          <w:rFonts w:hint="eastAsia" w:ascii="宋体" w:hAnsi="宋体" w:eastAsia="宋体" w:cs="宋体"/>
          <w:bCs/>
          <w:sz w:val="24"/>
          <w:szCs w:val="24"/>
          <w:highlight w:val="none"/>
          <w:u w:val="single"/>
        </w:rPr>
        <w:t xml:space="preserve"> （应明确分期</w:t>
      </w:r>
      <w:r>
        <w:rPr>
          <w:rFonts w:hint="eastAsia" w:ascii="宋体" w:hAnsi="宋体" w:eastAsia="宋体" w:cs="宋体"/>
          <w:bCs/>
          <w:sz w:val="24"/>
          <w:szCs w:val="24"/>
          <w:highlight w:val="none"/>
          <w:u w:val="single"/>
          <w:lang w:val="en"/>
        </w:rPr>
        <w:t>/分项验收的工作安排</w:t>
      </w:r>
      <w:r>
        <w:rPr>
          <w:rFonts w:hint="eastAsia" w:ascii="宋体" w:hAnsi="宋体" w:eastAsia="宋体" w:cs="宋体"/>
          <w:bCs/>
          <w:sz w:val="24"/>
          <w:szCs w:val="24"/>
          <w:highlight w:val="none"/>
          <w:u w:val="single"/>
        </w:rPr>
        <w:t xml:space="preserve">）  </w:t>
      </w:r>
    </w:p>
    <w:p w14:paraId="6A60A31C">
      <w:pPr>
        <w:ind w:firstLine="480" w:firstLineChars="200"/>
        <w:rPr>
          <w:rFonts w:ascii="宋体" w:hAnsi="宋体" w:eastAsia="宋体" w:cs="宋体"/>
          <w:bCs/>
          <w:sz w:val="24"/>
          <w:szCs w:val="24"/>
          <w:highlight w:val="none"/>
          <w:u w:val="single"/>
        </w:rPr>
      </w:pPr>
      <w:r>
        <w:rPr>
          <w:rFonts w:hint="eastAsia" w:ascii="宋体" w:hAnsi="宋体" w:eastAsia="宋体" w:cs="宋体"/>
          <w:bCs/>
          <w:sz w:val="24"/>
          <w:szCs w:val="24"/>
          <w:highlight w:val="none"/>
        </w:rPr>
        <w:t>（4）履约验收程序：</w:t>
      </w:r>
      <w:r>
        <w:rPr>
          <w:rFonts w:hint="eastAsia" w:ascii="宋体" w:hAnsi="宋体" w:eastAsia="宋体" w:cs="宋体"/>
          <w:bCs/>
          <w:sz w:val="24"/>
          <w:szCs w:val="24"/>
          <w:highlight w:val="none"/>
          <w:u w:val="single"/>
        </w:rPr>
        <w:t>合同签订后，自接到招标人通知之日起30个日历天内完成 供货及安装 ,供货安装后由供应商提出验收申请，采购人组织验收程序。</w:t>
      </w:r>
    </w:p>
    <w:p w14:paraId="669602B8">
      <w:pPr>
        <w:ind w:firstLine="480" w:firstLineChars="200"/>
        <w:rPr>
          <w:rFonts w:ascii="宋体" w:hAnsi="宋体" w:eastAsia="宋体" w:cs="宋体"/>
          <w:bCs/>
          <w:sz w:val="24"/>
          <w:szCs w:val="24"/>
          <w:highlight w:val="none"/>
          <w:u w:val="single"/>
        </w:rPr>
      </w:pPr>
      <w:r>
        <w:rPr>
          <w:rFonts w:hint="eastAsia" w:ascii="宋体" w:hAnsi="宋体" w:eastAsia="宋体" w:cs="宋体"/>
          <w:bCs/>
          <w:sz w:val="24"/>
          <w:szCs w:val="24"/>
          <w:highlight w:val="none"/>
        </w:rPr>
        <w:t>（5）履约验收的内容：</w:t>
      </w:r>
      <w:r>
        <w:rPr>
          <w:rFonts w:hint="eastAsia" w:ascii="宋体" w:hAnsi="宋体" w:eastAsia="宋体" w:cs="宋体"/>
          <w:bCs/>
          <w:sz w:val="24"/>
          <w:szCs w:val="24"/>
          <w:highlight w:val="none"/>
          <w:u w:val="single"/>
        </w:rPr>
        <w:t xml:space="preserve"> 满足投标文件所有响应要求。</w:t>
      </w:r>
    </w:p>
    <w:p w14:paraId="7782E456">
      <w:pPr>
        <w:adjustRightInd w:val="0"/>
        <w:snapToGrid w:val="0"/>
        <w:spacing w:line="360" w:lineRule="auto"/>
        <w:ind w:firstLine="480" w:firstLineChars="200"/>
        <w:rPr>
          <w:rFonts w:ascii="宋体" w:hAnsi="宋体" w:eastAsia="宋体" w:cs="宋体"/>
          <w:bCs/>
          <w:sz w:val="24"/>
          <w:szCs w:val="24"/>
          <w:highlight w:val="none"/>
          <w:u w:val="single"/>
        </w:rPr>
      </w:pPr>
      <w:r>
        <w:rPr>
          <w:rFonts w:hint="eastAsia" w:ascii="宋体" w:hAnsi="宋体" w:eastAsia="宋体" w:cs="宋体"/>
          <w:bCs/>
          <w:sz w:val="24"/>
          <w:szCs w:val="24"/>
          <w:highlight w:val="none"/>
        </w:rPr>
        <w:t>（6）履约验收标准：</w:t>
      </w:r>
      <w:r>
        <w:rPr>
          <w:rFonts w:hint="eastAsia" w:ascii="宋体" w:hAnsi="宋体" w:eastAsia="宋体" w:cs="宋体"/>
          <w:bCs/>
          <w:sz w:val="24"/>
          <w:szCs w:val="24"/>
          <w:highlight w:val="none"/>
          <w:u w:val="single"/>
        </w:rPr>
        <w:t xml:space="preserve">  满足投标文件所有响应要求。      </w:t>
      </w:r>
    </w:p>
    <w:p w14:paraId="519844F0">
      <w:pPr>
        <w:pStyle w:val="73"/>
        <w:spacing w:line="360" w:lineRule="auto"/>
        <w:ind w:firstLine="480"/>
        <w:rPr>
          <w:rFonts w:ascii="宋体" w:hAnsi="宋体" w:eastAsia="宋体" w:cs="宋体"/>
          <w:sz w:val="24"/>
          <w:szCs w:val="24"/>
          <w:highlight w:val="none"/>
        </w:rPr>
      </w:pPr>
      <w:r>
        <w:rPr>
          <w:rFonts w:hint="eastAsia" w:ascii="宋体" w:hAnsi="宋体" w:eastAsia="宋体" w:cs="宋体"/>
          <w:bCs/>
          <w:sz w:val="24"/>
          <w:szCs w:val="24"/>
          <w:highlight w:val="none"/>
        </w:rPr>
        <w:t>（7）是否以采购活动中供应商提供的样品作为参考：</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是  </w:t>
      </w:r>
      <w:r>
        <w:rPr>
          <w:rFonts w:hint="eastAsia" w:ascii="宋体" w:hAnsi="宋体" w:eastAsia="宋体" w:cs="宋体"/>
          <w:sz w:val="24"/>
          <w:szCs w:val="24"/>
          <w:highlight w:val="none"/>
        </w:rPr>
        <w:sym w:font="Wingdings" w:char="00FE"/>
      </w:r>
      <w:r>
        <w:rPr>
          <w:rFonts w:hint="eastAsia" w:ascii="宋体" w:hAnsi="宋体" w:eastAsia="宋体" w:cs="宋体"/>
          <w:bCs/>
          <w:sz w:val="24"/>
          <w:szCs w:val="24"/>
          <w:highlight w:val="none"/>
        </w:rPr>
        <w:t>否</w:t>
      </w:r>
    </w:p>
    <w:p w14:paraId="594F2386">
      <w:pPr>
        <w:adjustRightInd w:val="0"/>
        <w:snapToGrid w:val="0"/>
        <w:spacing w:line="360" w:lineRule="auto"/>
        <w:ind w:firstLine="480" w:firstLineChars="200"/>
        <w:rPr>
          <w:rFonts w:ascii="宋体" w:hAnsi="宋体" w:eastAsia="宋体" w:cs="宋体"/>
          <w:bCs/>
          <w:sz w:val="24"/>
          <w:szCs w:val="24"/>
          <w:highlight w:val="none"/>
          <w:u w:val="single"/>
        </w:rPr>
      </w:pPr>
      <w:r>
        <w:rPr>
          <w:rFonts w:hint="eastAsia" w:ascii="宋体" w:hAnsi="宋体" w:eastAsia="宋体" w:cs="宋体"/>
          <w:bCs/>
          <w:sz w:val="24"/>
          <w:szCs w:val="24"/>
          <w:highlight w:val="none"/>
        </w:rPr>
        <w:t>（8）履约验收其他事项：</w:t>
      </w:r>
      <w:r>
        <w:rPr>
          <w:rFonts w:hint="eastAsia" w:ascii="宋体" w:hAnsi="宋体" w:eastAsia="宋体" w:cs="宋体"/>
          <w:bCs/>
          <w:sz w:val="24"/>
          <w:szCs w:val="24"/>
          <w:highlight w:val="none"/>
          <w:u w:val="single"/>
        </w:rPr>
        <w:t xml:space="preserve"> 符合本院验收程序。 </w:t>
      </w:r>
    </w:p>
    <w:p w14:paraId="382002FD">
      <w:pPr>
        <w:numPr>
          <w:ilvl w:val="0"/>
          <w:numId w:val="5"/>
        </w:numPr>
        <w:adjustRightInd w:val="0"/>
        <w:snapToGri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组成合同的文件</w:t>
      </w:r>
    </w:p>
    <w:p w14:paraId="4674D40C">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本协议书与下列文件一起构成合同文件，如下述文件之间有任何抵触、矛盾或歧义，应按以下顺序解释：</w:t>
      </w:r>
    </w:p>
    <w:p w14:paraId="0D684023">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（1）政府采购合同协议书及其变更、补充协议</w:t>
      </w:r>
    </w:p>
    <w:p w14:paraId="2C1A0603">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（2）政府采购合同专用条款</w:t>
      </w:r>
    </w:p>
    <w:p w14:paraId="424E3267">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（3）政府采购合同通用条款</w:t>
      </w:r>
    </w:p>
    <w:p w14:paraId="0B0F6D33">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（4）中标（成交）通知书</w:t>
      </w:r>
    </w:p>
    <w:p w14:paraId="77AD78B1">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（5）投标（响应）文件</w:t>
      </w:r>
    </w:p>
    <w:p w14:paraId="405BAE10">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（6）采购文件</w:t>
      </w:r>
    </w:p>
    <w:p w14:paraId="104300D9">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（7）有关技术文件，图纸</w:t>
      </w:r>
    </w:p>
    <w:p w14:paraId="27F619D3">
      <w:pPr>
        <w:pStyle w:val="73"/>
        <w:spacing w:line="360" w:lineRule="auto"/>
        <w:ind w:firstLine="480"/>
        <w:rPr>
          <w:rFonts w:ascii="宋体" w:hAnsi="宋体" w:eastAsia="宋体" w:cs="宋体"/>
          <w:kern w:val="2"/>
          <w:sz w:val="24"/>
          <w:szCs w:val="24"/>
          <w:highlight w:val="none"/>
        </w:rPr>
      </w:pPr>
      <w:r>
        <w:rPr>
          <w:rFonts w:hint="eastAsia" w:ascii="宋体" w:hAnsi="宋体" w:eastAsia="宋体" w:cs="宋体"/>
          <w:sz w:val="24"/>
          <w:szCs w:val="24"/>
          <w:highlight w:val="none"/>
        </w:rPr>
        <w:t>（8）</w:t>
      </w:r>
      <w:r>
        <w:rPr>
          <w:rFonts w:hint="eastAsia" w:ascii="宋体" w:hAnsi="宋体" w:eastAsia="宋体" w:cs="宋体"/>
          <w:kern w:val="2"/>
          <w:sz w:val="24"/>
          <w:szCs w:val="24"/>
          <w:highlight w:val="none"/>
        </w:rPr>
        <w:t>国家法律、行政法规和规章制度规定或合同约定的作为合同组成部分的其他文件</w:t>
      </w:r>
    </w:p>
    <w:p w14:paraId="4D7C8403">
      <w:pPr>
        <w:numPr>
          <w:ilvl w:val="0"/>
          <w:numId w:val="5"/>
        </w:numPr>
        <w:adjustRightInd w:val="0"/>
        <w:snapToGri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合同生效</w:t>
      </w:r>
    </w:p>
    <w:p w14:paraId="7BDBD089">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本合同自</w:t>
      </w:r>
      <w:r>
        <w:rPr>
          <w:rFonts w:hint="eastAsia" w:ascii="宋体" w:hAnsi="宋体" w:eastAsia="宋体" w:cs="宋体"/>
          <w:sz w:val="24"/>
          <w:szCs w:val="24"/>
          <w:highlight w:val="none"/>
          <w:u w:val="single"/>
        </w:rPr>
        <w:t xml:space="preserve"> </w:t>
      </w:r>
      <w:r>
        <w:rPr>
          <w:rFonts w:hint="eastAsia" w:ascii="宋体" w:hAnsi="宋体" w:eastAsia="宋体" w:cs="宋体"/>
          <w:bCs/>
          <w:sz w:val="24"/>
          <w:szCs w:val="24"/>
          <w:highlight w:val="none"/>
          <w:u w:val="single"/>
        </w:rPr>
        <w:t xml:space="preserve"> 合同签订之日起  </w:t>
      </w:r>
      <w:r>
        <w:rPr>
          <w:rFonts w:hint="eastAsia" w:ascii="宋体" w:hAnsi="宋体" w:eastAsia="宋体" w:cs="宋体"/>
          <w:sz w:val="24"/>
          <w:szCs w:val="24"/>
          <w:highlight w:val="none"/>
        </w:rPr>
        <w:t>生效。</w:t>
      </w:r>
    </w:p>
    <w:p w14:paraId="2052E720">
      <w:pPr>
        <w:numPr>
          <w:ilvl w:val="0"/>
          <w:numId w:val="5"/>
        </w:numPr>
        <w:adjustRightInd w:val="0"/>
        <w:snapToGri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合同份数</w:t>
      </w:r>
    </w:p>
    <w:p w14:paraId="6633AA7F">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本合同一式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份，甲方执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份，乙方执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份，均具有同等法律效力。</w:t>
      </w:r>
    </w:p>
    <w:p w14:paraId="357DD92F">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合同订立时间：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5B925084">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合同订立地点：</w:t>
      </w:r>
      <w:r>
        <w:rPr>
          <w:rFonts w:hint="eastAsia" w:ascii="宋体" w:hAnsi="宋体" w:eastAsia="宋体" w:cs="宋体"/>
          <w:sz w:val="24"/>
          <w:szCs w:val="24"/>
          <w:highlight w:val="none"/>
          <w:u w:val="single"/>
        </w:rPr>
        <w:t xml:space="preserve">                           </w:t>
      </w:r>
    </w:p>
    <w:p w14:paraId="389BB86F">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附件：具体标的及其技术要求和商务要求、联合协议、分包意向协议等。</w:t>
      </w:r>
    </w:p>
    <w:p w14:paraId="70748779">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br w:type="page"/>
      </w:r>
    </w:p>
    <w:p w14:paraId="462ED0DD">
      <w:pPr>
        <w:pStyle w:val="74"/>
        <w:spacing w:line="360" w:lineRule="auto"/>
        <w:ind w:firstLine="480"/>
        <w:rPr>
          <w:rFonts w:ascii="宋体" w:hAnsi="宋体" w:eastAsia="宋体" w:cs="宋体"/>
          <w:sz w:val="24"/>
          <w:szCs w:val="24"/>
          <w:highlight w:val="none"/>
        </w:rPr>
      </w:pPr>
    </w:p>
    <w:tbl>
      <w:tblPr>
        <w:tblStyle w:val="26"/>
        <w:tblW w:w="8392"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0"/>
        <w:gridCol w:w="2410"/>
        <w:gridCol w:w="1977"/>
        <w:gridCol w:w="2115"/>
      </w:tblGrid>
      <w:tr w14:paraId="5E44B97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0" w:type="dxa"/>
            <w:gridSpan w:val="2"/>
            <w:tcBorders>
              <w:bottom w:val="single" w:color="auto" w:sz="2" w:space="0"/>
              <w:right w:val="single" w:color="auto" w:sz="2" w:space="0"/>
            </w:tcBorders>
            <w:vAlign w:val="center"/>
          </w:tcPr>
          <w:p w14:paraId="10DF8226">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甲方（采购人、受采购人委托签订合同的单位或采购文件约定的合同甲方）</w:t>
            </w:r>
          </w:p>
        </w:tc>
        <w:tc>
          <w:tcPr>
            <w:tcW w:w="4092" w:type="dxa"/>
            <w:gridSpan w:val="2"/>
            <w:tcBorders>
              <w:left w:val="single" w:color="auto" w:sz="2" w:space="0"/>
              <w:bottom w:val="single" w:color="auto" w:sz="2" w:space="0"/>
            </w:tcBorders>
            <w:vAlign w:val="center"/>
          </w:tcPr>
          <w:p w14:paraId="5EC980F6">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乙方（供应商）</w:t>
            </w:r>
          </w:p>
        </w:tc>
      </w:tr>
      <w:tr w14:paraId="6A7DAF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0" w:type="dxa"/>
            <w:tcBorders>
              <w:top w:val="single" w:color="auto" w:sz="2" w:space="0"/>
              <w:bottom w:val="single" w:color="auto" w:sz="2" w:space="0"/>
              <w:right w:val="single" w:color="auto" w:sz="2" w:space="0"/>
            </w:tcBorders>
            <w:vAlign w:val="center"/>
          </w:tcPr>
          <w:p w14:paraId="0B7FEABF">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单位名称（公章或合同章）</w:t>
            </w:r>
          </w:p>
        </w:tc>
        <w:tc>
          <w:tcPr>
            <w:tcW w:w="2410" w:type="dxa"/>
            <w:tcBorders>
              <w:top w:val="single" w:color="auto" w:sz="2" w:space="0"/>
              <w:left w:val="single" w:color="auto" w:sz="2" w:space="0"/>
              <w:bottom w:val="single" w:color="auto" w:sz="2" w:space="0"/>
              <w:right w:val="single" w:color="auto" w:sz="2" w:space="0"/>
            </w:tcBorders>
            <w:vAlign w:val="center"/>
          </w:tcPr>
          <w:p w14:paraId="641EF706">
            <w:pPr>
              <w:adjustRightInd w:val="0"/>
              <w:snapToGrid w:val="0"/>
              <w:spacing w:line="360" w:lineRule="auto"/>
              <w:jc w:val="center"/>
              <w:rPr>
                <w:rFonts w:ascii="宋体" w:hAnsi="宋体" w:eastAsia="宋体" w:cs="宋体"/>
                <w:sz w:val="24"/>
                <w:szCs w:val="24"/>
                <w:highlight w:val="none"/>
              </w:rPr>
            </w:pPr>
          </w:p>
        </w:tc>
        <w:tc>
          <w:tcPr>
            <w:tcW w:w="1977" w:type="dxa"/>
            <w:tcBorders>
              <w:top w:val="single" w:color="auto" w:sz="2" w:space="0"/>
              <w:left w:val="single" w:color="auto" w:sz="2" w:space="0"/>
              <w:bottom w:val="single" w:color="auto" w:sz="2" w:space="0"/>
              <w:right w:val="single" w:color="auto" w:sz="2" w:space="0"/>
            </w:tcBorders>
            <w:vAlign w:val="center"/>
          </w:tcPr>
          <w:p w14:paraId="4F71C135">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单位名称（公章或合同章）</w:t>
            </w:r>
          </w:p>
        </w:tc>
        <w:tc>
          <w:tcPr>
            <w:tcW w:w="2115" w:type="dxa"/>
            <w:tcBorders>
              <w:top w:val="single" w:color="auto" w:sz="2" w:space="0"/>
              <w:left w:val="single" w:color="auto" w:sz="2" w:space="0"/>
              <w:bottom w:val="single" w:color="auto" w:sz="2" w:space="0"/>
            </w:tcBorders>
            <w:vAlign w:val="center"/>
          </w:tcPr>
          <w:p w14:paraId="20C4BA53">
            <w:pPr>
              <w:adjustRightInd w:val="0"/>
              <w:snapToGrid w:val="0"/>
              <w:spacing w:line="360" w:lineRule="auto"/>
              <w:jc w:val="center"/>
              <w:rPr>
                <w:rFonts w:ascii="宋体" w:hAnsi="宋体" w:eastAsia="宋体" w:cs="宋体"/>
                <w:spacing w:val="20"/>
                <w:sz w:val="24"/>
                <w:szCs w:val="24"/>
                <w:highlight w:val="none"/>
              </w:rPr>
            </w:pPr>
          </w:p>
        </w:tc>
      </w:tr>
      <w:tr w14:paraId="23AFF94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0" w:type="dxa"/>
            <w:vMerge w:val="restart"/>
            <w:tcBorders>
              <w:top w:val="single" w:color="auto" w:sz="2" w:space="0"/>
              <w:right w:val="single" w:color="auto" w:sz="2" w:space="0"/>
            </w:tcBorders>
            <w:vAlign w:val="center"/>
          </w:tcPr>
          <w:p w14:paraId="0E919F62">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法定代表人</w:t>
            </w:r>
          </w:p>
          <w:p w14:paraId="1828C485">
            <w:pPr>
              <w:adjustRightInd w:val="0"/>
              <w:snapToGrid w:val="0"/>
              <w:spacing w:line="360" w:lineRule="auto"/>
              <w:ind w:firstLine="115" w:firstLineChars="48"/>
              <w:jc w:val="center"/>
              <w:rPr>
                <w:rFonts w:ascii="宋体" w:hAnsi="宋体" w:eastAsia="宋体" w:cs="宋体"/>
                <w:sz w:val="24"/>
                <w:szCs w:val="24"/>
                <w:highlight w:val="none"/>
              </w:rPr>
            </w:pPr>
            <w:r>
              <w:rPr>
                <w:rFonts w:hint="eastAsia" w:ascii="宋体" w:hAnsi="宋体" w:eastAsia="宋体" w:cs="宋体"/>
                <w:sz w:val="24"/>
                <w:szCs w:val="24"/>
                <w:highlight w:val="none"/>
              </w:rPr>
              <w:t>或其委托代理人（签章）</w:t>
            </w:r>
          </w:p>
        </w:tc>
        <w:tc>
          <w:tcPr>
            <w:tcW w:w="2410" w:type="dxa"/>
            <w:vMerge w:val="restart"/>
            <w:tcBorders>
              <w:top w:val="single" w:color="auto" w:sz="2" w:space="0"/>
              <w:left w:val="single" w:color="auto" w:sz="2" w:space="0"/>
              <w:right w:val="single" w:color="auto" w:sz="2" w:space="0"/>
            </w:tcBorders>
            <w:vAlign w:val="center"/>
          </w:tcPr>
          <w:p w14:paraId="2A9B4FD2">
            <w:pPr>
              <w:adjustRightInd w:val="0"/>
              <w:snapToGrid w:val="0"/>
              <w:spacing w:line="360" w:lineRule="auto"/>
              <w:jc w:val="center"/>
              <w:rPr>
                <w:rFonts w:ascii="宋体" w:hAnsi="宋体" w:eastAsia="宋体" w:cs="宋体"/>
                <w:sz w:val="24"/>
                <w:szCs w:val="24"/>
                <w:highlight w:val="none"/>
              </w:rPr>
            </w:pPr>
          </w:p>
        </w:tc>
        <w:tc>
          <w:tcPr>
            <w:tcW w:w="1977" w:type="dxa"/>
            <w:tcBorders>
              <w:top w:val="single" w:color="auto" w:sz="2" w:space="0"/>
              <w:left w:val="single" w:color="auto" w:sz="2" w:space="0"/>
              <w:right w:val="single" w:color="auto" w:sz="2" w:space="0"/>
            </w:tcBorders>
            <w:vAlign w:val="center"/>
          </w:tcPr>
          <w:p w14:paraId="0BBB672F">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法定代表人</w:t>
            </w:r>
          </w:p>
          <w:p w14:paraId="02E8E3FE">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或其委托代理人（签章）</w:t>
            </w:r>
          </w:p>
        </w:tc>
        <w:tc>
          <w:tcPr>
            <w:tcW w:w="2115" w:type="dxa"/>
            <w:tcBorders>
              <w:top w:val="single" w:color="auto" w:sz="2" w:space="0"/>
              <w:left w:val="single" w:color="auto" w:sz="2" w:space="0"/>
              <w:bottom w:val="single" w:color="auto" w:sz="2" w:space="0"/>
            </w:tcBorders>
            <w:vAlign w:val="center"/>
          </w:tcPr>
          <w:p w14:paraId="363ACA15">
            <w:pPr>
              <w:adjustRightInd w:val="0"/>
              <w:snapToGrid w:val="0"/>
              <w:spacing w:line="360" w:lineRule="auto"/>
              <w:jc w:val="center"/>
              <w:rPr>
                <w:rFonts w:ascii="宋体" w:hAnsi="宋体" w:eastAsia="宋体" w:cs="宋体"/>
                <w:sz w:val="24"/>
                <w:szCs w:val="24"/>
                <w:highlight w:val="none"/>
              </w:rPr>
            </w:pPr>
          </w:p>
        </w:tc>
      </w:tr>
      <w:tr w14:paraId="4542AE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0" w:type="dxa"/>
            <w:vMerge w:val="continue"/>
            <w:tcBorders>
              <w:bottom w:val="single" w:color="auto" w:sz="2" w:space="0"/>
              <w:right w:val="single" w:color="auto" w:sz="2" w:space="0"/>
            </w:tcBorders>
            <w:vAlign w:val="center"/>
          </w:tcPr>
          <w:p w14:paraId="5D3D4869">
            <w:pPr>
              <w:adjustRightInd w:val="0"/>
              <w:snapToGrid w:val="0"/>
              <w:spacing w:line="360" w:lineRule="auto"/>
              <w:jc w:val="center"/>
              <w:rPr>
                <w:rFonts w:ascii="宋体" w:hAnsi="宋体" w:eastAsia="宋体" w:cs="宋体"/>
                <w:sz w:val="24"/>
                <w:szCs w:val="24"/>
                <w:highlight w:val="none"/>
              </w:rPr>
            </w:pPr>
          </w:p>
        </w:tc>
        <w:tc>
          <w:tcPr>
            <w:tcW w:w="2410" w:type="dxa"/>
            <w:vMerge w:val="continue"/>
            <w:tcBorders>
              <w:left w:val="single" w:color="auto" w:sz="2" w:space="0"/>
              <w:bottom w:val="single" w:color="auto" w:sz="2" w:space="0"/>
              <w:right w:val="single" w:color="auto" w:sz="2" w:space="0"/>
            </w:tcBorders>
            <w:vAlign w:val="center"/>
          </w:tcPr>
          <w:p w14:paraId="7A114EEF">
            <w:pPr>
              <w:adjustRightInd w:val="0"/>
              <w:snapToGrid w:val="0"/>
              <w:spacing w:line="360" w:lineRule="auto"/>
              <w:jc w:val="center"/>
              <w:rPr>
                <w:rFonts w:ascii="宋体" w:hAnsi="宋体" w:eastAsia="宋体" w:cs="宋体"/>
                <w:sz w:val="24"/>
                <w:szCs w:val="24"/>
                <w:highlight w:val="none"/>
              </w:rPr>
            </w:pPr>
          </w:p>
        </w:tc>
        <w:tc>
          <w:tcPr>
            <w:tcW w:w="1977" w:type="dxa"/>
            <w:tcBorders>
              <w:top w:val="single" w:color="auto" w:sz="2" w:space="0"/>
              <w:left w:val="single" w:color="auto" w:sz="2" w:space="0"/>
              <w:bottom w:val="single" w:color="auto" w:sz="2" w:space="0"/>
              <w:right w:val="single" w:color="auto" w:sz="2" w:space="0"/>
            </w:tcBorders>
            <w:vAlign w:val="center"/>
          </w:tcPr>
          <w:p w14:paraId="1796A948">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拥有者性别</w:t>
            </w:r>
          </w:p>
        </w:tc>
        <w:tc>
          <w:tcPr>
            <w:tcW w:w="2115" w:type="dxa"/>
            <w:tcBorders>
              <w:top w:val="single" w:color="auto" w:sz="2" w:space="0"/>
              <w:left w:val="single" w:color="auto" w:sz="2" w:space="0"/>
              <w:bottom w:val="single" w:color="auto" w:sz="2" w:space="0"/>
            </w:tcBorders>
            <w:vAlign w:val="center"/>
          </w:tcPr>
          <w:p w14:paraId="754DD9C5">
            <w:pPr>
              <w:adjustRightInd w:val="0"/>
              <w:snapToGrid w:val="0"/>
              <w:spacing w:line="360" w:lineRule="auto"/>
              <w:jc w:val="center"/>
              <w:rPr>
                <w:rFonts w:ascii="宋体" w:hAnsi="宋体" w:eastAsia="宋体" w:cs="宋体"/>
                <w:spacing w:val="20"/>
                <w:sz w:val="24"/>
                <w:szCs w:val="24"/>
                <w:highlight w:val="none"/>
              </w:rPr>
            </w:pPr>
          </w:p>
        </w:tc>
      </w:tr>
      <w:tr w14:paraId="54B835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0" w:type="dxa"/>
            <w:tcBorders>
              <w:top w:val="single" w:color="auto" w:sz="2" w:space="0"/>
              <w:bottom w:val="single" w:color="auto" w:sz="2" w:space="0"/>
              <w:right w:val="single" w:color="auto" w:sz="2" w:space="0"/>
            </w:tcBorders>
            <w:vAlign w:val="center"/>
          </w:tcPr>
          <w:p w14:paraId="30AB86B6">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住  所</w:t>
            </w:r>
          </w:p>
        </w:tc>
        <w:tc>
          <w:tcPr>
            <w:tcW w:w="2410" w:type="dxa"/>
            <w:tcBorders>
              <w:top w:val="single" w:color="auto" w:sz="2" w:space="0"/>
              <w:left w:val="single" w:color="auto" w:sz="2" w:space="0"/>
              <w:bottom w:val="single" w:color="auto" w:sz="2" w:space="0"/>
              <w:right w:val="single" w:color="auto" w:sz="2" w:space="0"/>
            </w:tcBorders>
            <w:vAlign w:val="center"/>
          </w:tcPr>
          <w:p w14:paraId="6AA1743D">
            <w:pPr>
              <w:adjustRightInd w:val="0"/>
              <w:snapToGrid w:val="0"/>
              <w:spacing w:line="360" w:lineRule="auto"/>
              <w:jc w:val="center"/>
              <w:rPr>
                <w:rFonts w:ascii="宋体" w:hAnsi="宋体" w:eastAsia="宋体" w:cs="宋体"/>
                <w:sz w:val="24"/>
                <w:szCs w:val="24"/>
                <w:highlight w:val="none"/>
              </w:rPr>
            </w:pPr>
          </w:p>
        </w:tc>
        <w:tc>
          <w:tcPr>
            <w:tcW w:w="1977" w:type="dxa"/>
            <w:tcBorders>
              <w:top w:val="single" w:color="auto" w:sz="2" w:space="0"/>
              <w:left w:val="single" w:color="auto" w:sz="2" w:space="0"/>
              <w:bottom w:val="single" w:color="auto" w:sz="2" w:space="0"/>
              <w:right w:val="single" w:color="auto" w:sz="2" w:space="0"/>
            </w:tcBorders>
            <w:vAlign w:val="center"/>
          </w:tcPr>
          <w:p w14:paraId="317FDD2C">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住  所</w:t>
            </w:r>
          </w:p>
        </w:tc>
        <w:tc>
          <w:tcPr>
            <w:tcW w:w="2115" w:type="dxa"/>
            <w:tcBorders>
              <w:top w:val="single" w:color="auto" w:sz="2" w:space="0"/>
              <w:left w:val="single" w:color="auto" w:sz="2" w:space="0"/>
              <w:bottom w:val="single" w:color="auto" w:sz="2" w:space="0"/>
            </w:tcBorders>
            <w:vAlign w:val="center"/>
          </w:tcPr>
          <w:p w14:paraId="63E7A3FB">
            <w:pPr>
              <w:adjustRightInd w:val="0"/>
              <w:snapToGrid w:val="0"/>
              <w:spacing w:line="360" w:lineRule="auto"/>
              <w:jc w:val="center"/>
              <w:rPr>
                <w:rFonts w:ascii="宋体" w:hAnsi="宋体" w:eastAsia="宋体" w:cs="宋体"/>
                <w:spacing w:val="20"/>
                <w:sz w:val="24"/>
                <w:szCs w:val="24"/>
                <w:highlight w:val="none"/>
              </w:rPr>
            </w:pPr>
          </w:p>
        </w:tc>
      </w:tr>
      <w:tr w14:paraId="4E6B3F9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0" w:type="dxa"/>
            <w:tcBorders>
              <w:top w:val="single" w:color="auto" w:sz="2" w:space="0"/>
              <w:bottom w:val="single" w:color="auto" w:sz="2" w:space="0"/>
              <w:right w:val="single" w:color="auto" w:sz="2" w:space="0"/>
            </w:tcBorders>
            <w:vAlign w:val="center"/>
          </w:tcPr>
          <w:p w14:paraId="4F0FFF1B">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联 系 人</w:t>
            </w:r>
          </w:p>
        </w:tc>
        <w:tc>
          <w:tcPr>
            <w:tcW w:w="2410" w:type="dxa"/>
            <w:tcBorders>
              <w:top w:val="single" w:color="auto" w:sz="2" w:space="0"/>
              <w:left w:val="single" w:color="auto" w:sz="2" w:space="0"/>
              <w:bottom w:val="single" w:color="auto" w:sz="2" w:space="0"/>
              <w:right w:val="single" w:color="auto" w:sz="2" w:space="0"/>
            </w:tcBorders>
            <w:vAlign w:val="center"/>
          </w:tcPr>
          <w:p w14:paraId="7022B870">
            <w:pPr>
              <w:adjustRightInd w:val="0"/>
              <w:snapToGrid w:val="0"/>
              <w:spacing w:line="360" w:lineRule="auto"/>
              <w:jc w:val="center"/>
              <w:rPr>
                <w:rFonts w:ascii="宋体" w:hAnsi="宋体" w:eastAsia="宋体" w:cs="宋体"/>
                <w:sz w:val="24"/>
                <w:szCs w:val="24"/>
                <w:highlight w:val="none"/>
              </w:rPr>
            </w:pPr>
          </w:p>
        </w:tc>
        <w:tc>
          <w:tcPr>
            <w:tcW w:w="1977" w:type="dxa"/>
            <w:tcBorders>
              <w:top w:val="single" w:color="auto" w:sz="2" w:space="0"/>
              <w:left w:val="single" w:color="auto" w:sz="2" w:space="0"/>
              <w:bottom w:val="single" w:color="auto" w:sz="2" w:space="0"/>
              <w:right w:val="single" w:color="auto" w:sz="2" w:space="0"/>
            </w:tcBorders>
            <w:vAlign w:val="center"/>
          </w:tcPr>
          <w:p w14:paraId="1427A2A4">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联 系 人</w:t>
            </w:r>
          </w:p>
        </w:tc>
        <w:tc>
          <w:tcPr>
            <w:tcW w:w="2115" w:type="dxa"/>
            <w:tcBorders>
              <w:top w:val="single" w:color="auto" w:sz="2" w:space="0"/>
              <w:left w:val="single" w:color="auto" w:sz="2" w:space="0"/>
              <w:bottom w:val="single" w:color="auto" w:sz="2" w:space="0"/>
            </w:tcBorders>
            <w:vAlign w:val="center"/>
          </w:tcPr>
          <w:p w14:paraId="23B8EEAB">
            <w:pPr>
              <w:adjustRightInd w:val="0"/>
              <w:snapToGrid w:val="0"/>
              <w:spacing w:line="360" w:lineRule="auto"/>
              <w:jc w:val="center"/>
              <w:rPr>
                <w:rFonts w:ascii="宋体" w:hAnsi="宋体" w:eastAsia="宋体" w:cs="宋体"/>
                <w:spacing w:val="20"/>
                <w:sz w:val="24"/>
                <w:szCs w:val="24"/>
                <w:highlight w:val="none"/>
              </w:rPr>
            </w:pPr>
          </w:p>
        </w:tc>
      </w:tr>
      <w:tr w14:paraId="2A2439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0" w:type="dxa"/>
            <w:tcBorders>
              <w:top w:val="single" w:color="auto" w:sz="2" w:space="0"/>
              <w:bottom w:val="single" w:color="auto" w:sz="2" w:space="0"/>
              <w:right w:val="single" w:color="auto" w:sz="2" w:space="0"/>
            </w:tcBorders>
            <w:vAlign w:val="center"/>
          </w:tcPr>
          <w:p w14:paraId="2D77A3A0">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联系电话</w:t>
            </w:r>
          </w:p>
        </w:tc>
        <w:tc>
          <w:tcPr>
            <w:tcW w:w="2410" w:type="dxa"/>
            <w:tcBorders>
              <w:top w:val="single" w:color="auto" w:sz="2" w:space="0"/>
              <w:left w:val="single" w:color="auto" w:sz="2" w:space="0"/>
              <w:bottom w:val="single" w:color="auto" w:sz="2" w:space="0"/>
              <w:right w:val="single" w:color="auto" w:sz="2" w:space="0"/>
            </w:tcBorders>
            <w:vAlign w:val="center"/>
          </w:tcPr>
          <w:p w14:paraId="5767279E">
            <w:pPr>
              <w:adjustRightInd w:val="0"/>
              <w:snapToGrid w:val="0"/>
              <w:spacing w:line="360" w:lineRule="auto"/>
              <w:jc w:val="center"/>
              <w:rPr>
                <w:rFonts w:ascii="宋体" w:hAnsi="宋体" w:eastAsia="宋体" w:cs="宋体"/>
                <w:sz w:val="24"/>
                <w:szCs w:val="24"/>
                <w:highlight w:val="none"/>
              </w:rPr>
            </w:pPr>
          </w:p>
        </w:tc>
        <w:tc>
          <w:tcPr>
            <w:tcW w:w="1977" w:type="dxa"/>
            <w:tcBorders>
              <w:top w:val="single" w:color="auto" w:sz="2" w:space="0"/>
              <w:left w:val="single" w:color="auto" w:sz="2" w:space="0"/>
              <w:bottom w:val="single" w:color="auto" w:sz="2" w:space="0"/>
              <w:right w:val="single" w:color="auto" w:sz="2" w:space="0"/>
            </w:tcBorders>
            <w:vAlign w:val="center"/>
          </w:tcPr>
          <w:p w14:paraId="7D7B2212">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联系电话</w:t>
            </w:r>
          </w:p>
        </w:tc>
        <w:tc>
          <w:tcPr>
            <w:tcW w:w="2115" w:type="dxa"/>
            <w:tcBorders>
              <w:top w:val="single" w:color="auto" w:sz="2" w:space="0"/>
              <w:left w:val="single" w:color="auto" w:sz="2" w:space="0"/>
              <w:bottom w:val="single" w:color="auto" w:sz="2" w:space="0"/>
            </w:tcBorders>
            <w:vAlign w:val="center"/>
          </w:tcPr>
          <w:p w14:paraId="31C22E3D">
            <w:pPr>
              <w:adjustRightInd w:val="0"/>
              <w:snapToGrid w:val="0"/>
              <w:spacing w:line="360" w:lineRule="auto"/>
              <w:jc w:val="center"/>
              <w:rPr>
                <w:rFonts w:ascii="宋体" w:hAnsi="宋体" w:eastAsia="宋体" w:cs="宋体"/>
                <w:spacing w:val="20"/>
                <w:sz w:val="24"/>
                <w:szCs w:val="24"/>
                <w:highlight w:val="none"/>
              </w:rPr>
            </w:pPr>
          </w:p>
        </w:tc>
      </w:tr>
      <w:tr w14:paraId="11D500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0" w:type="dxa"/>
            <w:tcBorders>
              <w:top w:val="single" w:color="auto" w:sz="2" w:space="0"/>
              <w:bottom w:val="single" w:color="auto" w:sz="2" w:space="0"/>
              <w:right w:val="single" w:color="auto" w:sz="2" w:space="0"/>
            </w:tcBorders>
            <w:vAlign w:val="center"/>
          </w:tcPr>
          <w:p w14:paraId="65970C0B">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通信地址</w:t>
            </w:r>
          </w:p>
        </w:tc>
        <w:tc>
          <w:tcPr>
            <w:tcW w:w="2410" w:type="dxa"/>
            <w:tcBorders>
              <w:top w:val="single" w:color="auto" w:sz="2" w:space="0"/>
              <w:left w:val="single" w:color="auto" w:sz="2" w:space="0"/>
              <w:bottom w:val="single" w:color="auto" w:sz="2" w:space="0"/>
              <w:right w:val="single" w:color="auto" w:sz="2" w:space="0"/>
            </w:tcBorders>
            <w:vAlign w:val="center"/>
          </w:tcPr>
          <w:p w14:paraId="43F47072">
            <w:pPr>
              <w:adjustRightInd w:val="0"/>
              <w:snapToGrid w:val="0"/>
              <w:spacing w:line="360" w:lineRule="auto"/>
              <w:jc w:val="center"/>
              <w:rPr>
                <w:rFonts w:ascii="宋体" w:hAnsi="宋体" w:eastAsia="宋体" w:cs="宋体"/>
                <w:sz w:val="24"/>
                <w:szCs w:val="24"/>
                <w:highlight w:val="none"/>
              </w:rPr>
            </w:pPr>
          </w:p>
        </w:tc>
        <w:tc>
          <w:tcPr>
            <w:tcW w:w="1977" w:type="dxa"/>
            <w:tcBorders>
              <w:top w:val="single" w:color="auto" w:sz="2" w:space="0"/>
              <w:left w:val="single" w:color="auto" w:sz="2" w:space="0"/>
              <w:bottom w:val="single" w:color="auto" w:sz="2" w:space="0"/>
              <w:right w:val="single" w:color="auto" w:sz="2" w:space="0"/>
            </w:tcBorders>
            <w:vAlign w:val="center"/>
          </w:tcPr>
          <w:p w14:paraId="1647C9CB">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通信地址</w:t>
            </w:r>
          </w:p>
        </w:tc>
        <w:tc>
          <w:tcPr>
            <w:tcW w:w="2115" w:type="dxa"/>
            <w:tcBorders>
              <w:top w:val="single" w:color="auto" w:sz="2" w:space="0"/>
              <w:left w:val="single" w:color="auto" w:sz="2" w:space="0"/>
              <w:bottom w:val="single" w:color="auto" w:sz="2" w:space="0"/>
            </w:tcBorders>
            <w:vAlign w:val="center"/>
          </w:tcPr>
          <w:p w14:paraId="6E799508">
            <w:pPr>
              <w:adjustRightInd w:val="0"/>
              <w:snapToGrid w:val="0"/>
              <w:spacing w:line="360" w:lineRule="auto"/>
              <w:jc w:val="center"/>
              <w:rPr>
                <w:rFonts w:ascii="宋体" w:hAnsi="宋体" w:eastAsia="宋体" w:cs="宋体"/>
                <w:spacing w:val="20"/>
                <w:sz w:val="24"/>
                <w:szCs w:val="24"/>
                <w:highlight w:val="none"/>
              </w:rPr>
            </w:pPr>
          </w:p>
        </w:tc>
      </w:tr>
      <w:tr w14:paraId="2F22D68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0" w:type="dxa"/>
            <w:tcBorders>
              <w:top w:val="single" w:color="auto" w:sz="2" w:space="0"/>
              <w:bottom w:val="single" w:color="auto" w:sz="2" w:space="0"/>
              <w:right w:val="single" w:color="auto" w:sz="2" w:space="0"/>
            </w:tcBorders>
            <w:vAlign w:val="center"/>
          </w:tcPr>
          <w:p w14:paraId="29C0D497">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2410" w:type="dxa"/>
            <w:tcBorders>
              <w:top w:val="single" w:color="auto" w:sz="2" w:space="0"/>
              <w:left w:val="single" w:color="auto" w:sz="2" w:space="0"/>
              <w:bottom w:val="single" w:color="auto" w:sz="2" w:space="0"/>
              <w:right w:val="single" w:color="auto" w:sz="2" w:space="0"/>
            </w:tcBorders>
            <w:vAlign w:val="center"/>
          </w:tcPr>
          <w:p w14:paraId="27F61516">
            <w:pPr>
              <w:adjustRightInd w:val="0"/>
              <w:snapToGrid w:val="0"/>
              <w:spacing w:line="360" w:lineRule="auto"/>
              <w:jc w:val="center"/>
              <w:rPr>
                <w:rFonts w:ascii="宋体" w:hAnsi="宋体" w:eastAsia="宋体" w:cs="宋体"/>
                <w:sz w:val="24"/>
                <w:szCs w:val="24"/>
                <w:highlight w:val="none"/>
              </w:rPr>
            </w:pPr>
          </w:p>
        </w:tc>
        <w:tc>
          <w:tcPr>
            <w:tcW w:w="1977" w:type="dxa"/>
            <w:tcBorders>
              <w:top w:val="single" w:color="auto" w:sz="2" w:space="0"/>
              <w:left w:val="single" w:color="auto" w:sz="2" w:space="0"/>
              <w:bottom w:val="single" w:color="auto" w:sz="2" w:space="0"/>
              <w:right w:val="single" w:color="auto" w:sz="2" w:space="0"/>
            </w:tcBorders>
            <w:vAlign w:val="center"/>
          </w:tcPr>
          <w:p w14:paraId="5C8D7501">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2115" w:type="dxa"/>
            <w:tcBorders>
              <w:top w:val="single" w:color="auto" w:sz="2" w:space="0"/>
              <w:left w:val="single" w:color="auto" w:sz="2" w:space="0"/>
              <w:bottom w:val="single" w:color="auto" w:sz="2" w:space="0"/>
            </w:tcBorders>
            <w:vAlign w:val="center"/>
          </w:tcPr>
          <w:p w14:paraId="1D3E47A0">
            <w:pPr>
              <w:adjustRightInd w:val="0"/>
              <w:snapToGrid w:val="0"/>
              <w:spacing w:line="360" w:lineRule="auto"/>
              <w:jc w:val="center"/>
              <w:rPr>
                <w:rFonts w:ascii="宋体" w:hAnsi="宋体" w:eastAsia="宋体" w:cs="宋体"/>
                <w:spacing w:val="20"/>
                <w:sz w:val="24"/>
                <w:szCs w:val="24"/>
                <w:highlight w:val="none"/>
              </w:rPr>
            </w:pPr>
          </w:p>
        </w:tc>
      </w:tr>
      <w:tr w14:paraId="20E5EB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0" w:type="dxa"/>
            <w:tcBorders>
              <w:top w:val="single" w:color="auto" w:sz="2" w:space="0"/>
              <w:bottom w:val="single" w:color="auto" w:sz="2" w:space="0"/>
              <w:right w:val="single" w:color="auto" w:sz="2" w:space="0"/>
            </w:tcBorders>
            <w:vAlign w:val="center"/>
          </w:tcPr>
          <w:p w14:paraId="151BEE4B">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电子邮箱</w:t>
            </w:r>
          </w:p>
        </w:tc>
        <w:tc>
          <w:tcPr>
            <w:tcW w:w="2410" w:type="dxa"/>
            <w:tcBorders>
              <w:top w:val="single" w:color="auto" w:sz="2" w:space="0"/>
              <w:left w:val="single" w:color="auto" w:sz="2" w:space="0"/>
              <w:bottom w:val="single" w:color="auto" w:sz="2" w:space="0"/>
              <w:right w:val="single" w:color="auto" w:sz="2" w:space="0"/>
            </w:tcBorders>
            <w:vAlign w:val="center"/>
          </w:tcPr>
          <w:p w14:paraId="091DF763">
            <w:pPr>
              <w:adjustRightInd w:val="0"/>
              <w:snapToGrid w:val="0"/>
              <w:spacing w:line="360" w:lineRule="auto"/>
              <w:jc w:val="center"/>
              <w:rPr>
                <w:rFonts w:ascii="宋体" w:hAnsi="宋体" w:eastAsia="宋体" w:cs="宋体"/>
                <w:sz w:val="24"/>
                <w:szCs w:val="24"/>
                <w:highlight w:val="none"/>
              </w:rPr>
            </w:pPr>
          </w:p>
        </w:tc>
        <w:tc>
          <w:tcPr>
            <w:tcW w:w="1977" w:type="dxa"/>
            <w:tcBorders>
              <w:top w:val="single" w:color="auto" w:sz="2" w:space="0"/>
              <w:left w:val="single" w:color="auto" w:sz="2" w:space="0"/>
              <w:bottom w:val="single" w:color="auto" w:sz="2" w:space="0"/>
              <w:right w:val="single" w:color="auto" w:sz="2" w:space="0"/>
            </w:tcBorders>
            <w:vAlign w:val="center"/>
          </w:tcPr>
          <w:p w14:paraId="64826F29">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电子邮箱</w:t>
            </w:r>
          </w:p>
        </w:tc>
        <w:tc>
          <w:tcPr>
            <w:tcW w:w="2115" w:type="dxa"/>
            <w:tcBorders>
              <w:top w:val="single" w:color="auto" w:sz="2" w:space="0"/>
              <w:left w:val="single" w:color="auto" w:sz="2" w:space="0"/>
              <w:bottom w:val="single" w:color="auto" w:sz="2" w:space="0"/>
            </w:tcBorders>
            <w:vAlign w:val="center"/>
          </w:tcPr>
          <w:p w14:paraId="06EF07E4">
            <w:pPr>
              <w:adjustRightInd w:val="0"/>
              <w:snapToGrid w:val="0"/>
              <w:spacing w:line="360" w:lineRule="auto"/>
              <w:jc w:val="center"/>
              <w:rPr>
                <w:rFonts w:ascii="宋体" w:hAnsi="宋体" w:eastAsia="宋体" w:cs="宋体"/>
                <w:spacing w:val="20"/>
                <w:sz w:val="24"/>
                <w:szCs w:val="24"/>
                <w:highlight w:val="none"/>
              </w:rPr>
            </w:pPr>
          </w:p>
        </w:tc>
      </w:tr>
      <w:tr w14:paraId="5B66FE4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0" w:type="dxa"/>
            <w:tcBorders>
              <w:top w:val="single" w:color="auto" w:sz="2" w:space="0"/>
              <w:bottom w:val="single" w:color="auto" w:sz="2" w:space="0"/>
              <w:right w:val="single" w:color="auto" w:sz="2" w:space="0"/>
            </w:tcBorders>
            <w:vAlign w:val="center"/>
          </w:tcPr>
          <w:p w14:paraId="1F3F49E2">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统一社会信用代码</w:t>
            </w:r>
          </w:p>
        </w:tc>
        <w:tc>
          <w:tcPr>
            <w:tcW w:w="2410" w:type="dxa"/>
            <w:tcBorders>
              <w:top w:val="single" w:color="auto" w:sz="2" w:space="0"/>
              <w:left w:val="single" w:color="auto" w:sz="2" w:space="0"/>
              <w:bottom w:val="single" w:color="auto" w:sz="2" w:space="0"/>
              <w:right w:val="single" w:color="auto" w:sz="2" w:space="0"/>
            </w:tcBorders>
            <w:vAlign w:val="center"/>
          </w:tcPr>
          <w:p w14:paraId="57754AE4">
            <w:pPr>
              <w:adjustRightInd w:val="0"/>
              <w:snapToGrid w:val="0"/>
              <w:spacing w:line="360" w:lineRule="auto"/>
              <w:jc w:val="center"/>
              <w:rPr>
                <w:rFonts w:ascii="宋体" w:hAnsi="宋体" w:eastAsia="宋体" w:cs="宋体"/>
                <w:sz w:val="24"/>
                <w:szCs w:val="24"/>
                <w:highlight w:val="none"/>
              </w:rPr>
            </w:pPr>
          </w:p>
        </w:tc>
        <w:tc>
          <w:tcPr>
            <w:tcW w:w="1977" w:type="dxa"/>
            <w:tcBorders>
              <w:top w:val="single" w:color="auto" w:sz="2" w:space="0"/>
              <w:left w:val="single" w:color="auto" w:sz="2" w:space="0"/>
              <w:bottom w:val="single" w:color="auto" w:sz="2" w:space="0"/>
              <w:right w:val="single" w:color="auto" w:sz="2" w:space="0"/>
            </w:tcBorders>
            <w:vAlign w:val="center"/>
          </w:tcPr>
          <w:p w14:paraId="4A621849">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统一社会信用代码</w:t>
            </w:r>
          </w:p>
        </w:tc>
        <w:tc>
          <w:tcPr>
            <w:tcW w:w="2115" w:type="dxa"/>
            <w:tcBorders>
              <w:top w:val="single" w:color="auto" w:sz="2" w:space="0"/>
              <w:left w:val="single" w:color="auto" w:sz="2" w:space="0"/>
              <w:bottom w:val="single" w:color="auto" w:sz="2" w:space="0"/>
            </w:tcBorders>
            <w:vAlign w:val="center"/>
          </w:tcPr>
          <w:p w14:paraId="75B9D30F">
            <w:pPr>
              <w:adjustRightInd w:val="0"/>
              <w:snapToGrid w:val="0"/>
              <w:spacing w:line="360" w:lineRule="auto"/>
              <w:jc w:val="center"/>
              <w:rPr>
                <w:rFonts w:ascii="宋体" w:hAnsi="宋体" w:eastAsia="宋体" w:cs="宋体"/>
                <w:spacing w:val="20"/>
                <w:sz w:val="24"/>
                <w:szCs w:val="24"/>
                <w:highlight w:val="none"/>
              </w:rPr>
            </w:pPr>
          </w:p>
        </w:tc>
      </w:tr>
      <w:tr w14:paraId="76076E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0" w:type="dxa"/>
            <w:tcBorders>
              <w:top w:val="single" w:color="auto" w:sz="2" w:space="0"/>
              <w:bottom w:val="single" w:color="auto" w:sz="2" w:space="0"/>
              <w:right w:val="single" w:color="auto" w:sz="2" w:space="0"/>
            </w:tcBorders>
            <w:vAlign w:val="center"/>
          </w:tcPr>
          <w:p w14:paraId="497F3A89">
            <w:pPr>
              <w:adjustRightInd w:val="0"/>
              <w:snapToGrid w:val="0"/>
              <w:spacing w:line="360" w:lineRule="auto"/>
              <w:jc w:val="center"/>
              <w:rPr>
                <w:rFonts w:ascii="宋体" w:hAnsi="宋体" w:eastAsia="宋体" w:cs="宋体"/>
                <w:sz w:val="24"/>
                <w:szCs w:val="24"/>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14:paraId="47A404F5">
            <w:pPr>
              <w:adjustRightInd w:val="0"/>
              <w:snapToGrid w:val="0"/>
              <w:spacing w:line="360" w:lineRule="auto"/>
              <w:jc w:val="center"/>
              <w:rPr>
                <w:rFonts w:ascii="宋体" w:hAnsi="宋体" w:eastAsia="宋体" w:cs="宋体"/>
                <w:sz w:val="24"/>
                <w:szCs w:val="24"/>
                <w:highlight w:val="none"/>
              </w:rPr>
            </w:pPr>
          </w:p>
        </w:tc>
        <w:tc>
          <w:tcPr>
            <w:tcW w:w="1977" w:type="dxa"/>
            <w:tcBorders>
              <w:top w:val="single" w:color="auto" w:sz="2" w:space="0"/>
              <w:left w:val="single" w:color="auto" w:sz="2" w:space="0"/>
              <w:bottom w:val="single" w:color="auto" w:sz="2" w:space="0"/>
              <w:right w:val="single" w:color="auto" w:sz="2" w:space="0"/>
            </w:tcBorders>
            <w:vAlign w:val="center"/>
          </w:tcPr>
          <w:p w14:paraId="62A725BF">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开户名称</w:t>
            </w:r>
          </w:p>
        </w:tc>
        <w:tc>
          <w:tcPr>
            <w:tcW w:w="2115" w:type="dxa"/>
            <w:tcBorders>
              <w:top w:val="single" w:color="auto" w:sz="2" w:space="0"/>
              <w:left w:val="single" w:color="auto" w:sz="2" w:space="0"/>
              <w:bottom w:val="single" w:color="auto" w:sz="2" w:space="0"/>
            </w:tcBorders>
            <w:vAlign w:val="center"/>
          </w:tcPr>
          <w:p w14:paraId="0E932B0E">
            <w:pPr>
              <w:adjustRightInd w:val="0"/>
              <w:snapToGrid w:val="0"/>
              <w:spacing w:line="360" w:lineRule="auto"/>
              <w:jc w:val="center"/>
              <w:rPr>
                <w:rFonts w:ascii="宋体" w:hAnsi="宋体" w:eastAsia="宋体" w:cs="宋体"/>
                <w:spacing w:val="20"/>
                <w:sz w:val="24"/>
                <w:szCs w:val="24"/>
                <w:highlight w:val="none"/>
              </w:rPr>
            </w:pPr>
          </w:p>
        </w:tc>
      </w:tr>
      <w:tr w14:paraId="5D25D54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0" w:type="dxa"/>
            <w:tcBorders>
              <w:top w:val="single" w:color="auto" w:sz="2" w:space="0"/>
              <w:bottom w:val="single" w:color="auto" w:sz="2" w:space="0"/>
              <w:right w:val="single" w:color="auto" w:sz="2" w:space="0"/>
            </w:tcBorders>
            <w:vAlign w:val="center"/>
          </w:tcPr>
          <w:p w14:paraId="5229DCAB">
            <w:pPr>
              <w:adjustRightInd w:val="0"/>
              <w:snapToGrid w:val="0"/>
              <w:spacing w:line="360" w:lineRule="auto"/>
              <w:jc w:val="center"/>
              <w:rPr>
                <w:rFonts w:ascii="宋体" w:hAnsi="宋体" w:eastAsia="宋体" w:cs="宋体"/>
                <w:sz w:val="24"/>
                <w:szCs w:val="24"/>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14:paraId="2B7309F9">
            <w:pPr>
              <w:adjustRightInd w:val="0"/>
              <w:snapToGrid w:val="0"/>
              <w:spacing w:line="360" w:lineRule="auto"/>
              <w:jc w:val="center"/>
              <w:rPr>
                <w:rFonts w:ascii="宋体" w:hAnsi="宋体" w:eastAsia="宋体" w:cs="宋体"/>
                <w:sz w:val="24"/>
                <w:szCs w:val="24"/>
                <w:highlight w:val="none"/>
              </w:rPr>
            </w:pPr>
          </w:p>
        </w:tc>
        <w:tc>
          <w:tcPr>
            <w:tcW w:w="1977" w:type="dxa"/>
            <w:tcBorders>
              <w:top w:val="single" w:color="auto" w:sz="2" w:space="0"/>
              <w:left w:val="single" w:color="auto" w:sz="2" w:space="0"/>
              <w:bottom w:val="single" w:color="auto" w:sz="2" w:space="0"/>
              <w:right w:val="single" w:color="auto" w:sz="2" w:space="0"/>
            </w:tcBorders>
            <w:vAlign w:val="center"/>
          </w:tcPr>
          <w:p w14:paraId="26AC9326">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开户银行</w:t>
            </w:r>
          </w:p>
        </w:tc>
        <w:tc>
          <w:tcPr>
            <w:tcW w:w="2115" w:type="dxa"/>
            <w:tcBorders>
              <w:top w:val="single" w:color="auto" w:sz="2" w:space="0"/>
              <w:left w:val="single" w:color="auto" w:sz="2" w:space="0"/>
              <w:bottom w:val="single" w:color="auto" w:sz="2" w:space="0"/>
            </w:tcBorders>
            <w:vAlign w:val="center"/>
          </w:tcPr>
          <w:p w14:paraId="759D7205">
            <w:pPr>
              <w:adjustRightInd w:val="0"/>
              <w:snapToGrid w:val="0"/>
              <w:spacing w:line="360" w:lineRule="auto"/>
              <w:jc w:val="center"/>
              <w:rPr>
                <w:rFonts w:ascii="宋体" w:hAnsi="宋体" w:eastAsia="宋体" w:cs="宋体"/>
                <w:spacing w:val="20"/>
                <w:sz w:val="24"/>
                <w:szCs w:val="24"/>
                <w:highlight w:val="none"/>
              </w:rPr>
            </w:pPr>
          </w:p>
        </w:tc>
      </w:tr>
      <w:tr w14:paraId="7FBA48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0" w:type="dxa"/>
            <w:tcBorders>
              <w:top w:val="single" w:color="auto" w:sz="2" w:space="0"/>
              <w:bottom w:val="single" w:color="auto" w:sz="2" w:space="0"/>
              <w:right w:val="single" w:color="auto" w:sz="2" w:space="0"/>
            </w:tcBorders>
            <w:vAlign w:val="center"/>
          </w:tcPr>
          <w:p w14:paraId="54DA421C">
            <w:pPr>
              <w:adjustRightInd w:val="0"/>
              <w:snapToGrid w:val="0"/>
              <w:spacing w:line="360" w:lineRule="auto"/>
              <w:jc w:val="center"/>
              <w:rPr>
                <w:rFonts w:ascii="宋体" w:hAnsi="宋体" w:eastAsia="宋体" w:cs="宋体"/>
                <w:sz w:val="24"/>
                <w:szCs w:val="24"/>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14:paraId="23093025">
            <w:pPr>
              <w:adjustRightInd w:val="0"/>
              <w:snapToGrid w:val="0"/>
              <w:spacing w:line="360" w:lineRule="auto"/>
              <w:jc w:val="center"/>
              <w:rPr>
                <w:rFonts w:ascii="宋体" w:hAnsi="宋体" w:eastAsia="宋体" w:cs="宋体"/>
                <w:sz w:val="24"/>
                <w:szCs w:val="24"/>
                <w:highlight w:val="none"/>
              </w:rPr>
            </w:pPr>
          </w:p>
        </w:tc>
        <w:tc>
          <w:tcPr>
            <w:tcW w:w="1977" w:type="dxa"/>
            <w:tcBorders>
              <w:top w:val="single" w:color="auto" w:sz="2" w:space="0"/>
              <w:left w:val="single" w:color="auto" w:sz="2" w:space="0"/>
              <w:bottom w:val="single" w:color="auto" w:sz="2" w:space="0"/>
              <w:right w:val="single" w:color="auto" w:sz="2" w:space="0"/>
            </w:tcBorders>
            <w:vAlign w:val="center"/>
          </w:tcPr>
          <w:p w14:paraId="5075D70D">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银行账号</w:t>
            </w:r>
          </w:p>
        </w:tc>
        <w:tc>
          <w:tcPr>
            <w:tcW w:w="2115" w:type="dxa"/>
            <w:tcBorders>
              <w:top w:val="single" w:color="auto" w:sz="2" w:space="0"/>
              <w:left w:val="single" w:color="auto" w:sz="2" w:space="0"/>
              <w:bottom w:val="single" w:color="auto" w:sz="2" w:space="0"/>
            </w:tcBorders>
            <w:vAlign w:val="center"/>
          </w:tcPr>
          <w:p w14:paraId="036C27F5">
            <w:pPr>
              <w:adjustRightInd w:val="0"/>
              <w:snapToGrid w:val="0"/>
              <w:spacing w:line="360" w:lineRule="auto"/>
              <w:jc w:val="center"/>
              <w:rPr>
                <w:rFonts w:ascii="宋体" w:hAnsi="宋体" w:eastAsia="宋体" w:cs="宋体"/>
                <w:spacing w:val="20"/>
                <w:sz w:val="24"/>
                <w:szCs w:val="24"/>
                <w:highlight w:val="none"/>
              </w:rPr>
            </w:pPr>
          </w:p>
        </w:tc>
      </w:tr>
      <w:tr w14:paraId="1A7D600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2" w:type="dxa"/>
            <w:gridSpan w:val="4"/>
            <w:tcBorders>
              <w:top w:val="single" w:color="auto" w:sz="2" w:space="0"/>
            </w:tcBorders>
            <w:vAlign w:val="center"/>
          </w:tcPr>
          <w:p w14:paraId="70988BA6">
            <w:pPr>
              <w:pStyle w:val="9"/>
              <w:adjustRightInd w:val="0"/>
              <w:snapToGrid w:val="0"/>
              <w:spacing w:before="156" w:beforeLines="50" w:after="0" w:line="360" w:lineRule="auto"/>
              <w:ind w:left="0" w:leftChars="0"/>
              <w:jc w:val="left"/>
              <w:rPr>
                <w:rFonts w:ascii="宋体" w:hAnsi="宋体" w:eastAsia="宋体" w:cs="宋体"/>
                <w:spacing w:val="20"/>
                <w:sz w:val="24"/>
                <w:szCs w:val="24"/>
                <w:highlight w:val="none"/>
              </w:rPr>
            </w:pPr>
            <w:r>
              <w:rPr>
                <w:rFonts w:hint="eastAsia" w:ascii="宋体" w:hAnsi="宋体" w:eastAsia="宋体" w:cs="宋体"/>
                <w:sz w:val="24"/>
                <w:szCs w:val="24"/>
                <w:highlight w:val="none"/>
              </w:rPr>
              <w:t>注：涉及联合体或其他合同主体的信息应按上表格式加列。</w:t>
            </w:r>
          </w:p>
        </w:tc>
      </w:tr>
    </w:tbl>
    <w:p w14:paraId="2749E6AB">
      <w:pPr>
        <w:pStyle w:val="3"/>
        <w:adjustRightInd w:val="0"/>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u w:val="single"/>
        </w:rPr>
        <w:br w:type="page"/>
      </w:r>
      <w:bookmarkStart w:id="46" w:name="_Toc27624"/>
      <w:r>
        <w:rPr>
          <w:rFonts w:hint="eastAsia" w:cs="@仿宋_GB2312" w:asciiTheme="minorEastAsia" w:hAnsiTheme="minorEastAsia" w:eastAsiaTheme="minorEastAsia"/>
          <w:bCs w:val="0"/>
          <w:sz w:val="24"/>
          <w:szCs w:val="20"/>
          <w:highlight w:val="none"/>
        </w:rPr>
        <w:t>第二节 政府采购合同通用条款</w:t>
      </w:r>
      <w:bookmarkEnd w:id="46"/>
    </w:p>
    <w:p w14:paraId="7A066944">
      <w:pPr>
        <w:tabs>
          <w:tab w:val="left" w:pos="8820"/>
          <w:tab w:val="left" w:pos="9345"/>
          <w:tab w:val="left" w:pos="9765"/>
        </w:tabs>
        <w:adjustRightInd w:val="0"/>
        <w:snapToGrid w:val="0"/>
        <w:spacing w:line="360" w:lineRule="auto"/>
        <w:jc w:val="left"/>
        <w:rPr>
          <w:rFonts w:ascii="宋体" w:hAnsi="宋体" w:eastAsia="宋体" w:cs="宋体"/>
          <w:b/>
          <w:bCs/>
          <w:sz w:val="24"/>
          <w:szCs w:val="24"/>
          <w:highlight w:val="none"/>
        </w:rPr>
      </w:pPr>
      <w:r>
        <w:rPr>
          <w:rFonts w:hint="eastAsia" w:ascii="宋体" w:hAnsi="宋体" w:eastAsia="宋体" w:cs="宋体"/>
          <w:b/>
          <w:sz w:val="24"/>
          <w:szCs w:val="24"/>
          <w:highlight w:val="none"/>
        </w:rPr>
        <w:t xml:space="preserve">1. </w:t>
      </w:r>
      <w:r>
        <w:rPr>
          <w:rFonts w:hint="eastAsia" w:ascii="宋体" w:hAnsi="宋体" w:eastAsia="宋体" w:cs="宋体"/>
          <w:b/>
          <w:bCs/>
          <w:sz w:val="24"/>
          <w:szCs w:val="24"/>
          <w:highlight w:val="none"/>
        </w:rPr>
        <w:t>定义</w:t>
      </w:r>
    </w:p>
    <w:p w14:paraId="672966CB">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1.1合同当事人</w:t>
      </w:r>
    </w:p>
    <w:p w14:paraId="62E2D015">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（1）采购人（以下称甲方）是指使用财政性资金，通过政府采购方式向供应商购买货物及其相关服务的国家机关、事业单位、团体组织。</w:t>
      </w:r>
    </w:p>
    <w:p w14:paraId="3E28ECEC">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（2）供应商（以下称乙方）是指参加政府采购活动并且中标（成交），向采购人提供合同约定的货物及其相关服务的法人、非法人组织或者自然人。</w:t>
      </w:r>
    </w:p>
    <w:p w14:paraId="024F2806">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（3）其他合同主体是指除采购人和供应商以外，</w:t>
      </w:r>
      <w:r>
        <w:rPr>
          <w:rFonts w:hint="eastAsia" w:ascii="宋体" w:hAnsi="宋体" w:eastAsia="宋体" w:cs="宋体"/>
          <w:bCs/>
          <w:sz w:val="24"/>
          <w:szCs w:val="24"/>
          <w:highlight w:val="none"/>
        </w:rPr>
        <w:t>依法参与合同缔结或履行，享有权利、承担义务的合同当事人</w:t>
      </w:r>
      <w:r>
        <w:rPr>
          <w:rFonts w:hint="eastAsia" w:ascii="宋体" w:hAnsi="宋体" w:eastAsia="宋体" w:cs="宋体"/>
          <w:sz w:val="24"/>
          <w:szCs w:val="24"/>
          <w:highlight w:val="none"/>
        </w:rPr>
        <w:t>。</w:t>
      </w:r>
    </w:p>
    <w:p w14:paraId="58E1B9FA">
      <w:pPr>
        <w:tabs>
          <w:tab w:val="left" w:pos="570"/>
          <w:tab w:val="left" w:pos="9240"/>
          <w:tab w:val="left" w:pos="9555"/>
        </w:tabs>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1.2本合同下列术语应解释为：</w:t>
      </w:r>
    </w:p>
    <w:p w14:paraId="6F7BE859">
      <w:pPr>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（1）“合同”系指</w:t>
      </w:r>
      <w:r>
        <w:rPr>
          <w:rFonts w:hint="eastAsia" w:ascii="宋体" w:hAnsi="宋体" w:eastAsia="宋体" w:cs="宋体"/>
          <w:bCs/>
          <w:sz w:val="24"/>
          <w:szCs w:val="24"/>
          <w:highlight w:val="none"/>
        </w:rPr>
        <w:t>合同当事人意思表示达成一致的任何协议，包括签署的</w:t>
      </w:r>
      <w:r>
        <w:rPr>
          <w:rFonts w:hint="eastAsia" w:ascii="宋体" w:hAnsi="宋体" w:eastAsia="宋体" w:cs="宋体"/>
          <w:sz w:val="24"/>
          <w:szCs w:val="24"/>
          <w:highlight w:val="none"/>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3B7AF49A">
      <w:pPr>
        <w:tabs>
          <w:tab w:val="left" w:pos="570"/>
          <w:tab w:val="left" w:pos="9240"/>
          <w:tab w:val="left" w:pos="9555"/>
        </w:tabs>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（2）“合同价款”系指根据本合同规定乙方在全面履行合同义务后甲方应支付给乙方的价款。</w:t>
      </w:r>
    </w:p>
    <w:p w14:paraId="252480BC">
      <w:pPr>
        <w:tabs>
          <w:tab w:val="left" w:pos="570"/>
          <w:tab w:val="left" w:pos="9240"/>
          <w:tab w:val="left" w:pos="9555"/>
        </w:tabs>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（3）“货物”系指乙方根据本合同规定须向甲方提供的各种形态和种类的物品，包括原材料、设备、产品（包括软件）及相关的其备品备件、工具、手册及</w:t>
      </w:r>
      <w:r>
        <w:rPr>
          <w:rFonts w:hint="eastAsia" w:ascii="宋体" w:hAnsi="宋体" w:eastAsia="宋体" w:cs="宋体"/>
          <w:sz w:val="24"/>
          <w:szCs w:val="24"/>
          <w:highlight w:val="none"/>
          <w:lang w:val="en"/>
        </w:rPr>
        <w:t>其他</w:t>
      </w:r>
      <w:r>
        <w:rPr>
          <w:rFonts w:hint="eastAsia" w:ascii="宋体" w:hAnsi="宋体" w:eastAsia="宋体" w:cs="宋体"/>
          <w:sz w:val="24"/>
          <w:szCs w:val="24"/>
          <w:highlight w:val="none"/>
        </w:rPr>
        <w:t>技术资料和材料等。</w:t>
      </w:r>
    </w:p>
    <w:p w14:paraId="202C3B39">
      <w:pPr>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（4）“相关服务”系指根据合同规定，乙方应提供的与货物有关的技术、管理和</w:t>
      </w:r>
      <w:r>
        <w:rPr>
          <w:rFonts w:hint="eastAsia" w:ascii="宋体" w:hAnsi="宋体" w:eastAsia="宋体" w:cs="宋体"/>
          <w:sz w:val="24"/>
          <w:szCs w:val="24"/>
          <w:highlight w:val="none"/>
          <w:lang w:val="en"/>
        </w:rPr>
        <w:t>其他</w:t>
      </w:r>
      <w:r>
        <w:rPr>
          <w:rFonts w:hint="eastAsia" w:ascii="宋体" w:hAnsi="宋体" w:eastAsia="宋体" w:cs="宋体"/>
          <w:sz w:val="24"/>
          <w:szCs w:val="24"/>
          <w:highlight w:val="none"/>
        </w:rPr>
        <w:t>服务，包括但不限于：管理和质量保证、运输、保险、检验、现场准备、安装、集成、调试、培训、维修、废弃处置、技术支持等以及合同中规定乙方应承担的</w:t>
      </w:r>
      <w:r>
        <w:rPr>
          <w:rFonts w:hint="eastAsia" w:ascii="宋体" w:hAnsi="宋体" w:eastAsia="宋体" w:cs="宋体"/>
          <w:sz w:val="24"/>
          <w:szCs w:val="24"/>
          <w:highlight w:val="none"/>
          <w:lang w:val="en"/>
        </w:rPr>
        <w:t>其他</w:t>
      </w:r>
      <w:r>
        <w:rPr>
          <w:rFonts w:hint="eastAsia" w:ascii="宋体" w:hAnsi="宋体" w:eastAsia="宋体" w:cs="宋体"/>
          <w:sz w:val="24"/>
          <w:szCs w:val="24"/>
          <w:highlight w:val="none"/>
        </w:rPr>
        <w:t>义务。</w:t>
      </w:r>
    </w:p>
    <w:p w14:paraId="565D1DA4">
      <w:pPr>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（5）“分包”系指中标（成交）供应商按采购文件、投标（响应）文件的规定，根据分包意向协议，将中标（成交）项目中的部分履约内容，分给具有相应资质条件的供应商履行合同的行为。</w:t>
      </w:r>
    </w:p>
    <w:p w14:paraId="0A73B2E8">
      <w:pPr>
        <w:tabs>
          <w:tab w:val="left" w:pos="570"/>
          <w:tab w:val="left" w:pos="9240"/>
          <w:tab w:val="left" w:pos="9555"/>
        </w:tabs>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w:t>
      </w:r>
    </w:p>
    <w:p w14:paraId="2A80D80D">
      <w:pPr>
        <w:tabs>
          <w:tab w:val="left" w:pos="570"/>
          <w:tab w:val="left" w:pos="9240"/>
          <w:tab w:val="left" w:pos="9555"/>
        </w:tabs>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（7）其他术语解释，见【</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w:t>
      </w:r>
    </w:p>
    <w:p w14:paraId="107EF751">
      <w:pPr>
        <w:numPr>
          <w:ilvl w:val="0"/>
          <w:numId w:val="8"/>
        </w:numPr>
        <w:autoSpaceDE w:val="0"/>
        <w:autoSpaceDN w:val="0"/>
        <w:adjustRightInd w:val="0"/>
        <w:snapToGrid w:val="0"/>
        <w:spacing w:line="360" w:lineRule="auto"/>
        <w:jc w:val="left"/>
        <w:rPr>
          <w:rFonts w:ascii="宋体" w:hAnsi="宋体" w:eastAsia="宋体" w:cs="宋体"/>
          <w:b/>
          <w:bCs/>
          <w:sz w:val="24"/>
          <w:szCs w:val="24"/>
          <w:highlight w:val="none"/>
        </w:rPr>
      </w:pPr>
      <w:r>
        <w:rPr>
          <w:rFonts w:hint="eastAsia" w:ascii="宋体" w:hAnsi="宋体" w:eastAsia="宋体" w:cs="宋体"/>
          <w:b/>
          <w:sz w:val="24"/>
          <w:szCs w:val="24"/>
          <w:highlight w:val="none"/>
        </w:rPr>
        <w:t>合同标的及金额</w:t>
      </w:r>
    </w:p>
    <w:p w14:paraId="7CDFC173">
      <w:pPr>
        <w:autoSpaceDE w:val="0"/>
        <w:autoSpaceDN w:val="0"/>
        <w:adjustRightInd w:val="0"/>
        <w:snapToGrid w:val="0"/>
        <w:spacing w:line="360" w:lineRule="auto"/>
        <w:ind w:firstLine="480" w:firstLineChars="200"/>
        <w:jc w:val="left"/>
        <w:rPr>
          <w:rFonts w:ascii="宋体" w:hAnsi="宋体" w:eastAsia="宋体" w:cs="宋体"/>
          <w:b/>
          <w:bCs/>
          <w:i/>
          <w:iCs/>
          <w:sz w:val="24"/>
          <w:szCs w:val="24"/>
          <w:highlight w:val="none"/>
        </w:rPr>
      </w:pPr>
      <w:r>
        <w:rPr>
          <w:rFonts w:hint="eastAsia" w:ascii="宋体" w:hAnsi="宋体" w:eastAsia="宋体" w:cs="宋体"/>
          <w:sz w:val="24"/>
          <w:szCs w:val="24"/>
          <w:highlight w:val="none"/>
        </w:rPr>
        <w:t>2.1 合同标的及金额应与中标（成交）结果一致。乙方为履行本合同而发生的所有费用均应包含在合同价款中，甲方不再另行支付</w:t>
      </w:r>
      <w:r>
        <w:rPr>
          <w:rFonts w:hint="eastAsia" w:ascii="宋体" w:hAnsi="宋体" w:eastAsia="宋体" w:cs="宋体"/>
          <w:sz w:val="24"/>
          <w:szCs w:val="24"/>
          <w:highlight w:val="none"/>
          <w:lang w:val="en"/>
        </w:rPr>
        <w:t>其他</w:t>
      </w:r>
      <w:r>
        <w:rPr>
          <w:rFonts w:hint="eastAsia" w:ascii="宋体" w:hAnsi="宋体" w:eastAsia="宋体" w:cs="宋体"/>
          <w:sz w:val="24"/>
          <w:szCs w:val="24"/>
          <w:highlight w:val="none"/>
        </w:rPr>
        <w:t>任何费用。</w:t>
      </w:r>
    </w:p>
    <w:p w14:paraId="78E64AF7">
      <w:pPr>
        <w:adjustRightInd w:val="0"/>
        <w:snapToGrid w:val="0"/>
        <w:spacing w:line="360" w:lineRule="auto"/>
        <w:jc w:val="left"/>
        <w:rPr>
          <w:rFonts w:ascii="宋体" w:hAnsi="宋体" w:eastAsia="宋体" w:cs="宋体"/>
          <w:b/>
          <w:sz w:val="24"/>
          <w:szCs w:val="24"/>
          <w:highlight w:val="none"/>
        </w:rPr>
      </w:pPr>
      <w:r>
        <w:rPr>
          <w:rFonts w:hint="eastAsia" w:ascii="宋体" w:hAnsi="宋体" w:eastAsia="宋体" w:cs="宋体"/>
          <w:b/>
          <w:sz w:val="24"/>
          <w:szCs w:val="24"/>
          <w:highlight w:val="none"/>
        </w:rPr>
        <w:t>3. 履行合同的时间、地点和方式</w:t>
      </w:r>
    </w:p>
    <w:p w14:paraId="55842199">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3.1 乙方应当在约定的时间、地点，按照约定方式履行合同。</w:t>
      </w:r>
    </w:p>
    <w:p w14:paraId="23A105D6">
      <w:pPr>
        <w:autoSpaceDE w:val="0"/>
        <w:autoSpaceDN w:val="0"/>
        <w:adjustRightInd w:val="0"/>
        <w:snapToGrid w:val="0"/>
        <w:spacing w:line="360" w:lineRule="auto"/>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4. 甲方的权利和义务</w:t>
      </w:r>
    </w:p>
    <w:p w14:paraId="35288D71">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5451EACD">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4.2 甲方有权要求乙方按时提交各阶段有关安排计划，并有权定期核对乙方提供货物数量、规格、质量等内容。甲方有权督促乙方工作并要求乙方更换不符合要求的货物。</w:t>
      </w:r>
    </w:p>
    <w:p w14:paraId="5CBAE3C0">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4.3 甲方有权要求乙方对缺陷部分予以修复，并按合同约定享有货物保修及其他合同约定的权利。</w:t>
      </w:r>
    </w:p>
    <w:p w14:paraId="5F69DCC7">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4.4 甲方应当按照合同约定及时对交付的货物进行验收，未在</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约定的期限内对乙方履约提出任何异议或者向乙方作出任何说明的，视为验收通过。</w:t>
      </w:r>
    </w:p>
    <w:p w14:paraId="3603C4EA">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4.5 甲方应当根据合同约定及时向乙方支付合同价款，不得以内部人员变更、履行内部付款流程等为由，拒绝或迟延支付。</w:t>
      </w:r>
    </w:p>
    <w:p w14:paraId="52141511">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4.6 国家法律法规规定及</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约定应由甲方承担的其他义务和责任。</w:t>
      </w:r>
    </w:p>
    <w:p w14:paraId="521F1B64">
      <w:pPr>
        <w:autoSpaceDE w:val="0"/>
        <w:autoSpaceDN w:val="0"/>
        <w:adjustRightInd w:val="0"/>
        <w:snapToGrid w:val="0"/>
        <w:spacing w:line="360" w:lineRule="auto"/>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5. 乙方的权利和义务</w:t>
      </w:r>
    </w:p>
    <w:p w14:paraId="2A202387">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5.1 签署合同后，乙方应确定项目负责人（或项目联系人），负责与本合同有关的事务。</w:t>
      </w:r>
    </w:p>
    <w:p w14:paraId="479C4683">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5E142886">
      <w:pPr>
        <w:pStyle w:val="8"/>
        <w:spacing w:after="0" w:line="360" w:lineRule="auto"/>
        <w:ind w:firstLine="422" w:firstLineChars="176"/>
        <w:rPr>
          <w:rFonts w:ascii="宋体" w:hAnsi="宋体" w:eastAsia="宋体" w:cs="宋体"/>
          <w:sz w:val="24"/>
          <w:highlight w:val="none"/>
        </w:rPr>
      </w:pPr>
      <w:r>
        <w:rPr>
          <w:rFonts w:hint="eastAsia" w:ascii="宋体" w:hAnsi="宋体" w:eastAsia="宋体" w:cs="宋体"/>
          <w:sz w:val="24"/>
          <w:highlight w:val="none"/>
        </w:rPr>
        <w:t>5.3乙方有权根据合同约定向甲方收取合同价款。</w:t>
      </w:r>
    </w:p>
    <w:p w14:paraId="791E70DA">
      <w:pPr>
        <w:pStyle w:val="8"/>
        <w:spacing w:after="0" w:line="360" w:lineRule="auto"/>
        <w:ind w:firstLine="422" w:firstLineChars="176"/>
        <w:rPr>
          <w:rFonts w:ascii="宋体" w:hAnsi="宋体" w:eastAsia="宋体" w:cs="宋体"/>
          <w:sz w:val="24"/>
          <w:highlight w:val="none"/>
        </w:rPr>
      </w:pPr>
      <w:r>
        <w:rPr>
          <w:rFonts w:hint="eastAsia" w:ascii="宋体" w:hAnsi="宋体" w:eastAsia="宋体" w:cs="宋体"/>
          <w:sz w:val="24"/>
          <w:highlight w:val="none"/>
        </w:rPr>
        <w:t>5.4国家法律法规规定及</w:t>
      </w:r>
      <w:r>
        <w:rPr>
          <w:rFonts w:hint="eastAsia" w:ascii="宋体" w:hAnsi="宋体" w:eastAsia="宋体" w:cs="宋体"/>
          <w:b/>
          <w:bCs/>
          <w:sz w:val="24"/>
          <w:highlight w:val="none"/>
        </w:rPr>
        <w:t>【政府采购合同专用条款】</w:t>
      </w:r>
      <w:r>
        <w:rPr>
          <w:rFonts w:hint="eastAsia" w:ascii="宋体" w:hAnsi="宋体" w:eastAsia="宋体" w:cs="宋体"/>
          <w:sz w:val="24"/>
          <w:highlight w:val="none"/>
        </w:rPr>
        <w:t>约定应由乙方承担的其他义务和责任。</w:t>
      </w:r>
    </w:p>
    <w:p w14:paraId="5A658617">
      <w:pPr>
        <w:numPr>
          <w:ilvl w:val="0"/>
          <w:numId w:val="9"/>
        </w:numPr>
        <w:autoSpaceDE w:val="0"/>
        <w:autoSpaceDN w:val="0"/>
        <w:adjustRightInd w:val="0"/>
        <w:snapToGrid w:val="0"/>
        <w:spacing w:line="360" w:lineRule="auto"/>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合同履行</w:t>
      </w:r>
    </w:p>
    <w:p w14:paraId="532A1964">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6.1 甲乙双方应当按照</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约定顺序履行合同义务；如果没有先后顺序的，应当同时履行。</w:t>
      </w:r>
    </w:p>
    <w:p w14:paraId="18353EEF">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5A7FFE29">
      <w:pPr>
        <w:adjustRightInd w:val="0"/>
        <w:snapToGrid w:val="0"/>
        <w:spacing w:line="360" w:lineRule="auto"/>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7. 货物包装、运输、保险和交付要求</w:t>
      </w:r>
    </w:p>
    <w:p w14:paraId="596F4EC4">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7.1 本合同</w:t>
      </w:r>
      <w:r>
        <w:rPr>
          <w:rFonts w:hint="eastAsia" w:ascii="宋体" w:hAnsi="宋体" w:eastAsia="宋体" w:cs="宋体"/>
          <w:bCs/>
          <w:sz w:val="24"/>
          <w:szCs w:val="24"/>
          <w:highlight w:val="none"/>
        </w:rPr>
        <w:t>涉及商品包装、快递包装的，</w:t>
      </w:r>
      <w:r>
        <w:rPr>
          <w:rFonts w:hint="eastAsia" w:ascii="宋体" w:hAnsi="宋体" w:eastAsia="宋体" w:cs="宋体"/>
          <w:sz w:val="24"/>
          <w:szCs w:val="24"/>
          <w:highlight w:val="none"/>
        </w:rPr>
        <w:t>除</w:t>
      </w:r>
      <w:r>
        <w:rPr>
          <w:rFonts w:hint="eastAsia" w:ascii="宋体" w:hAnsi="宋体" w:eastAsia="宋体" w:cs="宋体"/>
          <w:b/>
          <w:sz w:val="24"/>
          <w:szCs w:val="24"/>
          <w:highlight w:val="none"/>
        </w:rPr>
        <w:t>【政府采购合同专用条款】</w:t>
      </w:r>
      <w:r>
        <w:rPr>
          <w:rFonts w:hint="eastAsia" w:ascii="宋体" w:hAnsi="宋体" w:eastAsia="宋体" w:cs="宋体"/>
          <w:bCs/>
          <w:sz w:val="24"/>
          <w:szCs w:val="24"/>
          <w:highlight w:val="none"/>
        </w:rPr>
        <w:t>另有约定外，</w:t>
      </w:r>
      <w:r>
        <w:rPr>
          <w:rFonts w:hint="eastAsia" w:ascii="宋体" w:hAnsi="宋体" w:eastAsia="宋体" w:cs="宋体"/>
          <w:sz w:val="24"/>
          <w:szCs w:val="24"/>
          <w:highlight w:val="none"/>
        </w:rPr>
        <w:t>包装应适应远距离运输、防潮、防震、防锈和防野蛮装卸等要求，确保货物安全无损地运抵</w:t>
      </w:r>
      <w:r>
        <w:rPr>
          <w:rFonts w:hint="eastAsia" w:ascii="宋体" w:hAnsi="宋体" w:eastAsia="宋体" w:cs="宋体"/>
          <w:b/>
          <w:sz w:val="24"/>
          <w:szCs w:val="24"/>
          <w:highlight w:val="none"/>
        </w:rPr>
        <w:t>【政府采购合同专用条款】</w:t>
      </w:r>
      <w:r>
        <w:rPr>
          <w:rFonts w:hint="eastAsia" w:ascii="宋体" w:hAnsi="宋体" w:eastAsia="宋体" w:cs="宋体"/>
          <w:bCs/>
          <w:sz w:val="24"/>
          <w:szCs w:val="24"/>
          <w:highlight w:val="none"/>
        </w:rPr>
        <w:t>约定的</w:t>
      </w:r>
      <w:r>
        <w:rPr>
          <w:rFonts w:hint="eastAsia" w:ascii="宋体" w:hAnsi="宋体" w:eastAsia="宋体" w:cs="宋体"/>
          <w:sz w:val="24"/>
          <w:szCs w:val="24"/>
          <w:highlight w:val="none"/>
        </w:rPr>
        <w:t>指定现场。</w:t>
      </w:r>
    </w:p>
    <w:p w14:paraId="5C92D696">
      <w:pPr>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7.2 除</w:t>
      </w:r>
      <w:r>
        <w:rPr>
          <w:rFonts w:hint="eastAsia" w:ascii="宋体" w:hAnsi="宋体" w:eastAsia="宋体" w:cs="宋体"/>
          <w:b/>
          <w:sz w:val="24"/>
          <w:szCs w:val="24"/>
          <w:highlight w:val="none"/>
        </w:rPr>
        <w:t>【政府采购合同专用条款】</w:t>
      </w:r>
      <w:r>
        <w:rPr>
          <w:rFonts w:hint="eastAsia" w:ascii="宋体" w:hAnsi="宋体" w:eastAsia="宋体" w:cs="宋体"/>
          <w:bCs/>
          <w:sz w:val="24"/>
          <w:szCs w:val="24"/>
          <w:highlight w:val="none"/>
        </w:rPr>
        <w:t>另有约定外，</w:t>
      </w:r>
      <w:r>
        <w:rPr>
          <w:rFonts w:hint="eastAsia" w:ascii="宋体" w:hAnsi="宋体" w:eastAsia="宋体" w:cs="宋体"/>
          <w:sz w:val="24"/>
          <w:szCs w:val="24"/>
          <w:highlight w:val="none"/>
        </w:rPr>
        <w:t>乙方负责办理将货物运抵本合同规定的交货地点，并装卸、交付至甲方的一切运输事项，相关费用应包含在合同价款中。</w:t>
      </w:r>
    </w:p>
    <w:p w14:paraId="543C866D">
      <w:pPr>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7.3 货物保险要求按</w:t>
      </w:r>
      <w:r>
        <w:rPr>
          <w:rFonts w:hint="eastAsia" w:ascii="宋体" w:hAnsi="宋体" w:eastAsia="宋体" w:cs="宋体"/>
          <w:b/>
          <w:sz w:val="24"/>
          <w:szCs w:val="24"/>
          <w:highlight w:val="none"/>
        </w:rPr>
        <w:t>【政府采购合同专用条款】</w:t>
      </w:r>
      <w:r>
        <w:rPr>
          <w:rFonts w:hint="eastAsia" w:ascii="宋体" w:hAnsi="宋体" w:eastAsia="宋体" w:cs="宋体"/>
          <w:bCs/>
          <w:sz w:val="24"/>
          <w:szCs w:val="24"/>
          <w:highlight w:val="none"/>
        </w:rPr>
        <w:t>规定执行</w:t>
      </w:r>
      <w:r>
        <w:rPr>
          <w:rFonts w:hint="eastAsia" w:ascii="宋体" w:hAnsi="宋体" w:eastAsia="宋体" w:cs="宋体"/>
          <w:sz w:val="24"/>
          <w:szCs w:val="24"/>
          <w:highlight w:val="none"/>
        </w:rPr>
        <w:t>。</w:t>
      </w:r>
    </w:p>
    <w:p w14:paraId="700A9B03">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7BF4A6C5">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7.5 乙方在运输到达之前应提前通知甲方，并提示货物运输装卸的注意事项，甲方配合乙方做好货物的接收工作。</w:t>
      </w:r>
    </w:p>
    <w:p w14:paraId="63C87DF0">
      <w:pPr>
        <w:pStyle w:val="73"/>
        <w:spacing w:line="360" w:lineRule="auto"/>
        <w:ind w:firstLine="480"/>
        <w:rPr>
          <w:rFonts w:ascii="宋体" w:hAnsi="宋体" w:eastAsia="宋体" w:cs="宋体"/>
          <w:sz w:val="24"/>
          <w:szCs w:val="24"/>
          <w:highlight w:val="none"/>
        </w:rPr>
      </w:pPr>
      <w:r>
        <w:rPr>
          <w:rFonts w:hint="eastAsia" w:ascii="宋体" w:hAnsi="宋体" w:eastAsia="宋体" w:cs="宋体"/>
          <w:kern w:val="2"/>
          <w:sz w:val="24"/>
          <w:szCs w:val="24"/>
          <w:highlight w:val="none"/>
        </w:rPr>
        <w:t>7.6 如因包装、运输问题导致货物损毁、丢失或者品质下降，甲方有权要求降价、换货、拒收部分或整批货物，由此产生的费用和损失，均由乙方承担。</w:t>
      </w:r>
    </w:p>
    <w:p w14:paraId="3485B5C4">
      <w:pPr>
        <w:adjustRightInd w:val="0"/>
        <w:snapToGrid w:val="0"/>
        <w:spacing w:line="360" w:lineRule="auto"/>
        <w:jc w:val="left"/>
        <w:rPr>
          <w:rFonts w:ascii="宋体" w:hAnsi="宋体" w:eastAsia="宋体" w:cs="宋体"/>
          <w:b/>
          <w:sz w:val="24"/>
          <w:szCs w:val="24"/>
          <w:highlight w:val="none"/>
        </w:rPr>
      </w:pPr>
      <w:r>
        <w:rPr>
          <w:rFonts w:hint="eastAsia" w:ascii="宋体" w:hAnsi="宋体" w:eastAsia="宋体" w:cs="宋体"/>
          <w:b/>
          <w:sz w:val="24"/>
          <w:szCs w:val="24"/>
          <w:highlight w:val="none"/>
        </w:rPr>
        <w:t>8. 质量标准和保证</w:t>
      </w:r>
    </w:p>
    <w:p w14:paraId="46A867E5">
      <w:pPr>
        <w:pStyle w:val="11"/>
        <w:adjustRightInd w:val="0"/>
        <w:snapToGrid w:val="0"/>
        <w:spacing w:line="360" w:lineRule="auto"/>
        <w:ind w:firstLine="480" w:firstLineChars="200"/>
        <w:jc w:val="left"/>
        <w:rPr>
          <w:rFonts w:hAnsi="宋体" w:eastAsia="宋体" w:cs="宋体"/>
          <w:b/>
          <w:sz w:val="24"/>
          <w:szCs w:val="24"/>
          <w:highlight w:val="none"/>
        </w:rPr>
      </w:pPr>
      <w:r>
        <w:rPr>
          <w:rFonts w:hint="eastAsia" w:hAnsi="宋体" w:eastAsia="宋体" w:cs="宋体"/>
          <w:sz w:val="24"/>
          <w:szCs w:val="24"/>
          <w:highlight w:val="none"/>
        </w:rPr>
        <w:t>8.1 质量标准</w:t>
      </w:r>
    </w:p>
    <w:p w14:paraId="4A3C3C6E">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38471221">
      <w:pPr>
        <w:pStyle w:val="11"/>
        <w:adjustRightInd w:val="0"/>
        <w:snapToGrid w:val="0"/>
        <w:spacing w:line="360" w:lineRule="auto"/>
        <w:ind w:firstLine="480" w:firstLineChars="200"/>
        <w:jc w:val="left"/>
        <w:rPr>
          <w:rFonts w:hAnsi="宋体" w:eastAsia="宋体" w:cs="宋体"/>
          <w:sz w:val="24"/>
          <w:szCs w:val="24"/>
          <w:highlight w:val="none"/>
        </w:rPr>
      </w:pPr>
      <w:r>
        <w:rPr>
          <w:rFonts w:hint="eastAsia" w:hAnsi="宋体" w:eastAsia="宋体" w:cs="宋体"/>
          <w:sz w:val="24"/>
          <w:szCs w:val="24"/>
          <w:highlight w:val="none"/>
        </w:rPr>
        <w:t>（2）采用中华人民共和国法定计量单位。</w:t>
      </w:r>
    </w:p>
    <w:p w14:paraId="1FBDCCDC">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（3）乙方所提供的货物应符合国家有关安全、环保、卫生的规定。</w:t>
      </w:r>
    </w:p>
    <w:p w14:paraId="5B5DF0DB">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（4）乙方应向甲方提交所提供货物的技术文件，包括相应的中文技术文件，如：产品目录、图纸、操作手册、使用说明、维护手册或服务指南等。上述文件应包装好随货物一同发运。</w:t>
      </w:r>
    </w:p>
    <w:p w14:paraId="6485787C">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8.2 保证</w:t>
      </w:r>
    </w:p>
    <w:p w14:paraId="7EC5CFB9">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eastAsia="宋体" w:cs="宋体"/>
          <w:b/>
          <w:sz w:val="24"/>
          <w:szCs w:val="24"/>
          <w:highlight w:val="none"/>
        </w:rPr>
        <w:t>【政府采购合同专用条款】</w:t>
      </w:r>
      <w:r>
        <w:rPr>
          <w:rFonts w:hint="eastAsia" w:ascii="宋体" w:hAnsi="宋体" w:eastAsia="宋体" w:cs="宋体"/>
          <w:sz w:val="24"/>
          <w:szCs w:val="24"/>
          <w:highlight w:val="none"/>
        </w:rPr>
        <w:t>规定或乙方书面承诺（两者以较长的为准）的质量保证期内，本保证保持有效。</w:t>
      </w:r>
    </w:p>
    <w:p w14:paraId="0EBCD366">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（2）在质量保证期内所发现的缺陷，甲方应尽快以书面形式通知乙方。</w:t>
      </w:r>
    </w:p>
    <w:p w14:paraId="4F5B50B4">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（3）乙方收到通知后，应在</w:t>
      </w:r>
      <w:r>
        <w:rPr>
          <w:rFonts w:hint="eastAsia" w:ascii="宋体" w:hAnsi="宋体" w:eastAsia="宋体" w:cs="宋体"/>
          <w:b/>
          <w:sz w:val="24"/>
          <w:szCs w:val="24"/>
          <w:highlight w:val="none"/>
        </w:rPr>
        <w:t>【政府采购合同专用条款】</w:t>
      </w:r>
      <w:r>
        <w:rPr>
          <w:rFonts w:hint="eastAsia" w:ascii="宋体" w:hAnsi="宋体" w:eastAsia="宋体" w:cs="宋体"/>
          <w:sz w:val="24"/>
          <w:szCs w:val="24"/>
          <w:highlight w:val="none"/>
        </w:rPr>
        <w:t>规定的响应时间内以合理的速度免费维修或更换有缺陷的货物或部件。</w:t>
      </w:r>
    </w:p>
    <w:p w14:paraId="2706B03E">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40732A44">
      <w:pPr>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（5）乙方在约定的时间内未能弥补缺陷，甲方可采取必要的补救措施，但其风险和费用将由乙方承担，甲方根据合同约定对乙方行使的其他权利不受影响。</w:t>
      </w:r>
    </w:p>
    <w:p w14:paraId="31DB47D5">
      <w:pPr>
        <w:adjustRightInd w:val="0"/>
        <w:snapToGrid w:val="0"/>
        <w:spacing w:line="360" w:lineRule="auto"/>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9. 权利瑕疵担保</w:t>
      </w:r>
    </w:p>
    <w:p w14:paraId="2E068A00">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9.1 乙方保证对其出售的货物享有合法的权利。</w:t>
      </w:r>
    </w:p>
    <w:p w14:paraId="62F3CB84">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9.2 乙方保证在交付的货物上不存在抵押权等担保物权。</w:t>
      </w:r>
    </w:p>
    <w:p w14:paraId="2F9388F9">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9.3 如甲方使用上述货物构成对第三人侵权的，则由乙方承担全部责任。</w:t>
      </w:r>
    </w:p>
    <w:p w14:paraId="1984C85A">
      <w:pPr>
        <w:autoSpaceDE w:val="0"/>
        <w:autoSpaceDN w:val="0"/>
        <w:adjustRightInd w:val="0"/>
        <w:snapToGrid w:val="0"/>
        <w:spacing w:line="360" w:lineRule="auto"/>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10. 知识产权保护</w:t>
      </w:r>
    </w:p>
    <w:p w14:paraId="45B8B0E4">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10.1 乙方对其所销售的货物应当享有知识产权或经权利人合法授权，保证没有侵犯任何第三人的知识产权等权利。</w:t>
      </w:r>
      <w:bookmarkStart w:id="47" w:name="_Hlk163047038"/>
      <w:r>
        <w:rPr>
          <w:rFonts w:hint="eastAsia" w:ascii="宋体" w:hAnsi="宋体" w:eastAsia="宋体" w:cs="宋体"/>
          <w:sz w:val="24"/>
          <w:szCs w:val="24"/>
          <w:highlight w:val="none"/>
        </w:rPr>
        <w:t>因违反前述约定对第三人构成侵权的，应当由乙方向第三人承担法律责任；甲方依法向第三人赔偿后，有权向乙方追偿。甲方有其他损失的，乙方应当赔偿</w:t>
      </w:r>
      <w:bookmarkEnd w:id="47"/>
      <w:r>
        <w:rPr>
          <w:rFonts w:hint="eastAsia" w:ascii="宋体" w:hAnsi="宋体" w:eastAsia="宋体" w:cs="宋体"/>
          <w:sz w:val="24"/>
          <w:szCs w:val="24"/>
          <w:highlight w:val="none"/>
        </w:rPr>
        <w:t>。</w:t>
      </w:r>
    </w:p>
    <w:p w14:paraId="33F634D9">
      <w:pPr>
        <w:autoSpaceDE w:val="0"/>
        <w:autoSpaceDN w:val="0"/>
        <w:adjustRightInd w:val="0"/>
        <w:snapToGrid w:val="0"/>
        <w:spacing w:line="360" w:lineRule="auto"/>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11. 保密义务</w:t>
      </w:r>
    </w:p>
    <w:p w14:paraId="6D7CF1A9">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中约定。</w:t>
      </w:r>
    </w:p>
    <w:p w14:paraId="07323CD0">
      <w:pPr>
        <w:autoSpaceDE w:val="0"/>
        <w:autoSpaceDN w:val="0"/>
        <w:adjustRightInd w:val="0"/>
        <w:snapToGrid w:val="0"/>
        <w:spacing w:line="360" w:lineRule="auto"/>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12. 合同价款支付</w:t>
      </w:r>
    </w:p>
    <w:p w14:paraId="70E91303">
      <w:pPr>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12.1 合同价款支付按照国库集中支付制度及财政管理相关规定执行。</w:t>
      </w:r>
    </w:p>
    <w:p w14:paraId="112EA2F3">
      <w:pPr>
        <w:pStyle w:val="3"/>
        <w:spacing w:line="360" w:lineRule="auto"/>
        <w:ind w:firstLine="480" w:firstLineChars="200"/>
        <w:rPr>
          <w:rFonts w:ascii="宋体" w:hAnsi="宋体" w:eastAsia="宋体" w:cs="宋体"/>
          <w:sz w:val="24"/>
          <w:szCs w:val="24"/>
          <w:highlight w:val="none"/>
        </w:rPr>
      </w:pPr>
      <w:r>
        <w:rPr>
          <w:rFonts w:hint="eastAsia" w:ascii="宋体" w:hAnsi="宋体" w:eastAsia="宋体" w:cs="宋体"/>
          <w:b w:val="0"/>
          <w:bCs w:val="0"/>
          <w:sz w:val="24"/>
          <w:szCs w:val="24"/>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sz w:val="24"/>
          <w:szCs w:val="24"/>
          <w:highlight w:val="none"/>
        </w:rPr>
        <w:t>政府采购合同专用条款</w:t>
      </w:r>
      <w:r>
        <w:rPr>
          <w:rFonts w:hint="eastAsia" w:ascii="宋体" w:hAnsi="宋体" w:eastAsia="宋体" w:cs="宋体"/>
          <w:b w:val="0"/>
          <w:bCs w:val="0"/>
          <w:sz w:val="24"/>
          <w:szCs w:val="24"/>
          <w:highlight w:val="none"/>
        </w:rPr>
        <w:t>】中约定。</w:t>
      </w:r>
    </w:p>
    <w:p w14:paraId="4F077AF4">
      <w:pPr>
        <w:pStyle w:val="8"/>
        <w:spacing w:after="0" w:line="360" w:lineRule="auto"/>
        <w:rPr>
          <w:rFonts w:ascii="宋体" w:hAnsi="宋体" w:eastAsia="宋体" w:cs="宋体"/>
          <w:b/>
          <w:bCs/>
          <w:sz w:val="24"/>
          <w:highlight w:val="none"/>
        </w:rPr>
      </w:pPr>
      <w:r>
        <w:rPr>
          <w:rFonts w:hint="eastAsia" w:ascii="宋体" w:hAnsi="宋体" w:eastAsia="宋体" w:cs="宋体"/>
          <w:b/>
          <w:bCs/>
          <w:sz w:val="24"/>
          <w:highlight w:val="none"/>
        </w:rPr>
        <w:t>13.</w:t>
      </w:r>
      <w:r>
        <w:rPr>
          <w:rFonts w:hint="eastAsia" w:ascii="宋体" w:hAnsi="宋体" w:eastAsia="宋体" w:cs="宋体"/>
          <w:b/>
          <w:bCs/>
          <w:sz w:val="24"/>
          <w:highlight w:val="none"/>
          <w:lang w:val="en-US"/>
        </w:rPr>
        <w:t xml:space="preserve"> </w:t>
      </w:r>
      <w:r>
        <w:rPr>
          <w:rFonts w:hint="eastAsia" w:ascii="宋体" w:hAnsi="宋体" w:eastAsia="宋体" w:cs="宋体"/>
          <w:b/>
          <w:bCs/>
          <w:sz w:val="24"/>
          <w:highlight w:val="none"/>
        </w:rPr>
        <w:t>履约保证金</w:t>
      </w:r>
    </w:p>
    <w:p w14:paraId="0F788B31">
      <w:pPr>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13.1 乙方应当以支票、汇票、本票或者金融机构、担保机构出具的保函等非现金形式提交。</w:t>
      </w:r>
    </w:p>
    <w:p w14:paraId="04AFA86C">
      <w:pPr>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13.2 如果乙方出现</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559CB825">
      <w:pPr>
        <w:spacing w:line="360" w:lineRule="auto"/>
        <w:ind w:firstLine="420"/>
        <w:rPr>
          <w:rFonts w:ascii="宋体" w:hAnsi="宋体" w:eastAsia="宋体" w:cs="宋体"/>
          <w:sz w:val="24"/>
          <w:szCs w:val="24"/>
          <w:highlight w:val="none"/>
        </w:rPr>
      </w:pPr>
      <w:r>
        <w:rPr>
          <w:rFonts w:hint="eastAsia" w:ascii="宋体" w:hAnsi="宋体" w:eastAsia="宋体" w:cs="宋体"/>
          <w:sz w:val="24"/>
          <w:szCs w:val="24"/>
          <w:highlight w:val="none"/>
        </w:rPr>
        <w:t>13.3 甲方在项目通过验收后按照</w:t>
      </w:r>
      <w:r>
        <w:rPr>
          <w:rFonts w:hint="eastAsia" w:ascii="宋体" w:hAnsi="宋体" w:eastAsia="宋体" w:cs="宋体"/>
          <w:b/>
          <w:sz w:val="24"/>
          <w:szCs w:val="24"/>
          <w:highlight w:val="none"/>
        </w:rPr>
        <w:t>【政府采购合同专用条款】</w:t>
      </w:r>
      <w:r>
        <w:rPr>
          <w:rFonts w:hint="eastAsia" w:ascii="宋体" w:hAnsi="宋体" w:eastAsia="宋体" w:cs="宋体"/>
          <w:sz w:val="24"/>
          <w:szCs w:val="24"/>
          <w:highlight w:val="none"/>
        </w:rPr>
        <w:t>规定的时间内将履约保证金退还乙方；逾期退还的，乙方可要求甲方支付违约金，违约金按照</w:t>
      </w:r>
      <w:r>
        <w:rPr>
          <w:rFonts w:hint="eastAsia" w:ascii="宋体" w:hAnsi="宋体" w:eastAsia="宋体" w:cs="宋体"/>
          <w:b/>
          <w:sz w:val="24"/>
          <w:szCs w:val="24"/>
          <w:highlight w:val="none"/>
        </w:rPr>
        <w:t>【政府采购合同专用条款】</w:t>
      </w:r>
      <w:r>
        <w:rPr>
          <w:rFonts w:hint="eastAsia" w:ascii="宋体" w:hAnsi="宋体" w:eastAsia="宋体" w:cs="宋体"/>
          <w:sz w:val="24"/>
          <w:szCs w:val="24"/>
          <w:highlight w:val="none"/>
        </w:rPr>
        <w:t>规定支付。</w:t>
      </w:r>
    </w:p>
    <w:p w14:paraId="3469A2DC">
      <w:pPr>
        <w:autoSpaceDE w:val="0"/>
        <w:autoSpaceDN w:val="0"/>
        <w:adjustRightInd w:val="0"/>
        <w:snapToGrid w:val="0"/>
        <w:spacing w:line="360" w:lineRule="auto"/>
        <w:jc w:val="left"/>
        <w:rPr>
          <w:rFonts w:ascii="宋体" w:hAnsi="宋体" w:eastAsia="宋体" w:cs="宋体"/>
          <w:b/>
          <w:sz w:val="24"/>
          <w:szCs w:val="24"/>
          <w:highlight w:val="none"/>
        </w:rPr>
      </w:pPr>
      <w:r>
        <w:rPr>
          <w:rFonts w:hint="eastAsia" w:ascii="宋体" w:hAnsi="宋体" w:eastAsia="宋体" w:cs="宋体"/>
          <w:b/>
          <w:bCs/>
          <w:sz w:val="24"/>
          <w:szCs w:val="24"/>
          <w:highlight w:val="none"/>
        </w:rPr>
        <w:t xml:space="preserve">14. </w:t>
      </w:r>
      <w:r>
        <w:rPr>
          <w:rFonts w:hint="eastAsia" w:ascii="宋体" w:hAnsi="宋体" w:eastAsia="宋体" w:cs="宋体"/>
          <w:b/>
          <w:sz w:val="24"/>
          <w:szCs w:val="24"/>
          <w:highlight w:val="none"/>
        </w:rPr>
        <w:t>售后服务</w:t>
      </w:r>
    </w:p>
    <w:p w14:paraId="29D621B9">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14.1 除项目不涉及或采购活动中明确约定无须承担外，乙方还应提供下列服务：</w:t>
      </w:r>
    </w:p>
    <w:p w14:paraId="09ECF1DE">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（1）货物的现场移动、安装、调试、启动监督及技术支持；</w:t>
      </w:r>
    </w:p>
    <w:p w14:paraId="125D2281">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（2）提供货物组装和维修所需的专用工具和辅助材料；</w:t>
      </w:r>
    </w:p>
    <w:p w14:paraId="45A477AD">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（3）在</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约定的期限内对所有的货物实施运行监督、维修，但前提条件是该服务并不能免除乙方在质量保证期内所承担的义务；</w:t>
      </w:r>
    </w:p>
    <w:p w14:paraId="6D819DF7">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（4）在制造商所在地或指定现场就货物的安装、启动、运营、维护、废弃处置等对甲方操作人员进行培训；</w:t>
      </w:r>
    </w:p>
    <w:p w14:paraId="4312FC3F">
      <w:pPr>
        <w:pStyle w:val="73"/>
        <w:spacing w:line="360" w:lineRule="auto"/>
        <w:ind w:firstLine="480"/>
        <w:rPr>
          <w:rFonts w:ascii="宋体" w:hAnsi="宋体" w:eastAsia="宋体" w:cs="宋体"/>
          <w:sz w:val="24"/>
          <w:szCs w:val="24"/>
          <w:highlight w:val="none"/>
        </w:rPr>
      </w:pPr>
      <w:r>
        <w:rPr>
          <w:rFonts w:hint="eastAsia" w:ascii="宋体" w:hAnsi="宋体" w:eastAsia="宋体" w:cs="宋体"/>
          <w:sz w:val="24"/>
          <w:szCs w:val="24"/>
          <w:highlight w:val="none"/>
        </w:rPr>
        <w:t>（5）依照法律、行政法规的规定或者按照</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约定，货物在有效使用年限届满后应予回收的，乙方负有自行或者委托第三人对货物予以回收的义务；</w:t>
      </w:r>
    </w:p>
    <w:p w14:paraId="359143A6">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b/>
          <w:sz w:val="24"/>
          <w:szCs w:val="24"/>
          <w:highlight w:val="none"/>
        </w:rPr>
        <w:t>【政府采购合同专用条款】</w:t>
      </w:r>
      <w:r>
        <w:rPr>
          <w:rFonts w:hint="eastAsia" w:ascii="宋体" w:hAnsi="宋体" w:eastAsia="宋体" w:cs="宋体"/>
          <w:sz w:val="24"/>
          <w:szCs w:val="24"/>
          <w:highlight w:val="none"/>
        </w:rPr>
        <w:t>规定由乙方提供的其他服务。</w:t>
      </w:r>
    </w:p>
    <w:p w14:paraId="24BB5B68">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14.2 乙方提供的售后服务的费用已包含在合同价款中，甲方不再另行支付。</w:t>
      </w:r>
    </w:p>
    <w:p w14:paraId="6368F43F">
      <w:pPr>
        <w:adjustRightInd w:val="0"/>
        <w:snapToGrid w:val="0"/>
        <w:spacing w:line="360" w:lineRule="auto"/>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15. 违约责任</w:t>
      </w:r>
    </w:p>
    <w:p w14:paraId="6A8FC990">
      <w:pPr>
        <w:adjustRightInd w:val="0"/>
        <w:snapToGrid w:val="0"/>
        <w:spacing w:line="360" w:lineRule="auto"/>
        <w:ind w:firstLine="480" w:firstLineChars="200"/>
        <w:jc w:val="left"/>
        <w:rPr>
          <w:rFonts w:ascii="宋体" w:hAnsi="宋体" w:eastAsia="宋体" w:cs="宋体"/>
          <w:bCs/>
          <w:sz w:val="24"/>
          <w:szCs w:val="24"/>
          <w:highlight w:val="none"/>
        </w:rPr>
      </w:pPr>
      <w:r>
        <w:rPr>
          <w:rFonts w:hint="eastAsia" w:ascii="宋体" w:hAnsi="宋体" w:eastAsia="宋体" w:cs="宋体"/>
          <w:bCs/>
          <w:sz w:val="24"/>
          <w:szCs w:val="24"/>
          <w:highlight w:val="none"/>
        </w:rPr>
        <w:t>15.1质量瑕疵的违约责任</w:t>
      </w:r>
    </w:p>
    <w:p w14:paraId="5191BD6A">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乙方提供的产品不符合合同约定的质量标准或存在产品质量缺陷，甲方有权要求乙方根据</w:t>
      </w:r>
      <w:r>
        <w:rPr>
          <w:rFonts w:hint="eastAsia" w:ascii="宋体" w:hAnsi="宋体" w:eastAsia="宋体" w:cs="宋体"/>
          <w:b/>
          <w:sz w:val="24"/>
          <w:szCs w:val="24"/>
          <w:highlight w:val="none"/>
        </w:rPr>
        <w:t>【政府采购合同专用条款】</w:t>
      </w:r>
      <w:r>
        <w:rPr>
          <w:rFonts w:hint="eastAsia" w:ascii="宋体" w:hAnsi="宋体" w:eastAsia="宋体" w:cs="宋体"/>
          <w:bCs/>
          <w:sz w:val="24"/>
          <w:szCs w:val="24"/>
          <w:highlight w:val="none"/>
        </w:rPr>
        <w:t>要求</w:t>
      </w:r>
      <w:r>
        <w:rPr>
          <w:rFonts w:hint="eastAsia" w:ascii="宋体" w:hAnsi="宋体" w:eastAsia="宋体" w:cs="宋体"/>
          <w:sz w:val="24"/>
          <w:szCs w:val="24"/>
          <w:highlight w:val="none"/>
        </w:rPr>
        <w:t>及时修理、重作、更换，并承担由此给甲方造成的损失。</w:t>
      </w:r>
    </w:p>
    <w:p w14:paraId="48AC2CBB">
      <w:pPr>
        <w:autoSpaceDE w:val="0"/>
        <w:autoSpaceDN w:val="0"/>
        <w:adjustRightInd w:val="0"/>
        <w:snapToGrid w:val="0"/>
        <w:spacing w:line="360" w:lineRule="auto"/>
        <w:ind w:firstLine="480" w:firstLineChars="200"/>
        <w:jc w:val="left"/>
        <w:rPr>
          <w:rFonts w:ascii="宋体" w:hAnsi="宋体" w:eastAsia="宋体" w:cs="宋体"/>
          <w:bCs/>
          <w:sz w:val="24"/>
          <w:szCs w:val="24"/>
          <w:highlight w:val="none"/>
        </w:rPr>
      </w:pPr>
      <w:r>
        <w:rPr>
          <w:rFonts w:hint="eastAsia" w:ascii="宋体" w:hAnsi="宋体" w:eastAsia="宋体" w:cs="宋体"/>
          <w:bCs/>
          <w:sz w:val="24"/>
          <w:szCs w:val="24"/>
          <w:highlight w:val="none"/>
        </w:rPr>
        <w:t>15.2 迟延交货的违约责任</w:t>
      </w:r>
    </w:p>
    <w:p w14:paraId="06CB5906">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6C7BDF26">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（2）如果乙方没有按照合同规定的时间交货和提供相关服务，甲方有权从货款中扣除误期赔偿费而不影响合同项下的其他补救方法，赔偿费按</w:t>
      </w:r>
      <w:r>
        <w:rPr>
          <w:rFonts w:hint="eastAsia" w:ascii="宋体" w:hAnsi="宋体" w:eastAsia="宋体" w:cs="宋体"/>
          <w:b/>
          <w:sz w:val="24"/>
          <w:szCs w:val="24"/>
          <w:highlight w:val="none"/>
        </w:rPr>
        <w:t>【政府采购合同专用条款】</w:t>
      </w:r>
      <w:r>
        <w:rPr>
          <w:rFonts w:hint="eastAsia" w:ascii="宋体" w:hAnsi="宋体" w:eastAsia="宋体" w:cs="宋体"/>
          <w:sz w:val="24"/>
          <w:szCs w:val="24"/>
          <w:highlight w:val="none"/>
        </w:rPr>
        <w:t>规定执行。如果涉及公共利益，且赔偿金额无法弥补公共利益损失，甲方可要求继续履行或者采取其他补救措施。</w:t>
      </w:r>
    </w:p>
    <w:p w14:paraId="4624E985">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15.3 迟延支付的违约责任</w:t>
      </w:r>
    </w:p>
    <w:p w14:paraId="12F306CB">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甲方存在迟延支付乙方合同款项的，应当承担</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规定的逾期付款利息。</w:t>
      </w:r>
    </w:p>
    <w:p w14:paraId="4E903929">
      <w:pPr>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bCs/>
          <w:sz w:val="24"/>
          <w:szCs w:val="24"/>
          <w:highlight w:val="none"/>
        </w:rPr>
        <w:t>15.4其他违约责任根据项目实际需要按</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规定执行。</w:t>
      </w:r>
    </w:p>
    <w:p w14:paraId="638852CD">
      <w:pPr>
        <w:numPr>
          <w:ilvl w:val="0"/>
          <w:numId w:val="10"/>
        </w:numPr>
        <w:autoSpaceDE w:val="0"/>
        <w:autoSpaceDN w:val="0"/>
        <w:adjustRightInd w:val="0"/>
        <w:snapToGrid w:val="0"/>
        <w:spacing w:line="360" w:lineRule="auto"/>
        <w:jc w:val="left"/>
        <w:rPr>
          <w:rFonts w:ascii="宋体" w:hAnsi="宋体" w:eastAsia="宋体" w:cs="宋体"/>
          <w:b/>
          <w:sz w:val="24"/>
          <w:szCs w:val="24"/>
          <w:highlight w:val="none"/>
        </w:rPr>
      </w:pPr>
      <w:r>
        <w:rPr>
          <w:rFonts w:hint="eastAsia" w:ascii="宋体" w:hAnsi="宋体" w:eastAsia="宋体" w:cs="宋体"/>
          <w:b/>
          <w:sz w:val="24"/>
          <w:szCs w:val="24"/>
          <w:highlight w:val="none"/>
        </w:rPr>
        <w:t>合同变更、中止与终止</w:t>
      </w:r>
    </w:p>
    <w:p w14:paraId="18F987D9">
      <w:pPr>
        <w:adjustRightInd w:val="0"/>
        <w:snapToGrid w:val="0"/>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 xml:space="preserve">    16.1合同的变更</w:t>
      </w:r>
    </w:p>
    <w:p w14:paraId="1373F53D">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政府采购合同履行中，在不改变合同其他条款的前提下，甲方可以在合同价款10%的范围内追加与合同标的相同的货物，并就此与乙方协商一致后签订补充协议。</w:t>
      </w:r>
    </w:p>
    <w:p w14:paraId="3C1168DB">
      <w:pPr>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16.2合同的中止</w:t>
      </w:r>
    </w:p>
    <w:p w14:paraId="690384E6">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（1）合同履行过程中因供应商就采购文件、采购过程或结果提起投诉的，甲方认为有必要的，可以中止合同的履行。</w:t>
      </w:r>
    </w:p>
    <w:p w14:paraId="27A9B984">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208930C">
      <w:pPr>
        <w:pStyle w:val="73"/>
        <w:spacing w:line="360" w:lineRule="auto"/>
        <w:ind w:firstLine="480"/>
        <w:jc w:val="both"/>
        <w:rPr>
          <w:rFonts w:ascii="宋体" w:hAnsi="宋体" w:eastAsia="宋体" w:cs="宋体"/>
          <w:sz w:val="24"/>
          <w:szCs w:val="24"/>
          <w:highlight w:val="none"/>
        </w:rPr>
      </w:pPr>
      <w:r>
        <w:rPr>
          <w:rFonts w:hint="eastAsia" w:ascii="宋体" w:hAnsi="宋体" w:eastAsia="宋体" w:cs="宋体"/>
          <w:sz w:val="24"/>
          <w:szCs w:val="24"/>
          <w:highlight w:val="none"/>
        </w:rPr>
        <w:t>（3）乙方分立、合并或者变更住所的，应当及时以书面形式告知甲方。乙方没有及时告知甲方，致使合同履行发生困难的，甲方可以中止合同履行并要求乙方承担由此给甲方造成的损失。</w:t>
      </w:r>
    </w:p>
    <w:p w14:paraId="67920D54">
      <w:pPr>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（4）甲方不得以行政区划调整、政府换届、机构或者职能调整以及相关责任人更替为由中止合同。</w:t>
      </w:r>
    </w:p>
    <w:p w14:paraId="4689F691">
      <w:pPr>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16.3合同的终止</w:t>
      </w:r>
    </w:p>
    <w:p w14:paraId="174850D5">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（1）合同因有效期限届满而终止；</w:t>
      </w:r>
    </w:p>
    <w:p w14:paraId="43097D63">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（2）乙方未按合同约定履行，构成根本性违约的，甲方有权终止合同，并追究乙方的违约责任。</w:t>
      </w:r>
    </w:p>
    <w:p w14:paraId="224FE99E">
      <w:pPr>
        <w:pStyle w:val="73"/>
        <w:spacing w:line="360" w:lineRule="auto"/>
        <w:ind w:firstLine="480"/>
        <w:rPr>
          <w:rFonts w:ascii="宋体" w:hAnsi="宋体" w:eastAsia="宋体" w:cs="宋体"/>
          <w:sz w:val="24"/>
          <w:szCs w:val="24"/>
          <w:highlight w:val="none"/>
        </w:rPr>
      </w:pPr>
      <w:r>
        <w:rPr>
          <w:rFonts w:hint="eastAsia" w:ascii="宋体" w:hAnsi="宋体" w:eastAsia="宋体" w:cs="宋体"/>
          <w:sz w:val="24"/>
          <w:szCs w:val="24"/>
          <w:highlight w:val="none"/>
        </w:rPr>
        <w:t xml:space="preserve">16.4 </w:t>
      </w:r>
      <w:r>
        <w:rPr>
          <w:rFonts w:hint="eastAsia" w:ascii="宋体" w:hAnsi="宋体" w:eastAsia="宋体" w:cs="宋体"/>
          <w:kern w:val="2"/>
          <w:sz w:val="24"/>
          <w:szCs w:val="24"/>
          <w:highlight w:val="none"/>
        </w:rPr>
        <w:t>涉及国家利益、社会公共利益的情形</w:t>
      </w:r>
    </w:p>
    <w:p w14:paraId="251D37A9">
      <w:pPr>
        <w:pStyle w:val="73"/>
        <w:spacing w:line="360" w:lineRule="auto"/>
        <w:ind w:firstLine="480"/>
        <w:jc w:val="both"/>
        <w:rPr>
          <w:rFonts w:ascii="宋体" w:hAnsi="宋体" w:eastAsia="宋体" w:cs="宋体"/>
          <w:sz w:val="24"/>
          <w:szCs w:val="24"/>
          <w:highlight w:val="none"/>
        </w:rPr>
      </w:pPr>
      <w:r>
        <w:rPr>
          <w:rFonts w:hint="eastAsia" w:ascii="宋体" w:hAnsi="宋体" w:eastAsia="宋体" w:cs="宋体"/>
          <w:sz w:val="24"/>
          <w:szCs w:val="24"/>
          <w:highlight w:val="none"/>
        </w:rPr>
        <w:t>政府采购合同继续履行将损害国家利益和社会公共利益的，双方当事人应当变更、中止或者终止合同。有过错的一方应当承担赔偿责任，双方都有过错的，各自承担相应的责任。</w:t>
      </w:r>
    </w:p>
    <w:p w14:paraId="6A0A7B76">
      <w:pPr>
        <w:autoSpaceDE w:val="0"/>
        <w:autoSpaceDN w:val="0"/>
        <w:adjustRightInd w:val="0"/>
        <w:snapToGrid w:val="0"/>
        <w:spacing w:line="360" w:lineRule="auto"/>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17. 合同分包</w:t>
      </w:r>
    </w:p>
    <w:p w14:paraId="26F9B46F">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17.1 乙方不得将合同转包给其他供应商。涉及合同分包的，乙方应根据采购文件和投标（响应）文件规定进行合同分包。</w:t>
      </w:r>
    </w:p>
    <w:p w14:paraId="30B849A7">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17.2 乙方执行政府采购政策向中小企业依法分包的，乙方应当按采购文件和投标（响应）文件签订分包意向协议，分包意向协议属于本合同组成部分。</w:t>
      </w:r>
    </w:p>
    <w:p w14:paraId="7747D660">
      <w:pPr>
        <w:autoSpaceDE w:val="0"/>
        <w:autoSpaceDN w:val="0"/>
        <w:adjustRightInd w:val="0"/>
        <w:snapToGrid w:val="0"/>
        <w:spacing w:line="360" w:lineRule="auto"/>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18. 不可抗力</w:t>
      </w:r>
    </w:p>
    <w:p w14:paraId="368D2494">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18.1 不可抗力是指合同双方不能预见、不能避免且不能克服的客观情况。</w:t>
      </w:r>
    </w:p>
    <w:p w14:paraId="1F807316">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18.2 任何一方对由于不可抗力造成的部分或全部不能履行合同不承担违约责任。但迟延履行后发生不可抗力的，不能免除责任。</w:t>
      </w:r>
    </w:p>
    <w:p w14:paraId="63976514">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49C4310">
      <w:pPr>
        <w:autoSpaceDE w:val="0"/>
        <w:autoSpaceDN w:val="0"/>
        <w:adjustRightInd w:val="0"/>
        <w:snapToGrid w:val="0"/>
        <w:spacing w:line="360" w:lineRule="auto"/>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19. 解决争议的方法</w:t>
      </w:r>
    </w:p>
    <w:p w14:paraId="285B900A">
      <w:pPr>
        <w:pStyle w:val="73"/>
        <w:spacing w:line="360" w:lineRule="auto"/>
        <w:ind w:firstLine="480"/>
        <w:jc w:val="both"/>
        <w:rPr>
          <w:rFonts w:ascii="宋体" w:hAnsi="宋体" w:eastAsia="宋体" w:cs="宋体"/>
          <w:sz w:val="24"/>
          <w:szCs w:val="24"/>
          <w:highlight w:val="none"/>
        </w:rPr>
      </w:pPr>
      <w:r>
        <w:rPr>
          <w:rFonts w:hint="eastAsia" w:ascii="宋体" w:hAnsi="宋体" w:eastAsia="宋体" w:cs="宋体"/>
          <w:sz w:val="24"/>
          <w:szCs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378CEAF2">
      <w:pPr>
        <w:pStyle w:val="73"/>
        <w:spacing w:line="360" w:lineRule="auto"/>
        <w:ind w:firstLine="480"/>
        <w:jc w:val="both"/>
        <w:rPr>
          <w:rFonts w:ascii="宋体" w:hAnsi="宋体" w:eastAsia="宋体" w:cs="宋体"/>
          <w:sz w:val="24"/>
          <w:szCs w:val="24"/>
          <w:highlight w:val="none"/>
        </w:rPr>
      </w:pPr>
      <w:r>
        <w:rPr>
          <w:rFonts w:hint="eastAsia" w:ascii="宋体" w:hAnsi="宋体" w:eastAsia="宋体" w:cs="宋体"/>
          <w:sz w:val="24"/>
          <w:szCs w:val="24"/>
          <w:highlight w:val="none"/>
        </w:rPr>
        <w:t>19.2 选择仲裁的，应在</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中明确仲裁机构及仲裁地；通过诉讼方式解决的，可以在</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中进一步约定选择与争议有实际联系的地点的人民法院管辖，但管辖法院的约定不得违反级别管辖和专属管辖的规定。</w:t>
      </w:r>
    </w:p>
    <w:p w14:paraId="790C211F">
      <w:pPr>
        <w:pStyle w:val="73"/>
        <w:spacing w:line="360" w:lineRule="auto"/>
        <w:ind w:firstLine="480"/>
        <w:jc w:val="both"/>
        <w:rPr>
          <w:rFonts w:ascii="宋体" w:hAnsi="宋体" w:eastAsia="宋体" w:cs="宋体"/>
          <w:sz w:val="24"/>
          <w:szCs w:val="24"/>
          <w:highlight w:val="none"/>
        </w:rPr>
      </w:pPr>
      <w:r>
        <w:rPr>
          <w:rFonts w:hint="eastAsia" w:ascii="宋体" w:hAnsi="宋体" w:eastAsia="宋体" w:cs="宋体"/>
          <w:sz w:val="24"/>
          <w:szCs w:val="24"/>
          <w:highlight w:val="none"/>
        </w:rPr>
        <w:t>19.3 如甲乙双方有争议的事项不影响合同其他部分的履行，在争议解决期间，合同其他部分应当继续履行。</w:t>
      </w:r>
    </w:p>
    <w:p w14:paraId="1F9DC6D7">
      <w:pPr>
        <w:autoSpaceDE w:val="0"/>
        <w:autoSpaceDN w:val="0"/>
        <w:adjustRightInd w:val="0"/>
        <w:snapToGrid w:val="0"/>
        <w:spacing w:line="360" w:lineRule="auto"/>
        <w:jc w:val="left"/>
        <w:rPr>
          <w:rFonts w:ascii="宋体" w:hAnsi="宋体" w:eastAsia="宋体" w:cs="宋体"/>
          <w:sz w:val="24"/>
          <w:szCs w:val="24"/>
          <w:highlight w:val="none"/>
        </w:rPr>
      </w:pPr>
      <w:r>
        <w:rPr>
          <w:rFonts w:hint="eastAsia" w:ascii="宋体" w:hAnsi="宋体" w:eastAsia="宋体" w:cs="宋体"/>
          <w:b/>
          <w:sz w:val="24"/>
          <w:szCs w:val="24"/>
          <w:highlight w:val="none"/>
        </w:rPr>
        <w:t>20. 政府采购政策</w:t>
      </w:r>
    </w:p>
    <w:p w14:paraId="191A94E6">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 xml:space="preserve">20.1 </w:t>
      </w:r>
      <w:r>
        <w:rPr>
          <w:rFonts w:hint="eastAsia" w:ascii="宋体" w:hAnsi="宋体" w:eastAsia="宋体" w:cs="宋体"/>
          <w:sz w:val="24"/>
          <w:szCs w:val="24"/>
          <w:highlight w:val="none"/>
          <w:lang w:val="en-GB"/>
        </w:rPr>
        <w:t>本合同应当按照规定执行政府采购政策。</w:t>
      </w:r>
    </w:p>
    <w:p w14:paraId="6714B5FC">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20.2 本合同依法执行政府采购政策的方式和内容，属于合同履约验收的范围。甲乙双方</w:t>
      </w:r>
      <w:r>
        <w:rPr>
          <w:rFonts w:hint="eastAsia" w:ascii="宋体" w:hAnsi="宋体" w:eastAsia="宋体" w:cs="宋体"/>
          <w:sz w:val="24"/>
          <w:szCs w:val="24"/>
          <w:highlight w:val="none"/>
          <w:lang w:val="en-GB"/>
        </w:rPr>
        <w:t>未按规定要求执行政府采购政策造成损失的</w:t>
      </w:r>
      <w:r>
        <w:rPr>
          <w:rFonts w:hint="eastAsia" w:ascii="宋体" w:hAnsi="宋体" w:eastAsia="宋体" w:cs="宋体"/>
          <w:sz w:val="24"/>
          <w:szCs w:val="24"/>
          <w:highlight w:val="none"/>
        </w:rPr>
        <w:t>，有过错的一方应当承担赔偿责任，双方都有过错的，各自承担相应的责任。</w:t>
      </w:r>
    </w:p>
    <w:p w14:paraId="54ED2ADF">
      <w:pPr>
        <w:pStyle w:val="8"/>
        <w:spacing w:after="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rPr>
        <w:t>0</w:t>
      </w:r>
      <w:r>
        <w:rPr>
          <w:rFonts w:hint="eastAsia" w:ascii="宋体" w:hAnsi="宋体" w:eastAsia="宋体" w:cs="宋体"/>
          <w:sz w:val="24"/>
          <w:highlight w:val="none"/>
        </w:rPr>
        <w:t>.</w:t>
      </w:r>
      <w:r>
        <w:rPr>
          <w:rFonts w:hint="eastAsia" w:ascii="宋体" w:hAnsi="宋体" w:eastAsia="宋体" w:cs="宋体"/>
          <w:sz w:val="24"/>
          <w:highlight w:val="none"/>
          <w:lang w:val="en-US"/>
        </w:rPr>
        <w:t>3</w:t>
      </w:r>
      <w:r>
        <w:rPr>
          <w:rFonts w:hint="eastAsia" w:ascii="宋体" w:hAnsi="宋体" w:eastAsia="宋体" w:cs="宋体"/>
          <w:sz w:val="24"/>
          <w:highlight w:val="none"/>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BA3EB31">
      <w:pPr>
        <w:autoSpaceDE w:val="0"/>
        <w:autoSpaceDN w:val="0"/>
        <w:adjustRightInd w:val="0"/>
        <w:snapToGrid w:val="0"/>
        <w:spacing w:line="360" w:lineRule="auto"/>
        <w:jc w:val="left"/>
        <w:rPr>
          <w:rFonts w:ascii="宋体" w:hAnsi="宋体" w:eastAsia="宋体" w:cs="宋体"/>
          <w:b/>
          <w:sz w:val="24"/>
          <w:szCs w:val="24"/>
          <w:highlight w:val="none"/>
        </w:rPr>
      </w:pPr>
      <w:r>
        <w:rPr>
          <w:rFonts w:hint="eastAsia" w:ascii="宋体" w:hAnsi="宋体" w:eastAsia="宋体" w:cs="宋体"/>
          <w:b/>
          <w:sz w:val="24"/>
          <w:szCs w:val="24"/>
          <w:highlight w:val="none"/>
        </w:rPr>
        <w:t>21. 法律适用</w:t>
      </w:r>
    </w:p>
    <w:p w14:paraId="39879A8B">
      <w:pPr>
        <w:pStyle w:val="73"/>
        <w:spacing w:line="360" w:lineRule="auto"/>
        <w:ind w:firstLine="480"/>
        <w:jc w:val="both"/>
        <w:rPr>
          <w:rFonts w:ascii="宋体" w:hAnsi="宋体" w:eastAsia="宋体" w:cs="宋体"/>
          <w:sz w:val="24"/>
          <w:szCs w:val="24"/>
          <w:highlight w:val="none"/>
        </w:rPr>
      </w:pPr>
      <w:r>
        <w:rPr>
          <w:rFonts w:hint="eastAsia" w:ascii="宋体" w:hAnsi="宋体" w:eastAsia="宋体" w:cs="宋体"/>
          <w:sz w:val="24"/>
          <w:szCs w:val="24"/>
          <w:highlight w:val="none"/>
        </w:rPr>
        <w:t>21.1 本合同的订立、生效、解释、履行及与本合同有关的争议解决，均适用法律、行政法规。</w:t>
      </w:r>
    </w:p>
    <w:p w14:paraId="58C97B5C">
      <w:pPr>
        <w:pStyle w:val="73"/>
        <w:spacing w:line="360" w:lineRule="auto"/>
        <w:ind w:firstLine="480"/>
        <w:jc w:val="both"/>
        <w:rPr>
          <w:rFonts w:ascii="宋体" w:hAnsi="宋体" w:eastAsia="宋体" w:cs="宋体"/>
          <w:sz w:val="24"/>
          <w:szCs w:val="24"/>
          <w:highlight w:val="none"/>
        </w:rPr>
      </w:pPr>
      <w:r>
        <w:rPr>
          <w:rFonts w:hint="eastAsia" w:ascii="宋体" w:hAnsi="宋体" w:eastAsia="宋体" w:cs="宋体"/>
          <w:sz w:val="24"/>
          <w:szCs w:val="24"/>
          <w:highlight w:val="none"/>
        </w:rPr>
        <w:t>21.2 本合同条款与法律、行政法规的强制性规定不一致的，双方当事人应按照法律、行政法规的强制性规定修改本合同的相关条款。</w:t>
      </w:r>
    </w:p>
    <w:p w14:paraId="2451EADA">
      <w:pPr>
        <w:numPr>
          <w:ilvl w:val="255"/>
          <w:numId w:val="0"/>
        </w:numPr>
        <w:autoSpaceDE w:val="0"/>
        <w:autoSpaceDN w:val="0"/>
        <w:adjustRightInd w:val="0"/>
        <w:snapToGrid w:val="0"/>
        <w:spacing w:line="360" w:lineRule="auto"/>
        <w:jc w:val="left"/>
        <w:rPr>
          <w:rFonts w:ascii="宋体" w:hAnsi="宋体" w:eastAsia="宋体" w:cs="宋体"/>
          <w:b/>
          <w:sz w:val="24"/>
          <w:szCs w:val="24"/>
          <w:highlight w:val="none"/>
        </w:rPr>
      </w:pPr>
      <w:r>
        <w:rPr>
          <w:rFonts w:hint="eastAsia" w:ascii="宋体" w:hAnsi="宋体" w:eastAsia="宋体" w:cs="宋体"/>
          <w:b/>
          <w:sz w:val="24"/>
          <w:szCs w:val="24"/>
          <w:highlight w:val="none"/>
        </w:rPr>
        <w:t>22. 通知</w:t>
      </w:r>
    </w:p>
    <w:p w14:paraId="327D061F">
      <w:pPr>
        <w:pStyle w:val="73"/>
        <w:spacing w:line="360" w:lineRule="auto"/>
        <w:ind w:firstLine="480"/>
        <w:jc w:val="both"/>
        <w:rPr>
          <w:rFonts w:ascii="宋体" w:hAnsi="宋体" w:eastAsia="宋体" w:cs="宋体"/>
          <w:sz w:val="24"/>
          <w:szCs w:val="24"/>
          <w:highlight w:val="none"/>
        </w:rPr>
      </w:pPr>
      <w:r>
        <w:rPr>
          <w:rFonts w:hint="eastAsia" w:ascii="宋体" w:hAnsi="宋体" w:eastAsia="宋体" w:cs="宋体"/>
          <w:sz w:val="24"/>
          <w:szCs w:val="24"/>
          <w:highlight w:val="none"/>
        </w:rPr>
        <w:t>22.1 本合同任何一方向对方发出的通知、信件、数据电文等，应当发送至本合同第一部分《政府采购合同协议书》所约定的通讯地址、联系人、联系电话或电子邮箱。</w:t>
      </w:r>
    </w:p>
    <w:p w14:paraId="753AA4F0">
      <w:pPr>
        <w:pStyle w:val="73"/>
        <w:spacing w:line="360" w:lineRule="auto"/>
        <w:ind w:firstLine="0" w:firstLineChars="0"/>
        <w:jc w:val="both"/>
        <w:rPr>
          <w:rFonts w:ascii="宋体" w:hAnsi="宋体" w:eastAsia="宋体" w:cs="宋体"/>
          <w:sz w:val="24"/>
          <w:szCs w:val="24"/>
          <w:highlight w:val="none"/>
        </w:rPr>
      </w:pPr>
      <w:r>
        <w:rPr>
          <w:rFonts w:hint="eastAsia" w:ascii="宋体" w:hAnsi="宋体" w:eastAsia="宋体" w:cs="宋体"/>
          <w:sz w:val="24"/>
          <w:szCs w:val="24"/>
          <w:highlight w:val="none"/>
        </w:rPr>
        <w:t xml:space="preserve">    22.2 一方当事人变更名称、住所、联系人、联系电话或电子邮箱等信息的，应当在变更后3日内及时书面通知对方，对方实际收到变更通知前的送达仍为有效送达。</w:t>
      </w:r>
    </w:p>
    <w:p w14:paraId="0431EBE2">
      <w:pPr>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22.3本合同一方给另一方的通知均应采用书面形式，传真或快递送到本合同中规定的对方的地址和办理签收手续。</w:t>
      </w:r>
    </w:p>
    <w:p w14:paraId="19EAE1A9">
      <w:pPr>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22.4通知以送达之日或通知书中规定的生效之日起生效，两者中以较迟之日为准。</w:t>
      </w:r>
    </w:p>
    <w:p w14:paraId="1206D4CF">
      <w:pPr>
        <w:numPr>
          <w:ilvl w:val="0"/>
          <w:numId w:val="11"/>
        </w:numPr>
        <w:adjustRightInd w:val="0"/>
        <w:snapToGrid w:val="0"/>
        <w:spacing w:line="360" w:lineRule="auto"/>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合同未尽事项</w:t>
      </w:r>
    </w:p>
    <w:p w14:paraId="4E338A31">
      <w:pPr>
        <w:adjustRightInd w:val="0"/>
        <w:snapToGrid w:val="0"/>
        <w:spacing w:line="360" w:lineRule="auto"/>
        <w:ind w:firstLine="480" w:firstLineChars="200"/>
        <w:jc w:val="left"/>
        <w:rPr>
          <w:rFonts w:ascii="宋体" w:hAnsi="宋体" w:eastAsia="宋体" w:cs="宋体"/>
          <w:bCs/>
          <w:sz w:val="24"/>
          <w:szCs w:val="24"/>
          <w:highlight w:val="none"/>
        </w:rPr>
      </w:pPr>
      <w:r>
        <w:rPr>
          <w:rFonts w:hint="eastAsia" w:ascii="宋体" w:hAnsi="宋体" w:eastAsia="宋体" w:cs="宋体"/>
          <w:bCs/>
          <w:sz w:val="24"/>
          <w:szCs w:val="24"/>
          <w:highlight w:val="none"/>
        </w:rPr>
        <w:t>23.1合同未尽事项见</w:t>
      </w:r>
      <w:r>
        <w:rPr>
          <w:rFonts w:hint="eastAsia" w:ascii="宋体" w:hAnsi="宋体" w:eastAsia="宋体" w:cs="宋体"/>
          <w:b/>
          <w:sz w:val="24"/>
          <w:szCs w:val="24"/>
          <w:highlight w:val="none"/>
        </w:rPr>
        <w:t>【政府采购合同专用条款】</w:t>
      </w:r>
      <w:r>
        <w:rPr>
          <w:rFonts w:hint="eastAsia" w:ascii="宋体" w:hAnsi="宋体" w:eastAsia="宋体" w:cs="宋体"/>
          <w:bCs/>
          <w:sz w:val="24"/>
          <w:szCs w:val="24"/>
          <w:highlight w:val="none"/>
        </w:rPr>
        <w:t>。</w:t>
      </w:r>
    </w:p>
    <w:p w14:paraId="79D08A93">
      <w:pPr>
        <w:adjustRightInd w:val="0"/>
        <w:snapToGrid w:val="0"/>
        <w:spacing w:line="360" w:lineRule="auto"/>
        <w:jc w:val="left"/>
        <w:rPr>
          <w:rFonts w:ascii="宋体" w:hAnsi="宋体" w:eastAsia="宋体" w:cs="宋体"/>
          <w:sz w:val="24"/>
          <w:szCs w:val="24"/>
          <w:highlight w:val="none"/>
        </w:rPr>
      </w:pPr>
      <w:r>
        <w:rPr>
          <w:rFonts w:hint="eastAsia" w:ascii="宋体" w:hAnsi="宋体" w:eastAsia="宋体" w:cs="宋体"/>
          <w:bCs/>
          <w:sz w:val="24"/>
          <w:szCs w:val="24"/>
          <w:highlight w:val="none"/>
        </w:rPr>
        <w:t xml:space="preserve">    23.2 合同附件与合同正文具有同等的法律效力。</w:t>
      </w:r>
      <w:bookmarkStart w:id="48" w:name="_Toc20313"/>
    </w:p>
    <w:p w14:paraId="2B00063C">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br w:type="page"/>
      </w:r>
    </w:p>
    <w:p w14:paraId="70387122">
      <w:pPr>
        <w:pStyle w:val="3"/>
        <w:adjustRightInd w:val="0"/>
        <w:snapToGrid w:val="0"/>
        <w:spacing w:before="156" w:beforeLines="50" w:line="360" w:lineRule="auto"/>
        <w:jc w:val="center"/>
        <w:rPr>
          <w:rFonts w:cs="@仿宋_GB2312" w:asciiTheme="minorEastAsia" w:hAnsiTheme="minorEastAsia" w:eastAsiaTheme="minorEastAsia"/>
          <w:bCs w:val="0"/>
          <w:sz w:val="24"/>
          <w:szCs w:val="20"/>
          <w:highlight w:val="none"/>
        </w:rPr>
      </w:pPr>
      <w:r>
        <w:rPr>
          <w:rFonts w:hint="eastAsia" w:cs="@仿宋_GB2312" w:asciiTheme="minorEastAsia" w:hAnsiTheme="minorEastAsia" w:eastAsiaTheme="minorEastAsia"/>
          <w:bCs w:val="0"/>
          <w:sz w:val="24"/>
          <w:szCs w:val="20"/>
          <w:highlight w:val="none"/>
        </w:rPr>
        <w:t xml:space="preserve">第三节 </w:t>
      </w:r>
      <w:bookmarkEnd w:id="48"/>
      <w:r>
        <w:rPr>
          <w:rFonts w:hint="eastAsia" w:cs="@仿宋_GB2312" w:asciiTheme="minorEastAsia" w:hAnsiTheme="minorEastAsia" w:eastAsiaTheme="minorEastAsia"/>
          <w:bCs w:val="0"/>
          <w:sz w:val="24"/>
          <w:szCs w:val="20"/>
          <w:highlight w:val="none"/>
        </w:rPr>
        <w:t>政府采购合同专用条款</w:t>
      </w:r>
    </w:p>
    <w:tbl>
      <w:tblPr>
        <w:tblStyle w:val="2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7A8249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A978230">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第二节</w:t>
            </w:r>
          </w:p>
          <w:p w14:paraId="63DB6DB1">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第1.2（6）项</w:t>
            </w:r>
          </w:p>
        </w:tc>
        <w:tc>
          <w:tcPr>
            <w:tcW w:w="1742" w:type="dxa"/>
            <w:vAlign w:val="center"/>
          </w:tcPr>
          <w:p w14:paraId="60E00358">
            <w:pPr>
              <w:adjustRightInd w:val="0"/>
              <w:snapToGrid w:val="0"/>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联合体具体要求</w:t>
            </w:r>
          </w:p>
        </w:tc>
        <w:tc>
          <w:tcPr>
            <w:tcW w:w="5170" w:type="dxa"/>
            <w:vAlign w:val="center"/>
          </w:tcPr>
          <w:p w14:paraId="14CA3B85">
            <w:pPr>
              <w:adjustRightInd w:val="0"/>
              <w:snapToGrid w:val="0"/>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不接受联合体</w:t>
            </w:r>
          </w:p>
        </w:tc>
      </w:tr>
      <w:tr w14:paraId="596143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7A2C9521">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第二节</w:t>
            </w:r>
          </w:p>
          <w:p w14:paraId="1925F16D">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第1.2（7）项</w:t>
            </w:r>
          </w:p>
        </w:tc>
        <w:tc>
          <w:tcPr>
            <w:tcW w:w="1742" w:type="dxa"/>
            <w:vAlign w:val="center"/>
          </w:tcPr>
          <w:p w14:paraId="2AFC4135">
            <w:pPr>
              <w:adjustRightInd w:val="0"/>
              <w:snapToGrid w:val="0"/>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其他术语解释</w:t>
            </w:r>
          </w:p>
        </w:tc>
        <w:tc>
          <w:tcPr>
            <w:tcW w:w="5170" w:type="dxa"/>
            <w:vAlign w:val="center"/>
          </w:tcPr>
          <w:p w14:paraId="06C6109B">
            <w:pPr>
              <w:adjustRightInd w:val="0"/>
              <w:snapToGrid w:val="0"/>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条款不清晰或有歧义的，以采购人解释为准</w:t>
            </w:r>
          </w:p>
        </w:tc>
      </w:tr>
      <w:tr w14:paraId="69594B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1AE374C">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第二节</w:t>
            </w:r>
          </w:p>
          <w:p w14:paraId="23A8ADEF">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第4.4款</w:t>
            </w:r>
          </w:p>
        </w:tc>
        <w:tc>
          <w:tcPr>
            <w:tcW w:w="1742" w:type="dxa"/>
            <w:vAlign w:val="center"/>
          </w:tcPr>
          <w:p w14:paraId="773D94A9">
            <w:pPr>
              <w:adjustRightInd w:val="0"/>
              <w:snapToGrid w:val="0"/>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履约验收中甲方提出异议或作出说明的期限</w:t>
            </w:r>
          </w:p>
        </w:tc>
        <w:tc>
          <w:tcPr>
            <w:tcW w:w="5170" w:type="dxa"/>
            <w:vAlign w:val="center"/>
          </w:tcPr>
          <w:p w14:paraId="4B5B88FE">
            <w:pPr>
              <w:adjustRightInd w:val="0"/>
              <w:snapToGrid w:val="0"/>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1、验收标准：按本合同约定的技术质量要求作为验收标准。</w:t>
            </w:r>
          </w:p>
          <w:p w14:paraId="7BCB0A9A">
            <w:pPr>
              <w:adjustRightInd w:val="0"/>
              <w:snapToGrid w:val="0"/>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2、验收方法：甲方组织验收和出具验收结论。</w:t>
            </w:r>
          </w:p>
          <w:p w14:paraId="4D0ED577">
            <w:pPr>
              <w:adjustRightInd w:val="0"/>
              <w:snapToGrid w:val="0"/>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3、异议期限：如有质量异议，甲方在货到一个月内向乙方提出，乙方应在接到甲方异议的7天内做出书面答复，逾期则视为乙方同意甲方提出的异议和处理意见。</w:t>
            </w:r>
          </w:p>
        </w:tc>
      </w:tr>
      <w:tr w14:paraId="15CD6A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99110D8">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第二节</w:t>
            </w:r>
          </w:p>
          <w:p w14:paraId="0052A5E1">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第4.6款</w:t>
            </w:r>
          </w:p>
        </w:tc>
        <w:tc>
          <w:tcPr>
            <w:tcW w:w="1742" w:type="dxa"/>
            <w:vAlign w:val="center"/>
          </w:tcPr>
          <w:p w14:paraId="149D142A">
            <w:pPr>
              <w:adjustRightInd w:val="0"/>
              <w:snapToGrid w:val="0"/>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约定甲方承担的其他义务和责任</w:t>
            </w:r>
          </w:p>
        </w:tc>
        <w:tc>
          <w:tcPr>
            <w:tcW w:w="5170" w:type="dxa"/>
            <w:vAlign w:val="center"/>
          </w:tcPr>
          <w:p w14:paraId="6048A392">
            <w:pPr>
              <w:adjustRightInd w:val="0"/>
              <w:snapToGrid w:val="0"/>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w:t>
            </w:r>
          </w:p>
        </w:tc>
      </w:tr>
      <w:tr w14:paraId="437A0E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216B0A7">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第二节</w:t>
            </w:r>
          </w:p>
          <w:p w14:paraId="41F94B67">
            <w:pPr>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第5.4款</w:t>
            </w:r>
          </w:p>
        </w:tc>
        <w:tc>
          <w:tcPr>
            <w:tcW w:w="1742" w:type="dxa"/>
            <w:vAlign w:val="center"/>
          </w:tcPr>
          <w:p w14:paraId="2437EF08">
            <w:pPr>
              <w:adjustRightInd w:val="0"/>
              <w:snapToGrid w:val="0"/>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约定乙方承担的其他义务和责任</w:t>
            </w:r>
          </w:p>
        </w:tc>
        <w:tc>
          <w:tcPr>
            <w:tcW w:w="5170" w:type="dxa"/>
            <w:vAlign w:val="center"/>
          </w:tcPr>
          <w:p w14:paraId="3649105C">
            <w:pPr>
              <w:adjustRightInd w:val="0"/>
              <w:snapToGrid w:val="0"/>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1、合同签订时或设备开箱验收前，乙方提供购买原厂质保服务合同和发票等证明材料</w:t>
            </w:r>
          </w:p>
          <w:p w14:paraId="52E904F8">
            <w:pPr>
              <w:adjustRightInd w:val="0"/>
              <w:snapToGrid w:val="0"/>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2、货物验收时，如果甲方对货物的质量（如：可能是试用过的设备或旧设备）等存在疑问，甲方有权要求乙方邀请质量检测部门对该设备进行质量鉴定检测。如果乙方拒绝进行质量鉴定检测，甲方可认定该设备不符合要求。</w:t>
            </w:r>
          </w:p>
          <w:p w14:paraId="6CA9FE67">
            <w:pPr>
              <w:adjustRightInd w:val="0"/>
              <w:snapToGrid w:val="0"/>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3、乙方免费提供专用维修工具等，免费提供校准、检测和质量控制相关服务、备件清单等维修资料及技术规范，免费提供各维修模式密码。</w:t>
            </w:r>
          </w:p>
        </w:tc>
      </w:tr>
      <w:tr w14:paraId="1B1411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CA22789">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第二节</w:t>
            </w:r>
          </w:p>
          <w:p w14:paraId="41BCD6BC">
            <w:pPr>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第6.1款</w:t>
            </w:r>
          </w:p>
        </w:tc>
        <w:tc>
          <w:tcPr>
            <w:tcW w:w="1742" w:type="dxa"/>
            <w:vAlign w:val="center"/>
          </w:tcPr>
          <w:p w14:paraId="3812A3DF">
            <w:pPr>
              <w:adjustRightInd w:val="0"/>
              <w:snapToGrid w:val="0"/>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履行合同义务的顺序</w:t>
            </w:r>
          </w:p>
        </w:tc>
        <w:tc>
          <w:tcPr>
            <w:tcW w:w="5170" w:type="dxa"/>
            <w:vAlign w:val="center"/>
          </w:tcPr>
          <w:p w14:paraId="454BB306">
            <w:pPr>
              <w:adjustRightInd w:val="0"/>
              <w:snapToGrid w:val="0"/>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w:t>
            </w:r>
          </w:p>
        </w:tc>
      </w:tr>
      <w:tr w14:paraId="4C32E5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3F20A638">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第二节</w:t>
            </w:r>
          </w:p>
          <w:p w14:paraId="4C00B30C">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第7.1款</w:t>
            </w:r>
          </w:p>
        </w:tc>
        <w:tc>
          <w:tcPr>
            <w:tcW w:w="1742" w:type="dxa"/>
            <w:vAlign w:val="center"/>
          </w:tcPr>
          <w:p w14:paraId="7F2C74F8">
            <w:pPr>
              <w:adjustRightInd w:val="0"/>
              <w:snapToGrid w:val="0"/>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包装特殊要求</w:t>
            </w:r>
          </w:p>
        </w:tc>
        <w:tc>
          <w:tcPr>
            <w:tcW w:w="5170" w:type="dxa"/>
            <w:vAlign w:val="center"/>
          </w:tcPr>
          <w:p w14:paraId="17C7FFE4">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w:t>
            </w:r>
          </w:p>
        </w:tc>
      </w:tr>
      <w:tr w14:paraId="65EB78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5E126DBC">
            <w:pPr>
              <w:adjustRightInd w:val="0"/>
              <w:snapToGrid w:val="0"/>
              <w:spacing w:line="360" w:lineRule="auto"/>
              <w:jc w:val="center"/>
              <w:rPr>
                <w:rFonts w:ascii="宋体" w:hAnsi="宋体" w:eastAsia="宋体" w:cs="宋体"/>
                <w:sz w:val="24"/>
                <w:szCs w:val="24"/>
                <w:highlight w:val="none"/>
              </w:rPr>
            </w:pPr>
          </w:p>
        </w:tc>
        <w:tc>
          <w:tcPr>
            <w:tcW w:w="1742" w:type="dxa"/>
            <w:vAlign w:val="center"/>
          </w:tcPr>
          <w:p w14:paraId="7A79C05E">
            <w:pPr>
              <w:adjustRightInd w:val="0"/>
              <w:snapToGrid w:val="0"/>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指定现场</w:t>
            </w:r>
          </w:p>
        </w:tc>
        <w:tc>
          <w:tcPr>
            <w:tcW w:w="5170" w:type="dxa"/>
            <w:vAlign w:val="center"/>
          </w:tcPr>
          <w:p w14:paraId="447016DD">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w:t>
            </w:r>
          </w:p>
        </w:tc>
      </w:tr>
      <w:tr w14:paraId="497BDB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04E1D838">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第二节</w:t>
            </w:r>
          </w:p>
          <w:p w14:paraId="38E49809">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第7.2款</w:t>
            </w:r>
          </w:p>
        </w:tc>
        <w:tc>
          <w:tcPr>
            <w:tcW w:w="1742" w:type="dxa"/>
            <w:vAlign w:val="center"/>
          </w:tcPr>
          <w:p w14:paraId="6B295362">
            <w:pPr>
              <w:adjustRightInd w:val="0"/>
              <w:snapToGrid w:val="0"/>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运输特殊要求</w:t>
            </w:r>
          </w:p>
        </w:tc>
        <w:tc>
          <w:tcPr>
            <w:tcW w:w="5170" w:type="dxa"/>
            <w:vAlign w:val="center"/>
          </w:tcPr>
          <w:p w14:paraId="6668D6CD">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w:t>
            </w:r>
          </w:p>
        </w:tc>
      </w:tr>
      <w:tr w14:paraId="120ADE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047C2B7E">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第二节</w:t>
            </w:r>
          </w:p>
          <w:p w14:paraId="4247FAE3">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第7.3款</w:t>
            </w:r>
          </w:p>
        </w:tc>
        <w:tc>
          <w:tcPr>
            <w:tcW w:w="1742" w:type="dxa"/>
            <w:vAlign w:val="center"/>
          </w:tcPr>
          <w:p w14:paraId="5BED265E">
            <w:pPr>
              <w:adjustRightInd w:val="0"/>
              <w:snapToGrid w:val="0"/>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保险要求</w:t>
            </w:r>
          </w:p>
        </w:tc>
        <w:tc>
          <w:tcPr>
            <w:tcW w:w="5170" w:type="dxa"/>
            <w:vAlign w:val="center"/>
          </w:tcPr>
          <w:p w14:paraId="6237136A">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w:t>
            </w:r>
          </w:p>
        </w:tc>
      </w:tr>
      <w:tr w14:paraId="4CFCE9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79DA654">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第二节</w:t>
            </w:r>
          </w:p>
          <w:p w14:paraId="04E95CE9">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第8.2（1）项</w:t>
            </w:r>
          </w:p>
        </w:tc>
        <w:tc>
          <w:tcPr>
            <w:tcW w:w="1742" w:type="dxa"/>
            <w:vAlign w:val="center"/>
          </w:tcPr>
          <w:p w14:paraId="7880DF22">
            <w:pPr>
              <w:adjustRightInd w:val="0"/>
              <w:snapToGrid w:val="0"/>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质量保证期</w:t>
            </w:r>
          </w:p>
        </w:tc>
        <w:tc>
          <w:tcPr>
            <w:tcW w:w="5170" w:type="dxa"/>
            <w:vAlign w:val="center"/>
          </w:tcPr>
          <w:p w14:paraId="33B060EF">
            <w:pPr>
              <w:adjustRightInd w:val="0"/>
              <w:snapToGrid w:val="0"/>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1、设备符合产品注册标准、国家强制性标准、国家法律法规规定的标准、招投标文件所要求的技术标准。</w:t>
            </w:r>
          </w:p>
          <w:p w14:paraId="4A99C49F">
            <w:pPr>
              <w:adjustRightInd w:val="0"/>
              <w:snapToGrid w:val="0"/>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2、保证是原产地生产的原装全新产品，设备出厂日期为近1年内，否则按退货处理。</w:t>
            </w:r>
          </w:p>
          <w:p w14:paraId="1EF06AA4">
            <w:pPr>
              <w:adjustRightInd w:val="0"/>
              <w:snapToGrid w:val="0"/>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3、如因乙方设备原因导致甲方损失，乙方承担全部责任并赔偿甲方全部损失。</w:t>
            </w:r>
          </w:p>
          <w:p w14:paraId="2563B898">
            <w:pPr>
              <w:autoSpaceDE w:val="0"/>
              <w:autoSpaceDN w:val="0"/>
              <w:adjustRightInd w:val="0"/>
              <w:snapToGrid w:val="0"/>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4、乙方提供设备整机保修期</w:t>
            </w:r>
            <w:r>
              <w:rPr>
                <w:rFonts w:hint="eastAsia" w:ascii="宋体" w:hAnsi="宋体" w:eastAsia="宋体" w:cs="宋体"/>
                <w:sz w:val="24"/>
                <w:szCs w:val="24"/>
                <w:highlight w:val="none"/>
                <w:u w:val="single"/>
              </w:rPr>
              <w:t xml:space="preserve"> XX </w:t>
            </w:r>
            <w:r>
              <w:rPr>
                <w:rFonts w:hint="eastAsia" w:ascii="宋体" w:hAnsi="宋体" w:eastAsia="宋体" w:cs="宋体"/>
                <w:sz w:val="24"/>
                <w:szCs w:val="24"/>
                <w:highlight w:val="none"/>
              </w:rPr>
              <w:t xml:space="preserve"> 个月（含所有配件，除_________外），人为因素破坏的除外。保修期自双方签署验收文件之日起计算，保修期内免零配件费、工时费等为维修设备而发生的一切费用。</w:t>
            </w:r>
          </w:p>
        </w:tc>
      </w:tr>
      <w:tr w14:paraId="116415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E215C27">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第二节</w:t>
            </w:r>
          </w:p>
          <w:p w14:paraId="2946A7AA">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第8.2（3）项</w:t>
            </w:r>
          </w:p>
        </w:tc>
        <w:tc>
          <w:tcPr>
            <w:tcW w:w="1742" w:type="dxa"/>
            <w:vAlign w:val="center"/>
          </w:tcPr>
          <w:p w14:paraId="63E768DD">
            <w:pPr>
              <w:adjustRightInd w:val="0"/>
              <w:snapToGrid w:val="0"/>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货物质量缺陷</w:t>
            </w:r>
          </w:p>
          <w:p w14:paraId="1A84B646">
            <w:pPr>
              <w:adjustRightInd w:val="0"/>
              <w:snapToGrid w:val="0"/>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响应时间</w:t>
            </w:r>
          </w:p>
        </w:tc>
        <w:tc>
          <w:tcPr>
            <w:tcW w:w="5170" w:type="dxa"/>
            <w:vAlign w:val="center"/>
          </w:tcPr>
          <w:p w14:paraId="13104343">
            <w:pPr>
              <w:spacing w:line="360" w:lineRule="exact"/>
              <w:rPr>
                <w:rFonts w:ascii="宋体" w:hAnsi="宋体" w:eastAsia="宋体" w:cs="宋体"/>
                <w:sz w:val="24"/>
                <w:szCs w:val="24"/>
                <w:highlight w:val="none"/>
              </w:rPr>
            </w:pPr>
            <w:r>
              <w:rPr>
                <w:rFonts w:hint="eastAsia" w:ascii="宋体" w:hAnsi="宋体" w:eastAsia="宋体" w:cs="宋体"/>
                <w:sz w:val="24"/>
                <w:szCs w:val="24"/>
                <w:highlight w:val="none"/>
              </w:rPr>
              <w:t>1、乙方在保修期内应确保开机率95%以上，即每年故障和维修时间少于18天，如超过，则按照1:5顺延保修时间。</w:t>
            </w:r>
          </w:p>
          <w:p w14:paraId="38D9B06C">
            <w:pPr>
              <w:spacing w:line="360" w:lineRule="exact"/>
              <w:rPr>
                <w:rFonts w:ascii="宋体" w:hAnsi="宋体" w:eastAsia="宋体" w:cs="宋体"/>
                <w:sz w:val="24"/>
                <w:szCs w:val="24"/>
                <w:highlight w:val="none"/>
              </w:rPr>
            </w:pPr>
            <w:r>
              <w:rPr>
                <w:rFonts w:hint="eastAsia" w:ascii="宋体" w:hAnsi="宋体" w:eastAsia="宋体" w:cs="宋体"/>
                <w:sz w:val="24"/>
                <w:szCs w:val="24"/>
                <w:highlight w:val="none"/>
              </w:rPr>
              <w:t>2、保修期内维修响应时间2小时，到现场时间24小时。</w:t>
            </w:r>
          </w:p>
          <w:p w14:paraId="71235C29">
            <w:pPr>
              <w:spacing w:line="360" w:lineRule="exact"/>
              <w:rPr>
                <w:rFonts w:ascii="宋体" w:hAnsi="宋体" w:eastAsia="宋体" w:cs="宋体"/>
                <w:sz w:val="24"/>
                <w:szCs w:val="24"/>
                <w:highlight w:val="none"/>
              </w:rPr>
            </w:pPr>
            <w:r>
              <w:rPr>
                <w:rFonts w:hint="eastAsia" w:ascii="宋体" w:hAnsi="宋体" w:eastAsia="宋体" w:cs="宋体"/>
                <w:sz w:val="24"/>
                <w:szCs w:val="24"/>
                <w:highlight w:val="none"/>
              </w:rPr>
              <w:t>3、该设备具备与信息系统互联功能的（如：PACS、LIST、手术麻醉系统接口等），必须免费开放所有接口功能，按我院信息科相关要求确保信息安全等。</w:t>
            </w:r>
          </w:p>
        </w:tc>
      </w:tr>
      <w:tr w14:paraId="10F943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DB2D0BA">
            <w:pPr>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第二节</w:t>
            </w:r>
          </w:p>
          <w:p w14:paraId="4442A585">
            <w:pPr>
              <w:pStyle w:val="73"/>
              <w:spacing w:line="360" w:lineRule="auto"/>
              <w:ind w:firstLine="0" w:firstLineChars="0"/>
              <w:jc w:val="center"/>
              <w:rPr>
                <w:rFonts w:ascii="宋体" w:hAnsi="宋体" w:eastAsia="宋体" w:cs="宋体"/>
                <w:sz w:val="24"/>
                <w:szCs w:val="24"/>
                <w:highlight w:val="none"/>
              </w:rPr>
            </w:pPr>
            <w:r>
              <w:rPr>
                <w:rFonts w:hint="eastAsia" w:ascii="宋体" w:hAnsi="宋体" w:eastAsia="宋体" w:cs="宋体"/>
                <w:sz w:val="24"/>
                <w:szCs w:val="24"/>
                <w:highlight w:val="none"/>
              </w:rPr>
              <w:t>第11.1款</w:t>
            </w:r>
          </w:p>
        </w:tc>
        <w:tc>
          <w:tcPr>
            <w:tcW w:w="1742" w:type="dxa"/>
            <w:vAlign w:val="center"/>
          </w:tcPr>
          <w:p w14:paraId="0E2F5CC9">
            <w:pPr>
              <w:adjustRightInd w:val="0"/>
              <w:snapToGrid w:val="0"/>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其他应当保密的信息</w:t>
            </w:r>
          </w:p>
        </w:tc>
        <w:tc>
          <w:tcPr>
            <w:tcW w:w="5170" w:type="dxa"/>
            <w:vAlign w:val="center"/>
          </w:tcPr>
          <w:p w14:paraId="4483BBA1">
            <w:pPr>
              <w:adjustRightInd w:val="0"/>
              <w:snapToGrid w:val="0"/>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w:t>
            </w:r>
          </w:p>
        </w:tc>
      </w:tr>
      <w:tr w14:paraId="307B46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F710C24">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第二节</w:t>
            </w:r>
          </w:p>
          <w:p w14:paraId="4887FE61">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第12.2款</w:t>
            </w:r>
          </w:p>
        </w:tc>
        <w:tc>
          <w:tcPr>
            <w:tcW w:w="1742" w:type="dxa"/>
            <w:vAlign w:val="center"/>
          </w:tcPr>
          <w:p w14:paraId="779F2C59">
            <w:pPr>
              <w:adjustRightInd w:val="0"/>
              <w:snapToGrid w:val="0"/>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合同价款支付时间</w:t>
            </w:r>
          </w:p>
        </w:tc>
        <w:tc>
          <w:tcPr>
            <w:tcW w:w="5170" w:type="dxa"/>
            <w:vAlign w:val="center"/>
          </w:tcPr>
          <w:p w14:paraId="28291F15">
            <w:pPr>
              <w:adjustRightInd w:val="0"/>
              <w:snapToGrid w:val="0"/>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设备完成安装并验收合格开具全额发票后七个工作日内支付至合同总价的100%。</w:t>
            </w:r>
          </w:p>
        </w:tc>
      </w:tr>
      <w:tr w14:paraId="0B587B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62EE0F4">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第二节</w:t>
            </w:r>
          </w:p>
          <w:p w14:paraId="0F9A2DE1">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第13.2款</w:t>
            </w:r>
          </w:p>
        </w:tc>
        <w:tc>
          <w:tcPr>
            <w:tcW w:w="1742" w:type="dxa"/>
            <w:vAlign w:val="center"/>
          </w:tcPr>
          <w:p w14:paraId="6696D05C">
            <w:pPr>
              <w:adjustRightInd w:val="0"/>
              <w:snapToGrid w:val="0"/>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履约保证金不予退还的情形</w:t>
            </w:r>
          </w:p>
        </w:tc>
        <w:tc>
          <w:tcPr>
            <w:tcW w:w="5170" w:type="dxa"/>
            <w:vAlign w:val="center"/>
          </w:tcPr>
          <w:p w14:paraId="1381498F">
            <w:pPr>
              <w:spacing w:line="360" w:lineRule="exact"/>
              <w:rPr>
                <w:rFonts w:ascii="宋体" w:hAnsi="宋体" w:eastAsia="宋体" w:cs="宋体"/>
                <w:sz w:val="24"/>
                <w:szCs w:val="24"/>
                <w:highlight w:val="none"/>
              </w:rPr>
            </w:pPr>
            <w:r>
              <w:rPr>
                <w:rFonts w:hint="eastAsia" w:ascii="宋体" w:hAnsi="宋体" w:eastAsia="宋体" w:cs="宋体"/>
                <w:sz w:val="24"/>
                <w:szCs w:val="24"/>
                <w:highlight w:val="none"/>
              </w:rPr>
              <w:t>如乙方未能按期履行合同，甲方有权扣除合同履约保证金。</w:t>
            </w:r>
          </w:p>
        </w:tc>
      </w:tr>
      <w:tr w14:paraId="074392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CAD362">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第二节</w:t>
            </w:r>
          </w:p>
          <w:p w14:paraId="5F3A0F7C">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第13.3款</w:t>
            </w:r>
          </w:p>
        </w:tc>
        <w:tc>
          <w:tcPr>
            <w:tcW w:w="1742" w:type="dxa"/>
            <w:vAlign w:val="center"/>
          </w:tcPr>
          <w:p w14:paraId="61DD561D">
            <w:pPr>
              <w:adjustRightInd w:val="0"/>
              <w:snapToGrid w:val="0"/>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履约保证金退还时间及逾期退还的违约金</w:t>
            </w:r>
          </w:p>
        </w:tc>
        <w:tc>
          <w:tcPr>
            <w:tcW w:w="5170" w:type="dxa"/>
            <w:vAlign w:val="center"/>
          </w:tcPr>
          <w:p w14:paraId="5C1983AF">
            <w:pPr>
              <w:adjustRightInd w:val="0"/>
              <w:snapToGrid w:val="0"/>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项目验收结束后退还。</w:t>
            </w:r>
          </w:p>
        </w:tc>
      </w:tr>
      <w:tr w14:paraId="6174BA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5AA8BCD">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第二节</w:t>
            </w:r>
          </w:p>
          <w:p w14:paraId="026988E1">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第14.1（3）项</w:t>
            </w:r>
          </w:p>
        </w:tc>
        <w:tc>
          <w:tcPr>
            <w:tcW w:w="1742" w:type="dxa"/>
            <w:vAlign w:val="center"/>
          </w:tcPr>
          <w:p w14:paraId="1C509D2B">
            <w:pPr>
              <w:adjustRightInd w:val="0"/>
              <w:snapToGrid w:val="0"/>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运行监督、维修期限</w:t>
            </w:r>
          </w:p>
        </w:tc>
        <w:tc>
          <w:tcPr>
            <w:tcW w:w="5170" w:type="dxa"/>
            <w:vAlign w:val="center"/>
          </w:tcPr>
          <w:p w14:paraId="5F2D05F1">
            <w:pPr>
              <w:adjustRightInd w:val="0"/>
              <w:snapToGrid w:val="0"/>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w:t>
            </w:r>
          </w:p>
        </w:tc>
      </w:tr>
      <w:tr w14:paraId="1D3FEA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E279517">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第二节</w:t>
            </w:r>
          </w:p>
          <w:p w14:paraId="16F5D8C5">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第14.1（5）项</w:t>
            </w:r>
          </w:p>
        </w:tc>
        <w:tc>
          <w:tcPr>
            <w:tcW w:w="1742" w:type="dxa"/>
            <w:vAlign w:val="center"/>
          </w:tcPr>
          <w:p w14:paraId="4BC8F930">
            <w:pPr>
              <w:adjustRightInd w:val="0"/>
              <w:snapToGrid w:val="0"/>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货物回收的约定</w:t>
            </w:r>
          </w:p>
        </w:tc>
        <w:tc>
          <w:tcPr>
            <w:tcW w:w="5170" w:type="dxa"/>
            <w:vAlign w:val="center"/>
          </w:tcPr>
          <w:p w14:paraId="650FEED8">
            <w:pPr>
              <w:adjustRightInd w:val="0"/>
              <w:snapToGrid w:val="0"/>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w:t>
            </w:r>
          </w:p>
        </w:tc>
      </w:tr>
      <w:tr w14:paraId="5DD44F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253A1AA">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第二节</w:t>
            </w:r>
          </w:p>
          <w:p w14:paraId="20FD15BD">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第14.1（6）项</w:t>
            </w:r>
          </w:p>
        </w:tc>
        <w:tc>
          <w:tcPr>
            <w:tcW w:w="1742" w:type="dxa"/>
            <w:vAlign w:val="center"/>
          </w:tcPr>
          <w:p w14:paraId="55AA6813">
            <w:pPr>
              <w:adjustRightInd w:val="0"/>
              <w:snapToGrid w:val="0"/>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乙方提供的其他服务</w:t>
            </w:r>
          </w:p>
        </w:tc>
        <w:tc>
          <w:tcPr>
            <w:tcW w:w="5170" w:type="dxa"/>
            <w:vAlign w:val="center"/>
          </w:tcPr>
          <w:p w14:paraId="1823A653">
            <w:pPr>
              <w:spacing w:line="340" w:lineRule="exact"/>
              <w:rPr>
                <w:rFonts w:ascii="宋体" w:hAnsi="宋体" w:eastAsia="宋体" w:cs="宋体"/>
                <w:sz w:val="24"/>
                <w:szCs w:val="24"/>
                <w:highlight w:val="none"/>
              </w:rPr>
            </w:pPr>
            <w:r>
              <w:rPr>
                <w:rFonts w:hint="eastAsia" w:ascii="宋体" w:hAnsi="宋体" w:eastAsia="宋体" w:cs="宋体"/>
                <w:sz w:val="24"/>
                <w:szCs w:val="24"/>
                <w:highlight w:val="none"/>
              </w:rPr>
              <w:t>1、乙方负责免费培训设备使用和维修有关人员等并且提供相关培训资料，现场使用操作培训和定点医院培训均不少于2人次，直至甲方操作人员对设备的软硬件均能正确熟练使用；厂方免费专业维修培训不少于1人次。培训范围：设备原理、临床应用、操作、维修保养、清洗消毒等。</w:t>
            </w:r>
          </w:p>
          <w:p w14:paraId="1ADD87BB">
            <w:pPr>
              <w:spacing w:line="340" w:lineRule="exact"/>
              <w:rPr>
                <w:rFonts w:ascii="宋体" w:hAnsi="宋体" w:eastAsia="宋体" w:cs="宋体"/>
                <w:sz w:val="24"/>
                <w:szCs w:val="24"/>
                <w:highlight w:val="none"/>
              </w:rPr>
            </w:pPr>
            <w:r>
              <w:rPr>
                <w:rFonts w:hint="eastAsia" w:ascii="宋体" w:hAnsi="宋体" w:eastAsia="宋体" w:cs="宋体"/>
                <w:sz w:val="24"/>
                <w:szCs w:val="24"/>
                <w:highlight w:val="none"/>
              </w:rPr>
              <w:t>2、乙方提供与该设备使用有关技术服务（如制定设备操作规程等）、学术和维修交流等。</w:t>
            </w:r>
          </w:p>
          <w:p w14:paraId="4E79932F">
            <w:pPr>
              <w:spacing w:line="340" w:lineRule="exact"/>
              <w:rPr>
                <w:rFonts w:ascii="宋体" w:hAnsi="宋体" w:eastAsia="宋体" w:cs="宋体"/>
                <w:sz w:val="24"/>
                <w:szCs w:val="24"/>
                <w:highlight w:val="none"/>
              </w:rPr>
            </w:pPr>
            <w:r>
              <w:rPr>
                <w:rFonts w:hint="eastAsia" w:ascii="宋体" w:hAnsi="宋体" w:eastAsia="宋体" w:cs="宋体"/>
                <w:sz w:val="24"/>
                <w:szCs w:val="24"/>
                <w:highlight w:val="none"/>
              </w:rPr>
              <w:t>3、乙方在销售过程中自觉抵制商业贿赂行为，禁止各种名义给予医疗机构、医疗系统工作人员回扣、提成等。</w:t>
            </w:r>
          </w:p>
        </w:tc>
      </w:tr>
      <w:tr w14:paraId="3280AE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062EE72">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第二节</w:t>
            </w:r>
          </w:p>
          <w:p w14:paraId="62E3B58C">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第15.1款</w:t>
            </w:r>
          </w:p>
        </w:tc>
        <w:tc>
          <w:tcPr>
            <w:tcW w:w="1742" w:type="dxa"/>
            <w:vAlign w:val="center"/>
          </w:tcPr>
          <w:p w14:paraId="5C477471">
            <w:pPr>
              <w:adjustRightInd w:val="0"/>
              <w:snapToGrid w:val="0"/>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修理、重作、更换相关具体规定</w:t>
            </w:r>
          </w:p>
        </w:tc>
        <w:tc>
          <w:tcPr>
            <w:tcW w:w="5170" w:type="dxa"/>
            <w:vAlign w:val="center"/>
          </w:tcPr>
          <w:p w14:paraId="62C02949">
            <w:pPr>
              <w:spacing w:line="340" w:lineRule="exact"/>
              <w:rPr>
                <w:rFonts w:ascii="宋体" w:hAnsi="宋体" w:eastAsia="宋体" w:cs="宋体"/>
                <w:sz w:val="24"/>
                <w:szCs w:val="24"/>
                <w:highlight w:val="none"/>
              </w:rPr>
            </w:pPr>
            <w:r>
              <w:rPr>
                <w:rFonts w:hint="eastAsia" w:ascii="宋体" w:hAnsi="宋体" w:eastAsia="宋体" w:cs="宋体"/>
                <w:iCs/>
                <w:sz w:val="24"/>
                <w:szCs w:val="24"/>
                <w:highlight w:val="none"/>
              </w:rPr>
              <w:t>乙方或设备生产厂家对医疗设备相关硬件、软件的安装、更新、升级、维修等必须通知医院医疗设备科。</w:t>
            </w:r>
          </w:p>
        </w:tc>
      </w:tr>
      <w:tr w14:paraId="35170A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EFCEE7C">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第二节</w:t>
            </w:r>
          </w:p>
          <w:p w14:paraId="0DE59AA5">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第15.2（2）项</w:t>
            </w:r>
          </w:p>
        </w:tc>
        <w:tc>
          <w:tcPr>
            <w:tcW w:w="1742" w:type="dxa"/>
            <w:vAlign w:val="center"/>
          </w:tcPr>
          <w:p w14:paraId="3D112A65">
            <w:pPr>
              <w:adjustRightInd w:val="0"/>
              <w:snapToGrid w:val="0"/>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迟延交货赔偿费</w:t>
            </w:r>
          </w:p>
        </w:tc>
        <w:tc>
          <w:tcPr>
            <w:tcW w:w="5170" w:type="dxa"/>
            <w:vAlign w:val="center"/>
          </w:tcPr>
          <w:p w14:paraId="4363F86A">
            <w:pPr>
              <w:spacing w:line="340" w:lineRule="exact"/>
              <w:rPr>
                <w:rFonts w:ascii="宋体" w:hAnsi="宋体" w:eastAsia="宋体" w:cs="Arial"/>
                <w:sz w:val="24"/>
                <w:szCs w:val="24"/>
                <w:highlight w:val="none"/>
              </w:rPr>
            </w:pPr>
            <w:r>
              <w:rPr>
                <w:rFonts w:hint="eastAsia" w:ascii="宋体" w:hAnsi="宋体" w:eastAsia="宋体" w:cs="Arial"/>
                <w:sz w:val="24"/>
                <w:szCs w:val="24"/>
                <w:highlight w:val="none"/>
              </w:rPr>
              <w:t>1、乙方所交货物品种、规格、质量等不符合国家法律法规和合同规定的，由乙方负责包换或退货，并承担换退货实际费用。两次交货不合格，甲方可以不经过乙方同意，立即解除合同。由此引起甲方损失及赔偿责任由乙方承担。</w:t>
            </w:r>
          </w:p>
          <w:p w14:paraId="4C1644E9">
            <w:pPr>
              <w:spacing w:line="360" w:lineRule="exact"/>
              <w:rPr>
                <w:rFonts w:ascii="宋体" w:hAnsi="宋体" w:eastAsia="宋体" w:cs="Arial"/>
                <w:sz w:val="24"/>
                <w:szCs w:val="24"/>
                <w:highlight w:val="none"/>
              </w:rPr>
            </w:pPr>
            <w:r>
              <w:rPr>
                <w:rFonts w:hint="eastAsia" w:ascii="宋体" w:hAnsi="宋体" w:eastAsia="宋体" w:cs="Arial"/>
                <w:sz w:val="24"/>
                <w:szCs w:val="24"/>
                <w:highlight w:val="none"/>
              </w:rPr>
              <w:t>2、货物整机或部分主要部件逾期交货超过30日，甲方可以不经过乙方同意，立即解除合同。</w:t>
            </w:r>
          </w:p>
          <w:p w14:paraId="55CA4975">
            <w:pPr>
              <w:spacing w:line="360" w:lineRule="exact"/>
              <w:rPr>
                <w:rFonts w:ascii="宋体" w:hAnsi="宋体" w:eastAsia="宋体" w:cs="Arial"/>
                <w:sz w:val="24"/>
                <w:szCs w:val="24"/>
                <w:highlight w:val="none"/>
              </w:rPr>
            </w:pPr>
            <w:r>
              <w:rPr>
                <w:rFonts w:hint="eastAsia" w:ascii="宋体" w:hAnsi="宋体" w:eastAsia="宋体" w:cs="Arial"/>
                <w:sz w:val="24"/>
                <w:szCs w:val="24"/>
                <w:highlight w:val="none"/>
              </w:rPr>
              <w:t>3、合同货物到达指定位置满30天仍不能完成安装、调试和技术性能验收的，乙方应根据甲方要求给予退货或调换同样规格新货物，并承担由此给甲方带来的损失（按设备平均工作日效益计算）。否则，甲方可以不经过乙方同意，立即解除合同。</w:t>
            </w:r>
          </w:p>
          <w:p w14:paraId="7F56A3B7">
            <w:pPr>
              <w:spacing w:line="360" w:lineRule="exact"/>
              <w:rPr>
                <w:rFonts w:ascii="宋体" w:hAnsi="宋体" w:eastAsia="宋体" w:cs="Arial"/>
                <w:sz w:val="24"/>
                <w:szCs w:val="24"/>
                <w:highlight w:val="none"/>
              </w:rPr>
            </w:pPr>
            <w:r>
              <w:rPr>
                <w:rFonts w:hint="eastAsia" w:ascii="宋体" w:hAnsi="宋体" w:eastAsia="宋体" w:cs="Arial"/>
                <w:sz w:val="24"/>
                <w:szCs w:val="24"/>
                <w:highlight w:val="none"/>
              </w:rPr>
              <w:t>4、如果因乙方单方面原因(如：注册证过期后不能及时补办，进口货物没有与之对应的报关单和商品检验检疫合格证，等)，试运行结束后，超过5个月不能完成验收，且没有充分的理由，则甲方可以不经过乙方同意，立即解除合同。</w:t>
            </w:r>
          </w:p>
          <w:p w14:paraId="0473FF27">
            <w:pPr>
              <w:spacing w:line="360" w:lineRule="exact"/>
              <w:rPr>
                <w:rFonts w:ascii="宋体" w:hAnsi="宋体" w:eastAsia="宋体" w:cs="宋体"/>
                <w:sz w:val="24"/>
                <w:szCs w:val="24"/>
                <w:highlight w:val="none"/>
                <w:u w:val="single"/>
              </w:rPr>
            </w:pPr>
            <w:r>
              <w:rPr>
                <w:rFonts w:hint="eastAsia" w:ascii="宋体" w:hAnsi="宋体" w:eastAsia="宋体" w:cs="Arial"/>
                <w:sz w:val="24"/>
                <w:szCs w:val="24"/>
                <w:highlight w:val="none"/>
              </w:rPr>
              <w:t>5、乙方有上述情况之一，被甲方解除合同的，除了按照相关条款追究责任之外，乙方还应向甲方赔偿合同总金额10%的违约金。</w:t>
            </w:r>
          </w:p>
        </w:tc>
      </w:tr>
      <w:tr w14:paraId="5B9FB9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D8465BE">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第二节</w:t>
            </w:r>
          </w:p>
          <w:p w14:paraId="464FED2A">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第15.3款</w:t>
            </w:r>
          </w:p>
        </w:tc>
        <w:tc>
          <w:tcPr>
            <w:tcW w:w="1742" w:type="dxa"/>
            <w:vAlign w:val="center"/>
          </w:tcPr>
          <w:p w14:paraId="3E4ADBEF">
            <w:pPr>
              <w:adjustRightInd w:val="0"/>
              <w:snapToGrid w:val="0"/>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逾期付款利息</w:t>
            </w:r>
          </w:p>
        </w:tc>
        <w:tc>
          <w:tcPr>
            <w:tcW w:w="5170" w:type="dxa"/>
            <w:vAlign w:val="center"/>
          </w:tcPr>
          <w:p w14:paraId="18D0A41C">
            <w:pPr>
              <w:adjustRightInd w:val="0"/>
              <w:snapToGrid w:val="0"/>
              <w:spacing w:line="360" w:lineRule="auto"/>
              <w:jc w:val="left"/>
              <w:rPr>
                <w:rFonts w:ascii="宋体" w:hAnsi="宋体" w:eastAsia="宋体" w:cs="宋体"/>
                <w:sz w:val="24"/>
                <w:szCs w:val="24"/>
                <w:highlight w:val="none"/>
                <w:u w:val="single"/>
              </w:rPr>
            </w:pPr>
            <w:r>
              <w:rPr>
                <w:rFonts w:hint="eastAsia" w:ascii="宋体" w:hAnsi="宋体" w:eastAsia="宋体" w:cs="宋体"/>
                <w:sz w:val="24"/>
                <w:szCs w:val="24"/>
                <w:highlight w:val="none"/>
                <w:u w:val="single"/>
              </w:rPr>
              <w:t>/</w:t>
            </w:r>
          </w:p>
        </w:tc>
      </w:tr>
      <w:tr w14:paraId="7A326B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0103B93A">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第二节</w:t>
            </w:r>
          </w:p>
          <w:p w14:paraId="504B7FB2">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第15.4款</w:t>
            </w:r>
          </w:p>
        </w:tc>
        <w:tc>
          <w:tcPr>
            <w:tcW w:w="1742" w:type="dxa"/>
            <w:tcBorders>
              <w:left w:val="single" w:color="auto" w:sz="2" w:space="0"/>
              <w:bottom w:val="single" w:color="auto" w:sz="2" w:space="0"/>
              <w:right w:val="single" w:color="auto" w:sz="2" w:space="0"/>
            </w:tcBorders>
            <w:vAlign w:val="center"/>
          </w:tcPr>
          <w:p w14:paraId="210C06E5">
            <w:pPr>
              <w:adjustRightInd w:val="0"/>
              <w:snapToGrid w:val="0"/>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其他违约责任</w:t>
            </w:r>
          </w:p>
        </w:tc>
        <w:tc>
          <w:tcPr>
            <w:tcW w:w="5170" w:type="dxa"/>
            <w:tcBorders>
              <w:left w:val="single" w:color="auto" w:sz="2" w:space="0"/>
              <w:bottom w:val="single" w:color="auto" w:sz="2" w:space="0"/>
            </w:tcBorders>
            <w:vAlign w:val="center"/>
          </w:tcPr>
          <w:p w14:paraId="6D104818">
            <w:pPr>
              <w:spacing w:line="360" w:lineRule="exact"/>
              <w:rPr>
                <w:rFonts w:ascii="宋体" w:hAnsi="宋体" w:eastAsia="宋体" w:cs="宋体"/>
                <w:sz w:val="24"/>
                <w:szCs w:val="24"/>
                <w:highlight w:val="none"/>
                <w:u w:val="single"/>
              </w:rPr>
            </w:pPr>
            <w:r>
              <w:rPr>
                <w:rFonts w:hint="eastAsia" w:ascii="宋体" w:hAnsi="宋体" w:eastAsia="宋体" w:cs="Arial"/>
                <w:sz w:val="24"/>
                <w:szCs w:val="24"/>
                <w:highlight w:val="none"/>
              </w:rPr>
              <w:t>1、如果未经甲方同意，乙方单方面不履行合同的，乙方应向甲方赔偿合同总金额50%的违约金。若</w:t>
            </w:r>
            <w:r>
              <w:rPr>
                <w:rFonts w:hint="eastAsia" w:ascii="宋体" w:hAnsi="宋体" w:eastAsia="宋体" w:cs="Arial"/>
                <w:bCs/>
                <w:sz w:val="24"/>
                <w:szCs w:val="24"/>
                <w:highlight w:val="none"/>
              </w:rPr>
              <w:t>乙方所供货物如因资质证件或货物质量问题被政府相关机构罚款，乙方应承担所有费用，并承担由此给甲方造成的一切损失</w:t>
            </w:r>
            <w:r>
              <w:rPr>
                <w:rFonts w:hint="eastAsia" w:ascii="宋体" w:hAnsi="宋体" w:eastAsia="宋体" w:cs="Arial"/>
                <w:sz w:val="24"/>
                <w:szCs w:val="24"/>
                <w:highlight w:val="none"/>
              </w:rPr>
              <w:t xml:space="preserve">（经济损失可估算的）；若造成的损失无法估算（如影响重大工程的工期、政府机关检查、重要检查活动的迎查工作等），乙方还应向甲方支付3倍合同总金额的赔偿金。 </w:t>
            </w:r>
          </w:p>
        </w:tc>
      </w:tr>
      <w:tr w14:paraId="51C1A1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22BC0A26">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第二节</w:t>
            </w:r>
          </w:p>
          <w:p w14:paraId="55ECC737">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第19.2款</w:t>
            </w:r>
          </w:p>
        </w:tc>
        <w:tc>
          <w:tcPr>
            <w:tcW w:w="1742" w:type="dxa"/>
            <w:tcBorders>
              <w:top w:val="single" w:color="auto" w:sz="2" w:space="0"/>
              <w:left w:val="single" w:color="auto" w:sz="2" w:space="0"/>
              <w:right w:val="single" w:color="auto" w:sz="2" w:space="0"/>
            </w:tcBorders>
            <w:vAlign w:val="center"/>
          </w:tcPr>
          <w:p w14:paraId="3F6AC584">
            <w:pPr>
              <w:adjustRightInd w:val="0"/>
              <w:snapToGrid w:val="0"/>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解决争议的方法</w:t>
            </w:r>
          </w:p>
        </w:tc>
        <w:tc>
          <w:tcPr>
            <w:tcW w:w="5170" w:type="dxa"/>
            <w:tcBorders>
              <w:top w:val="single" w:color="auto" w:sz="2" w:space="0"/>
              <w:left w:val="single" w:color="auto" w:sz="2" w:space="0"/>
            </w:tcBorders>
            <w:vAlign w:val="center"/>
          </w:tcPr>
          <w:p w14:paraId="45877EAB">
            <w:pPr>
              <w:autoSpaceDE w:val="0"/>
              <w:autoSpaceDN w:val="0"/>
              <w:adjustRightInd w:val="0"/>
              <w:snapToGrid w:val="0"/>
              <w:spacing w:line="360" w:lineRule="auto"/>
              <w:jc w:val="left"/>
              <w:rPr>
                <w:rFonts w:ascii="宋体" w:hAnsi="宋体" w:eastAsia="宋体" w:cs="宋体"/>
                <w:iCs/>
                <w:sz w:val="24"/>
                <w:szCs w:val="24"/>
                <w:highlight w:val="none"/>
              </w:rPr>
            </w:pPr>
            <w:r>
              <w:rPr>
                <w:rFonts w:hint="eastAsia" w:ascii="宋体" w:hAnsi="宋体" w:eastAsia="宋体" w:cs="宋体"/>
                <w:iCs/>
                <w:sz w:val="24"/>
                <w:szCs w:val="24"/>
                <w:highlight w:val="none"/>
              </w:rPr>
              <w:t>因本合同及合同有关事项发生的争议，按下列第</w:t>
            </w:r>
            <w:r>
              <w:rPr>
                <w:rFonts w:hint="eastAsia" w:ascii="宋体" w:hAnsi="宋体" w:eastAsia="宋体" w:cs="宋体"/>
                <w:iCs/>
                <w:sz w:val="24"/>
                <w:szCs w:val="24"/>
                <w:highlight w:val="none"/>
                <w:u w:val="single"/>
              </w:rPr>
              <w:t xml:space="preserve">   </w:t>
            </w:r>
            <w:r>
              <w:rPr>
                <w:rFonts w:hint="eastAsia" w:ascii="宋体" w:hAnsi="宋体" w:eastAsia="宋体" w:cs="宋体"/>
                <w:iCs/>
                <w:sz w:val="24"/>
                <w:szCs w:val="24"/>
                <w:highlight w:val="none"/>
              </w:rPr>
              <w:t>种方式解决：</w:t>
            </w:r>
          </w:p>
          <w:p w14:paraId="1A09BA6C">
            <w:pPr>
              <w:autoSpaceDE w:val="0"/>
              <w:autoSpaceDN w:val="0"/>
              <w:adjustRightInd w:val="0"/>
              <w:snapToGrid w:val="0"/>
              <w:spacing w:line="360" w:lineRule="auto"/>
              <w:jc w:val="left"/>
              <w:rPr>
                <w:rFonts w:ascii="宋体" w:hAnsi="宋体" w:eastAsia="宋体" w:cs="宋体"/>
                <w:iCs/>
                <w:sz w:val="24"/>
                <w:szCs w:val="24"/>
                <w:highlight w:val="none"/>
              </w:rPr>
            </w:pPr>
            <w:r>
              <w:rPr>
                <w:rFonts w:hint="eastAsia" w:ascii="宋体" w:hAnsi="宋体" w:eastAsia="宋体" w:cs="宋体"/>
                <w:iCs/>
                <w:sz w:val="24"/>
                <w:szCs w:val="24"/>
                <w:highlight w:val="none"/>
              </w:rPr>
              <w:t>（1）向</w:t>
            </w:r>
            <w:r>
              <w:rPr>
                <w:rFonts w:hint="eastAsia" w:ascii="宋体" w:hAnsi="宋体" w:eastAsia="宋体" w:cs="宋体"/>
                <w:iCs/>
                <w:sz w:val="24"/>
                <w:szCs w:val="24"/>
                <w:highlight w:val="none"/>
                <w:u w:val="single"/>
              </w:rPr>
              <w:t xml:space="preserve">                    </w:t>
            </w:r>
            <w:r>
              <w:rPr>
                <w:rFonts w:hint="eastAsia" w:ascii="宋体" w:hAnsi="宋体" w:eastAsia="宋体" w:cs="宋体"/>
                <w:iCs/>
                <w:sz w:val="24"/>
                <w:szCs w:val="24"/>
                <w:highlight w:val="none"/>
              </w:rPr>
              <w:t>仲裁委员会申请仲裁，仲裁地点为</w:t>
            </w:r>
            <w:r>
              <w:rPr>
                <w:rFonts w:hint="eastAsia" w:ascii="宋体" w:hAnsi="宋体" w:eastAsia="宋体" w:cs="宋体"/>
                <w:iCs/>
                <w:sz w:val="24"/>
                <w:szCs w:val="24"/>
                <w:highlight w:val="none"/>
                <w:u w:val="single"/>
              </w:rPr>
              <w:t xml:space="preserve">   蚌埠   </w:t>
            </w:r>
            <w:r>
              <w:rPr>
                <w:rFonts w:hint="eastAsia" w:ascii="宋体" w:hAnsi="宋体" w:eastAsia="宋体" w:cs="宋体"/>
                <w:iCs/>
                <w:sz w:val="24"/>
                <w:szCs w:val="24"/>
                <w:highlight w:val="none"/>
              </w:rPr>
              <w:t>；</w:t>
            </w:r>
          </w:p>
          <w:p w14:paraId="2F9140DB">
            <w:pPr>
              <w:adjustRightInd w:val="0"/>
              <w:snapToGrid w:val="0"/>
              <w:spacing w:line="360" w:lineRule="auto"/>
              <w:jc w:val="left"/>
              <w:rPr>
                <w:rFonts w:ascii="宋体" w:hAnsi="宋体" w:eastAsia="宋体" w:cs="宋体"/>
                <w:sz w:val="24"/>
                <w:szCs w:val="24"/>
                <w:highlight w:val="none"/>
                <w:u w:val="single"/>
              </w:rPr>
            </w:pPr>
            <w:r>
              <w:rPr>
                <w:rFonts w:hint="eastAsia" w:ascii="宋体" w:hAnsi="宋体" w:eastAsia="宋体" w:cs="宋体"/>
                <w:iCs/>
                <w:sz w:val="24"/>
                <w:szCs w:val="24"/>
                <w:highlight w:val="none"/>
              </w:rPr>
              <w:t>（2）向</w:t>
            </w:r>
            <w:r>
              <w:rPr>
                <w:rFonts w:hint="eastAsia" w:ascii="宋体" w:hAnsi="宋体" w:eastAsia="宋体" w:cs="宋体"/>
                <w:iCs/>
                <w:sz w:val="24"/>
                <w:szCs w:val="24"/>
                <w:highlight w:val="none"/>
                <w:u w:val="single"/>
              </w:rPr>
              <w:t xml:space="preserve">                    </w:t>
            </w:r>
            <w:r>
              <w:rPr>
                <w:rFonts w:hint="eastAsia" w:ascii="宋体" w:hAnsi="宋体" w:eastAsia="宋体" w:cs="宋体"/>
                <w:iCs/>
                <w:sz w:val="24"/>
                <w:szCs w:val="24"/>
                <w:highlight w:val="none"/>
              </w:rPr>
              <w:t>人民法院起诉。</w:t>
            </w:r>
          </w:p>
        </w:tc>
      </w:tr>
      <w:tr w14:paraId="12740A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03922F17">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第二节</w:t>
            </w:r>
          </w:p>
          <w:p w14:paraId="123A25FA">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第23.1款</w:t>
            </w:r>
          </w:p>
        </w:tc>
        <w:tc>
          <w:tcPr>
            <w:tcW w:w="1742" w:type="dxa"/>
            <w:vAlign w:val="center"/>
          </w:tcPr>
          <w:p w14:paraId="30C6EDE6">
            <w:pPr>
              <w:adjustRightInd w:val="0"/>
              <w:snapToGrid w:val="0"/>
              <w:spacing w:line="360" w:lineRule="auto"/>
              <w:jc w:val="left"/>
              <w:rPr>
                <w:rFonts w:ascii="宋体" w:hAnsi="宋体" w:eastAsia="宋体" w:cs="宋体"/>
                <w:sz w:val="24"/>
                <w:szCs w:val="24"/>
                <w:highlight w:val="none"/>
              </w:rPr>
            </w:pPr>
            <w:r>
              <w:rPr>
                <w:rFonts w:hint="eastAsia" w:ascii="宋体" w:hAnsi="宋体" w:eastAsia="宋体" w:cs="宋体"/>
                <w:bCs/>
                <w:sz w:val="24"/>
                <w:szCs w:val="24"/>
                <w:highlight w:val="none"/>
              </w:rPr>
              <w:t>其他专用条款</w:t>
            </w:r>
          </w:p>
        </w:tc>
        <w:tc>
          <w:tcPr>
            <w:tcW w:w="5170" w:type="dxa"/>
            <w:vAlign w:val="center"/>
          </w:tcPr>
          <w:p w14:paraId="604FCFDB">
            <w:pPr>
              <w:spacing w:line="340" w:lineRule="exact"/>
              <w:rPr>
                <w:rFonts w:ascii="宋体" w:hAnsi="宋体" w:eastAsia="宋体" w:cs="宋体"/>
                <w:iCs/>
                <w:sz w:val="24"/>
                <w:szCs w:val="24"/>
                <w:highlight w:val="none"/>
              </w:rPr>
            </w:pPr>
            <w:r>
              <w:rPr>
                <w:rFonts w:hint="eastAsia" w:ascii="宋体" w:hAnsi="宋体" w:eastAsia="宋体" w:cs="宋体"/>
                <w:iCs/>
                <w:sz w:val="24"/>
                <w:szCs w:val="24"/>
                <w:highlight w:val="none"/>
              </w:rPr>
              <w:t>1、甲方组织相关专业专家按照国家法律法规规定的标准、招投标文件所要求的技术标准、配置清单、谈判承诺内容和其他约定条款进行到货清点和技术性能验收，技术性能验收在乙方完成设备调试后进行；乙方负责设备免费就位、安装、调试和试运行等工作，期间所发生一切与设备调试相关的费用由乙方承担；数量不足或有质量、技术等问题，乙方应在七日内，按照甲方的要求，采取补足、更换或退货等处理措施，并承担由此发生的一切损失和费用。</w:t>
            </w:r>
          </w:p>
          <w:p w14:paraId="43AC948A">
            <w:pPr>
              <w:spacing w:line="340" w:lineRule="exact"/>
              <w:rPr>
                <w:rFonts w:ascii="宋体" w:hAnsi="宋体" w:eastAsia="宋体" w:cs="宋体"/>
                <w:iCs/>
                <w:sz w:val="24"/>
                <w:szCs w:val="24"/>
                <w:highlight w:val="none"/>
              </w:rPr>
            </w:pPr>
            <w:r>
              <w:rPr>
                <w:rFonts w:hint="eastAsia" w:ascii="宋体" w:hAnsi="宋体" w:eastAsia="宋体" w:cs="宋体"/>
                <w:iCs/>
                <w:sz w:val="24"/>
                <w:szCs w:val="24"/>
                <w:highlight w:val="none"/>
              </w:rPr>
              <w:t>2、货物验收时，如果甲方对货物的质量（如：可能是试用过的设备或旧设备）等存在疑问，甲方有权要求乙方邀请质量检测部门对该设备进行质量鉴定检测。如果乙方拒绝进行质量鉴定检测，甲方可认定该设备不符合要求。</w:t>
            </w:r>
          </w:p>
          <w:p w14:paraId="2AAF6F7D">
            <w:pPr>
              <w:spacing w:line="340" w:lineRule="exact"/>
              <w:rPr>
                <w:rFonts w:ascii="宋体" w:hAnsi="宋体" w:eastAsia="宋体" w:cs="宋体"/>
                <w:iCs/>
                <w:sz w:val="24"/>
                <w:szCs w:val="24"/>
                <w:highlight w:val="none"/>
              </w:rPr>
            </w:pPr>
            <w:r>
              <w:rPr>
                <w:rFonts w:hint="eastAsia" w:ascii="宋体" w:hAnsi="宋体" w:eastAsia="宋体" w:cs="宋体"/>
                <w:iCs/>
                <w:sz w:val="24"/>
                <w:szCs w:val="24"/>
                <w:highlight w:val="none"/>
              </w:rPr>
              <w:t>3、乙方免费提供专用维修工具等，免费提供校准、检测和质量控制相关服务、备件清单等维修资料及技术规范，免费提供各维修模式密码。</w:t>
            </w:r>
          </w:p>
          <w:p w14:paraId="1A6559C0">
            <w:pPr>
              <w:adjustRightInd w:val="0"/>
              <w:snapToGrid w:val="0"/>
              <w:jc w:val="left"/>
              <w:rPr>
                <w:rFonts w:ascii="宋体" w:hAnsi="宋体" w:eastAsia="宋体" w:cs="宋体"/>
                <w:sz w:val="24"/>
                <w:szCs w:val="24"/>
                <w:highlight w:val="none"/>
              </w:rPr>
            </w:pPr>
            <w:r>
              <w:rPr>
                <w:rFonts w:hint="eastAsia" w:ascii="宋体" w:hAnsi="宋体" w:eastAsia="宋体" w:cs="宋体"/>
                <w:iCs/>
                <w:sz w:val="24"/>
                <w:szCs w:val="24"/>
                <w:highlight w:val="none"/>
              </w:rPr>
              <w:t>4、开箱接货、安装调试完成后进入试运行期，试运行期结束后，双方签署验收文件。</w:t>
            </w:r>
          </w:p>
        </w:tc>
      </w:tr>
    </w:tbl>
    <w:p w14:paraId="4DEAC71A">
      <w:pPr>
        <w:rPr>
          <w:rFonts w:ascii="宋体" w:hAnsi="宋体" w:eastAsia="宋体" w:cs="宋体"/>
          <w:sz w:val="24"/>
          <w:szCs w:val="24"/>
          <w:highlight w:val="none"/>
        </w:rPr>
      </w:pPr>
    </w:p>
    <w:p w14:paraId="30A13BE7">
      <w:pPr>
        <w:widowControl/>
        <w:jc w:val="left"/>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p>
    <w:p w14:paraId="73060B2B">
      <w:pPr>
        <w:spacing w:line="360" w:lineRule="auto"/>
        <w:jc w:val="center"/>
        <w:outlineLvl w:val="0"/>
        <w:rPr>
          <w:rFonts w:asciiTheme="minorEastAsia" w:hAnsiTheme="minorEastAsia" w:eastAsiaTheme="minorEastAsia"/>
          <w:b/>
          <w:sz w:val="28"/>
          <w:highlight w:val="none"/>
        </w:rPr>
      </w:pPr>
      <w:bookmarkStart w:id="49" w:name="_Toc22492"/>
      <w:r>
        <w:rPr>
          <w:rFonts w:hint="eastAsia" w:asciiTheme="minorEastAsia" w:hAnsiTheme="minorEastAsia" w:eastAsiaTheme="minorEastAsia"/>
          <w:b/>
          <w:sz w:val="28"/>
          <w:highlight w:val="none"/>
        </w:rPr>
        <w:t>第六章  投标文件格式</w:t>
      </w:r>
      <w:bookmarkEnd w:id="49"/>
    </w:p>
    <w:p w14:paraId="72D9AE50">
      <w:pPr>
        <w:spacing w:line="900" w:lineRule="exact"/>
        <w:jc w:val="center"/>
        <w:rPr>
          <w:rFonts w:asciiTheme="minorEastAsia" w:hAnsiTheme="minorEastAsia" w:eastAsiaTheme="minorEastAsia"/>
          <w:b/>
          <w:sz w:val="72"/>
          <w:highlight w:val="none"/>
        </w:rPr>
      </w:pPr>
    </w:p>
    <w:p w14:paraId="771FFEDF">
      <w:pPr>
        <w:spacing w:line="900" w:lineRule="exact"/>
        <w:jc w:val="center"/>
        <w:outlineLvl w:val="9"/>
        <w:rPr>
          <w:rFonts w:asciiTheme="minorEastAsia" w:hAnsiTheme="minorEastAsia" w:eastAsiaTheme="minorEastAsia"/>
          <w:b/>
          <w:sz w:val="72"/>
          <w:highlight w:val="none"/>
        </w:rPr>
      </w:pPr>
      <w:bookmarkStart w:id="50" w:name="_Toc651"/>
      <w:r>
        <w:rPr>
          <w:rFonts w:hint="eastAsia" w:asciiTheme="minorEastAsia" w:hAnsiTheme="minorEastAsia" w:eastAsiaTheme="minorEastAsia"/>
          <w:b/>
          <w:sz w:val="72"/>
          <w:highlight w:val="none"/>
        </w:rPr>
        <w:t>投</w:t>
      </w:r>
      <w:bookmarkEnd w:id="50"/>
    </w:p>
    <w:p w14:paraId="619C4667">
      <w:pPr>
        <w:spacing w:line="900" w:lineRule="exact"/>
        <w:jc w:val="center"/>
        <w:outlineLvl w:val="9"/>
        <w:rPr>
          <w:rFonts w:asciiTheme="minorEastAsia" w:hAnsiTheme="minorEastAsia" w:eastAsiaTheme="minorEastAsia"/>
          <w:b/>
          <w:sz w:val="72"/>
          <w:highlight w:val="none"/>
        </w:rPr>
      </w:pPr>
    </w:p>
    <w:p w14:paraId="461AAA8C">
      <w:pPr>
        <w:spacing w:line="900" w:lineRule="exact"/>
        <w:jc w:val="center"/>
        <w:outlineLvl w:val="9"/>
        <w:rPr>
          <w:rFonts w:asciiTheme="minorEastAsia" w:hAnsiTheme="minorEastAsia" w:eastAsiaTheme="minorEastAsia"/>
          <w:b/>
          <w:sz w:val="72"/>
          <w:highlight w:val="none"/>
        </w:rPr>
      </w:pPr>
      <w:bookmarkStart w:id="51" w:name="_Toc6148"/>
      <w:r>
        <w:rPr>
          <w:rFonts w:hint="eastAsia" w:asciiTheme="minorEastAsia" w:hAnsiTheme="minorEastAsia" w:eastAsiaTheme="minorEastAsia"/>
          <w:b/>
          <w:sz w:val="72"/>
          <w:highlight w:val="none"/>
        </w:rPr>
        <w:t>标</w:t>
      </w:r>
      <w:bookmarkEnd w:id="51"/>
    </w:p>
    <w:p w14:paraId="214E7875">
      <w:pPr>
        <w:spacing w:line="900" w:lineRule="exact"/>
        <w:jc w:val="center"/>
        <w:outlineLvl w:val="9"/>
        <w:rPr>
          <w:rFonts w:asciiTheme="minorEastAsia" w:hAnsiTheme="minorEastAsia" w:eastAsiaTheme="minorEastAsia"/>
          <w:b/>
          <w:sz w:val="72"/>
          <w:highlight w:val="none"/>
        </w:rPr>
      </w:pPr>
    </w:p>
    <w:p w14:paraId="358F7282">
      <w:pPr>
        <w:spacing w:line="900" w:lineRule="exact"/>
        <w:jc w:val="center"/>
        <w:outlineLvl w:val="9"/>
        <w:rPr>
          <w:rFonts w:asciiTheme="minorEastAsia" w:hAnsiTheme="minorEastAsia" w:eastAsiaTheme="minorEastAsia"/>
          <w:b/>
          <w:sz w:val="72"/>
          <w:highlight w:val="none"/>
        </w:rPr>
      </w:pPr>
      <w:bookmarkStart w:id="52" w:name="_Toc1338"/>
      <w:r>
        <w:rPr>
          <w:rFonts w:hint="eastAsia" w:asciiTheme="minorEastAsia" w:hAnsiTheme="minorEastAsia" w:eastAsiaTheme="minorEastAsia"/>
          <w:b/>
          <w:sz w:val="72"/>
          <w:highlight w:val="none"/>
        </w:rPr>
        <w:t>文</w:t>
      </w:r>
      <w:bookmarkEnd w:id="52"/>
    </w:p>
    <w:p w14:paraId="234DB30D">
      <w:pPr>
        <w:spacing w:line="900" w:lineRule="exact"/>
        <w:jc w:val="center"/>
        <w:outlineLvl w:val="9"/>
        <w:rPr>
          <w:rFonts w:asciiTheme="minorEastAsia" w:hAnsiTheme="minorEastAsia" w:eastAsiaTheme="minorEastAsia"/>
          <w:b/>
          <w:sz w:val="72"/>
          <w:highlight w:val="none"/>
        </w:rPr>
      </w:pPr>
    </w:p>
    <w:p w14:paraId="36A1E294">
      <w:pPr>
        <w:jc w:val="center"/>
        <w:outlineLvl w:val="9"/>
        <w:rPr>
          <w:rFonts w:asciiTheme="minorEastAsia" w:hAnsiTheme="minorEastAsia" w:eastAsiaTheme="minorEastAsia"/>
          <w:b/>
          <w:sz w:val="72"/>
          <w:highlight w:val="none"/>
        </w:rPr>
      </w:pPr>
      <w:bookmarkStart w:id="53" w:name="_Toc10796"/>
      <w:r>
        <w:rPr>
          <w:rFonts w:hint="eastAsia" w:asciiTheme="minorEastAsia" w:hAnsiTheme="minorEastAsia" w:eastAsiaTheme="minorEastAsia"/>
          <w:b/>
          <w:sz w:val="72"/>
          <w:highlight w:val="none"/>
        </w:rPr>
        <w:t>件</w:t>
      </w:r>
      <w:bookmarkEnd w:id="53"/>
    </w:p>
    <w:p w14:paraId="68FBBC19">
      <w:pPr>
        <w:pStyle w:val="8"/>
        <w:keepNext w:val="0"/>
        <w:keepLines w:val="0"/>
        <w:pageBreakBefore w:val="0"/>
        <w:widowControl w:val="0"/>
        <w:kinsoku/>
        <w:wordWrap/>
        <w:overflowPunct/>
        <w:topLinePunct w:val="0"/>
        <w:autoSpaceDE/>
        <w:autoSpaceDN/>
        <w:bidi w:val="0"/>
        <w:adjustRightInd/>
        <w:snapToGrid/>
        <w:spacing w:after="0" w:line="360" w:lineRule="auto"/>
        <w:ind w:firstLine="643" w:firstLineChars="200"/>
        <w:jc w:val="center"/>
        <w:textAlignment w:val="auto"/>
        <w:outlineLvl w:val="9"/>
        <w:rPr>
          <w:rFonts w:asciiTheme="minorEastAsia" w:hAnsiTheme="minorEastAsia" w:eastAsiaTheme="minorEastAsia"/>
          <w:b/>
          <w:sz w:val="72"/>
          <w:highlight w:val="none"/>
        </w:rPr>
      </w:pPr>
      <w:r>
        <w:rPr>
          <w:rFonts w:hint="eastAsia" w:ascii="宋体" w:hAnsi="宋体" w:eastAsia="宋体"/>
          <w:b/>
          <w:color w:val="auto"/>
          <w:sz w:val="32"/>
          <w:szCs w:val="32"/>
          <w:highlight w:val="none"/>
        </w:rPr>
        <w:t>【第</w:t>
      </w:r>
      <w:r>
        <w:rPr>
          <w:rFonts w:hint="eastAsia" w:ascii="宋体" w:hAnsi="宋体" w:eastAsia="宋体"/>
          <w:b/>
          <w:color w:val="auto"/>
          <w:sz w:val="32"/>
          <w:szCs w:val="32"/>
          <w:highlight w:val="none"/>
          <w:u w:val="single"/>
        </w:rPr>
        <w:t xml:space="preserve">   </w:t>
      </w:r>
      <w:r>
        <w:rPr>
          <w:rFonts w:hint="eastAsia" w:ascii="宋体" w:hAnsi="宋体" w:eastAsia="宋体"/>
          <w:b/>
          <w:color w:val="auto"/>
          <w:sz w:val="32"/>
          <w:szCs w:val="32"/>
          <w:highlight w:val="none"/>
        </w:rPr>
        <w:t>包】</w:t>
      </w:r>
      <w:r>
        <w:rPr>
          <w:rFonts w:hint="eastAsia" w:ascii="宋体" w:hAnsi="宋体" w:eastAsia="宋体" w:cs="@仿宋_GB2312"/>
          <w:b w:val="0"/>
          <w:bCs w:val="0"/>
          <w:i/>
          <w:iCs/>
          <w:color w:val="000000" w:themeColor="text1"/>
          <w:kern w:val="2"/>
          <w:sz w:val="24"/>
          <w:szCs w:val="18"/>
          <w:highlight w:val="none"/>
          <w:lang w:val="en-US" w:eastAsia="zh-CN" w:bidi="ar-SA"/>
          <w14:textFill>
            <w14:solidFill>
              <w14:schemeClr w14:val="tx1"/>
            </w14:solidFill>
          </w14:textFill>
        </w:rPr>
        <w:t>（如不分包，请删去本行）</w:t>
      </w:r>
    </w:p>
    <w:p w14:paraId="6F44FC2C">
      <w:pPr>
        <w:spacing w:before="156" w:beforeLines="50" w:after="156" w:afterLines="50"/>
        <w:jc w:val="center"/>
        <w:outlineLvl w:val="9"/>
        <w:rPr>
          <w:rFonts w:asciiTheme="minorEastAsia" w:hAnsiTheme="minorEastAsia" w:eastAsiaTheme="minorEastAsia"/>
          <w:b/>
          <w:sz w:val="32"/>
          <w:szCs w:val="32"/>
          <w:highlight w:val="none"/>
        </w:rPr>
      </w:pPr>
    </w:p>
    <w:p w14:paraId="301E6D6A">
      <w:pPr>
        <w:spacing w:after="156" w:afterLines="50" w:line="500" w:lineRule="exact"/>
        <w:jc w:val="center"/>
        <w:rPr>
          <w:rFonts w:asciiTheme="minorEastAsia" w:hAnsiTheme="minorEastAsia" w:eastAsiaTheme="minorEastAsia"/>
          <w:b/>
          <w:sz w:val="28"/>
          <w:szCs w:val="28"/>
          <w:highlight w:val="none"/>
        </w:rPr>
      </w:pPr>
    </w:p>
    <w:p w14:paraId="4918403C">
      <w:pPr>
        <w:tabs>
          <w:tab w:val="left" w:pos="2410"/>
        </w:tabs>
        <w:autoSpaceDE w:val="0"/>
        <w:autoSpaceDN w:val="0"/>
        <w:adjustRightInd w:val="0"/>
        <w:snapToGrid w:val="0"/>
        <w:spacing w:line="360" w:lineRule="auto"/>
        <w:ind w:firstLine="643" w:firstLineChars="200"/>
        <w:rPr>
          <w:rFonts w:ascii="宋体" w:hAnsi="宋体" w:eastAsia="宋体"/>
          <w:b/>
          <w:spacing w:val="20"/>
          <w:kern w:val="0"/>
          <w:sz w:val="32"/>
          <w:szCs w:val="32"/>
          <w:highlight w:val="none"/>
        </w:rPr>
      </w:pPr>
      <w:r>
        <w:rPr>
          <w:rFonts w:hint="eastAsia" w:asciiTheme="minorEastAsia" w:hAnsiTheme="minorEastAsia" w:eastAsiaTheme="minorEastAsia"/>
          <w:b/>
          <w:sz w:val="32"/>
          <w:highlight w:val="none"/>
        </w:rPr>
        <w:t>项目名称：</w:t>
      </w:r>
      <w:r>
        <w:rPr>
          <w:rFonts w:hint="eastAsia" w:asciiTheme="minorEastAsia" w:hAnsiTheme="minorEastAsia" w:eastAsiaTheme="minorEastAsia"/>
          <w:b/>
          <w:sz w:val="32"/>
          <w:highlight w:val="none"/>
          <w:u w:val="single"/>
        </w:rPr>
        <w:t xml:space="preserve">                  </w:t>
      </w:r>
    </w:p>
    <w:p w14:paraId="3A1B5190">
      <w:pPr>
        <w:tabs>
          <w:tab w:val="left" w:pos="2410"/>
        </w:tabs>
        <w:autoSpaceDE w:val="0"/>
        <w:autoSpaceDN w:val="0"/>
        <w:adjustRightInd w:val="0"/>
        <w:snapToGrid w:val="0"/>
        <w:spacing w:line="360" w:lineRule="auto"/>
        <w:ind w:firstLine="643" w:firstLineChars="200"/>
        <w:rPr>
          <w:rFonts w:asciiTheme="minorEastAsia" w:hAnsiTheme="minorEastAsia" w:eastAsiaTheme="minorEastAsia"/>
          <w:b/>
          <w:sz w:val="32"/>
          <w:highlight w:val="none"/>
          <w:u w:val="single"/>
        </w:rPr>
      </w:pPr>
      <w:r>
        <w:rPr>
          <w:rFonts w:hint="eastAsia" w:asciiTheme="minorEastAsia" w:hAnsiTheme="minorEastAsia" w:eastAsiaTheme="minorEastAsia"/>
          <w:b/>
          <w:sz w:val="32"/>
          <w:highlight w:val="none"/>
        </w:rPr>
        <w:t>项目编号：</w:t>
      </w:r>
      <w:r>
        <w:rPr>
          <w:rFonts w:hint="eastAsia" w:asciiTheme="minorEastAsia" w:hAnsiTheme="minorEastAsia" w:eastAsiaTheme="minorEastAsia"/>
          <w:b/>
          <w:sz w:val="32"/>
          <w:highlight w:val="none"/>
          <w:u w:val="single"/>
        </w:rPr>
        <w:t xml:space="preserve">                  </w:t>
      </w:r>
    </w:p>
    <w:p w14:paraId="57D41249">
      <w:pPr>
        <w:tabs>
          <w:tab w:val="left" w:pos="2410"/>
        </w:tabs>
        <w:autoSpaceDE w:val="0"/>
        <w:autoSpaceDN w:val="0"/>
        <w:adjustRightInd w:val="0"/>
        <w:snapToGrid w:val="0"/>
        <w:spacing w:line="360" w:lineRule="auto"/>
        <w:ind w:firstLine="643" w:firstLineChars="200"/>
        <w:rPr>
          <w:rFonts w:asciiTheme="minorEastAsia" w:hAnsiTheme="minorEastAsia" w:eastAsiaTheme="minorEastAsia"/>
          <w:b/>
          <w:sz w:val="32"/>
          <w:highlight w:val="none"/>
          <w:u w:val="single"/>
        </w:rPr>
      </w:pPr>
      <w:r>
        <w:rPr>
          <w:rFonts w:hint="eastAsia" w:asciiTheme="minorEastAsia" w:hAnsiTheme="minorEastAsia" w:eastAsiaTheme="minorEastAsia"/>
          <w:b/>
          <w:sz w:val="32"/>
          <w:highlight w:val="none"/>
        </w:rPr>
        <w:t>投 标 人：</w:t>
      </w:r>
      <w:r>
        <w:rPr>
          <w:rFonts w:hint="eastAsia" w:asciiTheme="minorEastAsia" w:hAnsiTheme="minorEastAsia" w:eastAsiaTheme="minorEastAsia"/>
          <w:b/>
          <w:sz w:val="32"/>
          <w:highlight w:val="none"/>
          <w:u w:val="single"/>
        </w:rPr>
        <w:t xml:space="preserve">                  </w:t>
      </w:r>
    </w:p>
    <w:p w14:paraId="1CB4EB1F">
      <w:pPr>
        <w:spacing w:after="156" w:afterLines="50" w:line="500" w:lineRule="exact"/>
        <w:jc w:val="center"/>
        <w:outlineLvl w:val="9"/>
        <w:rPr>
          <w:rFonts w:asciiTheme="minorEastAsia" w:hAnsiTheme="minorEastAsia" w:eastAsiaTheme="minorEastAsia"/>
          <w:b/>
          <w:sz w:val="32"/>
          <w:highlight w:val="none"/>
        </w:rPr>
      </w:pPr>
      <w:r>
        <w:rPr>
          <w:rFonts w:hint="eastAsia" w:asciiTheme="minorEastAsia" w:hAnsiTheme="minorEastAsia" w:eastAsiaTheme="minorEastAsia"/>
          <w:b/>
          <w:sz w:val="32"/>
          <w:highlight w:val="none"/>
          <w:u w:val="single"/>
        </w:rPr>
        <w:t xml:space="preserve">  </w:t>
      </w:r>
      <w:bookmarkStart w:id="54" w:name="_Toc9994"/>
      <w:bookmarkStart w:id="55" w:name="_Toc8037"/>
      <w:r>
        <w:rPr>
          <w:rFonts w:hint="eastAsia" w:asciiTheme="minorEastAsia" w:hAnsiTheme="minorEastAsia" w:eastAsiaTheme="minorEastAsia"/>
          <w:b/>
          <w:sz w:val="32"/>
          <w:highlight w:val="none"/>
        </w:rPr>
        <w:t>年</w:t>
      </w:r>
      <w:r>
        <w:rPr>
          <w:rFonts w:hint="eastAsia" w:asciiTheme="minorEastAsia" w:hAnsiTheme="minorEastAsia" w:eastAsiaTheme="minorEastAsia"/>
          <w:b/>
          <w:sz w:val="32"/>
          <w:highlight w:val="none"/>
          <w:u w:val="single"/>
        </w:rPr>
        <w:t xml:space="preserve">  </w:t>
      </w:r>
      <w:r>
        <w:rPr>
          <w:rFonts w:hint="eastAsia" w:asciiTheme="minorEastAsia" w:hAnsiTheme="minorEastAsia" w:eastAsiaTheme="minorEastAsia"/>
          <w:b/>
          <w:sz w:val="32"/>
          <w:highlight w:val="none"/>
        </w:rPr>
        <w:t>月</w:t>
      </w:r>
      <w:r>
        <w:rPr>
          <w:rFonts w:hint="eastAsia" w:asciiTheme="minorEastAsia" w:hAnsiTheme="minorEastAsia" w:eastAsiaTheme="minorEastAsia"/>
          <w:b/>
          <w:sz w:val="32"/>
          <w:highlight w:val="none"/>
          <w:u w:val="single"/>
        </w:rPr>
        <w:t xml:space="preserve">  </w:t>
      </w:r>
      <w:r>
        <w:rPr>
          <w:rFonts w:hint="eastAsia" w:asciiTheme="minorEastAsia" w:hAnsiTheme="minorEastAsia" w:eastAsiaTheme="minorEastAsia"/>
          <w:b/>
          <w:sz w:val="32"/>
          <w:highlight w:val="none"/>
        </w:rPr>
        <w:t>日</w:t>
      </w:r>
      <w:bookmarkEnd w:id="54"/>
      <w:bookmarkEnd w:id="55"/>
    </w:p>
    <w:p w14:paraId="5E46B46A">
      <w:pPr>
        <w:widowControl/>
        <w:jc w:val="left"/>
        <w:rPr>
          <w:rFonts w:asciiTheme="minorEastAsia" w:hAnsiTheme="minorEastAsia" w:eastAsiaTheme="minorEastAsia"/>
          <w:b/>
          <w:sz w:val="28"/>
          <w:highlight w:val="none"/>
        </w:rPr>
      </w:pPr>
      <w:r>
        <w:rPr>
          <w:rFonts w:asciiTheme="minorEastAsia" w:hAnsiTheme="minorEastAsia" w:eastAsiaTheme="minorEastAsia"/>
          <w:b/>
          <w:sz w:val="28"/>
          <w:highlight w:val="none"/>
        </w:rPr>
        <w:br w:type="page"/>
      </w:r>
    </w:p>
    <w:p w14:paraId="61809B6C">
      <w:pPr>
        <w:spacing w:line="360" w:lineRule="auto"/>
        <w:jc w:val="center"/>
        <w:outlineLvl w:val="1"/>
        <w:rPr>
          <w:rFonts w:hint="eastAsia" w:asciiTheme="minorEastAsia" w:hAnsiTheme="minorEastAsia" w:eastAsiaTheme="minorEastAsia"/>
          <w:b/>
          <w:sz w:val="24"/>
          <w:highlight w:val="none"/>
          <w:lang w:eastAsia="zh-CN"/>
        </w:rPr>
      </w:pPr>
      <w:bookmarkStart w:id="56" w:name="_Toc5555"/>
      <w:bookmarkStart w:id="57" w:name="_Toc28960"/>
      <w:r>
        <w:rPr>
          <w:rFonts w:hint="eastAsia" w:asciiTheme="minorEastAsia" w:hAnsiTheme="minorEastAsia" w:eastAsiaTheme="minorEastAsia"/>
          <w:b/>
          <w:sz w:val="24"/>
          <w:highlight w:val="none"/>
        </w:rPr>
        <w:t>一、开标一览表</w:t>
      </w:r>
      <w:bookmarkEnd w:id="56"/>
      <w:bookmarkEnd w:id="57"/>
    </w:p>
    <w:tbl>
      <w:tblPr>
        <w:tblStyle w:val="26"/>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4"/>
        <w:gridCol w:w="6213"/>
      </w:tblGrid>
      <w:tr w14:paraId="506CA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874" w:type="dxa"/>
            <w:tcBorders>
              <w:top w:val="single" w:color="auto" w:sz="4" w:space="0"/>
              <w:bottom w:val="single" w:color="auto" w:sz="4" w:space="0"/>
              <w:right w:val="single" w:color="auto" w:sz="4" w:space="0"/>
            </w:tcBorders>
            <w:vAlign w:val="center"/>
          </w:tcPr>
          <w:p w14:paraId="70580FA3">
            <w:pPr>
              <w:widowControl/>
              <w:spacing w:line="360" w:lineRule="exact"/>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项目名称</w:t>
            </w:r>
          </w:p>
        </w:tc>
        <w:tc>
          <w:tcPr>
            <w:tcW w:w="6213" w:type="dxa"/>
            <w:tcBorders>
              <w:top w:val="single" w:color="auto" w:sz="4" w:space="0"/>
              <w:bottom w:val="single" w:color="auto" w:sz="4" w:space="0"/>
              <w:right w:val="single" w:color="auto" w:sz="4" w:space="0"/>
            </w:tcBorders>
            <w:vAlign w:val="center"/>
          </w:tcPr>
          <w:p w14:paraId="2734A303">
            <w:pPr>
              <w:spacing w:line="360" w:lineRule="exact"/>
              <w:jc w:val="center"/>
              <w:rPr>
                <w:rFonts w:asciiTheme="minorEastAsia" w:hAnsiTheme="minorEastAsia" w:eastAsiaTheme="minorEastAsia"/>
                <w:bCs/>
                <w:sz w:val="24"/>
                <w:highlight w:val="none"/>
                <w:u w:val="single"/>
              </w:rPr>
            </w:pPr>
          </w:p>
        </w:tc>
      </w:tr>
      <w:tr w14:paraId="23B39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874" w:type="dxa"/>
            <w:tcBorders>
              <w:top w:val="nil"/>
            </w:tcBorders>
            <w:vAlign w:val="center"/>
          </w:tcPr>
          <w:p w14:paraId="1EEBC94D">
            <w:pPr>
              <w:spacing w:line="360" w:lineRule="exact"/>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投标人全称</w:t>
            </w:r>
          </w:p>
        </w:tc>
        <w:tc>
          <w:tcPr>
            <w:tcW w:w="6213" w:type="dxa"/>
            <w:tcBorders>
              <w:top w:val="nil"/>
            </w:tcBorders>
            <w:vAlign w:val="center"/>
          </w:tcPr>
          <w:p w14:paraId="4F381DB7">
            <w:pPr>
              <w:spacing w:line="360" w:lineRule="auto"/>
              <w:rPr>
                <w:rFonts w:asciiTheme="minorEastAsia" w:hAnsiTheme="minorEastAsia" w:eastAsiaTheme="minorEastAsia"/>
                <w:sz w:val="24"/>
                <w:highlight w:val="none"/>
              </w:rPr>
            </w:pPr>
          </w:p>
        </w:tc>
      </w:tr>
      <w:tr w14:paraId="288F9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874" w:type="dxa"/>
            <w:tcBorders>
              <w:top w:val="nil"/>
            </w:tcBorders>
            <w:vAlign w:val="center"/>
          </w:tcPr>
          <w:p w14:paraId="47F9F173">
            <w:pPr>
              <w:spacing w:line="360" w:lineRule="exact"/>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投标范围</w:t>
            </w:r>
          </w:p>
        </w:tc>
        <w:tc>
          <w:tcPr>
            <w:tcW w:w="6213" w:type="dxa"/>
            <w:tcBorders>
              <w:top w:val="nil"/>
            </w:tcBorders>
            <w:vAlign w:val="center"/>
          </w:tcPr>
          <w:p w14:paraId="34379BDA">
            <w:pPr>
              <w:widowControl/>
              <w:spacing w:line="360" w:lineRule="auto"/>
              <w:rPr>
                <w:rFonts w:hint="eastAsia" w:eastAsia="宋体" w:asciiTheme="minorEastAsia" w:hAnsiTheme="minorEastAsia"/>
                <w:sz w:val="24"/>
                <w:highlight w:val="none"/>
                <w:lang w:val="en-US" w:eastAsia="zh-CN"/>
              </w:rPr>
            </w:pPr>
            <w:r>
              <w:rPr>
                <w:rFonts w:hint="eastAsia" w:asciiTheme="minorEastAsia" w:hAnsiTheme="minorEastAsia" w:eastAsiaTheme="minorEastAsia"/>
                <w:sz w:val="24"/>
                <w:szCs w:val="28"/>
                <w:highlight w:val="none"/>
              </w:rPr>
              <w:t>全部</w:t>
            </w:r>
            <w:r>
              <w:rPr>
                <w:rFonts w:hint="eastAsia" w:asciiTheme="minorEastAsia" w:hAnsiTheme="minorEastAsia" w:eastAsiaTheme="minorEastAsia"/>
                <w:sz w:val="24"/>
                <w:szCs w:val="28"/>
                <w:highlight w:val="none"/>
                <w:lang w:val="en-US" w:eastAsia="zh-CN"/>
              </w:rPr>
              <w:t>/第</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none"/>
                <w:lang w:eastAsia="zh-CN"/>
              </w:rPr>
              <w:t>包</w:t>
            </w:r>
          </w:p>
        </w:tc>
      </w:tr>
      <w:tr w14:paraId="691A0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874" w:type="dxa"/>
            <w:tcBorders>
              <w:top w:val="nil"/>
            </w:tcBorders>
            <w:vAlign w:val="center"/>
          </w:tcPr>
          <w:p w14:paraId="28D3F9AC">
            <w:pPr>
              <w:spacing w:line="360" w:lineRule="exact"/>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投标报价</w:t>
            </w:r>
          </w:p>
        </w:tc>
        <w:tc>
          <w:tcPr>
            <w:tcW w:w="6213" w:type="dxa"/>
            <w:tcBorders>
              <w:top w:val="nil"/>
            </w:tcBorders>
            <w:vAlign w:val="center"/>
          </w:tcPr>
          <w:p w14:paraId="42A96532">
            <w:pPr>
              <w:snapToGrid w:val="0"/>
              <w:spacing w:line="360" w:lineRule="auto"/>
              <w:jc w:val="left"/>
              <w:rPr>
                <w:rFonts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14:paraId="5E323FC3">
            <w:pPr>
              <w:spacing w:line="360" w:lineRule="auto"/>
              <w:ind w:right="-670"/>
              <w:rPr>
                <w:rFonts w:asciiTheme="minorEastAsia" w:hAnsiTheme="minorEastAsia" w:eastAsiaTheme="minorEastAsia"/>
                <w:sz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14:paraId="7CC9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874" w:type="dxa"/>
            <w:tcBorders>
              <w:top w:val="nil"/>
            </w:tcBorders>
            <w:vAlign w:val="center"/>
          </w:tcPr>
          <w:p w14:paraId="73E30D85">
            <w:pPr>
              <w:spacing w:line="360" w:lineRule="auto"/>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其他</w:t>
            </w:r>
          </w:p>
        </w:tc>
        <w:tc>
          <w:tcPr>
            <w:tcW w:w="6213" w:type="dxa"/>
            <w:tcBorders>
              <w:top w:val="nil"/>
            </w:tcBorders>
            <w:vAlign w:val="center"/>
          </w:tcPr>
          <w:p w14:paraId="5DF45C8F">
            <w:pPr>
              <w:spacing w:line="360" w:lineRule="auto"/>
              <w:jc w:val="left"/>
              <w:rPr>
                <w:rFonts w:asciiTheme="minorEastAsia" w:hAnsiTheme="minorEastAsia" w:eastAsiaTheme="minorEastAsia"/>
                <w:sz w:val="24"/>
                <w:szCs w:val="28"/>
                <w:highlight w:val="none"/>
              </w:rPr>
            </w:pPr>
          </w:p>
        </w:tc>
      </w:tr>
    </w:tbl>
    <w:p w14:paraId="53B8C2C4">
      <w:pPr>
        <w:spacing w:line="360" w:lineRule="auto"/>
        <w:ind w:firstLine="4320" w:firstLineChars="1800"/>
        <w:jc w:val="center"/>
        <w:rPr>
          <w:rFonts w:asciiTheme="minorEastAsia" w:hAnsiTheme="minorEastAsia" w:eastAsiaTheme="minorEastAsia"/>
          <w:bCs/>
          <w:sz w:val="24"/>
          <w:highlight w:val="none"/>
          <w:u w:val="single"/>
        </w:rPr>
      </w:pPr>
      <w:r>
        <w:rPr>
          <w:rFonts w:hint="eastAsia" w:asciiTheme="minorEastAsia" w:hAnsiTheme="minorEastAsia" w:eastAsiaTheme="minorEastAsia"/>
          <w:bCs/>
          <w:sz w:val="24"/>
          <w:highlight w:val="none"/>
        </w:rPr>
        <w:t>投标人电子签章：</w:t>
      </w:r>
      <w:r>
        <w:rPr>
          <w:rFonts w:hint="eastAsia" w:asciiTheme="minorEastAsia" w:hAnsiTheme="minorEastAsia" w:eastAsiaTheme="minorEastAsia"/>
          <w:bCs/>
          <w:sz w:val="24"/>
          <w:highlight w:val="none"/>
          <w:u w:val="single"/>
        </w:rPr>
        <w:t xml:space="preserve">     </w:t>
      </w:r>
      <w:r>
        <w:rPr>
          <w:rFonts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u w:val="single"/>
        </w:rPr>
        <w:t xml:space="preserve">    </w:t>
      </w:r>
    </w:p>
    <w:p w14:paraId="4E5D4B13">
      <w:pPr>
        <w:spacing w:line="360" w:lineRule="auto"/>
        <w:ind w:firstLine="4320" w:firstLineChars="1800"/>
        <w:jc w:val="center"/>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日          期：</w:t>
      </w:r>
      <w:r>
        <w:rPr>
          <w:rFonts w:hint="eastAsia" w:asciiTheme="minorEastAsia" w:hAnsiTheme="minorEastAsia" w:eastAsiaTheme="minorEastAsia"/>
          <w:bCs/>
          <w:sz w:val="24"/>
          <w:highlight w:val="none"/>
          <w:u w:val="single"/>
        </w:rPr>
        <w:t xml:space="preserve">             </w:t>
      </w:r>
    </w:p>
    <w:p w14:paraId="5029AD34">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     </w:t>
      </w:r>
    </w:p>
    <w:p w14:paraId="30F7A8CE">
      <w:pPr>
        <w:spacing w:line="360" w:lineRule="auto"/>
        <w:ind w:firstLine="360" w:firstLineChars="150"/>
        <w:rPr>
          <w:rFonts w:asciiTheme="minorEastAsia" w:hAnsiTheme="minorEastAsia" w:eastAsiaTheme="minorEastAsia"/>
          <w:sz w:val="24"/>
          <w:highlight w:val="none"/>
        </w:rPr>
      </w:pPr>
    </w:p>
    <w:p w14:paraId="2285A4EF">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注：</w:t>
      </w:r>
    </w:p>
    <w:p w14:paraId="563C441A">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此表用于开标唱标之用。</w:t>
      </w:r>
    </w:p>
    <w:p w14:paraId="65EC7315">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表中投标报价即为优惠后报价，并作为评审及定标依据。任何有选择或有条件的投标报价，或者表中某一包别填写多个报价，均为无效报价。</w:t>
      </w:r>
    </w:p>
    <w:p w14:paraId="5481B951">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3.表中大写金额与小写金额不一致的，以大写金额为准。</w:t>
      </w:r>
    </w:p>
    <w:p w14:paraId="5BCD38B9">
      <w:pPr>
        <w:spacing w:line="360" w:lineRule="auto"/>
        <w:ind w:firstLine="435"/>
        <w:rPr>
          <w:rFonts w:hint="eastAsia" w:asciiTheme="minorEastAsia" w:hAnsiTheme="minorEastAsia" w:eastAsiaTheme="minorEastAsia"/>
          <w:sz w:val="24"/>
          <w:highlight w:val="none"/>
        </w:rPr>
      </w:pPr>
    </w:p>
    <w:p w14:paraId="3AA5CCF2">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p>
    <w:p w14:paraId="27DF1174">
      <w:pPr>
        <w:spacing w:line="360" w:lineRule="auto"/>
        <w:jc w:val="center"/>
        <w:outlineLvl w:val="1"/>
        <w:rPr>
          <w:rFonts w:asciiTheme="minorEastAsia" w:hAnsiTheme="minorEastAsia" w:eastAsiaTheme="minorEastAsia"/>
          <w:b/>
          <w:sz w:val="24"/>
          <w:highlight w:val="none"/>
        </w:rPr>
      </w:pPr>
      <w:bookmarkStart w:id="58" w:name="_Toc6441"/>
      <w:bookmarkStart w:id="59" w:name="_Toc18010"/>
      <w:r>
        <w:rPr>
          <w:rFonts w:hint="eastAsia" w:asciiTheme="minorEastAsia" w:hAnsiTheme="minorEastAsia" w:eastAsiaTheme="minorEastAsia"/>
          <w:b/>
          <w:sz w:val="24"/>
          <w:highlight w:val="none"/>
        </w:rPr>
        <w:t>二、投标函</w:t>
      </w:r>
      <w:bookmarkEnd w:id="58"/>
      <w:bookmarkEnd w:id="59"/>
    </w:p>
    <w:p w14:paraId="655DD2A9">
      <w:pPr>
        <w:pStyle w:val="12"/>
        <w:spacing w:line="360" w:lineRule="auto"/>
        <w:rPr>
          <w:rFonts w:ascii="宋体" w:hAnsi="宋体"/>
          <w:sz w:val="24"/>
          <w:highlight w:val="none"/>
          <w:u w:val="single"/>
        </w:rPr>
      </w:pPr>
      <w:r>
        <w:rPr>
          <w:rFonts w:hint="eastAsia" w:ascii="宋体" w:hAnsi="宋体"/>
          <w:sz w:val="24"/>
          <w:highlight w:val="none"/>
        </w:rPr>
        <w:t>致：</w:t>
      </w:r>
      <w:r>
        <w:rPr>
          <w:rFonts w:hint="eastAsia" w:ascii="宋体" w:hAnsi="宋体"/>
          <w:sz w:val="24"/>
          <w:highlight w:val="none"/>
          <w:u w:val="single"/>
        </w:rPr>
        <w:t>采购人</w:t>
      </w:r>
    </w:p>
    <w:p w14:paraId="78C5604C">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根据贵方的招标公告和投标邀请，我方兹宣布同意如下：</w:t>
      </w:r>
    </w:p>
    <w:p w14:paraId="4608F19E">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hint="eastAsia" w:ascii="宋体" w:hAnsi="宋体" w:eastAsia="宋体" w:cs="宋体"/>
          <w:sz w:val="24"/>
          <w:szCs w:val="24"/>
          <w:highlight w:val="none"/>
        </w:rPr>
        <w:t>我方根据招标文件的规定，严格履行合同的责任和义务,并保证于买方要求的日期内完成，并通过买方验收。</w:t>
      </w:r>
    </w:p>
    <w:p w14:paraId="4F568E3D">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2.我方已详细审核全部招标文件，包括招标文件附件及更正公告（如有），我方正式认可并遵守本次招标文件，并对招标文件各项条款、规定及要求均无异议。</w:t>
      </w:r>
    </w:p>
    <w:p w14:paraId="5AC50885">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3.我方同意从招标文件规定的开标日期起遵循本招标文件，并在招标文件规定的投标有效期之前均具有约束力。</w:t>
      </w:r>
    </w:p>
    <w:p w14:paraId="446ED0F4">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7567906D">
      <w:pPr>
        <w:spacing w:line="360" w:lineRule="auto"/>
        <w:ind w:firstLine="4800" w:firstLineChars="2000"/>
        <w:rPr>
          <w:rFonts w:ascii="宋体" w:hAnsi="宋体" w:eastAsia="宋体"/>
          <w:sz w:val="24"/>
          <w:highlight w:val="none"/>
        </w:rPr>
      </w:pPr>
    </w:p>
    <w:p w14:paraId="71674702">
      <w:pPr>
        <w:spacing w:line="360" w:lineRule="auto"/>
        <w:ind w:firstLine="4800" w:firstLineChars="2000"/>
        <w:rPr>
          <w:rFonts w:ascii="宋体" w:hAnsi="宋体" w:eastAsia="宋体"/>
          <w:sz w:val="24"/>
          <w:highlight w:val="none"/>
          <w:u w:val="single"/>
        </w:rPr>
      </w:pPr>
      <w:r>
        <w:rPr>
          <w:rFonts w:hint="eastAsia" w:ascii="宋体" w:hAnsi="宋体" w:eastAsia="宋体"/>
          <w:sz w:val="24"/>
          <w:highlight w:val="none"/>
        </w:rPr>
        <w:t>投标人电子签章：</w:t>
      </w:r>
      <w:r>
        <w:rPr>
          <w:rFonts w:hint="eastAsia" w:ascii="宋体" w:hAnsi="宋体" w:eastAsia="宋体"/>
          <w:sz w:val="24"/>
          <w:highlight w:val="none"/>
          <w:u w:val="single"/>
        </w:rPr>
        <w:t xml:space="preserve">             </w:t>
      </w:r>
    </w:p>
    <w:p w14:paraId="2E89F669">
      <w:pPr>
        <w:spacing w:line="360" w:lineRule="auto"/>
        <w:ind w:firstLine="4800" w:firstLineChars="2000"/>
        <w:rPr>
          <w:rFonts w:ascii="宋体" w:hAnsi="宋体" w:eastAsia="宋体"/>
          <w:sz w:val="24"/>
          <w:highlight w:val="none"/>
          <w:u w:val="single"/>
        </w:rPr>
      </w:pPr>
      <w:r>
        <w:rPr>
          <w:rFonts w:hint="eastAsia" w:ascii="宋体" w:hAnsi="宋体" w:eastAsia="宋体"/>
          <w:sz w:val="24"/>
          <w:highlight w:val="none"/>
        </w:rPr>
        <w:t>日          期：</w:t>
      </w:r>
      <w:r>
        <w:rPr>
          <w:rFonts w:hint="eastAsia" w:ascii="宋体" w:hAnsi="宋体" w:eastAsia="宋体"/>
          <w:sz w:val="24"/>
          <w:highlight w:val="none"/>
          <w:u w:val="single"/>
        </w:rPr>
        <w:t xml:space="preserve">             </w:t>
      </w:r>
    </w:p>
    <w:p w14:paraId="06A9E807">
      <w:pPr>
        <w:widowControl/>
        <w:jc w:val="left"/>
        <w:rPr>
          <w:rFonts w:ascii="宋体" w:hAnsi="宋体" w:eastAsia="宋体"/>
          <w:sz w:val="24"/>
          <w:highlight w:val="none"/>
          <w:u w:val="single"/>
        </w:rPr>
      </w:pPr>
      <w:r>
        <w:rPr>
          <w:rFonts w:ascii="宋体" w:hAnsi="宋体" w:eastAsia="宋体"/>
          <w:sz w:val="24"/>
          <w:highlight w:val="none"/>
          <w:u w:val="single"/>
        </w:rPr>
        <w:br w:type="page"/>
      </w:r>
    </w:p>
    <w:p w14:paraId="76E44123">
      <w:pPr>
        <w:spacing w:line="360" w:lineRule="auto"/>
        <w:jc w:val="center"/>
        <w:outlineLvl w:val="1"/>
        <w:rPr>
          <w:rFonts w:asciiTheme="minorEastAsia" w:hAnsiTheme="minorEastAsia" w:eastAsiaTheme="minorEastAsia"/>
          <w:b/>
          <w:sz w:val="24"/>
          <w:highlight w:val="none"/>
        </w:rPr>
      </w:pPr>
      <w:bookmarkStart w:id="60" w:name="_Toc1328"/>
      <w:r>
        <w:rPr>
          <w:rFonts w:hint="eastAsia" w:asciiTheme="minorEastAsia" w:hAnsiTheme="minorEastAsia" w:eastAsiaTheme="minorEastAsia"/>
          <w:b/>
          <w:sz w:val="24"/>
          <w:highlight w:val="none"/>
        </w:rPr>
        <w:t>三．投标人资格声明书</w:t>
      </w:r>
      <w:bookmarkEnd w:id="60"/>
      <w:r>
        <w:rPr>
          <w:rFonts w:hint="eastAsia" w:asciiTheme="minorEastAsia" w:hAnsiTheme="minorEastAsia" w:eastAsiaTheme="minorEastAsia"/>
          <w:b/>
          <w:sz w:val="24"/>
          <w:highlight w:val="none"/>
        </w:rPr>
        <w:t xml:space="preserve"> </w:t>
      </w:r>
    </w:p>
    <w:p w14:paraId="69627AC0">
      <w:pPr>
        <w:pStyle w:val="12"/>
        <w:spacing w:line="360" w:lineRule="auto"/>
        <w:rPr>
          <w:rFonts w:asciiTheme="minorEastAsia" w:hAnsiTheme="minorEastAsia" w:cstheme="minorEastAsia"/>
          <w:sz w:val="24"/>
          <w:szCs w:val="24"/>
          <w:highlight w:val="none"/>
        </w:rPr>
      </w:pPr>
      <w:r>
        <w:rPr>
          <w:rFonts w:hint="eastAsia" w:ascii="宋体" w:hAnsi="宋体"/>
          <w:sz w:val="24"/>
          <w:highlight w:val="none"/>
        </w:rPr>
        <w:t>致：</w:t>
      </w:r>
      <w:r>
        <w:rPr>
          <w:rFonts w:hint="eastAsia" w:ascii="宋体" w:hAnsi="宋体"/>
          <w:sz w:val="24"/>
          <w:highlight w:val="none"/>
          <w:u w:val="single"/>
        </w:rPr>
        <w:t>采购人</w:t>
      </w:r>
    </w:p>
    <w:p w14:paraId="1420F164">
      <w:pPr>
        <w:widowControl/>
        <w:spacing w:line="360" w:lineRule="auto"/>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在参与本次项目投标中，我单位承诺：</w:t>
      </w:r>
    </w:p>
    <w:p w14:paraId="2F8B36C7">
      <w:pPr>
        <w:widowControl/>
        <w:spacing w:line="360" w:lineRule="auto"/>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（一）具有良好的商业信誉和健全的财务会计制度；</w:t>
      </w:r>
    </w:p>
    <w:p w14:paraId="2B398821">
      <w:pPr>
        <w:widowControl/>
        <w:spacing w:line="360" w:lineRule="auto"/>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（二）具有履行合同所必需的设备和专业技术能力；</w:t>
      </w:r>
    </w:p>
    <w:p w14:paraId="1190C108">
      <w:pPr>
        <w:widowControl/>
        <w:spacing w:line="360" w:lineRule="auto"/>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（三）有依法缴纳税收和社会保障资金的良好记录；</w:t>
      </w:r>
    </w:p>
    <w:p w14:paraId="7D689BC0">
      <w:pPr>
        <w:widowControl/>
        <w:spacing w:line="360" w:lineRule="auto"/>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C628378">
      <w:pPr>
        <w:widowControl/>
        <w:spacing w:line="360" w:lineRule="auto"/>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（五）我单位不存在为采购项目提供整体设计、规范编制或者项目管理、监理、检测等服务后，再参加该采购项目的其他采购活动的情形（单一来源采购项目除外）；</w:t>
      </w:r>
    </w:p>
    <w:p w14:paraId="38034202">
      <w:pPr>
        <w:widowControl/>
        <w:spacing w:line="360" w:lineRule="auto"/>
        <w:ind w:firstLine="480" w:firstLineChars="200"/>
        <w:jc w:val="left"/>
        <w:rPr>
          <w:rFonts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（六）与我单位存在单位负责人为同一人或者存在直接控股、管理关系的其他法人单位信息如下（如有，不论其是否参加同一合同项下的政府采购活动均须填写）：</w:t>
      </w:r>
    </w:p>
    <w:tbl>
      <w:tblPr>
        <w:tblStyle w:val="27"/>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8"/>
        <w:gridCol w:w="2839"/>
        <w:gridCol w:w="2839"/>
      </w:tblGrid>
      <w:tr w14:paraId="27D0B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tcPr>
          <w:p w14:paraId="1B04D814">
            <w:pPr>
              <w:widowControl/>
              <w:spacing w:before="156" w:beforeLines="50" w:after="10"/>
              <w:jc w:val="center"/>
              <w:rPr>
                <w:rFonts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序号</w:t>
            </w:r>
          </w:p>
        </w:tc>
        <w:tc>
          <w:tcPr>
            <w:tcW w:w="2839" w:type="dxa"/>
          </w:tcPr>
          <w:p w14:paraId="7C52F89F">
            <w:pPr>
              <w:pStyle w:val="8"/>
              <w:spacing w:before="156" w:beforeLines="50" w:after="10"/>
              <w:jc w:val="center"/>
              <w:rPr>
                <w:rFonts w:asciiTheme="minorEastAsia" w:hAnsiTheme="minorEastAsia" w:eastAsiaTheme="minorEastAsia" w:cstheme="minorEastAsia"/>
                <w:color w:val="000000"/>
                <w:kern w:val="0"/>
                <w:sz w:val="24"/>
                <w:highlight w:val="none"/>
                <w:lang w:val="en-US" w:bidi="ar"/>
              </w:rPr>
            </w:pPr>
            <w:r>
              <w:rPr>
                <w:rFonts w:hint="eastAsia" w:asciiTheme="minorEastAsia" w:hAnsiTheme="minorEastAsia" w:eastAsiaTheme="minorEastAsia" w:cstheme="minorEastAsia"/>
                <w:color w:val="000000"/>
                <w:kern w:val="0"/>
                <w:sz w:val="24"/>
                <w:highlight w:val="none"/>
                <w:lang w:val="en-US" w:bidi="ar"/>
              </w:rPr>
              <w:t>单位名称</w:t>
            </w:r>
          </w:p>
        </w:tc>
        <w:tc>
          <w:tcPr>
            <w:tcW w:w="2839" w:type="dxa"/>
          </w:tcPr>
          <w:p w14:paraId="3095325B">
            <w:pPr>
              <w:pStyle w:val="8"/>
              <w:spacing w:before="156" w:beforeLines="50" w:after="10"/>
              <w:jc w:val="center"/>
              <w:rPr>
                <w:rFonts w:asciiTheme="minorEastAsia" w:hAnsiTheme="minorEastAsia" w:eastAsiaTheme="minorEastAsia" w:cstheme="minorEastAsia"/>
                <w:color w:val="000000"/>
                <w:kern w:val="0"/>
                <w:sz w:val="24"/>
                <w:highlight w:val="none"/>
                <w:lang w:val="en-US" w:bidi="ar"/>
              </w:rPr>
            </w:pPr>
            <w:r>
              <w:rPr>
                <w:rFonts w:hint="eastAsia" w:asciiTheme="minorEastAsia" w:hAnsiTheme="minorEastAsia" w:eastAsiaTheme="minorEastAsia" w:cstheme="minorEastAsia"/>
                <w:color w:val="000000"/>
                <w:kern w:val="0"/>
                <w:sz w:val="24"/>
                <w:highlight w:val="none"/>
                <w:lang w:val="en-US" w:bidi="ar"/>
              </w:rPr>
              <w:t>相互关系</w:t>
            </w:r>
          </w:p>
        </w:tc>
      </w:tr>
      <w:tr w14:paraId="0B51F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tcPr>
          <w:p w14:paraId="7F45DF0F">
            <w:pPr>
              <w:pStyle w:val="8"/>
              <w:spacing w:before="156" w:beforeLines="50" w:after="10"/>
              <w:jc w:val="center"/>
              <w:rPr>
                <w:rFonts w:asciiTheme="minorEastAsia" w:hAnsiTheme="minorEastAsia" w:eastAsiaTheme="minorEastAsia" w:cstheme="minorEastAsia"/>
                <w:color w:val="000000"/>
                <w:kern w:val="0"/>
                <w:sz w:val="24"/>
                <w:highlight w:val="none"/>
                <w:lang w:val="en-US" w:bidi="ar"/>
              </w:rPr>
            </w:pPr>
            <w:r>
              <w:rPr>
                <w:rFonts w:hint="eastAsia" w:asciiTheme="minorEastAsia" w:hAnsiTheme="minorEastAsia" w:eastAsiaTheme="minorEastAsia" w:cstheme="minorEastAsia"/>
                <w:color w:val="000000"/>
                <w:kern w:val="0"/>
                <w:sz w:val="24"/>
                <w:highlight w:val="none"/>
                <w:lang w:val="en-US" w:bidi="ar"/>
              </w:rPr>
              <w:t>1</w:t>
            </w:r>
          </w:p>
        </w:tc>
        <w:tc>
          <w:tcPr>
            <w:tcW w:w="2839" w:type="dxa"/>
          </w:tcPr>
          <w:p w14:paraId="24E1601B">
            <w:pPr>
              <w:pStyle w:val="8"/>
              <w:spacing w:before="156" w:beforeLines="50" w:after="10"/>
              <w:jc w:val="center"/>
              <w:rPr>
                <w:rFonts w:asciiTheme="minorEastAsia" w:hAnsiTheme="minorEastAsia" w:eastAsiaTheme="minorEastAsia" w:cstheme="minorEastAsia"/>
                <w:color w:val="000000"/>
                <w:kern w:val="0"/>
                <w:sz w:val="24"/>
                <w:highlight w:val="none"/>
                <w:lang w:val="en-US" w:bidi="ar"/>
              </w:rPr>
            </w:pPr>
          </w:p>
        </w:tc>
        <w:tc>
          <w:tcPr>
            <w:tcW w:w="2839" w:type="dxa"/>
          </w:tcPr>
          <w:p w14:paraId="0996301D">
            <w:pPr>
              <w:pStyle w:val="8"/>
              <w:spacing w:before="156" w:beforeLines="50" w:after="10"/>
              <w:jc w:val="center"/>
              <w:rPr>
                <w:rFonts w:asciiTheme="minorEastAsia" w:hAnsiTheme="minorEastAsia" w:eastAsiaTheme="minorEastAsia" w:cstheme="minorEastAsia"/>
                <w:color w:val="000000"/>
                <w:kern w:val="0"/>
                <w:sz w:val="24"/>
                <w:highlight w:val="none"/>
                <w:lang w:val="en-US" w:bidi="ar"/>
              </w:rPr>
            </w:pPr>
          </w:p>
        </w:tc>
      </w:tr>
      <w:tr w14:paraId="4F41E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tcPr>
          <w:p w14:paraId="76E2388C">
            <w:pPr>
              <w:pStyle w:val="8"/>
              <w:spacing w:before="156" w:beforeLines="50" w:after="10"/>
              <w:jc w:val="center"/>
              <w:rPr>
                <w:rFonts w:asciiTheme="minorEastAsia" w:hAnsiTheme="minorEastAsia" w:eastAsiaTheme="minorEastAsia" w:cstheme="minorEastAsia"/>
                <w:color w:val="000000"/>
                <w:kern w:val="0"/>
                <w:sz w:val="24"/>
                <w:highlight w:val="none"/>
                <w:lang w:val="en-US" w:bidi="ar"/>
              </w:rPr>
            </w:pPr>
            <w:r>
              <w:rPr>
                <w:rFonts w:hint="eastAsia" w:asciiTheme="minorEastAsia" w:hAnsiTheme="minorEastAsia" w:eastAsiaTheme="minorEastAsia" w:cstheme="minorEastAsia"/>
                <w:color w:val="000000"/>
                <w:kern w:val="0"/>
                <w:sz w:val="24"/>
                <w:highlight w:val="none"/>
                <w:lang w:val="en-US" w:bidi="ar"/>
              </w:rPr>
              <w:t>2</w:t>
            </w:r>
          </w:p>
        </w:tc>
        <w:tc>
          <w:tcPr>
            <w:tcW w:w="2839" w:type="dxa"/>
          </w:tcPr>
          <w:p w14:paraId="56C5D667">
            <w:pPr>
              <w:pStyle w:val="8"/>
              <w:spacing w:before="156" w:beforeLines="50" w:after="10"/>
              <w:jc w:val="center"/>
              <w:rPr>
                <w:rFonts w:asciiTheme="minorEastAsia" w:hAnsiTheme="minorEastAsia" w:eastAsiaTheme="minorEastAsia" w:cstheme="minorEastAsia"/>
                <w:color w:val="000000"/>
                <w:kern w:val="0"/>
                <w:sz w:val="24"/>
                <w:highlight w:val="none"/>
                <w:lang w:val="en-US" w:bidi="ar"/>
              </w:rPr>
            </w:pPr>
          </w:p>
        </w:tc>
        <w:tc>
          <w:tcPr>
            <w:tcW w:w="2839" w:type="dxa"/>
          </w:tcPr>
          <w:p w14:paraId="042791A2">
            <w:pPr>
              <w:pStyle w:val="8"/>
              <w:spacing w:before="156" w:beforeLines="50" w:after="10"/>
              <w:jc w:val="center"/>
              <w:rPr>
                <w:rFonts w:asciiTheme="minorEastAsia" w:hAnsiTheme="minorEastAsia" w:eastAsiaTheme="minorEastAsia" w:cstheme="minorEastAsia"/>
                <w:color w:val="000000"/>
                <w:kern w:val="0"/>
                <w:sz w:val="24"/>
                <w:highlight w:val="none"/>
                <w:lang w:val="en-US" w:bidi="ar"/>
              </w:rPr>
            </w:pPr>
          </w:p>
        </w:tc>
      </w:tr>
    </w:tbl>
    <w:p w14:paraId="4AFF1ACA">
      <w:pPr>
        <w:spacing w:line="360" w:lineRule="auto"/>
        <w:ind w:firstLine="435"/>
        <w:rPr>
          <w:rFonts w:ascii="宋体" w:hAnsi="宋体" w:eastAsia="宋体"/>
          <w:sz w:val="24"/>
          <w:highlight w:val="none"/>
        </w:rPr>
      </w:pPr>
      <w:r>
        <w:rPr>
          <w:rFonts w:hint="eastAsia" w:ascii="宋体" w:hAnsi="宋体" w:eastAsia="宋体"/>
          <w:sz w:val="24"/>
          <w:highlight w:val="none"/>
        </w:rPr>
        <w:t>本单位对</w:t>
      </w:r>
      <w:r>
        <w:rPr>
          <w:rFonts w:hint="eastAsia" w:asciiTheme="minorEastAsia" w:hAnsiTheme="minorEastAsia" w:eastAsiaTheme="minorEastAsia"/>
          <w:sz w:val="24"/>
          <w:highlight w:val="none"/>
        </w:rPr>
        <w:t>上述</w:t>
      </w:r>
      <w:r>
        <w:rPr>
          <w:rFonts w:hint="eastAsia" w:ascii="宋体" w:hAnsi="宋体" w:eastAsia="宋体"/>
          <w:sz w:val="24"/>
          <w:highlight w:val="none"/>
        </w:rPr>
        <w:t>声明的真实性负责。如有虚假，将依法承担相应责任。</w:t>
      </w:r>
    </w:p>
    <w:p w14:paraId="2C581FA8">
      <w:pPr>
        <w:spacing w:line="360" w:lineRule="auto"/>
        <w:ind w:firstLine="4800" w:firstLineChars="2000"/>
        <w:rPr>
          <w:rFonts w:ascii="宋体" w:hAnsi="宋体" w:eastAsia="宋体"/>
          <w:sz w:val="24"/>
          <w:highlight w:val="none"/>
          <w:u w:val="single"/>
        </w:rPr>
      </w:pPr>
      <w:r>
        <w:rPr>
          <w:rFonts w:hint="eastAsia" w:ascii="宋体" w:hAnsi="宋体" w:eastAsia="宋体"/>
          <w:sz w:val="24"/>
          <w:highlight w:val="none"/>
        </w:rPr>
        <w:t>投标人电子签章：</w:t>
      </w:r>
      <w:r>
        <w:rPr>
          <w:rFonts w:hint="eastAsia" w:ascii="宋体" w:hAnsi="宋体" w:eastAsia="宋体"/>
          <w:sz w:val="24"/>
          <w:highlight w:val="none"/>
          <w:u w:val="single"/>
        </w:rPr>
        <w:t xml:space="preserve">     </w:t>
      </w:r>
      <w:r>
        <w:rPr>
          <w:rFonts w:ascii="宋体" w:hAnsi="宋体" w:eastAsia="宋体"/>
          <w:sz w:val="24"/>
          <w:highlight w:val="none"/>
          <w:u w:val="single"/>
        </w:rPr>
        <w:t xml:space="preserve">    </w:t>
      </w:r>
      <w:r>
        <w:rPr>
          <w:rFonts w:hint="eastAsia" w:ascii="宋体" w:hAnsi="宋体" w:eastAsia="宋体"/>
          <w:sz w:val="24"/>
          <w:highlight w:val="none"/>
          <w:u w:val="single"/>
        </w:rPr>
        <w:t xml:space="preserve">    </w:t>
      </w:r>
    </w:p>
    <w:p w14:paraId="7CC1FF4B">
      <w:pPr>
        <w:tabs>
          <w:tab w:val="left" w:pos="630"/>
        </w:tabs>
        <w:spacing w:line="360" w:lineRule="auto"/>
        <w:ind w:firstLine="4800" w:firstLineChars="2000"/>
        <w:rPr>
          <w:rFonts w:ascii="宋体" w:hAnsi="宋体" w:eastAsia="宋体"/>
          <w:sz w:val="24"/>
          <w:highlight w:val="none"/>
          <w:u w:val="single"/>
        </w:rPr>
      </w:pPr>
      <w:r>
        <w:rPr>
          <w:rFonts w:hint="eastAsia" w:ascii="宋体" w:hAnsi="宋体" w:eastAsia="宋体"/>
          <w:sz w:val="24"/>
          <w:highlight w:val="none"/>
        </w:rPr>
        <w:t xml:space="preserve">日     </w:t>
      </w:r>
      <w:r>
        <w:rPr>
          <w:rFonts w:ascii="宋体" w:hAnsi="宋体" w:eastAsia="宋体"/>
          <w:sz w:val="24"/>
          <w:highlight w:val="none"/>
        </w:rPr>
        <w:t xml:space="preserve">    </w:t>
      </w:r>
      <w:r>
        <w:rPr>
          <w:rFonts w:hint="eastAsia" w:ascii="宋体" w:hAnsi="宋体" w:eastAsia="宋体"/>
          <w:sz w:val="24"/>
          <w:highlight w:val="none"/>
        </w:rPr>
        <w:t xml:space="preserve"> 期：</w:t>
      </w:r>
      <w:r>
        <w:rPr>
          <w:rFonts w:hint="eastAsia" w:ascii="宋体" w:hAnsi="宋体" w:eastAsia="宋体"/>
          <w:sz w:val="24"/>
          <w:highlight w:val="none"/>
          <w:u w:val="single"/>
        </w:rPr>
        <w:t xml:space="preserve">             </w:t>
      </w:r>
    </w:p>
    <w:p w14:paraId="47DBFC83">
      <w:pPr>
        <w:pStyle w:val="8"/>
        <w:rPr>
          <w:rFonts w:asciiTheme="minorEastAsia" w:hAnsiTheme="minorEastAsia" w:eastAsiaTheme="minorEastAsia" w:cstheme="minorEastAsia"/>
          <w:color w:val="000000"/>
          <w:kern w:val="0"/>
          <w:sz w:val="24"/>
          <w:highlight w:val="none"/>
          <w:lang w:val="en-US" w:bidi="ar"/>
        </w:rPr>
      </w:pPr>
    </w:p>
    <w:p w14:paraId="32339B36">
      <w:pPr>
        <w:pStyle w:val="8"/>
        <w:rPr>
          <w:rFonts w:asciiTheme="minorEastAsia" w:hAnsiTheme="minorEastAsia" w:eastAsiaTheme="minorEastAsia" w:cstheme="minorEastAsia"/>
          <w:color w:val="000000"/>
          <w:kern w:val="0"/>
          <w:sz w:val="24"/>
          <w:highlight w:val="none"/>
          <w:lang w:val="en-US" w:bidi="ar"/>
        </w:rPr>
      </w:pPr>
    </w:p>
    <w:p w14:paraId="68184597">
      <w:pPr>
        <w:pStyle w:val="8"/>
        <w:rPr>
          <w:rFonts w:asciiTheme="minorEastAsia" w:hAnsiTheme="minorEastAsia" w:eastAsiaTheme="minorEastAsia" w:cstheme="minorEastAsia"/>
          <w:color w:val="000000"/>
          <w:kern w:val="0"/>
          <w:sz w:val="24"/>
          <w:highlight w:val="none"/>
          <w:lang w:val="en-US" w:bidi="ar"/>
        </w:rPr>
      </w:pPr>
    </w:p>
    <w:p w14:paraId="2B026459">
      <w:pPr>
        <w:rPr>
          <w:rFonts w:asciiTheme="minorEastAsia" w:hAnsiTheme="minorEastAsia" w:eastAsiaTheme="minorEastAsia"/>
          <w:b/>
          <w:sz w:val="24"/>
          <w:highlight w:val="none"/>
        </w:rPr>
      </w:pPr>
      <w:bookmarkStart w:id="61" w:name="_Toc11607"/>
      <w:r>
        <w:rPr>
          <w:rFonts w:hint="eastAsia" w:asciiTheme="minorEastAsia" w:hAnsiTheme="minorEastAsia" w:eastAsiaTheme="minorEastAsia"/>
          <w:b/>
          <w:sz w:val="24"/>
          <w:highlight w:val="none"/>
        </w:rPr>
        <w:br w:type="page"/>
      </w:r>
    </w:p>
    <w:p w14:paraId="03C7CAFB">
      <w:pPr>
        <w:spacing w:line="360" w:lineRule="auto"/>
        <w:jc w:val="center"/>
        <w:outlineLvl w:val="1"/>
        <w:rPr>
          <w:rFonts w:asciiTheme="minorEastAsia" w:hAnsiTheme="minorEastAsia" w:eastAsiaTheme="minorEastAsia"/>
          <w:b/>
          <w:sz w:val="24"/>
          <w:highlight w:val="none"/>
        </w:rPr>
      </w:pPr>
      <w:bookmarkStart w:id="62" w:name="_Toc16960"/>
      <w:r>
        <w:rPr>
          <w:rFonts w:hint="eastAsia" w:asciiTheme="minorEastAsia" w:hAnsiTheme="minorEastAsia" w:eastAsiaTheme="minorEastAsia"/>
          <w:b/>
          <w:sz w:val="24"/>
          <w:highlight w:val="none"/>
        </w:rPr>
        <w:t>四、授权书</w:t>
      </w:r>
      <w:bookmarkEnd w:id="61"/>
      <w:bookmarkEnd w:id="62"/>
    </w:p>
    <w:p w14:paraId="377CAC73">
      <w:pPr>
        <w:pStyle w:val="11"/>
        <w:snapToGrid w:val="0"/>
        <w:spacing w:line="360" w:lineRule="auto"/>
        <w:ind w:firstLine="480" w:firstLineChars="200"/>
        <w:jc w:val="left"/>
        <w:rPr>
          <w:rFonts w:hAnsi="宋体" w:eastAsia="宋体"/>
          <w:sz w:val="24"/>
          <w:szCs w:val="28"/>
          <w:highlight w:val="none"/>
        </w:rPr>
      </w:pPr>
    </w:p>
    <w:p w14:paraId="7D023EF1">
      <w:pPr>
        <w:spacing w:line="360" w:lineRule="auto"/>
        <w:ind w:firstLine="435"/>
        <w:rPr>
          <w:rFonts w:hAnsi="宋体" w:eastAsia="宋体"/>
          <w:sz w:val="24"/>
          <w:szCs w:val="28"/>
          <w:highlight w:val="none"/>
        </w:rPr>
      </w:pPr>
      <w:r>
        <w:rPr>
          <w:rFonts w:hint="eastAsia" w:hAnsi="宋体" w:eastAsia="宋体"/>
          <w:sz w:val="24"/>
          <w:szCs w:val="28"/>
          <w:highlight w:val="none"/>
        </w:rPr>
        <w:t>本</w:t>
      </w:r>
      <w:r>
        <w:rPr>
          <w:rFonts w:hint="eastAsia" w:asciiTheme="minorEastAsia" w:hAnsiTheme="minorEastAsia" w:eastAsiaTheme="minorEastAsia"/>
          <w:sz w:val="24"/>
          <w:highlight w:val="none"/>
        </w:rPr>
        <w:t>授权</w:t>
      </w:r>
      <w:r>
        <w:rPr>
          <w:rFonts w:hint="eastAsia" w:hAnsi="宋体" w:eastAsia="宋体"/>
          <w:sz w:val="24"/>
          <w:szCs w:val="28"/>
          <w:highlight w:val="none"/>
        </w:rPr>
        <w:t>书声明：</w:t>
      </w:r>
      <w:r>
        <w:rPr>
          <w:rFonts w:hint="eastAsia" w:hAnsi="宋体" w:eastAsia="宋体"/>
          <w:sz w:val="24"/>
          <w:szCs w:val="28"/>
          <w:highlight w:val="none"/>
          <w:u w:val="single"/>
        </w:rPr>
        <w:t xml:space="preserve">           </w:t>
      </w:r>
      <w:r>
        <w:rPr>
          <w:rFonts w:hint="eastAsia" w:hAnsi="宋体" w:eastAsia="宋体"/>
          <w:sz w:val="24"/>
          <w:szCs w:val="28"/>
          <w:highlight w:val="none"/>
        </w:rPr>
        <w:t>（投标人名称）授权</w:t>
      </w:r>
      <w:r>
        <w:rPr>
          <w:rFonts w:hint="eastAsia" w:hAnsi="宋体" w:eastAsia="宋体"/>
          <w:sz w:val="24"/>
          <w:szCs w:val="28"/>
          <w:highlight w:val="none"/>
          <w:u w:val="single"/>
        </w:rPr>
        <w:t xml:space="preserve">       </w:t>
      </w:r>
      <w:r>
        <w:rPr>
          <w:rFonts w:hint="eastAsia" w:hAnsi="宋体" w:eastAsia="宋体"/>
          <w:sz w:val="24"/>
          <w:szCs w:val="28"/>
          <w:highlight w:val="none"/>
        </w:rPr>
        <w:t>（投标人授权代表姓名）代表我方参加本项目</w:t>
      </w:r>
      <w:r>
        <w:rPr>
          <w:rFonts w:hint="eastAsia" w:hAnsi="宋体" w:eastAsia="宋体"/>
          <w:bCs/>
          <w:sz w:val="24"/>
          <w:szCs w:val="28"/>
          <w:highlight w:val="none"/>
        </w:rPr>
        <w:t>采购活动</w:t>
      </w:r>
      <w:r>
        <w:rPr>
          <w:rFonts w:hint="eastAsia" w:hAnsi="宋体" w:eastAsia="宋体"/>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08E429EA">
      <w:pPr>
        <w:spacing w:line="360" w:lineRule="auto"/>
        <w:ind w:firstLine="435"/>
        <w:rPr>
          <w:rFonts w:hAnsi="宋体" w:eastAsia="宋体"/>
          <w:sz w:val="24"/>
          <w:szCs w:val="28"/>
          <w:highlight w:val="none"/>
        </w:rPr>
      </w:pPr>
      <w:r>
        <w:rPr>
          <w:rFonts w:hint="eastAsia" w:hAnsi="宋体" w:eastAsia="宋体"/>
          <w:sz w:val="24"/>
          <w:szCs w:val="28"/>
          <w:highlight w:val="none"/>
        </w:rPr>
        <w:t>本授权书自出具之日起生效。</w:t>
      </w:r>
    </w:p>
    <w:p w14:paraId="6B71E102">
      <w:pPr>
        <w:spacing w:line="360" w:lineRule="auto"/>
        <w:ind w:firstLine="435"/>
        <w:rPr>
          <w:rFonts w:hAnsi="宋体" w:eastAsia="宋体"/>
          <w:sz w:val="24"/>
          <w:highlight w:val="none"/>
        </w:rPr>
      </w:pPr>
      <w:r>
        <w:rPr>
          <w:rFonts w:hint="eastAsia" w:hAnsi="宋体" w:eastAsia="宋体"/>
          <w:sz w:val="24"/>
          <w:szCs w:val="28"/>
          <w:highlight w:val="none"/>
        </w:rPr>
        <w:t>授权</w:t>
      </w:r>
      <w:r>
        <w:rPr>
          <w:rFonts w:hint="eastAsia" w:asciiTheme="minorEastAsia" w:hAnsiTheme="minorEastAsia" w:eastAsiaTheme="minorEastAsia"/>
          <w:sz w:val="24"/>
          <w:highlight w:val="none"/>
        </w:rPr>
        <w:t>代表</w:t>
      </w:r>
      <w:r>
        <w:rPr>
          <w:rFonts w:hint="eastAsia" w:hAnsi="宋体" w:eastAsia="宋体"/>
          <w:sz w:val="24"/>
          <w:highlight w:val="none"/>
        </w:rPr>
        <w:t>身份证明扫描件：</w:t>
      </w:r>
    </w:p>
    <w:p w14:paraId="4060373A">
      <w:pPr>
        <w:spacing w:line="360" w:lineRule="auto"/>
        <w:ind w:firstLine="435"/>
        <w:rPr>
          <w:rFonts w:asciiTheme="minorEastAsia" w:hAnsiTheme="minorEastAsia" w:eastAsiaTheme="minorEastAsia"/>
          <w:sz w:val="24"/>
          <w:highlight w:val="none"/>
        </w:rPr>
      </w:pPr>
    </w:p>
    <w:p w14:paraId="7DEF681A">
      <w:pPr>
        <w:spacing w:line="360" w:lineRule="auto"/>
        <w:ind w:firstLine="435"/>
        <w:rPr>
          <w:rFonts w:asciiTheme="minorEastAsia" w:hAnsiTheme="minorEastAsia" w:eastAsiaTheme="minorEastAsia"/>
          <w:sz w:val="24"/>
          <w:highlight w:val="none"/>
        </w:rPr>
      </w:pPr>
    </w:p>
    <w:p w14:paraId="4ED857C0">
      <w:pPr>
        <w:spacing w:line="360" w:lineRule="auto"/>
        <w:ind w:firstLine="435"/>
        <w:rPr>
          <w:rFonts w:asciiTheme="minorEastAsia" w:hAnsiTheme="minorEastAsia" w:eastAsiaTheme="minorEastAsia"/>
          <w:sz w:val="24"/>
          <w:highlight w:val="none"/>
        </w:rPr>
      </w:pPr>
    </w:p>
    <w:p w14:paraId="38A30670">
      <w:pPr>
        <w:spacing w:line="360" w:lineRule="auto"/>
        <w:ind w:firstLine="435"/>
        <w:rPr>
          <w:rFonts w:hAnsi="宋体" w:eastAsia="宋体"/>
          <w:sz w:val="24"/>
          <w:szCs w:val="28"/>
          <w:highlight w:val="none"/>
          <w:u w:val="single"/>
          <w:lang w:val="zh-CN"/>
        </w:rPr>
      </w:pPr>
      <w:r>
        <w:rPr>
          <w:rFonts w:hint="eastAsia" w:hAnsi="宋体" w:eastAsia="宋体"/>
          <w:sz w:val="24"/>
          <w:szCs w:val="28"/>
          <w:highlight w:val="none"/>
        </w:rPr>
        <w:t>授权代表联系方式：</w:t>
      </w:r>
      <w:r>
        <w:rPr>
          <w:rFonts w:hint="eastAsia" w:hAnsi="宋体" w:eastAsia="宋体"/>
          <w:sz w:val="24"/>
          <w:szCs w:val="28"/>
          <w:highlight w:val="none"/>
          <w:u w:val="single"/>
        </w:rPr>
        <w:t xml:space="preserve">          （请填写手机号码）</w:t>
      </w:r>
    </w:p>
    <w:p w14:paraId="0D874964">
      <w:pPr>
        <w:spacing w:line="360" w:lineRule="auto"/>
        <w:ind w:firstLine="435"/>
        <w:rPr>
          <w:rFonts w:hAnsi="宋体" w:eastAsia="宋体"/>
          <w:sz w:val="24"/>
          <w:szCs w:val="28"/>
          <w:highlight w:val="none"/>
          <w:lang w:val="zh-CN"/>
        </w:rPr>
      </w:pPr>
    </w:p>
    <w:p w14:paraId="2069F0B6">
      <w:pPr>
        <w:spacing w:line="360" w:lineRule="auto"/>
        <w:ind w:firstLine="435"/>
        <w:rPr>
          <w:rFonts w:ascii="宋体" w:hAnsi="宋体" w:eastAsia="宋体"/>
          <w:sz w:val="24"/>
          <w:szCs w:val="28"/>
          <w:highlight w:val="none"/>
        </w:rPr>
      </w:pPr>
      <w:r>
        <w:rPr>
          <w:rFonts w:hint="eastAsia" w:asciiTheme="minorEastAsia" w:hAnsiTheme="minorEastAsia" w:eastAsiaTheme="minorEastAsia"/>
          <w:sz w:val="24"/>
          <w:highlight w:val="none"/>
        </w:rPr>
        <w:t>特此</w:t>
      </w:r>
      <w:r>
        <w:rPr>
          <w:rFonts w:hint="eastAsia" w:ascii="宋体" w:hAnsi="宋体" w:eastAsia="宋体"/>
          <w:sz w:val="24"/>
          <w:szCs w:val="28"/>
          <w:highlight w:val="none"/>
        </w:rPr>
        <w:t>声明。</w:t>
      </w:r>
    </w:p>
    <w:p w14:paraId="659527B1">
      <w:pPr>
        <w:spacing w:line="360" w:lineRule="auto"/>
        <w:rPr>
          <w:rFonts w:ascii="宋体" w:hAnsi="宋体" w:eastAsia="宋体"/>
          <w:sz w:val="24"/>
          <w:szCs w:val="28"/>
          <w:highlight w:val="none"/>
        </w:rPr>
      </w:pPr>
    </w:p>
    <w:p w14:paraId="5F4125F3">
      <w:pPr>
        <w:spacing w:line="360" w:lineRule="auto"/>
        <w:ind w:firstLine="435"/>
        <w:jc w:val="center"/>
        <w:rPr>
          <w:rFonts w:ascii="宋体" w:hAnsi="宋体" w:eastAsia="宋体"/>
          <w:bCs/>
          <w:sz w:val="24"/>
          <w:szCs w:val="28"/>
          <w:highlight w:val="none"/>
        </w:rPr>
      </w:pPr>
      <w:r>
        <w:rPr>
          <w:rFonts w:hint="eastAsia" w:ascii="宋体" w:hAnsi="宋体" w:eastAsia="宋体"/>
          <w:bCs/>
          <w:sz w:val="24"/>
          <w:szCs w:val="28"/>
          <w:highlight w:val="none"/>
        </w:rPr>
        <w:t xml:space="preserve">                            投标人电子签章：</w:t>
      </w:r>
      <w:r>
        <w:rPr>
          <w:rFonts w:hint="eastAsia" w:ascii="宋体" w:hAnsi="宋体" w:eastAsia="宋体"/>
          <w:bCs/>
          <w:sz w:val="24"/>
          <w:szCs w:val="28"/>
          <w:highlight w:val="none"/>
          <w:u w:val="single"/>
        </w:rPr>
        <w:t xml:space="preserve">                    </w:t>
      </w:r>
    </w:p>
    <w:p w14:paraId="3FEAFB1B">
      <w:pPr>
        <w:spacing w:line="360" w:lineRule="auto"/>
        <w:ind w:firstLine="435"/>
        <w:jc w:val="center"/>
        <w:rPr>
          <w:rFonts w:ascii="宋体" w:hAnsi="宋体" w:eastAsia="宋体"/>
          <w:sz w:val="24"/>
          <w:szCs w:val="28"/>
          <w:highlight w:val="none"/>
        </w:rPr>
      </w:pPr>
      <w:r>
        <w:rPr>
          <w:rFonts w:hint="eastAsia" w:ascii="宋体" w:hAnsi="宋体" w:eastAsia="宋体"/>
          <w:sz w:val="24"/>
          <w:szCs w:val="28"/>
          <w:highlight w:val="none"/>
        </w:rPr>
        <w:t xml:space="preserve">                            日          期：</w:t>
      </w:r>
      <w:r>
        <w:rPr>
          <w:rFonts w:hint="eastAsia" w:ascii="宋体" w:hAnsi="宋体" w:eastAsia="宋体"/>
          <w:b/>
          <w:bCs/>
          <w:sz w:val="24"/>
          <w:szCs w:val="28"/>
          <w:highlight w:val="none"/>
          <w:u w:val="single"/>
        </w:rPr>
        <w:t xml:space="preserve">                    </w:t>
      </w:r>
    </w:p>
    <w:p w14:paraId="5D0C9390">
      <w:pPr>
        <w:spacing w:line="360" w:lineRule="auto"/>
        <w:ind w:firstLine="435"/>
        <w:rPr>
          <w:rFonts w:asciiTheme="minorEastAsia" w:hAnsiTheme="minorEastAsia" w:eastAsiaTheme="minorEastAsia"/>
          <w:sz w:val="24"/>
          <w:highlight w:val="none"/>
        </w:rPr>
      </w:pPr>
    </w:p>
    <w:p w14:paraId="4DF499DA">
      <w:pPr>
        <w:spacing w:line="360" w:lineRule="auto"/>
        <w:ind w:firstLine="435"/>
        <w:rPr>
          <w:rFonts w:asciiTheme="minorEastAsia" w:hAnsiTheme="minorEastAsia" w:eastAsiaTheme="minorEastAsia"/>
          <w:sz w:val="24"/>
          <w:highlight w:val="none"/>
        </w:rPr>
      </w:pPr>
    </w:p>
    <w:p w14:paraId="5A0DC9A2">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注：</w:t>
      </w:r>
    </w:p>
    <w:p w14:paraId="531341C1">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1.本项目只允许有唯一的投标人授权代表，提供身份证明扫描件；</w:t>
      </w:r>
    </w:p>
    <w:p w14:paraId="537D6590">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2.法定代表人参加投标的无需提供授权书，提供身份证明扫描件。</w:t>
      </w:r>
    </w:p>
    <w:p w14:paraId="76212DBF">
      <w:pPr>
        <w:widowControl/>
        <w:jc w:val="left"/>
        <w:rPr>
          <w:rFonts w:hint="eastAsia" w:asciiTheme="minorEastAsia" w:hAnsiTheme="minorEastAsia" w:eastAsiaTheme="minorEastAsia"/>
          <w:sz w:val="24"/>
          <w:highlight w:val="none"/>
        </w:rPr>
      </w:pPr>
      <w:r>
        <w:rPr>
          <w:rFonts w:asciiTheme="minorEastAsia" w:hAnsiTheme="minorEastAsia" w:eastAsiaTheme="minorEastAsia"/>
          <w:sz w:val="24"/>
          <w:highlight w:val="none"/>
        </w:rPr>
        <w:br w:type="page"/>
      </w:r>
    </w:p>
    <w:p w14:paraId="27325C1C">
      <w:pPr>
        <w:spacing w:line="360" w:lineRule="auto"/>
        <w:jc w:val="center"/>
        <w:outlineLvl w:val="1"/>
        <w:rPr>
          <w:rFonts w:hint="eastAsia" w:asciiTheme="minorEastAsia" w:hAnsiTheme="minorEastAsia" w:eastAsiaTheme="minorEastAsia"/>
          <w:b/>
          <w:sz w:val="24"/>
          <w:highlight w:val="none"/>
          <w:lang w:eastAsia="zh-CN"/>
        </w:rPr>
      </w:pPr>
      <w:r>
        <w:rPr>
          <w:rFonts w:hint="eastAsia" w:asciiTheme="minorEastAsia" w:hAnsiTheme="minorEastAsia" w:eastAsiaTheme="minorEastAsia"/>
          <w:b/>
          <w:sz w:val="24"/>
          <w:highlight w:val="none"/>
        </w:rPr>
        <w:t>五、投标分项报价表</w:t>
      </w:r>
    </w:p>
    <w:tbl>
      <w:tblPr>
        <w:tblStyle w:val="26"/>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323"/>
        <w:gridCol w:w="1317"/>
        <w:gridCol w:w="1317"/>
        <w:gridCol w:w="671"/>
        <w:gridCol w:w="671"/>
        <w:gridCol w:w="939"/>
        <w:gridCol w:w="939"/>
        <w:gridCol w:w="669"/>
      </w:tblGrid>
      <w:tr w14:paraId="5213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0" w:type="dxa"/>
            <w:vAlign w:val="center"/>
          </w:tcPr>
          <w:p w14:paraId="06871E2E">
            <w:pPr>
              <w:pStyle w:val="47"/>
              <w:widowControl w:val="0"/>
              <w:spacing w:before="0" w:beforeAutospacing="0" w:after="0" w:afterAutospacing="0"/>
              <w:rPr>
                <w:rFonts w:asciiTheme="minorEastAsia" w:hAnsiTheme="minorEastAsia" w:eastAsiaTheme="minorEastAsia"/>
                <w:bCs w:val="0"/>
                <w:kern w:val="2"/>
                <w:sz w:val="24"/>
                <w:szCs w:val="20"/>
                <w:highlight w:val="none"/>
              </w:rPr>
            </w:pPr>
            <w:r>
              <w:rPr>
                <w:rFonts w:hint="eastAsia" w:asciiTheme="minorEastAsia" w:hAnsiTheme="minorEastAsia" w:eastAsiaTheme="minorEastAsia"/>
                <w:bCs w:val="0"/>
                <w:kern w:val="2"/>
                <w:sz w:val="24"/>
                <w:szCs w:val="20"/>
                <w:highlight w:val="none"/>
              </w:rPr>
              <w:t>序号</w:t>
            </w:r>
          </w:p>
        </w:tc>
        <w:tc>
          <w:tcPr>
            <w:tcW w:w="1323" w:type="dxa"/>
            <w:vAlign w:val="center"/>
          </w:tcPr>
          <w:p w14:paraId="3CB2A185">
            <w:pPr>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货物名称</w:t>
            </w:r>
          </w:p>
        </w:tc>
        <w:tc>
          <w:tcPr>
            <w:tcW w:w="1317" w:type="dxa"/>
            <w:vAlign w:val="center"/>
          </w:tcPr>
          <w:p w14:paraId="2F501E00">
            <w:pPr>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品牌、型</w:t>
            </w:r>
          </w:p>
          <w:p w14:paraId="25A733AC">
            <w:pPr>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号</w:t>
            </w:r>
          </w:p>
        </w:tc>
        <w:tc>
          <w:tcPr>
            <w:tcW w:w="1317" w:type="dxa"/>
            <w:vAlign w:val="center"/>
          </w:tcPr>
          <w:p w14:paraId="290DF7C9">
            <w:pPr>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原产地及</w:t>
            </w:r>
          </w:p>
          <w:p w14:paraId="16F36475">
            <w:pPr>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生产厂商</w:t>
            </w:r>
          </w:p>
        </w:tc>
        <w:tc>
          <w:tcPr>
            <w:tcW w:w="671" w:type="dxa"/>
            <w:vAlign w:val="center"/>
          </w:tcPr>
          <w:p w14:paraId="4E5308C3">
            <w:pPr>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单位</w:t>
            </w:r>
          </w:p>
        </w:tc>
        <w:tc>
          <w:tcPr>
            <w:tcW w:w="671" w:type="dxa"/>
            <w:vAlign w:val="center"/>
          </w:tcPr>
          <w:p w14:paraId="6F7A0DD6">
            <w:pPr>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数量</w:t>
            </w:r>
          </w:p>
        </w:tc>
        <w:tc>
          <w:tcPr>
            <w:tcW w:w="939" w:type="dxa"/>
            <w:vAlign w:val="center"/>
          </w:tcPr>
          <w:p w14:paraId="4CEE3B2A">
            <w:pPr>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单价</w:t>
            </w:r>
          </w:p>
          <w:p w14:paraId="09B768B7">
            <w:pPr>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（元）</w:t>
            </w:r>
          </w:p>
        </w:tc>
        <w:tc>
          <w:tcPr>
            <w:tcW w:w="939" w:type="dxa"/>
            <w:vAlign w:val="center"/>
          </w:tcPr>
          <w:p w14:paraId="48640C85">
            <w:pPr>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小计</w:t>
            </w:r>
          </w:p>
          <w:p w14:paraId="7359E4C9">
            <w:pPr>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（元）</w:t>
            </w:r>
          </w:p>
        </w:tc>
        <w:tc>
          <w:tcPr>
            <w:tcW w:w="669" w:type="dxa"/>
            <w:vAlign w:val="center"/>
          </w:tcPr>
          <w:p w14:paraId="50EC848B">
            <w:pPr>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备注</w:t>
            </w:r>
          </w:p>
        </w:tc>
      </w:tr>
      <w:tr w14:paraId="542D8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0" w:type="dxa"/>
            <w:tcBorders>
              <w:bottom w:val="single" w:color="auto" w:sz="4" w:space="0"/>
            </w:tcBorders>
          </w:tcPr>
          <w:p w14:paraId="4F6A477E">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p>
        </w:tc>
        <w:tc>
          <w:tcPr>
            <w:tcW w:w="1323" w:type="dxa"/>
          </w:tcPr>
          <w:p w14:paraId="6C802546">
            <w:pPr>
              <w:rPr>
                <w:rFonts w:asciiTheme="minorEastAsia" w:hAnsiTheme="minorEastAsia" w:eastAsiaTheme="minorEastAsia"/>
                <w:sz w:val="24"/>
                <w:highlight w:val="none"/>
              </w:rPr>
            </w:pPr>
          </w:p>
        </w:tc>
        <w:tc>
          <w:tcPr>
            <w:tcW w:w="1317" w:type="dxa"/>
          </w:tcPr>
          <w:p w14:paraId="7D28D061">
            <w:pPr>
              <w:rPr>
                <w:rFonts w:asciiTheme="minorEastAsia" w:hAnsiTheme="minorEastAsia" w:eastAsiaTheme="minorEastAsia"/>
                <w:sz w:val="24"/>
                <w:highlight w:val="none"/>
              </w:rPr>
            </w:pPr>
          </w:p>
        </w:tc>
        <w:tc>
          <w:tcPr>
            <w:tcW w:w="1317" w:type="dxa"/>
          </w:tcPr>
          <w:p w14:paraId="102E8E42">
            <w:pPr>
              <w:rPr>
                <w:rFonts w:asciiTheme="minorEastAsia" w:hAnsiTheme="minorEastAsia" w:eastAsiaTheme="minorEastAsia"/>
                <w:sz w:val="24"/>
                <w:highlight w:val="none"/>
              </w:rPr>
            </w:pPr>
          </w:p>
        </w:tc>
        <w:tc>
          <w:tcPr>
            <w:tcW w:w="671" w:type="dxa"/>
          </w:tcPr>
          <w:p w14:paraId="67C85DFE">
            <w:pPr>
              <w:rPr>
                <w:rFonts w:asciiTheme="minorEastAsia" w:hAnsiTheme="minorEastAsia" w:eastAsiaTheme="minorEastAsia"/>
                <w:sz w:val="24"/>
                <w:highlight w:val="none"/>
              </w:rPr>
            </w:pPr>
          </w:p>
        </w:tc>
        <w:tc>
          <w:tcPr>
            <w:tcW w:w="671" w:type="dxa"/>
          </w:tcPr>
          <w:p w14:paraId="2D6CEC15">
            <w:pPr>
              <w:rPr>
                <w:rFonts w:asciiTheme="minorEastAsia" w:hAnsiTheme="minorEastAsia" w:eastAsiaTheme="minorEastAsia"/>
                <w:sz w:val="24"/>
                <w:highlight w:val="none"/>
              </w:rPr>
            </w:pPr>
          </w:p>
        </w:tc>
        <w:tc>
          <w:tcPr>
            <w:tcW w:w="939" w:type="dxa"/>
          </w:tcPr>
          <w:p w14:paraId="7A9491C7">
            <w:pPr>
              <w:rPr>
                <w:rFonts w:asciiTheme="minorEastAsia" w:hAnsiTheme="minorEastAsia" w:eastAsiaTheme="minorEastAsia"/>
                <w:sz w:val="24"/>
                <w:highlight w:val="none"/>
              </w:rPr>
            </w:pPr>
          </w:p>
        </w:tc>
        <w:tc>
          <w:tcPr>
            <w:tcW w:w="939" w:type="dxa"/>
          </w:tcPr>
          <w:p w14:paraId="4D3CE634">
            <w:pPr>
              <w:rPr>
                <w:rFonts w:asciiTheme="minorEastAsia" w:hAnsiTheme="minorEastAsia" w:eastAsiaTheme="minorEastAsia"/>
                <w:sz w:val="24"/>
                <w:highlight w:val="none"/>
              </w:rPr>
            </w:pPr>
          </w:p>
        </w:tc>
        <w:tc>
          <w:tcPr>
            <w:tcW w:w="669" w:type="dxa"/>
          </w:tcPr>
          <w:p w14:paraId="15DFD1F4">
            <w:pPr>
              <w:rPr>
                <w:rFonts w:asciiTheme="minorEastAsia" w:hAnsiTheme="minorEastAsia" w:eastAsiaTheme="minorEastAsia"/>
                <w:sz w:val="24"/>
                <w:highlight w:val="none"/>
              </w:rPr>
            </w:pPr>
          </w:p>
        </w:tc>
      </w:tr>
      <w:tr w14:paraId="3067E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0" w:type="dxa"/>
          </w:tcPr>
          <w:p w14:paraId="63015D84">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p>
        </w:tc>
        <w:tc>
          <w:tcPr>
            <w:tcW w:w="1323" w:type="dxa"/>
          </w:tcPr>
          <w:p w14:paraId="66F02E28">
            <w:pPr>
              <w:rPr>
                <w:rFonts w:asciiTheme="minorEastAsia" w:hAnsiTheme="minorEastAsia" w:eastAsiaTheme="minorEastAsia"/>
                <w:sz w:val="24"/>
                <w:highlight w:val="none"/>
              </w:rPr>
            </w:pPr>
          </w:p>
        </w:tc>
        <w:tc>
          <w:tcPr>
            <w:tcW w:w="1317" w:type="dxa"/>
          </w:tcPr>
          <w:p w14:paraId="07ECF744">
            <w:pPr>
              <w:rPr>
                <w:rFonts w:asciiTheme="minorEastAsia" w:hAnsiTheme="minorEastAsia" w:eastAsiaTheme="minorEastAsia"/>
                <w:sz w:val="24"/>
                <w:highlight w:val="none"/>
              </w:rPr>
            </w:pPr>
          </w:p>
        </w:tc>
        <w:tc>
          <w:tcPr>
            <w:tcW w:w="1317" w:type="dxa"/>
          </w:tcPr>
          <w:p w14:paraId="2F1F6592">
            <w:pPr>
              <w:rPr>
                <w:rFonts w:asciiTheme="minorEastAsia" w:hAnsiTheme="minorEastAsia" w:eastAsiaTheme="minorEastAsia"/>
                <w:sz w:val="24"/>
                <w:highlight w:val="none"/>
              </w:rPr>
            </w:pPr>
          </w:p>
        </w:tc>
        <w:tc>
          <w:tcPr>
            <w:tcW w:w="671" w:type="dxa"/>
          </w:tcPr>
          <w:p w14:paraId="191B9CF5">
            <w:pPr>
              <w:rPr>
                <w:rFonts w:asciiTheme="minorEastAsia" w:hAnsiTheme="minorEastAsia" w:eastAsiaTheme="minorEastAsia"/>
                <w:sz w:val="24"/>
                <w:highlight w:val="none"/>
              </w:rPr>
            </w:pPr>
          </w:p>
        </w:tc>
        <w:tc>
          <w:tcPr>
            <w:tcW w:w="671" w:type="dxa"/>
          </w:tcPr>
          <w:p w14:paraId="7BA6BC41">
            <w:pPr>
              <w:rPr>
                <w:rFonts w:asciiTheme="minorEastAsia" w:hAnsiTheme="minorEastAsia" w:eastAsiaTheme="minorEastAsia"/>
                <w:sz w:val="24"/>
                <w:highlight w:val="none"/>
              </w:rPr>
            </w:pPr>
          </w:p>
        </w:tc>
        <w:tc>
          <w:tcPr>
            <w:tcW w:w="939" w:type="dxa"/>
          </w:tcPr>
          <w:p w14:paraId="4D529D76">
            <w:pPr>
              <w:rPr>
                <w:rFonts w:asciiTheme="minorEastAsia" w:hAnsiTheme="minorEastAsia" w:eastAsiaTheme="minorEastAsia"/>
                <w:sz w:val="24"/>
                <w:highlight w:val="none"/>
              </w:rPr>
            </w:pPr>
          </w:p>
        </w:tc>
        <w:tc>
          <w:tcPr>
            <w:tcW w:w="939" w:type="dxa"/>
          </w:tcPr>
          <w:p w14:paraId="57E8CF3F">
            <w:pPr>
              <w:rPr>
                <w:rFonts w:asciiTheme="minorEastAsia" w:hAnsiTheme="minorEastAsia" w:eastAsiaTheme="minorEastAsia"/>
                <w:sz w:val="24"/>
                <w:highlight w:val="none"/>
              </w:rPr>
            </w:pPr>
          </w:p>
        </w:tc>
        <w:tc>
          <w:tcPr>
            <w:tcW w:w="669" w:type="dxa"/>
          </w:tcPr>
          <w:p w14:paraId="257F61AD">
            <w:pPr>
              <w:rPr>
                <w:rFonts w:asciiTheme="minorEastAsia" w:hAnsiTheme="minorEastAsia" w:eastAsiaTheme="minorEastAsia"/>
                <w:sz w:val="24"/>
                <w:highlight w:val="none"/>
              </w:rPr>
            </w:pPr>
          </w:p>
        </w:tc>
      </w:tr>
      <w:tr w14:paraId="03182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0" w:type="dxa"/>
          </w:tcPr>
          <w:p w14:paraId="65D754C5">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p>
        </w:tc>
        <w:tc>
          <w:tcPr>
            <w:tcW w:w="1323" w:type="dxa"/>
          </w:tcPr>
          <w:p w14:paraId="3F5CF7CC">
            <w:pPr>
              <w:rPr>
                <w:rFonts w:asciiTheme="minorEastAsia" w:hAnsiTheme="minorEastAsia" w:eastAsiaTheme="minorEastAsia"/>
                <w:sz w:val="24"/>
                <w:highlight w:val="none"/>
              </w:rPr>
            </w:pPr>
          </w:p>
        </w:tc>
        <w:tc>
          <w:tcPr>
            <w:tcW w:w="1317" w:type="dxa"/>
          </w:tcPr>
          <w:p w14:paraId="657E1BC8">
            <w:pPr>
              <w:rPr>
                <w:rFonts w:asciiTheme="minorEastAsia" w:hAnsiTheme="minorEastAsia" w:eastAsiaTheme="minorEastAsia"/>
                <w:sz w:val="24"/>
                <w:highlight w:val="none"/>
              </w:rPr>
            </w:pPr>
          </w:p>
        </w:tc>
        <w:tc>
          <w:tcPr>
            <w:tcW w:w="1317" w:type="dxa"/>
          </w:tcPr>
          <w:p w14:paraId="167C7CF0">
            <w:pPr>
              <w:rPr>
                <w:rFonts w:asciiTheme="minorEastAsia" w:hAnsiTheme="minorEastAsia" w:eastAsiaTheme="minorEastAsia"/>
                <w:sz w:val="24"/>
                <w:highlight w:val="none"/>
              </w:rPr>
            </w:pPr>
          </w:p>
        </w:tc>
        <w:tc>
          <w:tcPr>
            <w:tcW w:w="671" w:type="dxa"/>
          </w:tcPr>
          <w:p w14:paraId="0D4B90DA">
            <w:pPr>
              <w:rPr>
                <w:rFonts w:asciiTheme="minorEastAsia" w:hAnsiTheme="minorEastAsia" w:eastAsiaTheme="minorEastAsia"/>
                <w:sz w:val="24"/>
                <w:highlight w:val="none"/>
              </w:rPr>
            </w:pPr>
          </w:p>
        </w:tc>
        <w:tc>
          <w:tcPr>
            <w:tcW w:w="671" w:type="dxa"/>
          </w:tcPr>
          <w:p w14:paraId="26F7B81B">
            <w:pPr>
              <w:rPr>
                <w:rFonts w:asciiTheme="minorEastAsia" w:hAnsiTheme="minorEastAsia" w:eastAsiaTheme="minorEastAsia"/>
                <w:sz w:val="24"/>
                <w:highlight w:val="none"/>
              </w:rPr>
            </w:pPr>
          </w:p>
        </w:tc>
        <w:tc>
          <w:tcPr>
            <w:tcW w:w="939" w:type="dxa"/>
          </w:tcPr>
          <w:p w14:paraId="22339566">
            <w:pPr>
              <w:rPr>
                <w:rFonts w:asciiTheme="minorEastAsia" w:hAnsiTheme="minorEastAsia" w:eastAsiaTheme="minorEastAsia"/>
                <w:sz w:val="24"/>
                <w:highlight w:val="none"/>
              </w:rPr>
            </w:pPr>
          </w:p>
        </w:tc>
        <w:tc>
          <w:tcPr>
            <w:tcW w:w="939" w:type="dxa"/>
          </w:tcPr>
          <w:p w14:paraId="0FDCD02D">
            <w:pPr>
              <w:rPr>
                <w:rFonts w:asciiTheme="minorEastAsia" w:hAnsiTheme="minorEastAsia" w:eastAsiaTheme="minorEastAsia"/>
                <w:sz w:val="24"/>
                <w:highlight w:val="none"/>
              </w:rPr>
            </w:pPr>
          </w:p>
        </w:tc>
        <w:tc>
          <w:tcPr>
            <w:tcW w:w="669" w:type="dxa"/>
          </w:tcPr>
          <w:p w14:paraId="7F27424E">
            <w:pPr>
              <w:rPr>
                <w:rFonts w:asciiTheme="minorEastAsia" w:hAnsiTheme="minorEastAsia" w:eastAsiaTheme="minorEastAsia"/>
                <w:sz w:val="24"/>
                <w:highlight w:val="none"/>
              </w:rPr>
            </w:pPr>
          </w:p>
        </w:tc>
      </w:tr>
      <w:tr w14:paraId="749CB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0" w:type="dxa"/>
          </w:tcPr>
          <w:p w14:paraId="657FDDCD">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p>
        </w:tc>
        <w:tc>
          <w:tcPr>
            <w:tcW w:w="1323" w:type="dxa"/>
          </w:tcPr>
          <w:p w14:paraId="5D5C2FBA">
            <w:pPr>
              <w:rPr>
                <w:rFonts w:asciiTheme="minorEastAsia" w:hAnsiTheme="minorEastAsia" w:eastAsiaTheme="minorEastAsia"/>
                <w:sz w:val="24"/>
                <w:highlight w:val="none"/>
              </w:rPr>
            </w:pPr>
          </w:p>
        </w:tc>
        <w:tc>
          <w:tcPr>
            <w:tcW w:w="1317" w:type="dxa"/>
          </w:tcPr>
          <w:p w14:paraId="21EC7B0C">
            <w:pPr>
              <w:rPr>
                <w:rFonts w:asciiTheme="minorEastAsia" w:hAnsiTheme="minorEastAsia" w:eastAsiaTheme="minorEastAsia"/>
                <w:sz w:val="24"/>
                <w:highlight w:val="none"/>
              </w:rPr>
            </w:pPr>
          </w:p>
        </w:tc>
        <w:tc>
          <w:tcPr>
            <w:tcW w:w="1317" w:type="dxa"/>
          </w:tcPr>
          <w:p w14:paraId="72DC3A12">
            <w:pPr>
              <w:rPr>
                <w:rFonts w:asciiTheme="minorEastAsia" w:hAnsiTheme="minorEastAsia" w:eastAsiaTheme="minorEastAsia"/>
                <w:sz w:val="24"/>
                <w:highlight w:val="none"/>
              </w:rPr>
            </w:pPr>
          </w:p>
        </w:tc>
        <w:tc>
          <w:tcPr>
            <w:tcW w:w="671" w:type="dxa"/>
          </w:tcPr>
          <w:p w14:paraId="02E91BAA">
            <w:pPr>
              <w:rPr>
                <w:rFonts w:asciiTheme="minorEastAsia" w:hAnsiTheme="minorEastAsia" w:eastAsiaTheme="minorEastAsia"/>
                <w:sz w:val="24"/>
                <w:highlight w:val="none"/>
              </w:rPr>
            </w:pPr>
          </w:p>
        </w:tc>
        <w:tc>
          <w:tcPr>
            <w:tcW w:w="671" w:type="dxa"/>
          </w:tcPr>
          <w:p w14:paraId="11CFA345">
            <w:pPr>
              <w:rPr>
                <w:rFonts w:asciiTheme="minorEastAsia" w:hAnsiTheme="minorEastAsia" w:eastAsiaTheme="minorEastAsia"/>
                <w:sz w:val="24"/>
                <w:highlight w:val="none"/>
              </w:rPr>
            </w:pPr>
          </w:p>
        </w:tc>
        <w:tc>
          <w:tcPr>
            <w:tcW w:w="939" w:type="dxa"/>
          </w:tcPr>
          <w:p w14:paraId="3CFE4219">
            <w:pPr>
              <w:rPr>
                <w:rFonts w:asciiTheme="minorEastAsia" w:hAnsiTheme="minorEastAsia" w:eastAsiaTheme="minorEastAsia"/>
                <w:sz w:val="24"/>
                <w:highlight w:val="none"/>
              </w:rPr>
            </w:pPr>
          </w:p>
        </w:tc>
        <w:tc>
          <w:tcPr>
            <w:tcW w:w="939" w:type="dxa"/>
          </w:tcPr>
          <w:p w14:paraId="26D0FEBD">
            <w:pPr>
              <w:rPr>
                <w:rFonts w:asciiTheme="minorEastAsia" w:hAnsiTheme="minorEastAsia" w:eastAsiaTheme="minorEastAsia"/>
                <w:sz w:val="24"/>
                <w:highlight w:val="none"/>
              </w:rPr>
            </w:pPr>
          </w:p>
        </w:tc>
        <w:tc>
          <w:tcPr>
            <w:tcW w:w="669" w:type="dxa"/>
          </w:tcPr>
          <w:p w14:paraId="0AF53BBC">
            <w:pPr>
              <w:rPr>
                <w:rFonts w:asciiTheme="minorEastAsia" w:hAnsiTheme="minorEastAsia" w:eastAsiaTheme="minorEastAsia"/>
                <w:sz w:val="24"/>
                <w:highlight w:val="none"/>
              </w:rPr>
            </w:pPr>
          </w:p>
        </w:tc>
      </w:tr>
      <w:tr w14:paraId="68685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0" w:type="dxa"/>
          </w:tcPr>
          <w:p w14:paraId="6ACB8895">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w:t>
            </w:r>
          </w:p>
        </w:tc>
        <w:tc>
          <w:tcPr>
            <w:tcW w:w="1323" w:type="dxa"/>
          </w:tcPr>
          <w:p w14:paraId="03275E95">
            <w:pPr>
              <w:rPr>
                <w:rFonts w:asciiTheme="minorEastAsia" w:hAnsiTheme="minorEastAsia" w:eastAsiaTheme="minorEastAsia"/>
                <w:sz w:val="24"/>
                <w:highlight w:val="none"/>
              </w:rPr>
            </w:pPr>
          </w:p>
        </w:tc>
        <w:tc>
          <w:tcPr>
            <w:tcW w:w="1317" w:type="dxa"/>
          </w:tcPr>
          <w:p w14:paraId="1F2656AD">
            <w:pPr>
              <w:rPr>
                <w:rFonts w:asciiTheme="minorEastAsia" w:hAnsiTheme="minorEastAsia" w:eastAsiaTheme="minorEastAsia"/>
                <w:sz w:val="24"/>
                <w:highlight w:val="none"/>
              </w:rPr>
            </w:pPr>
          </w:p>
        </w:tc>
        <w:tc>
          <w:tcPr>
            <w:tcW w:w="1317" w:type="dxa"/>
          </w:tcPr>
          <w:p w14:paraId="01E73C54">
            <w:pPr>
              <w:rPr>
                <w:rFonts w:asciiTheme="minorEastAsia" w:hAnsiTheme="minorEastAsia" w:eastAsiaTheme="minorEastAsia"/>
                <w:sz w:val="24"/>
                <w:highlight w:val="none"/>
              </w:rPr>
            </w:pPr>
          </w:p>
        </w:tc>
        <w:tc>
          <w:tcPr>
            <w:tcW w:w="671" w:type="dxa"/>
          </w:tcPr>
          <w:p w14:paraId="72C0FFEE">
            <w:pPr>
              <w:rPr>
                <w:rFonts w:asciiTheme="minorEastAsia" w:hAnsiTheme="minorEastAsia" w:eastAsiaTheme="minorEastAsia"/>
                <w:sz w:val="24"/>
                <w:highlight w:val="none"/>
              </w:rPr>
            </w:pPr>
          </w:p>
        </w:tc>
        <w:tc>
          <w:tcPr>
            <w:tcW w:w="671" w:type="dxa"/>
          </w:tcPr>
          <w:p w14:paraId="7AA624FC">
            <w:pPr>
              <w:rPr>
                <w:rFonts w:asciiTheme="minorEastAsia" w:hAnsiTheme="minorEastAsia" w:eastAsiaTheme="minorEastAsia"/>
                <w:sz w:val="24"/>
                <w:highlight w:val="none"/>
              </w:rPr>
            </w:pPr>
          </w:p>
        </w:tc>
        <w:tc>
          <w:tcPr>
            <w:tcW w:w="939" w:type="dxa"/>
          </w:tcPr>
          <w:p w14:paraId="6DFCB79E">
            <w:pPr>
              <w:rPr>
                <w:rFonts w:asciiTheme="minorEastAsia" w:hAnsiTheme="minorEastAsia" w:eastAsiaTheme="minorEastAsia"/>
                <w:sz w:val="24"/>
                <w:highlight w:val="none"/>
              </w:rPr>
            </w:pPr>
          </w:p>
        </w:tc>
        <w:tc>
          <w:tcPr>
            <w:tcW w:w="939" w:type="dxa"/>
          </w:tcPr>
          <w:p w14:paraId="08722C10">
            <w:pPr>
              <w:rPr>
                <w:rFonts w:asciiTheme="minorEastAsia" w:hAnsiTheme="minorEastAsia" w:eastAsiaTheme="minorEastAsia"/>
                <w:sz w:val="24"/>
                <w:highlight w:val="none"/>
              </w:rPr>
            </w:pPr>
          </w:p>
        </w:tc>
        <w:tc>
          <w:tcPr>
            <w:tcW w:w="669" w:type="dxa"/>
          </w:tcPr>
          <w:p w14:paraId="39324E22">
            <w:pPr>
              <w:rPr>
                <w:rFonts w:asciiTheme="minorEastAsia" w:hAnsiTheme="minorEastAsia" w:eastAsiaTheme="minorEastAsia"/>
                <w:sz w:val="24"/>
                <w:highlight w:val="none"/>
              </w:rPr>
            </w:pPr>
          </w:p>
        </w:tc>
      </w:tr>
      <w:tr w14:paraId="21128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0" w:type="dxa"/>
          </w:tcPr>
          <w:p w14:paraId="266A30F1">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w:t>
            </w:r>
          </w:p>
        </w:tc>
        <w:tc>
          <w:tcPr>
            <w:tcW w:w="1323" w:type="dxa"/>
          </w:tcPr>
          <w:p w14:paraId="534D8211">
            <w:pPr>
              <w:rPr>
                <w:rFonts w:asciiTheme="minorEastAsia" w:hAnsiTheme="minorEastAsia" w:eastAsiaTheme="minorEastAsia"/>
                <w:sz w:val="24"/>
                <w:highlight w:val="none"/>
              </w:rPr>
            </w:pPr>
          </w:p>
        </w:tc>
        <w:tc>
          <w:tcPr>
            <w:tcW w:w="1317" w:type="dxa"/>
          </w:tcPr>
          <w:p w14:paraId="18D21873">
            <w:pPr>
              <w:rPr>
                <w:rFonts w:asciiTheme="minorEastAsia" w:hAnsiTheme="minorEastAsia" w:eastAsiaTheme="minorEastAsia"/>
                <w:sz w:val="24"/>
                <w:highlight w:val="none"/>
              </w:rPr>
            </w:pPr>
          </w:p>
        </w:tc>
        <w:tc>
          <w:tcPr>
            <w:tcW w:w="1317" w:type="dxa"/>
          </w:tcPr>
          <w:p w14:paraId="19237F04">
            <w:pPr>
              <w:rPr>
                <w:rFonts w:asciiTheme="minorEastAsia" w:hAnsiTheme="minorEastAsia" w:eastAsiaTheme="minorEastAsia"/>
                <w:sz w:val="24"/>
                <w:highlight w:val="none"/>
              </w:rPr>
            </w:pPr>
          </w:p>
        </w:tc>
        <w:tc>
          <w:tcPr>
            <w:tcW w:w="671" w:type="dxa"/>
          </w:tcPr>
          <w:p w14:paraId="3479C045">
            <w:pPr>
              <w:rPr>
                <w:rFonts w:asciiTheme="minorEastAsia" w:hAnsiTheme="minorEastAsia" w:eastAsiaTheme="minorEastAsia"/>
                <w:sz w:val="24"/>
                <w:highlight w:val="none"/>
              </w:rPr>
            </w:pPr>
          </w:p>
        </w:tc>
        <w:tc>
          <w:tcPr>
            <w:tcW w:w="671" w:type="dxa"/>
          </w:tcPr>
          <w:p w14:paraId="16B265C7">
            <w:pPr>
              <w:rPr>
                <w:rFonts w:asciiTheme="minorEastAsia" w:hAnsiTheme="minorEastAsia" w:eastAsiaTheme="minorEastAsia"/>
                <w:sz w:val="24"/>
                <w:highlight w:val="none"/>
              </w:rPr>
            </w:pPr>
          </w:p>
        </w:tc>
        <w:tc>
          <w:tcPr>
            <w:tcW w:w="939" w:type="dxa"/>
          </w:tcPr>
          <w:p w14:paraId="3BC31418">
            <w:pPr>
              <w:rPr>
                <w:rFonts w:asciiTheme="minorEastAsia" w:hAnsiTheme="minorEastAsia" w:eastAsiaTheme="minorEastAsia"/>
                <w:sz w:val="24"/>
                <w:highlight w:val="none"/>
              </w:rPr>
            </w:pPr>
          </w:p>
        </w:tc>
        <w:tc>
          <w:tcPr>
            <w:tcW w:w="939" w:type="dxa"/>
          </w:tcPr>
          <w:p w14:paraId="2917B55C">
            <w:pPr>
              <w:rPr>
                <w:rFonts w:asciiTheme="minorEastAsia" w:hAnsiTheme="minorEastAsia" w:eastAsiaTheme="minorEastAsia"/>
                <w:sz w:val="24"/>
                <w:highlight w:val="none"/>
              </w:rPr>
            </w:pPr>
          </w:p>
        </w:tc>
        <w:tc>
          <w:tcPr>
            <w:tcW w:w="669" w:type="dxa"/>
          </w:tcPr>
          <w:p w14:paraId="14494B48">
            <w:pPr>
              <w:rPr>
                <w:rFonts w:asciiTheme="minorEastAsia" w:hAnsiTheme="minorEastAsia" w:eastAsiaTheme="minorEastAsia"/>
                <w:sz w:val="24"/>
                <w:highlight w:val="none"/>
              </w:rPr>
            </w:pPr>
          </w:p>
        </w:tc>
      </w:tr>
      <w:tr w14:paraId="22933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0" w:type="dxa"/>
          </w:tcPr>
          <w:p w14:paraId="5334B1F8">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w:t>
            </w:r>
          </w:p>
        </w:tc>
        <w:tc>
          <w:tcPr>
            <w:tcW w:w="1323" w:type="dxa"/>
          </w:tcPr>
          <w:p w14:paraId="56474204">
            <w:pPr>
              <w:rPr>
                <w:rFonts w:asciiTheme="minorEastAsia" w:hAnsiTheme="minorEastAsia" w:eastAsiaTheme="minorEastAsia"/>
                <w:sz w:val="24"/>
                <w:highlight w:val="none"/>
              </w:rPr>
            </w:pPr>
          </w:p>
        </w:tc>
        <w:tc>
          <w:tcPr>
            <w:tcW w:w="1317" w:type="dxa"/>
          </w:tcPr>
          <w:p w14:paraId="79A3D57D">
            <w:pPr>
              <w:rPr>
                <w:rFonts w:asciiTheme="minorEastAsia" w:hAnsiTheme="minorEastAsia" w:eastAsiaTheme="minorEastAsia"/>
                <w:sz w:val="24"/>
                <w:highlight w:val="none"/>
              </w:rPr>
            </w:pPr>
          </w:p>
        </w:tc>
        <w:tc>
          <w:tcPr>
            <w:tcW w:w="1317" w:type="dxa"/>
          </w:tcPr>
          <w:p w14:paraId="7DC31817">
            <w:pPr>
              <w:rPr>
                <w:rFonts w:asciiTheme="minorEastAsia" w:hAnsiTheme="minorEastAsia" w:eastAsiaTheme="minorEastAsia"/>
                <w:sz w:val="24"/>
                <w:highlight w:val="none"/>
              </w:rPr>
            </w:pPr>
          </w:p>
        </w:tc>
        <w:tc>
          <w:tcPr>
            <w:tcW w:w="671" w:type="dxa"/>
          </w:tcPr>
          <w:p w14:paraId="3D0D0F4A">
            <w:pPr>
              <w:rPr>
                <w:rFonts w:asciiTheme="minorEastAsia" w:hAnsiTheme="minorEastAsia" w:eastAsiaTheme="minorEastAsia"/>
                <w:sz w:val="24"/>
                <w:highlight w:val="none"/>
              </w:rPr>
            </w:pPr>
          </w:p>
        </w:tc>
        <w:tc>
          <w:tcPr>
            <w:tcW w:w="671" w:type="dxa"/>
          </w:tcPr>
          <w:p w14:paraId="5A7F5884">
            <w:pPr>
              <w:rPr>
                <w:rFonts w:asciiTheme="minorEastAsia" w:hAnsiTheme="minorEastAsia" w:eastAsiaTheme="minorEastAsia"/>
                <w:sz w:val="24"/>
                <w:highlight w:val="none"/>
              </w:rPr>
            </w:pPr>
          </w:p>
        </w:tc>
        <w:tc>
          <w:tcPr>
            <w:tcW w:w="939" w:type="dxa"/>
          </w:tcPr>
          <w:p w14:paraId="60FD71C5">
            <w:pPr>
              <w:rPr>
                <w:rFonts w:asciiTheme="minorEastAsia" w:hAnsiTheme="minorEastAsia" w:eastAsiaTheme="minorEastAsia"/>
                <w:sz w:val="24"/>
                <w:highlight w:val="none"/>
              </w:rPr>
            </w:pPr>
          </w:p>
        </w:tc>
        <w:tc>
          <w:tcPr>
            <w:tcW w:w="939" w:type="dxa"/>
          </w:tcPr>
          <w:p w14:paraId="68E95475">
            <w:pPr>
              <w:rPr>
                <w:rFonts w:asciiTheme="minorEastAsia" w:hAnsiTheme="minorEastAsia" w:eastAsiaTheme="minorEastAsia"/>
                <w:sz w:val="24"/>
                <w:highlight w:val="none"/>
              </w:rPr>
            </w:pPr>
          </w:p>
        </w:tc>
        <w:tc>
          <w:tcPr>
            <w:tcW w:w="669" w:type="dxa"/>
          </w:tcPr>
          <w:p w14:paraId="68A1143C">
            <w:pPr>
              <w:rPr>
                <w:rFonts w:asciiTheme="minorEastAsia" w:hAnsiTheme="minorEastAsia" w:eastAsiaTheme="minorEastAsia"/>
                <w:sz w:val="24"/>
                <w:highlight w:val="none"/>
              </w:rPr>
            </w:pPr>
          </w:p>
        </w:tc>
      </w:tr>
      <w:tr w14:paraId="51B5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0" w:type="dxa"/>
          </w:tcPr>
          <w:p w14:paraId="3091698E">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8</w:t>
            </w:r>
          </w:p>
        </w:tc>
        <w:tc>
          <w:tcPr>
            <w:tcW w:w="1323" w:type="dxa"/>
          </w:tcPr>
          <w:p w14:paraId="266E86CF">
            <w:pPr>
              <w:rPr>
                <w:rFonts w:asciiTheme="minorEastAsia" w:hAnsiTheme="minorEastAsia" w:eastAsiaTheme="minorEastAsia"/>
                <w:sz w:val="24"/>
                <w:highlight w:val="none"/>
              </w:rPr>
            </w:pPr>
          </w:p>
        </w:tc>
        <w:tc>
          <w:tcPr>
            <w:tcW w:w="1317" w:type="dxa"/>
          </w:tcPr>
          <w:p w14:paraId="6E07CE8A">
            <w:pPr>
              <w:rPr>
                <w:rFonts w:asciiTheme="minorEastAsia" w:hAnsiTheme="minorEastAsia" w:eastAsiaTheme="minorEastAsia"/>
                <w:sz w:val="24"/>
                <w:highlight w:val="none"/>
              </w:rPr>
            </w:pPr>
          </w:p>
        </w:tc>
        <w:tc>
          <w:tcPr>
            <w:tcW w:w="1317" w:type="dxa"/>
          </w:tcPr>
          <w:p w14:paraId="6860FDD3">
            <w:pPr>
              <w:rPr>
                <w:rFonts w:asciiTheme="minorEastAsia" w:hAnsiTheme="minorEastAsia" w:eastAsiaTheme="minorEastAsia"/>
                <w:sz w:val="24"/>
                <w:highlight w:val="none"/>
              </w:rPr>
            </w:pPr>
          </w:p>
        </w:tc>
        <w:tc>
          <w:tcPr>
            <w:tcW w:w="671" w:type="dxa"/>
          </w:tcPr>
          <w:p w14:paraId="3A048545">
            <w:pPr>
              <w:rPr>
                <w:rFonts w:asciiTheme="minorEastAsia" w:hAnsiTheme="minorEastAsia" w:eastAsiaTheme="minorEastAsia"/>
                <w:sz w:val="24"/>
                <w:highlight w:val="none"/>
              </w:rPr>
            </w:pPr>
          </w:p>
        </w:tc>
        <w:tc>
          <w:tcPr>
            <w:tcW w:w="671" w:type="dxa"/>
          </w:tcPr>
          <w:p w14:paraId="153DE2F3">
            <w:pPr>
              <w:rPr>
                <w:rFonts w:asciiTheme="minorEastAsia" w:hAnsiTheme="minorEastAsia" w:eastAsiaTheme="minorEastAsia"/>
                <w:sz w:val="24"/>
                <w:highlight w:val="none"/>
              </w:rPr>
            </w:pPr>
          </w:p>
        </w:tc>
        <w:tc>
          <w:tcPr>
            <w:tcW w:w="939" w:type="dxa"/>
          </w:tcPr>
          <w:p w14:paraId="5D9D03E0">
            <w:pPr>
              <w:rPr>
                <w:rFonts w:asciiTheme="minorEastAsia" w:hAnsiTheme="minorEastAsia" w:eastAsiaTheme="minorEastAsia"/>
                <w:sz w:val="24"/>
                <w:highlight w:val="none"/>
              </w:rPr>
            </w:pPr>
          </w:p>
        </w:tc>
        <w:tc>
          <w:tcPr>
            <w:tcW w:w="939" w:type="dxa"/>
          </w:tcPr>
          <w:p w14:paraId="34B5C328">
            <w:pPr>
              <w:rPr>
                <w:rFonts w:asciiTheme="minorEastAsia" w:hAnsiTheme="minorEastAsia" w:eastAsiaTheme="minorEastAsia"/>
                <w:sz w:val="24"/>
                <w:highlight w:val="none"/>
              </w:rPr>
            </w:pPr>
          </w:p>
        </w:tc>
        <w:tc>
          <w:tcPr>
            <w:tcW w:w="669" w:type="dxa"/>
          </w:tcPr>
          <w:p w14:paraId="31F8D5E4">
            <w:pPr>
              <w:rPr>
                <w:rFonts w:asciiTheme="minorEastAsia" w:hAnsiTheme="minorEastAsia" w:eastAsiaTheme="minorEastAsia"/>
                <w:sz w:val="24"/>
                <w:highlight w:val="none"/>
              </w:rPr>
            </w:pPr>
          </w:p>
        </w:tc>
      </w:tr>
      <w:tr w14:paraId="72EA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0" w:type="dxa"/>
          </w:tcPr>
          <w:p w14:paraId="01CCE853">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9</w:t>
            </w:r>
          </w:p>
        </w:tc>
        <w:tc>
          <w:tcPr>
            <w:tcW w:w="1323" w:type="dxa"/>
          </w:tcPr>
          <w:p w14:paraId="51214FF0">
            <w:pPr>
              <w:rPr>
                <w:rFonts w:asciiTheme="minorEastAsia" w:hAnsiTheme="minorEastAsia" w:eastAsiaTheme="minorEastAsia"/>
                <w:sz w:val="24"/>
                <w:highlight w:val="none"/>
              </w:rPr>
            </w:pPr>
          </w:p>
        </w:tc>
        <w:tc>
          <w:tcPr>
            <w:tcW w:w="1317" w:type="dxa"/>
          </w:tcPr>
          <w:p w14:paraId="06F250C6">
            <w:pPr>
              <w:rPr>
                <w:rFonts w:asciiTheme="minorEastAsia" w:hAnsiTheme="minorEastAsia" w:eastAsiaTheme="minorEastAsia"/>
                <w:sz w:val="24"/>
                <w:highlight w:val="none"/>
              </w:rPr>
            </w:pPr>
          </w:p>
        </w:tc>
        <w:tc>
          <w:tcPr>
            <w:tcW w:w="1317" w:type="dxa"/>
          </w:tcPr>
          <w:p w14:paraId="1A41A51C">
            <w:pPr>
              <w:rPr>
                <w:rFonts w:asciiTheme="minorEastAsia" w:hAnsiTheme="minorEastAsia" w:eastAsiaTheme="minorEastAsia"/>
                <w:sz w:val="24"/>
                <w:highlight w:val="none"/>
              </w:rPr>
            </w:pPr>
          </w:p>
        </w:tc>
        <w:tc>
          <w:tcPr>
            <w:tcW w:w="671" w:type="dxa"/>
          </w:tcPr>
          <w:p w14:paraId="1B6E9A38">
            <w:pPr>
              <w:rPr>
                <w:rFonts w:asciiTheme="minorEastAsia" w:hAnsiTheme="minorEastAsia" w:eastAsiaTheme="minorEastAsia"/>
                <w:sz w:val="24"/>
                <w:highlight w:val="none"/>
              </w:rPr>
            </w:pPr>
          </w:p>
        </w:tc>
        <w:tc>
          <w:tcPr>
            <w:tcW w:w="671" w:type="dxa"/>
          </w:tcPr>
          <w:p w14:paraId="334273CF">
            <w:pPr>
              <w:rPr>
                <w:rFonts w:asciiTheme="minorEastAsia" w:hAnsiTheme="minorEastAsia" w:eastAsiaTheme="minorEastAsia"/>
                <w:sz w:val="24"/>
                <w:highlight w:val="none"/>
              </w:rPr>
            </w:pPr>
          </w:p>
        </w:tc>
        <w:tc>
          <w:tcPr>
            <w:tcW w:w="939" w:type="dxa"/>
          </w:tcPr>
          <w:p w14:paraId="26F22B93">
            <w:pPr>
              <w:rPr>
                <w:rFonts w:asciiTheme="minorEastAsia" w:hAnsiTheme="minorEastAsia" w:eastAsiaTheme="minorEastAsia"/>
                <w:sz w:val="24"/>
                <w:highlight w:val="none"/>
              </w:rPr>
            </w:pPr>
          </w:p>
        </w:tc>
        <w:tc>
          <w:tcPr>
            <w:tcW w:w="939" w:type="dxa"/>
          </w:tcPr>
          <w:p w14:paraId="32D64439">
            <w:pPr>
              <w:rPr>
                <w:rFonts w:asciiTheme="minorEastAsia" w:hAnsiTheme="minorEastAsia" w:eastAsiaTheme="minorEastAsia"/>
                <w:sz w:val="24"/>
                <w:highlight w:val="none"/>
              </w:rPr>
            </w:pPr>
          </w:p>
        </w:tc>
        <w:tc>
          <w:tcPr>
            <w:tcW w:w="669" w:type="dxa"/>
          </w:tcPr>
          <w:p w14:paraId="74A90387">
            <w:pPr>
              <w:rPr>
                <w:rFonts w:asciiTheme="minorEastAsia" w:hAnsiTheme="minorEastAsia" w:eastAsiaTheme="minorEastAsia"/>
                <w:sz w:val="24"/>
                <w:highlight w:val="none"/>
              </w:rPr>
            </w:pPr>
          </w:p>
        </w:tc>
      </w:tr>
      <w:tr w14:paraId="2C1F9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0" w:type="dxa"/>
          </w:tcPr>
          <w:p w14:paraId="2D3639FD">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10</w:t>
            </w:r>
          </w:p>
        </w:tc>
        <w:tc>
          <w:tcPr>
            <w:tcW w:w="1323" w:type="dxa"/>
          </w:tcPr>
          <w:p w14:paraId="76257A71">
            <w:pPr>
              <w:rPr>
                <w:rFonts w:asciiTheme="minorEastAsia" w:hAnsiTheme="minorEastAsia" w:eastAsiaTheme="minorEastAsia"/>
                <w:sz w:val="24"/>
                <w:highlight w:val="none"/>
              </w:rPr>
            </w:pPr>
          </w:p>
        </w:tc>
        <w:tc>
          <w:tcPr>
            <w:tcW w:w="1317" w:type="dxa"/>
          </w:tcPr>
          <w:p w14:paraId="14FE2B43">
            <w:pPr>
              <w:rPr>
                <w:rFonts w:asciiTheme="minorEastAsia" w:hAnsiTheme="minorEastAsia" w:eastAsiaTheme="minorEastAsia"/>
                <w:sz w:val="24"/>
                <w:highlight w:val="none"/>
              </w:rPr>
            </w:pPr>
          </w:p>
        </w:tc>
        <w:tc>
          <w:tcPr>
            <w:tcW w:w="1317" w:type="dxa"/>
          </w:tcPr>
          <w:p w14:paraId="25864FD7">
            <w:pPr>
              <w:rPr>
                <w:rFonts w:asciiTheme="minorEastAsia" w:hAnsiTheme="minorEastAsia" w:eastAsiaTheme="minorEastAsia"/>
                <w:sz w:val="24"/>
                <w:highlight w:val="none"/>
              </w:rPr>
            </w:pPr>
          </w:p>
        </w:tc>
        <w:tc>
          <w:tcPr>
            <w:tcW w:w="671" w:type="dxa"/>
          </w:tcPr>
          <w:p w14:paraId="6C2D1B8F">
            <w:pPr>
              <w:rPr>
                <w:rFonts w:asciiTheme="minorEastAsia" w:hAnsiTheme="minorEastAsia" w:eastAsiaTheme="minorEastAsia"/>
                <w:sz w:val="24"/>
                <w:highlight w:val="none"/>
              </w:rPr>
            </w:pPr>
          </w:p>
        </w:tc>
        <w:tc>
          <w:tcPr>
            <w:tcW w:w="671" w:type="dxa"/>
          </w:tcPr>
          <w:p w14:paraId="08B40B43">
            <w:pPr>
              <w:rPr>
                <w:rFonts w:asciiTheme="minorEastAsia" w:hAnsiTheme="minorEastAsia" w:eastAsiaTheme="minorEastAsia"/>
                <w:sz w:val="24"/>
                <w:highlight w:val="none"/>
              </w:rPr>
            </w:pPr>
          </w:p>
        </w:tc>
        <w:tc>
          <w:tcPr>
            <w:tcW w:w="939" w:type="dxa"/>
          </w:tcPr>
          <w:p w14:paraId="7E0EEF22">
            <w:pPr>
              <w:rPr>
                <w:rFonts w:asciiTheme="minorEastAsia" w:hAnsiTheme="minorEastAsia" w:eastAsiaTheme="minorEastAsia"/>
                <w:sz w:val="24"/>
                <w:highlight w:val="none"/>
              </w:rPr>
            </w:pPr>
          </w:p>
        </w:tc>
        <w:tc>
          <w:tcPr>
            <w:tcW w:w="939" w:type="dxa"/>
          </w:tcPr>
          <w:p w14:paraId="0F7893FA">
            <w:pPr>
              <w:rPr>
                <w:rFonts w:asciiTheme="minorEastAsia" w:hAnsiTheme="minorEastAsia" w:eastAsiaTheme="minorEastAsia"/>
                <w:sz w:val="24"/>
                <w:highlight w:val="none"/>
              </w:rPr>
            </w:pPr>
          </w:p>
        </w:tc>
        <w:tc>
          <w:tcPr>
            <w:tcW w:w="669" w:type="dxa"/>
          </w:tcPr>
          <w:p w14:paraId="55BDA6DC">
            <w:pPr>
              <w:rPr>
                <w:rFonts w:asciiTheme="minorEastAsia" w:hAnsiTheme="minorEastAsia" w:eastAsiaTheme="minorEastAsia"/>
                <w:sz w:val="24"/>
                <w:highlight w:val="none"/>
              </w:rPr>
            </w:pPr>
          </w:p>
        </w:tc>
      </w:tr>
      <w:tr w14:paraId="56F61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0" w:type="dxa"/>
          </w:tcPr>
          <w:p w14:paraId="25B7D111">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w:t>
            </w:r>
          </w:p>
        </w:tc>
        <w:tc>
          <w:tcPr>
            <w:tcW w:w="1323" w:type="dxa"/>
          </w:tcPr>
          <w:p w14:paraId="62EBB77F">
            <w:pPr>
              <w:rPr>
                <w:rFonts w:asciiTheme="minorEastAsia" w:hAnsiTheme="minorEastAsia" w:eastAsiaTheme="minorEastAsia"/>
                <w:sz w:val="24"/>
                <w:highlight w:val="none"/>
              </w:rPr>
            </w:pPr>
          </w:p>
        </w:tc>
        <w:tc>
          <w:tcPr>
            <w:tcW w:w="1317" w:type="dxa"/>
          </w:tcPr>
          <w:p w14:paraId="7621DA12">
            <w:pPr>
              <w:rPr>
                <w:rFonts w:asciiTheme="minorEastAsia" w:hAnsiTheme="minorEastAsia" w:eastAsiaTheme="minorEastAsia"/>
                <w:sz w:val="24"/>
                <w:highlight w:val="none"/>
              </w:rPr>
            </w:pPr>
          </w:p>
        </w:tc>
        <w:tc>
          <w:tcPr>
            <w:tcW w:w="1317" w:type="dxa"/>
          </w:tcPr>
          <w:p w14:paraId="2D9F8458">
            <w:pPr>
              <w:rPr>
                <w:rFonts w:asciiTheme="minorEastAsia" w:hAnsiTheme="minorEastAsia" w:eastAsiaTheme="minorEastAsia"/>
                <w:sz w:val="24"/>
                <w:highlight w:val="none"/>
              </w:rPr>
            </w:pPr>
          </w:p>
        </w:tc>
        <w:tc>
          <w:tcPr>
            <w:tcW w:w="671" w:type="dxa"/>
          </w:tcPr>
          <w:p w14:paraId="0E961DF3">
            <w:pPr>
              <w:rPr>
                <w:rFonts w:asciiTheme="minorEastAsia" w:hAnsiTheme="minorEastAsia" w:eastAsiaTheme="minorEastAsia"/>
                <w:sz w:val="24"/>
                <w:highlight w:val="none"/>
              </w:rPr>
            </w:pPr>
          </w:p>
        </w:tc>
        <w:tc>
          <w:tcPr>
            <w:tcW w:w="671" w:type="dxa"/>
          </w:tcPr>
          <w:p w14:paraId="5C8C2AAE">
            <w:pPr>
              <w:rPr>
                <w:rFonts w:asciiTheme="minorEastAsia" w:hAnsiTheme="minorEastAsia" w:eastAsiaTheme="minorEastAsia"/>
                <w:sz w:val="24"/>
                <w:highlight w:val="none"/>
              </w:rPr>
            </w:pPr>
          </w:p>
        </w:tc>
        <w:tc>
          <w:tcPr>
            <w:tcW w:w="939" w:type="dxa"/>
          </w:tcPr>
          <w:p w14:paraId="3F034C9E">
            <w:pPr>
              <w:rPr>
                <w:rFonts w:asciiTheme="minorEastAsia" w:hAnsiTheme="minorEastAsia" w:eastAsiaTheme="minorEastAsia"/>
                <w:sz w:val="24"/>
                <w:highlight w:val="none"/>
              </w:rPr>
            </w:pPr>
          </w:p>
        </w:tc>
        <w:tc>
          <w:tcPr>
            <w:tcW w:w="939" w:type="dxa"/>
          </w:tcPr>
          <w:p w14:paraId="78C299E0">
            <w:pPr>
              <w:rPr>
                <w:rFonts w:asciiTheme="minorEastAsia" w:hAnsiTheme="minorEastAsia" w:eastAsiaTheme="minorEastAsia"/>
                <w:sz w:val="24"/>
                <w:highlight w:val="none"/>
              </w:rPr>
            </w:pPr>
          </w:p>
        </w:tc>
        <w:tc>
          <w:tcPr>
            <w:tcW w:w="669" w:type="dxa"/>
          </w:tcPr>
          <w:p w14:paraId="6338EE5E">
            <w:pPr>
              <w:rPr>
                <w:rFonts w:asciiTheme="minorEastAsia" w:hAnsiTheme="minorEastAsia" w:eastAsiaTheme="minorEastAsia"/>
                <w:sz w:val="24"/>
                <w:highlight w:val="none"/>
              </w:rPr>
            </w:pPr>
          </w:p>
        </w:tc>
      </w:tr>
      <w:tr w14:paraId="1A9B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0" w:type="dxa"/>
          </w:tcPr>
          <w:p w14:paraId="32BFF57A">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12</w:t>
            </w:r>
          </w:p>
        </w:tc>
        <w:tc>
          <w:tcPr>
            <w:tcW w:w="1323" w:type="dxa"/>
          </w:tcPr>
          <w:p w14:paraId="21C5EBDF">
            <w:pPr>
              <w:rPr>
                <w:rFonts w:asciiTheme="minorEastAsia" w:hAnsiTheme="minorEastAsia" w:eastAsiaTheme="minorEastAsia"/>
                <w:sz w:val="24"/>
                <w:highlight w:val="none"/>
              </w:rPr>
            </w:pPr>
          </w:p>
        </w:tc>
        <w:tc>
          <w:tcPr>
            <w:tcW w:w="1317" w:type="dxa"/>
          </w:tcPr>
          <w:p w14:paraId="15DBA853">
            <w:pPr>
              <w:rPr>
                <w:rFonts w:asciiTheme="minorEastAsia" w:hAnsiTheme="minorEastAsia" w:eastAsiaTheme="minorEastAsia"/>
                <w:sz w:val="24"/>
                <w:highlight w:val="none"/>
              </w:rPr>
            </w:pPr>
          </w:p>
        </w:tc>
        <w:tc>
          <w:tcPr>
            <w:tcW w:w="1317" w:type="dxa"/>
          </w:tcPr>
          <w:p w14:paraId="490F82E1">
            <w:pPr>
              <w:rPr>
                <w:rFonts w:asciiTheme="minorEastAsia" w:hAnsiTheme="minorEastAsia" w:eastAsiaTheme="minorEastAsia"/>
                <w:sz w:val="24"/>
                <w:highlight w:val="none"/>
              </w:rPr>
            </w:pPr>
          </w:p>
        </w:tc>
        <w:tc>
          <w:tcPr>
            <w:tcW w:w="671" w:type="dxa"/>
          </w:tcPr>
          <w:p w14:paraId="6869A6E2">
            <w:pPr>
              <w:rPr>
                <w:rFonts w:asciiTheme="minorEastAsia" w:hAnsiTheme="minorEastAsia" w:eastAsiaTheme="minorEastAsia"/>
                <w:sz w:val="24"/>
                <w:highlight w:val="none"/>
              </w:rPr>
            </w:pPr>
          </w:p>
        </w:tc>
        <w:tc>
          <w:tcPr>
            <w:tcW w:w="671" w:type="dxa"/>
          </w:tcPr>
          <w:p w14:paraId="5552E8A2">
            <w:pPr>
              <w:rPr>
                <w:rFonts w:asciiTheme="minorEastAsia" w:hAnsiTheme="minorEastAsia" w:eastAsiaTheme="minorEastAsia"/>
                <w:sz w:val="24"/>
                <w:highlight w:val="none"/>
              </w:rPr>
            </w:pPr>
          </w:p>
        </w:tc>
        <w:tc>
          <w:tcPr>
            <w:tcW w:w="939" w:type="dxa"/>
          </w:tcPr>
          <w:p w14:paraId="6985409F">
            <w:pPr>
              <w:rPr>
                <w:rFonts w:asciiTheme="minorEastAsia" w:hAnsiTheme="minorEastAsia" w:eastAsiaTheme="minorEastAsia"/>
                <w:sz w:val="24"/>
                <w:highlight w:val="none"/>
              </w:rPr>
            </w:pPr>
          </w:p>
        </w:tc>
        <w:tc>
          <w:tcPr>
            <w:tcW w:w="939" w:type="dxa"/>
          </w:tcPr>
          <w:p w14:paraId="4C9189FC">
            <w:pPr>
              <w:rPr>
                <w:rFonts w:asciiTheme="minorEastAsia" w:hAnsiTheme="minorEastAsia" w:eastAsiaTheme="minorEastAsia"/>
                <w:sz w:val="24"/>
                <w:highlight w:val="none"/>
              </w:rPr>
            </w:pPr>
          </w:p>
        </w:tc>
        <w:tc>
          <w:tcPr>
            <w:tcW w:w="669" w:type="dxa"/>
          </w:tcPr>
          <w:p w14:paraId="3A0213C7">
            <w:pPr>
              <w:rPr>
                <w:rFonts w:asciiTheme="minorEastAsia" w:hAnsiTheme="minorEastAsia" w:eastAsiaTheme="minorEastAsia"/>
                <w:sz w:val="24"/>
                <w:highlight w:val="none"/>
              </w:rPr>
            </w:pPr>
          </w:p>
        </w:tc>
      </w:tr>
      <w:tr w14:paraId="3AC6F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0" w:type="dxa"/>
          </w:tcPr>
          <w:p w14:paraId="08B0FBE2">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13</w:t>
            </w:r>
          </w:p>
        </w:tc>
        <w:tc>
          <w:tcPr>
            <w:tcW w:w="1323" w:type="dxa"/>
          </w:tcPr>
          <w:p w14:paraId="7824FC4C">
            <w:pPr>
              <w:rPr>
                <w:rFonts w:asciiTheme="minorEastAsia" w:hAnsiTheme="minorEastAsia" w:eastAsiaTheme="minorEastAsia"/>
                <w:sz w:val="24"/>
                <w:highlight w:val="none"/>
              </w:rPr>
            </w:pPr>
          </w:p>
        </w:tc>
        <w:tc>
          <w:tcPr>
            <w:tcW w:w="1317" w:type="dxa"/>
          </w:tcPr>
          <w:p w14:paraId="72FE32ED">
            <w:pPr>
              <w:rPr>
                <w:rFonts w:asciiTheme="minorEastAsia" w:hAnsiTheme="minorEastAsia" w:eastAsiaTheme="minorEastAsia"/>
                <w:sz w:val="24"/>
                <w:highlight w:val="none"/>
              </w:rPr>
            </w:pPr>
          </w:p>
        </w:tc>
        <w:tc>
          <w:tcPr>
            <w:tcW w:w="1317" w:type="dxa"/>
          </w:tcPr>
          <w:p w14:paraId="2752E7C9">
            <w:pPr>
              <w:rPr>
                <w:rFonts w:asciiTheme="minorEastAsia" w:hAnsiTheme="minorEastAsia" w:eastAsiaTheme="minorEastAsia"/>
                <w:sz w:val="24"/>
                <w:highlight w:val="none"/>
              </w:rPr>
            </w:pPr>
          </w:p>
        </w:tc>
        <w:tc>
          <w:tcPr>
            <w:tcW w:w="671" w:type="dxa"/>
          </w:tcPr>
          <w:p w14:paraId="343A7420">
            <w:pPr>
              <w:rPr>
                <w:rFonts w:asciiTheme="minorEastAsia" w:hAnsiTheme="minorEastAsia" w:eastAsiaTheme="minorEastAsia"/>
                <w:sz w:val="24"/>
                <w:highlight w:val="none"/>
              </w:rPr>
            </w:pPr>
          </w:p>
        </w:tc>
        <w:tc>
          <w:tcPr>
            <w:tcW w:w="671" w:type="dxa"/>
          </w:tcPr>
          <w:p w14:paraId="3C3EA118">
            <w:pPr>
              <w:rPr>
                <w:rFonts w:asciiTheme="minorEastAsia" w:hAnsiTheme="minorEastAsia" w:eastAsiaTheme="minorEastAsia"/>
                <w:sz w:val="24"/>
                <w:highlight w:val="none"/>
              </w:rPr>
            </w:pPr>
          </w:p>
        </w:tc>
        <w:tc>
          <w:tcPr>
            <w:tcW w:w="939" w:type="dxa"/>
          </w:tcPr>
          <w:p w14:paraId="7FCD539D">
            <w:pPr>
              <w:rPr>
                <w:rFonts w:asciiTheme="minorEastAsia" w:hAnsiTheme="minorEastAsia" w:eastAsiaTheme="minorEastAsia"/>
                <w:sz w:val="24"/>
                <w:highlight w:val="none"/>
              </w:rPr>
            </w:pPr>
          </w:p>
        </w:tc>
        <w:tc>
          <w:tcPr>
            <w:tcW w:w="939" w:type="dxa"/>
          </w:tcPr>
          <w:p w14:paraId="111A31B0">
            <w:pPr>
              <w:rPr>
                <w:rFonts w:asciiTheme="minorEastAsia" w:hAnsiTheme="minorEastAsia" w:eastAsiaTheme="minorEastAsia"/>
                <w:sz w:val="24"/>
                <w:highlight w:val="none"/>
              </w:rPr>
            </w:pPr>
          </w:p>
        </w:tc>
        <w:tc>
          <w:tcPr>
            <w:tcW w:w="669" w:type="dxa"/>
          </w:tcPr>
          <w:p w14:paraId="2E2ED508">
            <w:pPr>
              <w:rPr>
                <w:rFonts w:asciiTheme="minorEastAsia" w:hAnsiTheme="minorEastAsia" w:eastAsiaTheme="minorEastAsia"/>
                <w:sz w:val="24"/>
                <w:highlight w:val="none"/>
              </w:rPr>
            </w:pPr>
          </w:p>
        </w:tc>
      </w:tr>
      <w:tr w14:paraId="1C87B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0" w:type="dxa"/>
          </w:tcPr>
          <w:p w14:paraId="2856EABA">
            <w:pPr>
              <w:jc w:val="center"/>
              <w:rPr>
                <w:rFonts w:asciiTheme="minorEastAsia" w:hAnsiTheme="minorEastAsia" w:eastAsiaTheme="minorEastAsia"/>
                <w:sz w:val="24"/>
                <w:highlight w:val="none"/>
              </w:rPr>
            </w:pPr>
          </w:p>
        </w:tc>
        <w:tc>
          <w:tcPr>
            <w:tcW w:w="1323" w:type="dxa"/>
            <w:vAlign w:val="center"/>
          </w:tcPr>
          <w:p w14:paraId="2AA5289D">
            <w:pPr>
              <w:pStyle w:val="55"/>
              <w:rPr>
                <w:rFonts w:asciiTheme="minorEastAsia" w:hAnsiTheme="minorEastAsia" w:eastAsiaTheme="minorEastAsia"/>
                <w:highlight w:val="none"/>
              </w:rPr>
            </w:pPr>
            <w:r>
              <w:rPr>
                <w:rFonts w:hint="eastAsia" w:asciiTheme="minorEastAsia" w:hAnsiTheme="minorEastAsia" w:eastAsiaTheme="minorEastAsia"/>
                <w:highlight w:val="none"/>
              </w:rPr>
              <w:t>其他费用</w:t>
            </w:r>
          </w:p>
        </w:tc>
        <w:tc>
          <w:tcPr>
            <w:tcW w:w="1317" w:type="dxa"/>
          </w:tcPr>
          <w:p w14:paraId="103BFE4F">
            <w:pPr>
              <w:rPr>
                <w:rFonts w:asciiTheme="minorEastAsia" w:hAnsiTheme="minorEastAsia" w:eastAsiaTheme="minorEastAsia"/>
                <w:sz w:val="24"/>
                <w:highlight w:val="none"/>
              </w:rPr>
            </w:pPr>
          </w:p>
        </w:tc>
        <w:tc>
          <w:tcPr>
            <w:tcW w:w="1317" w:type="dxa"/>
          </w:tcPr>
          <w:p w14:paraId="4D28A7E6">
            <w:pPr>
              <w:rPr>
                <w:rFonts w:asciiTheme="minorEastAsia" w:hAnsiTheme="minorEastAsia" w:eastAsiaTheme="minorEastAsia"/>
                <w:sz w:val="24"/>
                <w:highlight w:val="none"/>
              </w:rPr>
            </w:pPr>
          </w:p>
        </w:tc>
        <w:tc>
          <w:tcPr>
            <w:tcW w:w="671" w:type="dxa"/>
          </w:tcPr>
          <w:p w14:paraId="14EFBFD3">
            <w:pPr>
              <w:rPr>
                <w:rFonts w:asciiTheme="minorEastAsia" w:hAnsiTheme="minorEastAsia" w:eastAsiaTheme="minorEastAsia"/>
                <w:sz w:val="24"/>
                <w:highlight w:val="none"/>
              </w:rPr>
            </w:pPr>
          </w:p>
        </w:tc>
        <w:tc>
          <w:tcPr>
            <w:tcW w:w="671" w:type="dxa"/>
          </w:tcPr>
          <w:p w14:paraId="08A504AB">
            <w:pPr>
              <w:rPr>
                <w:rFonts w:asciiTheme="minorEastAsia" w:hAnsiTheme="minorEastAsia" w:eastAsiaTheme="minorEastAsia"/>
                <w:sz w:val="24"/>
                <w:highlight w:val="none"/>
              </w:rPr>
            </w:pPr>
          </w:p>
        </w:tc>
        <w:tc>
          <w:tcPr>
            <w:tcW w:w="939" w:type="dxa"/>
          </w:tcPr>
          <w:p w14:paraId="3222896A">
            <w:pPr>
              <w:rPr>
                <w:rFonts w:asciiTheme="minorEastAsia" w:hAnsiTheme="minorEastAsia" w:eastAsiaTheme="minorEastAsia"/>
                <w:sz w:val="24"/>
                <w:highlight w:val="none"/>
              </w:rPr>
            </w:pPr>
          </w:p>
        </w:tc>
        <w:tc>
          <w:tcPr>
            <w:tcW w:w="939" w:type="dxa"/>
          </w:tcPr>
          <w:p w14:paraId="1BF0AC37">
            <w:pPr>
              <w:rPr>
                <w:rFonts w:asciiTheme="minorEastAsia" w:hAnsiTheme="minorEastAsia" w:eastAsiaTheme="minorEastAsia"/>
                <w:sz w:val="24"/>
                <w:highlight w:val="none"/>
              </w:rPr>
            </w:pPr>
          </w:p>
        </w:tc>
        <w:tc>
          <w:tcPr>
            <w:tcW w:w="669" w:type="dxa"/>
          </w:tcPr>
          <w:p w14:paraId="344ACC78">
            <w:pPr>
              <w:rPr>
                <w:rFonts w:asciiTheme="minorEastAsia" w:hAnsiTheme="minorEastAsia" w:eastAsiaTheme="minorEastAsia"/>
                <w:sz w:val="24"/>
                <w:highlight w:val="none"/>
              </w:rPr>
            </w:pPr>
          </w:p>
        </w:tc>
      </w:tr>
      <w:tr w14:paraId="7E0F6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0" w:type="dxa"/>
          </w:tcPr>
          <w:p w14:paraId="01729849">
            <w:pPr>
              <w:jc w:val="center"/>
              <w:rPr>
                <w:rFonts w:asciiTheme="minorEastAsia" w:hAnsiTheme="minorEastAsia" w:eastAsiaTheme="minorEastAsia"/>
                <w:sz w:val="24"/>
                <w:highlight w:val="none"/>
              </w:rPr>
            </w:pPr>
          </w:p>
        </w:tc>
        <w:tc>
          <w:tcPr>
            <w:tcW w:w="1323" w:type="dxa"/>
          </w:tcPr>
          <w:p w14:paraId="327557B6">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p>
        </w:tc>
        <w:tc>
          <w:tcPr>
            <w:tcW w:w="1317" w:type="dxa"/>
          </w:tcPr>
          <w:p w14:paraId="499E13CA">
            <w:pPr>
              <w:rPr>
                <w:rFonts w:asciiTheme="minorEastAsia" w:hAnsiTheme="minorEastAsia" w:eastAsiaTheme="minorEastAsia"/>
                <w:sz w:val="24"/>
                <w:highlight w:val="none"/>
              </w:rPr>
            </w:pPr>
          </w:p>
        </w:tc>
        <w:tc>
          <w:tcPr>
            <w:tcW w:w="1317" w:type="dxa"/>
          </w:tcPr>
          <w:p w14:paraId="63802EA5">
            <w:pPr>
              <w:rPr>
                <w:rFonts w:asciiTheme="minorEastAsia" w:hAnsiTheme="minorEastAsia" w:eastAsiaTheme="minorEastAsia"/>
                <w:sz w:val="24"/>
                <w:highlight w:val="none"/>
              </w:rPr>
            </w:pPr>
          </w:p>
        </w:tc>
        <w:tc>
          <w:tcPr>
            <w:tcW w:w="671" w:type="dxa"/>
          </w:tcPr>
          <w:p w14:paraId="74C11396">
            <w:pPr>
              <w:rPr>
                <w:rFonts w:asciiTheme="minorEastAsia" w:hAnsiTheme="minorEastAsia" w:eastAsiaTheme="minorEastAsia"/>
                <w:sz w:val="24"/>
                <w:highlight w:val="none"/>
              </w:rPr>
            </w:pPr>
          </w:p>
        </w:tc>
        <w:tc>
          <w:tcPr>
            <w:tcW w:w="671" w:type="dxa"/>
          </w:tcPr>
          <w:p w14:paraId="7FF46CA2">
            <w:pPr>
              <w:rPr>
                <w:rFonts w:asciiTheme="minorEastAsia" w:hAnsiTheme="minorEastAsia" w:eastAsiaTheme="minorEastAsia"/>
                <w:sz w:val="24"/>
                <w:highlight w:val="none"/>
              </w:rPr>
            </w:pPr>
          </w:p>
        </w:tc>
        <w:tc>
          <w:tcPr>
            <w:tcW w:w="939" w:type="dxa"/>
          </w:tcPr>
          <w:p w14:paraId="5D7DF8B1">
            <w:pPr>
              <w:rPr>
                <w:rFonts w:asciiTheme="minorEastAsia" w:hAnsiTheme="minorEastAsia" w:eastAsiaTheme="minorEastAsia"/>
                <w:sz w:val="24"/>
                <w:highlight w:val="none"/>
              </w:rPr>
            </w:pPr>
          </w:p>
        </w:tc>
        <w:tc>
          <w:tcPr>
            <w:tcW w:w="939" w:type="dxa"/>
          </w:tcPr>
          <w:p w14:paraId="3BDBC5F0">
            <w:pPr>
              <w:rPr>
                <w:rFonts w:asciiTheme="minorEastAsia" w:hAnsiTheme="minorEastAsia" w:eastAsiaTheme="minorEastAsia"/>
                <w:sz w:val="24"/>
                <w:highlight w:val="none"/>
              </w:rPr>
            </w:pPr>
          </w:p>
        </w:tc>
        <w:tc>
          <w:tcPr>
            <w:tcW w:w="669" w:type="dxa"/>
          </w:tcPr>
          <w:p w14:paraId="27BBCDF3">
            <w:pPr>
              <w:rPr>
                <w:rFonts w:asciiTheme="minorEastAsia" w:hAnsiTheme="minorEastAsia" w:eastAsiaTheme="minorEastAsia"/>
                <w:sz w:val="24"/>
                <w:highlight w:val="none"/>
              </w:rPr>
            </w:pPr>
          </w:p>
        </w:tc>
      </w:tr>
      <w:tr w14:paraId="78AB8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0" w:type="dxa"/>
          </w:tcPr>
          <w:p w14:paraId="5E65409C">
            <w:pPr>
              <w:jc w:val="center"/>
              <w:rPr>
                <w:rFonts w:asciiTheme="minorEastAsia" w:hAnsiTheme="minorEastAsia" w:eastAsiaTheme="minorEastAsia"/>
                <w:sz w:val="24"/>
                <w:highlight w:val="none"/>
              </w:rPr>
            </w:pPr>
          </w:p>
        </w:tc>
        <w:tc>
          <w:tcPr>
            <w:tcW w:w="1323" w:type="dxa"/>
          </w:tcPr>
          <w:p w14:paraId="61C8C6D6">
            <w:pPr>
              <w:pStyle w:val="55"/>
              <w:rPr>
                <w:rFonts w:asciiTheme="minorEastAsia" w:hAnsiTheme="minorEastAsia" w:eastAsiaTheme="minorEastAsia"/>
                <w:highlight w:val="none"/>
              </w:rPr>
            </w:pPr>
            <w:r>
              <w:rPr>
                <w:rFonts w:hint="eastAsia" w:asciiTheme="minorEastAsia" w:hAnsiTheme="minorEastAsia" w:eastAsiaTheme="minorEastAsia"/>
                <w:highlight w:val="none"/>
              </w:rPr>
              <w:t>…</w:t>
            </w:r>
          </w:p>
        </w:tc>
        <w:tc>
          <w:tcPr>
            <w:tcW w:w="1317" w:type="dxa"/>
          </w:tcPr>
          <w:p w14:paraId="78004EE7">
            <w:pPr>
              <w:rPr>
                <w:rFonts w:asciiTheme="minorEastAsia" w:hAnsiTheme="minorEastAsia" w:eastAsiaTheme="minorEastAsia"/>
                <w:sz w:val="24"/>
                <w:highlight w:val="none"/>
              </w:rPr>
            </w:pPr>
          </w:p>
        </w:tc>
        <w:tc>
          <w:tcPr>
            <w:tcW w:w="1317" w:type="dxa"/>
          </w:tcPr>
          <w:p w14:paraId="0C4303DB">
            <w:pPr>
              <w:rPr>
                <w:rFonts w:asciiTheme="minorEastAsia" w:hAnsiTheme="minorEastAsia" w:eastAsiaTheme="minorEastAsia"/>
                <w:sz w:val="24"/>
                <w:highlight w:val="none"/>
              </w:rPr>
            </w:pPr>
          </w:p>
        </w:tc>
        <w:tc>
          <w:tcPr>
            <w:tcW w:w="671" w:type="dxa"/>
          </w:tcPr>
          <w:p w14:paraId="2E98369D">
            <w:pPr>
              <w:rPr>
                <w:rFonts w:asciiTheme="minorEastAsia" w:hAnsiTheme="minorEastAsia" w:eastAsiaTheme="minorEastAsia"/>
                <w:sz w:val="24"/>
                <w:highlight w:val="none"/>
              </w:rPr>
            </w:pPr>
          </w:p>
        </w:tc>
        <w:tc>
          <w:tcPr>
            <w:tcW w:w="671" w:type="dxa"/>
          </w:tcPr>
          <w:p w14:paraId="3658177F">
            <w:pPr>
              <w:rPr>
                <w:rFonts w:asciiTheme="minorEastAsia" w:hAnsiTheme="minorEastAsia" w:eastAsiaTheme="minorEastAsia"/>
                <w:sz w:val="24"/>
                <w:highlight w:val="none"/>
              </w:rPr>
            </w:pPr>
          </w:p>
        </w:tc>
        <w:tc>
          <w:tcPr>
            <w:tcW w:w="939" w:type="dxa"/>
          </w:tcPr>
          <w:p w14:paraId="56C6D58F">
            <w:pPr>
              <w:rPr>
                <w:rFonts w:asciiTheme="minorEastAsia" w:hAnsiTheme="minorEastAsia" w:eastAsiaTheme="minorEastAsia"/>
                <w:sz w:val="24"/>
                <w:highlight w:val="none"/>
              </w:rPr>
            </w:pPr>
          </w:p>
        </w:tc>
        <w:tc>
          <w:tcPr>
            <w:tcW w:w="939" w:type="dxa"/>
          </w:tcPr>
          <w:p w14:paraId="7B843558">
            <w:pPr>
              <w:rPr>
                <w:rFonts w:asciiTheme="minorEastAsia" w:hAnsiTheme="minorEastAsia" w:eastAsiaTheme="minorEastAsia"/>
                <w:sz w:val="24"/>
                <w:highlight w:val="none"/>
              </w:rPr>
            </w:pPr>
          </w:p>
        </w:tc>
        <w:tc>
          <w:tcPr>
            <w:tcW w:w="669" w:type="dxa"/>
          </w:tcPr>
          <w:p w14:paraId="2F89CBAE">
            <w:pPr>
              <w:rPr>
                <w:rFonts w:asciiTheme="minorEastAsia" w:hAnsiTheme="minorEastAsia" w:eastAsiaTheme="minorEastAsia"/>
                <w:sz w:val="24"/>
                <w:highlight w:val="none"/>
              </w:rPr>
            </w:pPr>
          </w:p>
        </w:tc>
      </w:tr>
      <w:tr w14:paraId="1EC62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0" w:type="dxa"/>
          </w:tcPr>
          <w:p w14:paraId="0F447C56">
            <w:pPr>
              <w:jc w:val="center"/>
              <w:rPr>
                <w:rFonts w:asciiTheme="minorEastAsia" w:hAnsiTheme="minorEastAsia" w:eastAsiaTheme="minorEastAsia"/>
                <w:sz w:val="24"/>
                <w:highlight w:val="none"/>
              </w:rPr>
            </w:pPr>
          </w:p>
        </w:tc>
        <w:tc>
          <w:tcPr>
            <w:tcW w:w="1323" w:type="dxa"/>
          </w:tcPr>
          <w:p w14:paraId="2F7785BB">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p>
        </w:tc>
        <w:tc>
          <w:tcPr>
            <w:tcW w:w="1317" w:type="dxa"/>
          </w:tcPr>
          <w:p w14:paraId="2C5AEBAD">
            <w:pPr>
              <w:rPr>
                <w:rFonts w:asciiTheme="minorEastAsia" w:hAnsiTheme="minorEastAsia" w:eastAsiaTheme="minorEastAsia"/>
                <w:sz w:val="24"/>
                <w:highlight w:val="none"/>
              </w:rPr>
            </w:pPr>
          </w:p>
        </w:tc>
        <w:tc>
          <w:tcPr>
            <w:tcW w:w="1317" w:type="dxa"/>
          </w:tcPr>
          <w:p w14:paraId="2138CE10">
            <w:pPr>
              <w:rPr>
                <w:rFonts w:asciiTheme="minorEastAsia" w:hAnsiTheme="minorEastAsia" w:eastAsiaTheme="minorEastAsia"/>
                <w:sz w:val="24"/>
                <w:highlight w:val="none"/>
              </w:rPr>
            </w:pPr>
          </w:p>
        </w:tc>
        <w:tc>
          <w:tcPr>
            <w:tcW w:w="671" w:type="dxa"/>
          </w:tcPr>
          <w:p w14:paraId="4ADB8277">
            <w:pPr>
              <w:rPr>
                <w:rFonts w:asciiTheme="minorEastAsia" w:hAnsiTheme="minorEastAsia" w:eastAsiaTheme="minorEastAsia"/>
                <w:sz w:val="24"/>
                <w:highlight w:val="none"/>
              </w:rPr>
            </w:pPr>
          </w:p>
        </w:tc>
        <w:tc>
          <w:tcPr>
            <w:tcW w:w="671" w:type="dxa"/>
          </w:tcPr>
          <w:p w14:paraId="67B164AF">
            <w:pPr>
              <w:rPr>
                <w:rFonts w:asciiTheme="minorEastAsia" w:hAnsiTheme="minorEastAsia" w:eastAsiaTheme="minorEastAsia"/>
                <w:sz w:val="24"/>
                <w:highlight w:val="none"/>
              </w:rPr>
            </w:pPr>
          </w:p>
        </w:tc>
        <w:tc>
          <w:tcPr>
            <w:tcW w:w="939" w:type="dxa"/>
          </w:tcPr>
          <w:p w14:paraId="079A1F1F">
            <w:pPr>
              <w:rPr>
                <w:rFonts w:asciiTheme="minorEastAsia" w:hAnsiTheme="minorEastAsia" w:eastAsiaTheme="minorEastAsia"/>
                <w:sz w:val="24"/>
                <w:highlight w:val="none"/>
              </w:rPr>
            </w:pPr>
          </w:p>
        </w:tc>
        <w:tc>
          <w:tcPr>
            <w:tcW w:w="939" w:type="dxa"/>
          </w:tcPr>
          <w:p w14:paraId="040C8993">
            <w:pPr>
              <w:rPr>
                <w:rFonts w:asciiTheme="minorEastAsia" w:hAnsiTheme="minorEastAsia" w:eastAsiaTheme="minorEastAsia"/>
                <w:sz w:val="24"/>
                <w:highlight w:val="none"/>
              </w:rPr>
            </w:pPr>
          </w:p>
        </w:tc>
        <w:tc>
          <w:tcPr>
            <w:tcW w:w="669" w:type="dxa"/>
          </w:tcPr>
          <w:p w14:paraId="6A7E3DE5">
            <w:pPr>
              <w:rPr>
                <w:rFonts w:asciiTheme="minorEastAsia" w:hAnsiTheme="minorEastAsia" w:eastAsiaTheme="minorEastAsia"/>
                <w:sz w:val="24"/>
                <w:highlight w:val="none"/>
              </w:rPr>
            </w:pPr>
          </w:p>
        </w:tc>
      </w:tr>
      <w:tr w14:paraId="6ACFD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993" w:type="dxa"/>
            <w:gridSpan w:val="2"/>
            <w:vAlign w:val="center"/>
          </w:tcPr>
          <w:p w14:paraId="2A32D3BA">
            <w:pPr>
              <w:pStyle w:val="55"/>
              <w:jc w:val="center"/>
              <w:rPr>
                <w:rFonts w:asciiTheme="minorEastAsia" w:hAnsiTheme="minorEastAsia" w:eastAsiaTheme="minorEastAsia"/>
                <w:highlight w:val="none"/>
              </w:rPr>
            </w:pPr>
            <w:r>
              <w:rPr>
                <w:rFonts w:hint="eastAsia" w:asciiTheme="minorEastAsia" w:hAnsiTheme="minorEastAsia" w:eastAsiaTheme="minorEastAsia"/>
                <w:highlight w:val="none"/>
              </w:rPr>
              <w:t>合计（元）</w:t>
            </w:r>
          </w:p>
        </w:tc>
        <w:tc>
          <w:tcPr>
            <w:tcW w:w="1317" w:type="dxa"/>
          </w:tcPr>
          <w:p w14:paraId="6EE19ADC">
            <w:pPr>
              <w:rPr>
                <w:rFonts w:asciiTheme="minorEastAsia" w:hAnsiTheme="minorEastAsia" w:eastAsiaTheme="minorEastAsia"/>
                <w:sz w:val="24"/>
                <w:highlight w:val="none"/>
              </w:rPr>
            </w:pPr>
          </w:p>
        </w:tc>
        <w:tc>
          <w:tcPr>
            <w:tcW w:w="1317" w:type="dxa"/>
          </w:tcPr>
          <w:p w14:paraId="1290C27C">
            <w:pPr>
              <w:rPr>
                <w:rFonts w:asciiTheme="minorEastAsia" w:hAnsiTheme="minorEastAsia" w:eastAsiaTheme="minorEastAsia"/>
                <w:sz w:val="24"/>
                <w:highlight w:val="none"/>
              </w:rPr>
            </w:pPr>
          </w:p>
        </w:tc>
        <w:tc>
          <w:tcPr>
            <w:tcW w:w="671" w:type="dxa"/>
          </w:tcPr>
          <w:p w14:paraId="280BDE98">
            <w:pPr>
              <w:rPr>
                <w:rFonts w:asciiTheme="minorEastAsia" w:hAnsiTheme="minorEastAsia" w:eastAsiaTheme="minorEastAsia"/>
                <w:sz w:val="24"/>
                <w:highlight w:val="none"/>
              </w:rPr>
            </w:pPr>
          </w:p>
        </w:tc>
        <w:tc>
          <w:tcPr>
            <w:tcW w:w="671" w:type="dxa"/>
          </w:tcPr>
          <w:p w14:paraId="2D209ACE">
            <w:pPr>
              <w:rPr>
                <w:rFonts w:asciiTheme="minorEastAsia" w:hAnsiTheme="minorEastAsia" w:eastAsiaTheme="minorEastAsia"/>
                <w:sz w:val="24"/>
                <w:highlight w:val="none"/>
              </w:rPr>
            </w:pPr>
          </w:p>
        </w:tc>
        <w:tc>
          <w:tcPr>
            <w:tcW w:w="939" w:type="dxa"/>
          </w:tcPr>
          <w:p w14:paraId="35B7BBD7">
            <w:pPr>
              <w:rPr>
                <w:rFonts w:asciiTheme="minorEastAsia" w:hAnsiTheme="minorEastAsia" w:eastAsiaTheme="minorEastAsia"/>
                <w:sz w:val="24"/>
                <w:highlight w:val="none"/>
              </w:rPr>
            </w:pPr>
          </w:p>
        </w:tc>
        <w:tc>
          <w:tcPr>
            <w:tcW w:w="939" w:type="dxa"/>
          </w:tcPr>
          <w:p w14:paraId="278D5596">
            <w:pPr>
              <w:rPr>
                <w:rFonts w:asciiTheme="minorEastAsia" w:hAnsiTheme="minorEastAsia" w:eastAsiaTheme="minorEastAsia"/>
                <w:sz w:val="24"/>
                <w:highlight w:val="none"/>
              </w:rPr>
            </w:pPr>
          </w:p>
        </w:tc>
        <w:tc>
          <w:tcPr>
            <w:tcW w:w="669" w:type="dxa"/>
          </w:tcPr>
          <w:p w14:paraId="4B37EFB9">
            <w:pPr>
              <w:rPr>
                <w:rFonts w:asciiTheme="minorEastAsia" w:hAnsiTheme="minorEastAsia" w:eastAsiaTheme="minorEastAsia"/>
                <w:sz w:val="24"/>
                <w:highlight w:val="none"/>
              </w:rPr>
            </w:pPr>
          </w:p>
        </w:tc>
      </w:tr>
    </w:tbl>
    <w:p w14:paraId="3B55C321">
      <w:pPr>
        <w:spacing w:line="360" w:lineRule="auto"/>
        <w:ind w:firstLine="4800" w:firstLineChars="2000"/>
        <w:rPr>
          <w:rFonts w:ascii="宋体" w:hAnsi="宋体" w:eastAsia="宋体"/>
          <w:sz w:val="24"/>
          <w:highlight w:val="none"/>
          <w:u w:val="single"/>
        </w:rPr>
      </w:pPr>
      <w:r>
        <w:rPr>
          <w:rFonts w:hint="eastAsia" w:ascii="宋体" w:hAnsi="宋体" w:eastAsia="宋体"/>
          <w:sz w:val="24"/>
          <w:highlight w:val="none"/>
        </w:rPr>
        <w:t>投标人电子签章：</w:t>
      </w:r>
      <w:r>
        <w:rPr>
          <w:rFonts w:hint="eastAsia" w:ascii="宋体" w:hAnsi="宋体" w:eastAsia="宋体"/>
          <w:sz w:val="24"/>
          <w:highlight w:val="none"/>
          <w:u w:val="single"/>
        </w:rPr>
        <w:t xml:space="preserve">             </w:t>
      </w:r>
    </w:p>
    <w:p w14:paraId="55D2B577">
      <w:pPr>
        <w:spacing w:line="360" w:lineRule="auto"/>
        <w:ind w:firstLine="4800" w:firstLineChars="2000"/>
        <w:rPr>
          <w:rFonts w:ascii="宋体" w:hAnsi="宋体" w:eastAsia="宋体"/>
          <w:sz w:val="24"/>
          <w:highlight w:val="none"/>
          <w:u w:val="single"/>
        </w:rPr>
      </w:pPr>
      <w:r>
        <w:rPr>
          <w:rFonts w:hint="eastAsia" w:ascii="宋体" w:hAnsi="宋体" w:eastAsia="宋体"/>
          <w:sz w:val="24"/>
          <w:highlight w:val="none"/>
        </w:rPr>
        <w:t>日          期：</w:t>
      </w:r>
      <w:r>
        <w:rPr>
          <w:rFonts w:hint="eastAsia" w:ascii="宋体" w:hAnsi="宋体" w:eastAsia="宋体"/>
          <w:sz w:val="24"/>
          <w:highlight w:val="none"/>
          <w:u w:val="single"/>
        </w:rPr>
        <w:t xml:space="preserve">             </w:t>
      </w:r>
    </w:p>
    <w:p w14:paraId="3E7A82F6">
      <w:pPr>
        <w:adjustRightInd w:val="0"/>
        <w:snapToGrid w:val="0"/>
        <w:spacing w:line="360" w:lineRule="auto"/>
        <w:rPr>
          <w:rFonts w:asciiTheme="minorEastAsia" w:hAnsiTheme="minorEastAsia" w:eastAsiaTheme="minorEastAsia"/>
          <w:b/>
          <w:bCs/>
          <w:sz w:val="24"/>
          <w:szCs w:val="28"/>
          <w:highlight w:val="none"/>
        </w:rPr>
      </w:pPr>
    </w:p>
    <w:p w14:paraId="41D21AAB">
      <w:pPr>
        <w:adjustRightInd w:val="0"/>
        <w:snapToGrid w:val="0"/>
        <w:spacing w:line="360" w:lineRule="auto"/>
        <w:rPr>
          <w:rFonts w:asciiTheme="minorEastAsia" w:hAnsiTheme="minorEastAsia" w:eastAsiaTheme="minorEastAsia"/>
          <w:b/>
          <w:bCs/>
          <w:sz w:val="24"/>
          <w:szCs w:val="28"/>
          <w:highlight w:val="none"/>
        </w:rPr>
      </w:pPr>
      <w:r>
        <w:rPr>
          <w:rFonts w:hint="eastAsia" w:asciiTheme="minorEastAsia" w:hAnsiTheme="minorEastAsia" w:eastAsiaTheme="minorEastAsia"/>
          <w:b/>
          <w:bCs/>
          <w:sz w:val="24"/>
          <w:szCs w:val="28"/>
          <w:highlight w:val="none"/>
        </w:rPr>
        <w:t>注：</w:t>
      </w:r>
    </w:p>
    <w:p w14:paraId="6CB0C6C8">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4425D453">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2.表中须明确列出所投产品的货物名称、品牌、型号规格、原产地及生产厂商，否则可能导致</w:t>
      </w:r>
      <w:r>
        <w:rPr>
          <w:rFonts w:hint="eastAsia" w:asciiTheme="minorEastAsia" w:hAnsiTheme="minorEastAsia" w:eastAsiaTheme="minorEastAsia"/>
          <w:b/>
          <w:bCs/>
          <w:sz w:val="24"/>
          <w:highlight w:val="none"/>
        </w:rPr>
        <w:t>投标无效</w:t>
      </w:r>
      <w:r>
        <w:rPr>
          <w:rFonts w:hint="eastAsia" w:asciiTheme="minorEastAsia" w:hAnsiTheme="minorEastAsia" w:eastAsiaTheme="minorEastAsia"/>
          <w:sz w:val="24"/>
          <w:highlight w:val="none"/>
        </w:rPr>
        <w:t>。</w:t>
      </w:r>
    </w:p>
    <w:p w14:paraId="3D1EE05B">
      <w:pPr>
        <w:pStyle w:val="25"/>
        <w:ind w:left="0" w:leftChars="0" w:firstLine="0" w:firstLineChars="0"/>
        <w:rPr>
          <w:rFonts w:asciiTheme="minorEastAsia" w:hAnsiTheme="minorEastAsia" w:eastAsiaTheme="minorEastAsia"/>
          <w:b/>
          <w:sz w:val="24"/>
          <w:highlight w:val="none"/>
        </w:rPr>
        <w:sectPr>
          <w:headerReference r:id="rId7" w:type="default"/>
          <w:footerReference r:id="rId8" w:type="default"/>
          <w:pgSz w:w="11906" w:h="16838"/>
          <w:pgMar w:top="1440" w:right="1803" w:bottom="1440" w:left="1803" w:header="851" w:footer="992" w:gutter="0"/>
          <w:pgNumType w:fmt="decimal"/>
          <w:cols w:space="0" w:num="1"/>
          <w:rtlGutter w:val="0"/>
          <w:docGrid w:type="lines" w:linePitch="332" w:charSpace="0"/>
        </w:sectPr>
      </w:pPr>
    </w:p>
    <w:p w14:paraId="131DF5D4">
      <w:pPr>
        <w:spacing w:line="360" w:lineRule="auto"/>
        <w:jc w:val="center"/>
        <w:outlineLvl w:val="1"/>
        <w:rPr>
          <w:rFonts w:asciiTheme="minorEastAsia" w:hAnsiTheme="minorEastAsia" w:eastAsiaTheme="minorEastAsia"/>
          <w:b/>
          <w:sz w:val="24"/>
          <w:highlight w:val="none"/>
        </w:rPr>
      </w:pPr>
      <w:bookmarkStart w:id="63" w:name="_Toc20329"/>
      <w:bookmarkStart w:id="64" w:name="_Toc11940"/>
      <w:r>
        <w:rPr>
          <w:rFonts w:hint="eastAsia" w:asciiTheme="minorEastAsia" w:hAnsiTheme="minorEastAsia" w:eastAsiaTheme="minorEastAsia"/>
          <w:b/>
          <w:sz w:val="24"/>
          <w:highlight w:val="none"/>
        </w:rPr>
        <w:t>六、投标响应表</w:t>
      </w:r>
      <w:bookmarkEnd w:id="63"/>
      <w:bookmarkEnd w:id="64"/>
    </w:p>
    <w:p w14:paraId="0D779E40">
      <w:pPr>
        <w:spacing w:line="360" w:lineRule="auto"/>
        <w:ind w:firstLine="435"/>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6</w:t>
      </w:r>
      <w:r>
        <w:rPr>
          <w:rFonts w:asciiTheme="minorEastAsia" w:hAnsiTheme="minorEastAsia" w:eastAsiaTheme="minorEastAsia"/>
          <w:b/>
          <w:sz w:val="24"/>
          <w:highlight w:val="none"/>
        </w:rPr>
        <w:t>.1</w:t>
      </w:r>
      <w:r>
        <w:rPr>
          <w:rFonts w:hint="eastAsia" w:asciiTheme="minorEastAsia" w:hAnsiTheme="minorEastAsia" w:eastAsiaTheme="minorEastAsia"/>
          <w:b/>
          <w:sz w:val="24"/>
          <w:highlight w:val="none"/>
        </w:rPr>
        <w:t>商务响应表</w:t>
      </w:r>
    </w:p>
    <w:tbl>
      <w:tblPr>
        <w:tblStyle w:val="26"/>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915"/>
        <w:gridCol w:w="2496"/>
        <w:gridCol w:w="2573"/>
        <w:gridCol w:w="810"/>
      </w:tblGrid>
      <w:tr w14:paraId="052CB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2" w:type="dxa"/>
            <w:vAlign w:val="center"/>
          </w:tcPr>
          <w:p w14:paraId="14A15A98">
            <w:pPr>
              <w:pStyle w:val="11"/>
              <w:jc w:val="center"/>
              <w:rPr>
                <w:rFonts w:cs="Wingdings" w:asciiTheme="minorEastAsia" w:hAnsiTheme="minorEastAsia"/>
                <w:b/>
                <w:sz w:val="24"/>
                <w:highlight w:val="none"/>
              </w:rPr>
            </w:pPr>
            <w:r>
              <w:rPr>
                <w:rFonts w:hint="eastAsia" w:cs="Wingdings" w:asciiTheme="minorEastAsia" w:hAnsiTheme="minorEastAsia"/>
                <w:b/>
                <w:sz w:val="24"/>
                <w:highlight w:val="none"/>
              </w:rPr>
              <w:t>序号</w:t>
            </w:r>
          </w:p>
        </w:tc>
        <w:tc>
          <w:tcPr>
            <w:tcW w:w="1915" w:type="dxa"/>
            <w:vAlign w:val="center"/>
          </w:tcPr>
          <w:p w14:paraId="2B575926">
            <w:pPr>
              <w:pStyle w:val="11"/>
              <w:jc w:val="center"/>
              <w:rPr>
                <w:rFonts w:cs="Wingdings" w:asciiTheme="minorEastAsia" w:hAnsiTheme="minorEastAsia"/>
                <w:b/>
                <w:sz w:val="24"/>
                <w:highlight w:val="none"/>
              </w:rPr>
            </w:pPr>
            <w:r>
              <w:rPr>
                <w:rFonts w:hint="eastAsia" w:asciiTheme="minorEastAsia" w:hAnsiTheme="minorEastAsia"/>
                <w:b/>
                <w:bCs/>
                <w:sz w:val="24"/>
                <w:szCs w:val="24"/>
                <w:highlight w:val="none"/>
              </w:rPr>
              <w:t>商务条款</w:t>
            </w:r>
          </w:p>
        </w:tc>
        <w:tc>
          <w:tcPr>
            <w:tcW w:w="2496" w:type="dxa"/>
            <w:vAlign w:val="center"/>
          </w:tcPr>
          <w:p w14:paraId="5AA39210">
            <w:pPr>
              <w:pStyle w:val="11"/>
              <w:jc w:val="center"/>
              <w:rPr>
                <w:rFonts w:cs="Wingdings" w:asciiTheme="minorEastAsia" w:hAnsiTheme="minorEastAsia"/>
                <w:b/>
                <w:sz w:val="24"/>
                <w:highlight w:val="none"/>
              </w:rPr>
            </w:pPr>
            <w:r>
              <w:rPr>
                <w:rFonts w:hint="eastAsia" w:cs="Wingdings" w:asciiTheme="minorEastAsia" w:hAnsiTheme="minorEastAsia"/>
                <w:b/>
                <w:sz w:val="24"/>
                <w:highlight w:val="none"/>
              </w:rPr>
              <w:t>招标文件要求</w:t>
            </w:r>
          </w:p>
        </w:tc>
        <w:tc>
          <w:tcPr>
            <w:tcW w:w="2573" w:type="dxa"/>
            <w:vAlign w:val="center"/>
          </w:tcPr>
          <w:p w14:paraId="244E06B9">
            <w:pPr>
              <w:pStyle w:val="11"/>
              <w:jc w:val="center"/>
              <w:rPr>
                <w:rFonts w:cs="Wingdings" w:asciiTheme="minorEastAsia" w:hAnsiTheme="minorEastAsia"/>
                <w:b/>
                <w:sz w:val="24"/>
                <w:highlight w:val="none"/>
              </w:rPr>
            </w:pPr>
            <w:r>
              <w:rPr>
                <w:rFonts w:hint="eastAsia" w:cs="Wingdings" w:asciiTheme="minorEastAsia" w:hAnsiTheme="minorEastAsia"/>
                <w:b/>
                <w:sz w:val="24"/>
                <w:highlight w:val="none"/>
              </w:rPr>
              <w:t>投标人承诺</w:t>
            </w:r>
          </w:p>
        </w:tc>
        <w:tc>
          <w:tcPr>
            <w:tcW w:w="810" w:type="dxa"/>
            <w:vAlign w:val="center"/>
          </w:tcPr>
          <w:p w14:paraId="1C74031E">
            <w:pPr>
              <w:pStyle w:val="11"/>
              <w:jc w:val="center"/>
              <w:rPr>
                <w:rFonts w:cs="Wingdings" w:asciiTheme="minorEastAsia" w:hAnsiTheme="minorEastAsia"/>
                <w:b/>
                <w:sz w:val="24"/>
                <w:highlight w:val="none"/>
              </w:rPr>
            </w:pPr>
            <w:r>
              <w:rPr>
                <w:rFonts w:hint="eastAsia" w:cs="Wingdings" w:asciiTheme="minorEastAsia" w:hAnsiTheme="minorEastAsia"/>
                <w:b/>
                <w:sz w:val="24"/>
                <w:highlight w:val="none"/>
              </w:rPr>
              <w:t>偏离说明</w:t>
            </w:r>
          </w:p>
        </w:tc>
      </w:tr>
      <w:tr w14:paraId="23BB6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2" w:type="dxa"/>
            <w:vAlign w:val="center"/>
          </w:tcPr>
          <w:p w14:paraId="40494364">
            <w:pPr>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1</w:t>
            </w:r>
          </w:p>
        </w:tc>
        <w:tc>
          <w:tcPr>
            <w:tcW w:w="1915" w:type="dxa"/>
            <w:vAlign w:val="center"/>
          </w:tcPr>
          <w:p w14:paraId="33CC3815">
            <w:pPr>
              <w:jc w:val="center"/>
              <w:rPr>
                <w:rFonts w:ascii="宋体" w:hAnsi="宋体" w:eastAsia="宋体"/>
                <w:sz w:val="24"/>
                <w:highlight w:val="none"/>
              </w:rPr>
            </w:pPr>
            <w:r>
              <w:rPr>
                <w:rFonts w:asciiTheme="minorEastAsia" w:hAnsiTheme="minorEastAsia" w:eastAsiaTheme="minorEastAsia"/>
                <w:sz w:val="24"/>
                <w:highlight w:val="none"/>
              </w:rPr>
              <w:t>付款方式</w:t>
            </w:r>
          </w:p>
        </w:tc>
        <w:tc>
          <w:tcPr>
            <w:tcW w:w="2496" w:type="dxa"/>
            <w:vAlign w:val="center"/>
          </w:tcPr>
          <w:p w14:paraId="3550F78B">
            <w:pPr>
              <w:jc w:val="center"/>
              <w:rPr>
                <w:rFonts w:asciiTheme="minorEastAsia" w:hAnsiTheme="minorEastAsia" w:eastAsiaTheme="minorEastAsia"/>
                <w:sz w:val="24"/>
                <w:highlight w:val="none"/>
              </w:rPr>
            </w:pPr>
          </w:p>
        </w:tc>
        <w:tc>
          <w:tcPr>
            <w:tcW w:w="2573" w:type="dxa"/>
            <w:vAlign w:val="center"/>
          </w:tcPr>
          <w:p w14:paraId="7BA51B08">
            <w:pPr>
              <w:jc w:val="center"/>
              <w:rPr>
                <w:rFonts w:asciiTheme="minorEastAsia" w:hAnsiTheme="minorEastAsia" w:eastAsiaTheme="minorEastAsia"/>
                <w:sz w:val="24"/>
                <w:highlight w:val="none"/>
              </w:rPr>
            </w:pPr>
          </w:p>
        </w:tc>
        <w:tc>
          <w:tcPr>
            <w:tcW w:w="810" w:type="dxa"/>
            <w:vAlign w:val="center"/>
          </w:tcPr>
          <w:p w14:paraId="30E895EA">
            <w:pPr>
              <w:jc w:val="center"/>
              <w:rPr>
                <w:rFonts w:asciiTheme="minorEastAsia" w:hAnsiTheme="minorEastAsia" w:eastAsiaTheme="minorEastAsia"/>
                <w:sz w:val="24"/>
                <w:highlight w:val="none"/>
              </w:rPr>
            </w:pPr>
          </w:p>
        </w:tc>
      </w:tr>
      <w:tr w14:paraId="17C4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2" w:type="dxa"/>
            <w:vAlign w:val="center"/>
          </w:tcPr>
          <w:p w14:paraId="1EB6504B">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p>
        </w:tc>
        <w:tc>
          <w:tcPr>
            <w:tcW w:w="1915" w:type="dxa"/>
            <w:vAlign w:val="center"/>
          </w:tcPr>
          <w:p w14:paraId="6E8A8E06">
            <w:pPr>
              <w:jc w:val="center"/>
              <w:rPr>
                <w:rFonts w:ascii="宋体" w:hAnsi="宋体" w:eastAsia="宋体"/>
                <w:sz w:val="24"/>
                <w:highlight w:val="none"/>
              </w:rPr>
            </w:pPr>
            <w:r>
              <w:rPr>
                <w:rFonts w:hint="eastAsia" w:ascii="宋体" w:hAnsi="宋体" w:eastAsia="宋体"/>
                <w:sz w:val="24"/>
                <w:highlight w:val="none"/>
              </w:rPr>
              <w:t>供货及安装地点</w:t>
            </w:r>
          </w:p>
        </w:tc>
        <w:tc>
          <w:tcPr>
            <w:tcW w:w="2496" w:type="dxa"/>
            <w:vAlign w:val="center"/>
          </w:tcPr>
          <w:p w14:paraId="688A4D94">
            <w:pPr>
              <w:jc w:val="center"/>
              <w:rPr>
                <w:rFonts w:asciiTheme="minorEastAsia" w:hAnsiTheme="minorEastAsia" w:eastAsiaTheme="minorEastAsia"/>
                <w:sz w:val="24"/>
                <w:highlight w:val="none"/>
              </w:rPr>
            </w:pPr>
          </w:p>
        </w:tc>
        <w:tc>
          <w:tcPr>
            <w:tcW w:w="2573" w:type="dxa"/>
            <w:vAlign w:val="center"/>
          </w:tcPr>
          <w:p w14:paraId="6447BCD1">
            <w:pPr>
              <w:jc w:val="center"/>
              <w:rPr>
                <w:rFonts w:asciiTheme="minorEastAsia" w:hAnsiTheme="minorEastAsia" w:eastAsiaTheme="minorEastAsia"/>
                <w:sz w:val="24"/>
                <w:highlight w:val="none"/>
              </w:rPr>
            </w:pPr>
          </w:p>
        </w:tc>
        <w:tc>
          <w:tcPr>
            <w:tcW w:w="810" w:type="dxa"/>
            <w:vAlign w:val="center"/>
          </w:tcPr>
          <w:p w14:paraId="0FD208E4">
            <w:pPr>
              <w:jc w:val="center"/>
              <w:rPr>
                <w:rFonts w:asciiTheme="minorEastAsia" w:hAnsiTheme="minorEastAsia" w:eastAsiaTheme="minorEastAsia"/>
                <w:sz w:val="24"/>
                <w:highlight w:val="none"/>
              </w:rPr>
            </w:pPr>
          </w:p>
        </w:tc>
      </w:tr>
      <w:tr w14:paraId="4879C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2" w:type="dxa"/>
            <w:vAlign w:val="center"/>
          </w:tcPr>
          <w:p w14:paraId="65535FCE">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p>
        </w:tc>
        <w:tc>
          <w:tcPr>
            <w:tcW w:w="1915" w:type="dxa"/>
            <w:vAlign w:val="center"/>
          </w:tcPr>
          <w:p w14:paraId="1311EBDB">
            <w:pPr>
              <w:jc w:val="center"/>
              <w:rPr>
                <w:rFonts w:ascii="宋体" w:hAnsi="宋体" w:eastAsia="宋体"/>
                <w:sz w:val="24"/>
                <w:highlight w:val="none"/>
              </w:rPr>
            </w:pPr>
            <w:r>
              <w:rPr>
                <w:rFonts w:hint="eastAsia" w:ascii="宋体" w:hAnsi="宋体" w:eastAsia="宋体"/>
                <w:sz w:val="24"/>
                <w:highlight w:val="none"/>
              </w:rPr>
              <w:t>供货及安装期限</w:t>
            </w:r>
          </w:p>
        </w:tc>
        <w:tc>
          <w:tcPr>
            <w:tcW w:w="2496" w:type="dxa"/>
            <w:vAlign w:val="center"/>
          </w:tcPr>
          <w:p w14:paraId="1AD1B405">
            <w:pPr>
              <w:jc w:val="center"/>
              <w:rPr>
                <w:rFonts w:asciiTheme="minorEastAsia" w:hAnsiTheme="minorEastAsia" w:eastAsiaTheme="minorEastAsia"/>
                <w:sz w:val="24"/>
                <w:highlight w:val="none"/>
              </w:rPr>
            </w:pPr>
          </w:p>
        </w:tc>
        <w:tc>
          <w:tcPr>
            <w:tcW w:w="2573" w:type="dxa"/>
            <w:vAlign w:val="center"/>
          </w:tcPr>
          <w:p w14:paraId="761BF0E6">
            <w:pPr>
              <w:pStyle w:val="55"/>
              <w:jc w:val="center"/>
              <w:rPr>
                <w:rFonts w:asciiTheme="minorEastAsia" w:hAnsiTheme="minorEastAsia" w:eastAsiaTheme="minorEastAsia"/>
                <w:highlight w:val="none"/>
              </w:rPr>
            </w:pPr>
          </w:p>
        </w:tc>
        <w:tc>
          <w:tcPr>
            <w:tcW w:w="810" w:type="dxa"/>
            <w:vAlign w:val="center"/>
          </w:tcPr>
          <w:p w14:paraId="7E238683">
            <w:pPr>
              <w:jc w:val="center"/>
              <w:rPr>
                <w:rFonts w:asciiTheme="minorEastAsia" w:hAnsiTheme="minorEastAsia" w:eastAsiaTheme="minorEastAsia"/>
                <w:sz w:val="24"/>
                <w:highlight w:val="none"/>
              </w:rPr>
            </w:pPr>
          </w:p>
        </w:tc>
      </w:tr>
      <w:tr w14:paraId="33E35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2" w:type="dxa"/>
            <w:vAlign w:val="center"/>
          </w:tcPr>
          <w:p w14:paraId="3CEF6A01">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p>
        </w:tc>
        <w:tc>
          <w:tcPr>
            <w:tcW w:w="1915" w:type="dxa"/>
            <w:vAlign w:val="center"/>
          </w:tcPr>
          <w:p w14:paraId="77235C4C">
            <w:pPr>
              <w:jc w:val="center"/>
              <w:rPr>
                <w:rFonts w:ascii="宋体" w:hAnsi="宋体" w:eastAsia="宋体"/>
                <w:sz w:val="24"/>
                <w:highlight w:val="none"/>
              </w:rPr>
            </w:pPr>
            <w:r>
              <w:rPr>
                <w:rFonts w:hint="eastAsia" w:ascii="宋体" w:hAnsi="宋体" w:eastAsia="宋体"/>
                <w:sz w:val="24"/>
                <w:highlight w:val="none"/>
              </w:rPr>
              <w:t>免费质保期</w:t>
            </w:r>
          </w:p>
        </w:tc>
        <w:tc>
          <w:tcPr>
            <w:tcW w:w="2496" w:type="dxa"/>
            <w:vAlign w:val="center"/>
          </w:tcPr>
          <w:p w14:paraId="7F5B31CF">
            <w:pPr>
              <w:jc w:val="center"/>
              <w:rPr>
                <w:rFonts w:asciiTheme="minorEastAsia" w:hAnsiTheme="minorEastAsia" w:eastAsiaTheme="minorEastAsia"/>
                <w:sz w:val="24"/>
                <w:highlight w:val="none"/>
              </w:rPr>
            </w:pPr>
          </w:p>
        </w:tc>
        <w:tc>
          <w:tcPr>
            <w:tcW w:w="2573" w:type="dxa"/>
            <w:vAlign w:val="center"/>
          </w:tcPr>
          <w:p w14:paraId="44E1A6BA">
            <w:pPr>
              <w:jc w:val="center"/>
              <w:rPr>
                <w:rFonts w:asciiTheme="minorEastAsia" w:hAnsiTheme="minorEastAsia" w:eastAsiaTheme="minorEastAsia"/>
                <w:sz w:val="24"/>
                <w:highlight w:val="none"/>
              </w:rPr>
            </w:pPr>
          </w:p>
        </w:tc>
        <w:tc>
          <w:tcPr>
            <w:tcW w:w="810" w:type="dxa"/>
            <w:vAlign w:val="center"/>
          </w:tcPr>
          <w:p w14:paraId="49CCB5D2">
            <w:pPr>
              <w:jc w:val="center"/>
              <w:rPr>
                <w:rFonts w:asciiTheme="minorEastAsia" w:hAnsiTheme="minorEastAsia" w:eastAsiaTheme="minorEastAsia"/>
                <w:sz w:val="24"/>
                <w:highlight w:val="none"/>
              </w:rPr>
            </w:pPr>
          </w:p>
        </w:tc>
      </w:tr>
      <w:tr w14:paraId="01602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2" w:type="dxa"/>
            <w:vAlign w:val="center"/>
          </w:tcPr>
          <w:p w14:paraId="368231CA">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p>
        </w:tc>
        <w:tc>
          <w:tcPr>
            <w:tcW w:w="1915" w:type="dxa"/>
            <w:vAlign w:val="center"/>
          </w:tcPr>
          <w:p w14:paraId="77DAA1D0">
            <w:pPr>
              <w:jc w:val="center"/>
              <w:rPr>
                <w:rFonts w:ascii="宋体" w:hAnsi="宋体" w:eastAsia="宋体"/>
                <w:sz w:val="24"/>
                <w:highlight w:val="none"/>
              </w:rPr>
            </w:pPr>
          </w:p>
        </w:tc>
        <w:tc>
          <w:tcPr>
            <w:tcW w:w="2496" w:type="dxa"/>
            <w:vAlign w:val="center"/>
          </w:tcPr>
          <w:p w14:paraId="18B70BA8">
            <w:pPr>
              <w:jc w:val="center"/>
              <w:rPr>
                <w:rFonts w:asciiTheme="minorEastAsia" w:hAnsiTheme="minorEastAsia" w:eastAsiaTheme="minorEastAsia"/>
                <w:sz w:val="24"/>
                <w:highlight w:val="none"/>
              </w:rPr>
            </w:pPr>
          </w:p>
        </w:tc>
        <w:tc>
          <w:tcPr>
            <w:tcW w:w="2573" w:type="dxa"/>
            <w:vAlign w:val="center"/>
          </w:tcPr>
          <w:p w14:paraId="30D6646A">
            <w:pPr>
              <w:jc w:val="center"/>
              <w:rPr>
                <w:rFonts w:asciiTheme="minorEastAsia" w:hAnsiTheme="minorEastAsia" w:eastAsiaTheme="minorEastAsia"/>
                <w:sz w:val="24"/>
                <w:highlight w:val="none"/>
              </w:rPr>
            </w:pPr>
          </w:p>
        </w:tc>
        <w:tc>
          <w:tcPr>
            <w:tcW w:w="810" w:type="dxa"/>
            <w:vAlign w:val="center"/>
          </w:tcPr>
          <w:p w14:paraId="1F4D01E2">
            <w:pPr>
              <w:jc w:val="center"/>
              <w:rPr>
                <w:rFonts w:asciiTheme="minorEastAsia" w:hAnsiTheme="minorEastAsia" w:eastAsiaTheme="minorEastAsia"/>
                <w:sz w:val="24"/>
                <w:highlight w:val="none"/>
              </w:rPr>
            </w:pPr>
          </w:p>
        </w:tc>
      </w:tr>
    </w:tbl>
    <w:p w14:paraId="67DF8D42">
      <w:pPr>
        <w:spacing w:line="360" w:lineRule="auto"/>
        <w:ind w:firstLine="435"/>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6</w:t>
      </w:r>
      <w:r>
        <w:rPr>
          <w:rFonts w:asciiTheme="minorEastAsia" w:hAnsiTheme="minorEastAsia" w:eastAsiaTheme="minorEastAsia"/>
          <w:b/>
          <w:sz w:val="24"/>
          <w:highlight w:val="none"/>
        </w:rPr>
        <w:t>.2</w:t>
      </w:r>
      <w:r>
        <w:rPr>
          <w:rFonts w:hint="eastAsia" w:asciiTheme="minorEastAsia" w:hAnsiTheme="minorEastAsia" w:eastAsiaTheme="minorEastAsia"/>
          <w:b/>
          <w:sz w:val="24"/>
          <w:highlight w:val="none"/>
        </w:rPr>
        <w:t>技术响应表</w:t>
      </w:r>
    </w:p>
    <w:tbl>
      <w:tblPr>
        <w:tblStyle w:val="26"/>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559"/>
        <w:gridCol w:w="2862"/>
        <w:gridCol w:w="2480"/>
        <w:gridCol w:w="855"/>
      </w:tblGrid>
      <w:tr w14:paraId="2165D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60" w:type="dxa"/>
            <w:vAlign w:val="center"/>
          </w:tcPr>
          <w:p w14:paraId="7A30FE32">
            <w:pPr>
              <w:pStyle w:val="11"/>
              <w:jc w:val="center"/>
              <w:rPr>
                <w:rFonts w:cs="Wingdings" w:asciiTheme="minorEastAsia" w:hAnsiTheme="minorEastAsia"/>
                <w:b/>
                <w:sz w:val="24"/>
                <w:highlight w:val="none"/>
              </w:rPr>
            </w:pPr>
            <w:r>
              <w:rPr>
                <w:rFonts w:hint="eastAsia" w:cs="Wingdings" w:asciiTheme="minorEastAsia" w:hAnsiTheme="minorEastAsia"/>
                <w:b/>
                <w:sz w:val="24"/>
                <w:highlight w:val="none"/>
              </w:rPr>
              <w:t>序号</w:t>
            </w:r>
          </w:p>
        </w:tc>
        <w:tc>
          <w:tcPr>
            <w:tcW w:w="1559" w:type="dxa"/>
            <w:vAlign w:val="center"/>
          </w:tcPr>
          <w:p w14:paraId="340D7DD8">
            <w:pPr>
              <w:pStyle w:val="11"/>
              <w:jc w:val="center"/>
              <w:rPr>
                <w:rFonts w:cs="Wingdings" w:asciiTheme="minorEastAsia" w:hAnsiTheme="minorEastAsia"/>
                <w:b/>
                <w:sz w:val="24"/>
                <w:highlight w:val="none"/>
              </w:rPr>
            </w:pPr>
            <w:r>
              <w:rPr>
                <w:rFonts w:hint="eastAsia" w:asciiTheme="minorEastAsia" w:hAnsiTheme="minorEastAsia"/>
                <w:b/>
                <w:bCs/>
                <w:sz w:val="24"/>
                <w:szCs w:val="24"/>
                <w:highlight w:val="none"/>
              </w:rPr>
              <w:t>货物名称</w:t>
            </w:r>
          </w:p>
        </w:tc>
        <w:tc>
          <w:tcPr>
            <w:tcW w:w="2862" w:type="dxa"/>
            <w:vAlign w:val="center"/>
          </w:tcPr>
          <w:p w14:paraId="3E6B0D5E">
            <w:pPr>
              <w:pStyle w:val="11"/>
              <w:jc w:val="center"/>
              <w:rPr>
                <w:rFonts w:cs="Wingdings" w:asciiTheme="minorEastAsia" w:hAnsiTheme="minorEastAsia"/>
                <w:b/>
                <w:sz w:val="24"/>
                <w:highlight w:val="none"/>
              </w:rPr>
            </w:pPr>
            <w:r>
              <w:rPr>
                <w:rFonts w:hint="eastAsia" w:cs="Wingdings" w:asciiTheme="minorEastAsia" w:hAnsiTheme="minorEastAsia"/>
                <w:b/>
                <w:sz w:val="24"/>
                <w:highlight w:val="none"/>
              </w:rPr>
              <w:t>招标文件规定的技术参数及要求</w:t>
            </w:r>
          </w:p>
        </w:tc>
        <w:tc>
          <w:tcPr>
            <w:tcW w:w="2480" w:type="dxa"/>
            <w:vAlign w:val="center"/>
          </w:tcPr>
          <w:p w14:paraId="3D35E7AA">
            <w:pPr>
              <w:pStyle w:val="11"/>
              <w:jc w:val="center"/>
              <w:rPr>
                <w:rFonts w:cs="Wingdings" w:asciiTheme="minorEastAsia" w:hAnsiTheme="minorEastAsia"/>
                <w:b/>
                <w:sz w:val="24"/>
                <w:highlight w:val="none"/>
              </w:rPr>
            </w:pPr>
            <w:r>
              <w:rPr>
                <w:rFonts w:hint="eastAsia" w:cs="Wingdings" w:asciiTheme="minorEastAsia" w:hAnsiTheme="minorEastAsia"/>
                <w:b/>
                <w:sz w:val="24"/>
                <w:highlight w:val="none"/>
              </w:rPr>
              <w:t>所投产品的品牌、型号及技术参数</w:t>
            </w:r>
          </w:p>
        </w:tc>
        <w:tc>
          <w:tcPr>
            <w:tcW w:w="855" w:type="dxa"/>
            <w:vAlign w:val="center"/>
          </w:tcPr>
          <w:p w14:paraId="0AAE54AC">
            <w:pPr>
              <w:pStyle w:val="11"/>
              <w:jc w:val="center"/>
              <w:rPr>
                <w:rFonts w:cs="Wingdings" w:asciiTheme="minorEastAsia" w:hAnsiTheme="minorEastAsia"/>
                <w:b/>
                <w:sz w:val="24"/>
                <w:highlight w:val="none"/>
              </w:rPr>
            </w:pPr>
            <w:r>
              <w:rPr>
                <w:rFonts w:hint="eastAsia" w:cs="Wingdings" w:asciiTheme="minorEastAsia" w:hAnsiTheme="minorEastAsia"/>
                <w:b/>
                <w:sz w:val="24"/>
                <w:highlight w:val="none"/>
              </w:rPr>
              <w:t>偏离说明</w:t>
            </w:r>
          </w:p>
        </w:tc>
      </w:tr>
      <w:tr w14:paraId="15339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0" w:type="dxa"/>
            <w:vAlign w:val="center"/>
          </w:tcPr>
          <w:p w14:paraId="7E4F3F01">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p>
        </w:tc>
        <w:tc>
          <w:tcPr>
            <w:tcW w:w="1559" w:type="dxa"/>
            <w:vAlign w:val="center"/>
          </w:tcPr>
          <w:p w14:paraId="00D86172">
            <w:pPr>
              <w:jc w:val="center"/>
              <w:rPr>
                <w:rFonts w:asciiTheme="minorEastAsia" w:hAnsiTheme="minorEastAsia" w:eastAsiaTheme="minorEastAsia"/>
                <w:sz w:val="24"/>
                <w:highlight w:val="none"/>
              </w:rPr>
            </w:pPr>
          </w:p>
        </w:tc>
        <w:tc>
          <w:tcPr>
            <w:tcW w:w="2862" w:type="dxa"/>
            <w:vAlign w:val="center"/>
          </w:tcPr>
          <w:p w14:paraId="30786D45">
            <w:pPr>
              <w:jc w:val="center"/>
              <w:rPr>
                <w:rFonts w:asciiTheme="minorEastAsia" w:hAnsiTheme="minorEastAsia" w:eastAsiaTheme="minorEastAsia"/>
                <w:sz w:val="24"/>
                <w:highlight w:val="none"/>
              </w:rPr>
            </w:pPr>
          </w:p>
        </w:tc>
        <w:tc>
          <w:tcPr>
            <w:tcW w:w="2480" w:type="dxa"/>
            <w:vAlign w:val="center"/>
          </w:tcPr>
          <w:p w14:paraId="2B8E556E">
            <w:pPr>
              <w:jc w:val="center"/>
              <w:rPr>
                <w:rFonts w:asciiTheme="minorEastAsia" w:hAnsiTheme="minorEastAsia" w:eastAsiaTheme="minorEastAsia"/>
                <w:sz w:val="24"/>
                <w:highlight w:val="none"/>
              </w:rPr>
            </w:pPr>
          </w:p>
        </w:tc>
        <w:tc>
          <w:tcPr>
            <w:tcW w:w="855" w:type="dxa"/>
            <w:vAlign w:val="center"/>
          </w:tcPr>
          <w:p w14:paraId="745AF597">
            <w:pPr>
              <w:jc w:val="center"/>
              <w:rPr>
                <w:rFonts w:asciiTheme="minorEastAsia" w:hAnsiTheme="minorEastAsia" w:eastAsiaTheme="minorEastAsia"/>
                <w:sz w:val="24"/>
                <w:highlight w:val="none"/>
              </w:rPr>
            </w:pPr>
          </w:p>
        </w:tc>
      </w:tr>
      <w:tr w14:paraId="5BA3A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0" w:type="dxa"/>
            <w:vAlign w:val="center"/>
          </w:tcPr>
          <w:p w14:paraId="39983327">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p>
        </w:tc>
        <w:tc>
          <w:tcPr>
            <w:tcW w:w="1559" w:type="dxa"/>
            <w:vAlign w:val="center"/>
          </w:tcPr>
          <w:p w14:paraId="54A16D65">
            <w:pPr>
              <w:jc w:val="center"/>
              <w:rPr>
                <w:rFonts w:asciiTheme="minorEastAsia" w:hAnsiTheme="minorEastAsia" w:eastAsiaTheme="minorEastAsia"/>
                <w:sz w:val="24"/>
                <w:highlight w:val="none"/>
              </w:rPr>
            </w:pPr>
          </w:p>
        </w:tc>
        <w:tc>
          <w:tcPr>
            <w:tcW w:w="2862" w:type="dxa"/>
            <w:vAlign w:val="center"/>
          </w:tcPr>
          <w:p w14:paraId="4E06D52D">
            <w:pPr>
              <w:jc w:val="center"/>
              <w:rPr>
                <w:rFonts w:asciiTheme="minorEastAsia" w:hAnsiTheme="minorEastAsia" w:eastAsiaTheme="minorEastAsia"/>
                <w:sz w:val="24"/>
                <w:highlight w:val="none"/>
              </w:rPr>
            </w:pPr>
          </w:p>
        </w:tc>
        <w:tc>
          <w:tcPr>
            <w:tcW w:w="2480" w:type="dxa"/>
            <w:vAlign w:val="center"/>
          </w:tcPr>
          <w:p w14:paraId="143A8AC5">
            <w:pPr>
              <w:jc w:val="center"/>
              <w:rPr>
                <w:rFonts w:asciiTheme="minorEastAsia" w:hAnsiTheme="minorEastAsia" w:eastAsiaTheme="minorEastAsia"/>
                <w:sz w:val="24"/>
                <w:highlight w:val="none"/>
              </w:rPr>
            </w:pPr>
          </w:p>
        </w:tc>
        <w:tc>
          <w:tcPr>
            <w:tcW w:w="855" w:type="dxa"/>
            <w:vAlign w:val="center"/>
          </w:tcPr>
          <w:p w14:paraId="4FF508E7">
            <w:pPr>
              <w:jc w:val="center"/>
              <w:rPr>
                <w:rFonts w:asciiTheme="minorEastAsia" w:hAnsiTheme="minorEastAsia" w:eastAsiaTheme="minorEastAsia"/>
                <w:sz w:val="24"/>
                <w:highlight w:val="none"/>
              </w:rPr>
            </w:pPr>
          </w:p>
        </w:tc>
      </w:tr>
      <w:tr w14:paraId="64846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0" w:type="dxa"/>
            <w:vAlign w:val="center"/>
          </w:tcPr>
          <w:p w14:paraId="0CBA8BC8">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p>
        </w:tc>
        <w:tc>
          <w:tcPr>
            <w:tcW w:w="1559" w:type="dxa"/>
            <w:vAlign w:val="center"/>
          </w:tcPr>
          <w:p w14:paraId="68E8C227">
            <w:pPr>
              <w:jc w:val="center"/>
              <w:rPr>
                <w:rFonts w:asciiTheme="minorEastAsia" w:hAnsiTheme="minorEastAsia" w:eastAsiaTheme="minorEastAsia"/>
                <w:sz w:val="24"/>
                <w:highlight w:val="none"/>
              </w:rPr>
            </w:pPr>
          </w:p>
        </w:tc>
        <w:tc>
          <w:tcPr>
            <w:tcW w:w="2862" w:type="dxa"/>
            <w:vAlign w:val="center"/>
          </w:tcPr>
          <w:p w14:paraId="427DC46F">
            <w:pPr>
              <w:jc w:val="center"/>
              <w:rPr>
                <w:rFonts w:asciiTheme="minorEastAsia" w:hAnsiTheme="minorEastAsia" w:eastAsiaTheme="minorEastAsia"/>
                <w:sz w:val="24"/>
                <w:highlight w:val="none"/>
              </w:rPr>
            </w:pPr>
          </w:p>
        </w:tc>
        <w:tc>
          <w:tcPr>
            <w:tcW w:w="2480" w:type="dxa"/>
            <w:vAlign w:val="center"/>
          </w:tcPr>
          <w:p w14:paraId="0B8B8488">
            <w:pPr>
              <w:pStyle w:val="55"/>
              <w:jc w:val="center"/>
              <w:rPr>
                <w:rFonts w:asciiTheme="minorEastAsia" w:hAnsiTheme="minorEastAsia" w:eastAsiaTheme="minorEastAsia"/>
                <w:highlight w:val="none"/>
              </w:rPr>
            </w:pPr>
          </w:p>
        </w:tc>
        <w:tc>
          <w:tcPr>
            <w:tcW w:w="855" w:type="dxa"/>
            <w:vAlign w:val="center"/>
          </w:tcPr>
          <w:p w14:paraId="14F350EE">
            <w:pPr>
              <w:jc w:val="center"/>
              <w:rPr>
                <w:rFonts w:asciiTheme="minorEastAsia" w:hAnsiTheme="minorEastAsia" w:eastAsiaTheme="minorEastAsia"/>
                <w:sz w:val="24"/>
                <w:highlight w:val="none"/>
              </w:rPr>
            </w:pPr>
          </w:p>
        </w:tc>
      </w:tr>
      <w:tr w14:paraId="78273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0" w:type="dxa"/>
            <w:vAlign w:val="center"/>
          </w:tcPr>
          <w:p w14:paraId="7E187BD4">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p>
        </w:tc>
        <w:tc>
          <w:tcPr>
            <w:tcW w:w="1559" w:type="dxa"/>
            <w:vAlign w:val="center"/>
          </w:tcPr>
          <w:p w14:paraId="7647287B">
            <w:pPr>
              <w:jc w:val="center"/>
              <w:rPr>
                <w:rFonts w:asciiTheme="minorEastAsia" w:hAnsiTheme="minorEastAsia" w:eastAsiaTheme="minorEastAsia"/>
                <w:sz w:val="24"/>
                <w:highlight w:val="none"/>
              </w:rPr>
            </w:pPr>
          </w:p>
        </w:tc>
        <w:tc>
          <w:tcPr>
            <w:tcW w:w="2862" w:type="dxa"/>
            <w:vAlign w:val="center"/>
          </w:tcPr>
          <w:p w14:paraId="583271F8">
            <w:pPr>
              <w:jc w:val="center"/>
              <w:rPr>
                <w:rFonts w:asciiTheme="minorEastAsia" w:hAnsiTheme="minorEastAsia" w:eastAsiaTheme="minorEastAsia"/>
                <w:sz w:val="24"/>
                <w:highlight w:val="none"/>
              </w:rPr>
            </w:pPr>
          </w:p>
        </w:tc>
        <w:tc>
          <w:tcPr>
            <w:tcW w:w="2480" w:type="dxa"/>
            <w:vAlign w:val="center"/>
          </w:tcPr>
          <w:p w14:paraId="3DFF8277">
            <w:pPr>
              <w:pStyle w:val="55"/>
              <w:jc w:val="center"/>
              <w:rPr>
                <w:rFonts w:asciiTheme="minorEastAsia" w:hAnsiTheme="minorEastAsia" w:eastAsiaTheme="minorEastAsia"/>
                <w:highlight w:val="none"/>
              </w:rPr>
            </w:pPr>
          </w:p>
        </w:tc>
        <w:tc>
          <w:tcPr>
            <w:tcW w:w="855" w:type="dxa"/>
            <w:vAlign w:val="center"/>
          </w:tcPr>
          <w:p w14:paraId="6CE9EB11">
            <w:pPr>
              <w:jc w:val="center"/>
              <w:rPr>
                <w:rFonts w:asciiTheme="minorEastAsia" w:hAnsiTheme="minorEastAsia" w:eastAsiaTheme="minorEastAsia"/>
                <w:sz w:val="24"/>
                <w:highlight w:val="none"/>
              </w:rPr>
            </w:pPr>
          </w:p>
        </w:tc>
      </w:tr>
      <w:tr w14:paraId="614F1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0" w:type="dxa"/>
            <w:vAlign w:val="center"/>
          </w:tcPr>
          <w:p w14:paraId="0D149019">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p>
        </w:tc>
        <w:tc>
          <w:tcPr>
            <w:tcW w:w="1559" w:type="dxa"/>
            <w:vAlign w:val="center"/>
          </w:tcPr>
          <w:p w14:paraId="31FA223C">
            <w:pPr>
              <w:jc w:val="center"/>
              <w:rPr>
                <w:rFonts w:asciiTheme="minorEastAsia" w:hAnsiTheme="minorEastAsia" w:eastAsiaTheme="minorEastAsia"/>
                <w:sz w:val="24"/>
                <w:highlight w:val="none"/>
              </w:rPr>
            </w:pPr>
          </w:p>
        </w:tc>
        <w:tc>
          <w:tcPr>
            <w:tcW w:w="2862" w:type="dxa"/>
            <w:vAlign w:val="center"/>
          </w:tcPr>
          <w:p w14:paraId="737C62AF">
            <w:pPr>
              <w:jc w:val="center"/>
              <w:rPr>
                <w:rFonts w:asciiTheme="minorEastAsia" w:hAnsiTheme="minorEastAsia" w:eastAsiaTheme="minorEastAsia"/>
                <w:sz w:val="24"/>
                <w:highlight w:val="none"/>
              </w:rPr>
            </w:pPr>
          </w:p>
        </w:tc>
        <w:tc>
          <w:tcPr>
            <w:tcW w:w="2480" w:type="dxa"/>
            <w:vAlign w:val="center"/>
          </w:tcPr>
          <w:p w14:paraId="486CDAFA">
            <w:pPr>
              <w:jc w:val="center"/>
              <w:rPr>
                <w:rFonts w:asciiTheme="minorEastAsia" w:hAnsiTheme="minorEastAsia" w:eastAsiaTheme="minorEastAsia"/>
                <w:sz w:val="24"/>
                <w:highlight w:val="none"/>
              </w:rPr>
            </w:pPr>
          </w:p>
        </w:tc>
        <w:tc>
          <w:tcPr>
            <w:tcW w:w="855" w:type="dxa"/>
            <w:vAlign w:val="center"/>
          </w:tcPr>
          <w:p w14:paraId="0745F94A">
            <w:pPr>
              <w:jc w:val="center"/>
              <w:rPr>
                <w:rFonts w:asciiTheme="minorEastAsia" w:hAnsiTheme="minorEastAsia" w:eastAsiaTheme="minorEastAsia"/>
                <w:sz w:val="24"/>
                <w:highlight w:val="none"/>
              </w:rPr>
            </w:pPr>
          </w:p>
        </w:tc>
      </w:tr>
    </w:tbl>
    <w:p w14:paraId="0A84BA44">
      <w:pPr>
        <w:spacing w:line="360" w:lineRule="auto"/>
        <w:ind w:firstLine="4800" w:firstLineChars="2000"/>
        <w:rPr>
          <w:rFonts w:ascii="宋体" w:hAnsi="宋体" w:eastAsia="宋体"/>
          <w:sz w:val="24"/>
          <w:highlight w:val="none"/>
          <w:u w:val="single"/>
        </w:rPr>
      </w:pPr>
      <w:r>
        <w:rPr>
          <w:rFonts w:hint="eastAsia" w:ascii="宋体" w:hAnsi="宋体" w:eastAsia="宋体"/>
          <w:sz w:val="24"/>
          <w:highlight w:val="none"/>
        </w:rPr>
        <w:t>投标人电子签章：</w:t>
      </w:r>
      <w:r>
        <w:rPr>
          <w:rFonts w:hint="eastAsia" w:ascii="宋体" w:hAnsi="宋体" w:eastAsia="宋体"/>
          <w:sz w:val="24"/>
          <w:highlight w:val="none"/>
          <w:u w:val="single"/>
        </w:rPr>
        <w:t xml:space="preserve">             </w:t>
      </w:r>
    </w:p>
    <w:p w14:paraId="791C8851">
      <w:pPr>
        <w:spacing w:line="360" w:lineRule="auto"/>
        <w:ind w:firstLine="4800" w:firstLineChars="2000"/>
        <w:rPr>
          <w:rFonts w:ascii="宋体" w:hAnsi="宋体" w:eastAsia="宋体"/>
          <w:sz w:val="24"/>
          <w:highlight w:val="none"/>
          <w:u w:val="single"/>
        </w:rPr>
      </w:pPr>
      <w:r>
        <w:rPr>
          <w:rFonts w:hint="eastAsia" w:ascii="宋体" w:hAnsi="宋体" w:eastAsia="宋体"/>
          <w:sz w:val="24"/>
          <w:highlight w:val="none"/>
        </w:rPr>
        <w:t>日          期：</w:t>
      </w:r>
      <w:r>
        <w:rPr>
          <w:rFonts w:hint="eastAsia" w:ascii="宋体" w:hAnsi="宋体" w:eastAsia="宋体"/>
          <w:sz w:val="24"/>
          <w:highlight w:val="none"/>
          <w:u w:val="single"/>
        </w:rPr>
        <w:t xml:space="preserve">             </w:t>
      </w:r>
    </w:p>
    <w:p w14:paraId="24C17C06">
      <w:pPr>
        <w:pStyle w:val="12"/>
        <w:spacing w:line="360" w:lineRule="auto"/>
        <w:rPr>
          <w:rFonts w:asciiTheme="minorEastAsia" w:hAnsiTheme="minorEastAsia" w:eastAsiaTheme="minorEastAsia"/>
          <w:b w:val="0"/>
          <w:sz w:val="24"/>
          <w:highlight w:val="none"/>
        </w:rPr>
      </w:pPr>
      <w:r>
        <w:rPr>
          <w:rFonts w:asciiTheme="minorEastAsia" w:hAnsiTheme="minorEastAsia" w:eastAsiaTheme="minorEastAsia"/>
          <w:b w:val="0"/>
          <w:sz w:val="24"/>
          <w:highlight w:val="none"/>
        </w:rPr>
        <w:br w:type="page"/>
      </w:r>
    </w:p>
    <w:p w14:paraId="05578F87">
      <w:pPr>
        <w:spacing w:line="360" w:lineRule="auto"/>
        <w:jc w:val="center"/>
        <w:outlineLvl w:val="1"/>
        <w:rPr>
          <w:rFonts w:asciiTheme="minorEastAsia" w:hAnsiTheme="minorEastAsia" w:eastAsiaTheme="minorEastAsia"/>
          <w:b/>
          <w:sz w:val="24"/>
          <w:highlight w:val="none"/>
        </w:rPr>
      </w:pPr>
      <w:bookmarkStart w:id="65" w:name="_Toc9573"/>
      <w:bookmarkStart w:id="66" w:name="_Toc31244"/>
      <w:bookmarkStart w:id="67" w:name="OLE_LINK14"/>
      <w:bookmarkStart w:id="68" w:name="OLE_LINK13"/>
      <w:r>
        <w:rPr>
          <w:rFonts w:hint="eastAsia" w:asciiTheme="minorEastAsia" w:hAnsiTheme="minorEastAsia" w:eastAsiaTheme="minorEastAsia"/>
          <w:b/>
          <w:sz w:val="24"/>
          <w:highlight w:val="none"/>
        </w:rPr>
        <w:t>七、中小企业声明函</w:t>
      </w:r>
      <w:bookmarkEnd w:id="65"/>
      <w:bookmarkEnd w:id="66"/>
    </w:p>
    <w:p w14:paraId="3D44D28A">
      <w:pPr>
        <w:pStyle w:val="8"/>
        <w:spacing w:line="360" w:lineRule="auto"/>
        <w:jc w:val="center"/>
        <w:rPr>
          <w:rFonts w:ascii="宋体" w:hAnsi="宋体" w:eastAsia="宋体"/>
          <w:i/>
          <w:sz w:val="24"/>
          <w:highlight w:val="none"/>
          <w:lang w:val="en-US"/>
        </w:rPr>
      </w:pPr>
      <w:r>
        <w:rPr>
          <w:rFonts w:hint="eastAsia" w:ascii="宋体" w:hAnsi="宋体" w:eastAsia="宋体"/>
          <w:i/>
          <w:sz w:val="24"/>
          <w:highlight w:val="none"/>
          <w:lang w:val="en-US"/>
        </w:rPr>
        <w:t>（</w:t>
      </w:r>
      <w:r>
        <w:rPr>
          <w:rFonts w:hint="eastAsia" w:ascii="宋体" w:hAnsi="宋体" w:eastAsia="宋体"/>
          <w:i/>
          <w:sz w:val="24"/>
          <w:highlight w:val="none"/>
        </w:rPr>
        <w:t>非中小企业投标</w:t>
      </w:r>
      <w:r>
        <w:rPr>
          <w:rFonts w:hint="eastAsia" w:ascii="宋体" w:hAnsi="宋体" w:eastAsia="宋体"/>
          <w:i/>
          <w:sz w:val="24"/>
          <w:highlight w:val="none"/>
          <w:lang w:val="en-US"/>
        </w:rPr>
        <w:t>，不需此件，请删去“中小企业声明函”）</w:t>
      </w:r>
    </w:p>
    <w:p w14:paraId="129B42D9">
      <w:pPr>
        <w:rPr>
          <w:rFonts w:asciiTheme="minorEastAsia" w:hAnsiTheme="minorEastAsia" w:eastAsiaTheme="minorEastAsia"/>
          <w:sz w:val="24"/>
          <w:szCs w:val="24"/>
          <w:highlight w:val="none"/>
        </w:rPr>
      </w:pPr>
    </w:p>
    <w:p w14:paraId="2CB60D35">
      <w:pPr>
        <w:spacing w:line="360" w:lineRule="auto"/>
        <w:ind w:firstLine="435"/>
        <w:rPr>
          <w:rFonts w:ascii="宋体" w:hAnsi="宋体" w:eastAsia="宋体"/>
          <w:sz w:val="24"/>
          <w:szCs w:val="24"/>
          <w:highlight w:val="none"/>
          <w:lang w:val="zh-CN"/>
        </w:rPr>
      </w:pPr>
      <w:r>
        <w:rPr>
          <w:rFonts w:hint="eastAsia" w:ascii="宋体" w:hAnsi="宋体" w:eastAsia="宋体"/>
          <w:sz w:val="24"/>
          <w:szCs w:val="24"/>
          <w:highlight w:val="none"/>
          <w:lang w:val="zh-CN"/>
        </w:rPr>
        <w:t>本公司（联合体）郑重声明，根据《政府采购促进中小企业发展管理办法》（财库﹝2020﹞46号）的规定，本公司（联合体）参加（</w:t>
      </w:r>
      <w:r>
        <w:rPr>
          <w:rFonts w:hint="eastAsia" w:ascii="宋体" w:hAnsi="宋体" w:eastAsia="宋体"/>
          <w:sz w:val="24"/>
          <w:szCs w:val="24"/>
          <w:highlight w:val="none"/>
          <w:u w:val="single"/>
          <w:lang w:val="zh-CN"/>
        </w:rPr>
        <w:t>单位</w:t>
      </w:r>
      <w:r>
        <w:rPr>
          <w:rFonts w:hint="eastAsia" w:ascii="宋体" w:hAnsi="宋体" w:eastAsia="宋体"/>
          <w:sz w:val="24"/>
          <w:szCs w:val="24"/>
          <w:highlight w:val="none"/>
          <w:u w:val="single"/>
        </w:rPr>
        <w:t>名称</w:t>
      </w:r>
      <w:r>
        <w:rPr>
          <w:rFonts w:hint="eastAsia" w:ascii="宋体" w:hAnsi="宋体" w:eastAsia="宋体"/>
          <w:sz w:val="24"/>
          <w:szCs w:val="24"/>
          <w:highlight w:val="none"/>
          <w:lang w:val="zh-CN"/>
        </w:rPr>
        <w:t>）的（</w:t>
      </w:r>
      <w:r>
        <w:rPr>
          <w:rFonts w:hint="eastAsia" w:ascii="宋体" w:hAnsi="宋体" w:eastAsia="宋体"/>
          <w:sz w:val="24"/>
          <w:szCs w:val="24"/>
          <w:highlight w:val="none"/>
          <w:u w:val="single"/>
          <w:lang w:val="zh-CN"/>
        </w:rPr>
        <w:t>项目</w:t>
      </w:r>
      <w:r>
        <w:rPr>
          <w:rFonts w:hint="eastAsia" w:ascii="宋体" w:hAnsi="宋体" w:eastAsia="宋体"/>
          <w:sz w:val="24"/>
          <w:szCs w:val="24"/>
          <w:highlight w:val="none"/>
          <w:u w:val="single"/>
        </w:rPr>
        <w:t>名称</w:t>
      </w:r>
      <w:r>
        <w:rPr>
          <w:rFonts w:hint="eastAsia" w:ascii="宋体" w:hAnsi="宋体" w:eastAsia="宋体"/>
          <w:sz w:val="24"/>
          <w:szCs w:val="24"/>
          <w:highlight w:val="none"/>
          <w:lang w:val="zh-CN"/>
        </w:rPr>
        <w:t xml:space="preserve">）采购活动，提供的货物全部由符合政策要求的中小企业制造。相关企业（含联合体中的中小企业、签订分包意向协议的中小企业）的具体情况如下： </w:t>
      </w:r>
    </w:p>
    <w:p w14:paraId="09AB2060">
      <w:pPr>
        <w:spacing w:line="360" w:lineRule="auto"/>
        <w:ind w:firstLine="435"/>
        <w:rPr>
          <w:rFonts w:ascii="宋体" w:hAnsi="宋体" w:eastAsia="宋体"/>
          <w:sz w:val="24"/>
          <w:szCs w:val="24"/>
          <w:highlight w:val="none"/>
          <w:lang w:val="zh-CN"/>
        </w:rPr>
      </w:pPr>
      <w:r>
        <w:rPr>
          <w:rFonts w:hint="eastAsia" w:ascii="宋体" w:hAnsi="宋体" w:eastAsia="宋体"/>
          <w:sz w:val="24"/>
          <w:szCs w:val="24"/>
          <w:highlight w:val="none"/>
          <w:lang w:val="zh-CN"/>
        </w:rPr>
        <w:t>1.</w:t>
      </w:r>
      <w:r>
        <w:rPr>
          <w:rFonts w:hint="eastAsia" w:ascii="宋体" w:hAnsi="宋体" w:eastAsia="宋体"/>
          <w:sz w:val="24"/>
          <w:szCs w:val="24"/>
          <w:highlight w:val="none"/>
          <w:u w:val="single"/>
          <w:lang w:val="zh-CN"/>
        </w:rPr>
        <w:t xml:space="preserve"> （标的名称） </w:t>
      </w:r>
      <w:r>
        <w:rPr>
          <w:rFonts w:hint="eastAsia" w:ascii="宋体" w:hAnsi="宋体" w:eastAsia="宋体"/>
          <w:sz w:val="24"/>
          <w:szCs w:val="24"/>
          <w:highlight w:val="none"/>
          <w:lang w:val="zh-CN"/>
        </w:rPr>
        <w:t>，属于</w:t>
      </w:r>
      <w:r>
        <w:rPr>
          <w:rFonts w:hint="eastAsia" w:ascii="宋体" w:hAnsi="宋体" w:eastAsia="宋体"/>
          <w:sz w:val="24"/>
          <w:szCs w:val="24"/>
          <w:highlight w:val="none"/>
          <w:u w:val="single"/>
          <w:lang w:val="zh-CN"/>
        </w:rPr>
        <w:t>（采购文件中明确的所属行业）</w:t>
      </w:r>
      <w:r>
        <w:rPr>
          <w:rFonts w:hint="eastAsia" w:ascii="宋体" w:hAnsi="宋体" w:eastAsia="宋体"/>
          <w:sz w:val="24"/>
          <w:szCs w:val="24"/>
          <w:highlight w:val="none"/>
          <w:lang w:val="zh-CN"/>
        </w:rPr>
        <w:t>行业；制造商为</w:t>
      </w:r>
      <w:r>
        <w:rPr>
          <w:rFonts w:hint="eastAsia" w:ascii="宋体" w:hAnsi="宋体" w:eastAsia="宋体"/>
          <w:sz w:val="24"/>
          <w:szCs w:val="24"/>
          <w:highlight w:val="none"/>
          <w:u w:val="single"/>
          <w:lang w:val="zh-CN"/>
        </w:rPr>
        <w:t>（企业名称）</w:t>
      </w:r>
      <w:r>
        <w:rPr>
          <w:rFonts w:hint="eastAsia" w:ascii="宋体" w:hAnsi="宋体" w:eastAsia="宋体"/>
          <w:sz w:val="24"/>
          <w:szCs w:val="24"/>
          <w:highlight w:val="none"/>
          <w:lang w:val="zh-CN"/>
        </w:rPr>
        <w:t>，从业人员</w:t>
      </w:r>
      <w:r>
        <w:rPr>
          <w:rFonts w:hint="eastAsia" w:ascii="宋体" w:hAnsi="宋体" w:eastAsia="宋体"/>
          <w:sz w:val="24"/>
          <w:szCs w:val="24"/>
          <w:highlight w:val="none"/>
          <w:u w:val="single"/>
          <w:lang w:val="zh-CN"/>
        </w:rPr>
        <w:t xml:space="preserve">     </w:t>
      </w:r>
      <w:r>
        <w:rPr>
          <w:rFonts w:hint="eastAsia" w:ascii="宋体" w:hAnsi="宋体" w:eastAsia="宋体"/>
          <w:sz w:val="24"/>
          <w:szCs w:val="24"/>
          <w:highlight w:val="none"/>
          <w:lang w:val="zh-CN"/>
        </w:rPr>
        <w:t>人，营业收入为</w:t>
      </w:r>
      <w:r>
        <w:rPr>
          <w:rFonts w:hint="eastAsia" w:ascii="宋体" w:hAnsi="宋体" w:eastAsia="宋体"/>
          <w:sz w:val="24"/>
          <w:szCs w:val="24"/>
          <w:highlight w:val="none"/>
          <w:u w:val="single"/>
          <w:lang w:val="zh-CN"/>
        </w:rPr>
        <w:t xml:space="preserve">     </w:t>
      </w:r>
      <w:r>
        <w:rPr>
          <w:rFonts w:hint="eastAsia" w:ascii="宋体" w:hAnsi="宋体" w:eastAsia="宋体"/>
          <w:sz w:val="24"/>
          <w:szCs w:val="24"/>
          <w:highlight w:val="none"/>
          <w:lang w:val="zh-CN"/>
        </w:rPr>
        <w:t>万元，资产总额为</w:t>
      </w:r>
      <w:r>
        <w:rPr>
          <w:rFonts w:hint="eastAsia" w:ascii="宋体" w:hAnsi="宋体" w:eastAsia="宋体"/>
          <w:sz w:val="24"/>
          <w:szCs w:val="24"/>
          <w:highlight w:val="none"/>
          <w:u w:val="single"/>
          <w:lang w:val="zh-CN"/>
        </w:rPr>
        <w:t xml:space="preserve">     </w:t>
      </w:r>
      <w:r>
        <w:rPr>
          <w:rFonts w:hint="eastAsia" w:ascii="宋体" w:hAnsi="宋体" w:eastAsia="宋体"/>
          <w:sz w:val="24"/>
          <w:szCs w:val="24"/>
          <w:highlight w:val="none"/>
          <w:lang w:val="zh-CN"/>
        </w:rPr>
        <w:t>万元，属于</w:t>
      </w:r>
      <w:r>
        <w:rPr>
          <w:rFonts w:hint="eastAsia" w:ascii="宋体" w:hAnsi="宋体" w:eastAsia="宋体"/>
          <w:sz w:val="24"/>
          <w:szCs w:val="24"/>
          <w:highlight w:val="none"/>
          <w:u w:val="single"/>
          <w:lang w:val="zh-CN"/>
        </w:rPr>
        <w:t>（中型企业、小型企业、微型企业）</w:t>
      </w:r>
      <w:r>
        <w:rPr>
          <w:rFonts w:hint="eastAsia" w:ascii="宋体" w:hAnsi="宋体" w:eastAsia="宋体"/>
          <w:sz w:val="24"/>
          <w:szCs w:val="24"/>
          <w:highlight w:val="none"/>
          <w:lang w:val="zh-CN"/>
        </w:rPr>
        <w:t xml:space="preserve">； </w:t>
      </w:r>
    </w:p>
    <w:p w14:paraId="79FB8D92">
      <w:pPr>
        <w:spacing w:line="360" w:lineRule="auto"/>
        <w:ind w:firstLine="435"/>
        <w:rPr>
          <w:rFonts w:ascii="宋体" w:hAnsi="宋体" w:eastAsia="宋体"/>
          <w:sz w:val="24"/>
          <w:szCs w:val="24"/>
          <w:highlight w:val="none"/>
          <w:lang w:val="zh-CN"/>
        </w:rPr>
      </w:pPr>
      <w:r>
        <w:rPr>
          <w:rFonts w:hint="eastAsia" w:ascii="宋体" w:hAnsi="宋体" w:eastAsia="宋体"/>
          <w:sz w:val="24"/>
          <w:szCs w:val="24"/>
          <w:highlight w:val="none"/>
          <w:lang w:val="zh-CN"/>
        </w:rPr>
        <w:t>2.</w:t>
      </w:r>
      <w:r>
        <w:rPr>
          <w:rFonts w:hint="eastAsia" w:ascii="宋体" w:hAnsi="宋体" w:eastAsia="宋体"/>
          <w:sz w:val="24"/>
          <w:szCs w:val="24"/>
          <w:highlight w:val="none"/>
          <w:u w:val="single"/>
          <w:lang w:val="zh-CN"/>
        </w:rPr>
        <w:t xml:space="preserve"> （标的名称） </w:t>
      </w:r>
      <w:r>
        <w:rPr>
          <w:rFonts w:hint="eastAsia" w:ascii="宋体" w:hAnsi="宋体" w:eastAsia="宋体"/>
          <w:sz w:val="24"/>
          <w:szCs w:val="24"/>
          <w:highlight w:val="none"/>
          <w:lang w:val="zh-CN"/>
        </w:rPr>
        <w:t>，属于</w:t>
      </w:r>
      <w:r>
        <w:rPr>
          <w:rFonts w:hint="eastAsia" w:ascii="宋体" w:hAnsi="宋体" w:eastAsia="宋体"/>
          <w:sz w:val="24"/>
          <w:szCs w:val="24"/>
          <w:highlight w:val="none"/>
          <w:u w:val="single"/>
          <w:lang w:val="zh-CN"/>
        </w:rPr>
        <w:t>（采购文件中明确的所属行业）</w:t>
      </w:r>
      <w:r>
        <w:rPr>
          <w:rFonts w:hint="eastAsia" w:ascii="宋体" w:hAnsi="宋体" w:eastAsia="宋体"/>
          <w:sz w:val="24"/>
          <w:szCs w:val="24"/>
          <w:highlight w:val="none"/>
          <w:lang w:val="zh-CN"/>
        </w:rPr>
        <w:t>行业；制造商为</w:t>
      </w:r>
      <w:r>
        <w:rPr>
          <w:rFonts w:hint="eastAsia" w:ascii="宋体" w:hAnsi="宋体" w:eastAsia="宋体"/>
          <w:sz w:val="24"/>
          <w:szCs w:val="24"/>
          <w:highlight w:val="none"/>
          <w:u w:val="single"/>
          <w:lang w:val="zh-CN"/>
        </w:rPr>
        <w:t>（企业名称）</w:t>
      </w:r>
      <w:r>
        <w:rPr>
          <w:rFonts w:hint="eastAsia" w:ascii="宋体" w:hAnsi="宋体" w:eastAsia="宋体"/>
          <w:sz w:val="24"/>
          <w:szCs w:val="24"/>
          <w:highlight w:val="none"/>
          <w:lang w:val="zh-CN"/>
        </w:rPr>
        <w:t>，从业人员</w:t>
      </w:r>
      <w:r>
        <w:rPr>
          <w:rFonts w:hint="eastAsia" w:ascii="宋体" w:hAnsi="宋体" w:eastAsia="宋体"/>
          <w:sz w:val="24"/>
          <w:szCs w:val="24"/>
          <w:highlight w:val="none"/>
          <w:u w:val="single"/>
          <w:lang w:val="zh-CN"/>
        </w:rPr>
        <w:t xml:space="preserve">     </w:t>
      </w:r>
      <w:r>
        <w:rPr>
          <w:rFonts w:hint="eastAsia" w:ascii="宋体" w:hAnsi="宋体" w:eastAsia="宋体"/>
          <w:sz w:val="24"/>
          <w:szCs w:val="24"/>
          <w:highlight w:val="none"/>
          <w:lang w:val="zh-CN"/>
        </w:rPr>
        <w:t>人，营业收入为</w:t>
      </w:r>
      <w:r>
        <w:rPr>
          <w:rFonts w:hint="eastAsia" w:ascii="宋体" w:hAnsi="宋体" w:eastAsia="宋体"/>
          <w:sz w:val="24"/>
          <w:szCs w:val="24"/>
          <w:highlight w:val="none"/>
          <w:u w:val="single"/>
          <w:lang w:val="zh-CN"/>
        </w:rPr>
        <w:t xml:space="preserve">     </w:t>
      </w:r>
      <w:r>
        <w:rPr>
          <w:rFonts w:hint="eastAsia" w:ascii="宋体" w:hAnsi="宋体" w:eastAsia="宋体"/>
          <w:sz w:val="24"/>
          <w:szCs w:val="24"/>
          <w:highlight w:val="none"/>
          <w:lang w:val="zh-CN"/>
        </w:rPr>
        <w:t>万元，资产总额为</w:t>
      </w:r>
      <w:r>
        <w:rPr>
          <w:rFonts w:hint="eastAsia" w:ascii="宋体" w:hAnsi="宋体" w:eastAsia="宋体"/>
          <w:sz w:val="24"/>
          <w:szCs w:val="24"/>
          <w:highlight w:val="none"/>
          <w:u w:val="single"/>
          <w:lang w:val="zh-CN"/>
        </w:rPr>
        <w:t xml:space="preserve">     </w:t>
      </w:r>
      <w:r>
        <w:rPr>
          <w:rFonts w:hint="eastAsia" w:ascii="宋体" w:hAnsi="宋体" w:eastAsia="宋体"/>
          <w:sz w:val="24"/>
          <w:szCs w:val="24"/>
          <w:highlight w:val="none"/>
          <w:lang w:val="zh-CN"/>
        </w:rPr>
        <w:t>万元，属于</w:t>
      </w:r>
      <w:r>
        <w:rPr>
          <w:rFonts w:hint="eastAsia" w:ascii="宋体" w:hAnsi="宋体" w:eastAsia="宋体"/>
          <w:sz w:val="24"/>
          <w:szCs w:val="24"/>
          <w:highlight w:val="none"/>
          <w:u w:val="single"/>
          <w:lang w:val="zh-CN"/>
        </w:rPr>
        <w:t>（中型企业、小型企业、微型企业）</w:t>
      </w:r>
      <w:r>
        <w:rPr>
          <w:rFonts w:hint="eastAsia" w:ascii="宋体" w:hAnsi="宋体" w:eastAsia="宋体"/>
          <w:sz w:val="24"/>
          <w:szCs w:val="24"/>
          <w:highlight w:val="none"/>
          <w:lang w:val="zh-CN"/>
        </w:rPr>
        <w:t xml:space="preserve">； </w:t>
      </w:r>
    </w:p>
    <w:p w14:paraId="6F2CB39E">
      <w:pPr>
        <w:spacing w:line="360" w:lineRule="auto"/>
        <w:ind w:firstLine="435"/>
        <w:rPr>
          <w:rFonts w:ascii="宋体" w:hAnsi="宋体" w:eastAsia="宋体"/>
          <w:sz w:val="24"/>
          <w:szCs w:val="24"/>
          <w:highlight w:val="none"/>
          <w:lang w:val="zh-CN"/>
        </w:rPr>
      </w:pPr>
      <w:r>
        <w:rPr>
          <w:rFonts w:hint="eastAsia" w:ascii="宋体" w:hAnsi="宋体" w:eastAsia="宋体"/>
          <w:sz w:val="24"/>
          <w:szCs w:val="24"/>
          <w:highlight w:val="none"/>
          <w:lang w:val="zh-CN"/>
        </w:rPr>
        <w:t>……</w:t>
      </w:r>
    </w:p>
    <w:p w14:paraId="67786B54">
      <w:pPr>
        <w:spacing w:line="360" w:lineRule="auto"/>
        <w:ind w:firstLine="435"/>
        <w:rPr>
          <w:rFonts w:ascii="宋体" w:hAnsi="宋体" w:eastAsia="宋体"/>
          <w:sz w:val="24"/>
          <w:szCs w:val="24"/>
          <w:highlight w:val="none"/>
          <w:lang w:val="zh-CN"/>
        </w:rPr>
      </w:pPr>
      <w:r>
        <w:rPr>
          <w:rFonts w:hint="eastAsia" w:ascii="宋体" w:hAnsi="宋体" w:eastAsia="宋体"/>
          <w:sz w:val="24"/>
          <w:szCs w:val="24"/>
          <w:highlight w:val="none"/>
          <w:lang w:val="zh-CN"/>
        </w:rPr>
        <w:t>以上企业，不属于大企业的分支机构，不存在控股股东为大企业的情形，也不存在与大企业的负责人为同一人的情形。</w:t>
      </w:r>
    </w:p>
    <w:p w14:paraId="200CC8E6">
      <w:pPr>
        <w:spacing w:line="360" w:lineRule="auto"/>
        <w:ind w:firstLine="435"/>
        <w:rPr>
          <w:rFonts w:ascii="宋体" w:hAnsi="宋体" w:eastAsia="宋体"/>
          <w:sz w:val="24"/>
          <w:szCs w:val="24"/>
          <w:highlight w:val="none"/>
          <w:lang w:val="zh-CN"/>
        </w:rPr>
      </w:pPr>
      <w:r>
        <w:rPr>
          <w:rFonts w:hint="eastAsia" w:ascii="宋体" w:hAnsi="宋体" w:eastAsia="宋体"/>
          <w:sz w:val="24"/>
          <w:szCs w:val="24"/>
          <w:highlight w:val="none"/>
          <w:lang w:val="zh-CN"/>
        </w:rPr>
        <w:t xml:space="preserve">本企业对上述声明内容的真实性负责。如有虚假，将依法承担相应责任。 </w:t>
      </w:r>
    </w:p>
    <w:p w14:paraId="790F5DD0">
      <w:pPr>
        <w:spacing w:line="360" w:lineRule="auto"/>
        <w:ind w:firstLine="435"/>
        <w:rPr>
          <w:rFonts w:asciiTheme="minorEastAsia" w:hAnsiTheme="minorEastAsia" w:eastAsiaTheme="minorEastAsia"/>
          <w:sz w:val="24"/>
          <w:szCs w:val="24"/>
          <w:highlight w:val="none"/>
        </w:rPr>
      </w:pPr>
    </w:p>
    <w:p w14:paraId="239D8549">
      <w:pPr>
        <w:spacing w:line="360" w:lineRule="auto"/>
        <w:ind w:firstLine="435"/>
        <w:rPr>
          <w:rFonts w:asciiTheme="minorEastAsia" w:hAnsiTheme="minorEastAsia" w:eastAsiaTheme="minorEastAsia"/>
          <w:sz w:val="24"/>
          <w:szCs w:val="24"/>
          <w:highlight w:val="none"/>
        </w:rPr>
      </w:pPr>
    </w:p>
    <w:p w14:paraId="65ABAF8E">
      <w:pPr>
        <w:spacing w:line="360" w:lineRule="auto"/>
        <w:ind w:firstLine="4228" w:firstLineChars="1762"/>
        <w:rPr>
          <w:rFonts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投标人</w:t>
      </w:r>
      <w:r>
        <w:rPr>
          <w:rFonts w:asciiTheme="minorEastAsia" w:hAnsiTheme="minorEastAsia" w:eastAsiaTheme="minorEastAsia"/>
          <w:sz w:val="24"/>
          <w:szCs w:val="24"/>
          <w:highlight w:val="none"/>
        </w:rPr>
        <w:t>电子签章</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u w:val="single"/>
        </w:rPr>
        <w:t xml:space="preserve">             </w:t>
      </w:r>
    </w:p>
    <w:p w14:paraId="754884DA">
      <w:pPr>
        <w:tabs>
          <w:tab w:val="left" w:pos="4620"/>
        </w:tabs>
        <w:spacing w:line="360" w:lineRule="auto"/>
        <w:ind w:firstLine="4252" w:firstLineChars="1772"/>
        <w:rPr>
          <w:rFonts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日</w:t>
      </w:r>
      <w:r>
        <w:rPr>
          <w:rFonts w:asciiTheme="minorEastAsia" w:hAnsiTheme="minorEastAsia" w:eastAsiaTheme="minorEastAsia"/>
          <w:sz w:val="24"/>
          <w:szCs w:val="24"/>
          <w:highlight w:val="none"/>
        </w:rPr>
        <w:t xml:space="preserve">      </w:t>
      </w:r>
      <w:r>
        <w:rPr>
          <w:rFonts w:hint="eastAsia" w:asciiTheme="minorEastAsia" w:hAnsiTheme="minorEastAsia" w:eastAsiaTheme="minorEastAsia"/>
          <w:sz w:val="24"/>
          <w:szCs w:val="24"/>
          <w:highlight w:val="none"/>
        </w:rPr>
        <w:t xml:space="preserve">    期：</w:t>
      </w:r>
      <w:r>
        <w:rPr>
          <w:rFonts w:asciiTheme="minorEastAsia" w:hAnsiTheme="minorEastAsia" w:eastAsiaTheme="minorEastAsia"/>
          <w:sz w:val="24"/>
          <w:szCs w:val="24"/>
          <w:highlight w:val="none"/>
          <w:u w:val="single"/>
        </w:rPr>
        <w:t xml:space="preserve">             </w:t>
      </w:r>
    </w:p>
    <w:p w14:paraId="7D319A46">
      <w:pPr>
        <w:tabs>
          <w:tab w:val="left" w:pos="4620"/>
        </w:tabs>
        <w:spacing w:line="360" w:lineRule="auto"/>
        <w:jc w:val="left"/>
        <w:rPr>
          <w:rFonts w:asciiTheme="minorEastAsia" w:hAnsiTheme="minorEastAsia" w:eastAsiaTheme="minorEastAsia"/>
          <w:sz w:val="24"/>
          <w:szCs w:val="24"/>
          <w:highlight w:val="none"/>
        </w:rPr>
      </w:pPr>
    </w:p>
    <w:p w14:paraId="46FFA7E8">
      <w:pPr>
        <w:tabs>
          <w:tab w:val="left" w:pos="4620"/>
        </w:tabs>
        <w:spacing w:line="360" w:lineRule="auto"/>
        <w:jc w:val="left"/>
        <w:rPr>
          <w:rFonts w:asciiTheme="minorEastAsia" w:hAnsiTheme="minorEastAsia" w:eastAsiaTheme="minorEastAsia"/>
          <w:sz w:val="24"/>
          <w:szCs w:val="24"/>
          <w:highlight w:val="none"/>
        </w:rPr>
      </w:pPr>
    </w:p>
    <w:p w14:paraId="2D874686">
      <w:pPr>
        <w:tabs>
          <w:tab w:val="left" w:pos="4620"/>
        </w:tabs>
        <w:spacing w:line="360" w:lineRule="auto"/>
        <w:jc w:val="left"/>
        <w:rPr>
          <w:rFonts w:asciiTheme="minorEastAsia" w:hAnsiTheme="minorEastAsia" w:eastAsiaTheme="minorEastAsia"/>
          <w:sz w:val="24"/>
          <w:szCs w:val="24"/>
          <w:highlight w:val="none"/>
        </w:rPr>
      </w:pPr>
    </w:p>
    <w:p w14:paraId="318CA687">
      <w:pPr>
        <w:tabs>
          <w:tab w:val="left" w:pos="4620"/>
        </w:tabs>
        <w:spacing w:line="360" w:lineRule="auto"/>
        <w:jc w:val="left"/>
        <w:rPr>
          <w:rFonts w:asciiTheme="minorEastAsia" w:hAnsiTheme="minorEastAsia" w:eastAsiaTheme="minorEastAsia"/>
          <w:sz w:val="24"/>
          <w:szCs w:val="24"/>
          <w:highlight w:val="none"/>
        </w:rPr>
      </w:pPr>
    </w:p>
    <w:p w14:paraId="42F72783">
      <w:pPr>
        <w:tabs>
          <w:tab w:val="left" w:pos="4620"/>
        </w:tabs>
        <w:spacing w:line="360" w:lineRule="auto"/>
        <w:jc w:val="left"/>
        <w:rPr>
          <w:rFonts w:asciiTheme="minorEastAsia" w:hAnsiTheme="minorEastAsia" w:eastAsiaTheme="minorEastAsia"/>
          <w:sz w:val="24"/>
          <w:szCs w:val="24"/>
          <w:highlight w:val="none"/>
        </w:rPr>
      </w:pPr>
    </w:p>
    <w:p w14:paraId="4500EE3D">
      <w:pPr>
        <w:tabs>
          <w:tab w:val="left" w:pos="4620"/>
        </w:tabs>
        <w:spacing w:line="360" w:lineRule="auto"/>
        <w:jc w:val="left"/>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注：</w:t>
      </w:r>
    </w:p>
    <w:p w14:paraId="5D24E512">
      <w:pPr>
        <w:tabs>
          <w:tab w:val="left" w:pos="4620"/>
        </w:tabs>
        <w:spacing w:line="360" w:lineRule="auto"/>
        <w:jc w:val="left"/>
        <w:rPr>
          <w:rFonts w:asciiTheme="minorEastAsia" w:hAnsiTheme="minorEastAsia" w:eastAsiaTheme="minorEastAsia"/>
          <w:szCs w:val="24"/>
          <w:highlight w:val="none"/>
        </w:rPr>
      </w:pPr>
      <w:r>
        <w:rPr>
          <w:rFonts w:asciiTheme="minorEastAsia" w:hAnsiTheme="minorEastAsia" w:eastAsiaTheme="minorEastAsia"/>
          <w:szCs w:val="24"/>
          <w:highlight w:val="none"/>
        </w:rPr>
        <w:t>1.从业人员、营业收入、资产总额填报上一年数据，无上一年数据的新成立企业可不填报。</w:t>
      </w:r>
    </w:p>
    <w:p w14:paraId="5AACF217">
      <w:pPr>
        <w:tabs>
          <w:tab w:val="left" w:pos="4620"/>
        </w:tabs>
        <w:spacing w:line="360" w:lineRule="auto"/>
        <w:jc w:val="left"/>
        <w:rPr>
          <w:rFonts w:ascii="宋体" w:hAnsi="宋体" w:eastAsia="宋体" w:cs="宋体"/>
          <w:b/>
          <w:bCs/>
          <w:szCs w:val="21"/>
          <w:highlight w:val="none"/>
        </w:rPr>
      </w:pPr>
      <w:r>
        <w:rPr>
          <w:rFonts w:hint="eastAsia" w:ascii="宋体" w:hAnsi="宋体" w:eastAsia="宋体" w:cs="宋体"/>
          <w:b/>
          <w:bCs/>
          <w:szCs w:val="21"/>
          <w:highlight w:val="none"/>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szCs w:val="21"/>
          <w:highlight w:val="none"/>
          <w:lang w:val="zh-CN"/>
        </w:rPr>
        <w:t>如有虚假，将依法承担相应责任。</w:t>
      </w:r>
      <w:r>
        <w:rPr>
          <w:rFonts w:hint="eastAsia" w:ascii="宋体" w:hAnsi="宋体" w:eastAsia="宋体" w:cs="宋体"/>
          <w:b/>
          <w:bCs/>
          <w:szCs w:val="21"/>
          <w:highlight w:val="none"/>
        </w:rPr>
        <w:t>投标人自行登录工业和信息化部官网进行中小企业规模类型自测（查询网址https://www.miit.gov.cn/）。</w:t>
      </w:r>
    </w:p>
    <w:p w14:paraId="34FD3B52">
      <w:pPr>
        <w:tabs>
          <w:tab w:val="left" w:pos="4620"/>
        </w:tabs>
        <w:spacing w:line="360" w:lineRule="auto"/>
        <w:jc w:val="left"/>
        <w:rPr>
          <w:rFonts w:ascii="宋体" w:hAnsi="宋体" w:eastAsia="宋体" w:cs="宋体"/>
          <w:b/>
          <w:bCs/>
          <w:szCs w:val="21"/>
          <w:highlight w:val="none"/>
        </w:rPr>
      </w:pPr>
      <w:r>
        <w:rPr>
          <w:rFonts w:hint="eastAsia" w:ascii="宋体" w:hAnsi="宋体" w:eastAsia="宋体" w:cs="宋体"/>
          <w:b/>
          <w:bCs/>
          <w:szCs w:val="21"/>
          <w:highlight w:val="none"/>
        </w:rPr>
        <w:t>3.上述“</w:t>
      </w:r>
      <w:r>
        <w:rPr>
          <w:rFonts w:hint="eastAsia" w:ascii="宋体" w:hAnsi="宋体" w:eastAsia="宋体" w:cs="宋体"/>
          <w:b/>
          <w:bCs/>
          <w:szCs w:val="21"/>
          <w:highlight w:val="none"/>
          <w:u w:val="single"/>
          <w:lang w:val="zh-CN"/>
        </w:rPr>
        <w:t>标的名称</w:t>
      </w:r>
      <w:r>
        <w:rPr>
          <w:rFonts w:hint="eastAsia" w:ascii="宋体" w:hAnsi="宋体" w:eastAsia="宋体" w:cs="宋体"/>
          <w:b/>
          <w:bCs/>
          <w:szCs w:val="21"/>
          <w:highlight w:val="none"/>
        </w:rPr>
        <w:t>”，详见第三章采购需求中明确的“货物名称”。</w:t>
      </w:r>
    </w:p>
    <w:p w14:paraId="10D1B047">
      <w:pPr>
        <w:tabs>
          <w:tab w:val="left" w:pos="4620"/>
        </w:tabs>
        <w:spacing w:line="360" w:lineRule="auto"/>
        <w:jc w:val="left"/>
        <w:rPr>
          <w:rFonts w:ascii="宋体" w:hAnsi="宋体" w:eastAsia="宋体" w:cs="宋体"/>
          <w:b/>
          <w:bCs/>
          <w:szCs w:val="21"/>
          <w:highlight w:val="none"/>
        </w:rPr>
      </w:pPr>
      <w:r>
        <w:rPr>
          <w:rFonts w:hint="eastAsia" w:ascii="宋体" w:hAnsi="宋体" w:eastAsia="宋体" w:cs="宋体"/>
          <w:b/>
          <w:bCs/>
          <w:szCs w:val="21"/>
          <w:highlight w:val="none"/>
        </w:rPr>
        <w:t>4.上述“</w:t>
      </w:r>
      <w:r>
        <w:rPr>
          <w:rFonts w:hint="eastAsia" w:ascii="宋体" w:hAnsi="宋体" w:eastAsia="宋体" w:cs="宋体"/>
          <w:b/>
          <w:bCs/>
          <w:szCs w:val="21"/>
          <w:highlight w:val="none"/>
          <w:u w:val="single"/>
        </w:rPr>
        <w:t>采购文件中明确的所属行业</w:t>
      </w:r>
      <w:r>
        <w:rPr>
          <w:rFonts w:hint="eastAsia" w:ascii="宋体" w:hAnsi="宋体" w:eastAsia="宋体" w:cs="宋体"/>
          <w:b/>
          <w:bCs/>
          <w:szCs w:val="21"/>
          <w:highlight w:val="none"/>
        </w:rPr>
        <w:t>”，详见第三章采购需求中明确的“所属行业”。</w:t>
      </w:r>
    </w:p>
    <w:p w14:paraId="2DEC054C">
      <w:pPr>
        <w:tabs>
          <w:tab w:val="left" w:pos="4620"/>
        </w:tabs>
        <w:spacing w:line="360" w:lineRule="auto"/>
        <w:jc w:val="left"/>
        <w:rPr>
          <w:rFonts w:ascii="宋体" w:hAnsi="宋体" w:eastAsia="宋体" w:cs="宋体"/>
          <w:b/>
          <w:bCs/>
          <w:szCs w:val="21"/>
          <w:highlight w:val="none"/>
        </w:rPr>
      </w:pPr>
      <w:r>
        <w:rPr>
          <w:rFonts w:hint="eastAsia" w:ascii="宋体" w:hAnsi="宋体" w:eastAsia="宋体" w:cs="宋体"/>
          <w:b/>
          <w:bCs/>
          <w:szCs w:val="21"/>
          <w:highlight w:val="none"/>
        </w:rPr>
        <w:t>5．填写示例：</w:t>
      </w:r>
      <w:r>
        <w:rPr>
          <w:rFonts w:hint="eastAsia" w:ascii="宋体" w:hAnsi="宋体" w:eastAsia="宋体" w:cs="宋体"/>
          <w:b/>
          <w:bCs/>
          <w:szCs w:val="21"/>
          <w:highlight w:val="none"/>
          <w:u w:val="single"/>
          <w:lang w:val="zh-CN"/>
        </w:rPr>
        <w:t>某设备</w:t>
      </w:r>
      <w:r>
        <w:rPr>
          <w:rFonts w:hint="eastAsia" w:ascii="宋体" w:hAnsi="宋体" w:eastAsia="宋体" w:cs="宋体"/>
          <w:b/>
          <w:bCs/>
          <w:szCs w:val="21"/>
          <w:highlight w:val="none"/>
        </w:rPr>
        <w:t>，</w:t>
      </w:r>
      <w:r>
        <w:rPr>
          <w:rFonts w:hint="eastAsia" w:ascii="宋体" w:hAnsi="宋体" w:eastAsia="宋体" w:cs="宋体"/>
          <w:b/>
          <w:bCs/>
          <w:szCs w:val="21"/>
          <w:highlight w:val="none"/>
          <w:lang w:val="zh-CN"/>
        </w:rPr>
        <w:t>属于</w:t>
      </w:r>
      <w:r>
        <w:rPr>
          <w:rFonts w:hint="eastAsia" w:ascii="宋体" w:hAnsi="宋体" w:eastAsia="宋体" w:cs="宋体"/>
          <w:b/>
          <w:bCs/>
          <w:szCs w:val="21"/>
          <w:highlight w:val="none"/>
          <w:u w:val="single"/>
        </w:rPr>
        <w:t>（填写第三章采购需求中对应货物的“所属行业”，如工业）</w:t>
      </w:r>
      <w:r>
        <w:rPr>
          <w:rFonts w:hint="eastAsia" w:ascii="宋体" w:hAnsi="宋体" w:eastAsia="宋体" w:cs="宋体"/>
          <w:b/>
          <w:bCs/>
          <w:szCs w:val="21"/>
          <w:highlight w:val="none"/>
          <w:lang w:val="zh-CN"/>
        </w:rPr>
        <w:t>行业</w:t>
      </w:r>
      <w:r>
        <w:rPr>
          <w:rFonts w:hint="eastAsia" w:ascii="宋体" w:hAnsi="宋体" w:eastAsia="宋体" w:cs="宋体"/>
          <w:b/>
          <w:bCs/>
          <w:szCs w:val="21"/>
          <w:highlight w:val="none"/>
        </w:rPr>
        <w:t>；</w:t>
      </w:r>
      <w:r>
        <w:rPr>
          <w:rFonts w:hint="eastAsia" w:ascii="宋体" w:hAnsi="宋体" w:eastAsia="宋体" w:cs="宋体"/>
          <w:b/>
          <w:bCs/>
          <w:szCs w:val="21"/>
          <w:highlight w:val="none"/>
          <w:lang w:val="zh-CN"/>
        </w:rPr>
        <w:t>承接企业为</w:t>
      </w:r>
      <w:r>
        <w:rPr>
          <w:rFonts w:hint="eastAsia" w:ascii="宋体" w:hAnsi="宋体" w:eastAsia="宋体" w:cs="宋体"/>
          <w:b/>
          <w:bCs/>
          <w:szCs w:val="21"/>
          <w:highlight w:val="none"/>
          <w:u w:val="single"/>
          <w:lang w:val="zh-CN"/>
        </w:rPr>
        <w:t>某</w:t>
      </w:r>
      <w:r>
        <w:rPr>
          <w:rFonts w:hint="eastAsia" w:ascii="宋体" w:hAnsi="宋体" w:eastAsia="宋体" w:cs="宋体"/>
          <w:b/>
          <w:bCs/>
          <w:szCs w:val="21"/>
          <w:highlight w:val="none"/>
          <w:u w:val="single"/>
        </w:rPr>
        <w:t>企业</w:t>
      </w:r>
      <w:r>
        <w:rPr>
          <w:rFonts w:hint="eastAsia" w:ascii="宋体" w:hAnsi="宋体" w:eastAsia="宋体" w:cs="宋体"/>
          <w:b/>
          <w:bCs/>
          <w:szCs w:val="21"/>
          <w:highlight w:val="none"/>
        </w:rPr>
        <w:t>，</w:t>
      </w:r>
      <w:r>
        <w:rPr>
          <w:rFonts w:hint="eastAsia" w:ascii="宋体" w:hAnsi="宋体" w:eastAsia="宋体" w:cs="宋体"/>
          <w:b/>
          <w:bCs/>
          <w:szCs w:val="21"/>
          <w:highlight w:val="none"/>
          <w:lang w:val="zh-CN"/>
        </w:rPr>
        <w:t>从业人员</w:t>
      </w:r>
      <w:r>
        <w:rPr>
          <w:rFonts w:hint="eastAsia" w:ascii="宋体" w:hAnsi="宋体" w:eastAsia="宋体" w:cs="宋体"/>
          <w:b/>
          <w:bCs/>
          <w:szCs w:val="21"/>
          <w:highlight w:val="none"/>
          <w:u w:val="single"/>
        </w:rPr>
        <w:t>100</w:t>
      </w:r>
      <w:r>
        <w:rPr>
          <w:rFonts w:hint="eastAsia" w:ascii="宋体" w:hAnsi="宋体" w:eastAsia="宋体" w:cs="宋体"/>
          <w:b/>
          <w:bCs/>
          <w:szCs w:val="21"/>
          <w:highlight w:val="none"/>
          <w:lang w:val="zh-CN"/>
        </w:rPr>
        <w:t>人</w:t>
      </w:r>
      <w:r>
        <w:rPr>
          <w:rFonts w:hint="eastAsia" w:ascii="宋体" w:hAnsi="宋体" w:eastAsia="宋体" w:cs="宋体"/>
          <w:b/>
          <w:bCs/>
          <w:szCs w:val="21"/>
          <w:highlight w:val="none"/>
        </w:rPr>
        <w:t>，</w:t>
      </w:r>
      <w:r>
        <w:rPr>
          <w:rFonts w:hint="eastAsia" w:ascii="宋体" w:hAnsi="宋体" w:eastAsia="宋体" w:cs="宋体"/>
          <w:b/>
          <w:bCs/>
          <w:szCs w:val="21"/>
          <w:highlight w:val="none"/>
          <w:lang w:val="zh-CN"/>
        </w:rPr>
        <w:t>营业收入为</w:t>
      </w:r>
      <w:r>
        <w:rPr>
          <w:rFonts w:hint="eastAsia" w:ascii="宋体" w:hAnsi="宋体" w:eastAsia="宋体" w:cs="宋体"/>
          <w:b/>
          <w:bCs/>
          <w:szCs w:val="21"/>
          <w:highlight w:val="none"/>
          <w:u w:val="single"/>
        </w:rPr>
        <w:t>10000</w:t>
      </w:r>
      <w:r>
        <w:rPr>
          <w:rFonts w:hint="eastAsia" w:ascii="宋体" w:hAnsi="宋体" w:eastAsia="宋体" w:cs="宋体"/>
          <w:b/>
          <w:bCs/>
          <w:szCs w:val="21"/>
          <w:highlight w:val="none"/>
          <w:lang w:val="zh-CN"/>
        </w:rPr>
        <w:t>万元</w:t>
      </w:r>
      <w:r>
        <w:rPr>
          <w:rFonts w:hint="eastAsia" w:ascii="宋体" w:hAnsi="宋体" w:eastAsia="宋体" w:cs="宋体"/>
          <w:b/>
          <w:bCs/>
          <w:szCs w:val="21"/>
          <w:highlight w:val="none"/>
        </w:rPr>
        <w:t>，</w:t>
      </w:r>
      <w:r>
        <w:rPr>
          <w:rFonts w:hint="eastAsia" w:ascii="宋体" w:hAnsi="宋体" w:eastAsia="宋体" w:cs="宋体"/>
          <w:b/>
          <w:bCs/>
          <w:szCs w:val="21"/>
          <w:highlight w:val="none"/>
          <w:lang w:val="zh-CN"/>
        </w:rPr>
        <w:t>资产总额为</w:t>
      </w:r>
      <w:r>
        <w:rPr>
          <w:rFonts w:hint="eastAsia" w:ascii="宋体" w:hAnsi="宋体" w:eastAsia="宋体" w:cs="宋体"/>
          <w:b/>
          <w:bCs/>
          <w:szCs w:val="21"/>
          <w:highlight w:val="none"/>
          <w:u w:val="single"/>
        </w:rPr>
        <w:t>5000</w:t>
      </w:r>
      <w:r>
        <w:rPr>
          <w:rFonts w:hint="eastAsia" w:ascii="宋体" w:hAnsi="宋体" w:eastAsia="宋体" w:cs="宋体"/>
          <w:b/>
          <w:bCs/>
          <w:szCs w:val="21"/>
          <w:highlight w:val="none"/>
          <w:lang w:val="zh-CN"/>
        </w:rPr>
        <w:t>万元</w:t>
      </w:r>
      <w:r>
        <w:rPr>
          <w:rFonts w:hint="eastAsia" w:ascii="宋体" w:hAnsi="宋体" w:eastAsia="宋体" w:cs="宋体"/>
          <w:b/>
          <w:bCs/>
          <w:szCs w:val="21"/>
          <w:highlight w:val="none"/>
        </w:rPr>
        <w:t>，</w:t>
      </w:r>
      <w:r>
        <w:rPr>
          <w:rFonts w:hint="eastAsia" w:ascii="宋体" w:hAnsi="宋体" w:eastAsia="宋体" w:cs="宋体"/>
          <w:b/>
          <w:bCs/>
          <w:szCs w:val="21"/>
          <w:highlight w:val="none"/>
          <w:lang w:val="zh-CN"/>
        </w:rPr>
        <w:t>属于</w:t>
      </w:r>
      <w:r>
        <w:rPr>
          <w:rFonts w:hint="eastAsia" w:ascii="宋体" w:hAnsi="宋体" w:eastAsia="宋体" w:cs="宋体"/>
          <w:b/>
          <w:bCs/>
          <w:szCs w:val="21"/>
          <w:highlight w:val="none"/>
          <w:u w:val="single"/>
          <w:lang w:val="zh-CN"/>
        </w:rPr>
        <w:t>小型</w:t>
      </w:r>
      <w:r>
        <w:rPr>
          <w:rFonts w:hint="eastAsia" w:ascii="宋体" w:hAnsi="宋体" w:eastAsia="宋体" w:cs="宋体"/>
          <w:b/>
          <w:bCs/>
          <w:szCs w:val="21"/>
          <w:highlight w:val="none"/>
          <w:lang w:val="zh-CN"/>
        </w:rPr>
        <w:t>企业</w:t>
      </w:r>
      <w:r>
        <w:rPr>
          <w:rFonts w:hint="eastAsia" w:ascii="宋体" w:hAnsi="宋体" w:eastAsia="宋体" w:cs="宋体"/>
          <w:b/>
          <w:bCs/>
          <w:szCs w:val="21"/>
          <w:highlight w:val="none"/>
        </w:rPr>
        <w:t>[投标人自行登录工业和信息化部官网进行中小企业规模类型自测（查询网址https://www.miit.gov.cn/）]</w:t>
      </w:r>
      <w:r>
        <w:rPr>
          <w:rFonts w:hint="eastAsia" w:ascii="宋体" w:hAnsi="宋体" w:eastAsia="宋体" w:cs="宋体"/>
          <w:b/>
          <w:bCs/>
          <w:szCs w:val="21"/>
          <w:highlight w:val="none"/>
          <w:lang w:val="zh-CN"/>
        </w:rPr>
        <w:t>。</w:t>
      </w:r>
    </w:p>
    <w:p w14:paraId="7C30D821">
      <w:pPr>
        <w:rPr>
          <w:rFonts w:asciiTheme="minorEastAsia" w:hAnsiTheme="minorEastAsia" w:eastAsiaTheme="minorEastAsia"/>
          <w:b/>
          <w:bCs/>
          <w:szCs w:val="24"/>
          <w:highlight w:val="none"/>
        </w:rPr>
      </w:pPr>
      <w:r>
        <w:rPr>
          <w:rFonts w:hint="eastAsia" w:asciiTheme="minorEastAsia" w:hAnsiTheme="minorEastAsia" w:eastAsiaTheme="minorEastAsia"/>
          <w:b/>
          <w:bCs/>
          <w:szCs w:val="24"/>
          <w:highlight w:val="none"/>
        </w:rPr>
        <w:br w:type="page"/>
      </w:r>
      <w:bookmarkEnd w:id="67"/>
      <w:bookmarkEnd w:id="68"/>
    </w:p>
    <w:p w14:paraId="789FECE2">
      <w:pPr>
        <w:spacing w:line="360" w:lineRule="auto"/>
        <w:jc w:val="center"/>
        <w:outlineLvl w:val="1"/>
        <w:rPr>
          <w:rFonts w:asciiTheme="minorEastAsia" w:hAnsiTheme="minorEastAsia" w:eastAsiaTheme="minorEastAsia"/>
          <w:b/>
          <w:sz w:val="24"/>
          <w:highlight w:val="none"/>
        </w:rPr>
      </w:pPr>
      <w:bookmarkStart w:id="69" w:name="_Toc24563"/>
      <w:bookmarkStart w:id="70" w:name="_Toc16713"/>
      <w:r>
        <w:rPr>
          <w:rFonts w:hint="eastAsia" w:asciiTheme="minorEastAsia" w:hAnsiTheme="minorEastAsia" w:eastAsiaTheme="minorEastAsia"/>
          <w:b/>
          <w:sz w:val="24"/>
          <w:highlight w:val="none"/>
        </w:rPr>
        <w:t>八、残疾人福利性单位声明函</w:t>
      </w:r>
      <w:bookmarkEnd w:id="69"/>
      <w:bookmarkEnd w:id="70"/>
    </w:p>
    <w:p w14:paraId="62733496">
      <w:pPr>
        <w:pStyle w:val="8"/>
        <w:spacing w:line="360" w:lineRule="auto"/>
        <w:jc w:val="center"/>
        <w:rPr>
          <w:rFonts w:ascii="宋体" w:hAnsi="宋体" w:eastAsia="宋体"/>
          <w:i/>
          <w:sz w:val="24"/>
          <w:highlight w:val="none"/>
          <w:lang w:val="en-US"/>
        </w:rPr>
      </w:pPr>
      <w:r>
        <w:rPr>
          <w:rFonts w:hint="eastAsia" w:ascii="宋体" w:hAnsi="宋体" w:eastAsia="宋体"/>
          <w:i/>
          <w:sz w:val="24"/>
          <w:highlight w:val="none"/>
          <w:lang w:val="en-US"/>
        </w:rPr>
        <w:t>（非残疾人福利性单位投标，请删去“残疾人福利性单位声明函”）</w:t>
      </w:r>
    </w:p>
    <w:p w14:paraId="4ECB0BFE">
      <w:pPr>
        <w:spacing w:line="360" w:lineRule="auto"/>
        <w:ind w:firstLine="435"/>
        <w:rPr>
          <w:rFonts w:asciiTheme="minorEastAsia" w:hAnsiTheme="minorEastAsia" w:eastAsiaTheme="minorEastAsia"/>
          <w:spacing w:val="6"/>
          <w:sz w:val="24"/>
          <w:szCs w:val="24"/>
          <w:highlight w:val="none"/>
        </w:rPr>
      </w:pPr>
      <w:r>
        <w:rPr>
          <w:rFonts w:hint="eastAsia" w:asciiTheme="minorEastAsia" w:hAnsiTheme="minorEastAsia" w:eastAsiaTheme="minorEastAsia"/>
          <w:spacing w:val="6"/>
          <w:sz w:val="24"/>
          <w:szCs w:val="24"/>
          <w:highlight w:val="none"/>
        </w:rPr>
        <w:t>本单位</w:t>
      </w:r>
      <w:r>
        <w:rPr>
          <w:rFonts w:hint="eastAsia" w:asciiTheme="minorEastAsia" w:hAnsiTheme="minorEastAsia" w:eastAsiaTheme="minorEastAsia"/>
          <w:sz w:val="24"/>
          <w:highlight w:val="none"/>
        </w:rPr>
        <w:t>郑重</w:t>
      </w:r>
      <w:r>
        <w:rPr>
          <w:rFonts w:hint="eastAsia" w:asciiTheme="minorEastAsia" w:hAnsiTheme="minorEastAsia" w:eastAsiaTheme="minorEastAsia"/>
          <w:spacing w:val="6"/>
          <w:sz w:val="24"/>
          <w:szCs w:val="24"/>
          <w:highlight w:val="none"/>
        </w:rPr>
        <w:t>声明，根据《财政部 民政部 中国残疾人联合会关于促进残疾人就业政府采购政策的通知》（财库</w:t>
      </w:r>
      <w:r>
        <w:rPr>
          <w:rFonts w:hint="eastAsia" w:asciiTheme="minorEastAsia" w:hAnsiTheme="minorEastAsia" w:eastAsiaTheme="minorEastAsia"/>
          <w:sz w:val="24"/>
          <w:szCs w:val="24"/>
          <w:highlight w:val="none"/>
        </w:rPr>
        <w:t>〔2017〕141</w:t>
      </w:r>
      <w:r>
        <w:rPr>
          <w:rFonts w:hint="eastAsia" w:asciiTheme="minorEastAsia" w:hAnsiTheme="minorEastAsia" w:eastAsiaTheme="minorEastAsia"/>
          <w:spacing w:val="6"/>
          <w:sz w:val="24"/>
          <w:szCs w:val="24"/>
          <w:highlight w:val="none"/>
        </w:rPr>
        <w:t>号）的规定，本单位为</w:t>
      </w:r>
      <w:r>
        <w:rPr>
          <w:rFonts w:hint="eastAsia" w:asciiTheme="minorEastAsia" w:hAnsiTheme="minorEastAsia" w:eastAsiaTheme="minorEastAsia"/>
          <w:bCs/>
          <w:sz w:val="24"/>
          <w:szCs w:val="24"/>
          <w:highlight w:val="none"/>
        </w:rPr>
        <w:t>符合</w:t>
      </w:r>
      <w:r>
        <w:rPr>
          <w:rFonts w:hint="eastAsia" w:asciiTheme="minorEastAsia" w:hAnsiTheme="minorEastAsia" w:eastAsiaTheme="minorEastAsia"/>
          <w:spacing w:val="6"/>
          <w:sz w:val="24"/>
          <w:szCs w:val="24"/>
          <w:highlight w:val="none"/>
        </w:rPr>
        <w:t>条件的残疾人福利性单位，且本单位参加</w:t>
      </w:r>
      <w:r>
        <w:rPr>
          <w:rFonts w:hint="eastAsia" w:asciiTheme="minorEastAsia" w:hAnsiTheme="minorEastAsia" w:eastAsiaTheme="minorEastAsia"/>
          <w:spacing w:val="6"/>
          <w:sz w:val="24"/>
          <w:szCs w:val="24"/>
          <w:highlight w:val="none"/>
          <w:u w:val="single"/>
        </w:rPr>
        <w:t xml:space="preserve">      </w:t>
      </w:r>
      <w:r>
        <w:rPr>
          <w:rFonts w:hint="eastAsia" w:asciiTheme="minorEastAsia" w:hAnsiTheme="minorEastAsia" w:eastAsiaTheme="minorEastAsia"/>
          <w:spacing w:val="6"/>
          <w:sz w:val="24"/>
          <w:szCs w:val="24"/>
          <w:highlight w:val="none"/>
        </w:rPr>
        <w:t>单位的</w:t>
      </w:r>
      <w:r>
        <w:rPr>
          <w:rFonts w:hint="eastAsia" w:asciiTheme="minorEastAsia" w:hAnsiTheme="minorEastAsia" w:eastAsiaTheme="minorEastAsia"/>
          <w:spacing w:val="6"/>
          <w:sz w:val="24"/>
          <w:szCs w:val="24"/>
          <w:highlight w:val="none"/>
          <w:u w:val="single"/>
        </w:rPr>
        <w:t xml:space="preserve">      </w:t>
      </w:r>
      <w:r>
        <w:rPr>
          <w:rFonts w:hint="eastAsia" w:asciiTheme="minorEastAsia" w:hAnsiTheme="minorEastAsia" w:eastAsiaTheme="minorEastAsia"/>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70BF942F">
      <w:pPr>
        <w:spacing w:line="360" w:lineRule="auto"/>
        <w:ind w:firstLine="435"/>
        <w:rPr>
          <w:rFonts w:asciiTheme="minorEastAsia" w:hAnsiTheme="minorEastAsia" w:eastAsiaTheme="minorEastAsia"/>
          <w:spacing w:val="6"/>
          <w:sz w:val="24"/>
          <w:szCs w:val="24"/>
          <w:highlight w:val="none"/>
        </w:rPr>
      </w:pPr>
      <w:r>
        <w:rPr>
          <w:rFonts w:hint="eastAsia" w:asciiTheme="minorEastAsia" w:hAnsiTheme="minorEastAsia" w:eastAsiaTheme="minorEastAsia"/>
          <w:spacing w:val="6"/>
          <w:sz w:val="24"/>
          <w:szCs w:val="24"/>
          <w:highlight w:val="none"/>
        </w:rPr>
        <w:t>本单位对上述声明的真实性负责。如有虚假，将依法承担相应责任。</w:t>
      </w:r>
    </w:p>
    <w:p w14:paraId="5958B750">
      <w:pPr>
        <w:spacing w:line="360" w:lineRule="auto"/>
        <w:ind w:firstLine="4228" w:firstLineChars="1762"/>
        <w:rPr>
          <w:rFonts w:asciiTheme="minorEastAsia" w:hAnsiTheme="minorEastAsia" w:eastAsiaTheme="minorEastAsia"/>
          <w:sz w:val="24"/>
          <w:szCs w:val="24"/>
          <w:highlight w:val="none"/>
        </w:rPr>
      </w:pPr>
    </w:p>
    <w:p w14:paraId="05275AB3">
      <w:pPr>
        <w:spacing w:line="360" w:lineRule="auto"/>
        <w:ind w:firstLine="4228" w:firstLineChars="1762"/>
        <w:rPr>
          <w:rFonts w:asciiTheme="minorEastAsia" w:hAnsiTheme="minorEastAsia" w:eastAsiaTheme="minorEastAsia"/>
          <w:sz w:val="24"/>
          <w:szCs w:val="24"/>
          <w:highlight w:val="none"/>
        </w:rPr>
      </w:pPr>
    </w:p>
    <w:p w14:paraId="169F3024">
      <w:pPr>
        <w:spacing w:line="360" w:lineRule="auto"/>
        <w:ind w:firstLine="4228" w:firstLineChars="1762"/>
        <w:rPr>
          <w:rFonts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投标人</w:t>
      </w:r>
      <w:r>
        <w:rPr>
          <w:rFonts w:asciiTheme="minorEastAsia" w:hAnsiTheme="minorEastAsia" w:eastAsiaTheme="minorEastAsia"/>
          <w:sz w:val="24"/>
          <w:szCs w:val="24"/>
          <w:highlight w:val="none"/>
        </w:rPr>
        <w:t>电子签章</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u w:val="single"/>
        </w:rPr>
        <w:t xml:space="preserve">             </w:t>
      </w:r>
    </w:p>
    <w:p w14:paraId="01E6B5C9">
      <w:pPr>
        <w:tabs>
          <w:tab w:val="left" w:pos="4620"/>
        </w:tabs>
        <w:spacing w:line="360" w:lineRule="auto"/>
        <w:ind w:firstLine="4252" w:firstLineChars="1772"/>
        <w:rPr>
          <w:rFonts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日</w:t>
      </w:r>
      <w:r>
        <w:rPr>
          <w:rFonts w:asciiTheme="minorEastAsia" w:hAnsiTheme="minorEastAsia" w:eastAsiaTheme="minorEastAsia"/>
          <w:sz w:val="24"/>
          <w:szCs w:val="24"/>
          <w:highlight w:val="none"/>
        </w:rPr>
        <w:t xml:space="preserve">      </w:t>
      </w:r>
      <w:r>
        <w:rPr>
          <w:rFonts w:hint="eastAsia" w:asciiTheme="minorEastAsia" w:hAnsiTheme="minorEastAsia" w:eastAsiaTheme="minorEastAsia"/>
          <w:sz w:val="24"/>
          <w:szCs w:val="24"/>
          <w:highlight w:val="none"/>
        </w:rPr>
        <w:t xml:space="preserve">    期：</w:t>
      </w:r>
      <w:r>
        <w:rPr>
          <w:rFonts w:asciiTheme="minorEastAsia" w:hAnsiTheme="minorEastAsia" w:eastAsiaTheme="minorEastAsia"/>
          <w:sz w:val="24"/>
          <w:szCs w:val="24"/>
          <w:highlight w:val="none"/>
          <w:u w:val="single"/>
        </w:rPr>
        <w:t xml:space="preserve">             </w:t>
      </w:r>
    </w:p>
    <w:p w14:paraId="6BDD7920">
      <w:pPr>
        <w:widowControl/>
        <w:jc w:val="left"/>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p>
    <w:p w14:paraId="499397CD">
      <w:pPr>
        <w:spacing w:line="360" w:lineRule="auto"/>
        <w:jc w:val="center"/>
        <w:outlineLvl w:val="1"/>
        <w:rPr>
          <w:rFonts w:asciiTheme="minorEastAsia" w:hAnsiTheme="minorEastAsia" w:eastAsiaTheme="minorEastAsia"/>
          <w:b/>
          <w:sz w:val="24"/>
          <w:highlight w:val="none"/>
        </w:rPr>
      </w:pPr>
      <w:bookmarkStart w:id="71" w:name="_Toc300210382"/>
      <w:bookmarkStart w:id="72" w:name="_Toc457768004"/>
      <w:bookmarkStart w:id="73" w:name="_Toc520299348"/>
      <w:bookmarkStart w:id="74" w:name="_Toc25813"/>
      <w:bookmarkStart w:id="75" w:name="_Toc26536"/>
      <w:bookmarkStart w:id="76" w:name="_Hlk11701496"/>
      <w:r>
        <w:rPr>
          <w:rFonts w:hint="eastAsia" w:asciiTheme="minorEastAsia" w:hAnsiTheme="minorEastAsia" w:eastAsiaTheme="minorEastAsia"/>
          <w:b/>
          <w:sz w:val="24"/>
          <w:highlight w:val="none"/>
        </w:rPr>
        <w:t>九、</w:t>
      </w:r>
      <w:bookmarkEnd w:id="71"/>
      <w:bookmarkEnd w:id="72"/>
      <w:bookmarkEnd w:id="73"/>
      <w:r>
        <w:rPr>
          <w:rFonts w:hint="eastAsia" w:asciiTheme="minorEastAsia" w:hAnsiTheme="minorEastAsia" w:eastAsiaTheme="minorEastAsia"/>
          <w:b/>
          <w:sz w:val="24"/>
          <w:highlight w:val="none"/>
        </w:rPr>
        <w:t>诚信履约承诺函</w:t>
      </w:r>
      <w:bookmarkEnd w:id="74"/>
      <w:bookmarkEnd w:id="75"/>
    </w:p>
    <w:p w14:paraId="3A2288CC">
      <w:pPr>
        <w:spacing w:line="360" w:lineRule="auto"/>
        <w:rPr>
          <w:rFonts w:asciiTheme="minorEastAsia" w:hAnsiTheme="minorEastAsia" w:eastAsiaTheme="minorEastAsia"/>
          <w:b/>
          <w:bCs/>
          <w:sz w:val="24"/>
          <w:highlight w:val="none"/>
        </w:rPr>
      </w:pPr>
    </w:p>
    <w:p w14:paraId="5062D8AB">
      <w:pPr>
        <w:spacing w:line="360" w:lineRule="auto"/>
        <w:rPr>
          <w:rFonts w:asciiTheme="minorEastAsia" w:hAnsiTheme="minorEastAsia" w:eastAsiaTheme="minorEastAsia"/>
          <w:b/>
          <w:bCs/>
          <w:sz w:val="24"/>
          <w:highlight w:val="none"/>
          <w:u w:val="single"/>
        </w:rPr>
      </w:pPr>
      <w:r>
        <w:rPr>
          <w:rFonts w:hint="eastAsia" w:asciiTheme="minorEastAsia" w:hAnsiTheme="minorEastAsia" w:eastAsiaTheme="minorEastAsia"/>
          <w:b/>
          <w:bCs/>
          <w:sz w:val="24"/>
          <w:highlight w:val="none"/>
        </w:rPr>
        <w:t>致：采购人</w:t>
      </w:r>
    </w:p>
    <w:p w14:paraId="7CE114F3">
      <w:pPr>
        <w:spacing w:line="360" w:lineRule="auto"/>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268264DD">
      <w:pPr>
        <w:spacing w:line="360" w:lineRule="auto"/>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（1）中标或者成交后无正当理由拒不与采购人签订政府采购合同；</w:t>
      </w:r>
    </w:p>
    <w:p w14:paraId="5C5309B3">
      <w:pPr>
        <w:spacing w:line="360" w:lineRule="auto"/>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（2）未按照采购文件确定的事项签订政府采购合同；</w:t>
      </w:r>
    </w:p>
    <w:p w14:paraId="12562A77">
      <w:pPr>
        <w:spacing w:line="360" w:lineRule="auto"/>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（3）将政府采购合同转包；</w:t>
      </w:r>
    </w:p>
    <w:p w14:paraId="776A8D1C">
      <w:pPr>
        <w:spacing w:line="360" w:lineRule="auto"/>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（4）提供假冒伪劣产品；</w:t>
      </w:r>
    </w:p>
    <w:p w14:paraId="753A7202">
      <w:pPr>
        <w:spacing w:line="360" w:lineRule="auto"/>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（5）擅自变更、中止或者终止政府采购合同。</w:t>
      </w:r>
    </w:p>
    <w:p w14:paraId="1E7A38BF">
      <w:pPr>
        <w:spacing w:line="360" w:lineRule="auto"/>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E373395">
      <w:pPr>
        <w:spacing w:line="360" w:lineRule="auto"/>
        <w:rPr>
          <w:rFonts w:asciiTheme="minorEastAsia" w:hAnsiTheme="minorEastAsia" w:eastAsiaTheme="minorEastAsia"/>
          <w:bCs/>
          <w:sz w:val="24"/>
          <w:highlight w:val="none"/>
        </w:rPr>
      </w:pPr>
    </w:p>
    <w:p w14:paraId="2394C7B5">
      <w:pPr>
        <w:spacing w:line="360" w:lineRule="auto"/>
        <w:rPr>
          <w:rFonts w:asciiTheme="minorEastAsia" w:hAnsiTheme="minorEastAsia" w:eastAsiaTheme="minorEastAsia"/>
          <w:bCs/>
          <w:sz w:val="24"/>
          <w:highlight w:val="none"/>
        </w:rPr>
      </w:pPr>
    </w:p>
    <w:p w14:paraId="14CCE673">
      <w:pPr>
        <w:spacing w:line="360" w:lineRule="auto"/>
        <w:ind w:firstLine="4320" w:firstLineChars="1800"/>
        <w:rPr>
          <w:rFonts w:asciiTheme="minorEastAsia" w:hAnsiTheme="minorEastAsia" w:eastAsiaTheme="minorEastAsia"/>
          <w:bCs/>
          <w:sz w:val="24"/>
          <w:highlight w:val="none"/>
          <w:u w:val="single"/>
        </w:rPr>
      </w:pPr>
      <w:r>
        <w:rPr>
          <w:rFonts w:hint="eastAsia" w:asciiTheme="minorEastAsia" w:hAnsiTheme="minorEastAsia" w:eastAsiaTheme="minorEastAsia"/>
          <w:bCs/>
          <w:sz w:val="24"/>
          <w:highlight w:val="none"/>
        </w:rPr>
        <w:t>投标人电子签章：</w:t>
      </w:r>
      <w:r>
        <w:rPr>
          <w:rFonts w:hint="eastAsia" w:asciiTheme="minorEastAsia" w:hAnsiTheme="minorEastAsia" w:eastAsiaTheme="minorEastAsia"/>
          <w:bCs/>
          <w:sz w:val="24"/>
          <w:highlight w:val="none"/>
          <w:u w:val="single"/>
        </w:rPr>
        <w:t xml:space="preserve">     </w:t>
      </w:r>
      <w:r>
        <w:rPr>
          <w:rFonts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u w:val="single"/>
        </w:rPr>
        <w:t xml:space="preserve">    </w:t>
      </w:r>
    </w:p>
    <w:p w14:paraId="479748F9">
      <w:pPr>
        <w:spacing w:line="360" w:lineRule="auto"/>
        <w:ind w:firstLine="4320" w:firstLineChars="18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日          期：</w:t>
      </w:r>
      <w:r>
        <w:rPr>
          <w:rFonts w:hint="eastAsia" w:asciiTheme="minorEastAsia" w:hAnsiTheme="minorEastAsia" w:eastAsiaTheme="minorEastAsia"/>
          <w:bCs/>
          <w:sz w:val="24"/>
          <w:highlight w:val="none"/>
          <w:u w:val="single"/>
        </w:rPr>
        <w:t xml:space="preserve">             </w:t>
      </w:r>
    </w:p>
    <w:p w14:paraId="56BC28D4">
      <w:pPr>
        <w:widowControl/>
        <w:jc w:val="left"/>
        <w:rPr>
          <w:rFonts w:ascii="宋体" w:hAnsi="宋体" w:eastAsia="宋体" w:cs="Arial"/>
          <w:sz w:val="24"/>
          <w:highlight w:val="none"/>
        </w:rPr>
      </w:pPr>
      <w:r>
        <w:rPr>
          <w:rFonts w:ascii="宋体" w:hAnsi="宋体" w:eastAsia="宋体" w:cs="Arial"/>
          <w:sz w:val="24"/>
          <w:highlight w:val="none"/>
        </w:rPr>
        <w:br w:type="page"/>
      </w:r>
    </w:p>
    <w:bookmarkEnd w:id="76"/>
    <w:p w14:paraId="584C3A85">
      <w:pPr>
        <w:spacing w:line="360" w:lineRule="auto"/>
        <w:jc w:val="center"/>
        <w:outlineLvl w:val="1"/>
        <w:rPr>
          <w:rFonts w:asciiTheme="minorEastAsia" w:hAnsiTheme="minorEastAsia" w:eastAsiaTheme="minorEastAsia"/>
          <w:b/>
          <w:sz w:val="24"/>
          <w:highlight w:val="none"/>
        </w:rPr>
      </w:pPr>
      <w:bookmarkStart w:id="77" w:name="_Toc2683"/>
      <w:bookmarkStart w:id="78" w:name="_Toc32633"/>
      <w:r>
        <w:rPr>
          <w:rFonts w:hint="eastAsia" w:asciiTheme="minorEastAsia" w:hAnsiTheme="minorEastAsia" w:eastAsiaTheme="minorEastAsia"/>
          <w:b/>
          <w:sz w:val="24"/>
          <w:highlight w:val="none"/>
        </w:rPr>
        <w:t>十、其他相关证明材料</w:t>
      </w:r>
      <w:bookmarkEnd w:id="77"/>
      <w:bookmarkEnd w:id="78"/>
    </w:p>
    <w:p w14:paraId="69E65D19">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提供符合投标邀请、采购需求及评标方法和标准规定的相关证明文件。</w:t>
      </w:r>
    </w:p>
    <w:p w14:paraId="004880BD">
      <w:pPr>
        <w:spacing w:line="360" w:lineRule="auto"/>
        <w:ind w:firstLine="480" w:firstLineChars="200"/>
        <w:rPr>
          <w:rFonts w:asciiTheme="minorEastAsia" w:hAnsiTheme="minorEastAsia" w:eastAsiaTheme="minorEastAsia"/>
          <w:sz w:val="24"/>
          <w:highlight w:val="none"/>
        </w:rPr>
      </w:pPr>
    </w:p>
    <w:p w14:paraId="1A0C2233">
      <w:pPr>
        <w:spacing w:line="360" w:lineRule="auto"/>
        <w:ind w:firstLine="480" w:firstLineChars="200"/>
        <w:rPr>
          <w:rFonts w:asciiTheme="minorEastAsia" w:hAnsiTheme="minorEastAsia" w:eastAsiaTheme="minorEastAsia"/>
          <w:sz w:val="24"/>
          <w:highlight w:val="none"/>
        </w:rPr>
      </w:pPr>
    </w:p>
    <w:p w14:paraId="5D275CC5">
      <w:pPr>
        <w:spacing w:line="360" w:lineRule="auto"/>
        <w:ind w:firstLine="480" w:firstLineChars="200"/>
        <w:rPr>
          <w:rFonts w:asciiTheme="minorEastAsia" w:hAnsiTheme="minorEastAsia" w:eastAsiaTheme="minorEastAsia"/>
          <w:sz w:val="24"/>
          <w:highlight w:val="none"/>
        </w:rPr>
      </w:pPr>
    </w:p>
    <w:p w14:paraId="6B10BAB9">
      <w:pPr>
        <w:spacing w:line="360" w:lineRule="auto"/>
        <w:ind w:firstLine="435"/>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特别提示：</w:t>
      </w:r>
    </w:p>
    <w:p w14:paraId="632B499F">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投标人在投标文件制作时可在此栏内上传</w:t>
      </w:r>
      <w:r>
        <w:rPr>
          <w:rFonts w:asciiTheme="minorEastAsia" w:hAnsiTheme="minorEastAsia" w:eastAsiaTheme="minorEastAsia"/>
          <w:sz w:val="24"/>
          <w:highlight w:val="none"/>
        </w:rPr>
        <w:t>招标文件要求上传的证明资料</w:t>
      </w:r>
      <w:r>
        <w:rPr>
          <w:rFonts w:hint="eastAsia" w:asciiTheme="minorEastAsia" w:hAnsiTheme="minorEastAsia" w:eastAsiaTheme="minorEastAsia"/>
          <w:sz w:val="24"/>
          <w:highlight w:val="none"/>
        </w:rPr>
        <w:t>，如营业执照、证书</w:t>
      </w:r>
      <w:r>
        <w:rPr>
          <w:rFonts w:asciiTheme="minorEastAsia" w:hAnsiTheme="minorEastAsia" w:eastAsiaTheme="minorEastAsia"/>
          <w:sz w:val="24"/>
          <w:highlight w:val="none"/>
        </w:rPr>
        <w:t>等，应将上述证明材料制作成扫描件上传。</w:t>
      </w:r>
    </w:p>
    <w:p w14:paraId="46CE1A3B">
      <w:pPr>
        <w:widowControl/>
        <w:jc w:val="left"/>
        <w:rPr>
          <w:rFonts w:ascii="宋体" w:hAnsi="宋体" w:eastAsia="宋体"/>
          <w:bCs/>
          <w:sz w:val="24"/>
          <w:highlight w:val="none"/>
        </w:rPr>
      </w:pPr>
      <w:r>
        <w:rPr>
          <w:rFonts w:ascii="宋体" w:hAnsi="宋体" w:eastAsia="宋体"/>
          <w:bCs/>
          <w:sz w:val="24"/>
          <w:highlight w:val="none"/>
        </w:rPr>
        <w:br w:type="page"/>
      </w:r>
    </w:p>
    <w:p w14:paraId="0753C570">
      <w:pPr>
        <w:spacing w:line="360" w:lineRule="auto"/>
        <w:jc w:val="center"/>
        <w:outlineLvl w:val="0"/>
        <w:rPr>
          <w:rFonts w:ascii="宋体" w:hAnsi="宋体" w:eastAsia="宋体"/>
          <w:b/>
          <w:bCs/>
          <w:sz w:val="28"/>
          <w:highlight w:val="none"/>
        </w:rPr>
      </w:pPr>
      <w:bookmarkStart w:id="79" w:name="_Toc6435"/>
      <w:bookmarkStart w:id="80" w:name="_Toc18131"/>
      <w:r>
        <w:rPr>
          <w:rFonts w:hint="eastAsia" w:asciiTheme="minorEastAsia" w:hAnsiTheme="minorEastAsia" w:eastAsiaTheme="minorEastAsia"/>
          <w:b/>
          <w:sz w:val="28"/>
          <w:highlight w:val="none"/>
        </w:rPr>
        <w:t>第七章</w:t>
      </w:r>
      <w:r>
        <w:rPr>
          <w:rFonts w:hint="eastAsia" w:ascii="宋体" w:hAnsi="宋体" w:eastAsia="宋体"/>
          <w:b/>
          <w:bCs/>
          <w:sz w:val="28"/>
          <w:highlight w:val="none"/>
        </w:rPr>
        <w:t xml:space="preserve">  政府采购</w:t>
      </w:r>
      <w:r>
        <w:rPr>
          <w:rFonts w:hint="eastAsia" w:asciiTheme="minorEastAsia" w:hAnsiTheme="minorEastAsia" w:eastAsiaTheme="minorEastAsia"/>
          <w:b/>
          <w:sz w:val="28"/>
          <w:highlight w:val="none"/>
        </w:rPr>
        <w:t>供应</w:t>
      </w:r>
      <w:r>
        <w:rPr>
          <w:rFonts w:hint="eastAsia" w:ascii="宋体" w:hAnsi="宋体" w:eastAsia="宋体"/>
          <w:b/>
          <w:bCs/>
          <w:sz w:val="28"/>
          <w:highlight w:val="none"/>
        </w:rPr>
        <w:t>商询问函和质疑函范本</w:t>
      </w:r>
      <w:bookmarkEnd w:id="79"/>
      <w:bookmarkEnd w:id="80"/>
    </w:p>
    <w:p w14:paraId="0169084A">
      <w:pPr>
        <w:spacing w:line="360" w:lineRule="auto"/>
        <w:jc w:val="center"/>
        <w:outlineLvl w:val="1"/>
        <w:rPr>
          <w:rFonts w:ascii="仿宋" w:hAnsi="仿宋" w:eastAsia="仿宋" w:cs="仿宋"/>
          <w:b/>
          <w:bCs/>
          <w:sz w:val="32"/>
          <w:szCs w:val="44"/>
          <w:highlight w:val="none"/>
        </w:rPr>
      </w:pPr>
      <w:bookmarkStart w:id="81" w:name="_Toc27489"/>
      <w:bookmarkStart w:id="82" w:name="_Toc27159"/>
      <w:r>
        <w:rPr>
          <w:rFonts w:hint="eastAsia" w:ascii="仿宋" w:hAnsi="仿宋" w:eastAsia="仿宋" w:cs="仿宋"/>
          <w:b/>
          <w:bCs/>
          <w:sz w:val="32"/>
          <w:szCs w:val="44"/>
          <w:highlight w:val="none"/>
        </w:rPr>
        <w:t>询问函范本</w:t>
      </w:r>
      <w:bookmarkEnd w:id="81"/>
      <w:bookmarkEnd w:id="82"/>
    </w:p>
    <w:p w14:paraId="44910306">
      <w:pPr>
        <w:adjustRightInd w:val="0"/>
        <w:snapToGrid w:val="0"/>
        <w:spacing w:line="360" w:lineRule="auto"/>
        <w:ind w:firstLine="480" w:firstLineChars="200"/>
        <w:jc w:val="center"/>
        <w:rPr>
          <w:rFonts w:ascii="仿宋" w:hAnsi="仿宋" w:eastAsia="仿宋" w:cs="仿宋"/>
          <w:b/>
          <w:bCs/>
          <w:sz w:val="32"/>
          <w:szCs w:val="44"/>
          <w:highlight w:val="none"/>
        </w:rPr>
      </w:pPr>
      <w:r>
        <w:rPr>
          <w:rFonts w:hint="eastAsia" w:cs="仿宋" w:asciiTheme="minorEastAsia" w:hAnsiTheme="minorEastAsia" w:eastAsiaTheme="minorEastAsia"/>
          <w:i/>
          <w:iCs/>
          <w:sz w:val="24"/>
          <w:szCs w:val="24"/>
          <w:highlight w:val="none"/>
        </w:rPr>
        <w:t>（如为对采购文件或采购程序的询问或疑问，请按询问函范本或电子交易系统中网上询问格式附件进行提交）</w:t>
      </w:r>
    </w:p>
    <w:p w14:paraId="7B755C4A">
      <w:pPr>
        <w:adjustRightInd w:val="0"/>
        <w:snapToGrid w:val="0"/>
        <w:spacing w:line="360" w:lineRule="auto"/>
        <w:rPr>
          <w:rFonts w:cs="仿宋" w:asciiTheme="minorEastAsia" w:hAnsiTheme="minorEastAsia" w:eastAsiaTheme="minorEastAsia"/>
          <w:b/>
          <w:bCs/>
          <w:sz w:val="24"/>
          <w:szCs w:val="24"/>
          <w:highlight w:val="none"/>
          <w:u w:val="single"/>
        </w:rPr>
      </w:pPr>
      <w:r>
        <w:rPr>
          <w:rFonts w:hint="eastAsia" w:cs="仿宋" w:asciiTheme="minorEastAsia" w:hAnsiTheme="minorEastAsia" w:eastAsiaTheme="minorEastAsia"/>
          <w:b/>
          <w:bCs/>
          <w:sz w:val="24"/>
          <w:szCs w:val="24"/>
          <w:highlight w:val="none"/>
        </w:rPr>
        <w:t>致：采购人</w:t>
      </w:r>
    </w:p>
    <w:p w14:paraId="57A6267D">
      <w:pPr>
        <w:adjustRightInd w:val="0"/>
        <w:snapToGrid w:val="0"/>
        <w:spacing w:line="360" w:lineRule="auto"/>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我单位拟参与</w:t>
      </w:r>
      <w:r>
        <w:rPr>
          <w:rFonts w:hint="eastAsia" w:cs="仿宋" w:asciiTheme="minorEastAsia" w:hAnsiTheme="minorEastAsia" w:eastAsiaTheme="minorEastAsia"/>
          <w:sz w:val="24"/>
          <w:szCs w:val="24"/>
          <w:highlight w:val="none"/>
          <w:u w:val="single"/>
        </w:rPr>
        <w:t xml:space="preserve">           </w:t>
      </w:r>
      <w:r>
        <w:rPr>
          <w:rFonts w:hint="eastAsia" w:cs="仿宋" w:asciiTheme="minorEastAsia" w:hAnsiTheme="minorEastAsia" w:eastAsiaTheme="minorEastAsia"/>
          <w:sz w:val="24"/>
          <w:szCs w:val="24"/>
          <w:highlight w:val="none"/>
        </w:rPr>
        <w:t>（</w:t>
      </w:r>
      <w:r>
        <w:rPr>
          <w:rFonts w:hint="eastAsia" w:cs="仿宋" w:asciiTheme="minorEastAsia" w:hAnsiTheme="minorEastAsia" w:eastAsiaTheme="minorEastAsia"/>
          <w:i/>
          <w:iCs/>
          <w:sz w:val="24"/>
          <w:szCs w:val="24"/>
          <w:highlight w:val="none"/>
        </w:rPr>
        <w:t>项目名称、编号</w:t>
      </w:r>
      <w:r>
        <w:rPr>
          <w:rFonts w:hint="eastAsia" w:cs="仿宋" w:asciiTheme="minorEastAsia" w:hAnsiTheme="minorEastAsia" w:eastAsiaTheme="minorEastAsia"/>
          <w:sz w:val="24"/>
          <w:szCs w:val="24"/>
          <w:highlight w:val="none"/>
        </w:rPr>
        <w:t>）的采购活动，现有以下内容(或条款)存在疑问(或无法理解)，特提出询问。</w:t>
      </w:r>
    </w:p>
    <w:p w14:paraId="4D0F5CDB">
      <w:pPr>
        <w:adjustRightInd w:val="0"/>
        <w:snapToGrid w:val="0"/>
        <w:spacing w:line="360" w:lineRule="auto"/>
        <w:ind w:firstLine="480" w:firstLineChars="200"/>
        <w:rPr>
          <w:rFonts w:cs="仿宋" w:asciiTheme="minorEastAsia" w:hAnsiTheme="minorEastAsia" w:eastAsiaTheme="minorEastAsia"/>
          <w:sz w:val="24"/>
          <w:szCs w:val="24"/>
          <w:highlight w:val="none"/>
        </w:rPr>
      </w:pPr>
      <w:bookmarkStart w:id="83" w:name="_Toc13899"/>
      <w:r>
        <w:rPr>
          <w:rFonts w:hint="eastAsia" w:cs="仿宋" w:asciiTheme="minorEastAsia" w:hAnsiTheme="minorEastAsia" w:eastAsiaTheme="minorEastAsia"/>
          <w:sz w:val="24"/>
          <w:szCs w:val="24"/>
          <w:highlight w:val="none"/>
        </w:rPr>
        <w:t>一、(事项一)</w:t>
      </w:r>
      <w:bookmarkEnd w:id="83"/>
    </w:p>
    <w:p w14:paraId="66C247DC">
      <w:pPr>
        <w:adjustRightInd w:val="0"/>
        <w:snapToGrid w:val="0"/>
        <w:spacing w:line="360" w:lineRule="auto"/>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1、(内容或条款)</w:t>
      </w:r>
    </w:p>
    <w:p w14:paraId="178071C7">
      <w:pPr>
        <w:adjustRightInd w:val="0"/>
        <w:snapToGrid w:val="0"/>
        <w:spacing w:line="360" w:lineRule="auto"/>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2、(说明疑问或无法理解原因)</w:t>
      </w:r>
    </w:p>
    <w:p w14:paraId="1A03B698">
      <w:pPr>
        <w:adjustRightInd w:val="0"/>
        <w:snapToGrid w:val="0"/>
        <w:spacing w:line="360" w:lineRule="auto"/>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3、(建议)</w:t>
      </w:r>
    </w:p>
    <w:p w14:paraId="585219D1">
      <w:pPr>
        <w:adjustRightInd w:val="0"/>
        <w:snapToGrid w:val="0"/>
        <w:spacing w:line="360" w:lineRule="auto"/>
        <w:ind w:firstLine="480" w:firstLineChars="200"/>
        <w:rPr>
          <w:rFonts w:cs="仿宋" w:asciiTheme="minorEastAsia" w:hAnsiTheme="minorEastAsia" w:eastAsiaTheme="minorEastAsia"/>
          <w:sz w:val="24"/>
          <w:szCs w:val="24"/>
          <w:highlight w:val="none"/>
        </w:rPr>
      </w:pPr>
      <w:bookmarkStart w:id="84" w:name="_Toc3352"/>
      <w:r>
        <w:rPr>
          <w:rFonts w:hint="eastAsia" w:cs="仿宋" w:asciiTheme="minorEastAsia" w:hAnsiTheme="minorEastAsia" w:eastAsiaTheme="minorEastAsia"/>
          <w:sz w:val="24"/>
          <w:szCs w:val="24"/>
          <w:highlight w:val="none"/>
        </w:rPr>
        <w:t>二、(事项二)</w:t>
      </w:r>
      <w:bookmarkEnd w:id="84"/>
    </w:p>
    <w:p w14:paraId="162DF3FF">
      <w:pPr>
        <w:adjustRightInd w:val="0"/>
        <w:snapToGrid w:val="0"/>
        <w:spacing w:line="360" w:lineRule="auto"/>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w:t>
      </w:r>
    </w:p>
    <w:p w14:paraId="6CE1E66F">
      <w:pPr>
        <w:adjustRightInd w:val="0"/>
        <w:snapToGrid w:val="0"/>
        <w:spacing w:line="360" w:lineRule="auto"/>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 xml:space="preserve">随附相关证明材料如下： </w:t>
      </w:r>
    </w:p>
    <w:p w14:paraId="72A0F346">
      <w:pPr>
        <w:spacing w:line="360" w:lineRule="auto"/>
        <w:ind w:firstLine="4228" w:firstLineChars="1762"/>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联 系 人：</w:t>
      </w:r>
      <w:r>
        <w:rPr>
          <w:rFonts w:hint="eastAsia" w:asciiTheme="minorEastAsia" w:hAnsiTheme="minorEastAsia" w:eastAsiaTheme="minorEastAsia"/>
          <w:sz w:val="24"/>
          <w:highlight w:val="none"/>
          <w:u w:val="single"/>
        </w:rPr>
        <w:t xml:space="preserve">              </w:t>
      </w:r>
    </w:p>
    <w:p w14:paraId="1020D420">
      <w:pPr>
        <w:spacing w:line="360" w:lineRule="auto"/>
        <w:ind w:firstLine="4228" w:firstLineChars="1762"/>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联系电话：</w:t>
      </w:r>
      <w:r>
        <w:rPr>
          <w:rFonts w:hint="eastAsia" w:asciiTheme="minorEastAsia" w:hAnsiTheme="minorEastAsia" w:eastAsiaTheme="minorEastAsia"/>
          <w:sz w:val="24"/>
          <w:highlight w:val="none"/>
          <w:u w:val="single"/>
        </w:rPr>
        <w:t xml:space="preserve">              </w:t>
      </w:r>
    </w:p>
    <w:p w14:paraId="7410918E">
      <w:pPr>
        <w:tabs>
          <w:tab w:val="left" w:pos="630"/>
        </w:tabs>
        <w:spacing w:line="360" w:lineRule="auto"/>
        <w:ind w:firstLine="4228" w:firstLineChars="1762"/>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日    期：</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rPr>
        <w:t xml:space="preserve">    </w:t>
      </w:r>
    </w:p>
    <w:p w14:paraId="379B1DEC">
      <w:pPr>
        <w:rPr>
          <w:rFonts w:ascii="仿宋" w:hAnsi="仿宋" w:eastAsia="仿宋" w:cs="仿宋"/>
          <w:b/>
          <w:bCs/>
          <w:sz w:val="32"/>
          <w:szCs w:val="44"/>
          <w:highlight w:val="none"/>
        </w:rPr>
      </w:pPr>
      <w:r>
        <w:rPr>
          <w:rFonts w:hint="eastAsia" w:ascii="仿宋" w:hAnsi="仿宋" w:eastAsia="仿宋" w:cs="仿宋"/>
          <w:b/>
          <w:bCs/>
          <w:sz w:val="32"/>
          <w:szCs w:val="44"/>
          <w:highlight w:val="none"/>
        </w:rPr>
        <w:br w:type="page"/>
      </w:r>
    </w:p>
    <w:p w14:paraId="2A817F35">
      <w:pPr>
        <w:jc w:val="center"/>
        <w:outlineLvl w:val="1"/>
        <w:rPr>
          <w:rFonts w:ascii="仿宋" w:hAnsi="仿宋" w:eastAsia="仿宋" w:cs="仿宋"/>
          <w:b/>
          <w:bCs/>
          <w:sz w:val="32"/>
          <w:szCs w:val="44"/>
          <w:highlight w:val="none"/>
        </w:rPr>
      </w:pPr>
      <w:bookmarkStart w:id="85" w:name="_Toc1575"/>
      <w:bookmarkStart w:id="86" w:name="_Toc3245"/>
      <w:r>
        <w:rPr>
          <w:rFonts w:hint="eastAsia" w:ascii="仿宋" w:hAnsi="仿宋" w:eastAsia="仿宋" w:cs="仿宋"/>
          <w:b/>
          <w:bCs/>
          <w:sz w:val="32"/>
          <w:szCs w:val="44"/>
          <w:highlight w:val="none"/>
        </w:rPr>
        <w:t>质疑函范本</w:t>
      </w:r>
      <w:bookmarkEnd w:id="85"/>
      <w:bookmarkEnd w:id="86"/>
    </w:p>
    <w:p w14:paraId="6498003E">
      <w:pPr>
        <w:adjustRightInd w:val="0"/>
        <w:snapToGrid w:val="0"/>
        <w:spacing w:before="312" w:beforeLines="100" w:line="360" w:lineRule="auto"/>
        <w:rPr>
          <w:rFonts w:cs="仿宋" w:asciiTheme="minorEastAsia" w:hAnsiTheme="minorEastAsia" w:eastAsiaTheme="minorEastAsia"/>
          <w:b/>
          <w:bCs/>
          <w:sz w:val="24"/>
          <w:szCs w:val="24"/>
          <w:highlight w:val="none"/>
        </w:rPr>
      </w:pPr>
      <w:bookmarkStart w:id="87" w:name="_Toc21381"/>
      <w:r>
        <w:rPr>
          <w:rFonts w:hint="eastAsia" w:cs="仿宋" w:asciiTheme="minorEastAsia" w:hAnsiTheme="minorEastAsia" w:eastAsiaTheme="minorEastAsia"/>
          <w:b/>
          <w:bCs/>
          <w:sz w:val="24"/>
          <w:szCs w:val="24"/>
          <w:highlight w:val="none"/>
        </w:rPr>
        <w:t>一、质疑供应商基本信息</w:t>
      </w:r>
      <w:bookmarkEnd w:id="87"/>
    </w:p>
    <w:p w14:paraId="51F00531">
      <w:pPr>
        <w:adjustRightInd w:val="0"/>
        <w:snapToGrid w:val="0"/>
        <w:spacing w:line="360" w:lineRule="auto"/>
        <w:rPr>
          <w:rFonts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质疑供应商：</w:t>
      </w:r>
      <w:r>
        <w:rPr>
          <w:rFonts w:hint="eastAsia" w:cs="仿宋" w:asciiTheme="minorEastAsia" w:hAnsiTheme="minorEastAsia" w:eastAsiaTheme="minorEastAsia"/>
          <w:sz w:val="24"/>
          <w:szCs w:val="24"/>
          <w:highlight w:val="none"/>
          <w:u w:val="dotted"/>
        </w:rPr>
        <w:t xml:space="preserve">                                        </w:t>
      </w:r>
    </w:p>
    <w:p w14:paraId="7D9467A8">
      <w:pPr>
        <w:adjustRightInd w:val="0"/>
        <w:snapToGrid w:val="0"/>
        <w:spacing w:line="360"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地址：</w:t>
      </w:r>
      <w:r>
        <w:rPr>
          <w:rFonts w:hint="eastAsia" w:cs="仿宋" w:asciiTheme="minorEastAsia" w:hAnsiTheme="minorEastAsia" w:eastAsiaTheme="minorEastAsia"/>
          <w:sz w:val="24"/>
          <w:szCs w:val="24"/>
          <w:highlight w:val="none"/>
          <w:u w:val="dotted"/>
        </w:rPr>
        <w:t xml:space="preserve">                          </w:t>
      </w:r>
      <w:r>
        <w:rPr>
          <w:rFonts w:hint="eastAsia" w:cs="仿宋" w:asciiTheme="minorEastAsia" w:hAnsiTheme="minorEastAsia" w:eastAsiaTheme="minorEastAsia"/>
          <w:sz w:val="24"/>
          <w:szCs w:val="24"/>
          <w:highlight w:val="none"/>
        </w:rPr>
        <w:t>邮编：</w:t>
      </w:r>
      <w:r>
        <w:rPr>
          <w:rFonts w:hint="eastAsia" w:cs="仿宋" w:asciiTheme="minorEastAsia" w:hAnsiTheme="minorEastAsia" w:eastAsiaTheme="minorEastAsia"/>
          <w:sz w:val="24"/>
          <w:szCs w:val="24"/>
          <w:highlight w:val="none"/>
          <w:u w:val="dotted"/>
        </w:rPr>
        <w:t xml:space="preserve">                                 </w:t>
      </w:r>
    </w:p>
    <w:p w14:paraId="536B5ECC">
      <w:pPr>
        <w:adjustRightInd w:val="0"/>
        <w:snapToGrid w:val="0"/>
        <w:spacing w:line="360"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联系人：</w:t>
      </w:r>
      <w:r>
        <w:rPr>
          <w:rFonts w:hint="eastAsia" w:cs="仿宋" w:asciiTheme="minorEastAsia" w:hAnsiTheme="minorEastAsia" w:eastAsiaTheme="minorEastAsia"/>
          <w:sz w:val="24"/>
          <w:szCs w:val="24"/>
          <w:highlight w:val="none"/>
          <w:u w:val="dotted"/>
        </w:rPr>
        <w:t xml:space="preserve">                      </w:t>
      </w:r>
      <w:r>
        <w:rPr>
          <w:rFonts w:hint="eastAsia" w:cs="仿宋" w:asciiTheme="minorEastAsia" w:hAnsiTheme="minorEastAsia" w:eastAsiaTheme="minorEastAsia"/>
          <w:sz w:val="24"/>
          <w:szCs w:val="24"/>
          <w:highlight w:val="none"/>
        </w:rPr>
        <w:t>联系电话：</w:t>
      </w:r>
      <w:r>
        <w:rPr>
          <w:rFonts w:hint="eastAsia" w:cs="仿宋" w:asciiTheme="minorEastAsia" w:hAnsiTheme="minorEastAsia" w:eastAsiaTheme="minorEastAsia"/>
          <w:sz w:val="24"/>
          <w:szCs w:val="24"/>
          <w:highlight w:val="none"/>
          <w:u w:val="dotted"/>
        </w:rPr>
        <w:t xml:space="preserve">                              </w:t>
      </w:r>
    </w:p>
    <w:p w14:paraId="6F31EF00">
      <w:pPr>
        <w:adjustRightInd w:val="0"/>
        <w:snapToGrid w:val="0"/>
        <w:spacing w:line="360" w:lineRule="auto"/>
        <w:rPr>
          <w:rFonts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授权代表：</w:t>
      </w:r>
      <w:r>
        <w:rPr>
          <w:rFonts w:hint="eastAsia" w:cs="仿宋" w:asciiTheme="minorEastAsia" w:hAnsiTheme="minorEastAsia" w:eastAsiaTheme="minorEastAsia"/>
          <w:sz w:val="24"/>
          <w:szCs w:val="24"/>
          <w:highlight w:val="none"/>
          <w:u w:val="dotted"/>
        </w:rPr>
        <w:t xml:space="preserve">                                          </w:t>
      </w:r>
    </w:p>
    <w:p w14:paraId="3A097733">
      <w:pPr>
        <w:adjustRightInd w:val="0"/>
        <w:snapToGrid w:val="0"/>
        <w:spacing w:line="360"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联系电话：</w:t>
      </w:r>
      <w:r>
        <w:rPr>
          <w:rFonts w:hint="eastAsia" w:cs="仿宋" w:asciiTheme="minorEastAsia" w:hAnsiTheme="minorEastAsia" w:eastAsiaTheme="minorEastAsia"/>
          <w:sz w:val="24"/>
          <w:szCs w:val="24"/>
          <w:highlight w:val="none"/>
          <w:u w:val="dotted"/>
        </w:rPr>
        <w:t xml:space="preserve">                                           </w:t>
      </w:r>
      <w:r>
        <w:rPr>
          <w:rFonts w:cs="仿宋" w:asciiTheme="minorEastAsia" w:hAnsiTheme="minorEastAsia" w:eastAsiaTheme="minorEastAsia"/>
          <w:sz w:val="24"/>
          <w:szCs w:val="24"/>
          <w:highlight w:val="none"/>
        </w:rPr>
        <w:t xml:space="preserve"> </w:t>
      </w:r>
    </w:p>
    <w:p w14:paraId="01304723">
      <w:pPr>
        <w:adjustRightInd w:val="0"/>
        <w:snapToGrid w:val="0"/>
        <w:spacing w:line="360"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地址：</w:t>
      </w:r>
      <w:r>
        <w:rPr>
          <w:rFonts w:cs="仿宋" w:asciiTheme="minorEastAsia" w:hAnsiTheme="minorEastAsia" w:eastAsiaTheme="minorEastAsia"/>
          <w:sz w:val="24"/>
          <w:szCs w:val="24"/>
          <w:highlight w:val="none"/>
        </w:rPr>
        <w:t xml:space="preserve"> </w:t>
      </w:r>
      <w:r>
        <w:rPr>
          <w:rFonts w:hint="eastAsia" w:cs="仿宋" w:asciiTheme="minorEastAsia" w:hAnsiTheme="minorEastAsia" w:eastAsiaTheme="minorEastAsia"/>
          <w:sz w:val="24"/>
          <w:szCs w:val="24"/>
          <w:highlight w:val="none"/>
          <w:u w:val="dotted"/>
        </w:rPr>
        <w:t xml:space="preserve">                        </w:t>
      </w:r>
      <w:r>
        <w:rPr>
          <w:rFonts w:hint="eastAsia" w:cs="仿宋" w:asciiTheme="minorEastAsia" w:hAnsiTheme="minorEastAsia" w:eastAsiaTheme="minorEastAsia"/>
          <w:sz w:val="24"/>
          <w:szCs w:val="24"/>
          <w:highlight w:val="none"/>
        </w:rPr>
        <w:t>邮编：</w:t>
      </w:r>
      <w:r>
        <w:rPr>
          <w:rFonts w:hint="eastAsia" w:cs="仿宋" w:asciiTheme="minorEastAsia" w:hAnsiTheme="minorEastAsia" w:eastAsiaTheme="minorEastAsia"/>
          <w:sz w:val="24"/>
          <w:szCs w:val="24"/>
          <w:highlight w:val="none"/>
          <w:u w:val="dotted"/>
        </w:rPr>
        <w:t xml:space="preserve">                                   </w:t>
      </w:r>
    </w:p>
    <w:p w14:paraId="6A98FE02">
      <w:pPr>
        <w:adjustRightInd w:val="0"/>
        <w:snapToGrid w:val="0"/>
        <w:spacing w:line="360" w:lineRule="auto"/>
        <w:rPr>
          <w:rFonts w:cs="仿宋" w:asciiTheme="minorEastAsia" w:hAnsiTheme="minorEastAsia" w:eastAsiaTheme="minorEastAsia"/>
          <w:b/>
          <w:bCs/>
          <w:sz w:val="24"/>
          <w:szCs w:val="24"/>
          <w:highlight w:val="none"/>
        </w:rPr>
      </w:pPr>
      <w:bookmarkStart w:id="88" w:name="_Toc28415"/>
      <w:r>
        <w:rPr>
          <w:rFonts w:hint="eastAsia" w:cs="仿宋" w:asciiTheme="minorEastAsia" w:hAnsiTheme="minorEastAsia" w:eastAsiaTheme="minorEastAsia"/>
          <w:b/>
          <w:bCs/>
          <w:sz w:val="24"/>
          <w:szCs w:val="24"/>
          <w:highlight w:val="none"/>
        </w:rPr>
        <w:t>二、质疑项目基本情况</w:t>
      </w:r>
      <w:bookmarkEnd w:id="88"/>
    </w:p>
    <w:p w14:paraId="4314D65A">
      <w:pPr>
        <w:adjustRightInd w:val="0"/>
        <w:snapToGrid w:val="0"/>
        <w:spacing w:line="360"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质疑项目的名称：</w:t>
      </w:r>
      <w:r>
        <w:rPr>
          <w:rFonts w:hint="eastAsia" w:cs="仿宋" w:asciiTheme="minorEastAsia" w:hAnsiTheme="minorEastAsia" w:eastAsiaTheme="minorEastAsia"/>
          <w:sz w:val="24"/>
          <w:szCs w:val="24"/>
          <w:highlight w:val="none"/>
          <w:u w:val="dotted"/>
        </w:rPr>
        <w:t xml:space="preserve">                                      </w:t>
      </w:r>
    </w:p>
    <w:p w14:paraId="15C289FB">
      <w:pPr>
        <w:adjustRightInd w:val="0"/>
        <w:snapToGrid w:val="0"/>
        <w:spacing w:line="360"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质疑项目的编号：</w:t>
      </w:r>
      <w:r>
        <w:rPr>
          <w:rFonts w:hint="eastAsia" w:cs="仿宋" w:asciiTheme="minorEastAsia" w:hAnsiTheme="minorEastAsia" w:eastAsiaTheme="minorEastAsia"/>
          <w:sz w:val="24"/>
          <w:szCs w:val="24"/>
          <w:highlight w:val="none"/>
          <w:u w:val="dotted"/>
        </w:rPr>
        <w:t xml:space="preserve">               </w:t>
      </w:r>
      <w:r>
        <w:rPr>
          <w:rFonts w:hint="eastAsia" w:cs="仿宋" w:asciiTheme="minorEastAsia" w:hAnsiTheme="minorEastAsia" w:eastAsiaTheme="minorEastAsia"/>
          <w:sz w:val="24"/>
          <w:szCs w:val="24"/>
          <w:highlight w:val="none"/>
        </w:rPr>
        <w:t>包号：</w:t>
      </w:r>
      <w:r>
        <w:rPr>
          <w:rFonts w:hint="eastAsia" w:cs="仿宋" w:asciiTheme="minorEastAsia" w:hAnsiTheme="minorEastAsia" w:eastAsiaTheme="minorEastAsia"/>
          <w:sz w:val="24"/>
          <w:szCs w:val="24"/>
          <w:highlight w:val="none"/>
          <w:u w:val="dotted"/>
        </w:rPr>
        <w:t xml:space="preserve">                 </w:t>
      </w:r>
    </w:p>
    <w:p w14:paraId="180E30DE">
      <w:pPr>
        <w:adjustRightInd w:val="0"/>
        <w:snapToGrid w:val="0"/>
        <w:spacing w:line="360" w:lineRule="auto"/>
        <w:rPr>
          <w:rFonts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采购人名称：</w:t>
      </w:r>
      <w:r>
        <w:rPr>
          <w:rFonts w:hint="eastAsia" w:cs="仿宋" w:asciiTheme="minorEastAsia" w:hAnsiTheme="minorEastAsia" w:eastAsiaTheme="minorEastAsia"/>
          <w:sz w:val="24"/>
          <w:szCs w:val="24"/>
          <w:highlight w:val="none"/>
          <w:u w:val="dotted"/>
        </w:rPr>
        <w:t xml:space="preserve">                                         </w:t>
      </w:r>
    </w:p>
    <w:p w14:paraId="6D989EE8">
      <w:pPr>
        <w:adjustRightInd w:val="0"/>
        <w:snapToGrid w:val="0"/>
        <w:spacing w:line="360"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采购文件获取日期：</w:t>
      </w:r>
      <w:r>
        <w:rPr>
          <w:rFonts w:hint="eastAsia" w:cs="仿宋" w:asciiTheme="minorEastAsia" w:hAnsiTheme="minorEastAsia" w:eastAsiaTheme="minorEastAsia"/>
          <w:sz w:val="24"/>
          <w:szCs w:val="24"/>
          <w:highlight w:val="none"/>
          <w:u w:val="dotted"/>
        </w:rPr>
        <w:t xml:space="preserve">                                           </w:t>
      </w:r>
    </w:p>
    <w:p w14:paraId="5049F57C">
      <w:pPr>
        <w:adjustRightInd w:val="0"/>
        <w:snapToGrid w:val="0"/>
        <w:spacing w:line="360" w:lineRule="auto"/>
        <w:rPr>
          <w:rFonts w:cs="仿宋" w:asciiTheme="minorEastAsia" w:hAnsiTheme="minorEastAsia" w:eastAsiaTheme="minorEastAsia"/>
          <w:b/>
          <w:bCs/>
          <w:sz w:val="24"/>
          <w:szCs w:val="24"/>
          <w:highlight w:val="none"/>
        </w:rPr>
      </w:pPr>
      <w:bookmarkStart w:id="89" w:name="_Toc19014"/>
      <w:r>
        <w:rPr>
          <w:rFonts w:hint="eastAsia" w:cs="仿宋" w:asciiTheme="minorEastAsia" w:hAnsiTheme="minorEastAsia" w:eastAsiaTheme="minorEastAsia"/>
          <w:b/>
          <w:bCs/>
          <w:sz w:val="24"/>
          <w:szCs w:val="24"/>
          <w:highlight w:val="none"/>
        </w:rPr>
        <w:t>三、质疑事项具体内容</w:t>
      </w:r>
      <w:bookmarkEnd w:id="89"/>
    </w:p>
    <w:p w14:paraId="5C624A72">
      <w:pPr>
        <w:adjustRightInd w:val="0"/>
        <w:snapToGrid w:val="0"/>
        <w:spacing w:line="360" w:lineRule="auto"/>
        <w:rPr>
          <w:rFonts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质疑事项1：</w:t>
      </w:r>
      <w:r>
        <w:rPr>
          <w:rFonts w:hint="eastAsia" w:cs="仿宋" w:asciiTheme="minorEastAsia" w:hAnsiTheme="minorEastAsia" w:eastAsiaTheme="minorEastAsia"/>
          <w:sz w:val="24"/>
          <w:szCs w:val="24"/>
          <w:highlight w:val="none"/>
          <w:u w:val="dotted"/>
        </w:rPr>
        <w:t xml:space="preserve">                                         </w:t>
      </w:r>
    </w:p>
    <w:p w14:paraId="71B85F1E">
      <w:pPr>
        <w:adjustRightInd w:val="0"/>
        <w:snapToGrid w:val="0"/>
        <w:spacing w:line="360" w:lineRule="auto"/>
        <w:rPr>
          <w:rFonts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事实依据：</w:t>
      </w:r>
      <w:r>
        <w:rPr>
          <w:rFonts w:hint="eastAsia" w:cs="仿宋" w:asciiTheme="minorEastAsia" w:hAnsiTheme="minorEastAsia" w:eastAsiaTheme="minorEastAsia"/>
          <w:sz w:val="24"/>
          <w:szCs w:val="24"/>
          <w:highlight w:val="none"/>
          <w:u w:val="dotted"/>
        </w:rPr>
        <w:t xml:space="preserve">                                          </w:t>
      </w:r>
    </w:p>
    <w:p w14:paraId="5713609E">
      <w:pPr>
        <w:adjustRightInd w:val="0"/>
        <w:snapToGrid w:val="0"/>
        <w:spacing w:line="360"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u w:val="dotted"/>
        </w:rPr>
        <w:t xml:space="preserve">                                                       </w:t>
      </w:r>
    </w:p>
    <w:p w14:paraId="6DD6DE5B">
      <w:pPr>
        <w:adjustRightInd w:val="0"/>
        <w:snapToGrid w:val="0"/>
        <w:spacing w:line="360" w:lineRule="auto"/>
        <w:rPr>
          <w:rFonts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法律依据：</w:t>
      </w:r>
      <w:r>
        <w:rPr>
          <w:rFonts w:hint="eastAsia" w:cs="仿宋" w:asciiTheme="minorEastAsia" w:hAnsiTheme="minorEastAsia" w:eastAsiaTheme="minorEastAsia"/>
          <w:sz w:val="24"/>
          <w:szCs w:val="24"/>
          <w:highlight w:val="none"/>
          <w:u w:val="dotted"/>
        </w:rPr>
        <w:t xml:space="preserve">                                          </w:t>
      </w:r>
    </w:p>
    <w:p w14:paraId="0F7FE9B0">
      <w:pPr>
        <w:adjustRightInd w:val="0"/>
        <w:snapToGrid w:val="0"/>
        <w:spacing w:line="360" w:lineRule="auto"/>
        <w:rPr>
          <w:rFonts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u w:val="dotted"/>
        </w:rPr>
        <w:t xml:space="preserve">                                                     </w:t>
      </w:r>
    </w:p>
    <w:p w14:paraId="2F58494B">
      <w:pPr>
        <w:adjustRightInd w:val="0"/>
        <w:snapToGrid w:val="0"/>
        <w:spacing w:line="360" w:lineRule="auto"/>
        <w:rPr>
          <w:rFonts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质疑事项2</w:t>
      </w:r>
    </w:p>
    <w:p w14:paraId="2F1962DB">
      <w:pPr>
        <w:adjustRightInd w:val="0"/>
        <w:snapToGrid w:val="0"/>
        <w:spacing w:line="360"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w:t>
      </w:r>
    </w:p>
    <w:p w14:paraId="61A9D21D">
      <w:pPr>
        <w:adjustRightInd w:val="0"/>
        <w:snapToGrid w:val="0"/>
        <w:spacing w:line="360" w:lineRule="auto"/>
        <w:rPr>
          <w:rFonts w:cs="仿宋" w:asciiTheme="minorEastAsia" w:hAnsiTheme="minorEastAsia" w:eastAsiaTheme="minorEastAsia"/>
          <w:b/>
          <w:bCs/>
          <w:sz w:val="24"/>
          <w:szCs w:val="24"/>
          <w:highlight w:val="none"/>
        </w:rPr>
      </w:pPr>
      <w:bookmarkStart w:id="90" w:name="_Toc17919"/>
      <w:r>
        <w:rPr>
          <w:rFonts w:hint="eastAsia" w:cs="仿宋" w:asciiTheme="minorEastAsia" w:hAnsiTheme="minorEastAsia" w:eastAsiaTheme="minorEastAsia"/>
          <w:b/>
          <w:bCs/>
          <w:sz w:val="24"/>
          <w:szCs w:val="24"/>
          <w:highlight w:val="none"/>
        </w:rPr>
        <w:t>四、与质疑事项相关的质疑请求</w:t>
      </w:r>
      <w:bookmarkEnd w:id="90"/>
    </w:p>
    <w:p w14:paraId="04EA32B0">
      <w:pPr>
        <w:adjustRightInd w:val="0"/>
        <w:snapToGrid w:val="0"/>
        <w:spacing w:line="360" w:lineRule="auto"/>
        <w:rPr>
          <w:rFonts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请求：</w:t>
      </w:r>
      <w:r>
        <w:rPr>
          <w:rFonts w:hint="eastAsia" w:cs="仿宋" w:asciiTheme="minorEastAsia" w:hAnsiTheme="minorEastAsia" w:eastAsiaTheme="minorEastAsia"/>
          <w:sz w:val="24"/>
          <w:szCs w:val="24"/>
          <w:highlight w:val="none"/>
          <w:u w:val="dotted"/>
        </w:rPr>
        <w:t xml:space="preserve">                                               </w:t>
      </w:r>
    </w:p>
    <w:p w14:paraId="7E55DAB9">
      <w:pPr>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签字(签章)：                   公章：                      </w:t>
      </w:r>
    </w:p>
    <w:p w14:paraId="6048874C">
      <w:pPr>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日期：    </w:t>
      </w:r>
    </w:p>
    <w:p w14:paraId="2BD6BC90">
      <w:pPr>
        <w:widowControl/>
        <w:jc w:val="left"/>
        <w:rPr>
          <w:rFonts w:ascii="仿宋" w:hAnsi="仿宋" w:eastAsia="仿宋" w:cs="仿宋"/>
          <w:sz w:val="32"/>
          <w:szCs w:val="32"/>
          <w:highlight w:val="none"/>
        </w:rPr>
      </w:pPr>
      <w:r>
        <w:rPr>
          <w:rFonts w:ascii="仿宋" w:hAnsi="仿宋" w:eastAsia="仿宋" w:cs="仿宋"/>
          <w:sz w:val="32"/>
          <w:szCs w:val="32"/>
          <w:highlight w:val="none"/>
        </w:rPr>
        <w:br w:type="page"/>
      </w:r>
    </w:p>
    <w:p w14:paraId="76C52E4E">
      <w:pPr>
        <w:outlineLvl w:val="0"/>
        <w:rPr>
          <w:rFonts w:asciiTheme="minorEastAsia" w:hAnsiTheme="minorEastAsia" w:eastAsiaTheme="minorEastAsia"/>
          <w:b/>
          <w:sz w:val="28"/>
          <w:szCs w:val="32"/>
          <w:highlight w:val="none"/>
        </w:rPr>
      </w:pPr>
      <w:bookmarkStart w:id="91" w:name="_Toc26836"/>
      <w:bookmarkStart w:id="92" w:name="_Toc9754"/>
      <w:r>
        <w:rPr>
          <w:rFonts w:hint="eastAsia" w:asciiTheme="minorEastAsia" w:hAnsiTheme="minorEastAsia" w:eastAsiaTheme="minorEastAsia"/>
          <w:b/>
          <w:sz w:val="28"/>
          <w:szCs w:val="32"/>
          <w:highlight w:val="none"/>
        </w:rPr>
        <w:t>质疑函制作说明：</w:t>
      </w:r>
      <w:bookmarkEnd w:id="91"/>
      <w:bookmarkEnd w:id="92"/>
    </w:p>
    <w:p w14:paraId="5C3ED4F4">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1.供应商提出质疑时，应提交质疑函和必要的证明材料。</w:t>
      </w:r>
    </w:p>
    <w:p w14:paraId="7E7A5885">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FEB94C8">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3.质疑供应商若对项目的某一分包进行质疑，质疑函中应列明具体分包号。</w:t>
      </w:r>
    </w:p>
    <w:p w14:paraId="0973823C">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4.质疑函的质疑事项应具体、明确，并有必要的事实依据和法律依据。</w:t>
      </w:r>
    </w:p>
    <w:p w14:paraId="48213DD2">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5.质疑函的质疑请求应与质疑事项相关。</w:t>
      </w:r>
    </w:p>
    <w:p w14:paraId="1633AF6E">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6.质疑供应商为自然人的，质疑函应由本人签字；质疑供应商为法人或者其他组织的，质疑函应由法定代表人、主要负责人，或者其授权代表签字或者盖章，并加盖公章。</w:t>
      </w:r>
    </w:p>
    <w:sectPr>
      <w:headerReference r:id="rId9" w:type="default"/>
      <w:footerReference r:id="rId10" w:type="default"/>
      <w:pgSz w:w="11906" w:h="16838"/>
      <w:pgMar w:top="1440" w:right="1803" w:bottom="1440" w:left="1803" w:header="851" w:footer="992" w:gutter="0"/>
      <w:pgNumType w:fmt="decimal"/>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华文楷体">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C4410">
    <w:pPr>
      <w:pStyle w:val="14"/>
      <w:jc w:val="center"/>
      <w:rPr>
        <w:rFonts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737F4">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F0807C">
                          <w:pPr>
                            <w:pStyle w:val="14"/>
                            <w:rPr>
                              <w:rFonts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23</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ascii="宋体" w:hAnsi="宋体" w:eastAsia="宋体" w:cs="宋体"/>
                            </w:rPr>
                            <w:t>67</w:t>
                          </w:r>
                          <w:r>
                            <w:rPr>
                              <w:rFonts w:hint="eastAsia" w:ascii="宋体" w:hAnsi="宋体" w:eastAsia="宋体" w:cs="宋体"/>
                            </w:rPr>
                            <w:fldChar w:fldCharType="end"/>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CF0807C">
                    <w:pPr>
                      <w:pStyle w:val="14"/>
                      <w:rPr>
                        <w:rFonts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23</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ascii="宋体" w:hAnsi="宋体" w:eastAsia="宋体" w:cs="宋体"/>
                      </w:rPr>
                      <w:t>67</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02CA7">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E8A49">
                          <w:pPr>
                            <w:pStyle w:val="14"/>
                            <w:rPr>
                              <w:rFonts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48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ascii="宋体" w:hAnsi="宋体" w:eastAsia="宋体" w:cs="宋体"/>
                              <w:sz w:val="21"/>
                              <w:szCs w:val="21"/>
                            </w:rPr>
                            <w:t>75</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73E8A49">
                    <w:pPr>
                      <w:pStyle w:val="14"/>
                      <w:rPr>
                        <w:rFonts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48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ascii="宋体" w:hAnsi="宋体" w:eastAsia="宋体" w:cs="宋体"/>
                        <w:sz w:val="21"/>
                        <w:szCs w:val="21"/>
                      </w:rPr>
                      <w:t>75</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E8C84">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AECE01">
                          <w:pPr>
                            <w:pStyle w:val="14"/>
                            <w:rPr>
                              <w:rFonts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65</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ascii="宋体" w:hAnsi="宋体" w:eastAsia="宋体" w:cs="宋体"/>
                              <w:sz w:val="21"/>
                              <w:szCs w:val="21"/>
                            </w:rPr>
                            <w:t>67</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6DAECE01">
                    <w:pPr>
                      <w:pStyle w:val="14"/>
                      <w:rPr>
                        <w:rFonts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65</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ascii="宋体" w:hAnsi="宋体" w:eastAsia="宋体" w:cs="宋体"/>
                        <w:sz w:val="21"/>
                        <w:szCs w:val="21"/>
                      </w:rPr>
                      <w:t>67</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21AE8">
    <w:pPr>
      <w:pStyle w:val="16"/>
      <w:jc w:val="left"/>
      <w:rPr>
        <w:rFonts w:asciiTheme="minorEastAsia" w:hAnsiTheme="minorEastAsia" w:eastAsiaTheme="minorEastAsia"/>
      </w:rPr>
    </w:pPr>
    <w:r>
      <w:rPr>
        <w:rFonts w:hint="eastAsia" w:asciiTheme="minorEastAsia" w:hAnsiTheme="minorEastAsia" w:eastAsiaTheme="minorEastAsia"/>
      </w:rPr>
      <w:t>安徽省政府采购项目公开招标文件示范文本（货物类）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B8433">
    <w:pPr>
      <w:pStyle w:val="16"/>
      <w:jc w:val="left"/>
    </w:pPr>
    <w:r>
      <w:rPr>
        <w:rFonts w:hint="eastAsia" w:asciiTheme="minorEastAsia" w:hAnsiTheme="minorEastAsia" w:eastAsiaTheme="minorEastAsia"/>
      </w:rPr>
      <w:t>安徽省政府采购项目公开招标文件示范文本（货物类）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E3ECF">
    <w:pPr>
      <w:pStyle w:val="16"/>
      <w:jc w:val="left"/>
    </w:pPr>
    <w:r>
      <w:rPr>
        <w:rFonts w:hint="eastAsia" w:asciiTheme="minorEastAsia" w:hAnsiTheme="minorEastAsia" w:eastAsiaTheme="minorEastAsia"/>
      </w:rPr>
      <w:t>安徽省政府采购项目公开招标文件示范文本（货物类）</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60825">
    <w:pPr>
      <w:pStyle w:val="16"/>
      <w:jc w:val="left"/>
    </w:pPr>
    <w:r>
      <w:rPr>
        <w:rFonts w:hint="eastAsia" w:asciiTheme="minorEastAsia" w:hAnsiTheme="minorEastAsia" w:eastAsiaTheme="minorEastAsia"/>
      </w:rPr>
      <w:t>安徽省政府采购项目公开招标文件示范文本（货物类）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1C39AD"/>
    <w:multiLevelType w:val="singleLevel"/>
    <w:tmpl w:val="871C39AD"/>
    <w:lvl w:ilvl="0" w:tentative="0">
      <w:start w:val="2"/>
      <w:numFmt w:val="chineseCounting"/>
      <w:suff w:val="nothing"/>
      <w:lvlText w:val="%1、"/>
      <w:lvlJc w:val="left"/>
      <w:rPr>
        <w:rFonts w:hint="eastAsia"/>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002A6845"/>
    <w:multiLevelType w:val="multilevel"/>
    <w:tmpl w:val="002A6845"/>
    <w:lvl w:ilvl="0" w:tentative="0">
      <w:start w:val="6"/>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8C67602"/>
    <w:multiLevelType w:val="singleLevel"/>
    <w:tmpl w:val="08C67602"/>
    <w:lvl w:ilvl="0" w:tentative="0">
      <w:start w:val="1"/>
      <w:numFmt w:val="decimal"/>
      <w:lvlText w:val="%1."/>
      <w:lvlJc w:val="left"/>
      <w:pPr>
        <w:tabs>
          <w:tab w:val="left" w:pos="312"/>
        </w:tabs>
      </w:pPr>
    </w:lvl>
  </w:abstractNum>
  <w:abstractNum w:abstractNumId="9">
    <w:nsid w:val="63A94943"/>
    <w:multiLevelType w:val="singleLevel"/>
    <w:tmpl w:val="63A94943"/>
    <w:lvl w:ilvl="0" w:tentative="0">
      <w:start w:val="3"/>
      <w:numFmt w:val="chineseCounting"/>
      <w:suff w:val="nothing"/>
      <w:lvlText w:val="（%1）"/>
      <w:lvlJc w:val="left"/>
      <w:rPr>
        <w:rFonts w:hint="eastAsia"/>
      </w:rPr>
    </w:lvl>
  </w:abstractNum>
  <w:abstractNum w:abstractNumId="10">
    <w:nsid w:val="7A0F6431"/>
    <w:multiLevelType w:val="singleLevel"/>
    <w:tmpl w:val="7A0F6431"/>
    <w:lvl w:ilvl="0" w:tentative="0">
      <w:start w:val="1"/>
      <w:numFmt w:val="decimal"/>
      <w:suff w:val="space"/>
      <w:lvlText w:val="%1."/>
      <w:lvlJc w:val="left"/>
    </w:lvl>
  </w:abstractNum>
  <w:num w:numId="1">
    <w:abstractNumId w:val="0"/>
  </w:num>
  <w:num w:numId="2">
    <w:abstractNumId w:val="9"/>
  </w:num>
  <w:num w:numId="3">
    <w:abstractNumId w:val="8"/>
  </w:num>
  <w:num w:numId="4">
    <w:abstractNumId w:val="7"/>
  </w:num>
  <w:num w:numId="5">
    <w:abstractNumId w:val="10"/>
  </w:num>
  <w:num w:numId="6">
    <w:abstractNumId w:val="2"/>
  </w:num>
  <w:num w:numId="7">
    <w:abstractNumId w:val="6"/>
  </w:num>
  <w:num w:numId="8">
    <w:abstractNumId w:val="4"/>
  </w:num>
  <w:num w:numId="9">
    <w:abstractNumId w:val="3"/>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wMTBkZTdhZThhNTJjNTYxMTU3YTk0ZjQ1ZWMwNGIifQ=="/>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3CE"/>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54C0"/>
    <w:rsid w:val="000F6B7B"/>
    <w:rsid w:val="00100B0F"/>
    <w:rsid w:val="0010187C"/>
    <w:rsid w:val="001037E3"/>
    <w:rsid w:val="00103A65"/>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6A38"/>
    <w:rsid w:val="00177DAF"/>
    <w:rsid w:val="0018119B"/>
    <w:rsid w:val="001812B3"/>
    <w:rsid w:val="00181D07"/>
    <w:rsid w:val="001826D0"/>
    <w:rsid w:val="00183344"/>
    <w:rsid w:val="00183897"/>
    <w:rsid w:val="001844AB"/>
    <w:rsid w:val="0018692A"/>
    <w:rsid w:val="00190F1F"/>
    <w:rsid w:val="001944B8"/>
    <w:rsid w:val="00195399"/>
    <w:rsid w:val="00196DA3"/>
    <w:rsid w:val="00197AC4"/>
    <w:rsid w:val="001A0DCD"/>
    <w:rsid w:val="001A5D34"/>
    <w:rsid w:val="001A68E5"/>
    <w:rsid w:val="001A6960"/>
    <w:rsid w:val="001B21DF"/>
    <w:rsid w:val="001B2A54"/>
    <w:rsid w:val="001B5014"/>
    <w:rsid w:val="001B7327"/>
    <w:rsid w:val="001C1409"/>
    <w:rsid w:val="001C67F2"/>
    <w:rsid w:val="001D53B4"/>
    <w:rsid w:val="001E744D"/>
    <w:rsid w:val="001F28D2"/>
    <w:rsid w:val="001F2F45"/>
    <w:rsid w:val="001F3023"/>
    <w:rsid w:val="001F35F6"/>
    <w:rsid w:val="001F74CA"/>
    <w:rsid w:val="001F7F7E"/>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5F65"/>
    <w:rsid w:val="00246810"/>
    <w:rsid w:val="00247F80"/>
    <w:rsid w:val="00260860"/>
    <w:rsid w:val="00260B94"/>
    <w:rsid w:val="00264F2E"/>
    <w:rsid w:val="00266095"/>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1F6F"/>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550AC"/>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030E"/>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3781F"/>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814"/>
    <w:rsid w:val="00546D49"/>
    <w:rsid w:val="00556D4C"/>
    <w:rsid w:val="005614B4"/>
    <w:rsid w:val="005616B5"/>
    <w:rsid w:val="00571315"/>
    <w:rsid w:val="00582075"/>
    <w:rsid w:val="00584A63"/>
    <w:rsid w:val="00585EB3"/>
    <w:rsid w:val="00591688"/>
    <w:rsid w:val="00592509"/>
    <w:rsid w:val="00594986"/>
    <w:rsid w:val="00597B15"/>
    <w:rsid w:val="005A044C"/>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3BE3"/>
    <w:rsid w:val="006448EF"/>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31C3"/>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6736"/>
    <w:rsid w:val="00727C59"/>
    <w:rsid w:val="00733E26"/>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C3CD5"/>
    <w:rsid w:val="007C61EF"/>
    <w:rsid w:val="007D1C0D"/>
    <w:rsid w:val="007D2D23"/>
    <w:rsid w:val="007D64E1"/>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C6C96"/>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6786"/>
    <w:rsid w:val="009078A1"/>
    <w:rsid w:val="00911E9C"/>
    <w:rsid w:val="00915083"/>
    <w:rsid w:val="00917405"/>
    <w:rsid w:val="00920035"/>
    <w:rsid w:val="00920F7C"/>
    <w:rsid w:val="00934CAE"/>
    <w:rsid w:val="00936276"/>
    <w:rsid w:val="0094257D"/>
    <w:rsid w:val="00942F60"/>
    <w:rsid w:val="00946F2F"/>
    <w:rsid w:val="0095211B"/>
    <w:rsid w:val="009534BE"/>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37ECD"/>
    <w:rsid w:val="00A43B9C"/>
    <w:rsid w:val="00A53155"/>
    <w:rsid w:val="00A56FFA"/>
    <w:rsid w:val="00A63E86"/>
    <w:rsid w:val="00A65A1C"/>
    <w:rsid w:val="00A757C3"/>
    <w:rsid w:val="00A75E5B"/>
    <w:rsid w:val="00A7684A"/>
    <w:rsid w:val="00A82AED"/>
    <w:rsid w:val="00A83B69"/>
    <w:rsid w:val="00A86533"/>
    <w:rsid w:val="00A91176"/>
    <w:rsid w:val="00A9176A"/>
    <w:rsid w:val="00A9182D"/>
    <w:rsid w:val="00A91CA2"/>
    <w:rsid w:val="00A92FB8"/>
    <w:rsid w:val="00A948F1"/>
    <w:rsid w:val="00AA1D7D"/>
    <w:rsid w:val="00AA48FB"/>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3145"/>
    <w:rsid w:val="00B27D52"/>
    <w:rsid w:val="00B32BC1"/>
    <w:rsid w:val="00B33E95"/>
    <w:rsid w:val="00B34EE1"/>
    <w:rsid w:val="00B35B5E"/>
    <w:rsid w:val="00B3720B"/>
    <w:rsid w:val="00B40EE3"/>
    <w:rsid w:val="00B4535A"/>
    <w:rsid w:val="00B55271"/>
    <w:rsid w:val="00B5558A"/>
    <w:rsid w:val="00B56513"/>
    <w:rsid w:val="00B56B2E"/>
    <w:rsid w:val="00B604CC"/>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E143B"/>
    <w:rsid w:val="00BF376F"/>
    <w:rsid w:val="00BF46A6"/>
    <w:rsid w:val="00BF62CF"/>
    <w:rsid w:val="00BF6B98"/>
    <w:rsid w:val="00BF73D6"/>
    <w:rsid w:val="00C06545"/>
    <w:rsid w:val="00C1161C"/>
    <w:rsid w:val="00C12BAC"/>
    <w:rsid w:val="00C17F66"/>
    <w:rsid w:val="00C220FC"/>
    <w:rsid w:val="00C23C86"/>
    <w:rsid w:val="00C24DFA"/>
    <w:rsid w:val="00C35561"/>
    <w:rsid w:val="00C4202A"/>
    <w:rsid w:val="00C4211F"/>
    <w:rsid w:val="00C46A36"/>
    <w:rsid w:val="00C47037"/>
    <w:rsid w:val="00C51DA2"/>
    <w:rsid w:val="00C53625"/>
    <w:rsid w:val="00C602C1"/>
    <w:rsid w:val="00C61C98"/>
    <w:rsid w:val="00C63FC0"/>
    <w:rsid w:val="00C66392"/>
    <w:rsid w:val="00C74C5E"/>
    <w:rsid w:val="00C77487"/>
    <w:rsid w:val="00C827A2"/>
    <w:rsid w:val="00C82B69"/>
    <w:rsid w:val="00C85394"/>
    <w:rsid w:val="00C8657D"/>
    <w:rsid w:val="00C91621"/>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3995"/>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3515B"/>
    <w:rsid w:val="00E5391D"/>
    <w:rsid w:val="00E544E5"/>
    <w:rsid w:val="00E66E36"/>
    <w:rsid w:val="00E6781E"/>
    <w:rsid w:val="00E702ED"/>
    <w:rsid w:val="00E705CC"/>
    <w:rsid w:val="00E709A4"/>
    <w:rsid w:val="00E73822"/>
    <w:rsid w:val="00E772DB"/>
    <w:rsid w:val="00E80370"/>
    <w:rsid w:val="00E86012"/>
    <w:rsid w:val="00E86BAB"/>
    <w:rsid w:val="00E901A1"/>
    <w:rsid w:val="00E94E10"/>
    <w:rsid w:val="00E954BD"/>
    <w:rsid w:val="00E96743"/>
    <w:rsid w:val="00E96A42"/>
    <w:rsid w:val="00EA0A36"/>
    <w:rsid w:val="00EA49C5"/>
    <w:rsid w:val="00EB1C1C"/>
    <w:rsid w:val="00EB5027"/>
    <w:rsid w:val="00EC0F83"/>
    <w:rsid w:val="00EC1836"/>
    <w:rsid w:val="00EC3990"/>
    <w:rsid w:val="00EC484B"/>
    <w:rsid w:val="00ED15FA"/>
    <w:rsid w:val="00ED1E00"/>
    <w:rsid w:val="00EE228F"/>
    <w:rsid w:val="00EE238D"/>
    <w:rsid w:val="00EE6E9A"/>
    <w:rsid w:val="00EF0BF1"/>
    <w:rsid w:val="00EF27DA"/>
    <w:rsid w:val="00EF2AC4"/>
    <w:rsid w:val="00EF397E"/>
    <w:rsid w:val="00F06F68"/>
    <w:rsid w:val="00F10025"/>
    <w:rsid w:val="00F1332D"/>
    <w:rsid w:val="00F1534B"/>
    <w:rsid w:val="00F160F3"/>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113D6B"/>
    <w:rsid w:val="017B1BF9"/>
    <w:rsid w:val="0196601E"/>
    <w:rsid w:val="01C163EB"/>
    <w:rsid w:val="01D152A8"/>
    <w:rsid w:val="01E93A1B"/>
    <w:rsid w:val="01EF13EE"/>
    <w:rsid w:val="01FB0654"/>
    <w:rsid w:val="01FD609D"/>
    <w:rsid w:val="0214602E"/>
    <w:rsid w:val="02151639"/>
    <w:rsid w:val="021A39A0"/>
    <w:rsid w:val="0236335D"/>
    <w:rsid w:val="02421D02"/>
    <w:rsid w:val="024D6610"/>
    <w:rsid w:val="02502671"/>
    <w:rsid w:val="02533F0F"/>
    <w:rsid w:val="02555ED9"/>
    <w:rsid w:val="026003DA"/>
    <w:rsid w:val="0264611C"/>
    <w:rsid w:val="02705C0D"/>
    <w:rsid w:val="0284056C"/>
    <w:rsid w:val="0293255D"/>
    <w:rsid w:val="02BE1CC4"/>
    <w:rsid w:val="02C1356F"/>
    <w:rsid w:val="02C60B85"/>
    <w:rsid w:val="02D7069C"/>
    <w:rsid w:val="02DC5124"/>
    <w:rsid w:val="02F92D08"/>
    <w:rsid w:val="030A6CC4"/>
    <w:rsid w:val="031514EA"/>
    <w:rsid w:val="032064E7"/>
    <w:rsid w:val="03244E14"/>
    <w:rsid w:val="032F04D8"/>
    <w:rsid w:val="03486B27"/>
    <w:rsid w:val="034E127F"/>
    <w:rsid w:val="035D4076"/>
    <w:rsid w:val="03637E2C"/>
    <w:rsid w:val="03655CA8"/>
    <w:rsid w:val="03675EC4"/>
    <w:rsid w:val="039B5B6E"/>
    <w:rsid w:val="03A367D0"/>
    <w:rsid w:val="03D80B70"/>
    <w:rsid w:val="03E05C76"/>
    <w:rsid w:val="03EA08A3"/>
    <w:rsid w:val="040A094E"/>
    <w:rsid w:val="04180F6C"/>
    <w:rsid w:val="043A5387"/>
    <w:rsid w:val="045D20E3"/>
    <w:rsid w:val="04730C2E"/>
    <w:rsid w:val="047F0912"/>
    <w:rsid w:val="04800E71"/>
    <w:rsid w:val="049525BD"/>
    <w:rsid w:val="049B394B"/>
    <w:rsid w:val="04A62A1C"/>
    <w:rsid w:val="04A942BA"/>
    <w:rsid w:val="04B70785"/>
    <w:rsid w:val="04D255BF"/>
    <w:rsid w:val="04D37502"/>
    <w:rsid w:val="04D94B9F"/>
    <w:rsid w:val="04E4640D"/>
    <w:rsid w:val="05107E95"/>
    <w:rsid w:val="051200B1"/>
    <w:rsid w:val="05263B5D"/>
    <w:rsid w:val="052851DF"/>
    <w:rsid w:val="056F201D"/>
    <w:rsid w:val="057307FC"/>
    <w:rsid w:val="0581398B"/>
    <w:rsid w:val="058D5463"/>
    <w:rsid w:val="059D5A0A"/>
    <w:rsid w:val="05A607FA"/>
    <w:rsid w:val="05AB7BBE"/>
    <w:rsid w:val="05B664D4"/>
    <w:rsid w:val="05D215EF"/>
    <w:rsid w:val="05DB66F5"/>
    <w:rsid w:val="06021ED4"/>
    <w:rsid w:val="060C4B01"/>
    <w:rsid w:val="060F2843"/>
    <w:rsid w:val="06135E8F"/>
    <w:rsid w:val="062B705F"/>
    <w:rsid w:val="0636392C"/>
    <w:rsid w:val="0648365F"/>
    <w:rsid w:val="064B485A"/>
    <w:rsid w:val="065A1D10"/>
    <w:rsid w:val="06824DC3"/>
    <w:rsid w:val="068A3FBA"/>
    <w:rsid w:val="068C65C4"/>
    <w:rsid w:val="06B331CE"/>
    <w:rsid w:val="06BF7DC5"/>
    <w:rsid w:val="06CE0F77"/>
    <w:rsid w:val="06CF4373"/>
    <w:rsid w:val="06D04EAE"/>
    <w:rsid w:val="06E05782"/>
    <w:rsid w:val="06F51A39"/>
    <w:rsid w:val="06FC0156"/>
    <w:rsid w:val="07076C01"/>
    <w:rsid w:val="070D4F0F"/>
    <w:rsid w:val="071C12AC"/>
    <w:rsid w:val="07302A71"/>
    <w:rsid w:val="075948A2"/>
    <w:rsid w:val="07610E7C"/>
    <w:rsid w:val="078F7797"/>
    <w:rsid w:val="07A934B3"/>
    <w:rsid w:val="07AA637F"/>
    <w:rsid w:val="07AB0D60"/>
    <w:rsid w:val="07B119FB"/>
    <w:rsid w:val="07C03DF5"/>
    <w:rsid w:val="07EB6287"/>
    <w:rsid w:val="07EC4BEA"/>
    <w:rsid w:val="0806421B"/>
    <w:rsid w:val="080B2B96"/>
    <w:rsid w:val="08336121"/>
    <w:rsid w:val="08346591"/>
    <w:rsid w:val="0837398B"/>
    <w:rsid w:val="08534C69"/>
    <w:rsid w:val="085409E1"/>
    <w:rsid w:val="0854453D"/>
    <w:rsid w:val="08566507"/>
    <w:rsid w:val="0870581B"/>
    <w:rsid w:val="08777BCA"/>
    <w:rsid w:val="088210AA"/>
    <w:rsid w:val="08D5567E"/>
    <w:rsid w:val="08DB6A0C"/>
    <w:rsid w:val="08E104C7"/>
    <w:rsid w:val="08F54FFF"/>
    <w:rsid w:val="08FC0E5C"/>
    <w:rsid w:val="09042C49"/>
    <w:rsid w:val="09151F1E"/>
    <w:rsid w:val="09173EE8"/>
    <w:rsid w:val="09442803"/>
    <w:rsid w:val="095567BF"/>
    <w:rsid w:val="09581E0B"/>
    <w:rsid w:val="095A2027"/>
    <w:rsid w:val="095F763D"/>
    <w:rsid w:val="09731DF0"/>
    <w:rsid w:val="0980799C"/>
    <w:rsid w:val="098470A4"/>
    <w:rsid w:val="09944B8E"/>
    <w:rsid w:val="09975029"/>
    <w:rsid w:val="09D41DD9"/>
    <w:rsid w:val="09D678FF"/>
    <w:rsid w:val="09DD3006"/>
    <w:rsid w:val="09E84F7C"/>
    <w:rsid w:val="09ED69F7"/>
    <w:rsid w:val="0A0855DF"/>
    <w:rsid w:val="0A1641A0"/>
    <w:rsid w:val="0A2148F3"/>
    <w:rsid w:val="0A546A76"/>
    <w:rsid w:val="0A6A18DB"/>
    <w:rsid w:val="0A777282"/>
    <w:rsid w:val="0A80786B"/>
    <w:rsid w:val="0A8403DC"/>
    <w:rsid w:val="0A975B48"/>
    <w:rsid w:val="0AB87005"/>
    <w:rsid w:val="0AC57BE3"/>
    <w:rsid w:val="0AD32091"/>
    <w:rsid w:val="0AEE2A27"/>
    <w:rsid w:val="0AEF3828"/>
    <w:rsid w:val="0B156206"/>
    <w:rsid w:val="0B16263E"/>
    <w:rsid w:val="0B1B1342"/>
    <w:rsid w:val="0B1B7594"/>
    <w:rsid w:val="0B3800E6"/>
    <w:rsid w:val="0B406381"/>
    <w:rsid w:val="0B505490"/>
    <w:rsid w:val="0B7218AA"/>
    <w:rsid w:val="0B786794"/>
    <w:rsid w:val="0B8B471A"/>
    <w:rsid w:val="0B8E7D66"/>
    <w:rsid w:val="0B9B38BA"/>
    <w:rsid w:val="0BA53A2D"/>
    <w:rsid w:val="0BB2614A"/>
    <w:rsid w:val="0BB452AA"/>
    <w:rsid w:val="0BBB665B"/>
    <w:rsid w:val="0BBC48D3"/>
    <w:rsid w:val="0BBF6171"/>
    <w:rsid w:val="0BF73B5D"/>
    <w:rsid w:val="0C0A7D34"/>
    <w:rsid w:val="0C126BE9"/>
    <w:rsid w:val="0C230DF6"/>
    <w:rsid w:val="0C2A3F33"/>
    <w:rsid w:val="0C373B83"/>
    <w:rsid w:val="0C4A1EDF"/>
    <w:rsid w:val="0C7D22B4"/>
    <w:rsid w:val="0C7D2327"/>
    <w:rsid w:val="0C9B3E1C"/>
    <w:rsid w:val="0CA6624D"/>
    <w:rsid w:val="0CB97065"/>
    <w:rsid w:val="0D077A23"/>
    <w:rsid w:val="0D0C3638"/>
    <w:rsid w:val="0D6671EC"/>
    <w:rsid w:val="0D7D4536"/>
    <w:rsid w:val="0DA17BFD"/>
    <w:rsid w:val="0DAB4BFF"/>
    <w:rsid w:val="0DAD0977"/>
    <w:rsid w:val="0DC12675"/>
    <w:rsid w:val="0DC857B1"/>
    <w:rsid w:val="0DE16873"/>
    <w:rsid w:val="0E124C7E"/>
    <w:rsid w:val="0E233E16"/>
    <w:rsid w:val="0E250E55"/>
    <w:rsid w:val="0E2624D8"/>
    <w:rsid w:val="0E576B35"/>
    <w:rsid w:val="0E5E4367"/>
    <w:rsid w:val="0E647EF4"/>
    <w:rsid w:val="0EC3241C"/>
    <w:rsid w:val="0EC35F79"/>
    <w:rsid w:val="0ED4462A"/>
    <w:rsid w:val="0ED62150"/>
    <w:rsid w:val="0ED87C48"/>
    <w:rsid w:val="0EDE6948"/>
    <w:rsid w:val="0EEA6FC1"/>
    <w:rsid w:val="0F2E7896"/>
    <w:rsid w:val="0F30565D"/>
    <w:rsid w:val="0F752504"/>
    <w:rsid w:val="0F790928"/>
    <w:rsid w:val="0F7C2CF7"/>
    <w:rsid w:val="0F87344A"/>
    <w:rsid w:val="0F8A6A96"/>
    <w:rsid w:val="0F9C6EF5"/>
    <w:rsid w:val="0F9D4A1B"/>
    <w:rsid w:val="0FAE4E7B"/>
    <w:rsid w:val="0FB029A1"/>
    <w:rsid w:val="0FBA737B"/>
    <w:rsid w:val="0FD50659"/>
    <w:rsid w:val="0FD52407"/>
    <w:rsid w:val="0FDA1211"/>
    <w:rsid w:val="0FDD12BC"/>
    <w:rsid w:val="10384339"/>
    <w:rsid w:val="104650B3"/>
    <w:rsid w:val="104D4694"/>
    <w:rsid w:val="10725EA8"/>
    <w:rsid w:val="107734BE"/>
    <w:rsid w:val="10AF34A1"/>
    <w:rsid w:val="10CD72BB"/>
    <w:rsid w:val="10CF32FA"/>
    <w:rsid w:val="10DB57FB"/>
    <w:rsid w:val="110034B4"/>
    <w:rsid w:val="11092E2A"/>
    <w:rsid w:val="11140068"/>
    <w:rsid w:val="111725AC"/>
    <w:rsid w:val="11254CC9"/>
    <w:rsid w:val="114710E3"/>
    <w:rsid w:val="114C04A7"/>
    <w:rsid w:val="114E06C3"/>
    <w:rsid w:val="114F61E9"/>
    <w:rsid w:val="11643A43"/>
    <w:rsid w:val="11AE1162"/>
    <w:rsid w:val="11BD13A5"/>
    <w:rsid w:val="11CE6738"/>
    <w:rsid w:val="11D010D8"/>
    <w:rsid w:val="11E86C12"/>
    <w:rsid w:val="11EC4A4F"/>
    <w:rsid w:val="11FF19BD"/>
    <w:rsid w:val="12197477"/>
    <w:rsid w:val="121A05A5"/>
    <w:rsid w:val="121E0096"/>
    <w:rsid w:val="124318AA"/>
    <w:rsid w:val="124B4C03"/>
    <w:rsid w:val="12577104"/>
    <w:rsid w:val="12703084"/>
    <w:rsid w:val="12704669"/>
    <w:rsid w:val="127A1044"/>
    <w:rsid w:val="12876C72"/>
    <w:rsid w:val="129E4D32"/>
    <w:rsid w:val="12B72298"/>
    <w:rsid w:val="12C45042"/>
    <w:rsid w:val="13054DB2"/>
    <w:rsid w:val="130D3C66"/>
    <w:rsid w:val="13166FBF"/>
    <w:rsid w:val="13182D37"/>
    <w:rsid w:val="131B5CD3"/>
    <w:rsid w:val="13201BEB"/>
    <w:rsid w:val="132316DC"/>
    <w:rsid w:val="1340403C"/>
    <w:rsid w:val="13474ECD"/>
    <w:rsid w:val="13484F1B"/>
    <w:rsid w:val="135670F6"/>
    <w:rsid w:val="135B0E75"/>
    <w:rsid w:val="13776448"/>
    <w:rsid w:val="138F0B1F"/>
    <w:rsid w:val="139A17E1"/>
    <w:rsid w:val="139B3968"/>
    <w:rsid w:val="13A04ADA"/>
    <w:rsid w:val="13A50343"/>
    <w:rsid w:val="13A520F1"/>
    <w:rsid w:val="13BD743A"/>
    <w:rsid w:val="13C42DEB"/>
    <w:rsid w:val="13F35552"/>
    <w:rsid w:val="14116341"/>
    <w:rsid w:val="14281A18"/>
    <w:rsid w:val="14294AD0"/>
    <w:rsid w:val="1466407E"/>
    <w:rsid w:val="147C5547"/>
    <w:rsid w:val="147E306D"/>
    <w:rsid w:val="14834E28"/>
    <w:rsid w:val="148D7C37"/>
    <w:rsid w:val="148E7D65"/>
    <w:rsid w:val="14A01236"/>
    <w:rsid w:val="14A66120"/>
    <w:rsid w:val="14AD3BD1"/>
    <w:rsid w:val="14AF0EEB"/>
    <w:rsid w:val="14BE009A"/>
    <w:rsid w:val="14C842E9"/>
    <w:rsid w:val="14DD6D72"/>
    <w:rsid w:val="14E07884"/>
    <w:rsid w:val="14ED3D4F"/>
    <w:rsid w:val="15015A4D"/>
    <w:rsid w:val="150D2643"/>
    <w:rsid w:val="151618FD"/>
    <w:rsid w:val="152139F9"/>
    <w:rsid w:val="15231BF9"/>
    <w:rsid w:val="15237771"/>
    <w:rsid w:val="153544B2"/>
    <w:rsid w:val="15393438"/>
    <w:rsid w:val="15543DCE"/>
    <w:rsid w:val="15655FDB"/>
    <w:rsid w:val="15715DE2"/>
    <w:rsid w:val="157F52EF"/>
    <w:rsid w:val="159B19FD"/>
    <w:rsid w:val="15AF7257"/>
    <w:rsid w:val="15B50D11"/>
    <w:rsid w:val="15BB3E4D"/>
    <w:rsid w:val="15C4546D"/>
    <w:rsid w:val="15DF5D8E"/>
    <w:rsid w:val="16315EBE"/>
    <w:rsid w:val="166F0DDD"/>
    <w:rsid w:val="1672275E"/>
    <w:rsid w:val="16881F81"/>
    <w:rsid w:val="17005FBC"/>
    <w:rsid w:val="171E6CB2"/>
    <w:rsid w:val="17345C65"/>
    <w:rsid w:val="174165D4"/>
    <w:rsid w:val="175207E1"/>
    <w:rsid w:val="175A79B7"/>
    <w:rsid w:val="176C18A3"/>
    <w:rsid w:val="176C53FF"/>
    <w:rsid w:val="177B063A"/>
    <w:rsid w:val="17810A74"/>
    <w:rsid w:val="17852965"/>
    <w:rsid w:val="1787048B"/>
    <w:rsid w:val="179B1456"/>
    <w:rsid w:val="17A32DEB"/>
    <w:rsid w:val="17A607FA"/>
    <w:rsid w:val="17C335BE"/>
    <w:rsid w:val="17C3523B"/>
    <w:rsid w:val="17D80CE7"/>
    <w:rsid w:val="17E10902"/>
    <w:rsid w:val="1801672D"/>
    <w:rsid w:val="180C6BE2"/>
    <w:rsid w:val="18197B08"/>
    <w:rsid w:val="181B6E25"/>
    <w:rsid w:val="18243F2C"/>
    <w:rsid w:val="1833100A"/>
    <w:rsid w:val="183F7734"/>
    <w:rsid w:val="18860BB9"/>
    <w:rsid w:val="1888635B"/>
    <w:rsid w:val="18914C4B"/>
    <w:rsid w:val="18B057C0"/>
    <w:rsid w:val="18D55226"/>
    <w:rsid w:val="18F03E0E"/>
    <w:rsid w:val="18F338FE"/>
    <w:rsid w:val="18F36CB9"/>
    <w:rsid w:val="18F63C61"/>
    <w:rsid w:val="19063631"/>
    <w:rsid w:val="190B4BB3"/>
    <w:rsid w:val="191044B0"/>
    <w:rsid w:val="1923211F"/>
    <w:rsid w:val="192835A8"/>
    <w:rsid w:val="19434886"/>
    <w:rsid w:val="194859F8"/>
    <w:rsid w:val="197E58BE"/>
    <w:rsid w:val="198F1879"/>
    <w:rsid w:val="199D3F96"/>
    <w:rsid w:val="19A05834"/>
    <w:rsid w:val="19B412DF"/>
    <w:rsid w:val="19B82815"/>
    <w:rsid w:val="19D159ED"/>
    <w:rsid w:val="19ED59E3"/>
    <w:rsid w:val="1A004525"/>
    <w:rsid w:val="1A064976"/>
    <w:rsid w:val="1A22449B"/>
    <w:rsid w:val="1A2E2E40"/>
    <w:rsid w:val="1A3B68AA"/>
    <w:rsid w:val="1A3E1C1E"/>
    <w:rsid w:val="1A3F3860"/>
    <w:rsid w:val="1A400DC5"/>
    <w:rsid w:val="1A635E59"/>
    <w:rsid w:val="1A6B6620"/>
    <w:rsid w:val="1A7320E1"/>
    <w:rsid w:val="1A826463"/>
    <w:rsid w:val="1A8567D8"/>
    <w:rsid w:val="1A9A64D7"/>
    <w:rsid w:val="1AC90E32"/>
    <w:rsid w:val="1ACB580B"/>
    <w:rsid w:val="1ADF5161"/>
    <w:rsid w:val="1AE75377"/>
    <w:rsid w:val="1AE9320B"/>
    <w:rsid w:val="1AED2CFB"/>
    <w:rsid w:val="1AEE0821"/>
    <w:rsid w:val="1AF000F5"/>
    <w:rsid w:val="1AFD0A64"/>
    <w:rsid w:val="1B356450"/>
    <w:rsid w:val="1B4641B9"/>
    <w:rsid w:val="1B544B28"/>
    <w:rsid w:val="1B5543FC"/>
    <w:rsid w:val="1B6F4F40"/>
    <w:rsid w:val="1BAD248A"/>
    <w:rsid w:val="1BB47375"/>
    <w:rsid w:val="1BD33CD1"/>
    <w:rsid w:val="1BFC2ACA"/>
    <w:rsid w:val="1C141836"/>
    <w:rsid w:val="1C1B5646"/>
    <w:rsid w:val="1C22228A"/>
    <w:rsid w:val="1C2D7127"/>
    <w:rsid w:val="1C2F10F1"/>
    <w:rsid w:val="1C427C25"/>
    <w:rsid w:val="1C76537D"/>
    <w:rsid w:val="1C7A05BE"/>
    <w:rsid w:val="1C7F5BD5"/>
    <w:rsid w:val="1C9378D2"/>
    <w:rsid w:val="1CA90EA4"/>
    <w:rsid w:val="1CC23D13"/>
    <w:rsid w:val="1D04432C"/>
    <w:rsid w:val="1D5C35B1"/>
    <w:rsid w:val="1D994A74"/>
    <w:rsid w:val="1D9C3202"/>
    <w:rsid w:val="1DD71A40"/>
    <w:rsid w:val="1DE3384A"/>
    <w:rsid w:val="1DFC2844"/>
    <w:rsid w:val="1E321DEE"/>
    <w:rsid w:val="1E4946EC"/>
    <w:rsid w:val="1E4C6A51"/>
    <w:rsid w:val="1E5B441F"/>
    <w:rsid w:val="1E6B6A14"/>
    <w:rsid w:val="1E7159F1"/>
    <w:rsid w:val="1E766B63"/>
    <w:rsid w:val="1E831280"/>
    <w:rsid w:val="1E911BEF"/>
    <w:rsid w:val="1E935967"/>
    <w:rsid w:val="1EA638ED"/>
    <w:rsid w:val="1EAF6816"/>
    <w:rsid w:val="1EC91389"/>
    <w:rsid w:val="1EEB2065"/>
    <w:rsid w:val="1F093390"/>
    <w:rsid w:val="1F1D16D5"/>
    <w:rsid w:val="1F7C464D"/>
    <w:rsid w:val="1F8452B0"/>
    <w:rsid w:val="1F90634B"/>
    <w:rsid w:val="1F925E84"/>
    <w:rsid w:val="1FA616CA"/>
    <w:rsid w:val="1FB913FE"/>
    <w:rsid w:val="1FCD4EA9"/>
    <w:rsid w:val="1FE8583F"/>
    <w:rsid w:val="202251F5"/>
    <w:rsid w:val="202A22FB"/>
    <w:rsid w:val="203211B0"/>
    <w:rsid w:val="20354CAD"/>
    <w:rsid w:val="204A64FA"/>
    <w:rsid w:val="20550D9A"/>
    <w:rsid w:val="20586E69"/>
    <w:rsid w:val="206C0DC9"/>
    <w:rsid w:val="2079045C"/>
    <w:rsid w:val="20875058"/>
    <w:rsid w:val="20A34C1D"/>
    <w:rsid w:val="20C21447"/>
    <w:rsid w:val="20CA3197"/>
    <w:rsid w:val="20D34741"/>
    <w:rsid w:val="20DB35F6"/>
    <w:rsid w:val="20E34258"/>
    <w:rsid w:val="20EB1A8B"/>
    <w:rsid w:val="20F12E19"/>
    <w:rsid w:val="2146418E"/>
    <w:rsid w:val="217F43F5"/>
    <w:rsid w:val="218617B3"/>
    <w:rsid w:val="218B2455"/>
    <w:rsid w:val="218D65B2"/>
    <w:rsid w:val="218E2416"/>
    <w:rsid w:val="21DA565B"/>
    <w:rsid w:val="21DE514B"/>
    <w:rsid w:val="21EB5ABA"/>
    <w:rsid w:val="21F66585"/>
    <w:rsid w:val="21F93D33"/>
    <w:rsid w:val="220D3C83"/>
    <w:rsid w:val="221C5C74"/>
    <w:rsid w:val="223E3E3C"/>
    <w:rsid w:val="22405E06"/>
    <w:rsid w:val="224156DA"/>
    <w:rsid w:val="22453613"/>
    <w:rsid w:val="224B131B"/>
    <w:rsid w:val="226338A3"/>
    <w:rsid w:val="226915FE"/>
    <w:rsid w:val="22765384"/>
    <w:rsid w:val="22873A35"/>
    <w:rsid w:val="22AF36BC"/>
    <w:rsid w:val="22D81547"/>
    <w:rsid w:val="22DF561F"/>
    <w:rsid w:val="22E91FFA"/>
    <w:rsid w:val="230B6414"/>
    <w:rsid w:val="231559B0"/>
    <w:rsid w:val="232748D0"/>
    <w:rsid w:val="23354C0F"/>
    <w:rsid w:val="23354FAF"/>
    <w:rsid w:val="234611FA"/>
    <w:rsid w:val="235D4796"/>
    <w:rsid w:val="23810484"/>
    <w:rsid w:val="23865751"/>
    <w:rsid w:val="23957A8C"/>
    <w:rsid w:val="23AE4FF1"/>
    <w:rsid w:val="23B4085A"/>
    <w:rsid w:val="23BF71FF"/>
    <w:rsid w:val="23D26F32"/>
    <w:rsid w:val="241804A5"/>
    <w:rsid w:val="24323E94"/>
    <w:rsid w:val="244514B2"/>
    <w:rsid w:val="24455956"/>
    <w:rsid w:val="24612064"/>
    <w:rsid w:val="24653902"/>
    <w:rsid w:val="246B024F"/>
    <w:rsid w:val="249B37C8"/>
    <w:rsid w:val="24A30154"/>
    <w:rsid w:val="24A361D8"/>
    <w:rsid w:val="24B91EA0"/>
    <w:rsid w:val="24B97929"/>
    <w:rsid w:val="24CD3A89"/>
    <w:rsid w:val="24D632D7"/>
    <w:rsid w:val="24D942F0"/>
    <w:rsid w:val="24F904EE"/>
    <w:rsid w:val="25050C41"/>
    <w:rsid w:val="250B703F"/>
    <w:rsid w:val="25714529"/>
    <w:rsid w:val="257B0F03"/>
    <w:rsid w:val="258778A8"/>
    <w:rsid w:val="2593449F"/>
    <w:rsid w:val="25B04809"/>
    <w:rsid w:val="25B508B9"/>
    <w:rsid w:val="25C46DB6"/>
    <w:rsid w:val="26222E1C"/>
    <w:rsid w:val="262477ED"/>
    <w:rsid w:val="263F0183"/>
    <w:rsid w:val="26413EFB"/>
    <w:rsid w:val="26415CA9"/>
    <w:rsid w:val="267A080E"/>
    <w:rsid w:val="267B565F"/>
    <w:rsid w:val="26B96187"/>
    <w:rsid w:val="26CF1507"/>
    <w:rsid w:val="26D54A07"/>
    <w:rsid w:val="26DF652C"/>
    <w:rsid w:val="26E1123A"/>
    <w:rsid w:val="26EB02E7"/>
    <w:rsid w:val="273454EE"/>
    <w:rsid w:val="276300C2"/>
    <w:rsid w:val="278B7B24"/>
    <w:rsid w:val="27962024"/>
    <w:rsid w:val="27B0758A"/>
    <w:rsid w:val="27BA5D13"/>
    <w:rsid w:val="27C47BBF"/>
    <w:rsid w:val="27CB4523"/>
    <w:rsid w:val="27D65DBA"/>
    <w:rsid w:val="27F07987"/>
    <w:rsid w:val="27F6425C"/>
    <w:rsid w:val="27FC632B"/>
    <w:rsid w:val="28125B80"/>
    <w:rsid w:val="281573ED"/>
    <w:rsid w:val="28187A54"/>
    <w:rsid w:val="281C4C20"/>
    <w:rsid w:val="282263C6"/>
    <w:rsid w:val="282765F6"/>
    <w:rsid w:val="282C4737"/>
    <w:rsid w:val="283C0E1E"/>
    <w:rsid w:val="285F40CA"/>
    <w:rsid w:val="286B525F"/>
    <w:rsid w:val="286D0A2B"/>
    <w:rsid w:val="286F3D2A"/>
    <w:rsid w:val="287C56BE"/>
    <w:rsid w:val="289E1AF0"/>
    <w:rsid w:val="28A349F9"/>
    <w:rsid w:val="28A6273B"/>
    <w:rsid w:val="28BA1D43"/>
    <w:rsid w:val="28C01ECB"/>
    <w:rsid w:val="28CA642A"/>
    <w:rsid w:val="28E31299"/>
    <w:rsid w:val="28EA5230"/>
    <w:rsid w:val="290556B4"/>
    <w:rsid w:val="291B6C85"/>
    <w:rsid w:val="29253660"/>
    <w:rsid w:val="293B10D5"/>
    <w:rsid w:val="295959FF"/>
    <w:rsid w:val="296C128F"/>
    <w:rsid w:val="2976210D"/>
    <w:rsid w:val="29A529F3"/>
    <w:rsid w:val="29AE5D4B"/>
    <w:rsid w:val="29BA4E20"/>
    <w:rsid w:val="29BB2216"/>
    <w:rsid w:val="29BF71E3"/>
    <w:rsid w:val="29D137E8"/>
    <w:rsid w:val="29D23098"/>
    <w:rsid w:val="29D6387F"/>
    <w:rsid w:val="29E4176D"/>
    <w:rsid w:val="29FA4AED"/>
    <w:rsid w:val="2A077209"/>
    <w:rsid w:val="2A0911D4"/>
    <w:rsid w:val="2A0D0CC4"/>
    <w:rsid w:val="2A0E0598"/>
    <w:rsid w:val="2A127B63"/>
    <w:rsid w:val="2A451A6C"/>
    <w:rsid w:val="2A952A67"/>
    <w:rsid w:val="2AAA4765"/>
    <w:rsid w:val="2AAA6513"/>
    <w:rsid w:val="2AAD7DB1"/>
    <w:rsid w:val="2AB32EED"/>
    <w:rsid w:val="2AB45B29"/>
    <w:rsid w:val="2ABD336D"/>
    <w:rsid w:val="2AC023F8"/>
    <w:rsid w:val="2AC21606"/>
    <w:rsid w:val="2AD03A9F"/>
    <w:rsid w:val="2AD92954"/>
    <w:rsid w:val="2ADA1047"/>
    <w:rsid w:val="2ADB4195"/>
    <w:rsid w:val="2B006133"/>
    <w:rsid w:val="2B157978"/>
    <w:rsid w:val="2B193CEA"/>
    <w:rsid w:val="2B367DA6"/>
    <w:rsid w:val="2B3948A4"/>
    <w:rsid w:val="2B407164"/>
    <w:rsid w:val="2B45623B"/>
    <w:rsid w:val="2B560448"/>
    <w:rsid w:val="2B6A3EF4"/>
    <w:rsid w:val="2B6F1B0C"/>
    <w:rsid w:val="2B797C70"/>
    <w:rsid w:val="2B7B16EA"/>
    <w:rsid w:val="2B7E7608"/>
    <w:rsid w:val="2B7F04E9"/>
    <w:rsid w:val="2B8B554A"/>
    <w:rsid w:val="2B8C3E6A"/>
    <w:rsid w:val="2BAE2642"/>
    <w:rsid w:val="2BF73289"/>
    <w:rsid w:val="2C481620"/>
    <w:rsid w:val="2C4D184B"/>
    <w:rsid w:val="2C5A5D16"/>
    <w:rsid w:val="2C6447CC"/>
    <w:rsid w:val="2C6B7F24"/>
    <w:rsid w:val="2C932FD6"/>
    <w:rsid w:val="2C9D1200"/>
    <w:rsid w:val="2CA174A1"/>
    <w:rsid w:val="2CA376BD"/>
    <w:rsid w:val="2CEF2903"/>
    <w:rsid w:val="2CF241A1"/>
    <w:rsid w:val="2D096369"/>
    <w:rsid w:val="2D2F71A3"/>
    <w:rsid w:val="2D340315"/>
    <w:rsid w:val="2D3622E0"/>
    <w:rsid w:val="2D393B7E"/>
    <w:rsid w:val="2D496D68"/>
    <w:rsid w:val="2D5664DE"/>
    <w:rsid w:val="2D903FCE"/>
    <w:rsid w:val="2D9214E0"/>
    <w:rsid w:val="2D986AF6"/>
    <w:rsid w:val="2D9E1C33"/>
    <w:rsid w:val="2DA07759"/>
    <w:rsid w:val="2DAB4B91"/>
    <w:rsid w:val="2DC72F38"/>
    <w:rsid w:val="2DCB13B7"/>
    <w:rsid w:val="2DD92C6B"/>
    <w:rsid w:val="2DDD09AD"/>
    <w:rsid w:val="2E0E0B66"/>
    <w:rsid w:val="2E1F2D74"/>
    <w:rsid w:val="2E301A53"/>
    <w:rsid w:val="2E344345"/>
    <w:rsid w:val="2E693FEF"/>
    <w:rsid w:val="2E6E7857"/>
    <w:rsid w:val="2E7A26A0"/>
    <w:rsid w:val="2E7A48DE"/>
    <w:rsid w:val="2EA80FBB"/>
    <w:rsid w:val="2EAD26D5"/>
    <w:rsid w:val="2EBA5177"/>
    <w:rsid w:val="2EDC3ED8"/>
    <w:rsid w:val="2EEB0EA8"/>
    <w:rsid w:val="2F0957D2"/>
    <w:rsid w:val="2F104B00"/>
    <w:rsid w:val="2F394AE9"/>
    <w:rsid w:val="2F4131BE"/>
    <w:rsid w:val="2F6351B4"/>
    <w:rsid w:val="2F650C5A"/>
    <w:rsid w:val="2F715851"/>
    <w:rsid w:val="2F776BDF"/>
    <w:rsid w:val="2F8512FC"/>
    <w:rsid w:val="2F893B54"/>
    <w:rsid w:val="2F8A6913"/>
    <w:rsid w:val="2F8E3583"/>
    <w:rsid w:val="2F967065"/>
    <w:rsid w:val="2FBA2D44"/>
    <w:rsid w:val="2FC86126"/>
    <w:rsid w:val="2FCF199E"/>
    <w:rsid w:val="2FD44032"/>
    <w:rsid w:val="2FDD4C94"/>
    <w:rsid w:val="30297EDA"/>
    <w:rsid w:val="302C1778"/>
    <w:rsid w:val="302E54F0"/>
    <w:rsid w:val="303348B4"/>
    <w:rsid w:val="30336FAA"/>
    <w:rsid w:val="3038011D"/>
    <w:rsid w:val="30446AC1"/>
    <w:rsid w:val="30483E83"/>
    <w:rsid w:val="305B3E0B"/>
    <w:rsid w:val="30731155"/>
    <w:rsid w:val="307F5D4C"/>
    <w:rsid w:val="3082583C"/>
    <w:rsid w:val="308B0B94"/>
    <w:rsid w:val="30A752A2"/>
    <w:rsid w:val="30BC6FA0"/>
    <w:rsid w:val="30BF3991"/>
    <w:rsid w:val="30DC4F4C"/>
    <w:rsid w:val="30E43E01"/>
    <w:rsid w:val="30E958BB"/>
    <w:rsid w:val="30F2476F"/>
    <w:rsid w:val="30FF0C3A"/>
    <w:rsid w:val="310A77EA"/>
    <w:rsid w:val="310D3357"/>
    <w:rsid w:val="3111619A"/>
    <w:rsid w:val="312E1520"/>
    <w:rsid w:val="31592A40"/>
    <w:rsid w:val="31717D8A"/>
    <w:rsid w:val="3175714F"/>
    <w:rsid w:val="319E48F7"/>
    <w:rsid w:val="31A041CB"/>
    <w:rsid w:val="31B139DC"/>
    <w:rsid w:val="31C679AA"/>
    <w:rsid w:val="31D43E75"/>
    <w:rsid w:val="31F67F93"/>
    <w:rsid w:val="31F84007"/>
    <w:rsid w:val="31FF3857"/>
    <w:rsid w:val="32002EBC"/>
    <w:rsid w:val="32190CCA"/>
    <w:rsid w:val="32195D2C"/>
    <w:rsid w:val="322A7F39"/>
    <w:rsid w:val="323A6DD2"/>
    <w:rsid w:val="323F1C36"/>
    <w:rsid w:val="32497AF3"/>
    <w:rsid w:val="326140EC"/>
    <w:rsid w:val="326E7E26"/>
    <w:rsid w:val="327F4D4C"/>
    <w:rsid w:val="3281224F"/>
    <w:rsid w:val="328E671A"/>
    <w:rsid w:val="32957AA8"/>
    <w:rsid w:val="32AA5369"/>
    <w:rsid w:val="32B617CD"/>
    <w:rsid w:val="32D14858"/>
    <w:rsid w:val="32EE540A"/>
    <w:rsid w:val="330469DC"/>
    <w:rsid w:val="330E33B7"/>
    <w:rsid w:val="331F55C4"/>
    <w:rsid w:val="332350B4"/>
    <w:rsid w:val="33386686"/>
    <w:rsid w:val="33615BDC"/>
    <w:rsid w:val="33753436"/>
    <w:rsid w:val="337E22EA"/>
    <w:rsid w:val="338E62A6"/>
    <w:rsid w:val="33A855B9"/>
    <w:rsid w:val="340D7B12"/>
    <w:rsid w:val="3422536C"/>
    <w:rsid w:val="34232E92"/>
    <w:rsid w:val="342C5A0F"/>
    <w:rsid w:val="343B642D"/>
    <w:rsid w:val="343C0775"/>
    <w:rsid w:val="346516FC"/>
    <w:rsid w:val="346F0C3E"/>
    <w:rsid w:val="34713BFD"/>
    <w:rsid w:val="34942C32"/>
    <w:rsid w:val="34BF705E"/>
    <w:rsid w:val="34C04B85"/>
    <w:rsid w:val="34C5219B"/>
    <w:rsid w:val="35064C8D"/>
    <w:rsid w:val="350A4E69"/>
    <w:rsid w:val="351F7AFD"/>
    <w:rsid w:val="353C06AF"/>
    <w:rsid w:val="35470DB7"/>
    <w:rsid w:val="354D466A"/>
    <w:rsid w:val="3558300F"/>
    <w:rsid w:val="355830ED"/>
    <w:rsid w:val="355A28E3"/>
    <w:rsid w:val="356C50EC"/>
    <w:rsid w:val="35765470"/>
    <w:rsid w:val="35862EB6"/>
    <w:rsid w:val="358F542A"/>
    <w:rsid w:val="3598340C"/>
    <w:rsid w:val="35A3747F"/>
    <w:rsid w:val="35A973C7"/>
    <w:rsid w:val="35EA010B"/>
    <w:rsid w:val="35ED3757"/>
    <w:rsid w:val="35FE62D3"/>
    <w:rsid w:val="36022C46"/>
    <w:rsid w:val="360E0429"/>
    <w:rsid w:val="36137E45"/>
    <w:rsid w:val="36343134"/>
    <w:rsid w:val="36376E0A"/>
    <w:rsid w:val="366003CD"/>
    <w:rsid w:val="366D4898"/>
    <w:rsid w:val="366F0610"/>
    <w:rsid w:val="36723C5D"/>
    <w:rsid w:val="368F06C3"/>
    <w:rsid w:val="36965B9D"/>
    <w:rsid w:val="36BE6EA2"/>
    <w:rsid w:val="36CE17DB"/>
    <w:rsid w:val="36E0150E"/>
    <w:rsid w:val="36EE057B"/>
    <w:rsid w:val="3700166C"/>
    <w:rsid w:val="370074BA"/>
    <w:rsid w:val="370276D6"/>
    <w:rsid w:val="37111425"/>
    <w:rsid w:val="37144B54"/>
    <w:rsid w:val="3720190B"/>
    <w:rsid w:val="37256F21"/>
    <w:rsid w:val="374B1FF2"/>
    <w:rsid w:val="379A1012"/>
    <w:rsid w:val="379C3687"/>
    <w:rsid w:val="379E11AD"/>
    <w:rsid w:val="37A95DA4"/>
    <w:rsid w:val="37B704C1"/>
    <w:rsid w:val="37BC7885"/>
    <w:rsid w:val="37DF17C6"/>
    <w:rsid w:val="38042FDA"/>
    <w:rsid w:val="380562C5"/>
    <w:rsid w:val="380B4369"/>
    <w:rsid w:val="381551E7"/>
    <w:rsid w:val="38194CD8"/>
    <w:rsid w:val="381E6620"/>
    <w:rsid w:val="38233656"/>
    <w:rsid w:val="382C2F15"/>
    <w:rsid w:val="382E45C3"/>
    <w:rsid w:val="385939AA"/>
    <w:rsid w:val="38694EE9"/>
    <w:rsid w:val="38726196"/>
    <w:rsid w:val="387E56F1"/>
    <w:rsid w:val="38955068"/>
    <w:rsid w:val="38AC78FA"/>
    <w:rsid w:val="38BE13DB"/>
    <w:rsid w:val="38CC58A6"/>
    <w:rsid w:val="38E30E42"/>
    <w:rsid w:val="38EA0422"/>
    <w:rsid w:val="38EA11EE"/>
    <w:rsid w:val="38F372D7"/>
    <w:rsid w:val="38F66DC7"/>
    <w:rsid w:val="390E5EBF"/>
    <w:rsid w:val="3911775D"/>
    <w:rsid w:val="3915061C"/>
    <w:rsid w:val="391A2AB5"/>
    <w:rsid w:val="397F500E"/>
    <w:rsid w:val="3980268B"/>
    <w:rsid w:val="39822409"/>
    <w:rsid w:val="399A3BF6"/>
    <w:rsid w:val="39AB7BB1"/>
    <w:rsid w:val="39C40C73"/>
    <w:rsid w:val="39C46EC5"/>
    <w:rsid w:val="39C80763"/>
    <w:rsid w:val="39E3734B"/>
    <w:rsid w:val="39F07CBA"/>
    <w:rsid w:val="39FC040D"/>
    <w:rsid w:val="3A03179B"/>
    <w:rsid w:val="3A0A0D7C"/>
    <w:rsid w:val="3A1E073A"/>
    <w:rsid w:val="3A410516"/>
    <w:rsid w:val="3A4B6C9E"/>
    <w:rsid w:val="3A555D6F"/>
    <w:rsid w:val="3A620E69"/>
    <w:rsid w:val="3A6818FA"/>
    <w:rsid w:val="3A712BA9"/>
    <w:rsid w:val="3ACA22B9"/>
    <w:rsid w:val="3AD65BC4"/>
    <w:rsid w:val="3ADE3FB6"/>
    <w:rsid w:val="3AEF7F72"/>
    <w:rsid w:val="3B0F23C2"/>
    <w:rsid w:val="3B365CC9"/>
    <w:rsid w:val="3B381919"/>
    <w:rsid w:val="3B6E70E8"/>
    <w:rsid w:val="3B850C1B"/>
    <w:rsid w:val="3B895CD0"/>
    <w:rsid w:val="3B9A1C8B"/>
    <w:rsid w:val="3B9A7B88"/>
    <w:rsid w:val="3B9C6A51"/>
    <w:rsid w:val="3BAC5E63"/>
    <w:rsid w:val="3BB0325D"/>
    <w:rsid w:val="3BBC60A6"/>
    <w:rsid w:val="3BC74A4B"/>
    <w:rsid w:val="3BD258C9"/>
    <w:rsid w:val="3BDA477E"/>
    <w:rsid w:val="3BE92C13"/>
    <w:rsid w:val="3BF84C04"/>
    <w:rsid w:val="3C2D6FA3"/>
    <w:rsid w:val="3C53008C"/>
    <w:rsid w:val="3C544530"/>
    <w:rsid w:val="3C7324DC"/>
    <w:rsid w:val="3C8445F3"/>
    <w:rsid w:val="3C9568F7"/>
    <w:rsid w:val="3CB054DF"/>
    <w:rsid w:val="3CB21484"/>
    <w:rsid w:val="3CB43221"/>
    <w:rsid w:val="3CC33464"/>
    <w:rsid w:val="3CDB07AE"/>
    <w:rsid w:val="3CE00DEC"/>
    <w:rsid w:val="3CE07B72"/>
    <w:rsid w:val="3CF4361D"/>
    <w:rsid w:val="3D2C7AC8"/>
    <w:rsid w:val="3D4A793E"/>
    <w:rsid w:val="3D606F05"/>
    <w:rsid w:val="3D6E33D0"/>
    <w:rsid w:val="3D781DC1"/>
    <w:rsid w:val="3D7E738B"/>
    <w:rsid w:val="3D8175A7"/>
    <w:rsid w:val="3D855D12"/>
    <w:rsid w:val="3D8B42FF"/>
    <w:rsid w:val="3D9B1DC5"/>
    <w:rsid w:val="3DA212CB"/>
    <w:rsid w:val="3DA81802"/>
    <w:rsid w:val="3DDA0A65"/>
    <w:rsid w:val="3DE03BA2"/>
    <w:rsid w:val="3DE8331C"/>
    <w:rsid w:val="3DE86C4C"/>
    <w:rsid w:val="3DEB082B"/>
    <w:rsid w:val="3DF36A6E"/>
    <w:rsid w:val="3E0E6961"/>
    <w:rsid w:val="3E164325"/>
    <w:rsid w:val="3E3143FD"/>
    <w:rsid w:val="3E330175"/>
    <w:rsid w:val="3E3A59A8"/>
    <w:rsid w:val="3E646581"/>
    <w:rsid w:val="3E66054B"/>
    <w:rsid w:val="3E86299B"/>
    <w:rsid w:val="3E894239"/>
    <w:rsid w:val="3E8B6203"/>
    <w:rsid w:val="3E90381A"/>
    <w:rsid w:val="3E976956"/>
    <w:rsid w:val="3EA13331"/>
    <w:rsid w:val="3EA66B99"/>
    <w:rsid w:val="3EAE5A4E"/>
    <w:rsid w:val="3EBA1EE9"/>
    <w:rsid w:val="3EC27CA4"/>
    <w:rsid w:val="3EDB0174"/>
    <w:rsid w:val="3EEB27FE"/>
    <w:rsid w:val="3EED6576"/>
    <w:rsid w:val="3EF9316D"/>
    <w:rsid w:val="3F185CE9"/>
    <w:rsid w:val="3F2A5A1C"/>
    <w:rsid w:val="3F36616F"/>
    <w:rsid w:val="3F3D5750"/>
    <w:rsid w:val="3F4E170B"/>
    <w:rsid w:val="3F792F1E"/>
    <w:rsid w:val="3FA0183A"/>
    <w:rsid w:val="3FB53538"/>
    <w:rsid w:val="3FD140EA"/>
    <w:rsid w:val="3FE23C01"/>
    <w:rsid w:val="4000052B"/>
    <w:rsid w:val="400C4C65"/>
    <w:rsid w:val="401F4E55"/>
    <w:rsid w:val="405745EF"/>
    <w:rsid w:val="40582115"/>
    <w:rsid w:val="406665E0"/>
    <w:rsid w:val="406D5BC1"/>
    <w:rsid w:val="40824826"/>
    <w:rsid w:val="408D1DBF"/>
    <w:rsid w:val="40970E8F"/>
    <w:rsid w:val="409E3FCC"/>
    <w:rsid w:val="40A21818"/>
    <w:rsid w:val="40A4535A"/>
    <w:rsid w:val="40B41A41"/>
    <w:rsid w:val="40BC08F6"/>
    <w:rsid w:val="40D774DE"/>
    <w:rsid w:val="40E02836"/>
    <w:rsid w:val="40E63923"/>
    <w:rsid w:val="40E816EB"/>
    <w:rsid w:val="40E8793D"/>
    <w:rsid w:val="40FE0F0E"/>
    <w:rsid w:val="41076015"/>
    <w:rsid w:val="41110C42"/>
    <w:rsid w:val="414D77A0"/>
    <w:rsid w:val="41635215"/>
    <w:rsid w:val="41636A0D"/>
    <w:rsid w:val="41744365"/>
    <w:rsid w:val="418D4040"/>
    <w:rsid w:val="418E2292"/>
    <w:rsid w:val="41AC096A"/>
    <w:rsid w:val="41D57AF9"/>
    <w:rsid w:val="41E32216"/>
    <w:rsid w:val="420E6F2F"/>
    <w:rsid w:val="42360598"/>
    <w:rsid w:val="42402E61"/>
    <w:rsid w:val="424A43C6"/>
    <w:rsid w:val="424E13A0"/>
    <w:rsid w:val="42A22417"/>
    <w:rsid w:val="42BE6BA7"/>
    <w:rsid w:val="42D068DB"/>
    <w:rsid w:val="42E36970"/>
    <w:rsid w:val="42ED4D97"/>
    <w:rsid w:val="42EF4FB3"/>
    <w:rsid w:val="42F779C3"/>
    <w:rsid w:val="4303280C"/>
    <w:rsid w:val="43104F29"/>
    <w:rsid w:val="431D01F7"/>
    <w:rsid w:val="4348021F"/>
    <w:rsid w:val="434846C3"/>
    <w:rsid w:val="43562D62"/>
    <w:rsid w:val="43672D9B"/>
    <w:rsid w:val="438F22F2"/>
    <w:rsid w:val="43904469"/>
    <w:rsid w:val="439873F8"/>
    <w:rsid w:val="43A03B47"/>
    <w:rsid w:val="43A63197"/>
    <w:rsid w:val="43A91E5B"/>
    <w:rsid w:val="43DD12AF"/>
    <w:rsid w:val="440305EA"/>
    <w:rsid w:val="4404683C"/>
    <w:rsid w:val="44093E52"/>
    <w:rsid w:val="44150A49"/>
    <w:rsid w:val="44623562"/>
    <w:rsid w:val="44784B34"/>
    <w:rsid w:val="449E0D39"/>
    <w:rsid w:val="44A122DD"/>
    <w:rsid w:val="44AA5C4C"/>
    <w:rsid w:val="44BA339E"/>
    <w:rsid w:val="44BD69EB"/>
    <w:rsid w:val="44C67F95"/>
    <w:rsid w:val="44CE6E4A"/>
    <w:rsid w:val="44E43A96"/>
    <w:rsid w:val="44F3240C"/>
    <w:rsid w:val="45077D5A"/>
    <w:rsid w:val="45154A79"/>
    <w:rsid w:val="45196317"/>
    <w:rsid w:val="4545710C"/>
    <w:rsid w:val="45780D69"/>
    <w:rsid w:val="457B0D80"/>
    <w:rsid w:val="458A4B1F"/>
    <w:rsid w:val="459D30ED"/>
    <w:rsid w:val="45A33E32"/>
    <w:rsid w:val="45A73923"/>
    <w:rsid w:val="45CE5353"/>
    <w:rsid w:val="45E00BE3"/>
    <w:rsid w:val="45E32B26"/>
    <w:rsid w:val="460F179C"/>
    <w:rsid w:val="460F771A"/>
    <w:rsid w:val="46236D21"/>
    <w:rsid w:val="463A3650"/>
    <w:rsid w:val="4645313C"/>
    <w:rsid w:val="46461627"/>
    <w:rsid w:val="464949DA"/>
    <w:rsid w:val="4662784A"/>
    <w:rsid w:val="46853538"/>
    <w:rsid w:val="469A6FE4"/>
    <w:rsid w:val="469F0116"/>
    <w:rsid w:val="46B502C1"/>
    <w:rsid w:val="46C202E8"/>
    <w:rsid w:val="46C86F35"/>
    <w:rsid w:val="46C87FF5"/>
    <w:rsid w:val="46E62229"/>
    <w:rsid w:val="470617FB"/>
    <w:rsid w:val="47177991"/>
    <w:rsid w:val="47370CD6"/>
    <w:rsid w:val="47484C91"/>
    <w:rsid w:val="475259B7"/>
    <w:rsid w:val="47685334"/>
    <w:rsid w:val="47694C08"/>
    <w:rsid w:val="47932D3C"/>
    <w:rsid w:val="4799373F"/>
    <w:rsid w:val="479E48B1"/>
    <w:rsid w:val="47A3011A"/>
    <w:rsid w:val="47A81BD4"/>
    <w:rsid w:val="47C275DE"/>
    <w:rsid w:val="47C562E2"/>
    <w:rsid w:val="47C907A9"/>
    <w:rsid w:val="47D00801"/>
    <w:rsid w:val="47D06A35"/>
    <w:rsid w:val="47DB5B06"/>
    <w:rsid w:val="47EE3067"/>
    <w:rsid w:val="48597611"/>
    <w:rsid w:val="48657AC5"/>
    <w:rsid w:val="487565D5"/>
    <w:rsid w:val="488302AE"/>
    <w:rsid w:val="48831CF9"/>
    <w:rsid w:val="48A4239B"/>
    <w:rsid w:val="48A51C70"/>
    <w:rsid w:val="48AA54D8"/>
    <w:rsid w:val="48BA1016"/>
    <w:rsid w:val="48CC36A0"/>
    <w:rsid w:val="48DA400F"/>
    <w:rsid w:val="48F350D1"/>
    <w:rsid w:val="48FC21D7"/>
    <w:rsid w:val="48FD385A"/>
    <w:rsid w:val="48FD5F50"/>
    <w:rsid w:val="49024C9C"/>
    <w:rsid w:val="490B241B"/>
    <w:rsid w:val="490C6D84"/>
    <w:rsid w:val="4921031A"/>
    <w:rsid w:val="492E6109"/>
    <w:rsid w:val="49303C2F"/>
    <w:rsid w:val="495A4553"/>
    <w:rsid w:val="4968786D"/>
    <w:rsid w:val="49690EEF"/>
    <w:rsid w:val="496A2251"/>
    <w:rsid w:val="497F6965"/>
    <w:rsid w:val="49804BB7"/>
    <w:rsid w:val="49B1408D"/>
    <w:rsid w:val="49F92273"/>
    <w:rsid w:val="49FA5FEB"/>
    <w:rsid w:val="49FB423D"/>
    <w:rsid w:val="4A317C5F"/>
    <w:rsid w:val="4A435BE4"/>
    <w:rsid w:val="4A447A61"/>
    <w:rsid w:val="4A510301"/>
    <w:rsid w:val="4A572C2C"/>
    <w:rsid w:val="4A6718D3"/>
    <w:rsid w:val="4A6A3171"/>
    <w:rsid w:val="4A7D4FD2"/>
    <w:rsid w:val="4A804742"/>
    <w:rsid w:val="4A86608C"/>
    <w:rsid w:val="4A873D23"/>
    <w:rsid w:val="4A8A55C1"/>
    <w:rsid w:val="4A913C9A"/>
    <w:rsid w:val="4A91694F"/>
    <w:rsid w:val="4A946440"/>
    <w:rsid w:val="4A9A1CA8"/>
    <w:rsid w:val="4AA93C99"/>
    <w:rsid w:val="4AC00FE3"/>
    <w:rsid w:val="4AC960E9"/>
    <w:rsid w:val="4ACC3E2B"/>
    <w:rsid w:val="4AE27323"/>
    <w:rsid w:val="4B0C247A"/>
    <w:rsid w:val="4B137364"/>
    <w:rsid w:val="4B1F70AC"/>
    <w:rsid w:val="4B240F94"/>
    <w:rsid w:val="4B335C59"/>
    <w:rsid w:val="4B3C2D5F"/>
    <w:rsid w:val="4B571947"/>
    <w:rsid w:val="4B5A4F93"/>
    <w:rsid w:val="4B9E11B1"/>
    <w:rsid w:val="4BB072A9"/>
    <w:rsid w:val="4BC863A1"/>
    <w:rsid w:val="4BD5343D"/>
    <w:rsid w:val="4BDE0EB1"/>
    <w:rsid w:val="4BF278C2"/>
    <w:rsid w:val="4BF369FD"/>
    <w:rsid w:val="4C0832E5"/>
    <w:rsid w:val="4C1E06B7"/>
    <w:rsid w:val="4C373527"/>
    <w:rsid w:val="4C3C565C"/>
    <w:rsid w:val="4C7B3413"/>
    <w:rsid w:val="4CA610A8"/>
    <w:rsid w:val="4CC451D3"/>
    <w:rsid w:val="4CCC79C7"/>
    <w:rsid w:val="4CD6689C"/>
    <w:rsid w:val="4CE40BED"/>
    <w:rsid w:val="4CF60CEC"/>
    <w:rsid w:val="4D4E0B28"/>
    <w:rsid w:val="4D550108"/>
    <w:rsid w:val="4D572760"/>
    <w:rsid w:val="4D5A74CD"/>
    <w:rsid w:val="4D6D36A4"/>
    <w:rsid w:val="4D7555C7"/>
    <w:rsid w:val="4D9043BE"/>
    <w:rsid w:val="4DBA7F6B"/>
    <w:rsid w:val="4DC4528E"/>
    <w:rsid w:val="4DE35714"/>
    <w:rsid w:val="4DEB65A9"/>
    <w:rsid w:val="4DF831B6"/>
    <w:rsid w:val="4E65437B"/>
    <w:rsid w:val="4E946A0E"/>
    <w:rsid w:val="4E9D1D67"/>
    <w:rsid w:val="4EA84268"/>
    <w:rsid w:val="4EAE6DA0"/>
    <w:rsid w:val="4EBC7D13"/>
    <w:rsid w:val="4EBD5F65"/>
    <w:rsid w:val="4EC372F3"/>
    <w:rsid w:val="4ECD3CCE"/>
    <w:rsid w:val="4ED11A10"/>
    <w:rsid w:val="4ED16F74"/>
    <w:rsid w:val="4EFF3FC2"/>
    <w:rsid w:val="4F043B94"/>
    <w:rsid w:val="4F0C47F7"/>
    <w:rsid w:val="4F195165"/>
    <w:rsid w:val="4F1F277C"/>
    <w:rsid w:val="4F3F083F"/>
    <w:rsid w:val="4F8E5B53"/>
    <w:rsid w:val="4FA47125"/>
    <w:rsid w:val="4FA47A59"/>
    <w:rsid w:val="4FA669F9"/>
    <w:rsid w:val="4FAE3B00"/>
    <w:rsid w:val="4FCC3F86"/>
    <w:rsid w:val="4FE617D9"/>
    <w:rsid w:val="4FE6773D"/>
    <w:rsid w:val="4FE92D8A"/>
    <w:rsid w:val="5016514B"/>
    <w:rsid w:val="502E6B39"/>
    <w:rsid w:val="5044333E"/>
    <w:rsid w:val="504A3C9B"/>
    <w:rsid w:val="505E3468"/>
    <w:rsid w:val="50A82C45"/>
    <w:rsid w:val="50B43398"/>
    <w:rsid w:val="50BD4DF3"/>
    <w:rsid w:val="50D56A8D"/>
    <w:rsid w:val="50DF615A"/>
    <w:rsid w:val="50EA0B67"/>
    <w:rsid w:val="50EE4AFC"/>
    <w:rsid w:val="50F6575E"/>
    <w:rsid w:val="50FC1A26"/>
    <w:rsid w:val="511D2CEB"/>
    <w:rsid w:val="512D6CA6"/>
    <w:rsid w:val="51703763"/>
    <w:rsid w:val="51723664"/>
    <w:rsid w:val="51786173"/>
    <w:rsid w:val="517B5C63"/>
    <w:rsid w:val="51BC69A8"/>
    <w:rsid w:val="51BD44CE"/>
    <w:rsid w:val="51CB1C78"/>
    <w:rsid w:val="51CB2747"/>
    <w:rsid w:val="51D57A6A"/>
    <w:rsid w:val="51E1640E"/>
    <w:rsid w:val="51FD6A51"/>
    <w:rsid w:val="521311AE"/>
    <w:rsid w:val="52290487"/>
    <w:rsid w:val="522E2CD6"/>
    <w:rsid w:val="52397FF8"/>
    <w:rsid w:val="524D5852"/>
    <w:rsid w:val="525210BA"/>
    <w:rsid w:val="526B3F2A"/>
    <w:rsid w:val="526B680A"/>
    <w:rsid w:val="5277467D"/>
    <w:rsid w:val="527E42E3"/>
    <w:rsid w:val="52836F71"/>
    <w:rsid w:val="52860D64"/>
    <w:rsid w:val="5290573F"/>
    <w:rsid w:val="52A116FA"/>
    <w:rsid w:val="52B72CCB"/>
    <w:rsid w:val="52C8312A"/>
    <w:rsid w:val="52D26B02"/>
    <w:rsid w:val="52EA12F3"/>
    <w:rsid w:val="52F43F1F"/>
    <w:rsid w:val="52F91536"/>
    <w:rsid w:val="52FC5217"/>
    <w:rsid w:val="52FE08FA"/>
    <w:rsid w:val="52FE6B4C"/>
    <w:rsid w:val="53114AD1"/>
    <w:rsid w:val="5325232B"/>
    <w:rsid w:val="534D53DE"/>
    <w:rsid w:val="535449BE"/>
    <w:rsid w:val="53560736"/>
    <w:rsid w:val="536F35A6"/>
    <w:rsid w:val="536F7A4A"/>
    <w:rsid w:val="539B083F"/>
    <w:rsid w:val="53B042EA"/>
    <w:rsid w:val="53B70DCF"/>
    <w:rsid w:val="53BA0CC5"/>
    <w:rsid w:val="53BB67EB"/>
    <w:rsid w:val="53E75832"/>
    <w:rsid w:val="541A5D30"/>
    <w:rsid w:val="54532EC8"/>
    <w:rsid w:val="54907C78"/>
    <w:rsid w:val="54B35714"/>
    <w:rsid w:val="54C6369A"/>
    <w:rsid w:val="54E3249D"/>
    <w:rsid w:val="54FA3343"/>
    <w:rsid w:val="54FB1595"/>
    <w:rsid w:val="55110101"/>
    <w:rsid w:val="551268DF"/>
    <w:rsid w:val="552D3F4B"/>
    <w:rsid w:val="55456CB4"/>
    <w:rsid w:val="55654C60"/>
    <w:rsid w:val="558C7AEC"/>
    <w:rsid w:val="55C1559C"/>
    <w:rsid w:val="55C951EF"/>
    <w:rsid w:val="55EB785C"/>
    <w:rsid w:val="55F068CD"/>
    <w:rsid w:val="56026953"/>
    <w:rsid w:val="560426CB"/>
    <w:rsid w:val="561346BC"/>
    <w:rsid w:val="561843C9"/>
    <w:rsid w:val="56222B52"/>
    <w:rsid w:val="56352885"/>
    <w:rsid w:val="563C00B7"/>
    <w:rsid w:val="563D5BDD"/>
    <w:rsid w:val="564D4072"/>
    <w:rsid w:val="56552F27"/>
    <w:rsid w:val="565C6063"/>
    <w:rsid w:val="566A39AB"/>
    <w:rsid w:val="566C3136"/>
    <w:rsid w:val="566E5D97"/>
    <w:rsid w:val="568D04F2"/>
    <w:rsid w:val="56955A19"/>
    <w:rsid w:val="569C7E2B"/>
    <w:rsid w:val="56AD6428"/>
    <w:rsid w:val="56CB1D92"/>
    <w:rsid w:val="56FB5FC3"/>
    <w:rsid w:val="56FC15F5"/>
    <w:rsid w:val="57106764"/>
    <w:rsid w:val="571E77BD"/>
    <w:rsid w:val="57390153"/>
    <w:rsid w:val="57511940"/>
    <w:rsid w:val="57581692"/>
    <w:rsid w:val="575D6537"/>
    <w:rsid w:val="57783371"/>
    <w:rsid w:val="57A75A43"/>
    <w:rsid w:val="57B1418D"/>
    <w:rsid w:val="57B36157"/>
    <w:rsid w:val="57D816CF"/>
    <w:rsid w:val="57FD73D2"/>
    <w:rsid w:val="582E1EEC"/>
    <w:rsid w:val="58391375"/>
    <w:rsid w:val="58396290"/>
    <w:rsid w:val="58405511"/>
    <w:rsid w:val="58443253"/>
    <w:rsid w:val="58492617"/>
    <w:rsid w:val="58535244"/>
    <w:rsid w:val="586236D9"/>
    <w:rsid w:val="58B101BD"/>
    <w:rsid w:val="58BA1767"/>
    <w:rsid w:val="58CB74D0"/>
    <w:rsid w:val="58EF1411"/>
    <w:rsid w:val="58FC3B2E"/>
    <w:rsid w:val="590B3D71"/>
    <w:rsid w:val="591075D9"/>
    <w:rsid w:val="5919023C"/>
    <w:rsid w:val="591B0458"/>
    <w:rsid w:val="592B7F6F"/>
    <w:rsid w:val="592F2C48"/>
    <w:rsid w:val="59505C28"/>
    <w:rsid w:val="595B6AA6"/>
    <w:rsid w:val="59684D1F"/>
    <w:rsid w:val="596F4300"/>
    <w:rsid w:val="59705057"/>
    <w:rsid w:val="59941FB8"/>
    <w:rsid w:val="59B411AE"/>
    <w:rsid w:val="59B85CA7"/>
    <w:rsid w:val="59C83A10"/>
    <w:rsid w:val="59D14FBA"/>
    <w:rsid w:val="59D16D68"/>
    <w:rsid w:val="59D81EA5"/>
    <w:rsid w:val="59EC6032"/>
    <w:rsid w:val="5A0802B0"/>
    <w:rsid w:val="5A382944"/>
    <w:rsid w:val="5A3B2434"/>
    <w:rsid w:val="5A4C2893"/>
    <w:rsid w:val="5A526582"/>
    <w:rsid w:val="5A5D05FC"/>
    <w:rsid w:val="5A5F5C77"/>
    <w:rsid w:val="5A623E64"/>
    <w:rsid w:val="5A6574B1"/>
    <w:rsid w:val="5A711A0D"/>
    <w:rsid w:val="5A871B1D"/>
    <w:rsid w:val="5ABF6CDE"/>
    <w:rsid w:val="5ADF3408"/>
    <w:rsid w:val="5AE045D7"/>
    <w:rsid w:val="5AF812E0"/>
    <w:rsid w:val="5AFF3461"/>
    <w:rsid w:val="5AFF7905"/>
    <w:rsid w:val="5B0D5B7E"/>
    <w:rsid w:val="5B1613E4"/>
    <w:rsid w:val="5B220213"/>
    <w:rsid w:val="5B305D11"/>
    <w:rsid w:val="5B5639C9"/>
    <w:rsid w:val="5B5C49B4"/>
    <w:rsid w:val="5B78003B"/>
    <w:rsid w:val="5B7C0F56"/>
    <w:rsid w:val="5B885B4D"/>
    <w:rsid w:val="5B8D6CBF"/>
    <w:rsid w:val="5B8F2A37"/>
    <w:rsid w:val="5B991B08"/>
    <w:rsid w:val="5B9B553E"/>
    <w:rsid w:val="5BC11A60"/>
    <w:rsid w:val="5BE34B31"/>
    <w:rsid w:val="5BFE3079"/>
    <w:rsid w:val="5C207B33"/>
    <w:rsid w:val="5C2B7B76"/>
    <w:rsid w:val="5C7A4D54"/>
    <w:rsid w:val="5C9A5B38"/>
    <w:rsid w:val="5CC76201"/>
    <w:rsid w:val="5CD23B73"/>
    <w:rsid w:val="5CFD1C22"/>
    <w:rsid w:val="5D027239"/>
    <w:rsid w:val="5D245401"/>
    <w:rsid w:val="5D303DA6"/>
    <w:rsid w:val="5D307683"/>
    <w:rsid w:val="5D683540"/>
    <w:rsid w:val="5D6B1282"/>
    <w:rsid w:val="5D7E2D63"/>
    <w:rsid w:val="5D8D11F8"/>
    <w:rsid w:val="5DAC6CBA"/>
    <w:rsid w:val="5DB524FD"/>
    <w:rsid w:val="5DC015CE"/>
    <w:rsid w:val="5DC82230"/>
    <w:rsid w:val="5DF03535"/>
    <w:rsid w:val="5DF66D9E"/>
    <w:rsid w:val="5DFE3EA4"/>
    <w:rsid w:val="5E113BD7"/>
    <w:rsid w:val="5E127950"/>
    <w:rsid w:val="5E1379FA"/>
    <w:rsid w:val="5E1C432A"/>
    <w:rsid w:val="5E2F2BA5"/>
    <w:rsid w:val="5E437B09"/>
    <w:rsid w:val="5E5D50D2"/>
    <w:rsid w:val="5E8048B9"/>
    <w:rsid w:val="5E8425FB"/>
    <w:rsid w:val="5E8819C0"/>
    <w:rsid w:val="5EB50A07"/>
    <w:rsid w:val="5EB6328A"/>
    <w:rsid w:val="5EE70DDC"/>
    <w:rsid w:val="5F05487B"/>
    <w:rsid w:val="5F1119B5"/>
    <w:rsid w:val="5F127819"/>
    <w:rsid w:val="5F21609C"/>
    <w:rsid w:val="5F2C67EF"/>
    <w:rsid w:val="5F334021"/>
    <w:rsid w:val="5F3D02C3"/>
    <w:rsid w:val="5F434C9F"/>
    <w:rsid w:val="5F585836"/>
    <w:rsid w:val="5F7A57AC"/>
    <w:rsid w:val="5F7F7267"/>
    <w:rsid w:val="5F8959EF"/>
    <w:rsid w:val="60033C5A"/>
    <w:rsid w:val="60350ED3"/>
    <w:rsid w:val="603E2C7E"/>
    <w:rsid w:val="60455DBA"/>
    <w:rsid w:val="604D2EC1"/>
    <w:rsid w:val="604D4C6F"/>
    <w:rsid w:val="6062071A"/>
    <w:rsid w:val="60787F3E"/>
    <w:rsid w:val="60936B26"/>
    <w:rsid w:val="60956D42"/>
    <w:rsid w:val="60AA14A4"/>
    <w:rsid w:val="60AE7E03"/>
    <w:rsid w:val="60B72AEE"/>
    <w:rsid w:val="60C05441"/>
    <w:rsid w:val="60C2565D"/>
    <w:rsid w:val="60D725D5"/>
    <w:rsid w:val="61025188"/>
    <w:rsid w:val="61057D5F"/>
    <w:rsid w:val="61202383"/>
    <w:rsid w:val="612C39AC"/>
    <w:rsid w:val="61415DA4"/>
    <w:rsid w:val="614C529D"/>
    <w:rsid w:val="614D4977"/>
    <w:rsid w:val="61504A17"/>
    <w:rsid w:val="61B56F70"/>
    <w:rsid w:val="61B76844"/>
    <w:rsid w:val="61D513C0"/>
    <w:rsid w:val="61DC274E"/>
    <w:rsid w:val="61EA6C19"/>
    <w:rsid w:val="62045801"/>
    <w:rsid w:val="621C0D9D"/>
    <w:rsid w:val="62326812"/>
    <w:rsid w:val="623F6839"/>
    <w:rsid w:val="624B51DE"/>
    <w:rsid w:val="625C563D"/>
    <w:rsid w:val="62620EA5"/>
    <w:rsid w:val="627E3805"/>
    <w:rsid w:val="628046CB"/>
    <w:rsid w:val="628F156F"/>
    <w:rsid w:val="62C03E1E"/>
    <w:rsid w:val="62D31A5D"/>
    <w:rsid w:val="62EB0D37"/>
    <w:rsid w:val="62EE3A7E"/>
    <w:rsid w:val="62EF200D"/>
    <w:rsid w:val="62F04F50"/>
    <w:rsid w:val="62F53B9C"/>
    <w:rsid w:val="6300246C"/>
    <w:rsid w:val="630E6937"/>
    <w:rsid w:val="632919C3"/>
    <w:rsid w:val="63443004"/>
    <w:rsid w:val="634A36E8"/>
    <w:rsid w:val="63690012"/>
    <w:rsid w:val="638379D3"/>
    <w:rsid w:val="63901A42"/>
    <w:rsid w:val="639A01CB"/>
    <w:rsid w:val="63AC7EFE"/>
    <w:rsid w:val="63BA45E6"/>
    <w:rsid w:val="63C60FC0"/>
    <w:rsid w:val="63CB2A7A"/>
    <w:rsid w:val="63CE4319"/>
    <w:rsid w:val="63DC6A36"/>
    <w:rsid w:val="63E8362C"/>
    <w:rsid w:val="63F55D49"/>
    <w:rsid w:val="64061D04"/>
    <w:rsid w:val="64191A38"/>
    <w:rsid w:val="641C32D6"/>
    <w:rsid w:val="641C6E32"/>
    <w:rsid w:val="64393E88"/>
    <w:rsid w:val="643979E4"/>
    <w:rsid w:val="643B7C00"/>
    <w:rsid w:val="64607667"/>
    <w:rsid w:val="64803865"/>
    <w:rsid w:val="64917820"/>
    <w:rsid w:val="649410BE"/>
    <w:rsid w:val="64993547"/>
    <w:rsid w:val="64AC6408"/>
    <w:rsid w:val="64BA3D7A"/>
    <w:rsid w:val="64CD50E0"/>
    <w:rsid w:val="64DB4F3F"/>
    <w:rsid w:val="64DD4813"/>
    <w:rsid w:val="64EC0EFA"/>
    <w:rsid w:val="64F179BC"/>
    <w:rsid w:val="652266CA"/>
    <w:rsid w:val="6533396A"/>
    <w:rsid w:val="653B3C30"/>
    <w:rsid w:val="656960A7"/>
    <w:rsid w:val="65716E00"/>
    <w:rsid w:val="659351B4"/>
    <w:rsid w:val="65B17A4E"/>
    <w:rsid w:val="65BA6903"/>
    <w:rsid w:val="65C15EE3"/>
    <w:rsid w:val="65C43C25"/>
    <w:rsid w:val="65C70900"/>
    <w:rsid w:val="65D200F0"/>
    <w:rsid w:val="65D379C4"/>
    <w:rsid w:val="661204ED"/>
    <w:rsid w:val="664D59C9"/>
    <w:rsid w:val="66522FDF"/>
    <w:rsid w:val="66524D8D"/>
    <w:rsid w:val="665704D3"/>
    <w:rsid w:val="667B2536"/>
    <w:rsid w:val="668019CA"/>
    <w:rsid w:val="669E4476"/>
    <w:rsid w:val="66AD6467"/>
    <w:rsid w:val="66B861BB"/>
    <w:rsid w:val="66C87B96"/>
    <w:rsid w:val="66D165FA"/>
    <w:rsid w:val="66E3632D"/>
    <w:rsid w:val="66E520A5"/>
    <w:rsid w:val="671D539B"/>
    <w:rsid w:val="672A5D0A"/>
    <w:rsid w:val="67334E8F"/>
    <w:rsid w:val="673646AF"/>
    <w:rsid w:val="673821D5"/>
    <w:rsid w:val="673F7A07"/>
    <w:rsid w:val="67495519"/>
    <w:rsid w:val="67582877"/>
    <w:rsid w:val="675B5EC3"/>
    <w:rsid w:val="67694A84"/>
    <w:rsid w:val="678E0472"/>
    <w:rsid w:val="67901C4F"/>
    <w:rsid w:val="67C065A4"/>
    <w:rsid w:val="67C1666E"/>
    <w:rsid w:val="67CE0D8B"/>
    <w:rsid w:val="67D359C9"/>
    <w:rsid w:val="67EE6494"/>
    <w:rsid w:val="68024591"/>
    <w:rsid w:val="68030A35"/>
    <w:rsid w:val="68042537"/>
    <w:rsid w:val="68260326"/>
    <w:rsid w:val="6826293F"/>
    <w:rsid w:val="683A2A01"/>
    <w:rsid w:val="685C0145"/>
    <w:rsid w:val="68680898"/>
    <w:rsid w:val="688D2E59"/>
    <w:rsid w:val="688D47A2"/>
    <w:rsid w:val="689109F2"/>
    <w:rsid w:val="68955405"/>
    <w:rsid w:val="689F3024"/>
    <w:rsid w:val="68A1024E"/>
    <w:rsid w:val="68A35D74"/>
    <w:rsid w:val="68BE670A"/>
    <w:rsid w:val="68DF58ED"/>
    <w:rsid w:val="68FE36DD"/>
    <w:rsid w:val="69034A64"/>
    <w:rsid w:val="6904039B"/>
    <w:rsid w:val="691602F4"/>
    <w:rsid w:val="69252C2D"/>
    <w:rsid w:val="69342E70"/>
    <w:rsid w:val="694035C3"/>
    <w:rsid w:val="6942733B"/>
    <w:rsid w:val="694E60FC"/>
    <w:rsid w:val="699456BD"/>
    <w:rsid w:val="69BA3375"/>
    <w:rsid w:val="69C86AD4"/>
    <w:rsid w:val="69CC30A8"/>
    <w:rsid w:val="69D63F27"/>
    <w:rsid w:val="69DB153D"/>
    <w:rsid w:val="69E77EE2"/>
    <w:rsid w:val="69F06D97"/>
    <w:rsid w:val="69FA7C16"/>
    <w:rsid w:val="6A002D52"/>
    <w:rsid w:val="6A0665BA"/>
    <w:rsid w:val="6A0E36C1"/>
    <w:rsid w:val="6A164324"/>
    <w:rsid w:val="6A256904"/>
    <w:rsid w:val="6A290517"/>
    <w:rsid w:val="6A2E5B11"/>
    <w:rsid w:val="6A3F1ACC"/>
    <w:rsid w:val="6A4C294C"/>
    <w:rsid w:val="6A5F216E"/>
    <w:rsid w:val="6A694D9B"/>
    <w:rsid w:val="6A7259FE"/>
    <w:rsid w:val="6AA45DD3"/>
    <w:rsid w:val="6AC10733"/>
    <w:rsid w:val="6ACA583A"/>
    <w:rsid w:val="6AD14E1A"/>
    <w:rsid w:val="6B0F188E"/>
    <w:rsid w:val="6B192137"/>
    <w:rsid w:val="6B2F7D93"/>
    <w:rsid w:val="6B4D219F"/>
    <w:rsid w:val="6B5C50EF"/>
    <w:rsid w:val="6B656832"/>
    <w:rsid w:val="6B76151E"/>
    <w:rsid w:val="6B80414A"/>
    <w:rsid w:val="6BA20565"/>
    <w:rsid w:val="6BAC4F3F"/>
    <w:rsid w:val="6BAF2C82"/>
    <w:rsid w:val="6BD12BF8"/>
    <w:rsid w:val="6BEC5C84"/>
    <w:rsid w:val="6C022DB1"/>
    <w:rsid w:val="6C103720"/>
    <w:rsid w:val="6C33740F"/>
    <w:rsid w:val="6C3F5DB4"/>
    <w:rsid w:val="6C53185F"/>
    <w:rsid w:val="6C5374D3"/>
    <w:rsid w:val="6C6677E4"/>
    <w:rsid w:val="6C67530A"/>
    <w:rsid w:val="6C675CE6"/>
    <w:rsid w:val="6C6D256F"/>
    <w:rsid w:val="6C7D68DC"/>
    <w:rsid w:val="6C8163CC"/>
    <w:rsid w:val="6C922387"/>
    <w:rsid w:val="6CC4450B"/>
    <w:rsid w:val="6CEB1A97"/>
    <w:rsid w:val="6D082649"/>
    <w:rsid w:val="6D0F1C2A"/>
    <w:rsid w:val="6D0F1D5C"/>
    <w:rsid w:val="6D1B05CF"/>
    <w:rsid w:val="6D25144D"/>
    <w:rsid w:val="6D2D0302"/>
    <w:rsid w:val="6D4F4321"/>
    <w:rsid w:val="6D855A48"/>
    <w:rsid w:val="6DDA3467"/>
    <w:rsid w:val="6DE9247B"/>
    <w:rsid w:val="6DF41B82"/>
    <w:rsid w:val="6DF80910"/>
    <w:rsid w:val="6DF8446C"/>
    <w:rsid w:val="6DFB5D0A"/>
    <w:rsid w:val="6DFF7360"/>
    <w:rsid w:val="6E005A16"/>
    <w:rsid w:val="6E1A0886"/>
    <w:rsid w:val="6E3D27C7"/>
    <w:rsid w:val="6E3F209B"/>
    <w:rsid w:val="6E46167B"/>
    <w:rsid w:val="6E761835"/>
    <w:rsid w:val="6E7A5F73"/>
    <w:rsid w:val="6E941144"/>
    <w:rsid w:val="6EAB5982"/>
    <w:rsid w:val="6EB83BFB"/>
    <w:rsid w:val="6EBC487C"/>
    <w:rsid w:val="6EBF31DC"/>
    <w:rsid w:val="6ECD3B32"/>
    <w:rsid w:val="6EDD18B4"/>
    <w:rsid w:val="6EE90F9D"/>
    <w:rsid w:val="6F413BF1"/>
    <w:rsid w:val="6F4B0F13"/>
    <w:rsid w:val="6F5B7469"/>
    <w:rsid w:val="6FC36CFC"/>
    <w:rsid w:val="6FCE7B7A"/>
    <w:rsid w:val="6FD74228"/>
    <w:rsid w:val="6FEA24DA"/>
    <w:rsid w:val="701337DF"/>
    <w:rsid w:val="701632CF"/>
    <w:rsid w:val="701F0C3F"/>
    <w:rsid w:val="7021106F"/>
    <w:rsid w:val="702552C0"/>
    <w:rsid w:val="70425E72"/>
    <w:rsid w:val="70447E3C"/>
    <w:rsid w:val="704F250A"/>
    <w:rsid w:val="705C33D8"/>
    <w:rsid w:val="705F6A24"/>
    <w:rsid w:val="70653EA8"/>
    <w:rsid w:val="70731E33"/>
    <w:rsid w:val="7076682C"/>
    <w:rsid w:val="708665AD"/>
    <w:rsid w:val="70950698"/>
    <w:rsid w:val="70B9559C"/>
    <w:rsid w:val="70E84C6C"/>
    <w:rsid w:val="7101188A"/>
    <w:rsid w:val="711A6DEF"/>
    <w:rsid w:val="713A6E35"/>
    <w:rsid w:val="714E0847"/>
    <w:rsid w:val="715F2A54"/>
    <w:rsid w:val="71633091"/>
    <w:rsid w:val="71771B4C"/>
    <w:rsid w:val="719941B8"/>
    <w:rsid w:val="719C5A56"/>
    <w:rsid w:val="71C805F9"/>
    <w:rsid w:val="71D1404A"/>
    <w:rsid w:val="71E01DE7"/>
    <w:rsid w:val="71EC078C"/>
    <w:rsid w:val="71F268BA"/>
    <w:rsid w:val="71F413EE"/>
    <w:rsid w:val="7219386D"/>
    <w:rsid w:val="721D6B97"/>
    <w:rsid w:val="722A3062"/>
    <w:rsid w:val="722D477B"/>
    <w:rsid w:val="72323CC5"/>
    <w:rsid w:val="723D0FE7"/>
    <w:rsid w:val="72447D2F"/>
    <w:rsid w:val="7265261F"/>
    <w:rsid w:val="72834520"/>
    <w:rsid w:val="729A3D44"/>
    <w:rsid w:val="72B74663"/>
    <w:rsid w:val="72C9287B"/>
    <w:rsid w:val="72E90827"/>
    <w:rsid w:val="72E96A79"/>
    <w:rsid w:val="72EE5E3E"/>
    <w:rsid w:val="730438B3"/>
    <w:rsid w:val="73075151"/>
    <w:rsid w:val="73081CA5"/>
    <w:rsid w:val="730A65F1"/>
    <w:rsid w:val="730B464C"/>
    <w:rsid w:val="73124222"/>
    <w:rsid w:val="73171838"/>
    <w:rsid w:val="73261A7B"/>
    <w:rsid w:val="733E5017"/>
    <w:rsid w:val="735D70CF"/>
    <w:rsid w:val="73683E42"/>
    <w:rsid w:val="736D33EC"/>
    <w:rsid w:val="738E04AD"/>
    <w:rsid w:val="7399224D"/>
    <w:rsid w:val="739C1D3D"/>
    <w:rsid w:val="73A429A0"/>
    <w:rsid w:val="73AF7CC3"/>
    <w:rsid w:val="73B54BAD"/>
    <w:rsid w:val="73CB43D1"/>
    <w:rsid w:val="73CD1EF7"/>
    <w:rsid w:val="73D019E7"/>
    <w:rsid w:val="73D2575F"/>
    <w:rsid w:val="73F92CEC"/>
    <w:rsid w:val="7400051E"/>
    <w:rsid w:val="740F6A88"/>
    <w:rsid w:val="74201F7D"/>
    <w:rsid w:val="744A79EB"/>
    <w:rsid w:val="74626AE3"/>
    <w:rsid w:val="747B5DF7"/>
    <w:rsid w:val="7487762D"/>
    <w:rsid w:val="74967468"/>
    <w:rsid w:val="74B9247B"/>
    <w:rsid w:val="74C01A5C"/>
    <w:rsid w:val="74C33AA4"/>
    <w:rsid w:val="74DD616A"/>
    <w:rsid w:val="75210D7A"/>
    <w:rsid w:val="752E0E4E"/>
    <w:rsid w:val="75385498"/>
    <w:rsid w:val="753A7A60"/>
    <w:rsid w:val="75530B22"/>
    <w:rsid w:val="7581506D"/>
    <w:rsid w:val="75A4312B"/>
    <w:rsid w:val="75AD0232"/>
    <w:rsid w:val="75B275F6"/>
    <w:rsid w:val="75BE41ED"/>
    <w:rsid w:val="75C83CC5"/>
    <w:rsid w:val="75CB7223"/>
    <w:rsid w:val="75F37776"/>
    <w:rsid w:val="76045978"/>
    <w:rsid w:val="76544B51"/>
    <w:rsid w:val="76562678"/>
    <w:rsid w:val="765C7562"/>
    <w:rsid w:val="76674885"/>
    <w:rsid w:val="76A63631"/>
    <w:rsid w:val="76B64EC4"/>
    <w:rsid w:val="76BC207F"/>
    <w:rsid w:val="76EB4904"/>
    <w:rsid w:val="76FC7EDD"/>
    <w:rsid w:val="772067E2"/>
    <w:rsid w:val="773A5AF5"/>
    <w:rsid w:val="775E6510"/>
    <w:rsid w:val="77645DCD"/>
    <w:rsid w:val="777378F5"/>
    <w:rsid w:val="777A2D3C"/>
    <w:rsid w:val="777C4360"/>
    <w:rsid w:val="77AB69F3"/>
    <w:rsid w:val="77BF424C"/>
    <w:rsid w:val="77D93560"/>
    <w:rsid w:val="77DF044B"/>
    <w:rsid w:val="77E3682C"/>
    <w:rsid w:val="77E67A2B"/>
    <w:rsid w:val="78034139"/>
    <w:rsid w:val="780B1240"/>
    <w:rsid w:val="781F1923"/>
    <w:rsid w:val="78372035"/>
    <w:rsid w:val="78525B31"/>
    <w:rsid w:val="785D6A7A"/>
    <w:rsid w:val="786C6182"/>
    <w:rsid w:val="787B4617"/>
    <w:rsid w:val="787E7C64"/>
    <w:rsid w:val="78811502"/>
    <w:rsid w:val="78E33F6B"/>
    <w:rsid w:val="78F10436"/>
    <w:rsid w:val="78F429F5"/>
    <w:rsid w:val="79074B81"/>
    <w:rsid w:val="790B5926"/>
    <w:rsid w:val="791D747D"/>
    <w:rsid w:val="794F0939"/>
    <w:rsid w:val="79565423"/>
    <w:rsid w:val="796055BB"/>
    <w:rsid w:val="797F0137"/>
    <w:rsid w:val="79AE6327"/>
    <w:rsid w:val="79AF0FCA"/>
    <w:rsid w:val="79B24CED"/>
    <w:rsid w:val="79C142AC"/>
    <w:rsid w:val="79C43D9C"/>
    <w:rsid w:val="79CB0C87"/>
    <w:rsid w:val="7A0B3779"/>
    <w:rsid w:val="7A3662A4"/>
    <w:rsid w:val="7A37302C"/>
    <w:rsid w:val="7A481AAB"/>
    <w:rsid w:val="7A523156"/>
    <w:rsid w:val="7A721A4A"/>
    <w:rsid w:val="7A7F1A71"/>
    <w:rsid w:val="7A851A19"/>
    <w:rsid w:val="7A992B33"/>
    <w:rsid w:val="7AC53928"/>
    <w:rsid w:val="7AF9279C"/>
    <w:rsid w:val="7B1012E4"/>
    <w:rsid w:val="7B101DD0"/>
    <w:rsid w:val="7B2901DD"/>
    <w:rsid w:val="7B38234C"/>
    <w:rsid w:val="7B3C3664"/>
    <w:rsid w:val="7B424F78"/>
    <w:rsid w:val="7B486307"/>
    <w:rsid w:val="7B512CCA"/>
    <w:rsid w:val="7B5353D8"/>
    <w:rsid w:val="7B564EC8"/>
    <w:rsid w:val="7B6018A2"/>
    <w:rsid w:val="7B7F61CD"/>
    <w:rsid w:val="7B825CBD"/>
    <w:rsid w:val="7B95779E"/>
    <w:rsid w:val="7B97648D"/>
    <w:rsid w:val="7B9F686F"/>
    <w:rsid w:val="7BB51BEE"/>
    <w:rsid w:val="7BCE143A"/>
    <w:rsid w:val="7BDB06D8"/>
    <w:rsid w:val="7BEB5610"/>
    <w:rsid w:val="7BEC3992"/>
    <w:rsid w:val="7BFB1CF7"/>
    <w:rsid w:val="7C027905"/>
    <w:rsid w:val="7C4371FA"/>
    <w:rsid w:val="7C480CE0"/>
    <w:rsid w:val="7C484810"/>
    <w:rsid w:val="7C4A67DB"/>
    <w:rsid w:val="7C5E2286"/>
    <w:rsid w:val="7C5F4E04"/>
    <w:rsid w:val="7C63164A"/>
    <w:rsid w:val="7C741AA9"/>
    <w:rsid w:val="7C7E324B"/>
    <w:rsid w:val="7C8B5E27"/>
    <w:rsid w:val="7CA26617"/>
    <w:rsid w:val="7CA51C63"/>
    <w:rsid w:val="7CAD4FBB"/>
    <w:rsid w:val="7CB63E70"/>
    <w:rsid w:val="7CC51958"/>
    <w:rsid w:val="7CCA5D4B"/>
    <w:rsid w:val="7CD53DF9"/>
    <w:rsid w:val="7CDB38D7"/>
    <w:rsid w:val="7CE0713F"/>
    <w:rsid w:val="7CE309DD"/>
    <w:rsid w:val="7CF2566E"/>
    <w:rsid w:val="7D097C86"/>
    <w:rsid w:val="7D1110A6"/>
    <w:rsid w:val="7D32101D"/>
    <w:rsid w:val="7D33726F"/>
    <w:rsid w:val="7D9C3085"/>
    <w:rsid w:val="7DBD4D8A"/>
    <w:rsid w:val="7DE247F1"/>
    <w:rsid w:val="7DF52776"/>
    <w:rsid w:val="7DF764EE"/>
    <w:rsid w:val="7E0A4100"/>
    <w:rsid w:val="7E192908"/>
    <w:rsid w:val="7E235535"/>
    <w:rsid w:val="7E2936C3"/>
    <w:rsid w:val="7E356126"/>
    <w:rsid w:val="7E4028A1"/>
    <w:rsid w:val="7E4B4A8C"/>
    <w:rsid w:val="7E611BB9"/>
    <w:rsid w:val="7E6411B9"/>
    <w:rsid w:val="7E723DC7"/>
    <w:rsid w:val="7E7713DD"/>
    <w:rsid w:val="7EA63A70"/>
    <w:rsid w:val="7EBC14E6"/>
    <w:rsid w:val="7EBE04CB"/>
    <w:rsid w:val="7ECB1729"/>
    <w:rsid w:val="7ED00AED"/>
    <w:rsid w:val="7EF734B6"/>
    <w:rsid w:val="7F016EF9"/>
    <w:rsid w:val="7F0B6201"/>
    <w:rsid w:val="7F1B26B0"/>
    <w:rsid w:val="7F1F62A3"/>
    <w:rsid w:val="7F487622"/>
    <w:rsid w:val="7F4A6AF1"/>
    <w:rsid w:val="7F6F0306"/>
    <w:rsid w:val="7F7E49ED"/>
    <w:rsid w:val="7F98785D"/>
    <w:rsid w:val="7FC06DB4"/>
    <w:rsid w:val="7FDF0FB8"/>
    <w:rsid w:val="7FDF36DE"/>
    <w:rsid w:val="7FF0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43"/>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44"/>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7"/>
    <w:qFormat/>
    <w:uiPriority w:val="0"/>
    <w:pPr>
      <w:keepNext/>
      <w:keepLines/>
      <w:spacing w:before="280" w:after="290" w:line="376" w:lineRule="auto"/>
      <w:outlineLvl w:val="3"/>
    </w:pPr>
    <w:rPr>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7">
    <w:name w:val="annotation text"/>
    <w:basedOn w:val="1"/>
    <w:link w:val="61"/>
    <w:qFormat/>
    <w:uiPriority w:val="0"/>
    <w:pPr>
      <w:jc w:val="left"/>
    </w:pPr>
    <w:rPr>
      <w:rFonts w:ascii="Arial" w:hAnsi="Arial" w:eastAsia="黑体" w:cs="Arial"/>
    </w:rPr>
  </w:style>
  <w:style w:type="paragraph" w:styleId="8">
    <w:name w:val="Body Text"/>
    <w:basedOn w:val="1"/>
    <w:qFormat/>
    <w:uiPriority w:val="0"/>
    <w:pPr>
      <w:spacing w:after="120"/>
    </w:pPr>
    <w:rPr>
      <w:rFonts w:ascii="@微软简标宋" w:hAnsi="@微软简标宋" w:eastAsia="@微软简标宋" w:cs="@微软简标宋"/>
      <w:szCs w:val="24"/>
      <w:lang w:val="zh-CN"/>
    </w:rPr>
  </w:style>
  <w:style w:type="paragraph" w:styleId="9">
    <w:name w:val="Body Text Indent"/>
    <w:basedOn w:val="1"/>
    <w:qFormat/>
    <w:uiPriority w:val="0"/>
    <w:pPr>
      <w:spacing w:after="120"/>
      <w:ind w:left="420" w:leftChars="200"/>
    </w:pPr>
  </w:style>
  <w:style w:type="paragraph" w:styleId="10">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1">
    <w:name w:val="Plain Text"/>
    <w:basedOn w:val="1"/>
    <w:link w:val="51"/>
    <w:qFormat/>
    <w:uiPriority w:val="99"/>
    <w:rPr>
      <w:rFonts w:ascii="宋体" w:hAnsi="Courier New" w:eastAsiaTheme="minorEastAsia" w:cstheme="minorBidi"/>
      <w:szCs w:val="22"/>
    </w:rPr>
  </w:style>
  <w:style w:type="paragraph" w:styleId="12">
    <w:name w:val="Date"/>
    <w:basedOn w:val="1"/>
    <w:next w:val="1"/>
    <w:link w:val="58"/>
    <w:qFormat/>
    <w:uiPriority w:val="0"/>
    <w:rPr>
      <w:rFonts w:ascii="Arial" w:hAnsi="Arial" w:eastAsia="宋体" w:cs="Arial"/>
      <w:b/>
      <w:sz w:val="28"/>
    </w:rPr>
  </w:style>
  <w:style w:type="paragraph" w:styleId="13">
    <w:name w:val="Balloon Text"/>
    <w:basedOn w:val="1"/>
    <w:link w:val="45"/>
    <w:semiHidden/>
    <w:unhideWhenUsed/>
    <w:qFormat/>
    <w:uiPriority w:val="99"/>
    <w:rPr>
      <w:sz w:val="18"/>
      <w:szCs w:val="18"/>
    </w:rPr>
  </w:style>
  <w:style w:type="paragraph" w:styleId="14">
    <w:name w:val="footer"/>
    <w:basedOn w:val="1"/>
    <w:link w:val="50"/>
    <w:unhideWhenUsed/>
    <w:qFormat/>
    <w:uiPriority w:val="99"/>
    <w:pPr>
      <w:tabs>
        <w:tab w:val="center" w:pos="4153"/>
        <w:tab w:val="right" w:pos="8306"/>
      </w:tabs>
      <w:snapToGrid w:val="0"/>
      <w:jc w:val="left"/>
    </w:pPr>
    <w:rPr>
      <w:sz w:val="18"/>
      <w:szCs w:val="18"/>
    </w:rPr>
  </w:style>
  <w:style w:type="paragraph" w:styleId="15">
    <w:name w:val="envelope return"/>
    <w:basedOn w:val="1"/>
    <w:qFormat/>
    <w:uiPriority w:val="0"/>
    <w:pPr>
      <w:snapToGrid w:val="0"/>
    </w:pPr>
    <w:rPr>
      <w:rFonts w:ascii="Arial" w:hAnsi="Arial"/>
    </w:rPr>
  </w:style>
  <w:style w:type="paragraph" w:styleId="16">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8">
    <w:name w:val="List"/>
    <w:basedOn w:val="1"/>
    <w:qFormat/>
    <w:uiPriority w:val="0"/>
    <w:pPr>
      <w:ind w:left="420" w:hanging="420"/>
    </w:pPr>
    <w:rPr>
      <w:sz w:val="28"/>
    </w:rPr>
  </w:style>
  <w:style w:type="paragraph" w:styleId="19">
    <w:name w:val="footnote text"/>
    <w:basedOn w:val="1"/>
    <w:semiHidden/>
    <w:unhideWhenUsed/>
    <w:qFormat/>
    <w:uiPriority w:val="99"/>
    <w:pPr>
      <w:snapToGrid w:val="0"/>
      <w:jc w:val="left"/>
    </w:pPr>
    <w:rPr>
      <w:sz w:val="18"/>
    </w:rPr>
  </w:style>
  <w:style w:type="paragraph" w:styleId="20">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1">
    <w:name w:val="Normal (Web)"/>
    <w:basedOn w:val="1"/>
    <w:qFormat/>
    <w:uiPriority w:val="0"/>
    <w:pPr>
      <w:spacing w:before="100" w:beforeAutospacing="1" w:after="100" w:afterAutospacing="1"/>
      <w:jc w:val="left"/>
    </w:pPr>
    <w:rPr>
      <w:rFonts w:cs="Times New Roman"/>
      <w:kern w:val="0"/>
      <w:sz w:val="24"/>
    </w:rPr>
  </w:style>
  <w:style w:type="paragraph" w:styleId="22">
    <w:name w:val="index 1"/>
    <w:basedOn w:val="1"/>
    <w:next w:val="1"/>
    <w:qFormat/>
    <w:uiPriority w:val="0"/>
    <w:pPr>
      <w:jc w:val="center"/>
    </w:pPr>
    <w:rPr>
      <w:rFonts w:ascii="Arial" w:hAnsi="Arial" w:eastAsia="Arial" w:cs="Arial"/>
      <w:b/>
      <w:bCs/>
      <w:sz w:val="28"/>
    </w:rPr>
  </w:style>
  <w:style w:type="paragraph" w:styleId="23">
    <w:name w:val="annotation subject"/>
    <w:basedOn w:val="7"/>
    <w:next w:val="7"/>
    <w:link w:val="70"/>
    <w:semiHidden/>
    <w:unhideWhenUsed/>
    <w:qFormat/>
    <w:uiPriority w:val="99"/>
    <w:rPr>
      <w:rFonts w:ascii="@仿宋_GB2312" w:hAnsi="@仿宋_GB2312" w:eastAsia="@仿宋_GB2312" w:cs="@仿宋_GB2312"/>
      <w:b/>
      <w:bCs/>
    </w:rPr>
  </w:style>
  <w:style w:type="paragraph" w:styleId="24">
    <w:name w:val="Body Text First Indent"/>
    <w:basedOn w:val="8"/>
    <w:unhideWhenUsed/>
    <w:qFormat/>
    <w:uiPriority w:val="99"/>
    <w:pPr>
      <w:ind w:firstLine="420" w:firstLineChars="100"/>
    </w:pPr>
  </w:style>
  <w:style w:type="paragraph" w:styleId="25">
    <w:name w:val="Body Text First Indent 2"/>
    <w:basedOn w:val="9"/>
    <w:unhideWhenUsed/>
    <w:qFormat/>
    <w:uiPriority w:val="99"/>
    <w:pPr>
      <w:ind w:firstLine="420" w:firstLineChars="200"/>
    </w:pPr>
  </w:style>
  <w:style w:type="table" w:styleId="27">
    <w:name w:val="Table Grid"/>
    <w:basedOn w:val="2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FollowedHyperlink"/>
    <w:basedOn w:val="28"/>
    <w:semiHidden/>
    <w:unhideWhenUsed/>
    <w:qFormat/>
    <w:uiPriority w:val="99"/>
    <w:rPr>
      <w:color w:val="800080"/>
      <w:u w:val="none"/>
    </w:rPr>
  </w:style>
  <w:style w:type="character" w:styleId="31">
    <w:name w:val="Emphasis"/>
    <w:basedOn w:val="28"/>
    <w:qFormat/>
    <w:uiPriority w:val="20"/>
    <w:rPr>
      <w:b/>
      <w:bCs/>
    </w:rPr>
  </w:style>
  <w:style w:type="character" w:styleId="32">
    <w:name w:val="HTML Definition"/>
    <w:basedOn w:val="28"/>
    <w:semiHidden/>
    <w:unhideWhenUsed/>
    <w:qFormat/>
    <w:uiPriority w:val="99"/>
  </w:style>
  <w:style w:type="character" w:styleId="33">
    <w:name w:val="HTML Typewriter"/>
    <w:basedOn w:val="28"/>
    <w:semiHidden/>
    <w:unhideWhenUsed/>
    <w:qFormat/>
    <w:uiPriority w:val="99"/>
    <w:rPr>
      <w:rFonts w:hint="default" w:ascii="monospace" w:hAnsi="monospace" w:eastAsia="monospace" w:cs="monospace"/>
      <w:sz w:val="20"/>
    </w:rPr>
  </w:style>
  <w:style w:type="character" w:styleId="34">
    <w:name w:val="HTML Acronym"/>
    <w:basedOn w:val="28"/>
    <w:semiHidden/>
    <w:unhideWhenUsed/>
    <w:qFormat/>
    <w:uiPriority w:val="99"/>
  </w:style>
  <w:style w:type="character" w:styleId="35">
    <w:name w:val="HTML Variable"/>
    <w:basedOn w:val="28"/>
    <w:semiHidden/>
    <w:unhideWhenUsed/>
    <w:qFormat/>
    <w:uiPriority w:val="99"/>
    <w:rPr>
      <w:bdr w:val="single" w:color="D6D6D6" w:sz="6" w:space="0"/>
      <w:shd w:val="clear" w:color="auto" w:fill="FFFFFF"/>
    </w:rPr>
  </w:style>
  <w:style w:type="character" w:styleId="36">
    <w:name w:val="Hyperlink"/>
    <w:basedOn w:val="28"/>
    <w:unhideWhenUsed/>
    <w:qFormat/>
    <w:uiPriority w:val="99"/>
    <w:rPr>
      <w:color w:val="0000FF" w:themeColor="hyperlink"/>
      <w:u w:val="single"/>
      <w14:textFill>
        <w14:solidFill>
          <w14:schemeClr w14:val="hlink"/>
        </w14:solidFill>
      </w14:textFill>
    </w:rPr>
  </w:style>
  <w:style w:type="character" w:styleId="37">
    <w:name w:val="HTML Code"/>
    <w:basedOn w:val="28"/>
    <w:semiHidden/>
    <w:unhideWhenUsed/>
    <w:qFormat/>
    <w:uiPriority w:val="99"/>
    <w:rPr>
      <w:rFonts w:hint="default" w:ascii="monospace" w:hAnsi="monospace" w:eastAsia="monospace" w:cs="monospace"/>
      <w:color w:val="FFFFFF"/>
      <w:sz w:val="19"/>
      <w:szCs w:val="19"/>
      <w:shd w:val="clear" w:color="auto" w:fill="F6F6F6"/>
    </w:rPr>
  </w:style>
  <w:style w:type="character" w:styleId="38">
    <w:name w:val="annotation reference"/>
    <w:basedOn w:val="28"/>
    <w:semiHidden/>
    <w:unhideWhenUsed/>
    <w:qFormat/>
    <w:uiPriority w:val="99"/>
    <w:rPr>
      <w:sz w:val="21"/>
      <w:szCs w:val="21"/>
    </w:rPr>
  </w:style>
  <w:style w:type="character" w:styleId="39">
    <w:name w:val="HTML Cite"/>
    <w:basedOn w:val="28"/>
    <w:semiHidden/>
    <w:unhideWhenUsed/>
    <w:qFormat/>
    <w:uiPriority w:val="99"/>
  </w:style>
  <w:style w:type="character" w:styleId="40">
    <w:name w:val="footnote reference"/>
    <w:basedOn w:val="28"/>
    <w:semiHidden/>
    <w:unhideWhenUsed/>
    <w:qFormat/>
    <w:uiPriority w:val="99"/>
    <w:rPr>
      <w:vertAlign w:val="superscript"/>
    </w:rPr>
  </w:style>
  <w:style w:type="character" w:styleId="41">
    <w:name w:val="HTML Keyboard"/>
    <w:basedOn w:val="28"/>
    <w:semiHidden/>
    <w:unhideWhenUsed/>
    <w:qFormat/>
    <w:uiPriority w:val="99"/>
    <w:rPr>
      <w:rFonts w:hint="default" w:ascii="monospace" w:hAnsi="monospace" w:eastAsia="monospace" w:cs="monospace"/>
      <w:sz w:val="20"/>
    </w:rPr>
  </w:style>
  <w:style w:type="character" w:styleId="42">
    <w:name w:val="HTML Sample"/>
    <w:basedOn w:val="28"/>
    <w:semiHidden/>
    <w:unhideWhenUsed/>
    <w:qFormat/>
    <w:uiPriority w:val="99"/>
    <w:rPr>
      <w:rFonts w:ascii="monospace" w:hAnsi="monospace" w:eastAsia="monospace" w:cs="monospace"/>
    </w:rPr>
  </w:style>
  <w:style w:type="character" w:customStyle="1" w:styleId="43">
    <w:name w:val="标题 1 Char"/>
    <w:basedOn w:val="28"/>
    <w:link w:val="2"/>
    <w:qFormat/>
    <w:uiPriority w:val="9"/>
    <w:rPr>
      <w:rFonts w:ascii="@仿宋_GB2312" w:hAnsi="@仿宋_GB2312" w:eastAsia="@仿宋_GB2312" w:cs="@仿宋_GB2312"/>
      <w:b/>
      <w:bCs/>
      <w:kern w:val="44"/>
      <w:sz w:val="44"/>
      <w:szCs w:val="44"/>
    </w:rPr>
  </w:style>
  <w:style w:type="character" w:customStyle="1" w:styleId="44">
    <w:name w:val="标题 3 Char"/>
    <w:basedOn w:val="28"/>
    <w:link w:val="4"/>
    <w:semiHidden/>
    <w:qFormat/>
    <w:uiPriority w:val="9"/>
    <w:rPr>
      <w:rFonts w:ascii="@仿宋_GB2312" w:hAnsi="@仿宋_GB2312" w:eastAsia="@仿宋_GB2312" w:cs="@仿宋_GB2312"/>
      <w:b/>
      <w:bCs/>
      <w:sz w:val="32"/>
      <w:szCs w:val="32"/>
    </w:rPr>
  </w:style>
  <w:style w:type="character" w:customStyle="1" w:styleId="45">
    <w:name w:val="批注框文本 Char"/>
    <w:basedOn w:val="28"/>
    <w:link w:val="13"/>
    <w:semiHidden/>
    <w:qFormat/>
    <w:uiPriority w:val="99"/>
    <w:rPr>
      <w:rFonts w:ascii="@仿宋_GB2312" w:hAnsi="@仿宋_GB2312" w:eastAsia="@仿宋_GB2312" w:cs="@仿宋_GB2312"/>
      <w:sz w:val="18"/>
      <w:szCs w:val="18"/>
    </w:rPr>
  </w:style>
  <w:style w:type="paragraph" w:customStyle="1" w:styleId="46">
    <w:name w:val="正文（缩进）"/>
    <w:basedOn w:val="1"/>
    <w:qFormat/>
    <w:uiPriority w:val="0"/>
    <w:pPr>
      <w:widowControl/>
      <w:spacing w:before="156" w:after="156"/>
      <w:ind w:firstLine="480" w:firstLineChars="200"/>
      <w:jc w:val="left"/>
    </w:pPr>
    <w:rPr>
      <w:kern w:val="0"/>
      <w:sz w:val="24"/>
      <w:szCs w:val="24"/>
    </w:rPr>
  </w:style>
  <w:style w:type="paragraph" w:customStyle="1" w:styleId="47">
    <w:name w:val="xl31"/>
    <w:basedOn w:val="1"/>
    <w:qFormat/>
    <w:uiPriority w:val="0"/>
    <w:pPr>
      <w:widowControl/>
      <w:spacing w:before="100" w:beforeAutospacing="1" w:after="100" w:afterAutospacing="1"/>
      <w:jc w:val="center"/>
    </w:pPr>
    <w:rPr>
      <w:b/>
      <w:bCs/>
      <w:kern w:val="0"/>
      <w:sz w:val="28"/>
      <w:szCs w:val="28"/>
    </w:rPr>
  </w:style>
  <w:style w:type="paragraph" w:customStyle="1" w:styleId="48">
    <w:name w:val="D&amp;L"/>
    <w:basedOn w:val="16"/>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9">
    <w:name w:val="页眉 Char"/>
    <w:basedOn w:val="28"/>
    <w:link w:val="16"/>
    <w:qFormat/>
    <w:uiPriority w:val="99"/>
    <w:rPr>
      <w:rFonts w:ascii="@仿宋_GB2312" w:hAnsi="@仿宋_GB2312" w:eastAsia="@仿宋_GB2312" w:cs="@仿宋_GB2312"/>
      <w:sz w:val="18"/>
      <w:szCs w:val="18"/>
    </w:rPr>
  </w:style>
  <w:style w:type="character" w:customStyle="1" w:styleId="50">
    <w:name w:val="页脚 Char"/>
    <w:basedOn w:val="28"/>
    <w:link w:val="14"/>
    <w:qFormat/>
    <w:uiPriority w:val="99"/>
    <w:rPr>
      <w:rFonts w:ascii="@仿宋_GB2312" w:hAnsi="@仿宋_GB2312" w:eastAsia="@仿宋_GB2312" w:cs="@仿宋_GB2312"/>
      <w:sz w:val="18"/>
      <w:szCs w:val="18"/>
    </w:rPr>
  </w:style>
  <w:style w:type="character" w:customStyle="1" w:styleId="51">
    <w:name w:val="纯文本 Char"/>
    <w:link w:val="11"/>
    <w:qFormat/>
    <w:uiPriority w:val="0"/>
    <w:rPr>
      <w:rFonts w:ascii="宋体" w:hAnsi="Courier New"/>
    </w:rPr>
  </w:style>
  <w:style w:type="character" w:customStyle="1" w:styleId="52">
    <w:name w:val="纯文本 字符1"/>
    <w:basedOn w:val="28"/>
    <w:semiHidden/>
    <w:qFormat/>
    <w:uiPriority w:val="99"/>
    <w:rPr>
      <w:rFonts w:hAnsi="Courier New" w:cs="Courier New" w:asciiTheme="minorEastAsia"/>
      <w:szCs w:val="20"/>
    </w:rPr>
  </w:style>
  <w:style w:type="character" w:customStyle="1" w:styleId="53">
    <w:name w:val="未处理的提及1"/>
    <w:basedOn w:val="28"/>
    <w:semiHidden/>
    <w:unhideWhenUsed/>
    <w:qFormat/>
    <w:uiPriority w:val="99"/>
    <w:rPr>
      <w:color w:val="605E5C"/>
      <w:shd w:val="clear" w:color="auto" w:fill="E1DFDD"/>
    </w:rPr>
  </w:style>
  <w:style w:type="paragraph" w:styleId="54">
    <w:name w:val="List Paragraph"/>
    <w:basedOn w:val="1"/>
    <w:qFormat/>
    <w:uiPriority w:val="34"/>
    <w:pPr>
      <w:ind w:firstLine="420" w:firstLineChars="200"/>
    </w:pPr>
  </w:style>
  <w:style w:type="paragraph" w:customStyle="1" w:styleId="55">
    <w:name w:val="Char Char Char Char Char Char Char1 Char"/>
    <w:basedOn w:val="1"/>
    <w:qFormat/>
    <w:uiPriority w:val="0"/>
    <w:rPr>
      <w:rFonts w:ascii="Arial" w:hAnsi="Arial" w:eastAsia="宋体" w:cs="Arial"/>
      <w:sz w:val="24"/>
    </w:rPr>
  </w:style>
  <w:style w:type="table" w:customStyle="1" w:styleId="56">
    <w:name w:val="网格表 1 浅色1"/>
    <w:basedOn w:val="26"/>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7">
    <w:name w:val="日期 字符"/>
    <w:basedOn w:val="28"/>
    <w:semiHidden/>
    <w:qFormat/>
    <w:uiPriority w:val="99"/>
    <w:rPr>
      <w:rFonts w:ascii="@仿宋_GB2312" w:hAnsi="@仿宋_GB2312" w:eastAsia="@仿宋_GB2312" w:cs="@仿宋_GB2312"/>
      <w:szCs w:val="20"/>
    </w:rPr>
  </w:style>
  <w:style w:type="character" w:customStyle="1" w:styleId="58">
    <w:name w:val="日期 Char"/>
    <w:link w:val="12"/>
    <w:qFormat/>
    <w:uiPriority w:val="0"/>
    <w:rPr>
      <w:rFonts w:ascii="Arial" w:hAnsi="Arial" w:eastAsia="宋体" w:cs="Arial"/>
      <w:b/>
      <w:sz w:val="28"/>
      <w:szCs w:val="20"/>
    </w:rPr>
  </w:style>
  <w:style w:type="character" w:customStyle="1" w:styleId="59">
    <w:name w:val="纯文本 Char1"/>
    <w:qFormat/>
    <w:locked/>
    <w:uiPriority w:val="99"/>
    <w:rPr>
      <w:rFonts w:ascii="Arial" w:hAnsi="Arial" w:eastAsia="Arial"/>
      <w:kern w:val="2"/>
      <w:sz w:val="21"/>
      <w:lang w:val="en-US" w:eastAsia="zh-CN" w:bidi="ar-SA"/>
    </w:rPr>
  </w:style>
  <w:style w:type="character" w:customStyle="1" w:styleId="60">
    <w:name w:val="批注文字 Char"/>
    <w:basedOn w:val="28"/>
    <w:semiHidden/>
    <w:qFormat/>
    <w:uiPriority w:val="99"/>
    <w:rPr>
      <w:rFonts w:ascii="@仿宋_GB2312" w:hAnsi="@仿宋_GB2312" w:eastAsia="@仿宋_GB2312" w:cs="@仿宋_GB2312"/>
      <w:szCs w:val="20"/>
    </w:rPr>
  </w:style>
  <w:style w:type="character" w:customStyle="1" w:styleId="61">
    <w:name w:val="批注文字 Char1"/>
    <w:link w:val="7"/>
    <w:qFormat/>
    <w:uiPriority w:val="0"/>
    <w:rPr>
      <w:rFonts w:ascii="Arial" w:hAnsi="Arial" w:eastAsia="黑体" w:cs="Arial"/>
      <w:szCs w:val="20"/>
    </w:rPr>
  </w:style>
  <w:style w:type="paragraph" w:customStyle="1" w:styleId="62">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3">
    <w:name w:val="fontstyle01"/>
    <w:basedOn w:val="28"/>
    <w:qFormat/>
    <w:uiPriority w:val="0"/>
    <w:rPr>
      <w:rFonts w:hint="eastAsia" w:ascii="宋体" w:hAnsi="宋体" w:eastAsia="宋体"/>
      <w:color w:val="000000"/>
      <w:sz w:val="22"/>
      <w:szCs w:val="22"/>
    </w:rPr>
  </w:style>
  <w:style w:type="character" w:customStyle="1" w:styleId="64">
    <w:name w:val="fontstyle21"/>
    <w:basedOn w:val="28"/>
    <w:qFormat/>
    <w:uiPriority w:val="0"/>
    <w:rPr>
      <w:rFonts w:hint="default" w:ascii="TimesNewRomanPSMT" w:hAnsi="TimesNewRomanPSMT"/>
      <w:color w:val="000000"/>
      <w:sz w:val="22"/>
      <w:szCs w:val="22"/>
    </w:rPr>
  </w:style>
  <w:style w:type="character" w:customStyle="1" w:styleId="65">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66">
    <w:name w:val="标题 4 字符"/>
    <w:basedOn w:val="28"/>
    <w:semiHidden/>
    <w:qFormat/>
    <w:uiPriority w:val="9"/>
    <w:rPr>
      <w:rFonts w:asciiTheme="majorHAnsi" w:hAnsiTheme="majorHAnsi" w:eastAsiaTheme="majorEastAsia" w:cstheme="majorBidi"/>
      <w:b/>
      <w:bCs/>
      <w:sz w:val="28"/>
      <w:szCs w:val="28"/>
    </w:rPr>
  </w:style>
  <w:style w:type="character" w:customStyle="1" w:styleId="67">
    <w:name w:val="标题 4 Char1"/>
    <w:link w:val="5"/>
    <w:qFormat/>
    <w:uiPriority w:val="0"/>
    <w:rPr>
      <w:rFonts w:ascii="@仿宋_GB2312" w:hAnsi="@仿宋_GB2312" w:eastAsia="@仿宋_GB2312" w:cs="@仿宋_GB2312"/>
      <w:b/>
      <w:bCs/>
      <w:sz w:val="28"/>
      <w:szCs w:val="28"/>
    </w:rPr>
  </w:style>
  <w:style w:type="character" w:customStyle="1" w:styleId="68">
    <w:name w:val="标题 4 Char"/>
    <w:qFormat/>
    <w:uiPriority w:val="0"/>
    <w:rPr>
      <w:rFonts w:ascii="Arial" w:hAnsi="Arial" w:eastAsia="Arial"/>
      <w:b/>
      <w:bCs/>
      <w:kern w:val="2"/>
      <w:sz w:val="28"/>
      <w:szCs w:val="28"/>
      <w:lang w:val="en-US" w:eastAsia="zh-CN" w:bidi="ar-SA"/>
    </w:rPr>
  </w:style>
  <w:style w:type="table" w:customStyle="1" w:styleId="69">
    <w:name w:val="网格型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0">
    <w:name w:val="批注主题 Char"/>
    <w:basedOn w:val="61"/>
    <w:link w:val="23"/>
    <w:semiHidden/>
    <w:qFormat/>
    <w:uiPriority w:val="99"/>
    <w:rPr>
      <w:rFonts w:ascii="@仿宋_GB2312" w:hAnsi="@仿宋_GB2312" w:eastAsia="@仿宋_GB2312" w:cs="@仿宋_GB2312"/>
      <w:b/>
      <w:bCs/>
      <w:szCs w:val="20"/>
    </w:rPr>
  </w:style>
  <w:style w:type="table" w:customStyle="1" w:styleId="71">
    <w:name w:val="Table Normal"/>
    <w:semiHidden/>
    <w:unhideWhenUsed/>
    <w:qFormat/>
    <w:uiPriority w:val="0"/>
    <w:tblPr>
      <w:tblCellMar>
        <w:top w:w="0" w:type="dxa"/>
        <w:left w:w="0" w:type="dxa"/>
        <w:bottom w:w="0" w:type="dxa"/>
        <w:right w:w="0" w:type="dxa"/>
      </w:tblCellMar>
    </w:tblPr>
  </w:style>
  <w:style w:type="paragraph" w:customStyle="1" w:styleId="72">
    <w:name w:val="Table Text"/>
    <w:basedOn w:val="1"/>
    <w:semiHidden/>
    <w:qFormat/>
    <w:uiPriority w:val="0"/>
    <w:rPr>
      <w:rFonts w:ascii="Arial" w:hAnsi="Arial" w:eastAsia="Arial" w:cs="Arial"/>
      <w:szCs w:val="21"/>
      <w:lang w:eastAsia="en-US"/>
    </w:rPr>
  </w:style>
  <w:style w:type="paragraph" w:customStyle="1" w:styleId="7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4">
    <w:name w:val="列出段落1"/>
    <w:basedOn w:val="1"/>
    <w:qFormat/>
    <w:uiPriority w:val="0"/>
    <w:pPr>
      <w:ind w:firstLine="420" w:firstLineChars="200"/>
    </w:pPr>
    <w:rPr>
      <w:szCs w:val="21"/>
    </w:rPr>
  </w:style>
  <w:style w:type="character" w:customStyle="1" w:styleId="75">
    <w:name w:val="hover"/>
    <w:basedOn w:val="28"/>
    <w:qFormat/>
    <w:uiPriority w:val="0"/>
    <w:rPr>
      <w:color w:val="2590EB"/>
    </w:rPr>
  </w:style>
  <w:style w:type="character" w:customStyle="1" w:styleId="76">
    <w:name w:val="hover1"/>
    <w:basedOn w:val="28"/>
    <w:qFormat/>
    <w:uiPriority w:val="0"/>
    <w:rPr>
      <w:color w:val="2590EB"/>
    </w:rPr>
  </w:style>
  <w:style w:type="character" w:customStyle="1" w:styleId="77">
    <w:name w:val="hover2"/>
    <w:basedOn w:val="28"/>
    <w:qFormat/>
    <w:uiPriority w:val="0"/>
  </w:style>
  <w:style w:type="character" w:customStyle="1" w:styleId="78">
    <w:name w:val="hover3"/>
    <w:basedOn w:val="28"/>
    <w:qFormat/>
    <w:uiPriority w:val="0"/>
  </w:style>
  <w:style w:type="paragraph" w:customStyle="1" w:styleId="79">
    <w:name w:val="样式 首行缩进:  2 字符"/>
    <w:basedOn w:val="1"/>
    <w:qFormat/>
    <w:uiPriority w:val="0"/>
    <w:pPr>
      <w:ind w:firstLine="600" w:firstLineChars="200"/>
    </w:pPr>
    <w:rPr>
      <w:rFonts w:cs="宋体"/>
      <w:sz w:val="28"/>
    </w:rPr>
  </w:style>
  <w:style w:type="paragraph" w:customStyle="1" w:styleId="80">
    <w:name w:val="列表段落1"/>
    <w:basedOn w:val="1"/>
    <w:qFormat/>
    <w:uiPriority w:val="34"/>
    <w:pPr>
      <w:ind w:firstLine="420"/>
    </w:pPr>
    <w:rPr>
      <w:rFonts w:ascii="Calibri" w:hAnsi="Calibri" w:eastAsia="等线" w:cs="Times New Roman"/>
      <w:szCs w:val="24"/>
    </w:rPr>
  </w:style>
  <w:style w:type="character" w:customStyle="1" w:styleId="81">
    <w:name w:val="font21"/>
    <w:basedOn w:val="28"/>
    <w:qFormat/>
    <w:uiPriority w:val="0"/>
    <w:rPr>
      <w:rFonts w:hint="eastAsia" w:ascii="宋体" w:hAnsi="宋体" w:eastAsia="宋体" w:cs="宋体"/>
      <w:color w:val="000000"/>
      <w:sz w:val="16"/>
      <w:szCs w:val="16"/>
      <w:u w:val="none"/>
    </w:rPr>
  </w:style>
  <w:style w:type="character" w:customStyle="1" w:styleId="82">
    <w:name w:val="font41"/>
    <w:basedOn w:val="28"/>
    <w:qFormat/>
    <w:uiPriority w:val="0"/>
    <w:rPr>
      <w:rFonts w:hint="eastAsia" w:ascii="宋体" w:hAnsi="宋体" w:eastAsia="宋体" w:cs="宋体"/>
      <w:color w:val="FF0000"/>
      <w:sz w:val="16"/>
      <w:szCs w:val="16"/>
      <w:u w:val="none"/>
    </w:rPr>
  </w:style>
  <w:style w:type="character" w:customStyle="1" w:styleId="83">
    <w:name w:val="font51"/>
    <w:basedOn w:val="28"/>
    <w:qFormat/>
    <w:uiPriority w:val="0"/>
    <w:rPr>
      <w:rFonts w:hint="eastAsia" w:ascii="宋体" w:hAnsi="宋体" w:eastAsia="宋体" w:cs="宋体"/>
      <w:color w:val="000000"/>
      <w:sz w:val="12"/>
      <w:szCs w:val="12"/>
      <w:u w:val="none"/>
    </w:rPr>
  </w:style>
  <w:style w:type="character" w:customStyle="1" w:styleId="84">
    <w:name w:val="font61"/>
    <w:basedOn w:val="28"/>
    <w:qFormat/>
    <w:uiPriority w:val="0"/>
    <w:rPr>
      <w:rFonts w:hint="default" w:ascii="Calibri" w:hAnsi="Calibri" w:cs="Calibri"/>
      <w:color w:val="000000"/>
      <w:sz w:val="16"/>
      <w:szCs w:val="16"/>
      <w:u w:val="none"/>
    </w:rPr>
  </w:style>
  <w:style w:type="paragraph" w:customStyle="1" w:styleId="85">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6">
    <w:name w:val="List Paragraph1"/>
    <w:basedOn w:val="1"/>
    <w:qFormat/>
    <w:uiPriority w:val="34"/>
    <w:pPr>
      <w:spacing w:line="360" w:lineRule="auto"/>
      <w:ind w:firstLine="420" w:firstLineChars="200"/>
    </w:pPr>
    <w:rPr>
      <w:rFonts w:ascii="Calibri" w:hAnsi="Calibri" w:cs="Times New Roman"/>
      <w:sz w:val="24"/>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111</Pages>
  <Words>15101</Words>
  <Characters>16244</Characters>
  <Lines>278</Lines>
  <Paragraphs>78</Paragraphs>
  <TotalTime>1</TotalTime>
  <ScaleCrop>false</ScaleCrop>
  <LinksUpToDate>false</LinksUpToDate>
  <CharactersWithSpaces>16698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2024-10-15T08:32:00Z</dcterms:created>
  <dc:creator>Anakin</dc:creator>
  <cp:lastModifiedBy>Administrator</cp:lastModifiedBy>
  <cp:lastPrinted>2025-09-10T03:47:00Z</cp:lastPrinted>
  <dcterms:modified xsi:type="dcterms:W3CDTF">2025-09-12T01:13:29Z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06D40B70C65645FCABA0D3D6086CCE7C_13</vt:lpwstr>
  </property>
  <property fmtid="{D5CDD505-2E9C-101B-9397-08002B2CF9AE}" pid="4" name="KSOTemplateDocerSaveRecord">
    <vt:lpwstr>eyJoZGlkIjoiNTBiMTc2N2NmNzVlYWNlZjczODdmNGQwOGFiYzk3YWYiLCJ1c2VySWQiOiI5MTg5MjkyMTgifQ==</vt:lpwstr>
  </property>
</Properties>
</file>