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3B945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lang w:val="en-US" w:eastAsia="zh-CN"/>
        </w:rPr>
      </w:pPr>
      <w:bookmarkStart w:id="0" w:name="_Toc35393813"/>
      <w:r>
        <w:rPr>
          <w:rFonts w:hint="eastAsia" w:ascii="华文中宋" w:hAnsi="华文中宋" w:eastAsia="华文中宋"/>
          <w:lang w:eastAsia="zh-CN"/>
        </w:rPr>
        <w:t>安徽省生态环境监测中心应急监测和实验室监测能力提升项目</w:t>
      </w:r>
      <w:r>
        <w:rPr>
          <w:rFonts w:hint="eastAsia" w:ascii="华文中宋" w:hAnsi="华文中宋" w:eastAsia="华文中宋"/>
        </w:rPr>
        <w:t>更正公告</w:t>
      </w:r>
      <w:bookmarkEnd w:id="0"/>
    </w:p>
    <w:p w14:paraId="27FF1592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35393645"/>
      <w:bookmarkStart w:id="2" w:name="_Toc28359027"/>
      <w:bookmarkStart w:id="3" w:name="_Toc28359104"/>
      <w:bookmarkStart w:id="4" w:name="_Toc3539381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57131082"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原公告的采购项目编号：ZFCG-202616100050</w:t>
      </w:r>
      <w:r>
        <w:rPr>
          <w:rFonts w:hint="eastAsia" w:ascii="仿宋" w:hAnsi="仿宋" w:eastAsia="仿宋"/>
          <w:sz w:val="28"/>
          <w:szCs w:val="28"/>
          <w:u w:val="none"/>
        </w:rPr>
        <w:t>　　</w:t>
      </w:r>
    </w:p>
    <w:p w14:paraId="09D1F1A4"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原公告的采购项目名称：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安徽省生态环境监测中心应急监测和实验室监测能力提升项目</w:t>
      </w:r>
      <w:r>
        <w:rPr>
          <w:rFonts w:hint="eastAsia" w:ascii="仿宋" w:hAnsi="仿宋" w:eastAsia="仿宋"/>
          <w:sz w:val="28"/>
          <w:szCs w:val="28"/>
          <w:u w:val="none"/>
        </w:rPr>
        <w:t>　</w:t>
      </w:r>
    </w:p>
    <w:p w14:paraId="0C190589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none"/>
        </w:rPr>
        <w:t>首次公告日期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  <w:u w:val="none"/>
        </w:rPr>
        <w:t>202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u w:val="none"/>
        </w:rPr>
        <w:t>年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  <w:u w:val="none"/>
        </w:rPr>
        <w:t>月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  <w:u w:val="none"/>
        </w:rPr>
        <w:t>日　　</w:t>
      </w:r>
    </w:p>
    <w:p w14:paraId="6717993B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28359105"/>
      <w:bookmarkStart w:id="6" w:name="_Toc28359028"/>
      <w:bookmarkStart w:id="7" w:name="_Toc35393646"/>
      <w:bookmarkStart w:id="8" w:name="_Toc35393815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5E3C6011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仿宋" w:hAnsi="仿宋" w:eastAsia="仿宋"/>
          <w:sz w:val="28"/>
          <w:szCs w:val="28"/>
          <w:lang w:eastAsia="zh-CN"/>
        </w:rPr>
        <w:t>□</w:t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采购文件 □采购结果     </w:t>
      </w:r>
    </w:p>
    <w:p w14:paraId="4CF5B13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5"/>
        <w:gridCol w:w="1903"/>
        <w:gridCol w:w="4111"/>
      </w:tblGrid>
      <w:tr w14:paraId="3FD55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005" w:type="dxa"/>
            <w:noWrap w:val="0"/>
            <w:vAlign w:val="center"/>
          </w:tcPr>
          <w:p w14:paraId="66DD5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更正项</w:t>
            </w:r>
          </w:p>
        </w:tc>
        <w:tc>
          <w:tcPr>
            <w:tcW w:w="1903" w:type="dxa"/>
            <w:noWrap w:val="0"/>
            <w:vAlign w:val="center"/>
          </w:tcPr>
          <w:p w14:paraId="1384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更正前内容</w:t>
            </w:r>
          </w:p>
        </w:tc>
        <w:tc>
          <w:tcPr>
            <w:tcW w:w="4111" w:type="dxa"/>
            <w:noWrap w:val="0"/>
            <w:vAlign w:val="center"/>
          </w:tcPr>
          <w:p w14:paraId="03130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更正后内容</w:t>
            </w:r>
          </w:p>
        </w:tc>
      </w:tr>
      <w:tr w14:paraId="7FF7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3005" w:type="dxa"/>
            <w:noWrap w:val="0"/>
            <w:vAlign w:val="center"/>
          </w:tcPr>
          <w:p w14:paraId="592C2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第三章采购需求-第3包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  <w:t>货物需求清单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-手持式叶绿素/藻密度快速测定仪</w:t>
            </w:r>
          </w:p>
        </w:tc>
        <w:tc>
          <w:tcPr>
            <w:tcW w:w="1903" w:type="dxa"/>
            <w:noWrap w:val="0"/>
            <w:vAlign w:val="center"/>
          </w:tcPr>
          <w:p w14:paraId="53B44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原招标文件中手持式叶绿素/藻密度快速测定仪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技术参数及要求</w:t>
            </w:r>
          </w:p>
        </w:tc>
        <w:tc>
          <w:tcPr>
            <w:tcW w:w="4111" w:type="dxa"/>
            <w:noWrap w:val="0"/>
            <w:vAlign w:val="center"/>
          </w:tcPr>
          <w:p w14:paraId="5A6D5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★1. 仪器基于多波长荧光法，配备至少4个波段的激发光源并可同时激发；通过计算各群落结构所贡献的荧光效应，反演出各群落结构藻类的叶绿素a含量。（提供加盖公章的设备实物图及证明其具备至少4个波段的证明材料）</w:t>
            </w:r>
          </w:p>
          <w:p w14:paraId="22E4A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★2. 测量参数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包括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但不限于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蓝藻叶绿素a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的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浓度和总叶绿素a浓度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，并可基于测量结果自动估算蓝藻藻密度及总藻密度。同时，应至少具备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浊度补偿功能（提供相关计量单位出具的报告作为证明）</w:t>
            </w:r>
          </w:p>
          <w:p w14:paraId="6F29D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●3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仪器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测量范围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：以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叶绿素a（纯藻标定）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计，应包含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0～400 μg/L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区间；以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藻密度（纯藻标定）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计，应包含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0～4×10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superscript"/>
                <w:lang w:val="en-US" w:eastAsia="zh-CN"/>
              </w:rPr>
              <w:t>8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个/L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区间。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（提供相关计量单位出具的报告作为证明）</w:t>
            </w:r>
          </w:p>
          <w:p w14:paraId="14234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仪器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分辨率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应≤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0.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μg/L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（以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叶绿素a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计）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。（以操作软件实际显示为准）</w:t>
            </w:r>
          </w:p>
          <w:p w14:paraId="47F94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仪器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检出限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应≤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0.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μg/L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（以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叶绿素a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计）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 w14:paraId="64A1A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仪器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线性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应≥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0.9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，纯藻样或水样连续稀释，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至少包含5个点（零点除外）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；</w:t>
            </w:r>
            <w:bookmarkStart w:id="27" w:name="_GoBack"/>
            <w:bookmarkEnd w:id="27"/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精密度应在±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%范围内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 w14:paraId="136CF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 仪器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应具备快速测定藻密度功能：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开机即测量（开机后预热时间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应≤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1分钟）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，无需进行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样品标定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样品前处理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等操作步骤，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单次测量时间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应≤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20秒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 w14:paraId="16C2F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仪器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主机（实际测量时，仪器入水部分）重量不超过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千克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，整机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外壳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为耐腐蚀材质，具备防水防摔性能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 w14:paraId="5AC89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仪器电池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连续工作时间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应≥6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小时，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电池可更换或一体化不可拆卸均可，若为可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更换电池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，则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配置不少于2组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电池。</w:t>
            </w:r>
          </w:p>
          <w:p w14:paraId="21FA1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仪器应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包含RS485或RS232通讯协议、USB 接口或配置无线通讯协议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；可存储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数据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文件≥1万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条，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且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可导出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为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xlsx、csv等常见格式文件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 w14:paraId="629BB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仪器基本配置：包括但不限于主机1台、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手持式操作终端1台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以及电源适配器、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电缆连接线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和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便携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仪器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箱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等必要硬件和配件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 w14:paraId="71705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968820E">
      <w:pPr>
        <w:ind w:firstLine="482" w:firstLineChars="200"/>
        <w:rPr>
          <w:rFonts w:hint="eastAsia" w:ascii="宋体" w:hAnsi="宋体" w:eastAsia="宋体"/>
          <w:b/>
          <w:bCs/>
          <w:sz w:val="24"/>
          <w:szCs w:val="18"/>
        </w:rPr>
      </w:pPr>
    </w:p>
    <w:p w14:paraId="7C78F666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更正日期：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年7月7日</w:t>
      </w:r>
      <w:r>
        <w:rPr>
          <w:rFonts w:hint="eastAsia" w:ascii="仿宋" w:hAnsi="仿宋" w:eastAsia="仿宋"/>
          <w:sz w:val="28"/>
          <w:szCs w:val="28"/>
          <w:u w:val="single"/>
        </w:rPr>
        <w:t>　　</w:t>
      </w:r>
    </w:p>
    <w:p w14:paraId="09D3414C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9" w:name="_Toc35393816"/>
      <w:bookmarkStart w:id="10" w:name="_Toc35393647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9"/>
      <w:bookmarkEnd w:id="10"/>
    </w:p>
    <w:p w14:paraId="19D02CB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更正公告的内容作为招标文件的组成部分，其余内容不变。</w:t>
      </w:r>
    </w:p>
    <w:p w14:paraId="1DF456D1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28359106"/>
      <w:bookmarkStart w:id="12" w:name="_Toc28359029"/>
      <w:bookmarkStart w:id="13" w:name="_Toc35393648"/>
      <w:bookmarkStart w:id="14" w:name="_Toc35393817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1C2DD6A1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5" w:name="_Toc28359107"/>
      <w:bookmarkStart w:id="16" w:name="_Toc28359030"/>
      <w:bookmarkStart w:id="17" w:name="_Toc35393818"/>
      <w:bookmarkStart w:id="18" w:name="_Toc35393649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5"/>
      <w:bookmarkEnd w:id="16"/>
      <w:bookmarkEnd w:id="17"/>
      <w:bookmarkEnd w:id="18"/>
    </w:p>
    <w:p w14:paraId="5D67BF9F">
      <w:pPr>
        <w:ind w:firstLine="560" w:firstLineChars="200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名  称：安徽省生态环境监测中心（安徽省重污染天气预报预警中心、安徽省机动车排气污染监控中心）</w:t>
      </w:r>
    </w:p>
    <w:p w14:paraId="5A944DB5">
      <w:pPr>
        <w:ind w:firstLine="560" w:firstLineChars="200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  址：合肥市怀宁路1766号</w:t>
      </w:r>
    </w:p>
    <w:p w14:paraId="03A59536"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联系方式：0551-62826678　　　　</w:t>
      </w:r>
    </w:p>
    <w:p w14:paraId="2812B9AC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  <w:u w:val="none"/>
        </w:rPr>
      </w:pPr>
      <w:bookmarkStart w:id="19" w:name="_Toc35393819"/>
      <w:bookmarkStart w:id="20" w:name="_Toc28359108"/>
      <w:bookmarkStart w:id="21" w:name="_Toc28359031"/>
      <w:bookmarkStart w:id="22" w:name="_Toc35393650"/>
      <w:r>
        <w:rPr>
          <w:rFonts w:hint="eastAsia" w:ascii="仿宋" w:hAnsi="仿宋" w:eastAsia="仿宋" w:cs="宋体"/>
          <w:b w:val="0"/>
          <w:sz w:val="28"/>
          <w:szCs w:val="28"/>
          <w:u w:val="none"/>
        </w:rPr>
        <w:t>2</w:t>
      </w:r>
      <w:r>
        <w:rPr>
          <w:rFonts w:ascii="仿宋" w:hAnsi="仿宋" w:eastAsia="仿宋" w:cs="宋体"/>
          <w:b w:val="0"/>
          <w:sz w:val="28"/>
          <w:szCs w:val="28"/>
          <w:u w:val="none"/>
        </w:rPr>
        <w:t>.</w:t>
      </w:r>
      <w:r>
        <w:rPr>
          <w:rFonts w:hint="eastAsia" w:ascii="仿宋" w:hAnsi="仿宋" w:eastAsia="仿宋" w:cs="宋体"/>
          <w:b w:val="0"/>
          <w:sz w:val="28"/>
          <w:szCs w:val="28"/>
          <w:u w:val="none"/>
        </w:rPr>
        <w:t>采购代理机构信息</w:t>
      </w:r>
      <w:bookmarkEnd w:id="19"/>
      <w:bookmarkEnd w:id="20"/>
      <w:bookmarkEnd w:id="21"/>
      <w:bookmarkEnd w:id="22"/>
    </w:p>
    <w:p w14:paraId="5A98630A"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名    称：安徽中技工程咨询有限公司　</w:t>
      </w:r>
    </w:p>
    <w:p w14:paraId="691723F0"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    址：合肥市合作化南路27号　</w:t>
      </w:r>
    </w:p>
    <w:p w14:paraId="0D9F6BCF"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</w:t>
      </w:r>
      <w:bookmarkStart w:id="23" w:name="_Toc28359032"/>
      <w:bookmarkStart w:id="24" w:name="_Toc28359109"/>
      <w:r>
        <w:rPr>
          <w:rFonts w:hint="eastAsia" w:ascii="仿宋" w:hAnsi="仿宋" w:eastAsia="仿宋"/>
          <w:sz w:val="28"/>
          <w:szCs w:val="28"/>
          <w:u w:val="none"/>
        </w:rPr>
        <w:t>陈振 0551-65149581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-833</w:t>
      </w:r>
      <w:r>
        <w:rPr>
          <w:rFonts w:hint="eastAsia" w:ascii="仿宋" w:hAnsi="仿宋" w:eastAsia="仿宋"/>
          <w:sz w:val="28"/>
          <w:szCs w:val="28"/>
          <w:u w:val="none"/>
        </w:rPr>
        <w:t xml:space="preserve"> 、13956006676 </w:t>
      </w:r>
    </w:p>
    <w:p w14:paraId="3BA02298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  <w:u w:val="none"/>
        </w:rPr>
      </w:pPr>
      <w:bookmarkStart w:id="25" w:name="_Toc35393820"/>
      <w:bookmarkStart w:id="26" w:name="_Toc35393651"/>
      <w:r>
        <w:rPr>
          <w:rFonts w:hint="eastAsia" w:ascii="仿宋" w:hAnsi="仿宋" w:eastAsia="仿宋" w:cs="宋体"/>
          <w:b w:val="0"/>
          <w:sz w:val="28"/>
          <w:szCs w:val="28"/>
          <w:u w:val="none"/>
        </w:rPr>
        <w:t>3.项目联系方式</w:t>
      </w:r>
      <w:bookmarkEnd w:id="23"/>
      <w:bookmarkEnd w:id="24"/>
      <w:bookmarkEnd w:id="25"/>
      <w:bookmarkEnd w:id="26"/>
    </w:p>
    <w:p w14:paraId="4C720B33">
      <w:pPr>
        <w:pStyle w:val="7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项目联系人：陈振　　　　　</w:t>
      </w:r>
    </w:p>
    <w:p w14:paraId="423F556E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none"/>
        </w:rPr>
        <w:t>电　　 话：13956006676　　</w:t>
      </w:r>
    </w:p>
    <w:p w14:paraId="64C5479F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YmZlNDdlMDMyMGIyYjkwZGM2YWY1OTY0ZjIxZDMifQ=="/>
  </w:docVars>
  <w:rsids>
    <w:rsidRoot w:val="00000000"/>
    <w:rsid w:val="027427F8"/>
    <w:rsid w:val="06570849"/>
    <w:rsid w:val="08A41672"/>
    <w:rsid w:val="0E3D7550"/>
    <w:rsid w:val="0EAC65AD"/>
    <w:rsid w:val="0EDB59B8"/>
    <w:rsid w:val="105E2822"/>
    <w:rsid w:val="120760CC"/>
    <w:rsid w:val="12641821"/>
    <w:rsid w:val="134066F3"/>
    <w:rsid w:val="1356385F"/>
    <w:rsid w:val="143A6CDD"/>
    <w:rsid w:val="1CA10B36"/>
    <w:rsid w:val="1CAF2388"/>
    <w:rsid w:val="1D9C11E1"/>
    <w:rsid w:val="2316746F"/>
    <w:rsid w:val="25D81B1E"/>
    <w:rsid w:val="2A993E1B"/>
    <w:rsid w:val="2B3C37AB"/>
    <w:rsid w:val="2B8B4EC4"/>
    <w:rsid w:val="2D4B565F"/>
    <w:rsid w:val="2DEA04FB"/>
    <w:rsid w:val="2FB614B6"/>
    <w:rsid w:val="32602D61"/>
    <w:rsid w:val="326E4472"/>
    <w:rsid w:val="35B160F1"/>
    <w:rsid w:val="36F92C9A"/>
    <w:rsid w:val="37CD3840"/>
    <w:rsid w:val="37E33064"/>
    <w:rsid w:val="3A6A79C9"/>
    <w:rsid w:val="3D250C0C"/>
    <w:rsid w:val="3DBE75AD"/>
    <w:rsid w:val="402932CE"/>
    <w:rsid w:val="40A5061F"/>
    <w:rsid w:val="41727207"/>
    <w:rsid w:val="42804D09"/>
    <w:rsid w:val="44DF2AD6"/>
    <w:rsid w:val="4AFF7376"/>
    <w:rsid w:val="4CD33C90"/>
    <w:rsid w:val="527C1653"/>
    <w:rsid w:val="55CE055B"/>
    <w:rsid w:val="55FB55C5"/>
    <w:rsid w:val="5A0235DF"/>
    <w:rsid w:val="5E8819C0"/>
    <w:rsid w:val="5F0F0DB4"/>
    <w:rsid w:val="62BE534E"/>
    <w:rsid w:val="63576530"/>
    <w:rsid w:val="63981BCE"/>
    <w:rsid w:val="63FB7CA3"/>
    <w:rsid w:val="64085A7D"/>
    <w:rsid w:val="65ED1B66"/>
    <w:rsid w:val="686F29E3"/>
    <w:rsid w:val="6B685053"/>
    <w:rsid w:val="6CA377B5"/>
    <w:rsid w:val="71B96608"/>
    <w:rsid w:val="74D3178F"/>
    <w:rsid w:val="74F74DFE"/>
    <w:rsid w:val="76472434"/>
    <w:rsid w:val="7A9A64AE"/>
    <w:rsid w:val="7C9A188C"/>
    <w:rsid w:val="7D1105AE"/>
    <w:rsid w:val="7D80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5">
    <w:name w:val="Body Text Indent"/>
    <w:basedOn w:val="1"/>
    <w:next w:val="6"/>
    <w:unhideWhenUsed/>
    <w:qFormat/>
    <w:uiPriority w:val="99"/>
    <w:pPr>
      <w:ind w:firstLine="645"/>
    </w:pPr>
    <w:rPr>
      <w:rFonts w:ascii="楷体_GB2312" w:eastAsia="楷体_GB2312"/>
      <w:sz w:val="32"/>
      <w:szCs w:val="20"/>
    </w:rPr>
  </w:style>
  <w:style w:type="paragraph" w:styleId="6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Body Text First Indent"/>
    <w:basedOn w:val="4"/>
    <w:unhideWhenUsed/>
    <w:qFormat/>
    <w:uiPriority w:val="99"/>
    <w:pPr>
      <w:ind w:firstLine="420" w:firstLineChars="100"/>
    </w:pPr>
  </w:style>
  <w:style w:type="paragraph" w:styleId="9">
    <w:name w:val="Body Text First Indent 2"/>
    <w:basedOn w:val="5"/>
    <w:unhideWhenUsed/>
    <w:qFormat/>
    <w:uiPriority w:val="99"/>
    <w:pPr>
      <w:ind w:left="420" w:firstLine="420" w:firstLineChars="200"/>
    </w:pPr>
    <w:rPr>
      <w:rFonts w:ascii="Times New Roman" w:cs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TML Sample"/>
    <w:basedOn w:val="12"/>
    <w:qFormat/>
    <w:uiPriority w:val="0"/>
    <w:rPr>
      <w:rFonts w:hint="default" w:ascii="monospace" w:hAnsi="monospace" w:eastAsia="monospace" w:cs="monospace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1056</Words>
  <Characters>1184</Characters>
  <Lines>0</Lines>
  <Paragraphs>0</Paragraphs>
  <TotalTime>4</TotalTime>
  <ScaleCrop>false</ScaleCrop>
  <LinksUpToDate>false</LinksUpToDate>
  <CharactersWithSpaces>1245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2024-06-24T03:11:00Z</dcterms:created>
  <dc:creator>admin</dc:creator>
  <cp:lastModifiedBy>砚枢</cp:lastModifiedBy>
  <dcterms:modified xsi:type="dcterms:W3CDTF">2026-07-07T08:59:08Z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6418A2C130884AC395C002F1E4355908_12</vt:lpwstr>
  </property>
  <property fmtid="{D5CDD505-2E9C-101B-9397-08002B2CF9AE}" pid="4" name="KSOTemplateDocerSaveRecord">
    <vt:lpwstr>eyJoZGlkIjoiNTYxYjA5ZjcyMjY4YTdkZTY2NTJkZTA1MjUzMDNhY2EiLCJ1c2VySWQiOiI3NDcyMDg4NTkifQ==</vt:lpwstr>
  </property>
</Properties>
</file>