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华文中宋" w:eastAsia="华文中宋" w:cs="Times New Roman"/>
          <w:b/>
          <w:bCs/>
          <w:kern w:val="44"/>
          <w:sz w:val="44"/>
          <w:szCs w:val="44"/>
          <w:highlight w:val="none"/>
        </w:rPr>
      </w:pPr>
      <w:bookmarkStart w:id="0" w:name="_Toc24277"/>
      <w:bookmarkStart w:id="1" w:name="_Toc7286"/>
      <w:r>
        <w:rPr>
          <w:rFonts w:hint="eastAsia" w:ascii="华文中宋" w:eastAsia="华文中宋" w:cs="Times New Roman"/>
          <w:b/>
          <w:bCs/>
          <w:kern w:val="44"/>
          <w:sz w:val="44"/>
          <w:szCs w:val="44"/>
          <w:highlight w:val="none"/>
        </w:rPr>
        <w:t>第五章  政府采购合同</w:t>
      </w:r>
      <w:bookmarkEnd w:id="0"/>
      <w:bookmarkEnd w:id="1"/>
    </w:p>
    <w:p>
      <w:pPr>
        <w:pStyle w:val="6"/>
        <w:jc w:val="center"/>
        <w:rPr>
          <w:rFonts w:hint="eastAsia" w:ascii="华文中宋" w:eastAsia="华文中宋" w:cs="华文中宋"/>
          <w:sz w:val="44"/>
          <w:szCs w:val="44"/>
          <w:highlight w:val="none"/>
          <w:lang w:val="en-US"/>
        </w:rPr>
      </w:pPr>
      <w:r>
        <w:rPr>
          <w:rFonts w:hint="eastAsia" w:ascii="华文中宋" w:eastAsia="华文中宋" w:cs="华文中宋"/>
          <w:sz w:val="44"/>
          <w:szCs w:val="44"/>
          <w:highlight w:val="none"/>
          <w:lang w:val="en-US"/>
        </w:rPr>
        <w:t>（仅供参考）</w:t>
      </w:r>
    </w:p>
    <w:p>
      <w:pPr>
        <w:spacing w:line="480" w:lineRule="auto"/>
        <w:jc w:val="center"/>
        <w:rPr>
          <w:rFonts w:ascii="Arial" w:hAnsi="Arial" w:eastAsia="宋体" w:cs="Arial"/>
          <w:b/>
          <w:sz w:val="24"/>
          <w:szCs w:val="24"/>
          <w:highlight w:val="none"/>
        </w:rPr>
      </w:pPr>
      <w:bookmarkStart w:id="2" w:name="_Hlk11711914"/>
    </w:p>
    <w:p>
      <w:pPr>
        <w:spacing w:line="480" w:lineRule="auto"/>
        <w:jc w:val="center"/>
        <w:rPr>
          <w:rFonts w:ascii="Arial" w:hAnsi="Arial" w:eastAsia="宋体" w:cs="Arial"/>
          <w:b/>
          <w:sz w:val="24"/>
          <w:szCs w:val="24"/>
          <w:highlight w:val="none"/>
        </w:rPr>
      </w:pPr>
    </w:p>
    <w:p>
      <w:pPr>
        <w:spacing w:line="480" w:lineRule="auto"/>
        <w:jc w:val="center"/>
        <w:rPr>
          <w:rFonts w:ascii="Arial" w:hAnsi="Arial" w:eastAsia="宋体" w:cs="Arial"/>
          <w:b/>
          <w:sz w:val="24"/>
          <w:szCs w:val="24"/>
          <w:highlight w:val="none"/>
        </w:rPr>
      </w:pPr>
    </w:p>
    <w:p>
      <w:pPr>
        <w:spacing w:line="480" w:lineRule="auto"/>
        <w:jc w:val="center"/>
        <w:rPr>
          <w:rFonts w:ascii="Arial" w:hAnsi="Arial" w:eastAsia="宋体" w:cs="Arial"/>
          <w:b/>
          <w:sz w:val="24"/>
          <w:szCs w:val="24"/>
          <w:highlight w:val="none"/>
        </w:rPr>
      </w:pPr>
    </w:p>
    <w:p>
      <w:pPr>
        <w:spacing w:line="480" w:lineRule="auto"/>
        <w:jc w:val="center"/>
        <w:rPr>
          <w:rFonts w:ascii="Arial" w:hAnsi="Arial" w:eastAsia="宋体" w:cs="Arial"/>
          <w:b/>
          <w:sz w:val="24"/>
          <w:szCs w:val="24"/>
          <w:highlight w:val="none"/>
        </w:rPr>
      </w:pPr>
    </w:p>
    <w:p>
      <w:pPr>
        <w:spacing w:line="480" w:lineRule="auto"/>
        <w:jc w:val="center"/>
        <w:rPr>
          <w:rFonts w:ascii="Arial" w:hAnsi="Arial" w:eastAsia="宋体" w:cs="Arial"/>
          <w:b/>
          <w:sz w:val="24"/>
          <w:szCs w:val="24"/>
          <w:highlight w:val="none"/>
        </w:rPr>
      </w:pPr>
    </w:p>
    <w:p>
      <w:pPr>
        <w:spacing w:line="360" w:lineRule="auto"/>
        <w:jc w:val="center"/>
        <w:outlineLvl w:val="2"/>
        <w:rPr>
          <w:rFonts w:ascii="Arial" w:hAnsi="Arial" w:eastAsia="宋体" w:cs="Arial"/>
          <w:b/>
          <w:sz w:val="24"/>
          <w:highlight w:val="none"/>
        </w:rPr>
      </w:pPr>
      <w:r>
        <w:rPr>
          <w:rFonts w:ascii="Arial" w:hAnsi="Arial" w:eastAsia="宋体" w:cs="Arial"/>
          <w:b/>
          <w:sz w:val="24"/>
          <w:highlight w:val="none"/>
        </w:rPr>
        <w:t>第一部分 合同书</w:t>
      </w:r>
    </w:p>
    <w:p>
      <w:pPr>
        <w:spacing w:line="480" w:lineRule="auto"/>
        <w:jc w:val="center"/>
        <w:rPr>
          <w:rFonts w:ascii="Arial" w:hAnsi="Arial" w:eastAsia="宋体" w:cs="Arial"/>
          <w:b/>
          <w:sz w:val="24"/>
          <w:szCs w:val="24"/>
          <w:highlight w:val="none"/>
        </w:rPr>
      </w:pPr>
    </w:p>
    <w:p>
      <w:pPr>
        <w:spacing w:line="480" w:lineRule="auto"/>
        <w:jc w:val="center"/>
        <w:rPr>
          <w:rFonts w:ascii="Arial" w:hAnsi="Arial" w:eastAsia="宋体" w:cs="Arial"/>
          <w:b/>
          <w:sz w:val="24"/>
          <w:szCs w:val="24"/>
          <w:highlight w:val="none"/>
        </w:rPr>
      </w:pPr>
    </w:p>
    <w:p>
      <w:pPr>
        <w:spacing w:line="480" w:lineRule="auto"/>
        <w:jc w:val="center"/>
        <w:rPr>
          <w:rFonts w:ascii="Arial" w:hAnsi="Arial" w:eastAsia="宋体" w:cs="Arial"/>
          <w:b/>
          <w:sz w:val="24"/>
          <w:szCs w:val="24"/>
          <w:highlight w:val="none"/>
        </w:rPr>
      </w:pPr>
    </w:p>
    <w:p>
      <w:pPr>
        <w:spacing w:before="120" w:line="480" w:lineRule="auto"/>
        <w:ind w:left="960"/>
        <w:rPr>
          <w:rFonts w:ascii="Arial" w:hAnsi="Arial" w:eastAsia="宋体" w:cs="Arial"/>
          <w:sz w:val="24"/>
          <w:szCs w:val="24"/>
          <w:highlight w:val="none"/>
          <w:u w:val="single"/>
        </w:rPr>
      </w:pPr>
      <w:r>
        <w:rPr>
          <w:rFonts w:ascii="Arial" w:hAnsi="Arial" w:eastAsia="宋体" w:cs="Arial"/>
          <w:sz w:val="24"/>
          <w:szCs w:val="24"/>
          <w:highlight w:val="none"/>
        </w:rPr>
        <w:t>项目名称：</w:t>
      </w:r>
      <w:r>
        <w:rPr>
          <w:rFonts w:hint="eastAsia" w:ascii="Arial" w:hAnsi="Arial" w:eastAsia="宋体" w:cs="Arial"/>
          <w:sz w:val="24"/>
          <w:szCs w:val="24"/>
          <w:highlight w:val="none"/>
          <w:u w:val="single"/>
        </w:rPr>
        <w:t>淮北师范大学“国家一流专业建设点”音乐学(师范）专业教学设备建设项目</w:t>
      </w:r>
    </w:p>
    <w:p>
      <w:pPr>
        <w:spacing w:before="120" w:line="480" w:lineRule="auto"/>
        <w:ind w:left="960"/>
        <w:rPr>
          <w:rFonts w:hint="eastAsia" w:ascii="Arial" w:hAnsi="Arial" w:eastAsia="宋体" w:cs="Arial"/>
          <w:sz w:val="24"/>
          <w:szCs w:val="24"/>
          <w:highlight w:val="none"/>
          <w:lang w:eastAsia="zh-CN"/>
        </w:rPr>
      </w:pPr>
      <w:r>
        <w:rPr>
          <w:rFonts w:ascii="Arial" w:hAnsi="Arial" w:eastAsia="宋体" w:cs="Arial"/>
          <w:sz w:val="24"/>
          <w:szCs w:val="24"/>
          <w:highlight w:val="none"/>
        </w:rPr>
        <w:t>项目编号：</w:t>
      </w:r>
      <w:r>
        <w:rPr>
          <w:rFonts w:hint="eastAsia" w:ascii="Arial" w:hAnsi="Arial" w:eastAsia="宋体" w:cs="Arial"/>
          <w:sz w:val="24"/>
          <w:szCs w:val="24"/>
          <w:highlight w:val="none"/>
          <w:u w:val="single"/>
          <w:lang w:eastAsia="zh-CN"/>
        </w:rPr>
        <w:t>FSSD340001202210780号</w:t>
      </w:r>
    </w:p>
    <w:p>
      <w:pPr>
        <w:spacing w:before="120" w:line="480" w:lineRule="auto"/>
        <w:ind w:left="960"/>
        <w:rPr>
          <w:rFonts w:ascii="Arial" w:hAnsi="Arial" w:eastAsia="宋体" w:cs="Arial"/>
          <w:sz w:val="24"/>
          <w:szCs w:val="24"/>
          <w:highlight w:val="none"/>
          <w:u w:val="single"/>
        </w:rPr>
      </w:pPr>
      <w:r>
        <w:rPr>
          <w:rFonts w:ascii="Arial" w:hAnsi="Arial" w:eastAsia="宋体" w:cs="Arial"/>
          <w:sz w:val="24"/>
          <w:szCs w:val="24"/>
          <w:highlight w:val="none"/>
        </w:rPr>
        <w:t>甲方（采购人）：</w:t>
      </w:r>
      <w:r>
        <w:rPr>
          <w:rFonts w:ascii="Arial" w:hAnsi="Arial" w:eastAsia="宋体" w:cs="Arial"/>
          <w:sz w:val="24"/>
          <w:szCs w:val="24"/>
          <w:highlight w:val="none"/>
          <w:u w:val="single"/>
        </w:rPr>
        <w:t xml:space="preserve">     </w:t>
      </w:r>
      <w:r>
        <w:rPr>
          <w:rFonts w:hint="eastAsia" w:ascii="Arial" w:hAnsi="Arial" w:eastAsia="宋体" w:cs="Arial"/>
          <w:sz w:val="24"/>
          <w:szCs w:val="24"/>
          <w:highlight w:val="none"/>
          <w:u w:val="single"/>
        </w:rPr>
        <w:t xml:space="preserve">淮北师范大学 </w:t>
      </w:r>
      <w:r>
        <w:rPr>
          <w:rFonts w:ascii="Arial" w:hAnsi="Arial" w:eastAsia="宋体" w:cs="Arial"/>
          <w:sz w:val="24"/>
          <w:szCs w:val="24"/>
          <w:highlight w:val="none"/>
          <w:u w:val="single"/>
        </w:rPr>
        <w:t xml:space="preserve">              </w:t>
      </w:r>
    </w:p>
    <w:p>
      <w:pPr>
        <w:spacing w:before="120" w:line="480" w:lineRule="auto"/>
        <w:ind w:left="960"/>
        <w:rPr>
          <w:rFonts w:ascii="Arial" w:hAnsi="Arial" w:eastAsia="宋体" w:cs="Arial"/>
          <w:sz w:val="24"/>
          <w:szCs w:val="24"/>
          <w:highlight w:val="none"/>
          <w:u w:val="single"/>
        </w:rPr>
      </w:pPr>
      <w:r>
        <w:rPr>
          <w:rFonts w:ascii="Arial" w:hAnsi="Arial" w:eastAsia="宋体" w:cs="Arial"/>
          <w:sz w:val="24"/>
          <w:szCs w:val="24"/>
          <w:highlight w:val="none"/>
        </w:rPr>
        <w:t>乙方（中标人）：</w:t>
      </w:r>
      <w:r>
        <w:rPr>
          <w:rFonts w:ascii="Arial" w:hAnsi="Arial" w:eastAsia="宋体" w:cs="Arial"/>
          <w:sz w:val="24"/>
          <w:szCs w:val="24"/>
          <w:highlight w:val="none"/>
          <w:u w:val="single"/>
        </w:rPr>
        <w:t xml:space="preserve">                </w:t>
      </w:r>
      <w:r>
        <w:rPr>
          <w:rFonts w:hint="eastAsia" w:ascii="Arial" w:hAnsi="Arial" w:eastAsia="宋体" w:cs="Arial"/>
          <w:sz w:val="24"/>
          <w:szCs w:val="24"/>
          <w:highlight w:val="none"/>
          <w:u w:val="single"/>
          <w:lang w:val="en-US" w:eastAsia="zh-CN"/>
        </w:rPr>
        <w:t xml:space="preserve">  </w:t>
      </w:r>
      <w:r>
        <w:rPr>
          <w:rFonts w:ascii="Arial" w:hAnsi="Arial" w:eastAsia="宋体" w:cs="Arial"/>
          <w:sz w:val="24"/>
          <w:szCs w:val="24"/>
          <w:highlight w:val="none"/>
          <w:u w:val="single"/>
        </w:rPr>
        <w:t xml:space="preserve">              </w:t>
      </w:r>
    </w:p>
    <w:p>
      <w:pPr>
        <w:spacing w:before="120" w:line="480" w:lineRule="auto"/>
        <w:ind w:firstLine="960" w:firstLineChars="400"/>
        <w:rPr>
          <w:rFonts w:ascii="Arial" w:hAnsi="Arial" w:eastAsia="宋体" w:cs="Arial"/>
          <w:sz w:val="24"/>
          <w:szCs w:val="24"/>
          <w:highlight w:val="none"/>
          <w:u w:val="single"/>
        </w:rPr>
      </w:pPr>
      <w:r>
        <w:rPr>
          <w:rFonts w:ascii="Arial" w:hAnsi="Arial" w:eastAsia="宋体" w:cs="Arial"/>
          <w:sz w:val="24"/>
          <w:szCs w:val="24"/>
          <w:highlight w:val="none"/>
        </w:rPr>
        <w:t>签订地：</w:t>
      </w:r>
      <w:r>
        <w:rPr>
          <w:rFonts w:ascii="Arial" w:hAnsi="Arial" w:eastAsia="宋体" w:cs="Arial"/>
          <w:sz w:val="24"/>
          <w:szCs w:val="24"/>
          <w:highlight w:val="none"/>
          <w:u w:val="single"/>
        </w:rPr>
        <w:t xml:space="preserve">                         </w:t>
      </w:r>
      <w:r>
        <w:rPr>
          <w:rFonts w:hint="eastAsia" w:ascii="Arial" w:hAnsi="Arial" w:eastAsia="宋体" w:cs="Arial"/>
          <w:sz w:val="24"/>
          <w:szCs w:val="24"/>
          <w:highlight w:val="none"/>
          <w:u w:val="single"/>
          <w:lang w:val="en-US" w:eastAsia="zh-CN"/>
        </w:rPr>
        <w:t xml:space="preserve">  </w:t>
      </w:r>
      <w:r>
        <w:rPr>
          <w:rFonts w:ascii="Arial" w:hAnsi="Arial" w:eastAsia="宋体" w:cs="Arial"/>
          <w:sz w:val="24"/>
          <w:szCs w:val="24"/>
          <w:highlight w:val="none"/>
          <w:u w:val="single"/>
        </w:rPr>
        <w:t xml:space="preserve">            </w:t>
      </w:r>
    </w:p>
    <w:p>
      <w:pPr>
        <w:widowControl/>
        <w:jc w:val="left"/>
        <w:rPr>
          <w:rFonts w:ascii="Arial" w:hAnsi="Arial" w:eastAsia="宋体" w:cs="Arial"/>
          <w:sz w:val="24"/>
          <w:szCs w:val="24"/>
          <w:highlight w:val="none"/>
        </w:rPr>
      </w:pPr>
      <w:r>
        <w:rPr>
          <w:rFonts w:ascii="Arial" w:hAnsi="Arial" w:eastAsia="宋体" w:cs="Arial"/>
          <w:sz w:val="24"/>
          <w:szCs w:val="24"/>
          <w:highlight w:val="none"/>
        </w:rPr>
        <w:br w:type="page"/>
      </w:r>
    </w:p>
    <w:p>
      <w:pPr>
        <w:spacing w:line="360" w:lineRule="auto"/>
        <w:ind w:firstLine="435"/>
        <w:rPr>
          <w:rFonts w:ascii="Arial" w:hAnsi="Arial" w:eastAsia="宋体" w:cs="Arial"/>
          <w:sz w:val="24"/>
          <w:highlight w:val="none"/>
        </w:rPr>
      </w:pPr>
      <w:r>
        <w:rPr>
          <w:rFonts w:hint="eastAsia" w:ascii="Arial" w:hAnsi="Arial" w:eastAsia="宋体" w:cs="Arial"/>
          <w:sz w:val="24"/>
          <w:highlight w:val="none"/>
          <w:u w:val="single"/>
        </w:rPr>
        <w:t xml:space="preserve">淮北师范大学 </w:t>
      </w:r>
      <w:r>
        <w:rPr>
          <w:rFonts w:ascii="Arial" w:hAnsi="Arial" w:eastAsia="宋体" w:cs="Arial"/>
          <w:sz w:val="24"/>
          <w:highlight w:val="none"/>
        </w:rPr>
        <w:t>（</w:t>
      </w:r>
      <w:r>
        <w:rPr>
          <w:rFonts w:ascii="Arial" w:hAnsi="Arial" w:eastAsia="宋体" w:cs="Arial"/>
          <w:sz w:val="24"/>
          <w:szCs w:val="24"/>
          <w:highlight w:val="none"/>
          <w:lang w:val="zh-CN"/>
        </w:rPr>
        <w:t>以下简称：甲方</w:t>
      </w:r>
      <w:r>
        <w:rPr>
          <w:rFonts w:ascii="Arial" w:hAnsi="Arial" w:eastAsia="宋体" w:cs="Arial"/>
          <w:sz w:val="24"/>
          <w:highlight w:val="none"/>
        </w:rPr>
        <w:t>）通过</w:t>
      </w:r>
      <w:r>
        <w:rPr>
          <w:rFonts w:hint="eastAsia" w:ascii="Arial" w:hAnsi="Arial" w:eastAsia="宋体" w:cs="Arial"/>
          <w:sz w:val="24"/>
          <w:highlight w:val="none"/>
          <w:u w:val="single"/>
        </w:rPr>
        <w:t>鼎信数智技术集团股份有限公司</w:t>
      </w:r>
      <w:r>
        <w:rPr>
          <w:rFonts w:ascii="Arial" w:hAnsi="Arial" w:eastAsia="宋体" w:cs="Arial"/>
          <w:sz w:val="24"/>
          <w:highlight w:val="none"/>
        </w:rPr>
        <w:t>组织的</w:t>
      </w:r>
      <w:r>
        <w:rPr>
          <w:rFonts w:ascii="Arial" w:hAnsi="Arial" w:eastAsia="宋体" w:cs="Arial"/>
          <w:sz w:val="24"/>
          <w:highlight w:val="none"/>
          <w:u w:val="single"/>
        </w:rPr>
        <w:t>公开招标</w:t>
      </w:r>
      <w:r>
        <w:rPr>
          <w:rFonts w:ascii="Arial" w:hAnsi="Arial" w:eastAsia="宋体" w:cs="Arial"/>
          <w:sz w:val="24"/>
          <w:highlight w:val="none"/>
        </w:rPr>
        <w:t>方式采购活动，经</w:t>
      </w:r>
      <w:r>
        <w:rPr>
          <w:rFonts w:ascii="Arial" w:hAnsi="Arial" w:eastAsia="宋体" w:cs="Arial"/>
          <w:sz w:val="24"/>
          <w:highlight w:val="none"/>
          <w:u w:val="single"/>
        </w:rPr>
        <w:t>评标委员会</w:t>
      </w:r>
      <w:r>
        <w:rPr>
          <w:rFonts w:ascii="Arial" w:hAnsi="Arial" w:eastAsia="宋体" w:cs="Arial"/>
          <w:sz w:val="24"/>
          <w:highlight w:val="none"/>
        </w:rPr>
        <w:t>评定，</w:t>
      </w:r>
      <w:r>
        <w:rPr>
          <w:rFonts w:ascii="Arial" w:hAnsi="Arial" w:eastAsia="宋体" w:cs="Arial"/>
          <w:i/>
          <w:iCs/>
          <w:sz w:val="24"/>
          <w:szCs w:val="24"/>
          <w:highlight w:val="none"/>
          <w:u w:val="single"/>
        </w:rPr>
        <w:t>（中标人名称）</w:t>
      </w:r>
      <w:r>
        <w:rPr>
          <w:rFonts w:ascii="Arial" w:hAnsi="Arial" w:eastAsia="宋体" w:cs="Arial"/>
          <w:sz w:val="24"/>
          <w:highlight w:val="none"/>
        </w:rPr>
        <w:t>（</w:t>
      </w:r>
      <w:r>
        <w:rPr>
          <w:rFonts w:ascii="Arial" w:hAnsi="Arial" w:eastAsia="宋体" w:cs="Arial"/>
          <w:sz w:val="24"/>
          <w:szCs w:val="24"/>
          <w:highlight w:val="none"/>
          <w:lang w:val="zh-CN"/>
        </w:rPr>
        <w:t>以下简称：乙方</w:t>
      </w:r>
      <w:r>
        <w:rPr>
          <w:rFonts w:ascii="Arial" w:hAnsi="Arial" w:eastAsia="宋体" w:cs="Arial"/>
          <w:sz w:val="24"/>
          <w:highlight w:val="none"/>
        </w:rPr>
        <w:t>）为本项目中标人，现</w:t>
      </w:r>
      <w:r>
        <w:rPr>
          <w:rFonts w:ascii="Arial" w:hAnsi="Arial" w:eastAsia="宋体" w:cs="Arial"/>
          <w:sz w:val="24"/>
          <w:szCs w:val="24"/>
          <w:highlight w:val="none"/>
        </w:rPr>
        <w:t>按照采购文件确定的事项签订本合同。</w:t>
      </w:r>
    </w:p>
    <w:p>
      <w:pPr>
        <w:spacing w:line="360" w:lineRule="auto"/>
        <w:ind w:firstLine="435"/>
        <w:rPr>
          <w:rFonts w:ascii="Arial" w:hAnsi="Arial" w:eastAsia="宋体" w:cs="Arial"/>
          <w:sz w:val="24"/>
          <w:szCs w:val="24"/>
          <w:highlight w:val="none"/>
          <w:lang w:val="zh-CN"/>
        </w:rPr>
      </w:pPr>
      <w:r>
        <w:rPr>
          <w:rFonts w:ascii="Arial" w:hAnsi="Arial" w:eastAsia="宋体" w:cs="Arial"/>
          <w:sz w:val="24"/>
          <w:highlight w:val="none"/>
        </w:rPr>
        <w:t>根据</w:t>
      </w:r>
      <w:r>
        <w:rPr>
          <w:rFonts w:hint="eastAsia" w:ascii="宋体" w:eastAsia="宋体"/>
          <w:sz w:val="24"/>
          <w:highlight w:val="none"/>
        </w:rPr>
        <w:t>《中华人民共和国民法典》</w:t>
      </w:r>
      <w:r>
        <w:rPr>
          <w:rFonts w:ascii="Arial" w:hAnsi="Arial" w:eastAsia="宋体" w:cs="Arial"/>
          <w:sz w:val="24"/>
          <w:highlight w:val="none"/>
        </w:rPr>
        <w:t>、《中华人民共和国政府采购法》等相关法律法规之规定，按照平等、自愿、公平和诚实信用的原则，经甲方和乙方协商一致，约定以下合同条款，以兹共同遵守、全面履行。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3"/>
        <w:rPr>
          <w:rFonts w:ascii="Arial" w:hAnsi="Arial" w:eastAsia="宋体" w:cs="Arial"/>
          <w:b/>
          <w:bCs/>
          <w:sz w:val="24"/>
          <w:szCs w:val="24"/>
          <w:highlight w:val="none"/>
          <w:lang w:val="zh-CN"/>
        </w:rPr>
      </w:pPr>
      <w:bookmarkStart w:id="3" w:name="_Toc24059"/>
      <w:bookmarkStart w:id="4" w:name="_Toc2232"/>
      <w:bookmarkStart w:id="5" w:name="_Toc3029"/>
      <w:r>
        <w:rPr>
          <w:rFonts w:ascii="Arial" w:hAnsi="Arial" w:eastAsia="宋体" w:cs="Arial"/>
          <w:b/>
          <w:bCs/>
          <w:sz w:val="24"/>
          <w:szCs w:val="24"/>
          <w:highlight w:val="none"/>
          <w:lang w:val="zh-CN"/>
        </w:rPr>
        <w:t>1.1 合同组成部分</w:t>
      </w:r>
      <w:bookmarkEnd w:id="3"/>
      <w:bookmarkEnd w:id="4"/>
      <w:bookmarkEnd w:id="5"/>
    </w:p>
    <w:p>
      <w:pPr>
        <w:spacing w:line="360" w:lineRule="auto"/>
        <w:ind w:firstLine="435"/>
        <w:rPr>
          <w:rFonts w:ascii="Arial" w:hAnsi="Arial" w:eastAsia="宋体" w:cs="Arial"/>
          <w:sz w:val="24"/>
          <w:szCs w:val="24"/>
          <w:highlight w:val="none"/>
          <w:lang w:val="zh-CN"/>
        </w:rPr>
      </w:pPr>
      <w:r>
        <w:rPr>
          <w:rFonts w:ascii="Arial" w:hAnsi="Arial" w:eastAsia="宋体" w:cs="Arial"/>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Arial" w:hAnsi="Arial" w:eastAsia="宋体" w:cs="Arial"/>
          <w:sz w:val="24"/>
          <w:szCs w:val="24"/>
          <w:highlight w:val="none"/>
          <w:lang w:val="zh-CN"/>
        </w:rPr>
      </w:pPr>
      <w:r>
        <w:rPr>
          <w:rFonts w:ascii="Arial" w:hAnsi="Arial" w:eastAsia="宋体" w:cs="Arial"/>
          <w:sz w:val="24"/>
          <w:szCs w:val="24"/>
          <w:highlight w:val="none"/>
          <w:lang w:val="zh-CN"/>
        </w:rPr>
        <w:t>1.1.1本合同及其补充合同、变更协议；</w:t>
      </w:r>
    </w:p>
    <w:p>
      <w:pPr>
        <w:spacing w:line="360" w:lineRule="auto"/>
        <w:ind w:firstLine="435"/>
        <w:rPr>
          <w:rFonts w:ascii="Arial" w:hAnsi="Arial" w:eastAsia="宋体" w:cs="Arial"/>
          <w:sz w:val="24"/>
          <w:szCs w:val="24"/>
          <w:highlight w:val="none"/>
          <w:lang w:val="zh-CN"/>
        </w:rPr>
      </w:pPr>
      <w:r>
        <w:rPr>
          <w:rFonts w:ascii="Arial" w:hAnsi="Arial" w:eastAsia="宋体" w:cs="Arial"/>
          <w:sz w:val="24"/>
          <w:szCs w:val="24"/>
          <w:highlight w:val="none"/>
          <w:lang w:val="zh-CN"/>
        </w:rPr>
        <w:t>1.1.2中标通知书；</w:t>
      </w:r>
    </w:p>
    <w:p>
      <w:pPr>
        <w:spacing w:line="360" w:lineRule="auto"/>
        <w:ind w:firstLine="435"/>
        <w:rPr>
          <w:rFonts w:ascii="Arial" w:hAnsi="Arial" w:eastAsia="宋体" w:cs="Arial"/>
          <w:sz w:val="24"/>
          <w:szCs w:val="24"/>
          <w:highlight w:val="none"/>
          <w:lang w:val="zh-CN"/>
        </w:rPr>
      </w:pPr>
      <w:r>
        <w:rPr>
          <w:rFonts w:ascii="Arial" w:hAnsi="Arial" w:eastAsia="宋体" w:cs="Arial"/>
          <w:sz w:val="24"/>
          <w:szCs w:val="24"/>
          <w:highlight w:val="none"/>
          <w:lang w:val="zh-CN"/>
        </w:rPr>
        <w:t>1.1.3投标文件（含澄清或者说明文件）；</w:t>
      </w:r>
    </w:p>
    <w:p>
      <w:pPr>
        <w:spacing w:line="360" w:lineRule="auto"/>
        <w:ind w:firstLine="435"/>
        <w:rPr>
          <w:rFonts w:ascii="Arial" w:hAnsi="Arial" w:eastAsia="宋体" w:cs="Arial"/>
          <w:sz w:val="24"/>
          <w:szCs w:val="24"/>
          <w:highlight w:val="none"/>
          <w:lang w:val="zh-CN"/>
        </w:rPr>
      </w:pPr>
      <w:r>
        <w:rPr>
          <w:rFonts w:ascii="Arial" w:hAnsi="Arial" w:eastAsia="宋体" w:cs="Arial"/>
          <w:sz w:val="24"/>
          <w:szCs w:val="24"/>
          <w:highlight w:val="none"/>
          <w:lang w:val="zh-CN"/>
        </w:rPr>
        <w:t>1.1.4招标文件（含澄清或者修改文件）；</w:t>
      </w:r>
    </w:p>
    <w:p>
      <w:pPr>
        <w:spacing w:line="360" w:lineRule="auto"/>
        <w:ind w:firstLine="435"/>
        <w:rPr>
          <w:rFonts w:ascii="Arial" w:hAnsi="Arial" w:eastAsia="宋体" w:cs="Arial"/>
          <w:sz w:val="24"/>
          <w:szCs w:val="24"/>
          <w:highlight w:val="none"/>
          <w:lang w:val="zh-CN"/>
        </w:rPr>
      </w:pPr>
      <w:r>
        <w:rPr>
          <w:rFonts w:ascii="Arial" w:hAnsi="Arial" w:eastAsia="宋体" w:cs="Arial"/>
          <w:sz w:val="24"/>
          <w:szCs w:val="24"/>
          <w:highlight w:val="none"/>
          <w:lang w:val="zh-CN"/>
        </w:rPr>
        <w:t>1.1.5其他相关采购文件。</w:t>
      </w:r>
    </w:p>
    <w:p>
      <w:pPr>
        <w:spacing w:line="360" w:lineRule="auto"/>
        <w:ind w:firstLine="437"/>
        <w:outlineLvl w:val="3"/>
        <w:rPr>
          <w:rFonts w:ascii="Arial" w:hAnsi="Arial" w:eastAsia="宋体" w:cs="Arial"/>
          <w:b/>
          <w:bCs/>
          <w:sz w:val="24"/>
          <w:szCs w:val="24"/>
          <w:highlight w:val="none"/>
          <w:lang w:val="zh-CN"/>
        </w:rPr>
      </w:pPr>
      <w:bookmarkStart w:id="6" w:name="_Toc24300"/>
      <w:bookmarkStart w:id="7" w:name="_Toc21295"/>
      <w:bookmarkStart w:id="8" w:name="_Toc27126"/>
      <w:r>
        <w:rPr>
          <w:rFonts w:ascii="Arial" w:hAnsi="Arial" w:eastAsia="宋体" w:cs="Arial"/>
          <w:b/>
          <w:bCs/>
          <w:sz w:val="24"/>
          <w:szCs w:val="24"/>
          <w:highlight w:val="none"/>
          <w:lang w:val="zh-CN"/>
        </w:rPr>
        <w:t>1.2 货物</w:t>
      </w:r>
      <w:bookmarkEnd w:id="6"/>
      <w:bookmarkEnd w:id="7"/>
      <w:bookmarkEnd w:id="8"/>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ign w:val="top"/>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序号</w:t>
            </w: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货物名称</w:t>
            </w: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规格型号</w:t>
            </w:r>
          </w:p>
        </w:tc>
        <w:tc>
          <w:tcPr>
            <w:tcW w:w="1512"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单位</w:t>
            </w:r>
          </w:p>
        </w:tc>
        <w:tc>
          <w:tcPr>
            <w:tcW w:w="1512"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数量</w:t>
            </w: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ign w:val="top"/>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1</w:t>
            </w: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2"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2"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ign w:val="top"/>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2</w:t>
            </w: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2"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2"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ign w:val="top"/>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3</w:t>
            </w: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2"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2"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Borders>
              <w:top w:val="single" w:color="auto" w:sz="4" w:space="0"/>
              <w:left w:val="single" w:color="auto" w:sz="4" w:space="0"/>
              <w:bottom w:val="single" w:color="auto" w:sz="4" w:space="0"/>
              <w:right w:val="single" w:color="auto" w:sz="4" w:space="0"/>
            </w:tcBorders>
            <w:noWrap/>
            <w:vAlign w:val="top"/>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w:t>
            </w: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5"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2"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12"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c>
          <w:tcPr>
            <w:tcW w:w="1508"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p>
        </w:tc>
      </w:tr>
    </w:tbl>
    <w:p>
      <w:pPr>
        <w:spacing w:line="360" w:lineRule="auto"/>
        <w:ind w:firstLine="437"/>
        <w:outlineLvl w:val="3"/>
        <w:rPr>
          <w:rFonts w:ascii="Arial" w:hAnsi="Arial" w:eastAsia="宋体" w:cs="Arial"/>
          <w:b/>
          <w:bCs/>
          <w:sz w:val="24"/>
          <w:szCs w:val="24"/>
          <w:highlight w:val="none"/>
          <w:lang w:val="zh-CN"/>
        </w:rPr>
      </w:pPr>
      <w:bookmarkStart w:id="9" w:name="_Toc23292"/>
      <w:bookmarkStart w:id="10" w:name="_Toc21631"/>
      <w:bookmarkStart w:id="11" w:name="_Toc21551"/>
      <w:r>
        <w:rPr>
          <w:rFonts w:ascii="Arial" w:hAnsi="Arial" w:eastAsia="宋体" w:cs="Arial"/>
          <w:b/>
          <w:bCs/>
          <w:sz w:val="24"/>
          <w:szCs w:val="24"/>
          <w:highlight w:val="none"/>
          <w:lang w:val="zh-CN"/>
        </w:rPr>
        <w:t>1.3 价款</w:t>
      </w:r>
      <w:bookmarkEnd w:id="9"/>
      <w:bookmarkEnd w:id="10"/>
      <w:bookmarkEnd w:id="11"/>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本合同总价为：￥</w:t>
      </w:r>
      <w:r>
        <w:rPr>
          <w:rFonts w:ascii="Arial" w:hAnsi="Arial" w:eastAsia="宋体" w:cs="Arial"/>
          <w:sz w:val="24"/>
          <w:szCs w:val="24"/>
          <w:highlight w:val="none"/>
          <w:u w:val="single"/>
        </w:rPr>
        <w:t xml:space="preserve">           </w:t>
      </w:r>
      <w:r>
        <w:rPr>
          <w:rFonts w:ascii="Arial" w:hAnsi="Arial" w:eastAsia="宋体" w:cs="Arial"/>
          <w:sz w:val="24"/>
          <w:szCs w:val="24"/>
          <w:highlight w:val="none"/>
        </w:rPr>
        <w:t>元（大写：人民币</w:t>
      </w:r>
      <w:r>
        <w:rPr>
          <w:rFonts w:ascii="Arial" w:hAnsi="Arial" w:eastAsia="宋体" w:cs="Arial"/>
          <w:sz w:val="24"/>
          <w:szCs w:val="24"/>
          <w:highlight w:val="none"/>
          <w:u w:val="single"/>
        </w:rPr>
        <w:t xml:space="preserve">                 </w:t>
      </w:r>
      <w:r>
        <w:rPr>
          <w:rFonts w:ascii="Arial" w:hAnsi="Arial" w:eastAsia="宋体" w:cs="Arial"/>
          <w:sz w:val="24"/>
          <w:szCs w:val="24"/>
          <w:highlight w:val="none"/>
        </w:rPr>
        <w:t>元）。</w:t>
      </w:r>
    </w:p>
    <w:p>
      <w:pPr>
        <w:spacing w:line="360" w:lineRule="auto"/>
        <w:ind w:firstLine="435"/>
        <w:rPr>
          <w:rFonts w:ascii="Arial" w:hAnsi="Arial" w:eastAsia="宋体" w:cs="Arial"/>
          <w:sz w:val="24"/>
          <w:szCs w:val="24"/>
          <w:highlight w:val="none"/>
        </w:rPr>
      </w:pPr>
      <w:r>
        <w:rPr>
          <w:rFonts w:hint="eastAsia" w:ascii="Arial" w:hAnsi="Arial" w:eastAsia="宋体" w:cs="Arial"/>
          <w:sz w:val="24"/>
          <w:szCs w:val="24"/>
          <w:highlight w:val="none"/>
          <w:lang w:val="en-US" w:eastAsia="zh-CN"/>
        </w:rPr>
        <w:t>合同</w:t>
      </w:r>
      <w:r>
        <w:rPr>
          <w:rFonts w:hint="eastAsia" w:ascii="Arial" w:hAnsi="Arial" w:eastAsia="宋体" w:cs="Arial"/>
          <w:sz w:val="24"/>
          <w:szCs w:val="24"/>
          <w:highlight w:val="none"/>
        </w:rPr>
        <w:t>总价应包含货物及所需附件购置费、包装费、运输费、人工费、保险费、安装调试费、各种税费、资料费、售后服务费及合同实施过程中的不可预见费用等全部费用。</w:t>
      </w:r>
    </w:p>
    <w:p>
      <w:pPr>
        <w:spacing w:line="360" w:lineRule="auto"/>
        <w:ind w:firstLine="435"/>
        <w:rPr>
          <w:rFonts w:ascii="Arial" w:hAnsi="Arial" w:eastAsia="宋体" w:cs="Arial"/>
          <w:sz w:val="24"/>
          <w:szCs w:val="24"/>
          <w:highlight w:val="none"/>
          <w:u w:val="single"/>
        </w:rPr>
      </w:pPr>
      <w:r>
        <w:rPr>
          <w:rFonts w:ascii="Arial" w:hAnsi="Arial" w:eastAsia="宋体" w:cs="Arial"/>
          <w:sz w:val="24"/>
          <w:szCs w:val="24"/>
          <w:highlight w:val="none"/>
        </w:rPr>
        <w:t>分项价格：</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序号</w:t>
            </w:r>
          </w:p>
        </w:tc>
        <w:tc>
          <w:tcPr>
            <w:tcW w:w="4316" w:type="dxa"/>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r>
              <w:rPr>
                <w:rFonts w:ascii="Arial" w:hAnsi="Arial" w:eastAsia="宋体" w:cs="Arial"/>
                <w:sz w:val="24"/>
                <w:szCs w:val="24"/>
                <w:highlight w:val="none"/>
              </w:rPr>
              <w:t>分项名称</w:t>
            </w:r>
          </w:p>
        </w:tc>
        <w:tc>
          <w:tcPr>
            <w:tcW w:w="32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Arial" w:hAnsi="Arial" w:eastAsia="宋体" w:cs="Arial"/>
                <w:sz w:val="24"/>
                <w:szCs w:val="24"/>
                <w:highlight w:val="none"/>
              </w:rPr>
            </w:pPr>
            <w:r>
              <w:rPr>
                <w:rFonts w:ascii="Arial" w:hAnsi="Arial" w:eastAsia="宋体" w:cs="Arial"/>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Borders>
              <w:top w:val="single" w:color="auto" w:sz="4" w:space="0"/>
              <w:left w:val="single" w:color="auto" w:sz="4" w:space="0"/>
              <w:bottom w:val="single" w:color="auto" w:sz="4" w:space="0"/>
              <w:right w:val="single" w:color="auto" w:sz="4" w:space="0"/>
            </w:tcBorders>
            <w:noWrap/>
            <w:vAlign w:val="top"/>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1</w:t>
            </w:r>
          </w:p>
        </w:tc>
        <w:tc>
          <w:tcPr>
            <w:tcW w:w="4316" w:type="dxa"/>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p>
        </w:tc>
        <w:tc>
          <w:tcPr>
            <w:tcW w:w="3237" w:type="dxa"/>
            <w:gridSpan w:val="2"/>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Borders>
              <w:top w:val="single" w:color="auto" w:sz="4" w:space="0"/>
              <w:left w:val="single" w:color="auto" w:sz="4" w:space="0"/>
              <w:bottom w:val="single" w:color="auto" w:sz="4" w:space="0"/>
              <w:right w:val="single" w:color="auto" w:sz="4" w:space="0"/>
            </w:tcBorders>
            <w:noWrap/>
            <w:vAlign w:val="top"/>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2</w:t>
            </w:r>
          </w:p>
        </w:tc>
        <w:tc>
          <w:tcPr>
            <w:tcW w:w="4316" w:type="dxa"/>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p>
        </w:tc>
        <w:tc>
          <w:tcPr>
            <w:tcW w:w="3237" w:type="dxa"/>
            <w:gridSpan w:val="2"/>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Borders>
              <w:top w:val="single" w:color="auto" w:sz="4" w:space="0"/>
              <w:left w:val="single" w:color="auto" w:sz="4" w:space="0"/>
              <w:bottom w:val="single" w:color="auto" w:sz="4" w:space="0"/>
              <w:right w:val="single" w:color="auto" w:sz="4" w:space="0"/>
            </w:tcBorders>
            <w:noWrap/>
            <w:vAlign w:val="top"/>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3</w:t>
            </w:r>
          </w:p>
        </w:tc>
        <w:tc>
          <w:tcPr>
            <w:tcW w:w="4316" w:type="dxa"/>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p>
        </w:tc>
        <w:tc>
          <w:tcPr>
            <w:tcW w:w="3237" w:type="dxa"/>
            <w:gridSpan w:val="2"/>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Borders>
              <w:top w:val="single" w:color="auto" w:sz="4" w:space="0"/>
              <w:left w:val="single" w:color="auto" w:sz="4" w:space="0"/>
              <w:bottom w:val="single" w:color="auto" w:sz="4" w:space="0"/>
              <w:right w:val="single" w:color="auto" w:sz="4" w:space="0"/>
            </w:tcBorders>
            <w:noWrap/>
            <w:vAlign w:val="top"/>
          </w:tcPr>
          <w:p>
            <w:pPr>
              <w:jc w:val="center"/>
              <w:rPr>
                <w:rFonts w:ascii="Arial" w:hAnsi="Arial" w:eastAsia="宋体" w:cs="Arial"/>
                <w:sz w:val="24"/>
                <w:szCs w:val="24"/>
                <w:highlight w:val="none"/>
                <w:lang w:val="zh-CN"/>
              </w:rPr>
            </w:pPr>
            <w:r>
              <w:rPr>
                <w:rFonts w:ascii="Arial" w:hAnsi="Arial" w:eastAsia="宋体" w:cs="Arial"/>
                <w:sz w:val="24"/>
                <w:szCs w:val="24"/>
                <w:highlight w:val="none"/>
                <w:lang w:val="zh-CN"/>
              </w:rPr>
              <w:t>……</w:t>
            </w:r>
          </w:p>
        </w:tc>
        <w:tc>
          <w:tcPr>
            <w:tcW w:w="4316" w:type="dxa"/>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p>
        </w:tc>
        <w:tc>
          <w:tcPr>
            <w:tcW w:w="3237" w:type="dxa"/>
            <w:gridSpan w:val="2"/>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r>
              <w:rPr>
                <w:rFonts w:ascii="Arial" w:hAnsi="Arial" w:eastAsia="宋体" w:cs="Arial"/>
                <w:sz w:val="24"/>
                <w:szCs w:val="24"/>
                <w:highlight w:val="none"/>
              </w:rPr>
              <w:t>总价</w:t>
            </w:r>
          </w:p>
        </w:tc>
        <w:tc>
          <w:tcPr>
            <w:tcW w:w="3237" w:type="dxa"/>
            <w:gridSpan w:val="2"/>
            <w:tcBorders>
              <w:top w:val="single" w:color="auto" w:sz="4" w:space="0"/>
              <w:left w:val="single" w:color="auto" w:sz="4" w:space="0"/>
              <w:bottom w:val="single" w:color="auto" w:sz="4" w:space="0"/>
              <w:right w:val="single" w:color="auto" w:sz="4" w:space="0"/>
            </w:tcBorders>
            <w:noWrap/>
            <w:vAlign w:val="center"/>
          </w:tcPr>
          <w:p>
            <w:pPr>
              <w:ind w:firstLine="200"/>
              <w:jc w:val="center"/>
              <w:rPr>
                <w:rFonts w:ascii="Arial" w:hAnsi="Arial" w:eastAsia="宋体" w:cs="Arial"/>
                <w:sz w:val="24"/>
                <w:szCs w:val="24"/>
                <w:highlight w:val="none"/>
              </w:rPr>
            </w:pPr>
          </w:p>
        </w:tc>
      </w:tr>
    </w:tbl>
    <w:p>
      <w:pPr>
        <w:spacing w:line="360" w:lineRule="auto"/>
        <w:ind w:firstLine="437"/>
        <w:outlineLvl w:val="3"/>
        <w:rPr>
          <w:rFonts w:ascii="Arial" w:hAnsi="Arial" w:eastAsia="宋体" w:cs="Arial"/>
          <w:b/>
          <w:bCs/>
          <w:sz w:val="24"/>
          <w:szCs w:val="24"/>
          <w:highlight w:val="none"/>
          <w:lang w:val="zh-CN"/>
        </w:rPr>
      </w:pPr>
      <w:bookmarkStart w:id="12" w:name="_Toc22618"/>
      <w:bookmarkStart w:id="13" w:name="_Toc1814"/>
      <w:bookmarkStart w:id="14" w:name="_Toc10340"/>
      <w:r>
        <w:rPr>
          <w:rFonts w:ascii="Arial" w:hAnsi="Arial" w:eastAsia="宋体" w:cs="Arial"/>
          <w:b/>
          <w:bCs/>
          <w:sz w:val="24"/>
          <w:szCs w:val="24"/>
          <w:highlight w:val="none"/>
          <w:lang w:val="zh-CN"/>
        </w:rPr>
        <w:t>1.4 付款方式和发票开具方式</w:t>
      </w:r>
      <w:bookmarkEnd w:id="12"/>
      <w:bookmarkEnd w:id="13"/>
      <w:bookmarkEnd w:id="14"/>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1.4.1付款方式：</w:t>
      </w:r>
      <w:r>
        <w:rPr>
          <w:rFonts w:ascii="Arial" w:hAnsi="Arial" w:eastAsia="宋体" w:cs="Arial"/>
          <w:sz w:val="24"/>
          <w:szCs w:val="24"/>
          <w:highlight w:val="none"/>
          <w:u w:val="single"/>
        </w:rPr>
        <w:t xml:space="preserve">                                                </w:t>
      </w:r>
      <w:r>
        <w:rPr>
          <w:rFonts w:ascii="Arial" w:hAnsi="Arial" w:eastAsia="宋体" w:cs="Arial"/>
          <w:sz w:val="24"/>
          <w:szCs w:val="24"/>
          <w:highlight w:val="none"/>
        </w:rPr>
        <w:t>；</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1.4.2发票开具方式：</w:t>
      </w:r>
      <w:r>
        <w:rPr>
          <w:rFonts w:ascii="Arial" w:hAnsi="Arial" w:eastAsia="宋体" w:cs="Arial"/>
          <w:sz w:val="24"/>
          <w:szCs w:val="24"/>
          <w:highlight w:val="none"/>
          <w:u w:val="single"/>
        </w:rPr>
        <w:t xml:space="preserve">                                            </w:t>
      </w:r>
      <w:r>
        <w:rPr>
          <w:rFonts w:ascii="Arial" w:hAnsi="Arial" w:eastAsia="宋体" w:cs="Arial"/>
          <w:sz w:val="24"/>
          <w:szCs w:val="24"/>
          <w:highlight w:val="none"/>
        </w:rPr>
        <w:t>。</w:t>
      </w:r>
    </w:p>
    <w:p>
      <w:pPr>
        <w:spacing w:line="360" w:lineRule="auto"/>
        <w:ind w:firstLine="437"/>
        <w:outlineLvl w:val="3"/>
        <w:rPr>
          <w:rFonts w:ascii="Arial" w:hAnsi="Arial" w:eastAsia="宋体" w:cs="Arial"/>
          <w:b/>
          <w:bCs/>
          <w:sz w:val="24"/>
          <w:szCs w:val="24"/>
          <w:highlight w:val="none"/>
          <w:lang w:val="zh-CN"/>
        </w:rPr>
      </w:pPr>
      <w:bookmarkStart w:id="15" w:name="_Toc19304"/>
      <w:bookmarkStart w:id="16" w:name="_Toc32071"/>
      <w:bookmarkStart w:id="17" w:name="_Toc2846"/>
      <w:r>
        <w:rPr>
          <w:rFonts w:ascii="Arial" w:hAnsi="Arial" w:eastAsia="宋体" w:cs="Arial"/>
          <w:b/>
          <w:bCs/>
          <w:sz w:val="24"/>
          <w:szCs w:val="24"/>
          <w:highlight w:val="none"/>
          <w:lang w:val="zh-CN"/>
        </w:rPr>
        <w:t>1.5 货物交付期限、地点和方式</w:t>
      </w:r>
      <w:bookmarkEnd w:id="15"/>
      <w:bookmarkEnd w:id="16"/>
      <w:bookmarkEnd w:id="17"/>
    </w:p>
    <w:p>
      <w:pPr>
        <w:spacing w:line="360" w:lineRule="auto"/>
        <w:ind w:firstLine="435"/>
        <w:rPr>
          <w:rFonts w:ascii="Arial" w:hAnsi="Arial" w:eastAsia="宋体" w:cs="Arial"/>
          <w:sz w:val="24"/>
          <w:szCs w:val="24"/>
          <w:highlight w:val="none"/>
          <w:u w:val="single"/>
        </w:rPr>
      </w:pPr>
      <w:r>
        <w:rPr>
          <w:rFonts w:ascii="Arial" w:hAnsi="Arial" w:eastAsia="宋体" w:cs="Arial"/>
          <w:sz w:val="24"/>
          <w:szCs w:val="24"/>
          <w:highlight w:val="none"/>
        </w:rPr>
        <w:t>1.5.1交付期限：</w:t>
      </w:r>
      <w:r>
        <w:rPr>
          <w:rFonts w:ascii="Arial" w:hAnsi="Arial" w:eastAsia="宋体" w:cs="Arial"/>
          <w:sz w:val="24"/>
          <w:szCs w:val="24"/>
          <w:highlight w:val="none"/>
          <w:u w:val="single"/>
        </w:rPr>
        <w:t xml:space="preserve">                                                </w:t>
      </w:r>
      <w:r>
        <w:rPr>
          <w:rFonts w:ascii="Arial" w:hAnsi="Arial" w:eastAsia="宋体" w:cs="Arial"/>
          <w:sz w:val="24"/>
          <w:szCs w:val="24"/>
          <w:highlight w:val="none"/>
        </w:rPr>
        <w:t>；</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1.5.2交付地点：</w:t>
      </w:r>
      <w:r>
        <w:rPr>
          <w:rFonts w:ascii="Arial" w:hAnsi="Arial" w:eastAsia="宋体" w:cs="Arial"/>
          <w:sz w:val="24"/>
          <w:szCs w:val="24"/>
          <w:highlight w:val="none"/>
          <w:u w:val="single"/>
        </w:rPr>
        <w:t xml:space="preserve">                                                </w:t>
      </w:r>
      <w:r>
        <w:rPr>
          <w:rFonts w:ascii="Arial" w:hAnsi="Arial" w:eastAsia="宋体" w:cs="Arial"/>
          <w:sz w:val="24"/>
          <w:szCs w:val="24"/>
          <w:highlight w:val="none"/>
        </w:rPr>
        <w:t>；</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1.5.3交付方式：</w:t>
      </w:r>
      <w:r>
        <w:rPr>
          <w:rFonts w:ascii="Arial" w:hAnsi="Arial" w:eastAsia="宋体" w:cs="Arial"/>
          <w:sz w:val="24"/>
          <w:szCs w:val="24"/>
          <w:highlight w:val="none"/>
          <w:u w:val="single"/>
        </w:rPr>
        <w:t xml:space="preserve">                                                </w:t>
      </w:r>
      <w:r>
        <w:rPr>
          <w:rFonts w:ascii="Arial" w:hAnsi="Arial" w:eastAsia="宋体" w:cs="Arial"/>
          <w:sz w:val="24"/>
          <w:szCs w:val="24"/>
          <w:highlight w:val="none"/>
        </w:rPr>
        <w:t>。</w:t>
      </w:r>
    </w:p>
    <w:p>
      <w:pPr>
        <w:spacing w:line="360" w:lineRule="auto"/>
        <w:ind w:firstLine="437"/>
        <w:outlineLvl w:val="3"/>
        <w:rPr>
          <w:rFonts w:ascii="Arial" w:hAnsi="Arial" w:eastAsia="宋体" w:cs="Arial"/>
          <w:b/>
          <w:bCs/>
          <w:sz w:val="24"/>
          <w:szCs w:val="24"/>
          <w:highlight w:val="none"/>
          <w:lang w:val="zh-CN"/>
        </w:rPr>
      </w:pPr>
      <w:bookmarkStart w:id="18" w:name="_Toc27250"/>
      <w:bookmarkStart w:id="19" w:name="_Toc19554"/>
      <w:bookmarkStart w:id="20" w:name="_Toc21423"/>
      <w:r>
        <w:rPr>
          <w:rFonts w:ascii="Arial" w:hAnsi="Arial" w:eastAsia="宋体" w:cs="Arial"/>
          <w:b/>
          <w:bCs/>
          <w:sz w:val="24"/>
          <w:szCs w:val="24"/>
          <w:highlight w:val="none"/>
          <w:lang w:val="zh-CN"/>
        </w:rPr>
        <w:t>1.6 违约责任</w:t>
      </w:r>
      <w:bookmarkEnd w:id="18"/>
      <w:bookmarkEnd w:id="19"/>
      <w:bookmarkEnd w:id="20"/>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1.6.1除不可抗力外，如果乙方没有按照本合同约定的期限、地点和方式交付货物，那么甲方可要求乙方支付违约金，违约金按每迟延交付货物一日的应交付而未交付货物价格的</w:t>
      </w:r>
      <w:r>
        <w:rPr>
          <w:rFonts w:hint="eastAsia" w:ascii="Arial" w:hAnsi="Arial" w:eastAsia="宋体" w:cs="Arial"/>
          <w:sz w:val="24"/>
          <w:szCs w:val="24"/>
          <w:highlight w:val="none"/>
          <w:u w:val="single"/>
        </w:rPr>
        <w:t>0.5</w:t>
      </w:r>
      <w:r>
        <w:rPr>
          <w:rFonts w:ascii="Arial" w:hAnsi="Arial" w:eastAsia="宋体" w:cs="Arial"/>
          <w:sz w:val="24"/>
          <w:szCs w:val="24"/>
          <w:highlight w:val="none"/>
        </w:rPr>
        <w:t>%计算，最高限额为本合同总价的</w:t>
      </w:r>
      <w:r>
        <w:rPr>
          <w:rFonts w:hint="eastAsia" w:ascii="Arial" w:hAnsi="Arial" w:eastAsia="宋体" w:cs="Arial"/>
          <w:sz w:val="24"/>
          <w:szCs w:val="24"/>
          <w:highlight w:val="none"/>
          <w:u w:val="single"/>
        </w:rPr>
        <w:t>5</w:t>
      </w:r>
      <w:r>
        <w:rPr>
          <w:rFonts w:ascii="Arial" w:hAnsi="Arial" w:eastAsia="宋体" w:cs="Arial"/>
          <w:sz w:val="24"/>
          <w:szCs w:val="24"/>
          <w:highlight w:val="none"/>
          <w:u w:val="single"/>
        </w:rPr>
        <w:t xml:space="preserve"> </w:t>
      </w:r>
      <w:r>
        <w:rPr>
          <w:rFonts w:ascii="Arial" w:hAnsi="Arial" w:eastAsia="宋体" w:cs="Arial"/>
          <w:sz w:val="24"/>
          <w:szCs w:val="24"/>
          <w:highlight w:val="none"/>
        </w:rPr>
        <w:t>%；迟延交付货物的违约金计算数额达到前述最高限额之日起，甲方有权在要求乙方支付违约金的同时，书面通知乙方解除本合同；</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1.6.2除不可抗力外，如果甲方没有按照本合同约定的付款方式付款，那么乙方可要求甲方支付违约金，违约金按每迟延付款一日的应付而未付款的</w:t>
      </w:r>
      <w:r>
        <w:rPr>
          <w:rFonts w:hint="eastAsia" w:ascii="Arial" w:hAnsi="Arial" w:eastAsia="宋体" w:cs="Arial"/>
          <w:sz w:val="24"/>
          <w:szCs w:val="24"/>
          <w:highlight w:val="none"/>
          <w:u w:val="single"/>
        </w:rPr>
        <w:t>0.5</w:t>
      </w:r>
      <w:r>
        <w:rPr>
          <w:rFonts w:ascii="Arial" w:hAnsi="Arial" w:eastAsia="宋体" w:cs="Arial"/>
          <w:sz w:val="24"/>
          <w:szCs w:val="24"/>
          <w:highlight w:val="none"/>
        </w:rPr>
        <w:t>%计算，最高限额为本合同总价的</w:t>
      </w:r>
      <w:r>
        <w:rPr>
          <w:rFonts w:hint="eastAsia" w:ascii="Arial" w:hAnsi="Arial" w:eastAsia="宋体" w:cs="Arial"/>
          <w:sz w:val="24"/>
          <w:szCs w:val="24"/>
          <w:highlight w:val="none"/>
          <w:u w:val="single"/>
        </w:rPr>
        <w:t>5</w:t>
      </w:r>
      <w:r>
        <w:rPr>
          <w:rFonts w:ascii="Arial" w:hAnsi="Arial" w:eastAsia="宋体" w:cs="Arial"/>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pStyle w:val="9"/>
        <w:spacing w:line="360" w:lineRule="auto"/>
        <w:ind w:firstLine="480" w:firstLineChars="200"/>
        <w:rPr>
          <w:rFonts w:ascii="Arial" w:hAnsi="Arial" w:cs="Arial"/>
          <w:b/>
          <w:bCs/>
          <w:sz w:val="24"/>
          <w:szCs w:val="24"/>
          <w:highlight w:val="none"/>
          <w:lang w:val="zh-CN"/>
        </w:rPr>
      </w:pPr>
      <w:bookmarkStart w:id="21" w:name="_Toc15583"/>
      <w:bookmarkStart w:id="22" w:name="_Toc16021"/>
      <w:bookmarkStart w:id="23" w:name="_Toc28375"/>
      <w:r>
        <w:rPr>
          <w:rStyle w:val="13"/>
          <w:rFonts w:ascii="Arial" w:hAnsi="Arial" w:cs="Arial"/>
          <w:color w:val="auto"/>
          <w:sz w:val="24"/>
          <w:szCs w:val="24"/>
          <w:highlight w:val="none"/>
        </w:rPr>
        <w:t>1.6.7履约保证金;本项目履约保证金为</w:t>
      </w:r>
      <w:r>
        <w:rPr>
          <w:rFonts w:hint="eastAsia" w:ascii="Arial" w:hAnsi="Arial" w:cs="Arial"/>
          <w:sz w:val="24"/>
          <w:szCs w:val="24"/>
          <w:highlight w:val="none"/>
          <w:u w:val="single"/>
        </w:rPr>
        <w:t xml:space="preserve">    </w:t>
      </w:r>
      <w:r>
        <w:rPr>
          <w:rStyle w:val="13"/>
          <w:rFonts w:ascii="Arial" w:hAnsi="Arial" w:cs="Arial"/>
          <w:color w:val="auto"/>
          <w:sz w:val="24"/>
          <w:szCs w:val="24"/>
          <w:highlight w:val="none"/>
        </w:rPr>
        <w:t>元(人民币大写：</w:t>
      </w:r>
      <w:r>
        <w:rPr>
          <w:rStyle w:val="13"/>
          <w:rFonts w:ascii="Arial" w:hAnsi="Arial" w:cs="Arial"/>
          <w:color w:val="auto"/>
          <w:sz w:val="24"/>
          <w:szCs w:val="24"/>
          <w:highlight w:val="none"/>
          <w:u w:val="single"/>
        </w:rPr>
        <w:t xml:space="preserve">  </w:t>
      </w:r>
      <w:r>
        <w:rPr>
          <w:rFonts w:ascii="Arial" w:hAnsi="Arial" w:cs="Arial"/>
          <w:sz w:val="24"/>
          <w:szCs w:val="24"/>
          <w:highlight w:val="none"/>
          <w:u w:val="single"/>
        </w:rPr>
        <w:t xml:space="preserve"> </w:t>
      </w:r>
      <w:r>
        <w:rPr>
          <w:rStyle w:val="13"/>
          <w:rFonts w:ascii="Arial" w:hAnsi="Arial" w:cs="Arial"/>
          <w:color w:val="auto"/>
          <w:sz w:val="24"/>
          <w:szCs w:val="24"/>
          <w:highlight w:val="none"/>
        </w:rPr>
        <w:t>)，收受人为</w:t>
      </w:r>
      <w:r>
        <w:rPr>
          <w:rFonts w:ascii="Arial" w:hAnsi="Arial" w:cs="Arial"/>
          <w:sz w:val="24"/>
          <w:szCs w:val="24"/>
          <w:highlight w:val="none"/>
          <w:u w:val="single"/>
        </w:rPr>
        <w:t xml:space="preserve"> </w:t>
      </w:r>
      <w:r>
        <w:rPr>
          <w:rFonts w:hint="eastAsia" w:ascii="Arial" w:hAnsi="Arial" w:cs="Arial"/>
          <w:sz w:val="24"/>
          <w:szCs w:val="24"/>
          <w:highlight w:val="none"/>
          <w:u w:val="single"/>
        </w:rPr>
        <w:t>淮北师范大学</w:t>
      </w:r>
      <w:r>
        <w:rPr>
          <w:rStyle w:val="13"/>
          <w:rFonts w:ascii="Arial" w:hAnsi="Arial" w:cs="Arial"/>
          <w:color w:val="auto"/>
          <w:sz w:val="24"/>
          <w:szCs w:val="24"/>
          <w:highlight w:val="none"/>
        </w:rPr>
        <w:t>，期限为验收合格后</w:t>
      </w:r>
      <w:r>
        <w:rPr>
          <w:rFonts w:hint="eastAsia" w:ascii="Arial" w:hAnsi="Arial" w:cs="Arial"/>
          <w:sz w:val="24"/>
          <w:szCs w:val="24"/>
          <w:highlight w:val="none"/>
          <w:u w:val="single"/>
        </w:rPr>
        <w:t xml:space="preserve"> </w:t>
      </w:r>
      <w:r>
        <w:rPr>
          <w:rFonts w:hint="eastAsia" w:ascii="Arial" w:hAnsi="Arial" w:cs="Arial"/>
          <w:sz w:val="24"/>
          <w:szCs w:val="24"/>
          <w:highlight w:val="none"/>
        </w:rPr>
        <w:t>年</w:t>
      </w:r>
      <w:r>
        <w:rPr>
          <w:rStyle w:val="13"/>
          <w:rFonts w:ascii="Arial" w:hAnsi="Arial" w:cs="Arial"/>
          <w:color w:val="auto"/>
          <w:sz w:val="24"/>
          <w:szCs w:val="24"/>
          <w:highlight w:val="none"/>
        </w:rPr>
        <w:t>。如卖方未能按期履行合同，买方可从履约保证金中获得经济上的赔偿。</w:t>
      </w:r>
      <w:r>
        <w:rPr>
          <w:rFonts w:hint="eastAsia" w:ascii="宋体" w:cs="宋体"/>
          <w:sz w:val="24"/>
          <w:szCs w:val="24"/>
          <w:highlight w:val="none"/>
        </w:rPr>
        <w:t>履约期内未完成履约的，扣除履约保证金，合同款不予支付，并且由于乙方原因造成甲方资金被监管单位收回的责任由乙方承担。</w:t>
      </w:r>
    </w:p>
    <w:p>
      <w:pPr>
        <w:spacing w:line="360" w:lineRule="auto"/>
        <w:ind w:firstLine="437"/>
        <w:outlineLvl w:val="3"/>
        <w:rPr>
          <w:rFonts w:ascii="Arial" w:hAnsi="Arial" w:eastAsia="宋体" w:cs="Arial"/>
          <w:b/>
          <w:bCs/>
          <w:sz w:val="24"/>
          <w:szCs w:val="24"/>
          <w:highlight w:val="none"/>
          <w:lang w:val="zh-CN"/>
        </w:rPr>
      </w:pPr>
      <w:r>
        <w:rPr>
          <w:rFonts w:ascii="Arial" w:hAnsi="Arial" w:eastAsia="宋体" w:cs="Arial"/>
          <w:b/>
          <w:bCs/>
          <w:sz w:val="24"/>
          <w:szCs w:val="24"/>
          <w:highlight w:val="none"/>
          <w:lang w:val="zh-CN"/>
        </w:rPr>
        <w:t>1.7 合同争议的解决</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本合同履行过程中发生的任何争议，双方当事人均可通过和解或者调解解决；不愿和解、调解或者和解、调解不成的，可以选择下列第</w:t>
      </w:r>
      <w:r>
        <w:rPr>
          <w:rFonts w:ascii="Arial" w:hAnsi="Arial" w:eastAsia="宋体" w:cs="Arial"/>
          <w:sz w:val="24"/>
          <w:szCs w:val="24"/>
          <w:highlight w:val="none"/>
          <w:u w:val="single"/>
        </w:rPr>
        <w:t xml:space="preserve"> </w:t>
      </w:r>
      <w:r>
        <w:rPr>
          <w:rFonts w:hint="eastAsia" w:ascii="Arial" w:hAnsi="Arial" w:eastAsia="宋体" w:cs="Arial"/>
          <w:sz w:val="24"/>
          <w:szCs w:val="24"/>
          <w:highlight w:val="none"/>
          <w:u w:val="single"/>
        </w:rPr>
        <w:t>1</w:t>
      </w:r>
      <w:r>
        <w:rPr>
          <w:rFonts w:ascii="Arial" w:hAnsi="Arial" w:eastAsia="宋体" w:cs="Arial"/>
          <w:sz w:val="24"/>
          <w:szCs w:val="24"/>
          <w:highlight w:val="none"/>
          <w:u w:val="single"/>
        </w:rPr>
        <w:t xml:space="preserve"> </w:t>
      </w:r>
      <w:r>
        <w:rPr>
          <w:rFonts w:ascii="Arial" w:hAnsi="Arial" w:eastAsia="宋体" w:cs="Arial"/>
          <w:sz w:val="24"/>
          <w:szCs w:val="24"/>
          <w:highlight w:val="none"/>
        </w:rPr>
        <w:t>种方式解决：</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1.7.1将争议提交</w:t>
      </w:r>
      <w:r>
        <w:rPr>
          <w:rFonts w:hint="eastAsia" w:ascii="Arial" w:hAnsi="Arial" w:eastAsia="宋体" w:cs="Arial"/>
          <w:sz w:val="24"/>
          <w:szCs w:val="24"/>
          <w:highlight w:val="none"/>
          <w:u w:val="single"/>
        </w:rPr>
        <w:t>淮北市仲裁委员会</w:t>
      </w:r>
      <w:r>
        <w:rPr>
          <w:rFonts w:ascii="Arial" w:hAnsi="Arial" w:eastAsia="宋体" w:cs="Arial"/>
          <w:sz w:val="24"/>
          <w:szCs w:val="24"/>
          <w:highlight w:val="none"/>
        </w:rPr>
        <w:t>仲裁委员会依申请仲裁时其现行有效的仲裁规则裁决；</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1.7.2向</w:t>
      </w:r>
      <w:r>
        <w:rPr>
          <w:rFonts w:hint="eastAsia" w:ascii="Arial" w:hAnsi="Arial" w:eastAsia="宋体" w:cs="Arial"/>
          <w:sz w:val="24"/>
          <w:szCs w:val="24"/>
          <w:highlight w:val="none"/>
          <w:u w:val="single"/>
        </w:rPr>
        <w:t>淮北市</w:t>
      </w:r>
      <w:r>
        <w:rPr>
          <w:rFonts w:ascii="Arial" w:hAnsi="Arial" w:eastAsia="宋体" w:cs="Arial"/>
          <w:sz w:val="24"/>
          <w:szCs w:val="24"/>
          <w:highlight w:val="none"/>
        </w:rPr>
        <w:t>人民法院起诉。</w:t>
      </w:r>
    </w:p>
    <w:bookmarkEnd w:id="21"/>
    <w:bookmarkEnd w:id="22"/>
    <w:bookmarkEnd w:id="23"/>
    <w:p>
      <w:pPr>
        <w:spacing w:line="360" w:lineRule="auto"/>
        <w:ind w:firstLine="437"/>
        <w:outlineLvl w:val="3"/>
        <w:rPr>
          <w:rFonts w:ascii="Arial" w:hAnsi="Arial" w:eastAsia="宋体" w:cs="Arial"/>
          <w:b/>
          <w:bCs/>
          <w:sz w:val="24"/>
          <w:szCs w:val="24"/>
          <w:highlight w:val="none"/>
          <w:lang w:val="zh-CN"/>
        </w:rPr>
      </w:pPr>
      <w:bookmarkStart w:id="24" w:name="_Toc15322"/>
      <w:bookmarkStart w:id="25" w:name="_Toc7245"/>
      <w:bookmarkStart w:id="26" w:name="_Toc11173"/>
      <w:r>
        <w:rPr>
          <w:rFonts w:ascii="Arial" w:hAnsi="Arial" w:eastAsia="宋体" w:cs="Arial"/>
          <w:b/>
          <w:bCs/>
          <w:sz w:val="24"/>
          <w:szCs w:val="24"/>
          <w:highlight w:val="none"/>
          <w:lang w:val="zh-CN"/>
        </w:rPr>
        <w:t>1.8 合同生效</w:t>
      </w:r>
      <w:bookmarkEnd w:id="24"/>
      <w:bookmarkEnd w:id="25"/>
      <w:bookmarkEnd w:id="26"/>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本合同自双方当事人盖章时生效。</w:t>
      </w:r>
    </w:p>
    <w:p>
      <w:pPr>
        <w:autoSpaceDE w:val="0"/>
        <w:autoSpaceDN w:val="0"/>
        <w:adjustRightInd w:val="0"/>
        <w:spacing w:line="560" w:lineRule="exact"/>
        <w:rPr>
          <w:rFonts w:hint="eastAsia" w:ascii="宋体" w:eastAsia="宋体"/>
          <w:bCs/>
          <w:sz w:val="24"/>
          <w:highlight w:val="none"/>
          <w:lang w:val="zh-CN"/>
        </w:rPr>
      </w:pPr>
      <w:bookmarkStart w:id="27" w:name="_Toc331685783"/>
      <w:r>
        <w:rPr>
          <w:rFonts w:hint="eastAsia" w:ascii="宋体" w:eastAsia="宋体"/>
          <w:bCs/>
          <w:sz w:val="24"/>
          <w:highlight w:val="none"/>
          <w:lang w:val="zh-CN"/>
        </w:rPr>
        <w:t>甲    方：</w:t>
      </w:r>
      <w:r>
        <w:rPr>
          <w:rFonts w:hint="eastAsia" w:ascii="宋体" w:eastAsia="宋体"/>
          <w:bCs/>
          <w:sz w:val="24"/>
          <w:highlight w:val="none"/>
          <w:u w:val="single"/>
          <w:lang w:val="zh-CN"/>
        </w:rPr>
        <w:t xml:space="preserve">  </w:t>
      </w:r>
      <w:r>
        <w:rPr>
          <w:rFonts w:hint="eastAsia" w:ascii="宋体" w:eastAsia="宋体"/>
          <w:bCs/>
          <w:sz w:val="24"/>
          <w:highlight w:val="none"/>
          <w:u w:val="single"/>
        </w:rPr>
        <w:t xml:space="preserve">           </w:t>
      </w:r>
      <w:r>
        <w:rPr>
          <w:rFonts w:hint="eastAsia" w:ascii="宋体" w:eastAsia="宋体"/>
          <w:bCs/>
          <w:sz w:val="24"/>
          <w:highlight w:val="none"/>
          <w:u w:val="single"/>
          <w:lang w:val="zh-CN"/>
        </w:rPr>
        <w:t xml:space="preserve"> （单位盖章）   </w:t>
      </w:r>
      <w:r>
        <w:rPr>
          <w:rFonts w:hint="eastAsia" w:ascii="宋体" w:eastAsia="宋体"/>
          <w:bCs/>
          <w:sz w:val="24"/>
          <w:highlight w:val="none"/>
          <w:lang w:val="zh-CN"/>
        </w:rPr>
        <w:t xml:space="preserve">  乙方：</w:t>
      </w:r>
      <w:r>
        <w:rPr>
          <w:rFonts w:hint="eastAsia" w:ascii="宋体" w:eastAsia="宋体"/>
          <w:bCs/>
          <w:sz w:val="24"/>
          <w:highlight w:val="none"/>
          <w:u w:val="single"/>
          <w:lang w:val="zh-CN"/>
        </w:rPr>
        <w:t xml:space="preserve">    （单位盖章）     </w:t>
      </w:r>
    </w:p>
    <w:p>
      <w:pPr>
        <w:autoSpaceDE w:val="0"/>
        <w:autoSpaceDN w:val="0"/>
        <w:adjustRightInd w:val="0"/>
        <w:spacing w:line="560" w:lineRule="exact"/>
        <w:rPr>
          <w:rFonts w:hint="eastAsia" w:ascii="宋体" w:eastAsia="宋体"/>
          <w:sz w:val="24"/>
          <w:highlight w:val="none"/>
          <w:lang w:val="zh-CN"/>
        </w:rPr>
      </w:pPr>
      <w:r>
        <w:rPr>
          <w:rFonts w:hint="eastAsia" w:ascii="宋体" w:eastAsia="宋体"/>
          <w:sz w:val="24"/>
          <w:highlight w:val="none"/>
          <w:lang w:val="zh-CN"/>
        </w:rPr>
        <w:t>法定代表人                               法定代表人</w:t>
      </w:r>
    </w:p>
    <w:p>
      <w:pPr>
        <w:autoSpaceDE w:val="0"/>
        <w:autoSpaceDN w:val="0"/>
        <w:adjustRightInd w:val="0"/>
        <w:spacing w:line="560" w:lineRule="exact"/>
        <w:rPr>
          <w:rFonts w:hint="eastAsia" w:ascii="宋体" w:eastAsia="宋体"/>
          <w:sz w:val="24"/>
          <w:highlight w:val="none"/>
          <w:lang w:val="zh-CN"/>
        </w:rPr>
      </w:pPr>
      <w:r>
        <w:rPr>
          <w:rFonts w:hint="eastAsia" w:ascii="宋体" w:eastAsia="宋体"/>
          <w:sz w:val="24"/>
          <w:highlight w:val="none"/>
          <w:lang w:val="zh-CN"/>
        </w:rPr>
        <w:t>或授权代表（签字）：                      或授权代表（签字）：</w:t>
      </w:r>
    </w:p>
    <w:p>
      <w:pPr>
        <w:widowControl/>
        <w:spacing w:line="560" w:lineRule="exact"/>
        <w:jc w:val="left"/>
        <w:rPr>
          <w:rFonts w:hint="eastAsia" w:ascii="宋体" w:eastAsia="宋体"/>
          <w:bCs/>
          <w:sz w:val="24"/>
          <w:highlight w:val="none"/>
        </w:rPr>
      </w:pPr>
      <w:r>
        <w:rPr>
          <w:rFonts w:hint="eastAsia" w:ascii="宋体" w:eastAsia="宋体"/>
          <w:bCs/>
          <w:sz w:val="24"/>
          <w:highlight w:val="none"/>
        </w:rPr>
        <w:t>时间：</w:t>
      </w:r>
      <w:r>
        <w:rPr>
          <w:rFonts w:hint="eastAsia" w:ascii="宋体" w:eastAsia="宋体"/>
          <w:bCs/>
          <w:sz w:val="24"/>
          <w:highlight w:val="none"/>
          <w:u w:val="single"/>
        </w:rPr>
        <w:t xml:space="preserve">      </w:t>
      </w:r>
      <w:r>
        <w:rPr>
          <w:rFonts w:hint="eastAsia" w:ascii="宋体" w:eastAsia="宋体"/>
          <w:bCs/>
          <w:sz w:val="24"/>
          <w:highlight w:val="none"/>
        </w:rPr>
        <w:t>年</w:t>
      </w:r>
      <w:r>
        <w:rPr>
          <w:rFonts w:hint="eastAsia" w:ascii="宋体" w:eastAsia="宋体"/>
          <w:bCs/>
          <w:sz w:val="24"/>
          <w:highlight w:val="none"/>
          <w:u w:val="single"/>
        </w:rPr>
        <w:t xml:space="preserve">    </w:t>
      </w:r>
      <w:r>
        <w:rPr>
          <w:rFonts w:hint="eastAsia" w:ascii="宋体" w:eastAsia="宋体"/>
          <w:bCs/>
          <w:sz w:val="24"/>
          <w:highlight w:val="none"/>
        </w:rPr>
        <w:t>月</w:t>
      </w:r>
      <w:r>
        <w:rPr>
          <w:rFonts w:hint="eastAsia" w:ascii="宋体" w:eastAsia="宋体"/>
          <w:bCs/>
          <w:sz w:val="24"/>
          <w:highlight w:val="none"/>
          <w:u w:val="single"/>
        </w:rPr>
        <w:t xml:space="preserve">    </w:t>
      </w:r>
      <w:r>
        <w:rPr>
          <w:rFonts w:hint="eastAsia" w:ascii="宋体" w:eastAsia="宋体"/>
          <w:bCs/>
          <w:sz w:val="24"/>
          <w:highlight w:val="none"/>
        </w:rPr>
        <w:t>日               时间：</w:t>
      </w:r>
      <w:r>
        <w:rPr>
          <w:rFonts w:hint="eastAsia" w:ascii="宋体" w:eastAsia="宋体"/>
          <w:bCs/>
          <w:sz w:val="24"/>
          <w:highlight w:val="none"/>
          <w:u w:val="single"/>
        </w:rPr>
        <w:t xml:space="preserve">      </w:t>
      </w:r>
      <w:r>
        <w:rPr>
          <w:rFonts w:hint="eastAsia" w:ascii="宋体" w:eastAsia="宋体"/>
          <w:bCs/>
          <w:sz w:val="24"/>
          <w:highlight w:val="none"/>
        </w:rPr>
        <w:t>年</w:t>
      </w:r>
      <w:r>
        <w:rPr>
          <w:rFonts w:hint="eastAsia" w:ascii="宋体" w:eastAsia="宋体"/>
          <w:bCs/>
          <w:sz w:val="24"/>
          <w:highlight w:val="none"/>
          <w:u w:val="single"/>
        </w:rPr>
        <w:t xml:space="preserve">    </w:t>
      </w:r>
      <w:r>
        <w:rPr>
          <w:rFonts w:hint="eastAsia" w:ascii="宋体" w:eastAsia="宋体"/>
          <w:bCs/>
          <w:sz w:val="24"/>
          <w:highlight w:val="none"/>
        </w:rPr>
        <w:t>月</w:t>
      </w:r>
      <w:r>
        <w:rPr>
          <w:rFonts w:hint="eastAsia" w:ascii="宋体" w:eastAsia="宋体"/>
          <w:bCs/>
          <w:sz w:val="24"/>
          <w:highlight w:val="none"/>
          <w:u w:val="single"/>
        </w:rPr>
        <w:t xml:space="preserve">    </w:t>
      </w:r>
      <w:r>
        <w:rPr>
          <w:rFonts w:hint="eastAsia" w:ascii="宋体" w:eastAsia="宋体"/>
          <w:bCs/>
          <w:sz w:val="24"/>
          <w:highlight w:val="none"/>
        </w:rPr>
        <w:t>日</w:t>
      </w:r>
    </w:p>
    <w:p>
      <w:pPr>
        <w:widowControl/>
        <w:jc w:val="left"/>
        <w:rPr>
          <w:rFonts w:hint="eastAsia" w:ascii="宋体" w:eastAsia="宋体"/>
          <w:b/>
          <w:sz w:val="24"/>
          <w:highlight w:val="none"/>
        </w:rPr>
      </w:pPr>
    </w:p>
    <w:p>
      <w:pPr>
        <w:autoSpaceDE w:val="0"/>
        <w:autoSpaceDN w:val="0"/>
        <w:adjustRightInd w:val="0"/>
        <w:spacing w:line="560" w:lineRule="exact"/>
        <w:rPr>
          <w:rFonts w:hint="eastAsia" w:ascii="宋体" w:eastAsia="宋体"/>
          <w:bCs/>
          <w:sz w:val="24"/>
          <w:szCs w:val="22"/>
          <w:highlight w:val="none"/>
        </w:rPr>
      </w:pPr>
      <w:r>
        <w:rPr>
          <w:rFonts w:hint="eastAsia" w:ascii="宋体" w:eastAsia="宋体"/>
          <w:bCs/>
          <w:sz w:val="24"/>
          <w:szCs w:val="22"/>
          <w:highlight w:val="none"/>
        </w:rPr>
        <w:t>见证方：鼎信数智技术集团股份有限公司（单位盖章）</w:t>
      </w:r>
    </w:p>
    <w:p>
      <w:pPr>
        <w:autoSpaceDE w:val="0"/>
        <w:autoSpaceDN w:val="0"/>
        <w:adjustRightInd w:val="0"/>
        <w:spacing w:line="560" w:lineRule="exact"/>
        <w:rPr>
          <w:rFonts w:hint="eastAsia" w:ascii="宋体" w:eastAsia="宋体"/>
          <w:bCs/>
          <w:sz w:val="24"/>
          <w:szCs w:val="22"/>
          <w:highlight w:val="none"/>
        </w:rPr>
      </w:pPr>
      <w:r>
        <w:rPr>
          <w:rFonts w:hint="eastAsia" w:ascii="宋体" w:eastAsia="宋体"/>
          <w:bCs/>
          <w:sz w:val="24"/>
          <w:szCs w:val="22"/>
          <w:highlight w:val="none"/>
        </w:rPr>
        <w:t>法定代表人</w:t>
      </w:r>
    </w:p>
    <w:p>
      <w:pPr>
        <w:autoSpaceDE w:val="0"/>
        <w:autoSpaceDN w:val="0"/>
        <w:adjustRightInd w:val="0"/>
        <w:spacing w:line="560" w:lineRule="exact"/>
        <w:rPr>
          <w:rFonts w:hint="eastAsia" w:ascii="宋体" w:eastAsia="宋体"/>
          <w:bCs/>
          <w:sz w:val="24"/>
          <w:szCs w:val="22"/>
          <w:highlight w:val="none"/>
        </w:rPr>
      </w:pPr>
      <w:r>
        <w:rPr>
          <w:rFonts w:hint="eastAsia" w:ascii="宋体" w:eastAsia="宋体"/>
          <w:bCs/>
          <w:sz w:val="24"/>
          <w:szCs w:val="22"/>
          <w:highlight w:val="none"/>
        </w:rPr>
        <w:t>或授权代表（签字）：</w:t>
      </w:r>
    </w:p>
    <w:p>
      <w:pPr>
        <w:widowControl/>
        <w:spacing w:line="560" w:lineRule="exact"/>
        <w:jc w:val="left"/>
        <w:rPr>
          <w:rFonts w:ascii="Arial" w:hAnsi="Arial" w:eastAsia="宋体" w:cs="Arial"/>
          <w:b/>
          <w:sz w:val="24"/>
          <w:szCs w:val="24"/>
          <w:highlight w:val="none"/>
        </w:rPr>
      </w:pPr>
      <w:r>
        <w:rPr>
          <w:rFonts w:hint="eastAsia" w:ascii="宋体" w:eastAsia="宋体"/>
          <w:bCs/>
          <w:sz w:val="24"/>
          <w:szCs w:val="22"/>
          <w:highlight w:val="none"/>
          <w:lang w:val="zh-CN"/>
        </w:rPr>
        <w:t>时间：</w:t>
      </w:r>
      <w:r>
        <w:rPr>
          <w:rFonts w:hint="eastAsia" w:ascii="宋体" w:eastAsia="宋体"/>
          <w:bCs/>
          <w:sz w:val="24"/>
          <w:szCs w:val="22"/>
          <w:highlight w:val="none"/>
          <w:u w:val="single"/>
          <w:lang w:val="zh-CN"/>
        </w:rPr>
        <w:t xml:space="preserve">     </w:t>
      </w:r>
      <w:r>
        <w:rPr>
          <w:rFonts w:hint="eastAsia" w:ascii="宋体" w:eastAsia="宋体"/>
          <w:bCs/>
          <w:sz w:val="24"/>
          <w:szCs w:val="22"/>
          <w:highlight w:val="none"/>
          <w:lang w:val="zh-CN"/>
        </w:rPr>
        <w:t xml:space="preserve"> 年 </w:t>
      </w:r>
      <w:r>
        <w:rPr>
          <w:rFonts w:hint="eastAsia" w:ascii="宋体" w:eastAsia="宋体"/>
          <w:bCs/>
          <w:sz w:val="24"/>
          <w:szCs w:val="22"/>
          <w:highlight w:val="none"/>
          <w:u w:val="single"/>
          <w:lang w:val="zh-CN"/>
        </w:rPr>
        <w:t xml:space="preserve">   </w:t>
      </w:r>
      <w:r>
        <w:rPr>
          <w:rFonts w:hint="eastAsia" w:ascii="宋体" w:eastAsia="宋体"/>
          <w:bCs/>
          <w:sz w:val="24"/>
          <w:szCs w:val="22"/>
          <w:highlight w:val="none"/>
          <w:lang w:val="zh-CN"/>
        </w:rPr>
        <w:t xml:space="preserve">月 </w:t>
      </w:r>
      <w:r>
        <w:rPr>
          <w:rFonts w:hint="eastAsia" w:ascii="宋体" w:eastAsia="宋体"/>
          <w:bCs/>
          <w:sz w:val="24"/>
          <w:szCs w:val="22"/>
          <w:highlight w:val="none"/>
          <w:u w:val="single"/>
          <w:lang w:val="zh-CN"/>
        </w:rPr>
        <w:t xml:space="preserve">   </w:t>
      </w:r>
      <w:r>
        <w:rPr>
          <w:rFonts w:hint="eastAsia" w:ascii="宋体" w:eastAsia="宋体"/>
          <w:bCs/>
          <w:sz w:val="24"/>
          <w:szCs w:val="22"/>
          <w:highlight w:val="none"/>
          <w:lang w:val="zh-CN"/>
        </w:rPr>
        <w:t>日</w:t>
      </w:r>
      <w:r>
        <w:rPr>
          <w:rFonts w:ascii="Arial" w:hAnsi="Arial" w:eastAsia="宋体" w:cs="Arial"/>
          <w:b/>
          <w:sz w:val="24"/>
          <w:szCs w:val="24"/>
          <w:highlight w:val="none"/>
        </w:rPr>
        <w:br w:type="page"/>
      </w:r>
    </w:p>
    <w:p>
      <w:pPr>
        <w:spacing w:line="360" w:lineRule="auto"/>
        <w:jc w:val="center"/>
        <w:outlineLvl w:val="2"/>
        <w:rPr>
          <w:rFonts w:ascii="Arial" w:hAnsi="Arial" w:eastAsia="宋体" w:cs="Arial"/>
          <w:b/>
          <w:sz w:val="24"/>
          <w:highlight w:val="none"/>
        </w:rPr>
      </w:pPr>
      <w:r>
        <w:rPr>
          <w:rFonts w:ascii="Arial" w:hAnsi="Arial" w:eastAsia="宋体" w:cs="Arial"/>
          <w:b/>
          <w:sz w:val="24"/>
          <w:highlight w:val="none"/>
        </w:rPr>
        <w:t>第二部分 合同一般条款</w:t>
      </w:r>
      <w:bookmarkEnd w:id="27"/>
    </w:p>
    <w:p>
      <w:pPr>
        <w:spacing w:line="360" w:lineRule="auto"/>
        <w:ind w:firstLine="437"/>
        <w:outlineLvl w:val="3"/>
        <w:rPr>
          <w:rFonts w:ascii="Arial" w:hAnsi="Arial" w:eastAsia="宋体" w:cs="Arial"/>
          <w:b/>
          <w:bCs/>
          <w:sz w:val="24"/>
          <w:szCs w:val="24"/>
          <w:highlight w:val="none"/>
          <w:lang w:val="zh-CN"/>
        </w:rPr>
      </w:pPr>
      <w:bookmarkStart w:id="28" w:name="_Toc487900349"/>
      <w:bookmarkStart w:id="29" w:name="_Ref467379109"/>
      <w:bookmarkStart w:id="30" w:name="_Ref467378404"/>
      <w:bookmarkStart w:id="31" w:name="_Toc16917"/>
      <w:bookmarkStart w:id="32" w:name="_Ref467378463"/>
      <w:bookmarkStart w:id="33" w:name="_Toc28763"/>
      <w:bookmarkStart w:id="34" w:name="_Toc279701240"/>
      <w:bookmarkStart w:id="35" w:name="_Ref467378499"/>
      <w:bookmarkStart w:id="36" w:name="_Ref467379205"/>
      <w:bookmarkStart w:id="37" w:name="_Ref467379225"/>
      <w:bookmarkStart w:id="38" w:name="_Ref467379214"/>
      <w:bookmarkStart w:id="39" w:name="_Toc259093669"/>
      <w:bookmarkStart w:id="40" w:name="_Ref467379195"/>
      <w:bookmarkStart w:id="41" w:name="_Ref467379101"/>
      <w:bookmarkStart w:id="42" w:name="_Ref467379094"/>
      <w:bookmarkStart w:id="43" w:name="_Toc19614"/>
      <w:r>
        <w:rPr>
          <w:rFonts w:ascii="Arial" w:hAnsi="Arial" w:eastAsia="宋体" w:cs="Arial"/>
          <w:b/>
          <w:bCs/>
          <w:sz w:val="24"/>
          <w:szCs w:val="24"/>
          <w:highlight w:val="none"/>
          <w:lang w:val="zh-CN"/>
        </w:rPr>
        <w:t>2.1 定义</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本合同中的下列词语应按以下内容进行解释：</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2.1.1“合同”系指采购人和中标人签订的载明双方当事人所达成的协议，并包括所有的附件、附录和构成合同的其他文件。</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2.1.2“合同价”系指根据合同约定，中标人在完全履行合同义务后，采购人应支付给中标人的价格。</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2.1.3“货物”系指中标人根据合同约定应向采购人交付的一切各种形态和种类的物品，包括原材料、燃料、设备、机械、仪表、备件、计算机软件、产品等，并包括工具、手册等其他相关资料。</w:t>
      </w:r>
    </w:p>
    <w:p>
      <w:pPr>
        <w:spacing w:line="360" w:lineRule="auto"/>
        <w:ind w:firstLine="435"/>
        <w:rPr>
          <w:rFonts w:ascii="Arial" w:hAnsi="Arial" w:eastAsia="宋体" w:cs="Arial"/>
          <w:sz w:val="24"/>
          <w:szCs w:val="24"/>
          <w:highlight w:val="none"/>
        </w:rPr>
      </w:pPr>
      <w:bookmarkStart w:id="44" w:name="_Ref467378840"/>
      <w:r>
        <w:rPr>
          <w:rFonts w:ascii="Arial" w:hAnsi="Arial" w:eastAsia="宋体" w:cs="Arial"/>
          <w:sz w:val="24"/>
          <w:szCs w:val="24"/>
          <w:highlight w:val="none"/>
        </w:rPr>
        <w:t>2.1.4“甲方”系指与中标人签署合同的采购人</w:t>
      </w:r>
      <w:bookmarkEnd w:id="44"/>
      <w:r>
        <w:rPr>
          <w:rFonts w:ascii="Arial" w:hAnsi="Arial" w:eastAsia="宋体" w:cs="Arial"/>
          <w:sz w:val="24"/>
          <w:szCs w:val="24"/>
          <w:highlight w:val="none"/>
        </w:rPr>
        <w:t>；采购人委托采购代理机构代表其与乙方签订合同的，采购人的授权委托书作为合同附件。</w:t>
      </w:r>
    </w:p>
    <w:p>
      <w:pPr>
        <w:spacing w:line="360" w:lineRule="auto"/>
        <w:ind w:firstLine="435"/>
        <w:rPr>
          <w:rFonts w:ascii="Arial" w:hAnsi="Arial" w:eastAsia="宋体" w:cs="Arial"/>
          <w:sz w:val="24"/>
          <w:szCs w:val="24"/>
          <w:highlight w:val="none"/>
        </w:rPr>
      </w:pPr>
      <w:bookmarkStart w:id="45" w:name="_Ref467379400"/>
      <w:r>
        <w:rPr>
          <w:rFonts w:ascii="Arial" w:hAnsi="Arial" w:eastAsia="宋体" w:cs="Arial"/>
          <w:sz w:val="24"/>
          <w:szCs w:val="24"/>
          <w:highlight w:val="none"/>
        </w:rPr>
        <w:t>2.1.5“乙方”系指根据合同约定交付货物的中标人</w:t>
      </w:r>
      <w:bookmarkEnd w:id="45"/>
      <w:r>
        <w:rPr>
          <w:rFonts w:ascii="Arial" w:hAnsi="Arial" w:eastAsia="宋体" w:cs="Arial"/>
          <w:sz w:val="24"/>
          <w:szCs w:val="24"/>
          <w:highlight w:val="none"/>
        </w:rPr>
        <w:t>；两个以上的自然人、法人或者其他组织组成一个联合体，以一个投标人的身份共同参加政府采购的，联合体各方均应为乙方或者与乙方相同地位的合同当事人，并就合同约定的事项对甲方承担连带责任。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360" w:lineRule="auto"/>
        <w:ind w:firstLine="435"/>
        <w:rPr>
          <w:rFonts w:ascii="Arial" w:hAnsi="Arial" w:eastAsia="宋体" w:cs="Arial"/>
          <w:sz w:val="24"/>
          <w:szCs w:val="24"/>
          <w:highlight w:val="none"/>
        </w:rPr>
      </w:pPr>
      <w:bookmarkStart w:id="46" w:name="_Ref467379436"/>
      <w:r>
        <w:rPr>
          <w:rFonts w:ascii="Arial" w:hAnsi="Arial" w:eastAsia="宋体" w:cs="Arial"/>
          <w:sz w:val="24"/>
          <w:szCs w:val="24"/>
          <w:highlight w:val="none"/>
        </w:rPr>
        <w:t>2.1.6“现场”系指合同约定货物将要运至或者安装的地点。</w:t>
      </w:r>
      <w:bookmarkEnd w:id="46"/>
    </w:p>
    <w:p>
      <w:pPr>
        <w:spacing w:line="360" w:lineRule="auto"/>
        <w:ind w:firstLine="437"/>
        <w:outlineLvl w:val="3"/>
        <w:rPr>
          <w:rFonts w:ascii="Arial" w:hAnsi="Arial" w:eastAsia="宋体" w:cs="Arial"/>
          <w:b/>
          <w:bCs/>
          <w:sz w:val="24"/>
          <w:szCs w:val="24"/>
          <w:highlight w:val="none"/>
          <w:lang w:val="zh-CN"/>
        </w:rPr>
      </w:pPr>
      <w:bookmarkStart w:id="47" w:name="_Toc279701241"/>
      <w:bookmarkStart w:id="48" w:name="_Toc487900350"/>
      <w:bookmarkStart w:id="49" w:name="_Toc32504"/>
      <w:bookmarkStart w:id="50" w:name="_Toc27635"/>
      <w:bookmarkStart w:id="51" w:name="_Toc13336"/>
      <w:bookmarkStart w:id="52" w:name="_Toc259093670"/>
      <w:r>
        <w:rPr>
          <w:rFonts w:ascii="Arial" w:hAnsi="Arial" w:eastAsia="宋体" w:cs="Arial"/>
          <w:b/>
          <w:bCs/>
          <w:sz w:val="24"/>
          <w:szCs w:val="24"/>
          <w:highlight w:val="none"/>
          <w:lang w:val="zh-CN"/>
        </w:rPr>
        <w:t>2.2 技术规范</w:t>
      </w:r>
      <w:bookmarkEnd w:id="47"/>
      <w:bookmarkEnd w:id="48"/>
      <w:bookmarkEnd w:id="49"/>
      <w:bookmarkEnd w:id="50"/>
      <w:bookmarkEnd w:id="51"/>
      <w:bookmarkEnd w:id="52"/>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37"/>
        <w:outlineLvl w:val="3"/>
        <w:rPr>
          <w:rFonts w:ascii="Arial" w:hAnsi="Arial" w:eastAsia="宋体" w:cs="Arial"/>
          <w:b/>
          <w:bCs/>
          <w:sz w:val="24"/>
          <w:szCs w:val="24"/>
          <w:highlight w:val="none"/>
          <w:lang w:val="zh-CN"/>
        </w:rPr>
      </w:pPr>
      <w:bookmarkStart w:id="53" w:name="_Toc487900351"/>
      <w:bookmarkStart w:id="54" w:name="_Toc27853"/>
      <w:bookmarkStart w:id="55" w:name="_Toc9829"/>
      <w:bookmarkStart w:id="56" w:name="_Toc259093671"/>
      <w:bookmarkStart w:id="57" w:name="_Toc279701242"/>
      <w:bookmarkStart w:id="58" w:name="_Toc31634"/>
      <w:r>
        <w:rPr>
          <w:rFonts w:ascii="Arial" w:hAnsi="Arial" w:eastAsia="宋体" w:cs="Arial"/>
          <w:b/>
          <w:bCs/>
          <w:sz w:val="24"/>
          <w:szCs w:val="24"/>
          <w:highlight w:val="none"/>
          <w:lang w:val="zh-CN"/>
        </w:rPr>
        <w:t>2.3 知识产权</w:t>
      </w:r>
      <w:bookmarkEnd w:id="53"/>
      <w:bookmarkEnd w:id="54"/>
      <w:bookmarkEnd w:id="55"/>
      <w:bookmarkEnd w:id="56"/>
      <w:bookmarkEnd w:id="57"/>
      <w:bookmarkEnd w:id="58"/>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2.3.2具有知识产权的计算机软件等货物的知识产权归属，详见</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w:t>
      </w:r>
    </w:p>
    <w:p>
      <w:pPr>
        <w:spacing w:line="360" w:lineRule="auto"/>
        <w:ind w:firstLine="437"/>
        <w:outlineLvl w:val="3"/>
        <w:rPr>
          <w:rFonts w:ascii="Arial" w:hAnsi="Arial" w:eastAsia="宋体" w:cs="Arial"/>
          <w:b/>
          <w:sz w:val="24"/>
          <w:szCs w:val="24"/>
          <w:highlight w:val="none"/>
        </w:rPr>
      </w:pPr>
      <w:bookmarkStart w:id="59" w:name="_Toc4194"/>
      <w:bookmarkStart w:id="60" w:name="_Toc29149"/>
      <w:bookmarkStart w:id="61" w:name="_Toc11932"/>
      <w:r>
        <w:rPr>
          <w:rFonts w:ascii="Arial" w:hAnsi="Arial" w:eastAsia="宋体" w:cs="Arial"/>
          <w:b/>
          <w:bCs/>
          <w:sz w:val="24"/>
          <w:szCs w:val="24"/>
          <w:highlight w:val="none"/>
          <w:lang w:val="zh-CN"/>
        </w:rPr>
        <w:t>2.4 包装和装运</w:t>
      </w:r>
      <w:bookmarkEnd w:id="59"/>
      <w:bookmarkEnd w:id="60"/>
      <w:bookmarkEnd w:id="61"/>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2.4.1除</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2.4.2装运货物的要求和通知，详见</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w:t>
      </w:r>
    </w:p>
    <w:p>
      <w:pPr>
        <w:spacing w:line="360" w:lineRule="auto"/>
        <w:ind w:firstLine="437"/>
        <w:outlineLvl w:val="3"/>
        <w:rPr>
          <w:rFonts w:ascii="Arial" w:hAnsi="Arial" w:eastAsia="宋体" w:cs="Arial"/>
          <w:b/>
          <w:bCs/>
          <w:sz w:val="24"/>
          <w:szCs w:val="24"/>
          <w:highlight w:val="none"/>
          <w:lang w:val="zh-CN"/>
        </w:rPr>
      </w:pPr>
      <w:bookmarkStart w:id="62" w:name="_Toc487900354"/>
      <w:bookmarkStart w:id="63" w:name="_Ref467379527"/>
      <w:bookmarkStart w:id="64" w:name="_Ref467378591"/>
      <w:bookmarkStart w:id="65" w:name="_Ref467378541"/>
      <w:bookmarkStart w:id="66" w:name="_Toc259093674"/>
      <w:bookmarkStart w:id="67" w:name="_Toc279701245"/>
      <w:bookmarkStart w:id="68" w:name="_Ref467379542"/>
      <w:bookmarkStart w:id="69" w:name="_Ref467379536"/>
      <w:bookmarkStart w:id="70" w:name="_Toc30272"/>
      <w:bookmarkStart w:id="71" w:name="_Toc19074"/>
      <w:bookmarkStart w:id="72" w:name="_Toc26182"/>
      <w:r>
        <w:rPr>
          <w:rFonts w:ascii="Arial" w:hAnsi="Arial" w:eastAsia="宋体" w:cs="Arial"/>
          <w:b/>
          <w:bCs/>
          <w:sz w:val="24"/>
          <w:szCs w:val="24"/>
          <w:highlight w:val="none"/>
          <w:lang w:val="zh-CN"/>
        </w:rPr>
        <w:t>2.</w:t>
      </w:r>
      <w:bookmarkEnd w:id="62"/>
      <w:bookmarkEnd w:id="63"/>
      <w:bookmarkEnd w:id="64"/>
      <w:bookmarkEnd w:id="65"/>
      <w:bookmarkEnd w:id="66"/>
      <w:bookmarkEnd w:id="67"/>
      <w:bookmarkEnd w:id="68"/>
      <w:bookmarkEnd w:id="69"/>
      <w:r>
        <w:rPr>
          <w:rFonts w:ascii="Arial" w:hAnsi="Arial" w:eastAsia="宋体" w:cs="Arial"/>
          <w:b/>
          <w:bCs/>
          <w:sz w:val="24"/>
          <w:szCs w:val="24"/>
          <w:highlight w:val="none"/>
          <w:lang w:val="zh-CN"/>
        </w:rPr>
        <w:t>5 履约检查和问题反馈</w:t>
      </w:r>
      <w:bookmarkEnd w:id="70"/>
      <w:bookmarkEnd w:id="71"/>
      <w:bookmarkEnd w:id="72"/>
    </w:p>
    <w:p>
      <w:pPr>
        <w:spacing w:line="360" w:lineRule="auto"/>
        <w:ind w:firstLine="435"/>
        <w:rPr>
          <w:rFonts w:ascii="Arial" w:hAnsi="Arial" w:eastAsia="宋体" w:cs="Arial"/>
          <w:sz w:val="24"/>
          <w:szCs w:val="24"/>
          <w:highlight w:val="none"/>
        </w:rPr>
      </w:pPr>
      <w:bookmarkStart w:id="73" w:name="_Ref467379657"/>
      <w:r>
        <w:rPr>
          <w:rFonts w:ascii="Arial" w:hAnsi="Arial" w:eastAsia="宋体" w:cs="Arial"/>
          <w:sz w:val="24"/>
          <w:szCs w:val="24"/>
          <w:highlight w:val="none"/>
        </w:rPr>
        <w:t>2.5.1</w:t>
      </w:r>
      <w:bookmarkEnd w:id="73"/>
      <w:bookmarkStart w:id="74" w:name="_Toc186431854"/>
      <w:bookmarkStart w:id="75" w:name="_Toc279701247"/>
      <w:bookmarkStart w:id="76" w:name="_Ref467379793"/>
      <w:bookmarkStart w:id="77" w:name="_Toc487900357"/>
      <w:bookmarkStart w:id="78" w:name="_Ref467379807"/>
      <w:bookmarkStart w:id="79" w:name="_Toc259093676"/>
      <w:r>
        <w:rPr>
          <w:rFonts w:ascii="Arial" w:hAnsi="Arial" w:eastAsia="宋体" w:cs="Arial"/>
          <w:sz w:val="24"/>
          <w:szCs w:val="24"/>
          <w:highlight w:val="none"/>
        </w:rPr>
        <w:t>甲方有权在其认为必要时，对乙方是否能够按照合同约定交付货物进行履约检查，以确保乙方所交付的货物能够依约满足甲方项目需求，但不得因履约检查妨碍乙方的正常工作，乙方应予积极配合；</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2.5.2合同履行期间，甲方有权将履行过程中出现的问题反馈给乙方，双方当事人应以书面形式约定需要完善和改进的内容</w:t>
      </w:r>
      <w:bookmarkEnd w:id="74"/>
      <w:bookmarkStart w:id="80" w:name="_Toc186431855"/>
      <w:r>
        <w:rPr>
          <w:rFonts w:ascii="Arial" w:hAnsi="Arial" w:eastAsia="宋体" w:cs="Arial"/>
          <w:sz w:val="24"/>
          <w:szCs w:val="24"/>
          <w:highlight w:val="none"/>
        </w:rPr>
        <w:t>。</w:t>
      </w:r>
    </w:p>
    <w:bookmarkEnd w:id="80"/>
    <w:p>
      <w:pPr>
        <w:spacing w:line="360" w:lineRule="auto"/>
        <w:ind w:firstLine="437"/>
        <w:outlineLvl w:val="3"/>
        <w:rPr>
          <w:rFonts w:ascii="Arial" w:hAnsi="Arial" w:eastAsia="宋体" w:cs="Arial"/>
          <w:b/>
          <w:bCs/>
          <w:sz w:val="24"/>
          <w:szCs w:val="24"/>
          <w:highlight w:val="none"/>
          <w:lang w:val="zh-CN"/>
        </w:rPr>
      </w:pPr>
      <w:bookmarkStart w:id="81" w:name="_Toc28451"/>
      <w:bookmarkStart w:id="82" w:name="_Toc7836"/>
      <w:bookmarkStart w:id="83" w:name="_Toc19219"/>
      <w:r>
        <w:rPr>
          <w:rFonts w:ascii="Arial" w:hAnsi="Arial" w:eastAsia="宋体" w:cs="Arial"/>
          <w:b/>
          <w:bCs/>
          <w:sz w:val="24"/>
          <w:szCs w:val="24"/>
          <w:highlight w:val="none"/>
          <w:lang w:val="zh-CN"/>
        </w:rPr>
        <w:t>2.6 结算方式和付款条件</w:t>
      </w:r>
      <w:bookmarkEnd w:id="75"/>
      <w:bookmarkEnd w:id="76"/>
      <w:bookmarkEnd w:id="77"/>
      <w:bookmarkEnd w:id="78"/>
      <w:bookmarkEnd w:id="79"/>
      <w:bookmarkEnd w:id="81"/>
      <w:bookmarkEnd w:id="82"/>
      <w:bookmarkEnd w:id="83"/>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详见</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w:t>
      </w:r>
    </w:p>
    <w:p>
      <w:pPr>
        <w:spacing w:line="360" w:lineRule="auto"/>
        <w:ind w:firstLine="437"/>
        <w:outlineLvl w:val="3"/>
        <w:rPr>
          <w:rFonts w:ascii="Arial" w:hAnsi="Arial" w:eastAsia="宋体" w:cs="Arial"/>
          <w:b/>
          <w:bCs/>
          <w:sz w:val="24"/>
          <w:szCs w:val="24"/>
          <w:highlight w:val="none"/>
          <w:lang w:val="zh-CN"/>
        </w:rPr>
      </w:pPr>
      <w:bookmarkStart w:id="84" w:name="_Toc279701248"/>
      <w:bookmarkStart w:id="85" w:name="_Ref467379852"/>
      <w:bookmarkStart w:id="86" w:name="_Toc487900358"/>
      <w:bookmarkStart w:id="87" w:name="_Ref467379863"/>
      <w:bookmarkStart w:id="88" w:name="_Toc259093677"/>
      <w:bookmarkStart w:id="89" w:name="_Ref467379923"/>
      <w:bookmarkStart w:id="90" w:name="_Toc3225"/>
      <w:bookmarkStart w:id="91" w:name="_Toc16110"/>
      <w:bookmarkStart w:id="92" w:name="_Toc774"/>
      <w:r>
        <w:rPr>
          <w:rFonts w:ascii="Arial" w:hAnsi="Arial" w:eastAsia="宋体" w:cs="Arial"/>
          <w:b/>
          <w:bCs/>
          <w:sz w:val="24"/>
          <w:szCs w:val="24"/>
          <w:highlight w:val="none"/>
          <w:lang w:val="zh-CN"/>
        </w:rPr>
        <w:t>2.7 技术资料</w:t>
      </w:r>
      <w:bookmarkEnd w:id="84"/>
      <w:bookmarkEnd w:id="85"/>
      <w:bookmarkEnd w:id="86"/>
      <w:bookmarkEnd w:id="87"/>
      <w:bookmarkEnd w:id="88"/>
      <w:bookmarkEnd w:id="89"/>
      <w:r>
        <w:rPr>
          <w:rFonts w:ascii="Arial" w:hAnsi="Arial" w:eastAsia="宋体" w:cs="Arial"/>
          <w:b/>
          <w:bCs/>
          <w:sz w:val="24"/>
          <w:szCs w:val="24"/>
          <w:highlight w:val="none"/>
          <w:lang w:val="zh-CN"/>
        </w:rPr>
        <w:t>和保密义务</w:t>
      </w:r>
      <w:bookmarkEnd w:id="90"/>
      <w:bookmarkEnd w:id="91"/>
      <w:bookmarkEnd w:id="92"/>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2.7.1乙方有权依据合同约定和项目需要，向甲方了解有关情况，调阅有关资料等，甲方应予积极配合；</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2.7.2乙方有义务妥善保管和保护由甲方提供的前款信息和资料等；</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Arial" w:hAnsi="Arial" w:eastAsia="宋体" w:cs="Arial"/>
          <w:b/>
          <w:bCs/>
          <w:sz w:val="24"/>
          <w:szCs w:val="24"/>
          <w:highlight w:val="none"/>
          <w:lang w:val="zh-CN"/>
        </w:rPr>
      </w:pPr>
      <w:bookmarkStart w:id="93" w:name="_Toc7860"/>
      <w:r>
        <w:rPr>
          <w:rFonts w:ascii="Arial" w:hAnsi="Arial" w:eastAsia="宋体" w:cs="Arial"/>
          <w:b/>
          <w:bCs/>
          <w:sz w:val="24"/>
          <w:szCs w:val="24"/>
          <w:highlight w:val="none"/>
          <w:lang w:val="zh-CN"/>
        </w:rPr>
        <w:t>2.8 质量保证</w:t>
      </w:r>
      <w:bookmarkEnd w:id="93"/>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2.8.1乙方应建立和完善履行合同的内部质量保证体系，并提供相关内部规章制度给甲方，以便甲方进行监督检查；</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2.8.2乙方应保证履行合同的人员数量和素质、软件和硬件设备的配置、场地、环境和设施等满足全面履行合同的要求，并应接受甲方的监督检查。</w:t>
      </w:r>
    </w:p>
    <w:p>
      <w:pPr>
        <w:spacing w:line="360" w:lineRule="auto"/>
        <w:ind w:firstLine="437"/>
        <w:outlineLvl w:val="3"/>
        <w:rPr>
          <w:rFonts w:ascii="Arial" w:hAnsi="Arial" w:eastAsia="宋体" w:cs="Arial"/>
          <w:b/>
          <w:bCs/>
          <w:sz w:val="24"/>
          <w:szCs w:val="24"/>
          <w:highlight w:val="none"/>
          <w:lang w:val="zh-CN"/>
        </w:rPr>
      </w:pPr>
      <w:bookmarkStart w:id="94" w:name="_Toc17244"/>
      <w:bookmarkStart w:id="95" w:name="_Toc259093681"/>
      <w:bookmarkStart w:id="96" w:name="_Toc487900362"/>
      <w:bookmarkStart w:id="97" w:name="_Toc279701252"/>
      <w:r>
        <w:rPr>
          <w:rFonts w:ascii="Arial" w:hAnsi="Arial" w:eastAsia="宋体" w:cs="Arial"/>
          <w:b/>
          <w:bCs/>
          <w:sz w:val="24"/>
          <w:szCs w:val="24"/>
          <w:highlight w:val="none"/>
          <w:lang w:val="zh-CN"/>
        </w:rPr>
        <w:t>2.9 货物的风险负担</w:t>
      </w:r>
      <w:bookmarkEnd w:id="94"/>
    </w:p>
    <w:p>
      <w:pPr>
        <w:spacing w:line="360" w:lineRule="auto"/>
        <w:ind w:firstLine="435"/>
        <w:rPr>
          <w:rFonts w:ascii="Arial" w:hAnsi="Arial" w:eastAsia="宋体" w:cs="Arial"/>
          <w:b/>
          <w:sz w:val="24"/>
          <w:szCs w:val="24"/>
          <w:highlight w:val="none"/>
        </w:rPr>
      </w:pPr>
      <w:r>
        <w:rPr>
          <w:rFonts w:hint="eastAsia" w:ascii="Arial" w:hAnsi="Arial" w:eastAsia="宋体" w:cs="Arial"/>
          <w:sz w:val="24"/>
          <w:szCs w:val="24"/>
          <w:highlight w:val="none"/>
        </w:rPr>
        <w:t>包装必须与运输方式相适应，包装方式的确定及包装费用均由乙方负责，由于不适当的包装而造成货物在运输过程中有任何损坏、丢失由乙方负责。</w:t>
      </w:r>
    </w:p>
    <w:p>
      <w:pPr>
        <w:spacing w:line="360" w:lineRule="auto"/>
        <w:ind w:firstLine="437"/>
        <w:outlineLvl w:val="3"/>
        <w:rPr>
          <w:rFonts w:ascii="Arial" w:hAnsi="Arial" w:eastAsia="宋体" w:cs="Arial"/>
          <w:b/>
          <w:bCs/>
          <w:sz w:val="24"/>
          <w:szCs w:val="24"/>
          <w:highlight w:val="none"/>
          <w:lang w:val="zh-CN"/>
        </w:rPr>
      </w:pPr>
      <w:bookmarkStart w:id="98" w:name="_Toc14055"/>
      <w:r>
        <w:rPr>
          <w:rFonts w:ascii="Arial" w:hAnsi="Arial" w:eastAsia="宋体" w:cs="Arial"/>
          <w:b/>
          <w:bCs/>
          <w:sz w:val="24"/>
          <w:szCs w:val="24"/>
          <w:highlight w:val="none"/>
          <w:lang w:val="zh-CN"/>
        </w:rPr>
        <w:t>2.10 延迟交货</w:t>
      </w:r>
      <w:bookmarkEnd w:id="95"/>
      <w:bookmarkEnd w:id="96"/>
      <w:bookmarkEnd w:id="97"/>
      <w:bookmarkEnd w:id="98"/>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37"/>
        <w:outlineLvl w:val="3"/>
        <w:rPr>
          <w:rFonts w:ascii="Arial" w:hAnsi="Arial" w:eastAsia="宋体" w:cs="Arial"/>
          <w:b/>
          <w:bCs/>
          <w:sz w:val="24"/>
          <w:szCs w:val="24"/>
          <w:highlight w:val="none"/>
          <w:lang w:val="zh-CN"/>
        </w:rPr>
      </w:pPr>
      <w:bookmarkStart w:id="99" w:name="_Toc7502"/>
      <w:bookmarkStart w:id="100" w:name="_Toc279701254"/>
      <w:bookmarkStart w:id="101" w:name="_Toc259093683"/>
      <w:bookmarkStart w:id="102" w:name="_Toc487900364"/>
      <w:bookmarkStart w:id="103" w:name="_Ref467378121"/>
      <w:r>
        <w:rPr>
          <w:rFonts w:ascii="Arial" w:hAnsi="Arial" w:eastAsia="宋体" w:cs="Arial"/>
          <w:b/>
          <w:bCs/>
          <w:sz w:val="24"/>
          <w:szCs w:val="24"/>
          <w:highlight w:val="none"/>
          <w:lang w:val="zh-CN"/>
        </w:rPr>
        <w:t>2.11 合同变更</w:t>
      </w:r>
      <w:bookmarkEnd w:id="99"/>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2.11.1双方当事人协商一致，可以签订书面补充合同的形式变更合同，但不得违背采购文件确定的事项；</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2.11.2合同继续履行将损害国家利益和社会公共利益的，双方当事人应当以书面形式变更合同。有过错的一方应当承担赔偿责任，双方当事人都有过错的，各自承担相应的责任。</w:t>
      </w:r>
      <w:bookmarkStart w:id="104" w:name="_Toc487900369"/>
      <w:bookmarkStart w:id="105" w:name="_Toc279701259"/>
      <w:bookmarkStart w:id="106" w:name="_Toc259093688"/>
    </w:p>
    <w:p>
      <w:pPr>
        <w:spacing w:line="360" w:lineRule="auto"/>
        <w:ind w:firstLine="437"/>
        <w:outlineLvl w:val="3"/>
        <w:rPr>
          <w:rFonts w:ascii="Arial" w:hAnsi="Arial" w:eastAsia="宋体" w:cs="Arial"/>
          <w:b/>
          <w:bCs/>
          <w:sz w:val="24"/>
          <w:szCs w:val="24"/>
          <w:highlight w:val="none"/>
          <w:lang w:val="zh-CN"/>
        </w:rPr>
      </w:pPr>
      <w:bookmarkStart w:id="107" w:name="_Toc10366"/>
      <w:bookmarkStart w:id="108" w:name="_Toc22955"/>
      <w:bookmarkStart w:id="109" w:name="_Toc15237"/>
      <w:r>
        <w:rPr>
          <w:rFonts w:ascii="Arial" w:hAnsi="Arial" w:eastAsia="宋体" w:cs="Arial"/>
          <w:b/>
          <w:bCs/>
          <w:sz w:val="24"/>
          <w:szCs w:val="24"/>
          <w:highlight w:val="none"/>
          <w:lang w:val="zh-CN"/>
        </w:rPr>
        <w:t>2.12 合同转让</w:t>
      </w:r>
      <w:bookmarkEnd w:id="104"/>
      <w:bookmarkEnd w:id="105"/>
      <w:bookmarkEnd w:id="106"/>
      <w:r>
        <w:rPr>
          <w:rFonts w:ascii="Arial" w:hAnsi="Arial" w:eastAsia="宋体" w:cs="Arial"/>
          <w:b/>
          <w:bCs/>
          <w:sz w:val="24"/>
          <w:szCs w:val="24"/>
          <w:highlight w:val="none"/>
          <w:lang w:val="zh-CN"/>
        </w:rPr>
        <w:t>和分包</w:t>
      </w:r>
      <w:bookmarkEnd w:id="107"/>
      <w:bookmarkEnd w:id="108"/>
      <w:bookmarkEnd w:id="109"/>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Arial" w:hAnsi="Arial" w:eastAsia="宋体" w:cs="Arial"/>
          <w:sz w:val="24"/>
          <w:szCs w:val="24"/>
          <w:highlight w:val="none"/>
        </w:rPr>
        <w:t>供应商</w:t>
      </w:r>
      <w:r>
        <w:rPr>
          <w:rFonts w:ascii="Arial" w:hAnsi="Arial" w:eastAsia="宋体" w:cs="Arial"/>
          <w:sz w:val="24"/>
          <w:szCs w:val="24"/>
          <w:highlight w:val="none"/>
        </w:rPr>
        <w:t>就分包项目向甲方承担连带责任。</w:t>
      </w:r>
    </w:p>
    <w:p>
      <w:pPr>
        <w:spacing w:line="360" w:lineRule="auto"/>
        <w:ind w:firstLine="437"/>
        <w:outlineLvl w:val="3"/>
        <w:rPr>
          <w:rFonts w:ascii="Arial" w:hAnsi="Arial" w:eastAsia="宋体" w:cs="Arial"/>
          <w:b/>
          <w:bCs/>
          <w:sz w:val="24"/>
          <w:szCs w:val="24"/>
          <w:highlight w:val="none"/>
          <w:lang w:val="zh-CN"/>
        </w:rPr>
      </w:pPr>
      <w:bookmarkStart w:id="110" w:name="_Toc14066"/>
      <w:bookmarkStart w:id="111" w:name="_Toc13566"/>
      <w:bookmarkStart w:id="112" w:name="_Toc16508"/>
      <w:r>
        <w:rPr>
          <w:rFonts w:ascii="Arial" w:hAnsi="Arial" w:eastAsia="宋体" w:cs="Arial"/>
          <w:b/>
          <w:bCs/>
          <w:sz w:val="24"/>
          <w:szCs w:val="24"/>
          <w:highlight w:val="none"/>
          <w:lang w:val="zh-CN"/>
        </w:rPr>
        <w:t>2.13 不可抗力</w:t>
      </w:r>
      <w:bookmarkEnd w:id="110"/>
      <w:bookmarkEnd w:id="111"/>
      <w:bookmarkEnd w:id="112"/>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2.13.1如果任何一方遭遇法律规定的不可抗力，致使合同履行受阻时，履行合同的期限应予延长，延长的期限应相当于不可抗力所影响的时间；</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2.13.2因不可抗力致使不能实现合同目的的，当事人可以解除合同；</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2.13.3因不可抗力致使合同有变更必要的，双方当事人应在</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约定时间内以书面形式变更合同；</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2.13.4受不可抗力影响的一方在不可抗力发生后，应在</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约定时间内以书面形式通知对方当事人，并在</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约定时间内，将有关部门出具的证明文件送达对方当事人。</w:t>
      </w:r>
    </w:p>
    <w:p>
      <w:pPr>
        <w:spacing w:line="360" w:lineRule="auto"/>
        <w:ind w:firstLine="437"/>
        <w:outlineLvl w:val="3"/>
        <w:rPr>
          <w:rFonts w:ascii="Arial" w:hAnsi="Arial" w:eastAsia="宋体" w:cs="Arial"/>
          <w:b/>
          <w:bCs/>
          <w:sz w:val="24"/>
          <w:szCs w:val="24"/>
          <w:highlight w:val="none"/>
          <w:lang w:val="zh-CN"/>
        </w:rPr>
      </w:pPr>
      <w:bookmarkStart w:id="113" w:name="_Toc689"/>
      <w:bookmarkStart w:id="114" w:name="_Toc30676"/>
      <w:bookmarkStart w:id="115" w:name="_Toc487900365"/>
      <w:bookmarkStart w:id="116" w:name="_Toc259093684"/>
      <w:bookmarkStart w:id="117" w:name="_Toc279701255"/>
      <w:bookmarkStart w:id="118" w:name="_Toc6969"/>
      <w:r>
        <w:rPr>
          <w:rFonts w:ascii="Arial" w:hAnsi="Arial" w:eastAsia="宋体" w:cs="Arial"/>
          <w:b/>
          <w:bCs/>
          <w:sz w:val="24"/>
          <w:szCs w:val="24"/>
          <w:highlight w:val="none"/>
          <w:lang w:val="zh-CN"/>
        </w:rPr>
        <w:t>2.14 税费</w:t>
      </w:r>
      <w:bookmarkEnd w:id="113"/>
      <w:bookmarkEnd w:id="114"/>
      <w:bookmarkEnd w:id="115"/>
      <w:bookmarkEnd w:id="116"/>
      <w:bookmarkEnd w:id="117"/>
      <w:bookmarkEnd w:id="118"/>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与合同有关的一切税费，均按照中华人民共和国法律的相关规定缴纳。</w:t>
      </w:r>
    </w:p>
    <w:p>
      <w:pPr>
        <w:spacing w:line="360" w:lineRule="auto"/>
        <w:ind w:firstLine="437"/>
        <w:outlineLvl w:val="3"/>
        <w:rPr>
          <w:rFonts w:ascii="Arial" w:hAnsi="Arial" w:eastAsia="宋体" w:cs="Arial"/>
          <w:b/>
          <w:bCs/>
          <w:sz w:val="24"/>
          <w:szCs w:val="24"/>
          <w:highlight w:val="none"/>
          <w:lang w:val="zh-CN"/>
        </w:rPr>
      </w:pPr>
      <w:bookmarkStart w:id="119" w:name="_Toc279701258"/>
      <w:bookmarkStart w:id="120" w:name="_Toc7102"/>
      <w:bookmarkStart w:id="121" w:name="_Toc259093687"/>
      <w:bookmarkStart w:id="122" w:name="_Toc8298"/>
      <w:bookmarkStart w:id="123" w:name="_Toc16959"/>
      <w:bookmarkStart w:id="124" w:name="_Toc487900368"/>
      <w:r>
        <w:rPr>
          <w:rFonts w:ascii="Arial" w:hAnsi="Arial" w:eastAsia="宋体" w:cs="Arial"/>
          <w:b/>
          <w:bCs/>
          <w:sz w:val="24"/>
          <w:szCs w:val="24"/>
          <w:highlight w:val="none"/>
          <w:lang w:val="zh-CN"/>
        </w:rPr>
        <w:t>2.15 乙方破产</w:t>
      </w:r>
      <w:bookmarkEnd w:id="119"/>
      <w:bookmarkEnd w:id="120"/>
      <w:bookmarkEnd w:id="121"/>
      <w:bookmarkEnd w:id="122"/>
      <w:bookmarkEnd w:id="123"/>
      <w:bookmarkEnd w:id="124"/>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Arial" w:hAnsi="Arial" w:eastAsia="宋体" w:cs="Arial"/>
          <w:b/>
          <w:sz w:val="24"/>
          <w:szCs w:val="24"/>
          <w:highlight w:val="none"/>
        </w:rPr>
      </w:pPr>
      <w:bookmarkStart w:id="125" w:name="_Toc29333"/>
      <w:bookmarkStart w:id="126" w:name="_Toc6134"/>
      <w:bookmarkStart w:id="127" w:name="_Toc15387"/>
      <w:r>
        <w:rPr>
          <w:rFonts w:ascii="Arial" w:hAnsi="Arial" w:eastAsia="宋体" w:cs="Arial"/>
          <w:b/>
          <w:bCs/>
          <w:sz w:val="24"/>
          <w:szCs w:val="24"/>
          <w:highlight w:val="none"/>
          <w:lang w:val="zh-CN"/>
        </w:rPr>
        <w:t>2.16 合同中止、终止</w:t>
      </w:r>
      <w:bookmarkEnd w:id="125"/>
      <w:bookmarkEnd w:id="126"/>
      <w:bookmarkEnd w:id="127"/>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2.16.1双方当事人不得擅自中止或者终止合同；</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Arial" w:hAnsi="Arial" w:eastAsia="宋体" w:cs="Arial"/>
          <w:b/>
          <w:bCs/>
          <w:sz w:val="24"/>
          <w:szCs w:val="24"/>
          <w:highlight w:val="none"/>
          <w:lang w:val="zh-CN"/>
        </w:rPr>
      </w:pPr>
      <w:bookmarkStart w:id="128" w:name="_Toc14563"/>
      <w:bookmarkStart w:id="129" w:name="_Toc1125"/>
      <w:bookmarkStart w:id="130" w:name="_Toc6596"/>
      <w:r>
        <w:rPr>
          <w:rFonts w:ascii="Arial" w:hAnsi="Arial" w:eastAsia="宋体" w:cs="Arial"/>
          <w:b/>
          <w:bCs/>
          <w:sz w:val="24"/>
          <w:szCs w:val="24"/>
          <w:highlight w:val="none"/>
          <w:lang w:val="zh-CN"/>
        </w:rPr>
        <w:t>2.17 检验和验收</w:t>
      </w:r>
      <w:bookmarkEnd w:id="128"/>
      <w:bookmarkEnd w:id="129"/>
      <w:bookmarkEnd w:id="130"/>
    </w:p>
    <w:p>
      <w:pPr>
        <w:spacing w:line="360" w:lineRule="auto"/>
        <w:ind w:firstLine="435"/>
        <w:rPr>
          <w:szCs w:val="21"/>
          <w:highlight w:val="none"/>
        </w:rPr>
      </w:pPr>
      <w:r>
        <w:rPr>
          <w:rFonts w:ascii="Arial" w:hAnsi="Arial" w:eastAsia="宋体" w:cs="Arial"/>
          <w:sz w:val="24"/>
          <w:szCs w:val="24"/>
          <w:highlight w:val="none"/>
        </w:rPr>
        <w:t>2.17.1</w:t>
      </w:r>
      <w:r>
        <w:rPr>
          <w:rFonts w:hint="eastAsia" w:ascii="Arial" w:hAnsi="Arial" w:eastAsia="宋体" w:cs="Arial"/>
          <w:sz w:val="24"/>
          <w:szCs w:val="24"/>
          <w:highlight w:val="none"/>
          <w:lang w:val="en-US" w:eastAsia="zh-CN"/>
        </w:rPr>
        <w:t>合同签订后，</w:t>
      </w:r>
      <w:r>
        <w:rPr>
          <w:rFonts w:ascii="Arial" w:hAnsi="Arial" w:eastAsia="宋体" w:cs="Arial"/>
          <w:sz w:val="24"/>
          <w:szCs w:val="24"/>
          <w:highlight w:val="none"/>
        </w:rPr>
        <w:t>在</w:t>
      </w:r>
      <w:r>
        <w:rPr>
          <w:rFonts w:hint="eastAsia" w:ascii="Arial" w:hAnsi="Arial" w:eastAsia="宋体" w:cs="Arial"/>
          <w:sz w:val="24"/>
          <w:szCs w:val="24"/>
          <w:highlight w:val="none"/>
          <w:lang w:val="en-US" w:eastAsia="zh-CN"/>
        </w:rPr>
        <w:t>货物</w:t>
      </w:r>
      <w:r>
        <w:rPr>
          <w:rFonts w:ascii="Arial" w:hAnsi="Arial" w:eastAsia="宋体" w:cs="Arial"/>
          <w:sz w:val="24"/>
          <w:szCs w:val="24"/>
          <w:highlight w:val="none"/>
        </w:rPr>
        <w:t>的制造过程中，</w:t>
      </w:r>
      <w:r>
        <w:rPr>
          <w:rFonts w:hint="eastAsia" w:ascii="Arial" w:hAnsi="Arial" w:eastAsia="宋体" w:cs="Arial"/>
          <w:sz w:val="24"/>
          <w:szCs w:val="24"/>
          <w:highlight w:val="none"/>
          <w:lang w:val="en-US" w:eastAsia="zh-CN"/>
        </w:rPr>
        <w:t>甲方</w:t>
      </w:r>
      <w:r>
        <w:rPr>
          <w:rFonts w:ascii="Arial" w:hAnsi="Arial" w:eastAsia="宋体" w:cs="Arial"/>
          <w:sz w:val="24"/>
          <w:szCs w:val="24"/>
          <w:highlight w:val="none"/>
        </w:rPr>
        <w:t>可派出监造人员，对合同</w:t>
      </w:r>
      <w:r>
        <w:rPr>
          <w:rFonts w:hint="eastAsia" w:ascii="Arial" w:hAnsi="Arial" w:eastAsia="宋体" w:cs="Arial"/>
          <w:sz w:val="24"/>
          <w:szCs w:val="24"/>
          <w:highlight w:val="none"/>
          <w:lang w:val="en-US" w:eastAsia="zh-CN"/>
        </w:rPr>
        <w:t>货物</w:t>
      </w:r>
      <w:r>
        <w:rPr>
          <w:rFonts w:ascii="Arial" w:hAnsi="Arial" w:eastAsia="宋体" w:cs="Arial"/>
          <w:sz w:val="24"/>
          <w:szCs w:val="24"/>
          <w:highlight w:val="none"/>
        </w:rPr>
        <w:t>的生产制造进行监造，监督</w:t>
      </w:r>
      <w:r>
        <w:rPr>
          <w:rFonts w:hint="eastAsia" w:ascii="Arial" w:hAnsi="Arial" w:eastAsia="宋体" w:cs="Arial"/>
          <w:sz w:val="24"/>
          <w:szCs w:val="24"/>
          <w:highlight w:val="none"/>
          <w:lang w:val="en-US" w:eastAsia="zh-CN"/>
        </w:rPr>
        <w:t>货物</w:t>
      </w:r>
      <w:r>
        <w:rPr>
          <w:rFonts w:ascii="Arial" w:hAnsi="Arial" w:eastAsia="宋体" w:cs="Arial"/>
          <w:sz w:val="24"/>
          <w:szCs w:val="24"/>
          <w:highlight w:val="none"/>
        </w:rPr>
        <w:t>制造、检验等情况。</w:t>
      </w:r>
      <w:r>
        <w:rPr>
          <w:rFonts w:hint="eastAsia" w:ascii="Arial" w:hAnsi="Arial" w:eastAsia="宋体" w:cs="Arial"/>
          <w:sz w:val="24"/>
          <w:szCs w:val="24"/>
          <w:highlight w:val="none"/>
          <w:lang w:val="en-US" w:eastAsia="zh-CN"/>
        </w:rPr>
        <w:t>合同签订后，货物在</w:t>
      </w:r>
      <w:r>
        <w:rPr>
          <w:rFonts w:ascii="Arial" w:hAnsi="Arial" w:eastAsia="宋体" w:cs="Arial"/>
          <w:sz w:val="24"/>
          <w:szCs w:val="24"/>
          <w:highlight w:val="none"/>
        </w:rPr>
        <w:t>生产制造</w:t>
      </w:r>
      <w:r>
        <w:rPr>
          <w:rFonts w:hint="eastAsia" w:ascii="Arial" w:hAnsi="Arial" w:eastAsia="宋体" w:cs="Arial"/>
          <w:sz w:val="24"/>
          <w:szCs w:val="24"/>
          <w:highlight w:val="none"/>
          <w:lang w:val="en-US" w:eastAsia="zh-CN"/>
        </w:rPr>
        <w:t>发货或供货运输前</w:t>
      </w:r>
      <w:r>
        <w:rPr>
          <w:rFonts w:ascii="Arial" w:hAnsi="Arial" w:eastAsia="宋体" w:cs="Arial"/>
          <w:sz w:val="24"/>
          <w:szCs w:val="24"/>
          <w:highlight w:val="none"/>
        </w:rPr>
        <w:t>，</w:t>
      </w:r>
      <w:r>
        <w:rPr>
          <w:rFonts w:hint="eastAsia" w:ascii="Arial" w:hAnsi="Arial" w:eastAsia="宋体" w:cs="Arial"/>
          <w:sz w:val="24"/>
          <w:szCs w:val="24"/>
          <w:highlight w:val="none"/>
          <w:lang w:val="en-US" w:eastAsia="zh-CN"/>
        </w:rPr>
        <w:t>乙方向甲方出具</w:t>
      </w:r>
      <w:r>
        <w:rPr>
          <w:rFonts w:hint="eastAsia" w:ascii="Arial" w:hAnsi="Arial" w:eastAsia="宋体" w:cs="Arial"/>
          <w:sz w:val="24"/>
          <w:szCs w:val="24"/>
          <w:highlight w:val="none"/>
        </w:rPr>
        <w:t>所供货物的</w:t>
      </w:r>
      <w:r>
        <w:rPr>
          <w:rFonts w:hint="eastAsia" w:ascii="Arial" w:hAnsi="Arial" w:eastAsia="宋体" w:cs="Arial"/>
          <w:sz w:val="24"/>
          <w:szCs w:val="24"/>
          <w:highlight w:val="none"/>
          <w:lang w:val="en-US" w:eastAsia="zh-CN"/>
        </w:rPr>
        <w:t>供货清单，甲方可</w:t>
      </w:r>
      <w:r>
        <w:rPr>
          <w:rFonts w:ascii="Arial" w:hAnsi="Arial" w:eastAsia="宋体" w:cs="Arial"/>
          <w:sz w:val="24"/>
          <w:szCs w:val="24"/>
          <w:highlight w:val="none"/>
        </w:rPr>
        <w:t>根据合同约定对合同</w:t>
      </w:r>
      <w:r>
        <w:rPr>
          <w:rFonts w:hint="eastAsia" w:ascii="Arial" w:hAnsi="Arial" w:eastAsia="宋体" w:cs="Arial"/>
          <w:sz w:val="24"/>
          <w:szCs w:val="24"/>
          <w:highlight w:val="none"/>
          <w:lang w:val="en-US" w:eastAsia="zh-CN"/>
        </w:rPr>
        <w:t>货物</w:t>
      </w:r>
      <w:r>
        <w:rPr>
          <w:rFonts w:ascii="Arial" w:hAnsi="Arial" w:eastAsia="宋体" w:cs="Arial"/>
          <w:sz w:val="24"/>
          <w:szCs w:val="24"/>
          <w:highlight w:val="none"/>
        </w:rPr>
        <w:t>进行</w:t>
      </w:r>
      <w:r>
        <w:rPr>
          <w:rFonts w:hint="eastAsia" w:ascii="Arial" w:hAnsi="Arial" w:eastAsia="宋体" w:cs="Arial"/>
          <w:sz w:val="24"/>
          <w:szCs w:val="24"/>
          <w:highlight w:val="none"/>
          <w:lang w:val="en-US" w:eastAsia="zh-CN"/>
        </w:rPr>
        <w:t>发货运输</w:t>
      </w:r>
      <w:r>
        <w:rPr>
          <w:rFonts w:ascii="Arial" w:hAnsi="Arial" w:eastAsia="宋体" w:cs="Arial"/>
          <w:sz w:val="24"/>
          <w:szCs w:val="24"/>
          <w:highlight w:val="none"/>
        </w:rPr>
        <w:t>前检验并出具检验记录，</w:t>
      </w:r>
      <w:r>
        <w:rPr>
          <w:rFonts w:hint="eastAsia" w:ascii="Times New Roman" w:hAnsi="Times New Roman" w:eastAsia="宋体" w:cs="Times New Roman"/>
          <w:bCs/>
          <w:sz w:val="24"/>
          <w:szCs w:val="18"/>
          <w:highlight w:val="none"/>
          <w:lang w:val="en-US" w:eastAsia="zh-CN"/>
        </w:rPr>
        <w:t>如</w:t>
      </w:r>
      <w:r>
        <w:rPr>
          <w:rFonts w:ascii="Arial" w:hAnsi="Arial" w:eastAsia="宋体" w:cs="Arial"/>
          <w:sz w:val="24"/>
          <w:szCs w:val="24"/>
          <w:highlight w:val="none"/>
        </w:rPr>
        <w:t>检验</w:t>
      </w:r>
      <w:r>
        <w:rPr>
          <w:rFonts w:hint="eastAsia" w:ascii="Times New Roman" w:hAnsi="Times New Roman" w:eastAsia="宋体" w:cs="Times New Roman"/>
          <w:bCs/>
          <w:sz w:val="24"/>
          <w:szCs w:val="18"/>
          <w:highlight w:val="none"/>
          <w:lang w:val="en-US" w:eastAsia="zh-CN"/>
        </w:rPr>
        <w:t>达不到规定要求，甲方有权要求更换货物和拒绝付款，</w:t>
      </w:r>
      <w:r>
        <w:rPr>
          <w:rFonts w:hint="eastAsia" w:ascii="Arial" w:hAnsi="Arial" w:eastAsia="宋体" w:cs="Arial"/>
          <w:sz w:val="24"/>
          <w:szCs w:val="24"/>
          <w:highlight w:val="none"/>
        </w:rPr>
        <w:t>否则甲方可以拒绝接受该货物或终止本合同，由此给甲方造成的损失由</w:t>
      </w:r>
      <w:r>
        <w:rPr>
          <w:rFonts w:hint="eastAsia" w:ascii="Arial" w:hAnsi="Arial" w:eastAsia="宋体" w:cs="Arial"/>
          <w:sz w:val="24"/>
          <w:szCs w:val="24"/>
          <w:highlight w:val="none"/>
          <w:lang w:val="en-US" w:eastAsia="zh-CN"/>
        </w:rPr>
        <w:t>乙</w:t>
      </w:r>
      <w:r>
        <w:rPr>
          <w:rFonts w:hint="eastAsia" w:ascii="Arial" w:hAnsi="Arial" w:eastAsia="宋体" w:cs="Arial"/>
          <w:sz w:val="24"/>
          <w:szCs w:val="24"/>
          <w:highlight w:val="none"/>
        </w:rPr>
        <w:t>方赔偿</w:t>
      </w:r>
      <w:r>
        <w:rPr>
          <w:szCs w:val="21"/>
          <w:highlight w:val="none"/>
        </w:rPr>
        <w:t>。</w:t>
      </w:r>
    </w:p>
    <w:p>
      <w:pPr>
        <w:spacing w:line="360" w:lineRule="auto"/>
        <w:ind w:firstLine="435"/>
        <w:rPr>
          <w:rFonts w:ascii="Arial" w:hAnsi="Arial" w:eastAsia="宋体" w:cs="Arial"/>
          <w:sz w:val="24"/>
          <w:szCs w:val="24"/>
          <w:highlight w:val="none"/>
        </w:rPr>
      </w:pPr>
      <w:r>
        <w:rPr>
          <w:rFonts w:hint="eastAsia" w:ascii="Arial" w:hAnsi="Arial" w:eastAsia="宋体" w:cs="Arial"/>
          <w:sz w:val="24"/>
          <w:szCs w:val="24"/>
          <w:highlight w:val="none"/>
          <w:lang w:val="en-US" w:eastAsia="zh-CN"/>
        </w:rPr>
        <w:t>2</w:t>
      </w:r>
      <w:r>
        <w:rPr>
          <w:rFonts w:ascii="Arial" w:hAnsi="Arial" w:eastAsia="宋体" w:cs="Arial"/>
          <w:sz w:val="24"/>
          <w:szCs w:val="24"/>
          <w:highlight w:val="none"/>
        </w:rPr>
        <w:t>.17.</w:t>
      </w:r>
      <w:r>
        <w:rPr>
          <w:rFonts w:hint="eastAsia" w:ascii="Arial" w:hAnsi="Arial" w:eastAsia="宋体" w:cs="Arial"/>
          <w:sz w:val="24"/>
          <w:szCs w:val="24"/>
          <w:highlight w:val="none"/>
          <w:lang w:val="en-US" w:eastAsia="zh-CN"/>
        </w:rPr>
        <w:t>2</w:t>
      </w:r>
      <w:r>
        <w:rPr>
          <w:rFonts w:hint="eastAsia" w:ascii="Arial" w:hAnsi="Arial" w:eastAsia="宋体" w:cs="Arial"/>
          <w:sz w:val="24"/>
          <w:szCs w:val="24"/>
          <w:highlight w:val="none"/>
        </w:rPr>
        <w:t>乙方所供货物的制造商原装出厂包装箱号与设备出厂批号</w:t>
      </w:r>
      <w:r>
        <w:rPr>
          <w:rFonts w:hint="eastAsia" w:ascii="Arial" w:hAnsi="Arial" w:eastAsia="宋体" w:cs="Arial"/>
          <w:sz w:val="24"/>
          <w:szCs w:val="24"/>
          <w:highlight w:val="none"/>
          <w:lang w:val="en-US" w:eastAsia="zh-CN"/>
        </w:rPr>
        <w:t>等</w:t>
      </w:r>
      <w:r>
        <w:rPr>
          <w:rFonts w:hint="eastAsia" w:ascii="Arial" w:hAnsi="Arial" w:eastAsia="宋体" w:cs="Arial"/>
          <w:sz w:val="24"/>
          <w:szCs w:val="24"/>
          <w:highlight w:val="none"/>
        </w:rPr>
        <w:t>一致。</w:t>
      </w:r>
    </w:p>
    <w:p>
      <w:pPr>
        <w:spacing w:line="360" w:lineRule="auto"/>
        <w:ind w:firstLine="435"/>
        <w:rPr>
          <w:rFonts w:hint="eastAsia" w:ascii="Arial" w:hAnsi="Arial" w:eastAsia="宋体" w:cs="Arial"/>
          <w:sz w:val="24"/>
          <w:szCs w:val="24"/>
          <w:highlight w:val="none"/>
        </w:rPr>
      </w:pPr>
      <w:r>
        <w:rPr>
          <w:rFonts w:hint="eastAsia" w:ascii="Arial" w:hAnsi="Arial" w:eastAsia="宋体" w:cs="Arial"/>
          <w:sz w:val="24"/>
          <w:szCs w:val="24"/>
          <w:highlight w:val="none"/>
          <w:lang w:val="en-US" w:eastAsia="zh-CN"/>
        </w:rPr>
        <w:t>2</w:t>
      </w:r>
      <w:r>
        <w:rPr>
          <w:rFonts w:ascii="Arial" w:hAnsi="Arial" w:eastAsia="宋体" w:cs="Arial"/>
          <w:sz w:val="24"/>
          <w:szCs w:val="24"/>
          <w:highlight w:val="none"/>
        </w:rPr>
        <w:t>.17.</w:t>
      </w:r>
      <w:r>
        <w:rPr>
          <w:rFonts w:hint="eastAsia" w:ascii="Arial" w:hAnsi="Arial" w:eastAsia="宋体" w:cs="Arial"/>
          <w:sz w:val="24"/>
          <w:szCs w:val="24"/>
          <w:highlight w:val="none"/>
          <w:lang w:val="en-US" w:eastAsia="zh-CN"/>
        </w:rPr>
        <w:t>3</w:t>
      </w:r>
      <w:r>
        <w:rPr>
          <w:rFonts w:hint="eastAsia" w:ascii="Arial" w:hAnsi="Arial" w:eastAsia="宋体" w:cs="Arial"/>
          <w:sz w:val="24"/>
          <w:szCs w:val="24"/>
          <w:highlight w:val="none"/>
        </w:rPr>
        <w:t>甲、乙双方应严格履行合同有关条款，如果验收过程中发现乙方在没有征得甲方同意的情况下擅自变更合同标的物，将拒绝通过验收，由此引起的一切后果及损失由乙方承担。</w:t>
      </w:r>
    </w:p>
    <w:p>
      <w:pPr>
        <w:spacing w:line="360" w:lineRule="auto"/>
        <w:ind w:firstLine="435"/>
        <w:rPr>
          <w:rFonts w:ascii="Arial" w:hAnsi="Arial" w:eastAsia="宋体" w:cs="Arial"/>
          <w:sz w:val="24"/>
          <w:szCs w:val="24"/>
          <w:highlight w:val="none"/>
        </w:rPr>
      </w:pPr>
      <w:r>
        <w:rPr>
          <w:rFonts w:hint="eastAsia" w:ascii="Arial" w:hAnsi="Arial" w:eastAsia="宋体" w:cs="Arial"/>
          <w:sz w:val="24"/>
          <w:szCs w:val="24"/>
          <w:highlight w:val="none"/>
          <w:lang w:val="en-US" w:eastAsia="zh-CN"/>
        </w:rPr>
        <w:t>2</w:t>
      </w:r>
      <w:r>
        <w:rPr>
          <w:rFonts w:ascii="Arial" w:hAnsi="Arial" w:eastAsia="宋体" w:cs="Arial"/>
          <w:sz w:val="24"/>
          <w:szCs w:val="24"/>
          <w:highlight w:val="none"/>
        </w:rPr>
        <w:t>.17.</w:t>
      </w:r>
      <w:r>
        <w:rPr>
          <w:rFonts w:hint="eastAsia" w:ascii="Arial" w:hAnsi="Arial" w:eastAsia="宋体" w:cs="Arial"/>
          <w:sz w:val="24"/>
          <w:szCs w:val="24"/>
          <w:highlight w:val="none"/>
          <w:lang w:val="en-US" w:eastAsia="zh-CN"/>
        </w:rPr>
        <w:t>4</w:t>
      </w:r>
      <w:r>
        <w:rPr>
          <w:rFonts w:ascii="Arial" w:hAnsi="Arial" w:eastAsia="宋体" w:cs="Arial"/>
          <w:sz w:val="24"/>
          <w:szCs w:val="24"/>
          <w:highlight w:val="none"/>
        </w:rPr>
        <w:t>货物交付前，乙方应对货物的质量、数量等方面进行详细、全面的检验，并向甲方出具证明货物符合合同约定的文件；货物交付时，乙方在</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约定时间内组织验收，并可依法邀请相关方参加，验收应出具验收书。</w:t>
      </w:r>
    </w:p>
    <w:p>
      <w:pPr>
        <w:spacing w:line="360" w:lineRule="auto"/>
        <w:ind w:firstLine="435"/>
        <w:rPr>
          <w:rFonts w:ascii="Arial" w:hAnsi="Arial" w:eastAsia="宋体" w:cs="Arial"/>
          <w:sz w:val="24"/>
          <w:szCs w:val="24"/>
          <w:highlight w:val="none"/>
        </w:rPr>
      </w:pPr>
      <w:r>
        <w:rPr>
          <w:rFonts w:hint="eastAsia" w:ascii="Arial" w:hAnsi="Arial" w:eastAsia="宋体" w:cs="Arial"/>
          <w:sz w:val="24"/>
          <w:szCs w:val="24"/>
          <w:highlight w:val="none"/>
          <w:lang w:val="en-US" w:eastAsia="zh-CN"/>
        </w:rPr>
        <w:t>2.17.5</w:t>
      </w:r>
      <w:r>
        <w:rPr>
          <w:rFonts w:hint="eastAsia" w:ascii="Arial" w:hAnsi="Arial" w:eastAsia="宋体" w:cs="Arial"/>
          <w:sz w:val="24"/>
          <w:szCs w:val="24"/>
          <w:highlight w:val="none"/>
        </w:rPr>
        <w:t>在验收过程中，因交付货物的部分或全部不符合本合同约定的数量、质量标准，或者货物外观变形或损坏等未达到甲方要求的，</w:t>
      </w:r>
      <w:r>
        <w:rPr>
          <w:rFonts w:hint="eastAsia" w:ascii="Arial" w:hAnsi="Arial" w:eastAsia="宋体" w:cs="Arial"/>
          <w:sz w:val="24"/>
          <w:szCs w:val="24"/>
          <w:highlight w:val="none"/>
          <w:lang w:val="en-US" w:eastAsia="zh-CN"/>
        </w:rPr>
        <w:t>乙方</w:t>
      </w:r>
      <w:r>
        <w:rPr>
          <w:rFonts w:hint="eastAsia" w:ascii="Arial" w:hAnsi="Arial" w:eastAsia="宋体" w:cs="Arial"/>
          <w:sz w:val="24"/>
          <w:szCs w:val="24"/>
          <w:highlight w:val="none"/>
        </w:rPr>
        <w:t>应按甲方要求在7日内更换、补齐，确保所交付的货物符合合同约定，否则甲方可以拒绝接受该货物或终止本合同，由此给甲方造成的损失由</w:t>
      </w:r>
      <w:r>
        <w:rPr>
          <w:rFonts w:hint="eastAsia" w:ascii="Arial" w:hAnsi="Arial" w:eastAsia="宋体" w:cs="Arial"/>
          <w:sz w:val="24"/>
          <w:szCs w:val="24"/>
          <w:highlight w:val="none"/>
          <w:lang w:val="en-US" w:eastAsia="zh-CN"/>
        </w:rPr>
        <w:t>乙</w:t>
      </w:r>
      <w:r>
        <w:rPr>
          <w:rFonts w:hint="eastAsia" w:ascii="Arial" w:hAnsi="Arial" w:eastAsia="宋体" w:cs="Arial"/>
          <w:sz w:val="24"/>
          <w:szCs w:val="24"/>
          <w:highlight w:val="none"/>
        </w:rPr>
        <w:t>方赔偿。</w:t>
      </w:r>
    </w:p>
    <w:p>
      <w:pPr>
        <w:pStyle w:val="14"/>
        <w:snapToGrid/>
        <w:spacing w:line="360" w:lineRule="auto"/>
        <w:ind w:firstLine="480" w:firstLineChars="200"/>
        <w:rPr>
          <w:rFonts w:hint="eastAsia" w:ascii="Arial" w:hAnsi="Arial" w:eastAsia="宋体" w:cs="Arial"/>
          <w:kern w:val="2"/>
          <w:sz w:val="24"/>
          <w:szCs w:val="24"/>
          <w:highlight w:val="none"/>
          <w:lang w:val="en-US" w:eastAsia="zh-CN" w:bidi="ar-SA"/>
        </w:rPr>
      </w:pPr>
      <w:r>
        <w:rPr>
          <w:rFonts w:hint="eastAsia" w:ascii="Arial" w:hAnsi="Arial" w:eastAsia="宋体" w:cs="Arial"/>
          <w:sz w:val="24"/>
          <w:szCs w:val="24"/>
          <w:highlight w:val="none"/>
          <w:lang w:val="en-US" w:eastAsia="zh-CN"/>
        </w:rPr>
        <w:t>2.17.6</w:t>
      </w:r>
      <w:r>
        <w:rPr>
          <w:rFonts w:hint="eastAsia" w:ascii="Arial" w:hAnsi="Arial" w:eastAsia="宋体" w:cs="Arial"/>
          <w:kern w:val="2"/>
          <w:sz w:val="24"/>
          <w:szCs w:val="24"/>
          <w:highlight w:val="none"/>
          <w:lang w:val="en-US" w:eastAsia="zh-CN" w:bidi="ar-SA"/>
        </w:rPr>
        <w:t>验收结果为合格的，应按合同约定支付款项；</w:t>
      </w:r>
    </w:p>
    <w:p>
      <w:pPr>
        <w:pStyle w:val="14"/>
        <w:snapToGrid/>
        <w:spacing w:line="360" w:lineRule="auto"/>
        <w:ind w:firstLine="480" w:firstLineChars="200"/>
        <w:rPr>
          <w:rFonts w:hint="default" w:ascii="Arial" w:hAnsi="Arial" w:eastAsia="宋体" w:cs="Arial"/>
          <w:sz w:val="24"/>
          <w:szCs w:val="24"/>
          <w:highlight w:val="none"/>
          <w:lang w:val="en-US" w:eastAsia="zh-CN"/>
        </w:rPr>
      </w:pPr>
      <w:r>
        <w:rPr>
          <w:rFonts w:hint="eastAsia" w:ascii="Arial" w:hAnsi="Arial" w:eastAsia="宋体" w:cs="Arial"/>
          <w:kern w:val="2"/>
          <w:sz w:val="24"/>
          <w:szCs w:val="24"/>
          <w:highlight w:val="none"/>
          <w:lang w:val="en-US" w:eastAsia="zh-CN" w:bidi="ar-SA"/>
        </w:rPr>
        <w:t>验收结果为不合格的，原则上不支付合同主体款项，可按合同一般条款2.17.5执行或通知乙方整改。若乙方整改后，经甲方重新验收合格的，视为基本合格，减值支付合同主体款项，并根据合同约定提供减值依据，乙方（及/或原厂商）应予接受。</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2.17.</w:t>
      </w:r>
      <w:r>
        <w:rPr>
          <w:rFonts w:hint="eastAsia" w:ascii="Arial" w:hAnsi="Arial" w:eastAsia="宋体" w:cs="Arial"/>
          <w:sz w:val="24"/>
          <w:szCs w:val="24"/>
          <w:highlight w:val="none"/>
          <w:lang w:val="en-US" w:eastAsia="zh-CN"/>
        </w:rPr>
        <w:t>7</w:t>
      </w:r>
      <w:r>
        <w:rPr>
          <w:rFonts w:ascii="Arial" w:hAnsi="Arial" w:eastAsia="宋体" w:cs="Arial"/>
          <w:sz w:val="24"/>
          <w:szCs w:val="24"/>
          <w:highlight w:val="none"/>
        </w:rPr>
        <w:t>合同期满或者履行完毕后，甲方有权组织（包括依法邀请国家认可的质量检测机构参加）对乙方履约的验</w:t>
      </w:r>
      <w:bookmarkStart w:id="153" w:name="_GoBack"/>
      <w:bookmarkEnd w:id="153"/>
      <w:r>
        <w:rPr>
          <w:rFonts w:ascii="Arial" w:hAnsi="Arial" w:eastAsia="宋体" w:cs="Arial"/>
          <w:sz w:val="24"/>
          <w:szCs w:val="24"/>
          <w:highlight w:val="none"/>
        </w:rPr>
        <w:t>收，即：按照合同约定的技术、服务、安全标准，组织对每一项技术、服务、安全标准的履约情况的验收，并出具验收书。</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2.17.</w:t>
      </w:r>
      <w:r>
        <w:rPr>
          <w:rFonts w:hint="eastAsia" w:ascii="Arial" w:hAnsi="Arial" w:eastAsia="宋体" w:cs="Arial"/>
          <w:sz w:val="24"/>
          <w:szCs w:val="24"/>
          <w:highlight w:val="none"/>
          <w:lang w:val="en-US" w:eastAsia="zh-CN"/>
        </w:rPr>
        <w:t>8</w:t>
      </w:r>
      <w:r>
        <w:rPr>
          <w:rFonts w:ascii="Arial" w:hAnsi="Arial" w:eastAsia="宋体" w:cs="Arial"/>
          <w:sz w:val="24"/>
          <w:szCs w:val="24"/>
          <w:highlight w:val="none"/>
        </w:rPr>
        <w:t>检验和验收标准、程序等具体内容以及前述验收书的效力详见</w:t>
      </w:r>
      <w:r>
        <w:rPr>
          <w:rFonts w:ascii="Arial" w:hAnsi="Arial" w:eastAsia="宋体" w:cs="Arial"/>
          <w:b/>
          <w:i/>
          <w:sz w:val="24"/>
          <w:szCs w:val="24"/>
          <w:highlight w:val="none"/>
          <w:u w:val="single"/>
        </w:rPr>
        <w:t>合同专用条款</w:t>
      </w:r>
      <w:r>
        <w:rPr>
          <w:rFonts w:ascii="Arial" w:hAnsi="Arial" w:eastAsia="宋体" w:cs="Arial"/>
          <w:i/>
          <w:sz w:val="24"/>
          <w:szCs w:val="24"/>
          <w:highlight w:val="none"/>
        </w:rPr>
        <w:t>。</w:t>
      </w:r>
    </w:p>
    <w:bookmarkEnd w:id="100"/>
    <w:bookmarkEnd w:id="101"/>
    <w:bookmarkEnd w:id="102"/>
    <w:bookmarkEnd w:id="103"/>
    <w:p>
      <w:pPr>
        <w:spacing w:line="360" w:lineRule="auto"/>
        <w:ind w:firstLine="437"/>
        <w:outlineLvl w:val="3"/>
        <w:rPr>
          <w:rFonts w:ascii="Arial" w:hAnsi="Arial" w:eastAsia="宋体" w:cs="Arial"/>
          <w:b/>
          <w:sz w:val="24"/>
          <w:szCs w:val="24"/>
          <w:highlight w:val="none"/>
        </w:rPr>
      </w:pPr>
      <w:bookmarkStart w:id="131" w:name="_Toc259093691"/>
      <w:bookmarkStart w:id="132" w:name="_Toc30599"/>
      <w:bookmarkStart w:id="133" w:name="_Toc279701262"/>
      <w:bookmarkStart w:id="134" w:name="_Toc4355"/>
      <w:bookmarkStart w:id="135" w:name="_Toc18540"/>
      <w:bookmarkStart w:id="136" w:name="_Toc487900372"/>
      <w:r>
        <w:rPr>
          <w:rFonts w:ascii="Arial" w:hAnsi="Arial" w:eastAsia="宋体" w:cs="Arial"/>
          <w:b/>
          <w:bCs/>
          <w:sz w:val="24"/>
          <w:szCs w:val="24"/>
          <w:highlight w:val="none"/>
          <w:lang w:val="zh-CN"/>
        </w:rPr>
        <w:t>2.18 计量单位</w:t>
      </w:r>
      <w:bookmarkEnd w:id="131"/>
      <w:bookmarkEnd w:id="132"/>
      <w:bookmarkEnd w:id="133"/>
      <w:bookmarkEnd w:id="134"/>
      <w:bookmarkEnd w:id="135"/>
      <w:bookmarkEnd w:id="136"/>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除技术规范中另有规定外,合同的计量单位均使用国家法定计量单位。</w:t>
      </w:r>
    </w:p>
    <w:p>
      <w:pPr>
        <w:spacing w:line="360" w:lineRule="auto"/>
        <w:ind w:firstLine="437"/>
        <w:outlineLvl w:val="3"/>
        <w:rPr>
          <w:rFonts w:ascii="Arial" w:hAnsi="Arial" w:eastAsia="宋体" w:cs="Arial"/>
          <w:b/>
          <w:bCs/>
          <w:sz w:val="24"/>
          <w:szCs w:val="24"/>
          <w:highlight w:val="none"/>
        </w:rPr>
      </w:pPr>
      <w:bookmarkStart w:id="137" w:name="_Toc279701263"/>
      <w:bookmarkStart w:id="138" w:name="_Toc10330"/>
      <w:bookmarkStart w:id="139" w:name="_Toc259093692"/>
      <w:bookmarkStart w:id="140" w:name="_Toc18567"/>
      <w:bookmarkStart w:id="141" w:name="_Toc12773"/>
      <w:bookmarkStart w:id="142" w:name="_Toc487900373"/>
      <w:r>
        <w:rPr>
          <w:rFonts w:ascii="Arial" w:hAnsi="Arial" w:eastAsia="宋体" w:cs="Arial"/>
          <w:b/>
          <w:bCs/>
          <w:sz w:val="24"/>
          <w:szCs w:val="24"/>
          <w:highlight w:val="none"/>
        </w:rPr>
        <w:t xml:space="preserve">2.19 </w:t>
      </w:r>
      <w:r>
        <w:rPr>
          <w:rFonts w:ascii="Arial" w:hAnsi="Arial" w:eastAsia="宋体" w:cs="Arial"/>
          <w:b/>
          <w:bCs/>
          <w:sz w:val="24"/>
          <w:szCs w:val="24"/>
          <w:highlight w:val="none"/>
          <w:lang w:val="zh-CN"/>
        </w:rPr>
        <w:t>合同使用的文字和适用的法律</w:t>
      </w:r>
      <w:bookmarkEnd w:id="137"/>
      <w:bookmarkEnd w:id="138"/>
      <w:bookmarkEnd w:id="139"/>
      <w:bookmarkEnd w:id="140"/>
      <w:bookmarkEnd w:id="141"/>
      <w:bookmarkEnd w:id="142"/>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2.19.1合同使用汉语书就、变更和解释；</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2.19.2合同适用中华人民共和国法律。</w:t>
      </w:r>
    </w:p>
    <w:p>
      <w:pPr>
        <w:spacing w:line="360" w:lineRule="auto"/>
        <w:ind w:firstLine="437"/>
        <w:outlineLvl w:val="3"/>
        <w:rPr>
          <w:rFonts w:ascii="Arial" w:hAnsi="Arial" w:eastAsia="宋体" w:cs="Arial"/>
          <w:b/>
          <w:sz w:val="24"/>
          <w:szCs w:val="24"/>
          <w:highlight w:val="none"/>
        </w:rPr>
      </w:pPr>
      <w:bookmarkStart w:id="143" w:name="_Toc279701264"/>
      <w:bookmarkStart w:id="144" w:name="_Toc259093693"/>
      <w:bookmarkStart w:id="145" w:name="_Toc12004"/>
      <w:bookmarkStart w:id="146" w:name="_Toc3148"/>
      <w:bookmarkStart w:id="147" w:name="_Toc16673"/>
      <w:bookmarkStart w:id="148" w:name="_Toc487900374"/>
      <w:r>
        <w:rPr>
          <w:rFonts w:ascii="Arial" w:hAnsi="Arial" w:eastAsia="宋体" w:cs="Arial"/>
          <w:b/>
          <w:bCs/>
          <w:sz w:val="24"/>
          <w:szCs w:val="24"/>
          <w:highlight w:val="none"/>
          <w:lang w:val="zh-CN"/>
        </w:rPr>
        <w:t>2.20 履约保证金</w:t>
      </w:r>
      <w:bookmarkEnd w:id="143"/>
      <w:bookmarkEnd w:id="144"/>
      <w:bookmarkEnd w:id="145"/>
      <w:bookmarkEnd w:id="146"/>
      <w:bookmarkEnd w:id="147"/>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2.20.1采购文件要求乙方提交履约保证金的，乙方应按</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约定的方式，以支票、汇票、本票或者金融机构、担保机构出具的保函等非现金形式，提交不超过合同价10%的履约保证金；</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2.20.2履约保证金在</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约定期间内或者货物质量保证期内不予退还或者应完全有效，前述约定期间届满或者货物质量保证期届满之日起</w:t>
      </w:r>
      <w:r>
        <w:rPr>
          <w:rFonts w:hint="eastAsia" w:ascii="Arial" w:hAnsi="Arial" w:eastAsia="宋体" w:cs="Arial"/>
          <w:sz w:val="24"/>
          <w:szCs w:val="24"/>
          <w:highlight w:val="none"/>
          <w:u w:val="single"/>
        </w:rPr>
        <w:t>10</w:t>
      </w:r>
      <w:r>
        <w:rPr>
          <w:rFonts w:ascii="Arial" w:hAnsi="Arial" w:eastAsia="宋体" w:cs="Arial"/>
          <w:sz w:val="24"/>
          <w:szCs w:val="24"/>
          <w:highlight w:val="none"/>
        </w:rPr>
        <w:t>个工作日内，甲方应将履约保证金退还乙方；</w:t>
      </w:r>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48"/>
    <w:p>
      <w:pPr>
        <w:spacing w:line="360" w:lineRule="auto"/>
        <w:ind w:firstLine="437"/>
        <w:outlineLvl w:val="3"/>
        <w:rPr>
          <w:rFonts w:ascii="Arial" w:hAnsi="Arial" w:eastAsia="宋体" w:cs="Arial"/>
          <w:b/>
          <w:sz w:val="24"/>
          <w:szCs w:val="24"/>
          <w:highlight w:val="none"/>
        </w:rPr>
      </w:pPr>
      <w:bookmarkStart w:id="149" w:name="_Toc19890"/>
      <w:bookmarkStart w:id="150" w:name="_Toc14001"/>
      <w:bookmarkStart w:id="151" w:name="_Toc6885"/>
      <w:r>
        <w:rPr>
          <w:rFonts w:ascii="Arial" w:hAnsi="Arial" w:eastAsia="宋体" w:cs="Arial"/>
          <w:b/>
          <w:bCs/>
          <w:sz w:val="24"/>
          <w:szCs w:val="24"/>
          <w:highlight w:val="none"/>
          <w:lang w:val="zh-CN"/>
        </w:rPr>
        <w:t>2.21 合同份数</w:t>
      </w:r>
      <w:bookmarkEnd w:id="149"/>
      <w:bookmarkEnd w:id="150"/>
      <w:bookmarkEnd w:id="151"/>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合同份数按</w:t>
      </w:r>
      <w:r>
        <w:rPr>
          <w:rFonts w:ascii="Arial" w:hAnsi="Arial" w:eastAsia="宋体" w:cs="Arial"/>
          <w:b/>
          <w:i/>
          <w:sz w:val="24"/>
          <w:szCs w:val="24"/>
          <w:highlight w:val="none"/>
          <w:u w:val="single"/>
        </w:rPr>
        <w:t>合同专用条款</w:t>
      </w:r>
      <w:r>
        <w:rPr>
          <w:rFonts w:ascii="Arial" w:hAnsi="Arial" w:eastAsia="宋体" w:cs="Arial"/>
          <w:sz w:val="24"/>
          <w:szCs w:val="24"/>
          <w:highlight w:val="none"/>
        </w:rPr>
        <w:t>规定，每份均具有同等法律效力。</w:t>
      </w:r>
    </w:p>
    <w:p>
      <w:pPr>
        <w:spacing w:line="360" w:lineRule="auto"/>
        <w:jc w:val="center"/>
        <w:outlineLvl w:val="2"/>
        <w:rPr>
          <w:rFonts w:ascii="Arial" w:hAnsi="Arial" w:eastAsia="宋体" w:cs="Arial"/>
          <w:b/>
          <w:sz w:val="24"/>
          <w:highlight w:val="none"/>
        </w:rPr>
      </w:pPr>
      <w:r>
        <w:rPr>
          <w:rFonts w:ascii="Arial" w:hAnsi="Arial" w:eastAsia="宋体" w:cs="Arial"/>
          <w:sz w:val="24"/>
          <w:szCs w:val="24"/>
          <w:highlight w:val="none"/>
        </w:rPr>
        <w:br w:type="page"/>
      </w:r>
      <w:bookmarkStart w:id="152" w:name="_Toc331685784"/>
      <w:r>
        <w:rPr>
          <w:rFonts w:ascii="Arial" w:hAnsi="Arial" w:eastAsia="宋体" w:cs="Arial"/>
          <w:b/>
          <w:sz w:val="24"/>
          <w:highlight w:val="none"/>
        </w:rPr>
        <w:t>第三部分 合同专用条款</w:t>
      </w:r>
      <w:bookmarkEnd w:id="152"/>
    </w:p>
    <w:p>
      <w:pPr>
        <w:spacing w:line="360" w:lineRule="auto"/>
        <w:ind w:firstLine="435"/>
        <w:rPr>
          <w:rFonts w:ascii="Arial" w:hAnsi="Arial" w:eastAsia="宋体" w:cs="Arial"/>
          <w:sz w:val="24"/>
          <w:szCs w:val="24"/>
          <w:highlight w:val="none"/>
        </w:rPr>
      </w:pPr>
      <w:r>
        <w:rPr>
          <w:rFonts w:ascii="Arial" w:hAnsi="Arial" w:eastAsia="宋体" w:cs="Arial"/>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jc w:val="center"/>
              <w:rPr>
                <w:rFonts w:ascii="Arial" w:hAnsi="Arial" w:eastAsia="宋体" w:cs="Arial"/>
                <w:b/>
                <w:sz w:val="24"/>
                <w:szCs w:val="24"/>
                <w:highlight w:val="none"/>
              </w:rPr>
            </w:pPr>
            <w:r>
              <w:rPr>
                <w:rFonts w:ascii="Arial" w:hAnsi="Arial" w:eastAsia="宋体" w:cs="Arial"/>
                <w:b/>
                <w:sz w:val="24"/>
                <w:szCs w:val="24"/>
                <w:highlight w:val="none"/>
              </w:rPr>
              <w:t>条款号</w:t>
            </w:r>
          </w:p>
        </w:tc>
        <w:tc>
          <w:tcPr>
            <w:tcW w:w="7568" w:type="dxa"/>
            <w:tcBorders>
              <w:top w:val="single" w:color="auto" w:sz="6" w:space="0"/>
              <w:left w:val="single" w:color="auto" w:sz="6" w:space="0"/>
              <w:bottom w:val="single" w:color="auto" w:sz="6" w:space="0"/>
              <w:right w:val="single" w:color="auto" w:sz="6" w:space="0"/>
            </w:tcBorders>
            <w:noWrap/>
            <w:vAlign w:val="center"/>
          </w:tcPr>
          <w:p>
            <w:pPr>
              <w:jc w:val="center"/>
              <w:rPr>
                <w:rFonts w:ascii="Arial" w:hAnsi="Arial" w:eastAsia="宋体" w:cs="Arial"/>
                <w:b/>
                <w:sz w:val="24"/>
                <w:szCs w:val="24"/>
                <w:highlight w:val="none"/>
              </w:rPr>
            </w:pPr>
            <w:r>
              <w:rPr>
                <w:rFonts w:ascii="Arial" w:hAnsi="Arial" w:eastAsia="宋体" w:cs="Arial"/>
                <w:b/>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noWrap/>
            <w:vAlign w:val="center"/>
          </w:tcPr>
          <w:p>
            <w:pPr>
              <w:spacing w:line="560" w:lineRule="exact"/>
              <w:rPr>
                <w:rFonts w:ascii="Arial" w:hAnsi="Arial" w:eastAsia="宋体" w:cs="Arial"/>
                <w:sz w:val="24"/>
                <w:szCs w:val="24"/>
                <w:highlight w:val="none"/>
              </w:rPr>
            </w:pPr>
          </w:p>
        </w:tc>
      </w:tr>
      <w:bookmarkEnd w:id="2"/>
    </w:tbl>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495214C3"/>
    <w:rsid w:val="51D66717"/>
    <w:rsid w:val="5F3C11E9"/>
    <w:rsid w:val="5F470124"/>
    <w:rsid w:val="66661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仿宋_GB2312"/>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firstLineChars="200"/>
    </w:pPr>
    <w:rPr>
      <w:sz w:val="21"/>
      <w:szCs w:val="24"/>
    </w:rPr>
  </w:style>
  <w:style w:type="paragraph" w:styleId="3">
    <w:name w:val="Body Text Indent"/>
    <w:basedOn w:val="1"/>
    <w:next w:val="4"/>
    <w:unhideWhenUsed/>
    <w:qFormat/>
    <w:uiPriority w:val="0"/>
    <w:pPr>
      <w:ind w:firstLine="645"/>
    </w:pPr>
    <w:rPr>
      <w:rFonts w:ascii="楷体_GB2312" w:eastAsia="楷体_GB2312"/>
      <w:sz w:val="32"/>
    </w:r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6">
    <w:name w:val="Body Text"/>
    <w:basedOn w:val="1"/>
    <w:next w:val="7"/>
    <w:qFormat/>
    <w:uiPriority w:val="0"/>
    <w:pPr>
      <w:spacing w:after="120"/>
    </w:pPr>
    <w:rPr>
      <w:rFonts w:ascii="@微软简标宋" w:eastAsia="@微软简标宋" w:cs="@微软简标宋"/>
      <w:szCs w:val="24"/>
      <w:lang w:val="zh-CN" w:eastAsia="zh-CN" w:bidi="ar-SA"/>
    </w:rPr>
  </w:style>
  <w:style w:type="paragraph" w:customStyle="1" w:styleId="7">
    <w:name w:val="Default"/>
    <w:basedOn w:val="1"/>
    <w:qFormat/>
    <w:uiPriority w:val="0"/>
    <w:pPr>
      <w:autoSpaceDE w:val="0"/>
      <w:autoSpaceDN w:val="0"/>
      <w:adjustRightInd w:val="0"/>
      <w:jc w:val="left"/>
    </w:pPr>
    <w:rPr>
      <w:rFonts w:eastAsia="宋体"/>
      <w:color w:val="000000"/>
      <w:kern w:val="0"/>
      <w:sz w:val="24"/>
      <w:szCs w:val="24"/>
    </w:rPr>
  </w:style>
  <w:style w:type="paragraph" w:styleId="8">
    <w:name w:val="Body Text Indent 2"/>
    <w:basedOn w:val="1"/>
    <w:qFormat/>
    <w:uiPriority w:val="0"/>
    <w:pPr>
      <w:ind w:firstLine="200" w:firstLineChars="200"/>
    </w:pPr>
    <w:rPr>
      <w:rFonts w:ascii="Calibri" w:hAnsi="Calibri"/>
      <w:szCs w:val="24"/>
    </w:rPr>
  </w:style>
  <w:style w:type="paragraph" w:styleId="9">
    <w:name w:val="toc 1"/>
    <w:basedOn w:val="1"/>
    <w:next w:val="1"/>
    <w:qFormat/>
    <w:uiPriority w:val="0"/>
    <w:pPr>
      <w:widowControl/>
      <w:spacing w:after="100" w:line="276" w:lineRule="auto"/>
      <w:jc w:val="left"/>
    </w:pPr>
    <w:rPr>
      <w:rFonts w:ascii="Calibri" w:hAnsi="Calibri" w:eastAsia="宋体" w:cs="黑体"/>
      <w:kern w:val="0"/>
      <w:sz w:val="22"/>
      <w:szCs w:val="22"/>
      <w:lang w:bidi="ar-SA"/>
    </w:rPr>
  </w:style>
  <w:style w:type="paragraph" w:styleId="10">
    <w:name w:val="Body Text Indent 3"/>
    <w:basedOn w:val="1"/>
    <w:qFormat/>
    <w:uiPriority w:val="0"/>
    <w:pPr>
      <w:spacing w:after="120"/>
      <w:ind w:left="420" w:leftChars="200"/>
    </w:pPr>
    <w:rPr>
      <w:sz w:val="16"/>
      <w:szCs w:val="16"/>
    </w:rPr>
  </w:style>
  <w:style w:type="character" w:customStyle="1" w:styleId="13">
    <w:name w:val="fontstyle01"/>
    <w:qFormat/>
    <w:uiPriority w:val="0"/>
    <w:rPr>
      <w:rFonts w:ascii="宋体" w:eastAsia="宋体"/>
      <w:color w:val="000000"/>
      <w:sz w:val="22"/>
      <w:szCs w:val="22"/>
    </w:rPr>
  </w:style>
  <w:style w:type="paragraph" w:customStyle="1" w:styleId="14">
    <w:name w:val="楷体粗正文文字"/>
    <w:basedOn w:val="1"/>
    <w:next w:val="10"/>
    <w:qFormat/>
    <w:uiPriority w:val="0"/>
    <w:pPr>
      <w:snapToGrid w:val="0"/>
      <w:spacing w:line="480" w:lineRule="exact"/>
      <w:ind w:firstLine="560"/>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2023-03-03T02:31:00Z</dcterms:created>
  <dc:creator>Jin.‘</dc:creator>
  <cp:lastModifiedBy>Jin.</cp:lastModifiedBy>
  <dcterms:modified xsi:type="dcterms:W3CDTF">2023-03-03T08:33:20Z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6BF7E8532243439CACAE64FE93484D4A</vt:lpwstr>
  </property>
</Properties>
</file>