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D3FA9A">
      <w:pPr>
        <w:spacing w:line="360" w:lineRule="auto"/>
        <w:jc w:val="center"/>
        <w:rPr>
          <w:rFonts w:hint="default" w:ascii="等线" w:hAnsi="等线" w:eastAsia="等线" w:cs="Times New Roman"/>
          <w:b/>
          <w:sz w:val="28"/>
          <w:szCs w:val="20"/>
          <w:highlight w:val="none"/>
          <w:lang w:val="en-US" w:eastAsia="zh-CN"/>
        </w:rPr>
      </w:pPr>
      <w:r>
        <w:rPr>
          <w:rFonts w:hint="eastAsia" w:ascii="等线" w:hAnsi="等线" w:eastAsia="等线" w:cs="Times New Roman"/>
          <w:b/>
          <w:sz w:val="40"/>
          <w:szCs w:val="24"/>
          <w:highlight w:val="none"/>
        </w:rPr>
        <w:t>怀远县公安局检验鉴定服务采购项目</w:t>
      </w:r>
      <w:r>
        <w:rPr>
          <w:rFonts w:hint="eastAsia" w:ascii="等线" w:hAnsi="等线" w:eastAsia="等线" w:cs="Times New Roman"/>
          <w:b/>
          <w:sz w:val="40"/>
          <w:szCs w:val="24"/>
          <w:highlight w:val="none"/>
          <w:lang w:val="en-US" w:eastAsia="zh-CN"/>
        </w:rPr>
        <w:t>更正公告</w:t>
      </w:r>
    </w:p>
    <w:p w14:paraId="4EB0F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ascii="黑体" w:hAnsi="宋体" w:eastAsia="黑体" w:cs="黑体"/>
          <w:kern w:val="0"/>
          <w:sz w:val="28"/>
          <w:szCs w:val="28"/>
          <w:lang w:val="en-US" w:eastAsia="zh-CN" w:bidi="ar-SA"/>
        </w:rPr>
      </w:pPr>
    </w:p>
    <w:p w14:paraId="558A60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宋体" w:eastAsia="黑体" w:cs="黑体"/>
          <w:color w:val="auto"/>
          <w:kern w:val="0"/>
          <w:sz w:val="28"/>
          <w:szCs w:val="28"/>
          <w:lang w:val="en-US" w:eastAsia="zh-CN" w:bidi="ar-SA"/>
        </w:rPr>
      </w:pPr>
      <w:r>
        <w:rPr>
          <w:rFonts w:hint="eastAsia" w:ascii="黑体" w:hAnsi="宋体" w:eastAsia="黑体" w:cs="黑体"/>
          <w:color w:val="auto"/>
          <w:kern w:val="0"/>
          <w:sz w:val="28"/>
          <w:szCs w:val="28"/>
          <w:lang w:val="en-US" w:eastAsia="zh-CN" w:bidi="ar-SA"/>
        </w:rPr>
        <w:t>一、项目基本情况</w:t>
      </w:r>
    </w:p>
    <w:p w14:paraId="0A6BD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仿宋" w:hAnsi="仿宋" w:eastAsia="仿宋" w:cs="仿宋"/>
          <w:kern w:val="0"/>
          <w:sz w:val="28"/>
          <w:szCs w:val="28"/>
          <w:u w:val="none"/>
          <w:lang w:val="en-US" w:eastAsia="zh-CN" w:bidi="ar-SA"/>
        </w:rPr>
      </w:pPr>
      <w:r>
        <w:rPr>
          <w:rFonts w:hint="eastAsia" w:ascii="仿宋" w:hAnsi="仿宋" w:eastAsia="仿宋" w:cs="仿宋"/>
          <w:kern w:val="0"/>
          <w:sz w:val="28"/>
          <w:szCs w:val="28"/>
          <w:u w:val="none"/>
          <w:lang w:val="en-US" w:eastAsia="zh-CN" w:bidi="ar-SA"/>
        </w:rPr>
        <w:t>原公告的采购项目编号：KJXY202608040738</w:t>
      </w:r>
    </w:p>
    <w:p w14:paraId="1B4191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仿宋" w:hAnsi="仿宋" w:eastAsia="仿宋" w:cs="仿宋"/>
          <w:kern w:val="0"/>
          <w:sz w:val="28"/>
          <w:szCs w:val="28"/>
          <w:u w:val="none"/>
          <w:lang w:val="en-US" w:eastAsia="zh-CN" w:bidi="ar-SA"/>
        </w:rPr>
      </w:pPr>
      <w:r>
        <w:rPr>
          <w:rFonts w:hint="eastAsia" w:ascii="仿宋" w:hAnsi="仿宋" w:eastAsia="仿宋" w:cs="仿宋"/>
          <w:kern w:val="0"/>
          <w:sz w:val="28"/>
          <w:szCs w:val="28"/>
          <w:u w:val="none"/>
          <w:lang w:val="en-US" w:eastAsia="zh-CN" w:bidi="ar-SA"/>
        </w:rPr>
        <w:t>原公告的采购项目名称：怀远县公安局检验鉴定服务采购项目</w:t>
      </w:r>
    </w:p>
    <w:p w14:paraId="6670E6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仿宋" w:hAnsi="仿宋" w:eastAsia="仿宋" w:cs="仿宋"/>
          <w:kern w:val="0"/>
          <w:sz w:val="28"/>
          <w:szCs w:val="28"/>
          <w:u w:val="none"/>
          <w:lang w:val="en-US" w:eastAsia="zh-CN" w:bidi="ar-SA"/>
        </w:rPr>
      </w:pPr>
      <w:r>
        <w:rPr>
          <w:rFonts w:hint="eastAsia" w:ascii="仿宋" w:hAnsi="仿宋" w:eastAsia="仿宋" w:cs="仿宋"/>
          <w:kern w:val="0"/>
          <w:sz w:val="28"/>
          <w:szCs w:val="28"/>
          <w:u w:val="none"/>
          <w:lang w:val="en-US" w:eastAsia="zh-CN" w:bidi="ar-SA"/>
        </w:rPr>
        <w:t>首次公告日期：2026年08月20日</w:t>
      </w:r>
    </w:p>
    <w:p w14:paraId="7BB8FA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黑体" w:hAnsi="宋体" w:eastAsia="黑体" w:cs="黑体"/>
          <w:color w:val="auto"/>
          <w:kern w:val="0"/>
          <w:sz w:val="28"/>
          <w:szCs w:val="28"/>
          <w:lang w:val="en-US" w:eastAsia="zh-CN" w:bidi="ar-SA"/>
        </w:rPr>
      </w:pPr>
      <w:r>
        <w:rPr>
          <w:rFonts w:hint="eastAsia" w:ascii="黑体" w:hAnsi="宋体" w:eastAsia="黑体" w:cs="黑体"/>
          <w:color w:val="auto"/>
          <w:kern w:val="0"/>
          <w:sz w:val="28"/>
          <w:szCs w:val="28"/>
          <w:lang w:val="en-US" w:eastAsia="zh-CN" w:bidi="ar-SA"/>
        </w:rPr>
        <w:t>二、更正信息</w:t>
      </w:r>
    </w:p>
    <w:p w14:paraId="1032F4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仿宋" w:hAnsi="仿宋" w:eastAsia="仿宋" w:cs="仿宋"/>
          <w:kern w:val="0"/>
          <w:sz w:val="28"/>
          <w:szCs w:val="28"/>
          <w:u w:val="none"/>
          <w:lang w:val="en-US" w:eastAsia="zh-CN" w:bidi="ar-SA"/>
        </w:rPr>
      </w:pPr>
      <w:r>
        <w:rPr>
          <w:rFonts w:hint="eastAsia" w:ascii="仿宋" w:hAnsi="仿宋" w:eastAsia="仿宋" w:cs="仿宋"/>
          <w:kern w:val="0"/>
          <w:sz w:val="28"/>
          <w:szCs w:val="28"/>
          <w:u w:val="none"/>
          <w:lang w:val="en-US" w:eastAsia="zh-CN" w:bidi="ar-SA"/>
        </w:rPr>
        <w:t>更正事项： ☑征集公告 ☑征集文件 </w:t>
      </w:r>
    </w:p>
    <w:p w14:paraId="138520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仿宋" w:hAnsi="仿宋" w:eastAsia="仿宋" w:cs="仿宋"/>
          <w:kern w:val="0"/>
          <w:sz w:val="28"/>
          <w:szCs w:val="28"/>
          <w:u w:val="none"/>
          <w:lang w:val="en-US" w:eastAsia="zh-CN" w:bidi="ar-SA"/>
        </w:rPr>
      </w:pPr>
      <w:r>
        <w:rPr>
          <w:rFonts w:hint="eastAsia" w:ascii="仿宋" w:hAnsi="仿宋" w:eastAsia="仿宋" w:cs="仿宋"/>
          <w:kern w:val="0"/>
          <w:sz w:val="28"/>
          <w:szCs w:val="28"/>
          <w:u w:val="none"/>
          <w:lang w:val="en-US" w:eastAsia="zh-CN" w:bidi="ar-SA"/>
        </w:rPr>
        <w:t>更正内容：     </w:t>
      </w:r>
    </w:p>
    <w:tbl>
      <w:tblPr>
        <w:tblStyle w:val="4"/>
        <w:tblW w:w="10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2514"/>
        <w:gridCol w:w="3448"/>
        <w:gridCol w:w="3449"/>
      </w:tblGrid>
      <w:tr w14:paraId="481F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27" w:type="dxa"/>
          </w:tcPr>
          <w:p w14:paraId="16AC9D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序号</w:t>
            </w:r>
          </w:p>
        </w:tc>
        <w:tc>
          <w:tcPr>
            <w:tcW w:w="2514" w:type="dxa"/>
            <w:vAlign w:val="center"/>
          </w:tcPr>
          <w:p w14:paraId="7F488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ascii="仿宋" w:hAnsi="仿宋" w:eastAsia="仿宋" w:cs="仿宋"/>
                <w:i w:val="0"/>
                <w:iCs w:val="0"/>
                <w:caps w:val="0"/>
                <w:color w:val="000000"/>
                <w:spacing w:val="0"/>
                <w:sz w:val="27"/>
                <w:szCs w:val="27"/>
              </w:rPr>
              <w:t>更正项</w:t>
            </w:r>
          </w:p>
        </w:tc>
        <w:tc>
          <w:tcPr>
            <w:tcW w:w="3448" w:type="dxa"/>
            <w:vAlign w:val="center"/>
          </w:tcPr>
          <w:p w14:paraId="59064C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ascii="仿宋" w:hAnsi="仿宋" w:eastAsia="仿宋" w:cs="仿宋"/>
                <w:i w:val="0"/>
                <w:iCs w:val="0"/>
                <w:caps w:val="0"/>
                <w:color w:val="000000"/>
                <w:spacing w:val="0"/>
                <w:sz w:val="27"/>
                <w:szCs w:val="27"/>
              </w:rPr>
              <w:t>更正前内容</w:t>
            </w:r>
          </w:p>
        </w:tc>
        <w:tc>
          <w:tcPr>
            <w:tcW w:w="3449" w:type="dxa"/>
            <w:vAlign w:val="center"/>
          </w:tcPr>
          <w:p w14:paraId="37BC2C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ascii="仿宋" w:hAnsi="仿宋" w:eastAsia="仿宋" w:cs="仿宋"/>
                <w:i w:val="0"/>
                <w:iCs w:val="0"/>
                <w:caps w:val="0"/>
                <w:color w:val="000000"/>
                <w:spacing w:val="0"/>
                <w:sz w:val="27"/>
                <w:szCs w:val="27"/>
              </w:rPr>
              <w:t>更正后内容</w:t>
            </w:r>
          </w:p>
        </w:tc>
      </w:tr>
      <w:tr w14:paraId="123C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27" w:type="dxa"/>
          </w:tcPr>
          <w:p w14:paraId="37CD00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1</w:t>
            </w:r>
          </w:p>
        </w:tc>
        <w:tc>
          <w:tcPr>
            <w:tcW w:w="2514" w:type="dxa"/>
            <w:vAlign w:val="center"/>
          </w:tcPr>
          <w:p w14:paraId="44F712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一、项目基本情况 最高限价</w:t>
            </w:r>
          </w:p>
        </w:tc>
        <w:tc>
          <w:tcPr>
            <w:tcW w:w="3448" w:type="dxa"/>
            <w:vAlign w:val="center"/>
          </w:tcPr>
          <w:p w14:paraId="05DC0E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本项目执行固定费率报价，固定下浮70%，具体详见采购需求。</w:t>
            </w:r>
          </w:p>
        </w:tc>
        <w:tc>
          <w:tcPr>
            <w:tcW w:w="3449" w:type="dxa"/>
            <w:vAlign w:val="center"/>
          </w:tcPr>
          <w:p w14:paraId="46EE12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本项目执行固定下浮率报价，固定下浮20%，具体详见采购需求。</w:t>
            </w:r>
          </w:p>
        </w:tc>
      </w:tr>
      <w:tr w14:paraId="3537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27" w:type="dxa"/>
          </w:tcPr>
          <w:p w14:paraId="485AE8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2</w:t>
            </w:r>
          </w:p>
        </w:tc>
        <w:tc>
          <w:tcPr>
            <w:tcW w:w="2514" w:type="dxa"/>
            <w:vAlign w:val="center"/>
          </w:tcPr>
          <w:p w14:paraId="701F0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第二章 供应商须知 最高限价</w:t>
            </w:r>
          </w:p>
        </w:tc>
        <w:tc>
          <w:tcPr>
            <w:tcW w:w="3448" w:type="dxa"/>
            <w:vAlign w:val="center"/>
          </w:tcPr>
          <w:p w14:paraId="2CCD4E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本项目执行固定费率报价，收费标准为安徽省物价局、《安徽省发展改革委安徽省司法厅关于进一步规范我省司法鉴定服务收费有关问题的通知》（皖发改价费〔2025〕498号）文件内《安徽省司法鉴定项目基准价格表》下浮70%（举例：“早期尸体解剖”费用基准为2500元/具，则“早期尸体解剖”的最终据实结算费用为“2500元/具*（1-70%）”），同一案件物证类的鉴定费总额不超1600元。注：基准价详见附件《安徽省司法鉴定项目基准价格表》。</w:t>
            </w:r>
          </w:p>
        </w:tc>
        <w:tc>
          <w:tcPr>
            <w:tcW w:w="3449" w:type="dxa"/>
            <w:vAlign w:val="center"/>
          </w:tcPr>
          <w:p w14:paraId="13BB18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本项目执行固定下浮率报价，收费标准为安徽省物价局、《安徽省发展改革委安徽省司法厅关于进一步规范我省司法鉴定服务收费有关问题的通知》（皖发改价费〔2025〕498号）文件内《安徽省司法鉴定项目基准价格表》下浮20%（举例：“早期尸体解剖”费用基准为2500元/具，则“早期尸体解剖”的最终据实结算费用为“2500元/具*（1-20%）”），同一案件物证类的鉴定费总额不超1600元。注：基准价详见附件《安徽省司法鉴定项目基准价格表》。</w:t>
            </w:r>
          </w:p>
        </w:tc>
      </w:tr>
      <w:tr w14:paraId="595E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27" w:type="dxa"/>
          </w:tcPr>
          <w:p w14:paraId="37643A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3</w:t>
            </w:r>
          </w:p>
        </w:tc>
        <w:tc>
          <w:tcPr>
            <w:tcW w:w="2514" w:type="dxa"/>
            <w:vAlign w:val="center"/>
          </w:tcPr>
          <w:p w14:paraId="693FE3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第三章 采购需求 六、报价要求</w:t>
            </w:r>
          </w:p>
        </w:tc>
        <w:tc>
          <w:tcPr>
            <w:tcW w:w="3448" w:type="dxa"/>
            <w:vAlign w:val="center"/>
          </w:tcPr>
          <w:p w14:paraId="3D39D5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1、本项目执行固定费率报价，收费标准为安徽省物价局、《安徽省发展改革委安徽省司法厅关于进一步规范我省司法鉴定服务收费有关问题的通知》（皖发改价费〔2025〕498号）文件内《安徽省司法鉴定项目基准价格表》下浮70%（举例：“早期尸体解剖”费用基准为2500元/具，则“早期尸体解剖”的最终据实结算费用为“2500元/具*（1-70%）”）。注：基准价详见附件《安徽省司法鉴定项目基准价格表》。</w:t>
            </w:r>
          </w:p>
          <w:p w14:paraId="51EC42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3、收费标准：参照安徽省物价局、《安徽省发展改革委安徽省司法厅关于进一步规范我</w:t>
            </w:r>
          </w:p>
          <w:p w14:paraId="1E29C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省司法鉴定服务收费有关问题的通知》（皖发改价费〔2025〕498 号）文件内《安徽省司法</w:t>
            </w:r>
          </w:p>
          <w:p w14:paraId="20AE8B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鉴定项目基准价格表》执行，未在此文件内的项目另行协议。</w:t>
            </w:r>
          </w:p>
        </w:tc>
        <w:tc>
          <w:tcPr>
            <w:tcW w:w="3449" w:type="dxa"/>
            <w:vAlign w:val="center"/>
          </w:tcPr>
          <w:p w14:paraId="7DBA0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本项目执行固定下浮率报价，收费标准为安徽省物价局、《安徽省发展改革委安徽省司法厅关于进一步规范我省司法鉴定服务收费有关问题的通知》（皖发改价费〔2025〕498号）文件内《安徽省司法鉴定项目基准价格表》下浮20%（举例：“早期尸体解剖”费用基准为2500元/具，则“早期尸体解剖”的最终据实结算费用为“2500元/具*（1-20%）”）。注：基准价详见附件《安徽省司法鉴定项目基准价格表》。</w:t>
            </w:r>
          </w:p>
          <w:p w14:paraId="7426BD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kern w:val="0"/>
                <w:sz w:val="28"/>
                <w:szCs w:val="28"/>
                <w:u w:val="none"/>
                <w:vertAlign w:val="baseline"/>
                <w:lang w:val="en-US" w:eastAsia="zh-CN" w:bidi="ar-SA"/>
              </w:rPr>
            </w:pPr>
            <w:r>
              <w:rPr>
                <w:rFonts w:hint="eastAsia" w:ascii="仿宋" w:hAnsi="仿宋" w:eastAsia="仿宋" w:cs="仿宋"/>
                <w:kern w:val="0"/>
                <w:sz w:val="28"/>
                <w:szCs w:val="28"/>
                <w:u w:val="none"/>
                <w:vertAlign w:val="baseline"/>
                <w:lang w:val="en-US" w:eastAsia="zh-CN" w:bidi="ar-SA"/>
              </w:rPr>
              <w:t>3、收费标准：参照安徽省物价局、《安徽省发展改革委安徽省司法厅关于进一步规范我省司法鉴定服务收费有关问题的通知》（皖发改价费〔2025〕498 号）文件内《安徽省司法鉴定项目基准价格表》下浮20%执行，未在此文件内的项目另行协议。</w:t>
            </w:r>
          </w:p>
        </w:tc>
      </w:tr>
    </w:tbl>
    <w:p w14:paraId="353FF5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default" w:ascii="仿宋" w:hAnsi="仿宋" w:eastAsia="仿宋" w:cs="仿宋"/>
          <w:kern w:val="0"/>
          <w:sz w:val="28"/>
          <w:szCs w:val="28"/>
          <w:u w:val="none"/>
          <w:lang w:val="en-US" w:eastAsia="zh-CN" w:bidi="ar-SA"/>
        </w:rPr>
      </w:pPr>
      <w:r>
        <w:rPr>
          <w:rFonts w:hint="eastAsia" w:ascii="仿宋" w:hAnsi="仿宋" w:eastAsia="仿宋" w:cs="仿宋"/>
          <w:kern w:val="0"/>
          <w:sz w:val="28"/>
          <w:szCs w:val="28"/>
          <w:u w:val="none"/>
          <w:lang w:val="en-US" w:eastAsia="zh-CN" w:bidi="ar-SA"/>
        </w:rPr>
        <w:t>更正日期：2026年08月24日</w:t>
      </w:r>
    </w:p>
    <w:p w14:paraId="44FA39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default" w:ascii="Calibri" w:hAnsi="Calibri" w:eastAsia="宋体" w:cs="Calibri"/>
          <w:color w:val="auto"/>
          <w:kern w:val="0"/>
          <w:sz w:val="28"/>
          <w:szCs w:val="28"/>
          <w:lang w:val="en-US" w:eastAsia="zh-CN" w:bidi="ar-SA"/>
        </w:rPr>
      </w:pPr>
      <w:r>
        <w:rPr>
          <w:rFonts w:hint="eastAsia" w:ascii="黑体" w:hAnsi="宋体" w:eastAsia="黑体" w:cs="黑体"/>
          <w:color w:val="auto"/>
          <w:kern w:val="0"/>
          <w:sz w:val="28"/>
          <w:szCs w:val="28"/>
          <w:lang w:val="en-US" w:eastAsia="zh-CN" w:bidi="ar-SA"/>
        </w:rPr>
        <w:t>三、其他补充事宜</w:t>
      </w:r>
    </w:p>
    <w:p w14:paraId="1687D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default" w:ascii="仿宋" w:hAnsi="仿宋" w:eastAsia="仿宋" w:cs="仿宋"/>
          <w:kern w:val="0"/>
          <w:sz w:val="28"/>
          <w:szCs w:val="28"/>
          <w:u w:val="none"/>
          <w:lang w:val="en-US" w:eastAsia="zh-CN" w:bidi="ar-SA"/>
        </w:rPr>
      </w:pPr>
      <w:r>
        <w:rPr>
          <w:rFonts w:hint="default" w:ascii="仿宋" w:hAnsi="仿宋" w:eastAsia="仿宋" w:cs="仿宋"/>
          <w:kern w:val="0"/>
          <w:sz w:val="28"/>
          <w:szCs w:val="28"/>
          <w:u w:val="none"/>
          <w:lang w:val="en-US" w:eastAsia="zh-CN" w:bidi="ar-SA"/>
        </w:rPr>
        <w:t>征集文件其他内容不作调整，此公告视同</w:t>
      </w:r>
      <w:r>
        <w:rPr>
          <w:rFonts w:hint="eastAsia" w:ascii="仿宋" w:hAnsi="仿宋" w:eastAsia="仿宋" w:cs="仿宋"/>
          <w:kern w:val="0"/>
          <w:sz w:val="28"/>
          <w:szCs w:val="28"/>
          <w:u w:val="none"/>
          <w:lang w:val="en-US" w:eastAsia="zh-CN" w:bidi="ar-SA"/>
        </w:rPr>
        <w:t>征集文件</w:t>
      </w:r>
      <w:r>
        <w:rPr>
          <w:rFonts w:hint="default" w:ascii="仿宋" w:hAnsi="仿宋" w:eastAsia="仿宋" w:cs="仿宋"/>
          <w:kern w:val="0"/>
          <w:sz w:val="28"/>
          <w:szCs w:val="28"/>
          <w:u w:val="none"/>
          <w:lang w:val="en-US" w:eastAsia="zh-CN" w:bidi="ar-SA"/>
        </w:rPr>
        <w:t>的组成部分，与</w:t>
      </w:r>
      <w:r>
        <w:rPr>
          <w:rFonts w:hint="eastAsia" w:ascii="仿宋" w:hAnsi="仿宋" w:eastAsia="仿宋" w:cs="仿宋"/>
          <w:kern w:val="0"/>
          <w:sz w:val="28"/>
          <w:szCs w:val="28"/>
          <w:u w:val="none"/>
          <w:lang w:val="en-US" w:eastAsia="zh-CN" w:bidi="ar-SA"/>
        </w:rPr>
        <w:t>征集文件</w:t>
      </w:r>
      <w:r>
        <w:rPr>
          <w:rFonts w:hint="default" w:ascii="仿宋" w:hAnsi="仿宋" w:eastAsia="仿宋" w:cs="仿宋"/>
          <w:kern w:val="0"/>
          <w:sz w:val="28"/>
          <w:szCs w:val="28"/>
          <w:u w:val="none"/>
          <w:lang w:val="en-US" w:eastAsia="zh-CN" w:bidi="ar-SA"/>
        </w:rPr>
        <w:t>具有同等法律效力。请供应商及时下载。</w:t>
      </w:r>
    </w:p>
    <w:p w14:paraId="3563F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Calibri" w:hAnsi="Calibri" w:eastAsia="宋体" w:cs="Calibri"/>
          <w:color w:val="auto"/>
          <w:kern w:val="0"/>
          <w:sz w:val="21"/>
          <w:szCs w:val="21"/>
          <w:lang w:val="en-US" w:eastAsia="zh-CN" w:bidi="ar-SA"/>
        </w:rPr>
      </w:pPr>
      <w:r>
        <w:rPr>
          <w:rFonts w:hint="eastAsia" w:ascii="黑体" w:hAnsi="宋体" w:eastAsia="黑体" w:cs="黑体"/>
          <w:color w:val="auto"/>
          <w:kern w:val="0"/>
          <w:sz w:val="28"/>
          <w:szCs w:val="28"/>
          <w:lang w:val="en-US" w:eastAsia="zh-CN" w:bidi="ar-SA"/>
        </w:rPr>
        <w:t>四、凡对本次公告内容提出询问，请按以下方式联系</w:t>
      </w:r>
    </w:p>
    <w:p w14:paraId="48862A7F">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jc w:val="left"/>
        <w:textAlignment w:val="auto"/>
        <w:rPr>
          <w:rFonts w:ascii="仿宋" w:hAnsi="仿宋" w:eastAsia="仿宋" w:cs="Times New Roman"/>
          <w:bCs/>
          <w:sz w:val="28"/>
          <w:szCs w:val="28"/>
          <w:highlight w:val="none"/>
        </w:rPr>
      </w:pPr>
      <w:r>
        <w:rPr>
          <w:rFonts w:hint="eastAsia" w:ascii="仿宋" w:hAnsi="仿宋" w:eastAsia="仿宋" w:cs="宋体"/>
          <w:bCs/>
          <w:sz w:val="28"/>
          <w:szCs w:val="28"/>
          <w:highlight w:val="none"/>
        </w:rPr>
        <w:t>1.</w:t>
      </w:r>
      <w:r>
        <w:rPr>
          <w:rFonts w:hint="eastAsia" w:ascii="仿宋" w:hAnsi="仿宋" w:eastAsia="仿宋" w:cs="Times New Roman"/>
          <w:bCs/>
          <w:sz w:val="28"/>
          <w:szCs w:val="28"/>
          <w:highlight w:val="none"/>
        </w:rPr>
        <w:t>征集人信息</w:t>
      </w:r>
    </w:p>
    <w:p w14:paraId="06E2C121">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Times New Roman"/>
          <w:sz w:val="28"/>
          <w:szCs w:val="28"/>
          <w:highlight w:val="none"/>
          <w:lang w:eastAsia="zh-CN"/>
        </w:rPr>
      </w:pPr>
      <w:r>
        <w:rPr>
          <w:rFonts w:hint="eastAsia" w:ascii="仿宋" w:hAnsi="仿宋" w:eastAsia="仿宋" w:cs="Times New Roman"/>
          <w:sz w:val="28"/>
          <w:szCs w:val="28"/>
          <w:highlight w:val="none"/>
        </w:rPr>
        <w:t>征集人名称：</w:t>
      </w:r>
      <w:r>
        <w:rPr>
          <w:rFonts w:hint="eastAsia" w:ascii="仿宋" w:hAnsi="仿宋" w:eastAsia="仿宋" w:cs="Times New Roman"/>
          <w:sz w:val="28"/>
          <w:szCs w:val="28"/>
          <w:highlight w:val="none"/>
          <w:lang w:eastAsia="zh-CN"/>
        </w:rPr>
        <w:t>怀远县公安局</w:t>
      </w:r>
    </w:p>
    <w:p w14:paraId="0BC0BB6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ascii="仿宋" w:hAnsi="仿宋" w:eastAsia="仿宋" w:cs="Times New Roman"/>
          <w:sz w:val="28"/>
          <w:szCs w:val="28"/>
          <w:highlight w:val="none"/>
        </w:rPr>
      </w:pPr>
      <w:r>
        <w:rPr>
          <w:rFonts w:hint="eastAsia" w:ascii="仿宋" w:hAnsi="仿宋" w:eastAsia="仿宋" w:cs="Times New Roman"/>
          <w:sz w:val="28"/>
          <w:szCs w:val="28"/>
          <w:highlight w:val="none"/>
        </w:rPr>
        <w:t>征集人地址：怀远县榴城镇新河路226号</w:t>
      </w:r>
    </w:p>
    <w:p w14:paraId="2CA3F14E">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Times New Roman"/>
          <w:sz w:val="28"/>
          <w:szCs w:val="28"/>
          <w:highlight w:val="none"/>
          <w:lang w:eastAsia="zh-CN"/>
        </w:rPr>
      </w:pPr>
      <w:r>
        <w:rPr>
          <w:rFonts w:hint="eastAsia" w:ascii="仿宋" w:hAnsi="仿宋" w:eastAsia="仿宋" w:cs="Times New Roman"/>
          <w:sz w:val="28"/>
          <w:szCs w:val="28"/>
          <w:highlight w:val="none"/>
        </w:rPr>
        <w:t>联 系 人：孙玲玲</w:t>
      </w:r>
      <w:r>
        <w:rPr>
          <w:rFonts w:hint="eastAsia" w:ascii="仿宋" w:hAnsi="仿宋" w:eastAsia="仿宋" w:cs="Times New Roman"/>
          <w:sz w:val="28"/>
          <w:szCs w:val="28"/>
          <w:highlight w:val="none"/>
          <w:lang w:val="en-US" w:eastAsia="zh-CN"/>
        </w:rPr>
        <w:t xml:space="preserve"> </w:t>
      </w:r>
      <w:bookmarkStart w:id="0" w:name="_GoBack"/>
      <w:bookmarkEnd w:id="0"/>
    </w:p>
    <w:p w14:paraId="337B22E8">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ascii="仿宋" w:hAnsi="仿宋" w:eastAsia="仿宋" w:cs="Times New Roman"/>
          <w:sz w:val="28"/>
          <w:szCs w:val="28"/>
          <w:highlight w:val="none"/>
        </w:rPr>
      </w:pPr>
      <w:r>
        <w:rPr>
          <w:rFonts w:hint="eastAsia" w:ascii="仿宋" w:hAnsi="仿宋" w:eastAsia="仿宋" w:cs="Times New Roman"/>
          <w:sz w:val="28"/>
          <w:szCs w:val="28"/>
          <w:highlight w:val="none"/>
        </w:rPr>
        <w:t>联系方式：</w:t>
      </w:r>
      <w:r>
        <w:rPr>
          <w:rFonts w:hint="eastAsia" w:ascii="仿宋" w:hAnsi="仿宋" w:eastAsia="仿宋" w:cs="Times New Roman"/>
          <w:sz w:val="28"/>
          <w:szCs w:val="28"/>
          <w:highlight w:val="none"/>
          <w:lang w:eastAsia="zh-CN"/>
        </w:rPr>
        <w:t>0552-2212608</w:t>
      </w:r>
      <w:r>
        <w:rPr>
          <w:rFonts w:hint="eastAsia" w:ascii="仿宋" w:hAnsi="仿宋" w:eastAsia="仿宋" w:cs="Times New Roman"/>
          <w:sz w:val="28"/>
          <w:szCs w:val="28"/>
          <w:highlight w:val="none"/>
          <w:lang w:val="en-US" w:eastAsia="zh-CN"/>
        </w:rPr>
        <w:t xml:space="preserve"> </w:t>
      </w:r>
      <w:r>
        <w:rPr>
          <w:rFonts w:hint="eastAsia" w:ascii="仿宋" w:hAnsi="仿宋" w:eastAsia="仿宋" w:cs="Times New Roman"/>
          <w:sz w:val="28"/>
          <w:szCs w:val="28"/>
          <w:highlight w:val="none"/>
        </w:rPr>
        <w:t xml:space="preserve">    </w:t>
      </w:r>
    </w:p>
    <w:p w14:paraId="01F1CC70">
      <w:pPr>
        <w:keepNext w:val="0"/>
        <w:keepLines w:val="0"/>
        <w:pageBreakBefore w:val="0"/>
        <w:widowControl w:val="0"/>
        <w:kinsoku/>
        <w:wordWrap/>
        <w:overflowPunct/>
        <w:topLinePunct w:val="0"/>
        <w:autoSpaceDE/>
        <w:autoSpaceDN/>
        <w:bidi w:val="0"/>
        <w:spacing w:line="560" w:lineRule="exact"/>
        <w:ind w:firstLine="560" w:firstLineChars="200"/>
        <w:jc w:val="left"/>
        <w:textAlignment w:val="auto"/>
        <w:rPr>
          <w:rFonts w:ascii="仿宋" w:hAnsi="仿宋" w:eastAsia="仿宋" w:cs="宋体"/>
          <w:bCs/>
          <w:sz w:val="28"/>
          <w:szCs w:val="28"/>
          <w:highlight w:val="none"/>
        </w:rPr>
      </w:pPr>
      <w:r>
        <w:rPr>
          <w:rFonts w:hint="eastAsia" w:ascii="仿宋" w:hAnsi="仿宋" w:eastAsia="仿宋" w:cs="宋体"/>
          <w:bCs/>
          <w:sz w:val="28"/>
          <w:szCs w:val="28"/>
          <w:highlight w:val="none"/>
        </w:rPr>
        <w:t>2.采购代理机构信息</w:t>
      </w:r>
    </w:p>
    <w:p w14:paraId="32EF33B6">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default"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rPr>
        <w:t>名    称：</w:t>
      </w:r>
      <w:r>
        <w:rPr>
          <w:rFonts w:hint="eastAsia" w:ascii="仿宋" w:hAnsi="仿宋" w:eastAsia="仿宋" w:cs="Times New Roman"/>
          <w:sz w:val="28"/>
          <w:szCs w:val="28"/>
          <w:highlight w:val="none"/>
          <w:lang w:eastAsia="zh-CN"/>
        </w:rPr>
        <w:t>中环建（北京）工程管理有限责任公司</w:t>
      </w:r>
      <w:r>
        <w:rPr>
          <w:rFonts w:hint="eastAsia" w:ascii="仿宋" w:hAnsi="仿宋" w:eastAsia="仿宋" w:cs="Times New Roman"/>
          <w:sz w:val="28"/>
          <w:szCs w:val="28"/>
          <w:highlight w:val="none"/>
          <w:lang w:val="en-US" w:eastAsia="zh-CN"/>
        </w:rPr>
        <w:tab/>
      </w:r>
    </w:p>
    <w:p w14:paraId="258BEDFB">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Times New Roman"/>
          <w:sz w:val="28"/>
          <w:szCs w:val="28"/>
          <w:highlight w:val="none"/>
          <w:lang w:eastAsia="zh-CN"/>
        </w:rPr>
      </w:pPr>
      <w:r>
        <w:rPr>
          <w:rFonts w:hint="eastAsia" w:ascii="仿宋" w:hAnsi="仿宋" w:eastAsia="仿宋" w:cs="Times New Roman"/>
          <w:sz w:val="28"/>
          <w:szCs w:val="28"/>
          <w:highlight w:val="none"/>
        </w:rPr>
        <w:t>地    址：北京市丰台区汽车博物馆西路10号院9号楼1至13层10</w:t>
      </w:r>
      <w:r>
        <w:rPr>
          <w:rFonts w:hint="eastAsia" w:ascii="仿宋" w:hAnsi="仿宋" w:eastAsia="仿宋" w:cs="Times New Roman"/>
          <w:sz w:val="28"/>
          <w:szCs w:val="28"/>
          <w:highlight w:val="none"/>
          <w:lang w:val="en-US" w:eastAsia="zh-CN"/>
        </w:rPr>
        <w:t>1</w:t>
      </w:r>
      <w:r>
        <w:rPr>
          <w:rFonts w:hint="eastAsia" w:ascii="仿宋" w:hAnsi="仿宋" w:eastAsia="仿宋" w:cs="Times New Roman"/>
          <w:sz w:val="28"/>
          <w:szCs w:val="28"/>
          <w:highlight w:val="none"/>
        </w:rPr>
        <w:t>内东塔4层406-2083</w:t>
      </w:r>
      <w:r>
        <w:rPr>
          <w:rFonts w:hint="eastAsia" w:ascii="仿宋" w:hAnsi="仿宋" w:eastAsia="仿宋" w:cs="Times New Roman"/>
          <w:sz w:val="28"/>
          <w:szCs w:val="28"/>
          <w:highlight w:val="none"/>
          <w:lang w:val="en-US" w:eastAsia="zh-CN"/>
        </w:rPr>
        <w:t xml:space="preserve"> </w:t>
      </w:r>
    </w:p>
    <w:p w14:paraId="58004C12">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ascii="仿宋" w:hAnsi="仿宋" w:eastAsia="仿宋" w:cs="Times New Roman"/>
          <w:sz w:val="28"/>
          <w:szCs w:val="28"/>
          <w:highlight w:val="none"/>
        </w:rPr>
      </w:pPr>
      <w:r>
        <w:rPr>
          <w:rFonts w:hint="eastAsia" w:ascii="仿宋" w:hAnsi="仿宋" w:eastAsia="仿宋" w:cs="Times New Roman"/>
          <w:sz w:val="28"/>
          <w:szCs w:val="28"/>
          <w:highlight w:val="none"/>
        </w:rPr>
        <w:t>联 系 人：</w:t>
      </w:r>
      <w:r>
        <w:rPr>
          <w:rFonts w:hint="eastAsia" w:ascii="仿宋" w:hAnsi="仿宋" w:eastAsia="仿宋" w:cs="Times New Roman"/>
          <w:sz w:val="28"/>
          <w:szCs w:val="28"/>
          <w:highlight w:val="none"/>
          <w:lang w:val="en-US" w:eastAsia="zh-CN"/>
        </w:rPr>
        <w:t>张雨晴、陈安琪</w:t>
      </w:r>
      <w:r>
        <w:rPr>
          <w:rFonts w:hint="eastAsia" w:ascii="仿宋" w:hAnsi="仿宋" w:eastAsia="仿宋" w:cs="Times New Roman"/>
          <w:sz w:val="28"/>
          <w:szCs w:val="28"/>
          <w:highlight w:val="none"/>
        </w:rPr>
        <w:t xml:space="preserve"> </w:t>
      </w:r>
    </w:p>
    <w:p w14:paraId="26C161CC">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pPr>
      <w:r>
        <w:rPr>
          <w:rFonts w:hint="eastAsia" w:ascii="仿宋" w:hAnsi="仿宋" w:eastAsia="仿宋" w:cs="Times New Roman"/>
          <w:sz w:val="28"/>
          <w:szCs w:val="28"/>
          <w:highlight w:val="none"/>
        </w:rPr>
        <w:t>联系方式：</w:t>
      </w:r>
      <w:r>
        <w:rPr>
          <w:rFonts w:hint="eastAsia" w:ascii="仿宋" w:hAnsi="仿宋" w:eastAsia="仿宋" w:cs="Times New Roman"/>
          <w:sz w:val="28"/>
          <w:szCs w:val="28"/>
          <w:highlight w:val="none"/>
          <w:lang w:val="en-US" w:eastAsia="zh-CN"/>
        </w:rPr>
        <w:t>15212102772、19855342172</w:t>
      </w:r>
    </w:p>
    <w:p w14:paraId="7A99E688"/>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A5229"/>
    <w:rsid w:val="00E068A8"/>
    <w:rsid w:val="053C512E"/>
    <w:rsid w:val="0BE93BEF"/>
    <w:rsid w:val="1FDB5818"/>
    <w:rsid w:val="23E45DF0"/>
    <w:rsid w:val="279A5229"/>
    <w:rsid w:val="2B2748A1"/>
    <w:rsid w:val="6B6F4633"/>
    <w:rsid w:val="790A3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TML Sample"/>
    <w:basedOn w:val="5"/>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1183</Words>
  <Characters>1332</Characters>
  <Lines>0</Lines>
  <Paragraphs>0</Paragraphs>
  <TotalTime>7</TotalTime>
  <ScaleCrop>false</ScaleCrop>
  <LinksUpToDate>false</LinksUpToDate>
  <CharactersWithSpaces>1366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2026-08-24T01:48:00Z</dcterms:created>
  <dc:creator>admin</dc:creator>
  <cp:lastModifiedBy>admin</cp:lastModifiedBy>
  <dcterms:modified xsi:type="dcterms:W3CDTF">2026-08-24T08:31:19Z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6036355916F9442EB173405EB5630615_11</vt:lpwstr>
  </property>
  <property fmtid="{D5CDD505-2E9C-101B-9397-08002B2CF9AE}" pid="4" name="KSOTemplateDocerSaveRecord">
    <vt:lpwstr>eyJoZGlkIjoiNmIwYmJiZjU2NTE2NGIwZWJjMDhlNzU5YzMxNjFiMTAiLCJ1c2VySWQiOiIxNTY5ODE0NzkyIn0=</vt:lpwstr>
  </property>
</Properties>
</file>