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21EE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sz w:val="32"/>
          <w:szCs w:val="32"/>
        </w:rPr>
      </w:pPr>
      <w:r>
        <w:rPr>
          <w:rFonts w:hint="eastAsia" w:cs="宋体"/>
          <w:b/>
          <w:bCs/>
          <w:sz w:val="32"/>
          <w:szCs w:val="32"/>
          <w:lang w:eastAsia="zh-CN"/>
        </w:rPr>
        <w:t>微格教室采购项目</w:t>
      </w:r>
      <w:r>
        <w:rPr>
          <w:rFonts w:hint="eastAsia" w:ascii="宋体" w:hAnsi="宋体" w:eastAsia="宋体" w:cs="宋体"/>
          <w:b/>
          <w:bCs/>
          <w:sz w:val="32"/>
          <w:szCs w:val="32"/>
        </w:rPr>
        <w:t>更正公告</w:t>
      </w:r>
    </w:p>
    <w:p w14:paraId="25B260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420" w:lineRule="atLeast"/>
        <w:ind w:left="0" w:right="0"/>
        <w:jc w:val="both"/>
        <w:rPr>
          <w:rFonts w:hint="eastAsia" w:ascii="宋体" w:hAnsi="宋体" w:eastAsia="宋体" w:cs="宋体"/>
          <w:sz w:val="24"/>
          <w:szCs w:val="24"/>
        </w:rPr>
      </w:pPr>
      <w:r>
        <w:rPr>
          <w:rStyle w:val="7"/>
          <w:rFonts w:hint="eastAsia" w:ascii="宋体" w:hAnsi="宋体" w:eastAsia="宋体" w:cs="宋体"/>
          <w:b/>
          <w:bCs/>
          <w:sz w:val="24"/>
          <w:szCs w:val="24"/>
        </w:rPr>
        <w:t>一、项目基本情况</w:t>
      </w:r>
    </w:p>
    <w:p w14:paraId="4134C0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Fonts w:hint="eastAsia" w:ascii="宋体" w:hAnsi="宋体" w:eastAsia="宋体" w:cs="宋体"/>
          <w:sz w:val="24"/>
          <w:szCs w:val="24"/>
        </w:rPr>
      </w:pPr>
      <w:r>
        <w:rPr>
          <w:rFonts w:hint="eastAsia" w:ascii="宋体" w:hAnsi="宋体" w:eastAsia="宋体" w:cs="宋体"/>
          <w:sz w:val="24"/>
          <w:szCs w:val="24"/>
        </w:rPr>
        <w:t>原公告的采购项目编号：</w:t>
      </w:r>
      <w:r>
        <w:rPr>
          <w:rStyle w:val="8"/>
          <w:rFonts w:hint="eastAsia" w:ascii="宋体" w:hAnsi="宋体" w:eastAsia="宋体" w:cs="宋体"/>
          <w:sz w:val="24"/>
          <w:szCs w:val="24"/>
        </w:rPr>
        <w:t>FSSD34000120265902号001</w:t>
      </w:r>
    </w:p>
    <w:p w14:paraId="0336A0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Fonts w:hint="eastAsia" w:ascii="宋体" w:hAnsi="宋体" w:eastAsia="宋体" w:cs="宋体"/>
          <w:sz w:val="24"/>
          <w:szCs w:val="24"/>
          <w:lang w:eastAsia="zh-CN"/>
        </w:rPr>
      </w:pPr>
      <w:r>
        <w:rPr>
          <w:rFonts w:hint="eastAsia" w:ascii="宋体" w:hAnsi="宋体" w:eastAsia="宋体" w:cs="宋体"/>
          <w:sz w:val="24"/>
          <w:szCs w:val="24"/>
        </w:rPr>
        <w:t>原公告的采购项目名称：</w:t>
      </w:r>
      <w:r>
        <w:rPr>
          <w:rStyle w:val="8"/>
          <w:rFonts w:hint="eastAsia" w:ascii="宋体" w:hAnsi="宋体" w:eastAsia="宋体" w:cs="宋体"/>
          <w:sz w:val="24"/>
          <w:szCs w:val="24"/>
          <w:lang w:eastAsia="zh-CN"/>
        </w:rPr>
        <w:t>微格教室采购项目</w:t>
      </w:r>
    </w:p>
    <w:p w14:paraId="5E8B54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Fonts w:hint="eastAsia" w:ascii="宋体" w:hAnsi="宋体" w:eastAsia="宋体" w:cs="宋体"/>
          <w:sz w:val="24"/>
          <w:szCs w:val="24"/>
        </w:rPr>
      </w:pPr>
      <w:r>
        <w:rPr>
          <w:rFonts w:hint="eastAsia" w:ascii="宋体" w:hAnsi="宋体" w:eastAsia="宋体" w:cs="宋体"/>
          <w:sz w:val="24"/>
          <w:szCs w:val="24"/>
        </w:rPr>
        <w:t>首次公告日期：</w:t>
      </w:r>
      <w:r>
        <w:rPr>
          <w:rStyle w:val="8"/>
          <w:rFonts w:hint="eastAsia" w:ascii="宋体" w:hAnsi="宋体" w:eastAsia="宋体" w:cs="宋体"/>
          <w:sz w:val="24"/>
          <w:szCs w:val="24"/>
        </w:rPr>
        <w:t>202</w:t>
      </w:r>
      <w:r>
        <w:rPr>
          <w:rStyle w:val="8"/>
          <w:rFonts w:hint="eastAsia" w:ascii="宋体" w:hAnsi="宋体" w:eastAsia="宋体" w:cs="宋体"/>
          <w:sz w:val="24"/>
          <w:szCs w:val="24"/>
          <w:lang w:val="en-US" w:eastAsia="zh-CN"/>
        </w:rPr>
        <w:t>6</w:t>
      </w:r>
      <w:r>
        <w:rPr>
          <w:rStyle w:val="8"/>
          <w:rFonts w:hint="eastAsia" w:ascii="宋体" w:hAnsi="宋体" w:eastAsia="宋体" w:cs="宋体"/>
          <w:sz w:val="24"/>
          <w:szCs w:val="24"/>
        </w:rPr>
        <w:t>年</w:t>
      </w:r>
      <w:r>
        <w:rPr>
          <w:rStyle w:val="8"/>
          <w:rFonts w:hint="eastAsia" w:ascii="宋体" w:hAnsi="宋体" w:eastAsia="宋体" w:cs="宋体"/>
          <w:sz w:val="24"/>
          <w:szCs w:val="24"/>
          <w:lang w:val="en-US" w:eastAsia="zh-CN"/>
        </w:rPr>
        <w:t>07</w:t>
      </w:r>
      <w:r>
        <w:rPr>
          <w:rStyle w:val="8"/>
          <w:rFonts w:hint="eastAsia" w:ascii="宋体" w:hAnsi="宋体" w:eastAsia="宋体" w:cs="宋体"/>
          <w:sz w:val="24"/>
          <w:szCs w:val="24"/>
        </w:rPr>
        <w:t>月</w:t>
      </w:r>
      <w:r>
        <w:rPr>
          <w:rStyle w:val="8"/>
          <w:rFonts w:hint="eastAsia" w:ascii="宋体" w:hAnsi="宋体" w:eastAsia="宋体" w:cs="宋体"/>
          <w:sz w:val="24"/>
          <w:szCs w:val="24"/>
          <w:lang w:val="en-US" w:eastAsia="zh-CN"/>
        </w:rPr>
        <w:t>07</w:t>
      </w:r>
      <w:r>
        <w:rPr>
          <w:rStyle w:val="8"/>
          <w:rFonts w:hint="eastAsia" w:ascii="宋体" w:hAnsi="宋体" w:eastAsia="宋体" w:cs="宋体"/>
          <w:sz w:val="24"/>
          <w:szCs w:val="24"/>
        </w:rPr>
        <w:t>日</w:t>
      </w:r>
    </w:p>
    <w:p w14:paraId="4D728E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420" w:lineRule="atLeast"/>
        <w:ind w:left="0" w:right="0"/>
        <w:jc w:val="both"/>
        <w:rPr>
          <w:rFonts w:hint="eastAsia" w:ascii="宋体" w:hAnsi="宋体" w:eastAsia="宋体" w:cs="宋体"/>
          <w:sz w:val="24"/>
          <w:szCs w:val="24"/>
        </w:rPr>
      </w:pPr>
      <w:r>
        <w:rPr>
          <w:rStyle w:val="7"/>
          <w:rFonts w:hint="eastAsia" w:ascii="宋体" w:hAnsi="宋体" w:eastAsia="宋体" w:cs="宋体"/>
          <w:b/>
          <w:bCs/>
          <w:sz w:val="24"/>
          <w:szCs w:val="24"/>
        </w:rPr>
        <w:t>二、更正信息</w:t>
      </w:r>
    </w:p>
    <w:p w14:paraId="00B71A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Fonts w:hint="eastAsia" w:ascii="宋体" w:hAnsi="宋体" w:eastAsia="宋体" w:cs="宋体"/>
          <w:sz w:val="24"/>
          <w:szCs w:val="24"/>
        </w:rPr>
      </w:pPr>
      <w:r>
        <w:rPr>
          <w:rFonts w:hint="eastAsia" w:ascii="宋体" w:hAnsi="宋体" w:eastAsia="宋体" w:cs="宋体"/>
          <w:sz w:val="24"/>
          <w:szCs w:val="24"/>
        </w:rPr>
        <w:t>更正事项：</w:t>
      </w:r>
      <w:r>
        <w:rPr>
          <w:rStyle w:val="8"/>
          <w:rFonts w:hint="eastAsia" w:ascii="宋体" w:hAnsi="宋体" w:eastAsia="宋体" w:cs="宋体"/>
          <w:sz w:val="24"/>
          <w:szCs w:val="24"/>
          <w:lang w:eastAsia="zh-CN"/>
        </w:rPr>
        <w:t>☑</w:t>
      </w:r>
      <w:r>
        <w:rPr>
          <w:rStyle w:val="8"/>
          <w:rFonts w:hint="eastAsia" w:ascii="宋体" w:hAnsi="宋体" w:eastAsia="宋体" w:cs="宋体"/>
          <w:sz w:val="24"/>
          <w:szCs w:val="24"/>
        </w:rPr>
        <w:t>采购公告 ☑采购文件</w:t>
      </w:r>
    </w:p>
    <w:p w14:paraId="530D1B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Fonts w:hint="eastAsia" w:ascii="宋体" w:hAnsi="宋体" w:eastAsia="宋体" w:cs="宋体"/>
          <w:sz w:val="24"/>
          <w:szCs w:val="24"/>
        </w:rPr>
      </w:pPr>
      <w:r>
        <w:rPr>
          <w:rFonts w:hint="eastAsia" w:ascii="宋体" w:hAnsi="宋体" w:eastAsia="宋体" w:cs="宋体"/>
          <w:sz w:val="24"/>
          <w:szCs w:val="24"/>
        </w:rPr>
        <w:t>更正内容：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919"/>
        <w:gridCol w:w="2381"/>
        <w:gridCol w:w="2681"/>
        <w:gridCol w:w="2625"/>
      </w:tblGrid>
      <w:tr w14:paraId="58CD86DC">
        <w:trPr>
          <w:tblHeader/>
        </w:trPr>
        <w:tc>
          <w:tcPr>
            <w:tcW w:w="919" w:type="dxa"/>
            <w:shd w:val="clear" w:color="auto" w:fill="FFFFFF"/>
            <w:tcMar>
              <w:top w:w="75" w:type="dxa"/>
              <w:left w:w="150" w:type="dxa"/>
              <w:bottom w:w="75" w:type="dxa"/>
              <w:right w:w="150" w:type="dxa"/>
            </w:tcMar>
            <w:vAlign w:val="center"/>
          </w:tcPr>
          <w:p w14:paraId="11B34C0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序号</w:t>
            </w:r>
          </w:p>
        </w:tc>
        <w:tc>
          <w:tcPr>
            <w:tcW w:w="2381" w:type="dxa"/>
            <w:shd w:val="clear" w:color="auto" w:fill="FFFFFF"/>
            <w:tcMar>
              <w:top w:w="75" w:type="dxa"/>
              <w:left w:w="150" w:type="dxa"/>
              <w:bottom w:w="75" w:type="dxa"/>
              <w:right w:w="150" w:type="dxa"/>
            </w:tcMar>
            <w:vAlign w:val="center"/>
          </w:tcPr>
          <w:p w14:paraId="1C222CB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更正项</w:t>
            </w:r>
          </w:p>
        </w:tc>
        <w:tc>
          <w:tcPr>
            <w:tcW w:w="2681" w:type="dxa"/>
            <w:shd w:val="clear" w:color="auto" w:fill="FFFFFF"/>
            <w:tcMar>
              <w:top w:w="75" w:type="dxa"/>
              <w:left w:w="150" w:type="dxa"/>
              <w:bottom w:w="75" w:type="dxa"/>
              <w:right w:w="150" w:type="dxa"/>
            </w:tcMar>
            <w:vAlign w:val="center"/>
          </w:tcPr>
          <w:p w14:paraId="4F03A6E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更正前内容</w:t>
            </w:r>
          </w:p>
        </w:tc>
        <w:tc>
          <w:tcPr>
            <w:tcW w:w="2625" w:type="dxa"/>
            <w:shd w:val="clear" w:color="auto" w:fill="FFFFFF"/>
            <w:tcMar>
              <w:top w:w="75" w:type="dxa"/>
              <w:left w:w="150" w:type="dxa"/>
              <w:bottom w:w="75" w:type="dxa"/>
              <w:right w:w="150" w:type="dxa"/>
            </w:tcMar>
            <w:vAlign w:val="center"/>
          </w:tcPr>
          <w:p w14:paraId="67BAF750">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更正后内容</w:t>
            </w:r>
          </w:p>
        </w:tc>
      </w:tr>
      <w:tr w14:paraId="78AB020C">
        <w:tc>
          <w:tcPr>
            <w:tcW w:w="919" w:type="dxa"/>
            <w:shd w:val="clear" w:color="auto" w:fill="auto"/>
            <w:tcMar>
              <w:top w:w="75" w:type="dxa"/>
              <w:left w:w="150" w:type="dxa"/>
              <w:bottom w:w="75" w:type="dxa"/>
              <w:right w:w="150" w:type="dxa"/>
            </w:tcMar>
            <w:vAlign w:val="center"/>
          </w:tcPr>
          <w:p w14:paraId="58F6A39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1</w:t>
            </w:r>
          </w:p>
        </w:tc>
        <w:tc>
          <w:tcPr>
            <w:tcW w:w="2381" w:type="dxa"/>
            <w:shd w:val="clear" w:color="auto" w:fill="auto"/>
            <w:tcMar>
              <w:top w:w="75" w:type="dxa"/>
              <w:left w:w="150" w:type="dxa"/>
              <w:bottom w:w="75" w:type="dxa"/>
              <w:right w:w="150" w:type="dxa"/>
            </w:tcMar>
            <w:vAlign w:val="center"/>
          </w:tcPr>
          <w:p w14:paraId="0C71685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sz w:val="24"/>
                <w:szCs w:val="24"/>
                <w:lang w:val="en-US"/>
              </w:rPr>
            </w:pPr>
            <w:r>
              <w:rPr>
                <w:rFonts w:hint="eastAsia" w:ascii="宋体" w:hAnsi="宋体" w:eastAsia="宋体" w:cs="宋体"/>
                <w:kern w:val="0"/>
                <w:sz w:val="24"/>
                <w:szCs w:val="24"/>
                <w:lang w:val="en-US" w:eastAsia="zh-CN" w:bidi="ar"/>
              </w:rPr>
              <w:t>招标文件“第三章 采购需求 二、货物需求 1.交互式一体机</w:t>
            </w:r>
            <w:r>
              <w:rPr>
                <w:rFonts w:hint="eastAsia" w:ascii="宋体" w:hAnsi="宋体" w:eastAsia="宋体" w:cs="宋体"/>
                <w:kern w:val="0"/>
                <w:sz w:val="24"/>
                <w:szCs w:val="24"/>
                <w:lang w:val="en-US" w:eastAsia="zh-CN" w:bidi="ar"/>
              </w:rPr>
              <w:t>”</w:t>
            </w:r>
          </w:p>
        </w:tc>
        <w:tc>
          <w:tcPr>
            <w:tcW w:w="2681" w:type="dxa"/>
            <w:shd w:val="clear" w:color="auto" w:fill="auto"/>
            <w:tcMar>
              <w:top w:w="75" w:type="dxa"/>
              <w:left w:w="150" w:type="dxa"/>
              <w:bottom w:w="75" w:type="dxa"/>
              <w:right w:w="150" w:type="dxa"/>
            </w:tcMar>
            <w:vAlign w:val="center"/>
          </w:tcPr>
          <w:p w14:paraId="5F6380F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★7.整机内置非独立式摄像头，支持输出4:3、16:9比例的图片和视频；在清晰度为3840*2160分辨率下，支持30帧的视频输出；（投标文件中提供产品说明书或铭牌）；</w:t>
            </w:r>
          </w:p>
        </w:tc>
        <w:tc>
          <w:tcPr>
            <w:tcW w:w="2625" w:type="dxa"/>
            <w:shd w:val="clear" w:color="auto" w:fill="auto"/>
            <w:tcMar>
              <w:top w:w="75" w:type="dxa"/>
              <w:left w:w="150" w:type="dxa"/>
              <w:bottom w:w="75" w:type="dxa"/>
              <w:right w:w="150" w:type="dxa"/>
            </w:tcMar>
            <w:vAlign w:val="center"/>
          </w:tcPr>
          <w:p w14:paraId="200D4518">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7.整机内置非独立式摄像头，支持输出4:3、16:9比例的图片和视频；在清晰度为3840*2160分辨率下，支持30帧的视频输出；</w:t>
            </w:r>
          </w:p>
          <w:p w14:paraId="489FA5A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leftChars="0" w:right="0" w:rightChars="0"/>
              <w:jc w:val="left"/>
              <w:textAlignment w:val="auto"/>
              <w:rPr>
                <w:rFonts w:hint="eastAsia" w:ascii="宋体" w:hAnsi="宋体" w:eastAsia="宋体" w:cs="宋体"/>
                <w:sz w:val="24"/>
                <w:szCs w:val="24"/>
                <w:lang w:eastAsia="zh-CN"/>
              </w:rPr>
            </w:pPr>
          </w:p>
        </w:tc>
      </w:tr>
      <w:tr w14:paraId="0EC0A9A8">
        <w:tc>
          <w:tcPr>
            <w:tcW w:w="919" w:type="dxa"/>
            <w:shd w:val="clear" w:color="auto" w:fill="auto"/>
            <w:tcMar>
              <w:top w:w="75" w:type="dxa"/>
              <w:left w:w="150" w:type="dxa"/>
              <w:bottom w:w="75" w:type="dxa"/>
              <w:right w:w="150" w:type="dxa"/>
            </w:tcMar>
            <w:vAlign w:val="center"/>
          </w:tcPr>
          <w:p w14:paraId="6E83BC7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w:t>
            </w:r>
          </w:p>
        </w:tc>
        <w:tc>
          <w:tcPr>
            <w:tcW w:w="2381" w:type="dxa"/>
            <w:shd w:val="clear" w:color="auto" w:fill="auto"/>
            <w:tcMar>
              <w:top w:w="75" w:type="dxa"/>
              <w:left w:w="150" w:type="dxa"/>
              <w:bottom w:w="75" w:type="dxa"/>
              <w:right w:w="150" w:type="dxa"/>
            </w:tcMar>
            <w:vAlign w:val="center"/>
          </w:tcPr>
          <w:p w14:paraId="7ADB647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招标文件“第三章 采购需求 二、货物需求 8.▲高清录播主机”</w:t>
            </w:r>
          </w:p>
        </w:tc>
        <w:tc>
          <w:tcPr>
            <w:tcW w:w="2681" w:type="dxa"/>
            <w:shd w:val="clear" w:color="auto" w:fill="auto"/>
            <w:tcMar>
              <w:top w:w="75" w:type="dxa"/>
              <w:left w:w="150" w:type="dxa"/>
              <w:bottom w:w="75" w:type="dxa"/>
              <w:right w:w="150" w:type="dxa"/>
            </w:tcMar>
            <w:vAlign w:val="center"/>
          </w:tcPr>
          <w:p w14:paraId="3E753E8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★3.支持麦克风与主机之间使用幻象供电；一根线可实现多麦联级；（投标文件中提供产品说明书或铭牌）</w:t>
            </w:r>
          </w:p>
        </w:tc>
        <w:tc>
          <w:tcPr>
            <w:tcW w:w="2625" w:type="dxa"/>
            <w:shd w:val="clear" w:color="auto" w:fill="auto"/>
            <w:tcMar>
              <w:top w:w="75" w:type="dxa"/>
              <w:left w:w="150" w:type="dxa"/>
              <w:bottom w:w="75" w:type="dxa"/>
              <w:right w:w="150" w:type="dxa"/>
            </w:tcMar>
            <w:vAlign w:val="center"/>
          </w:tcPr>
          <w:p w14:paraId="417F19E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leftChars="0" w:right="0" w:rightChars="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3.支持麦克风与主机之间使用幻象供电；一根线可实现多麦联级；</w:t>
            </w:r>
          </w:p>
        </w:tc>
      </w:tr>
      <w:tr w14:paraId="74393522">
        <w:tc>
          <w:tcPr>
            <w:tcW w:w="919" w:type="dxa"/>
            <w:shd w:val="clear" w:color="auto" w:fill="auto"/>
            <w:tcMar>
              <w:top w:w="75" w:type="dxa"/>
              <w:left w:w="150" w:type="dxa"/>
              <w:bottom w:w="75" w:type="dxa"/>
              <w:right w:w="150" w:type="dxa"/>
            </w:tcMar>
            <w:vAlign w:val="center"/>
          </w:tcPr>
          <w:p w14:paraId="34FDFCD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w:t>
            </w:r>
          </w:p>
        </w:tc>
        <w:tc>
          <w:tcPr>
            <w:tcW w:w="2381" w:type="dxa"/>
            <w:shd w:val="clear" w:color="auto" w:fill="auto"/>
            <w:tcMar>
              <w:top w:w="75" w:type="dxa"/>
              <w:left w:w="150" w:type="dxa"/>
              <w:bottom w:w="75" w:type="dxa"/>
              <w:right w:w="150" w:type="dxa"/>
            </w:tcMar>
            <w:vAlign w:val="center"/>
          </w:tcPr>
          <w:p w14:paraId="03F17318">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招标文件“第三章 采购需求 二、货物需求 11.电子班牌及门禁系统”</w:t>
            </w:r>
          </w:p>
        </w:tc>
        <w:tc>
          <w:tcPr>
            <w:tcW w:w="2681" w:type="dxa"/>
            <w:shd w:val="clear" w:color="auto" w:fill="auto"/>
            <w:tcMar>
              <w:top w:w="75" w:type="dxa"/>
              <w:left w:w="150" w:type="dxa"/>
              <w:bottom w:w="75" w:type="dxa"/>
              <w:right w:w="150" w:type="dxa"/>
            </w:tcMar>
            <w:vAlign w:val="center"/>
          </w:tcPr>
          <w:p w14:paraId="65B2B4B8">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★7.门禁：可联动门禁开关，能够直连电锁进行门锁控制，可支持能够直接输出电流控制电锁，电锁无需单独供电，支持短路保护，可支持终端一体化设计；（投标文件中提供产品说明书或铭牌）</w:t>
            </w:r>
          </w:p>
        </w:tc>
        <w:tc>
          <w:tcPr>
            <w:tcW w:w="2625" w:type="dxa"/>
            <w:shd w:val="clear" w:color="auto" w:fill="auto"/>
            <w:tcMar>
              <w:top w:w="75" w:type="dxa"/>
              <w:left w:w="150" w:type="dxa"/>
              <w:bottom w:w="75" w:type="dxa"/>
              <w:right w:w="150" w:type="dxa"/>
            </w:tcMar>
            <w:vAlign w:val="center"/>
          </w:tcPr>
          <w:p w14:paraId="3A7CDB1F">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7.门禁：可联动门禁开关，能够直连电锁进行门锁控制，可支持能够直接输出电流控制电锁，电锁无需单独供电，支持短路保护，可支持终端一体化设计；</w:t>
            </w:r>
          </w:p>
        </w:tc>
      </w:tr>
      <w:tr w14:paraId="0603251D">
        <w:tc>
          <w:tcPr>
            <w:tcW w:w="919" w:type="dxa"/>
            <w:shd w:val="clear" w:color="auto" w:fill="auto"/>
            <w:tcMar>
              <w:top w:w="75" w:type="dxa"/>
              <w:left w:w="150" w:type="dxa"/>
              <w:bottom w:w="75" w:type="dxa"/>
              <w:right w:w="150" w:type="dxa"/>
            </w:tcMar>
            <w:vAlign w:val="center"/>
          </w:tcPr>
          <w:p w14:paraId="251D9A0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w:t>
            </w:r>
          </w:p>
        </w:tc>
        <w:tc>
          <w:tcPr>
            <w:tcW w:w="2381" w:type="dxa"/>
            <w:shd w:val="clear" w:color="auto" w:fill="auto"/>
            <w:tcMar>
              <w:top w:w="75" w:type="dxa"/>
              <w:left w:w="150" w:type="dxa"/>
              <w:bottom w:w="75" w:type="dxa"/>
              <w:right w:w="150" w:type="dxa"/>
            </w:tcMar>
            <w:vAlign w:val="center"/>
          </w:tcPr>
          <w:p w14:paraId="7E84D9D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招标文件“第三章 采购需求 二、货物需求 12.多媒体智能控制系统”</w:t>
            </w:r>
          </w:p>
        </w:tc>
        <w:tc>
          <w:tcPr>
            <w:tcW w:w="2681" w:type="dxa"/>
            <w:shd w:val="clear" w:color="auto" w:fill="auto"/>
            <w:tcMar>
              <w:top w:w="75" w:type="dxa"/>
              <w:left w:w="150" w:type="dxa"/>
              <w:bottom w:w="75" w:type="dxa"/>
              <w:right w:w="150" w:type="dxa"/>
            </w:tcMar>
            <w:vAlign w:val="center"/>
          </w:tcPr>
          <w:p w14:paraId="6D1DB07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一、智能控制终端</w:t>
            </w:r>
          </w:p>
          <w:p w14:paraId="1B199EE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5.控制接口：①配备≥6路自定义RS232控制接口，采用凤凰端子设计，连接稳定，支持串口IC卡读卡器、触控面板等设备的连接与控制；②配备≥2路RS485控制接口，采用凤凰端子设计，兼容Modbus标准，支持数据透传，适配远距离设备通信场景；③配备≥6路IO输入接口，可连接外部设备控制终端，实现多设备联动控制；④配备≥4路IO输出接口，为报警灯等外部设备提供触发信号；⑤配备≥2路DC 12V电源输出接口、≥1路单刀双掷开关控制端口，可实现设备控制；（投标文件中提供产品说明书或铭牌）</w:t>
            </w:r>
          </w:p>
          <w:p w14:paraId="0A6C55C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★6.网络接口：设备采用路由+交换二合一一体化硬件架构，配备≥10个10/100/1000Mbps自适应以太网RJ45接口；（投标文件中提供产品说明书或铭牌）四、多媒体管控平台</w:t>
            </w:r>
          </w:p>
          <w:p w14:paraId="4B97682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★2.可对教室进行批量化控制管理，包括定时上下课、开关门、开关电源等。（投标文件中提供产品说明书或铭牌）</w:t>
            </w:r>
          </w:p>
        </w:tc>
        <w:tc>
          <w:tcPr>
            <w:tcW w:w="2625" w:type="dxa"/>
            <w:shd w:val="clear" w:color="auto" w:fill="auto"/>
            <w:tcMar>
              <w:top w:w="75" w:type="dxa"/>
              <w:left w:w="150" w:type="dxa"/>
              <w:bottom w:w="75" w:type="dxa"/>
              <w:right w:w="150" w:type="dxa"/>
            </w:tcMar>
            <w:vAlign w:val="center"/>
          </w:tcPr>
          <w:p w14:paraId="2F7F448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一、智能控制终端</w:t>
            </w:r>
          </w:p>
          <w:p w14:paraId="0179EF7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5.控制接口：①配备≥6路自定义RS232控制接口，采用凤凰端子设计，连接稳定，支持串口IC卡读卡器、触控面板等设备的连接与控制；②配备≥2路RS485控制接口，采用凤凰端子设计，兼容Modbus标准，支持数据透传，适配远距离设备通信场景；③配备≥6路IO输入接口，可连接外部设备控制终端，实现多设备联动控制；④配备≥4路IO输出接口，为报警灯等外部设备提供触发信号；⑤配备≥2路DC 12V电源输出接口、≥1路单刀双掷开关控制端口，可实现设备控制；</w:t>
            </w:r>
          </w:p>
          <w:p w14:paraId="1DB1B5D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6.网络接口：设备采用路由+交换二合一一体化硬件架构，配备≥10个10/100/1000Mbps自适应以太网RJ45接口；</w:t>
            </w:r>
          </w:p>
          <w:p w14:paraId="661790B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四、多媒体管控平台</w:t>
            </w:r>
          </w:p>
          <w:p w14:paraId="6B28B0B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2.可对教室进行批量化控制管理，包括定时上下课、开关门、开关电源等。</w:t>
            </w:r>
          </w:p>
        </w:tc>
      </w:tr>
      <w:tr w14:paraId="5C5AFD0B">
        <w:tc>
          <w:tcPr>
            <w:tcW w:w="919" w:type="dxa"/>
            <w:shd w:val="clear" w:color="auto" w:fill="auto"/>
            <w:tcMar>
              <w:top w:w="75" w:type="dxa"/>
              <w:left w:w="150" w:type="dxa"/>
              <w:bottom w:w="75" w:type="dxa"/>
              <w:right w:w="150" w:type="dxa"/>
            </w:tcMar>
            <w:vAlign w:val="center"/>
          </w:tcPr>
          <w:p w14:paraId="4953B37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w:t>
            </w:r>
          </w:p>
        </w:tc>
        <w:tc>
          <w:tcPr>
            <w:tcW w:w="2381" w:type="dxa"/>
            <w:shd w:val="clear" w:color="auto" w:fill="auto"/>
            <w:tcMar>
              <w:top w:w="75" w:type="dxa"/>
              <w:left w:w="150" w:type="dxa"/>
              <w:bottom w:w="75" w:type="dxa"/>
              <w:right w:w="150" w:type="dxa"/>
            </w:tcMar>
            <w:vAlign w:val="center"/>
          </w:tcPr>
          <w:p w14:paraId="500E625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招标文件“第四章 评标方法和标准 2.3异常低价投标审查”</w:t>
            </w:r>
          </w:p>
        </w:tc>
        <w:tc>
          <w:tcPr>
            <w:tcW w:w="2681" w:type="dxa"/>
            <w:shd w:val="clear" w:color="auto" w:fill="auto"/>
            <w:tcMar>
              <w:top w:w="75" w:type="dxa"/>
              <w:left w:w="150" w:type="dxa"/>
              <w:bottom w:w="75" w:type="dxa"/>
              <w:right w:w="150" w:type="dxa"/>
            </w:tcMar>
            <w:vAlign w:val="center"/>
          </w:tcPr>
          <w:p w14:paraId="0FC3610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（1）投标报价＜全部通过符合性审查投标人投标报价平均值×50%；</w:t>
            </w:r>
          </w:p>
          <w:p w14:paraId="1C2AE76F">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（2）投标报价＜通过符合性审查的次低报价投标人投标报价×50%；</w:t>
            </w:r>
          </w:p>
          <w:p w14:paraId="12EAAA7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（3）投标报价＜采购项目最高限价（如采购项目未设定最高限价的，以采购项目预算金额作为最高限价）×45%；</w:t>
            </w:r>
          </w:p>
        </w:tc>
        <w:tc>
          <w:tcPr>
            <w:tcW w:w="2625" w:type="dxa"/>
            <w:shd w:val="clear" w:color="auto" w:fill="auto"/>
            <w:tcMar>
              <w:top w:w="75" w:type="dxa"/>
              <w:left w:w="150" w:type="dxa"/>
              <w:bottom w:w="75" w:type="dxa"/>
              <w:right w:w="150" w:type="dxa"/>
            </w:tcMar>
            <w:vAlign w:val="center"/>
          </w:tcPr>
          <w:p w14:paraId="19B696D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（1）投标报价＜全部通过符合性审查投标人投标报价平均值×</w:t>
            </w:r>
            <w:r>
              <w:rPr>
                <w:rFonts w:hint="eastAsia" w:ascii="宋体" w:hAnsi="宋体" w:eastAsia="宋体" w:cs="宋体"/>
                <w:sz w:val="24"/>
                <w:szCs w:val="24"/>
                <w:lang w:val="en-US" w:eastAsia="zh-CN"/>
              </w:rPr>
              <w:t>65</w:t>
            </w:r>
            <w:r>
              <w:rPr>
                <w:rFonts w:hint="eastAsia" w:ascii="宋体" w:hAnsi="宋体" w:eastAsia="宋体" w:cs="宋体"/>
                <w:sz w:val="24"/>
                <w:szCs w:val="24"/>
              </w:rPr>
              <w:t>%；</w:t>
            </w:r>
          </w:p>
          <w:p w14:paraId="582BA7C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（2）投标报价＜通过符合性审查的次低报价投标人投标报价×</w:t>
            </w:r>
            <w:r>
              <w:rPr>
                <w:rFonts w:hint="eastAsia" w:ascii="宋体" w:hAnsi="宋体" w:eastAsia="宋体" w:cs="宋体"/>
                <w:sz w:val="24"/>
                <w:szCs w:val="24"/>
                <w:lang w:val="en-US" w:eastAsia="zh-CN"/>
              </w:rPr>
              <w:t>65</w:t>
            </w:r>
            <w:r>
              <w:rPr>
                <w:rFonts w:hint="eastAsia" w:ascii="宋体" w:hAnsi="宋体" w:eastAsia="宋体" w:cs="宋体"/>
                <w:sz w:val="24"/>
                <w:szCs w:val="24"/>
              </w:rPr>
              <w:t>%；</w:t>
            </w:r>
          </w:p>
          <w:p w14:paraId="7B557BC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（3）投标报价＜采购项目最高限价（如采购项目未设定最高限价的，以采购项目预算金额作为最高限价）×</w:t>
            </w:r>
            <w:r>
              <w:rPr>
                <w:rFonts w:hint="eastAsia" w:ascii="宋体" w:hAnsi="宋体" w:eastAsia="宋体" w:cs="宋体"/>
                <w:sz w:val="24"/>
                <w:szCs w:val="24"/>
                <w:lang w:val="en-US" w:eastAsia="zh-CN"/>
              </w:rPr>
              <w:t>65</w:t>
            </w:r>
            <w:r>
              <w:rPr>
                <w:rFonts w:hint="eastAsia" w:ascii="宋体" w:hAnsi="宋体" w:eastAsia="宋体" w:cs="宋体"/>
                <w:sz w:val="24"/>
                <w:szCs w:val="24"/>
              </w:rPr>
              <w:t>%；</w:t>
            </w:r>
          </w:p>
        </w:tc>
      </w:tr>
      <w:tr w14:paraId="574AEDC8">
        <w:tc>
          <w:tcPr>
            <w:tcW w:w="919" w:type="dxa"/>
            <w:shd w:val="clear" w:color="auto" w:fill="auto"/>
            <w:tcMar>
              <w:top w:w="75" w:type="dxa"/>
              <w:left w:w="150" w:type="dxa"/>
              <w:bottom w:w="75" w:type="dxa"/>
              <w:right w:w="150" w:type="dxa"/>
            </w:tcMar>
            <w:vAlign w:val="center"/>
          </w:tcPr>
          <w:p w14:paraId="3F4F4AA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6</w:t>
            </w:r>
          </w:p>
        </w:tc>
        <w:tc>
          <w:tcPr>
            <w:tcW w:w="2381" w:type="dxa"/>
            <w:shd w:val="clear" w:color="auto" w:fill="auto"/>
            <w:tcMar>
              <w:top w:w="75" w:type="dxa"/>
              <w:left w:w="150" w:type="dxa"/>
              <w:bottom w:w="75" w:type="dxa"/>
              <w:right w:w="150" w:type="dxa"/>
            </w:tcMar>
            <w:vAlign w:val="center"/>
          </w:tcPr>
          <w:p w14:paraId="4CDCEBE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招标文件“第四章 评标方法和标准 2.4详</w:t>
            </w:r>
            <w:bookmarkStart w:id="0" w:name="_GoBack"/>
            <w:r>
              <w:rPr>
                <w:rFonts w:hint="eastAsia" w:ascii="宋体" w:hAnsi="宋体" w:eastAsia="宋体" w:cs="宋体"/>
                <w:kern w:val="0"/>
                <w:sz w:val="24"/>
                <w:szCs w:val="24"/>
                <w:lang w:val="en-US" w:eastAsia="zh-CN" w:bidi="ar"/>
              </w:rPr>
              <w:t>细</w:t>
            </w:r>
            <w:bookmarkEnd w:id="0"/>
            <w:r>
              <w:rPr>
                <w:rFonts w:hint="eastAsia" w:ascii="宋体" w:hAnsi="宋体" w:eastAsia="宋体" w:cs="宋体"/>
                <w:kern w:val="0"/>
                <w:sz w:val="24"/>
                <w:szCs w:val="24"/>
                <w:lang w:val="en-US" w:eastAsia="zh-CN" w:bidi="ar"/>
              </w:rPr>
              <w:t>审查 所投产品技术参数及要求响应情况”</w:t>
            </w:r>
          </w:p>
        </w:tc>
        <w:tc>
          <w:tcPr>
            <w:tcW w:w="2681" w:type="dxa"/>
            <w:shd w:val="clear" w:color="auto" w:fill="auto"/>
            <w:tcMar>
              <w:top w:w="75" w:type="dxa"/>
              <w:left w:w="150" w:type="dxa"/>
              <w:bottom w:w="75" w:type="dxa"/>
              <w:right w:w="150" w:type="dxa"/>
            </w:tcMar>
            <w:vAlign w:val="center"/>
          </w:tcPr>
          <w:p w14:paraId="100EA7B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1.标注★号的条款，每满足一项得2分，共18项，满分36分；</w:t>
            </w:r>
          </w:p>
          <w:p w14:paraId="2CEE210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2.未标注★号的条款，全部满足得6分，有1条未响应（或负偏离）得4分，有2条未响应（或负偏离）得2分，超过2条未响应或负偏离不得分。</w:t>
            </w:r>
          </w:p>
        </w:tc>
        <w:tc>
          <w:tcPr>
            <w:tcW w:w="2625" w:type="dxa"/>
            <w:shd w:val="clear" w:color="auto" w:fill="auto"/>
            <w:tcMar>
              <w:top w:w="75" w:type="dxa"/>
              <w:left w:w="150" w:type="dxa"/>
              <w:bottom w:w="75" w:type="dxa"/>
              <w:right w:w="150" w:type="dxa"/>
            </w:tcMar>
            <w:vAlign w:val="center"/>
          </w:tcPr>
          <w:p w14:paraId="79A5D22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1.标注★号的条款，每满足一项得</w:t>
            </w:r>
            <w:r>
              <w:rPr>
                <w:rFonts w:hint="eastAsia" w:ascii="宋体" w:hAnsi="宋体" w:eastAsia="宋体" w:cs="宋体"/>
                <w:sz w:val="24"/>
                <w:szCs w:val="24"/>
                <w:lang w:val="en-US" w:eastAsia="zh-CN"/>
              </w:rPr>
              <w:t>3</w:t>
            </w:r>
            <w:r>
              <w:rPr>
                <w:rFonts w:hint="eastAsia" w:ascii="宋体" w:hAnsi="宋体" w:eastAsia="宋体" w:cs="宋体"/>
                <w:sz w:val="24"/>
                <w:szCs w:val="24"/>
              </w:rPr>
              <w:t>分，共1</w:t>
            </w:r>
            <w:r>
              <w:rPr>
                <w:rFonts w:hint="eastAsia" w:ascii="宋体" w:hAnsi="宋体" w:eastAsia="宋体" w:cs="宋体"/>
                <w:sz w:val="24"/>
                <w:szCs w:val="24"/>
                <w:lang w:val="en-US" w:eastAsia="zh-CN"/>
              </w:rPr>
              <w:t>2</w:t>
            </w:r>
            <w:r>
              <w:rPr>
                <w:rFonts w:hint="eastAsia" w:ascii="宋体" w:hAnsi="宋体" w:eastAsia="宋体" w:cs="宋体"/>
                <w:sz w:val="24"/>
                <w:szCs w:val="24"/>
              </w:rPr>
              <w:t>项，满分36分；</w:t>
            </w:r>
          </w:p>
          <w:p w14:paraId="1107F22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2.未标注★号的条款，</w:t>
            </w:r>
            <w:r>
              <w:rPr>
                <w:rFonts w:hint="eastAsia" w:ascii="宋体" w:hAnsi="宋体" w:eastAsia="宋体" w:cs="宋体"/>
                <w:color w:val="auto"/>
                <w:sz w:val="24"/>
                <w:szCs w:val="24"/>
                <w:highlight w:val="none"/>
                <w:lang w:val="en-US" w:eastAsia="zh-CN"/>
              </w:rPr>
              <w:t>全部满足得6分，有1条未响应（或负偏离）得5分，有2条未响应（或负偏离）得4分，有3条未响应（或负偏离）得3分，有4条未响应（或负偏离）得2分，有5条未响应（或负偏离）得1分，6条及以上未响应或负偏离不得分</w:t>
            </w:r>
            <w:r>
              <w:rPr>
                <w:rFonts w:hint="eastAsia" w:ascii="宋体" w:hAnsi="宋体" w:eastAsia="宋体" w:cs="宋体"/>
                <w:sz w:val="24"/>
                <w:szCs w:val="24"/>
              </w:rPr>
              <w:t>。</w:t>
            </w:r>
          </w:p>
        </w:tc>
      </w:tr>
      <w:tr w14:paraId="69CB8886">
        <w:tc>
          <w:tcPr>
            <w:tcW w:w="919" w:type="dxa"/>
            <w:shd w:val="clear" w:color="auto" w:fill="auto"/>
            <w:tcMar>
              <w:top w:w="75" w:type="dxa"/>
              <w:left w:w="150" w:type="dxa"/>
              <w:bottom w:w="75" w:type="dxa"/>
              <w:right w:w="150" w:type="dxa"/>
            </w:tcMar>
            <w:vAlign w:val="center"/>
          </w:tcPr>
          <w:p w14:paraId="3C03C37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7</w:t>
            </w:r>
          </w:p>
        </w:tc>
        <w:tc>
          <w:tcPr>
            <w:tcW w:w="2381" w:type="dxa"/>
            <w:shd w:val="clear" w:color="auto" w:fill="auto"/>
            <w:tcMar>
              <w:top w:w="75" w:type="dxa"/>
              <w:left w:w="150" w:type="dxa"/>
              <w:bottom w:w="75" w:type="dxa"/>
              <w:right w:w="150" w:type="dxa"/>
            </w:tcMar>
            <w:vAlign w:val="center"/>
          </w:tcPr>
          <w:p w14:paraId="3FF3D3C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提交投标文件截止时间、开标时间</w:t>
            </w:r>
          </w:p>
        </w:tc>
        <w:tc>
          <w:tcPr>
            <w:tcW w:w="2681" w:type="dxa"/>
            <w:shd w:val="clear" w:color="auto" w:fill="auto"/>
            <w:tcMar>
              <w:top w:w="75" w:type="dxa"/>
              <w:left w:w="150" w:type="dxa"/>
              <w:bottom w:w="75" w:type="dxa"/>
              <w:right w:w="150" w:type="dxa"/>
            </w:tcMar>
            <w:vAlign w:val="center"/>
          </w:tcPr>
          <w:p w14:paraId="474E5E6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2026</w:t>
            </w:r>
            <w:r>
              <w:rPr>
                <w:rFonts w:hint="eastAsia" w:ascii="宋体" w:hAnsi="宋体" w:eastAsia="宋体" w:cs="宋体"/>
                <w:b w:val="0"/>
                <w:bCs w:val="0"/>
                <w:color w:val="auto"/>
                <w:sz w:val="24"/>
                <w:szCs w:val="24"/>
                <w:highlight w:val="none"/>
              </w:rPr>
              <w:t>年</w:t>
            </w:r>
            <w:r>
              <w:rPr>
                <w:rFonts w:hint="eastAsia" w:ascii="宋体" w:hAnsi="宋体" w:eastAsia="宋体" w:cs="宋体"/>
                <w:b w:val="0"/>
                <w:bCs w:val="0"/>
                <w:color w:val="auto"/>
                <w:sz w:val="24"/>
                <w:szCs w:val="24"/>
                <w:highlight w:val="none"/>
                <w:lang w:val="en-US" w:eastAsia="zh-CN"/>
              </w:rPr>
              <w:t>07</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lang w:val="en-US" w:eastAsia="zh-CN"/>
              </w:rPr>
              <w:t>28</w:t>
            </w:r>
            <w:r>
              <w:rPr>
                <w:rFonts w:hint="eastAsia" w:ascii="宋体" w:hAnsi="宋体" w:eastAsia="宋体" w:cs="宋体"/>
                <w:b w:val="0"/>
                <w:bCs w:val="0"/>
                <w:color w:val="auto"/>
                <w:sz w:val="24"/>
                <w:szCs w:val="24"/>
                <w:highlight w:val="none"/>
              </w:rPr>
              <w:t>日</w:t>
            </w:r>
            <w:r>
              <w:rPr>
                <w:rFonts w:hint="eastAsia" w:ascii="宋体" w:hAnsi="宋体" w:eastAsia="宋体" w:cs="宋体"/>
                <w:b w:val="0"/>
                <w:bCs w:val="0"/>
                <w:color w:val="auto"/>
                <w:sz w:val="24"/>
                <w:szCs w:val="24"/>
                <w:highlight w:val="none"/>
                <w:lang w:val="en-US" w:eastAsia="zh-CN"/>
              </w:rPr>
              <w:t>14</w:t>
            </w:r>
            <w:r>
              <w:rPr>
                <w:rFonts w:hint="eastAsia" w:ascii="宋体" w:hAnsi="宋体" w:eastAsia="宋体" w:cs="宋体"/>
                <w:b w:val="0"/>
                <w:bCs w:val="0"/>
                <w:color w:val="auto"/>
                <w:sz w:val="24"/>
                <w:szCs w:val="24"/>
                <w:highlight w:val="none"/>
              </w:rPr>
              <w:t>点</w:t>
            </w:r>
            <w:r>
              <w:rPr>
                <w:rFonts w:hint="eastAsia" w:ascii="宋体" w:hAnsi="宋体" w:eastAsia="宋体" w:cs="宋体"/>
                <w:b w:val="0"/>
                <w:bCs w:val="0"/>
                <w:color w:val="auto"/>
                <w:sz w:val="24"/>
                <w:szCs w:val="24"/>
                <w:highlight w:val="none"/>
                <w:lang w:val="en-US" w:eastAsia="zh-CN"/>
              </w:rPr>
              <w:t>00</w:t>
            </w:r>
            <w:r>
              <w:rPr>
                <w:rFonts w:hint="eastAsia" w:ascii="宋体" w:hAnsi="宋体" w:eastAsia="宋体" w:cs="宋体"/>
                <w:b w:val="0"/>
                <w:bCs w:val="0"/>
                <w:color w:val="auto"/>
                <w:sz w:val="24"/>
                <w:szCs w:val="24"/>
                <w:highlight w:val="none"/>
              </w:rPr>
              <w:t>分</w:t>
            </w:r>
          </w:p>
        </w:tc>
        <w:tc>
          <w:tcPr>
            <w:tcW w:w="2625" w:type="dxa"/>
            <w:shd w:val="clear" w:color="auto" w:fill="auto"/>
            <w:tcMar>
              <w:top w:w="75" w:type="dxa"/>
              <w:left w:w="150" w:type="dxa"/>
              <w:bottom w:w="75" w:type="dxa"/>
              <w:right w:w="150" w:type="dxa"/>
            </w:tcMar>
            <w:vAlign w:val="center"/>
          </w:tcPr>
          <w:p w14:paraId="7183536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2026</w:t>
            </w:r>
            <w:r>
              <w:rPr>
                <w:rFonts w:hint="eastAsia" w:ascii="宋体" w:hAnsi="宋体" w:eastAsia="宋体" w:cs="宋体"/>
                <w:b w:val="0"/>
                <w:bCs w:val="0"/>
                <w:color w:val="auto"/>
                <w:sz w:val="24"/>
                <w:szCs w:val="24"/>
                <w:highlight w:val="none"/>
              </w:rPr>
              <w:t>年</w:t>
            </w:r>
            <w:r>
              <w:rPr>
                <w:rFonts w:hint="eastAsia" w:ascii="宋体" w:hAnsi="宋体" w:eastAsia="宋体" w:cs="宋体"/>
                <w:b w:val="0"/>
                <w:bCs w:val="0"/>
                <w:color w:val="auto"/>
                <w:sz w:val="24"/>
                <w:szCs w:val="24"/>
                <w:highlight w:val="none"/>
                <w:lang w:val="en-US" w:eastAsia="zh-CN"/>
              </w:rPr>
              <w:t>08</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lang w:val="en-US" w:eastAsia="zh-CN"/>
              </w:rPr>
              <w:t>12</w:t>
            </w:r>
            <w:r>
              <w:rPr>
                <w:rFonts w:hint="eastAsia" w:ascii="宋体" w:hAnsi="宋体" w:eastAsia="宋体" w:cs="宋体"/>
                <w:b w:val="0"/>
                <w:bCs w:val="0"/>
                <w:color w:val="auto"/>
                <w:sz w:val="24"/>
                <w:szCs w:val="24"/>
                <w:highlight w:val="none"/>
              </w:rPr>
              <w:t>日</w:t>
            </w:r>
            <w:r>
              <w:rPr>
                <w:rFonts w:hint="eastAsia" w:ascii="宋体" w:hAnsi="宋体" w:eastAsia="宋体" w:cs="宋体"/>
                <w:b w:val="0"/>
                <w:bCs w:val="0"/>
                <w:color w:val="auto"/>
                <w:sz w:val="24"/>
                <w:szCs w:val="24"/>
                <w:highlight w:val="none"/>
                <w:lang w:val="en-US" w:eastAsia="zh-CN"/>
              </w:rPr>
              <w:t>14</w:t>
            </w:r>
            <w:r>
              <w:rPr>
                <w:rFonts w:hint="eastAsia" w:ascii="宋体" w:hAnsi="宋体" w:eastAsia="宋体" w:cs="宋体"/>
                <w:b w:val="0"/>
                <w:bCs w:val="0"/>
                <w:color w:val="auto"/>
                <w:sz w:val="24"/>
                <w:szCs w:val="24"/>
                <w:highlight w:val="none"/>
              </w:rPr>
              <w:t>点</w:t>
            </w:r>
            <w:r>
              <w:rPr>
                <w:rFonts w:hint="eastAsia" w:ascii="宋体" w:hAnsi="宋体" w:eastAsia="宋体" w:cs="宋体"/>
                <w:b w:val="0"/>
                <w:bCs w:val="0"/>
                <w:color w:val="auto"/>
                <w:sz w:val="24"/>
                <w:szCs w:val="24"/>
                <w:highlight w:val="none"/>
                <w:lang w:val="en-US" w:eastAsia="zh-CN"/>
              </w:rPr>
              <w:t>00</w:t>
            </w:r>
            <w:r>
              <w:rPr>
                <w:rFonts w:hint="eastAsia" w:ascii="宋体" w:hAnsi="宋体" w:eastAsia="宋体" w:cs="宋体"/>
                <w:b w:val="0"/>
                <w:bCs w:val="0"/>
                <w:color w:val="auto"/>
                <w:sz w:val="24"/>
                <w:szCs w:val="24"/>
                <w:highlight w:val="none"/>
              </w:rPr>
              <w:t>分</w:t>
            </w:r>
          </w:p>
        </w:tc>
      </w:tr>
    </w:tbl>
    <w:p w14:paraId="334A09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Fonts w:hint="eastAsia" w:ascii="宋体" w:hAnsi="宋体" w:eastAsia="宋体" w:cs="宋体"/>
          <w:sz w:val="24"/>
          <w:szCs w:val="24"/>
        </w:rPr>
      </w:pPr>
      <w:r>
        <w:rPr>
          <w:rFonts w:hint="eastAsia" w:ascii="宋体" w:hAnsi="宋体" w:eastAsia="宋体" w:cs="宋体"/>
          <w:sz w:val="24"/>
          <w:szCs w:val="24"/>
        </w:rPr>
        <w:t>更正日期：</w:t>
      </w:r>
      <w:r>
        <w:rPr>
          <w:rStyle w:val="8"/>
          <w:rFonts w:hint="eastAsia" w:ascii="宋体" w:hAnsi="宋体" w:eastAsia="宋体" w:cs="宋体"/>
          <w:sz w:val="24"/>
          <w:szCs w:val="24"/>
        </w:rPr>
        <w:t>202</w:t>
      </w:r>
      <w:r>
        <w:rPr>
          <w:rStyle w:val="8"/>
          <w:rFonts w:hint="eastAsia" w:ascii="宋体" w:hAnsi="宋体" w:eastAsia="宋体" w:cs="宋体"/>
          <w:sz w:val="24"/>
          <w:szCs w:val="24"/>
          <w:lang w:val="en-US" w:eastAsia="zh-CN"/>
        </w:rPr>
        <w:t>6</w:t>
      </w:r>
      <w:r>
        <w:rPr>
          <w:rStyle w:val="8"/>
          <w:rFonts w:hint="eastAsia" w:ascii="宋体" w:hAnsi="宋体" w:eastAsia="宋体" w:cs="宋体"/>
          <w:sz w:val="24"/>
          <w:szCs w:val="24"/>
        </w:rPr>
        <w:t>年</w:t>
      </w:r>
      <w:r>
        <w:rPr>
          <w:rStyle w:val="8"/>
          <w:rFonts w:hint="eastAsia" w:ascii="宋体" w:hAnsi="宋体" w:eastAsia="宋体" w:cs="宋体"/>
          <w:sz w:val="24"/>
          <w:szCs w:val="24"/>
          <w:lang w:val="en-US" w:eastAsia="zh-CN"/>
        </w:rPr>
        <w:t>07</w:t>
      </w:r>
      <w:r>
        <w:rPr>
          <w:rStyle w:val="8"/>
          <w:rFonts w:hint="eastAsia" w:ascii="宋体" w:hAnsi="宋体" w:eastAsia="宋体" w:cs="宋体"/>
          <w:sz w:val="24"/>
          <w:szCs w:val="24"/>
        </w:rPr>
        <w:t>月</w:t>
      </w:r>
      <w:r>
        <w:rPr>
          <w:rStyle w:val="8"/>
          <w:rFonts w:hint="eastAsia" w:ascii="宋体" w:hAnsi="宋体" w:eastAsia="宋体" w:cs="宋体"/>
          <w:sz w:val="24"/>
          <w:szCs w:val="24"/>
          <w:lang w:val="en-US" w:eastAsia="zh-CN"/>
        </w:rPr>
        <w:t>27</w:t>
      </w:r>
      <w:r>
        <w:rPr>
          <w:rStyle w:val="8"/>
          <w:rFonts w:hint="eastAsia" w:ascii="宋体" w:hAnsi="宋体" w:eastAsia="宋体" w:cs="宋体"/>
          <w:sz w:val="24"/>
          <w:szCs w:val="24"/>
        </w:rPr>
        <w:t>日</w:t>
      </w:r>
    </w:p>
    <w:p w14:paraId="7EAED4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420" w:lineRule="atLeast"/>
        <w:ind w:left="0" w:right="0"/>
        <w:jc w:val="both"/>
        <w:rPr>
          <w:rFonts w:hint="eastAsia" w:ascii="宋体" w:hAnsi="宋体" w:eastAsia="宋体" w:cs="宋体"/>
          <w:sz w:val="24"/>
          <w:szCs w:val="24"/>
        </w:rPr>
      </w:pPr>
      <w:r>
        <w:rPr>
          <w:rStyle w:val="7"/>
          <w:rFonts w:hint="eastAsia" w:ascii="宋体" w:hAnsi="宋体" w:eastAsia="宋体" w:cs="宋体"/>
          <w:b/>
          <w:bCs/>
          <w:sz w:val="24"/>
          <w:szCs w:val="24"/>
        </w:rPr>
        <w:t>三、其他补充事宜</w:t>
      </w:r>
    </w:p>
    <w:p w14:paraId="31C410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Style w:val="8"/>
          <w:rFonts w:hint="eastAsia" w:ascii="宋体" w:hAnsi="宋体" w:eastAsia="宋体" w:cs="宋体"/>
          <w:sz w:val="24"/>
          <w:szCs w:val="24"/>
          <w:lang w:eastAsia="zh-CN"/>
        </w:rPr>
      </w:pPr>
      <w:r>
        <w:rPr>
          <w:rStyle w:val="8"/>
          <w:rFonts w:hint="eastAsia" w:ascii="宋体" w:hAnsi="宋体" w:eastAsia="宋体" w:cs="宋体"/>
          <w:sz w:val="24"/>
          <w:szCs w:val="24"/>
          <w:lang w:eastAsia="zh-CN"/>
        </w:rPr>
        <w:t>1.更正部分以此次更正公告内容为准。采购文件内涉及上述更正内容的，均按上述要求进行统一更正，本采购更正公告中不再一一赘述。</w:t>
      </w:r>
    </w:p>
    <w:p w14:paraId="7AD17B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Style w:val="8"/>
          <w:rFonts w:hint="eastAsia" w:ascii="宋体" w:hAnsi="宋体" w:eastAsia="宋体" w:cs="宋体"/>
          <w:sz w:val="24"/>
          <w:szCs w:val="24"/>
          <w:lang w:eastAsia="zh-CN"/>
        </w:rPr>
      </w:pPr>
      <w:r>
        <w:rPr>
          <w:rStyle w:val="8"/>
          <w:rFonts w:hint="eastAsia" w:ascii="宋体" w:hAnsi="宋体" w:eastAsia="宋体" w:cs="宋体"/>
          <w:sz w:val="24"/>
          <w:szCs w:val="24"/>
          <w:lang w:eastAsia="zh-CN"/>
        </w:rPr>
        <w:t>2.本项目采购文件中其他内容不变，此公告视同采购文件的组成部分，与采购文件具有同等法律效力。请各潜在供应商及时下载。</w:t>
      </w:r>
    </w:p>
    <w:p w14:paraId="6F2A46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Style w:val="8"/>
          <w:rFonts w:hint="eastAsia" w:ascii="宋体" w:hAnsi="宋体" w:eastAsia="宋体" w:cs="宋体"/>
          <w:sz w:val="24"/>
          <w:szCs w:val="24"/>
          <w:lang w:eastAsia="zh-CN"/>
        </w:rPr>
      </w:pPr>
      <w:r>
        <w:rPr>
          <w:rStyle w:val="8"/>
          <w:rFonts w:hint="eastAsia" w:ascii="宋体" w:hAnsi="宋体" w:eastAsia="宋体" w:cs="宋体"/>
          <w:sz w:val="24"/>
          <w:szCs w:val="24"/>
          <w:lang w:eastAsia="zh-CN"/>
        </w:rPr>
        <w:t>3.采购人和采购代理机构不承担因供应商不及时关注安徽省政府采购网（www.ccgp-anhui.gov.cn）相关更正信息所造成的一切责任。</w:t>
      </w:r>
    </w:p>
    <w:p w14:paraId="415D22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420" w:lineRule="atLeast"/>
        <w:ind w:left="0" w:right="0"/>
        <w:jc w:val="both"/>
        <w:rPr>
          <w:rFonts w:hint="eastAsia" w:ascii="宋体" w:hAnsi="宋体" w:eastAsia="宋体" w:cs="宋体"/>
          <w:sz w:val="24"/>
          <w:szCs w:val="24"/>
        </w:rPr>
      </w:pPr>
      <w:r>
        <w:rPr>
          <w:rStyle w:val="7"/>
          <w:rFonts w:hint="eastAsia" w:ascii="宋体" w:hAnsi="宋体" w:eastAsia="宋体" w:cs="宋体"/>
          <w:b/>
          <w:bCs/>
          <w:sz w:val="24"/>
          <w:szCs w:val="24"/>
        </w:rPr>
        <w:t>四、凡对本次公告内容提出询问，请按以下方式联系</w:t>
      </w:r>
    </w:p>
    <w:p w14:paraId="34CC7B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Fonts w:hint="eastAsia" w:ascii="宋体" w:hAnsi="宋体" w:eastAsia="宋体" w:cs="宋体"/>
          <w:sz w:val="24"/>
          <w:szCs w:val="24"/>
        </w:rPr>
      </w:pPr>
      <w:r>
        <w:rPr>
          <w:rFonts w:hint="eastAsia" w:ascii="宋体" w:hAnsi="宋体" w:eastAsia="宋体" w:cs="宋体"/>
          <w:sz w:val="24"/>
          <w:szCs w:val="24"/>
        </w:rPr>
        <w:t>1. 采购人信息</w:t>
      </w:r>
    </w:p>
    <w:p w14:paraId="3591D8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Fonts w:hint="eastAsia" w:ascii="宋体" w:hAnsi="宋体" w:eastAsia="宋体" w:cs="宋体"/>
          <w:sz w:val="24"/>
          <w:szCs w:val="24"/>
        </w:rPr>
      </w:pPr>
      <w:r>
        <w:rPr>
          <w:rFonts w:hint="eastAsia" w:ascii="宋体" w:hAnsi="宋体" w:eastAsia="宋体" w:cs="宋体"/>
          <w:sz w:val="24"/>
          <w:szCs w:val="24"/>
        </w:rPr>
        <w:t>名称：</w:t>
      </w:r>
      <w:r>
        <w:rPr>
          <w:rFonts w:hint="eastAsia" w:asciiTheme="minorEastAsia" w:hAnsiTheme="minorEastAsia" w:eastAsiaTheme="minorEastAsia" w:cstheme="minorEastAsia"/>
          <w:color w:val="auto"/>
          <w:sz w:val="24"/>
          <w:szCs w:val="24"/>
          <w:highlight w:val="none"/>
          <w:u w:val="none"/>
          <w:lang w:val="en-US" w:eastAsia="zh-CN"/>
        </w:rPr>
        <w:t>淮南师范学院</w:t>
      </w:r>
    </w:p>
    <w:p w14:paraId="4C7195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Fonts w:hint="eastAsia" w:ascii="宋体" w:hAnsi="宋体" w:eastAsia="宋体" w:cs="宋体"/>
          <w:sz w:val="24"/>
          <w:szCs w:val="24"/>
        </w:rPr>
      </w:pPr>
      <w:r>
        <w:rPr>
          <w:rFonts w:hint="eastAsia" w:ascii="宋体" w:hAnsi="宋体" w:eastAsia="宋体" w:cs="宋体"/>
          <w:sz w:val="24"/>
          <w:szCs w:val="24"/>
        </w:rPr>
        <w:t>地址：</w:t>
      </w:r>
      <w:r>
        <w:rPr>
          <w:rFonts w:hint="eastAsia" w:asciiTheme="minorEastAsia" w:hAnsiTheme="minorEastAsia" w:eastAsiaTheme="minorEastAsia" w:cstheme="minorEastAsia"/>
          <w:color w:val="auto"/>
          <w:sz w:val="24"/>
          <w:szCs w:val="24"/>
          <w:highlight w:val="none"/>
          <w:u w:val="none"/>
        </w:rPr>
        <w:t>淮南市田家庵区洞山西路</w:t>
      </w:r>
    </w:p>
    <w:p w14:paraId="115A8A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Fonts w:hint="eastAsia" w:ascii="宋体" w:hAnsi="宋体" w:eastAsia="宋体" w:cs="宋体"/>
          <w:sz w:val="24"/>
          <w:szCs w:val="24"/>
        </w:rPr>
      </w:pPr>
      <w:r>
        <w:rPr>
          <w:rFonts w:hint="eastAsia" w:ascii="宋体" w:hAnsi="宋体" w:eastAsia="宋体" w:cs="宋体"/>
          <w:sz w:val="24"/>
          <w:szCs w:val="24"/>
        </w:rPr>
        <w:t>联系方式：</w:t>
      </w:r>
      <w:r>
        <w:rPr>
          <w:rFonts w:hint="eastAsia" w:asciiTheme="minorEastAsia" w:hAnsiTheme="minorEastAsia" w:eastAsiaTheme="minorEastAsia" w:cstheme="minorEastAsia"/>
          <w:color w:val="auto"/>
          <w:sz w:val="24"/>
          <w:szCs w:val="24"/>
          <w:highlight w:val="none"/>
          <w:u w:val="none"/>
        </w:rPr>
        <w:t>0554-6863618</w:t>
      </w:r>
    </w:p>
    <w:p w14:paraId="7FE07C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Fonts w:hint="eastAsia" w:ascii="宋体" w:hAnsi="宋体" w:eastAsia="宋体" w:cs="宋体"/>
          <w:sz w:val="24"/>
          <w:szCs w:val="24"/>
        </w:rPr>
      </w:pPr>
      <w:r>
        <w:rPr>
          <w:rFonts w:hint="eastAsia" w:ascii="宋体" w:hAnsi="宋体" w:eastAsia="宋体" w:cs="宋体"/>
          <w:sz w:val="24"/>
          <w:szCs w:val="24"/>
        </w:rPr>
        <w:t>2. 采购代理机构信息（如有）</w:t>
      </w:r>
    </w:p>
    <w:p w14:paraId="4DB50C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Fonts w:hint="eastAsia" w:ascii="宋体" w:hAnsi="宋体" w:eastAsia="宋体" w:cs="宋体"/>
          <w:sz w:val="24"/>
          <w:szCs w:val="24"/>
        </w:rPr>
      </w:pPr>
      <w:r>
        <w:rPr>
          <w:rFonts w:hint="eastAsia" w:ascii="宋体" w:hAnsi="宋体" w:eastAsia="宋体" w:cs="宋体"/>
          <w:sz w:val="24"/>
          <w:szCs w:val="24"/>
        </w:rPr>
        <w:t>名称：海逸恒安项目管理有限公司</w:t>
      </w:r>
    </w:p>
    <w:p w14:paraId="5F5EF7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Fonts w:hint="eastAsia" w:ascii="宋体" w:hAnsi="宋体" w:eastAsia="宋体" w:cs="宋体"/>
          <w:sz w:val="24"/>
          <w:szCs w:val="24"/>
        </w:rPr>
      </w:pPr>
      <w:r>
        <w:rPr>
          <w:rFonts w:hint="eastAsia" w:ascii="宋体" w:hAnsi="宋体" w:eastAsia="宋体" w:cs="宋体"/>
          <w:sz w:val="24"/>
          <w:szCs w:val="24"/>
        </w:rPr>
        <w:t>地址：合肥市包河区宁国路129号金保中心1107</w:t>
      </w:r>
    </w:p>
    <w:p w14:paraId="14DE40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Fonts w:hint="eastAsia" w:ascii="宋体" w:hAnsi="宋体" w:eastAsia="宋体" w:cs="宋体"/>
          <w:sz w:val="24"/>
          <w:szCs w:val="24"/>
        </w:rPr>
      </w:pPr>
      <w:r>
        <w:rPr>
          <w:rFonts w:hint="eastAsia" w:ascii="宋体" w:hAnsi="宋体" w:eastAsia="宋体" w:cs="宋体"/>
          <w:sz w:val="24"/>
          <w:szCs w:val="24"/>
        </w:rPr>
        <w:t>联系方式：0551-62991850</w:t>
      </w:r>
    </w:p>
    <w:p w14:paraId="149F65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Fonts w:hint="eastAsia" w:ascii="宋体" w:hAnsi="宋体" w:eastAsia="宋体" w:cs="宋体"/>
          <w:sz w:val="24"/>
          <w:szCs w:val="24"/>
        </w:rPr>
      </w:pPr>
      <w:r>
        <w:rPr>
          <w:rFonts w:hint="eastAsia" w:ascii="宋体" w:hAnsi="宋体" w:eastAsia="宋体" w:cs="宋体"/>
          <w:sz w:val="24"/>
          <w:szCs w:val="24"/>
        </w:rPr>
        <w:t>3. 项目联系方式</w:t>
      </w:r>
    </w:p>
    <w:p w14:paraId="2A5E73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Fonts w:hint="eastAsia" w:ascii="宋体" w:hAnsi="宋体" w:eastAsia="宋体" w:cs="宋体"/>
          <w:sz w:val="24"/>
          <w:szCs w:val="24"/>
        </w:rPr>
      </w:pPr>
      <w:r>
        <w:rPr>
          <w:rFonts w:hint="eastAsia" w:ascii="宋体" w:hAnsi="宋体" w:eastAsia="宋体" w:cs="宋体"/>
          <w:sz w:val="24"/>
          <w:szCs w:val="24"/>
        </w:rPr>
        <w:t>项目联系人：陈</w:t>
      </w:r>
      <w:r>
        <w:rPr>
          <w:rFonts w:hint="eastAsia" w:ascii="宋体" w:hAnsi="宋体" w:eastAsia="宋体" w:cs="宋体"/>
          <w:sz w:val="24"/>
          <w:szCs w:val="24"/>
          <w:lang w:val="en-US" w:eastAsia="zh-CN"/>
        </w:rPr>
        <w:t>继文</w:t>
      </w:r>
      <w:r>
        <w:rPr>
          <w:rFonts w:hint="eastAsia" w:ascii="宋体" w:hAnsi="宋体" w:eastAsia="宋体" w:cs="宋体"/>
          <w:sz w:val="24"/>
          <w:szCs w:val="24"/>
        </w:rPr>
        <w:t>、郑靖</w:t>
      </w:r>
    </w:p>
    <w:p w14:paraId="1E512C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420" w:lineRule="atLeast"/>
        <w:ind w:left="0" w:right="0" w:firstLine="420"/>
        <w:rPr>
          <w:rFonts w:hint="eastAsia" w:ascii="宋体" w:hAnsi="宋体" w:eastAsia="宋体" w:cs="宋体"/>
          <w:sz w:val="24"/>
          <w:szCs w:val="24"/>
        </w:rPr>
      </w:pPr>
      <w:r>
        <w:rPr>
          <w:rFonts w:hint="eastAsia" w:ascii="宋体" w:hAnsi="宋体" w:eastAsia="宋体" w:cs="宋体"/>
          <w:sz w:val="24"/>
          <w:szCs w:val="24"/>
        </w:rPr>
        <w:t>电话：18019592543</w:t>
      </w:r>
    </w:p>
    <w:p w14:paraId="3A7E6BAA">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0E26E0"/>
    <w:rsid w:val="116C28F7"/>
    <w:rsid w:val="1796210A"/>
    <w:rsid w:val="27D668C5"/>
    <w:rsid w:val="3FEB3E9C"/>
    <w:rsid w:val="464E237E"/>
    <w:rsid w:val="48EB3931"/>
    <w:rsid w:val="63B17208"/>
    <w:rsid w:val="6C8153E3"/>
    <w:rsid w:val="7FFDFDF9"/>
    <w:rsid w:val="FBEBC41F"/>
    <w:rsid w:val="FDE53C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link w:val="9"/>
    <w:qFormat/>
    <w:uiPriority w:val="0"/>
    <w:pPr>
      <w:jc w:val="left"/>
    </w:pPr>
    <w:rPr>
      <w:rFonts w:ascii="@仿宋_GB2312" w:hAnsi="@仿宋_GB2312" w:eastAsia="宋体" w:cs="@仿宋_GB2312"/>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TML Sample"/>
    <w:basedOn w:val="6"/>
    <w:qFormat/>
    <w:uiPriority w:val="0"/>
    <w:rPr>
      <w:rFonts w:ascii="Courier New" w:hAnsi="Courier New"/>
    </w:rPr>
  </w:style>
  <w:style w:type="character" w:customStyle="1" w:styleId="9">
    <w:name w:val="批注文字 字符"/>
    <w:link w:val="3"/>
    <w:qFormat/>
    <w:uiPriority w:val="99"/>
    <w:rPr>
      <w:rFonts w:ascii="@仿宋_GB2312" w:hAnsi="@仿宋_GB2312" w:eastAsia="宋体" w:cs="@仿宋_GB2312"/>
      <w:kern w:val="2"/>
      <w:sz w:val="21"/>
    </w:rPr>
  </w:style>
  <w:style w:type="paragraph" w:customStyle="1" w:styleId="10">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428</Words>
  <Characters>519</Characters>
  <Lines>0</Lines>
  <Paragraphs>0</Paragraphs>
  <TotalTime>4</TotalTime>
  <ScaleCrop>false</ScaleCrop>
  <LinksUpToDate>false</LinksUpToDate>
  <CharactersWithSpaces>524</CharactersWithSpaces>
  <Application>WPS Office_12.1.26035.26035_F1E327BC-269C-435d-A152-05C5408002CA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2024-05-22T18:32:00Z</dcterms:created>
  <dc:creator>Administrator</dc:creator>
  <cp:lastModifiedBy>郑靖</cp:lastModifiedBy>
  <dcterms:modified xsi:type="dcterms:W3CDTF">2026-07-26T09:52:49Z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2052-12.1.26035.26035</vt:lpwstr>
  </property>
  <property fmtid="{D5CDD505-2E9C-101B-9397-08002B2CF9AE}" pid="3" name="ICV">
    <vt:lpwstr>7D8628F7F43F4C32B8F9F75CE7A937D7_12</vt:lpwstr>
  </property>
  <property fmtid="{D5CDD505-2E9C-101B-9397-08002B2CF9AE}" pid="4" name="KSOTemplateDocerSaveRecord">
    <vt:lpwstr>eyJoZGlkIjoiYzg5NmQxNjBmMjk4NjZkYTRiYWU0ODkwOTEyYzFmYTciLCJ1c2VySWQiOiIxMTM3NTQ0NTA2In0=</vt:lpwstr>
  </property>
</Properties>
</file>