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华文中宋" w:hAnsi="华文中宋" w:eastAsia="华文中宋" w:cs="Times New Roman"/>
          <w:b/>
          <w:bCs/>
          <w:kern w:val="44"/>
          <w:sz w:val="44"/>
          <w:szCs w:val="44"/>
        </w:rPr>
      </w:pPr>
      <w:r>
        <w:rPr>
          <w:rFonts w:hint="eastAsia" w:ascii="华文中宋" w:hAnsi="华文中宋" w:eastAsia="华文中宋" w:cs="Times New Roman"/>
          <w:b/>
          <w:bCs/>
          <w:kern w:val="44"/>
          <w:sz w:val="44"/>
          <w:szCs w:val="44"/>
        </w:rPr>
        <w:t>采购需求</w:t>
      </w:r>
    </w:p>
    <w:p>
      <w:pPr>
        <w:spacing w:line="360" w:lineRule="auto"/>
        <w:rPr>
          <w:rFonts w:ascii="Arial" w:hAnsi="Arial" w:eastAsia="宋体" w:cs="Arial"/>
          <w:b/>
          <w:sz w:val="24"/>
        </w:rPr>
      </w:pPr>
      <w:r>
        <w:rPr>
          <w:rFonts w:ascii="Arial" w:hAnsi="Arial" w:eastAsia="宋体" w:cs="Arial"/>
          <w:b/>
          <w:sz w:val="24"/>
        </w:rPr>
        <w:t>前注：</w:t>
      </w:r>
    </w:p>
    <w:p>
      <w:pPr>
        <w:spacing w:line="360" w:lineRule="auto"/>
        <w:ind w:firstLine="435"/>
        <w:rPr>
          <w:rFonts w:ascii="Arial" w:hAnsi="Arial" w:eastAsia="宋体" w:cs="Arial"/>
          <w:sz w:val="24"/>
          <w:szCs w:val="18"/>
        </w:rPr>
      </w:pPr>
      <w:r>
        <w:rPr>
          <w:rFonts w:ascii="Arial" w:hAnsi="Arial" w:eastAsia="宋体" w:cs="Arial"/>
          <w:sz w:val="24"/>
        </w:rPr>
        <w:t>1.</w:t>
      </w:r>
      <w:r>
        <w:rPr>
          <w:rFonts w:ascii="Arial" w:hAnsi="Arial" w:eastAsia="宋体" w:cs="Arial"/>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spacing w:line="360" w:lineRule="auto"/>
        <w:ind w:firstLine="435"/>
        <w:rPr>
          <w:rFonts w:ascii="Arial" w:hAnsi="Arial" w:eastAsia="宋体" w:cs="Arial"/>
          <w:sz w:val="24"/>
          <w:szCs w:val="18"/>
        </w:rPr>
      </w:pPr>
      <w:r>
        <w:rPr>
          <w:rFonts w:ascii="Arial" w:hAnsi="Arial" w:eastAsia="宋体" w:cs="Arial"/>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Arial" w:hAnsi="Arial" w:eastAsia="宋体" w:cs="Arial"/>
          <w:sz w:val="24"/>
          <w:szCs w:val="18"/>
        </w:rPr>
      </w:pPr>
      <w:r>
        <w:rPr>
          <w:rFonts w:ascii="Arial" w:hAnsi="Arial" w:eastAsia="宋体" w:cs="Arial"/>
          <w:sz w:val="24"/>
          <w:szCs w:val="18"/>
        </w:rPr>
        <w:t>3.下列采购需求中：标注▲的产品（核心产品），投标人在投标文件《主要中标标的承诺函》中填写名称、品牌、规格、型号、数量、单价等信息。</w:t>
      </w:r>
    </w:p>
    <w:p>
      <w:pPr>
        <w:spacing w:line="360" w:lineRule="auto"/>
        <w:ind w:firstLine="437"/>
        <w:rPr>
          <w:rFonts w:ascii="Arial" w:hAnsi="Arial" w:eastAsia="宋体" w:cs="Arial"/>
          <w:b/>
          <w:color w:val="FF0000"/>
          <w:sz w:val="24"/>
          <w:szCs w:val="18"/>
          <w:highlight w:val="yellow"/>
        </w:rPr>
      </w:pPr>
      <w:r>
        <w:rPr>
          <w:rFonts w:hint="eastAsia" w:ascii="Arial" w:hAnsi="Arial" w:eastAsia="宋体" w:cs="Arial"/>
          <w:b/>
          <w:color w:val="FF0000"/>
          <w:sz w:val="24"/>
          <w:szCs w:val="18"/>
          <w:highlight w:val="yellow"/>
        </w:rPr>
        <w:t>第1包：金融技能实训软件</w:t>
      </w:r>
    </w:p>
    <w:p>
      <w:pPr>
        <w:spacing w:line="360" w:lineRule="auto"/>
        <w:ind w:firstLine="437"/>
        <w:rPr>
          <w:rFonts w:ascii="Arial" w:hAnsi="Arial" w:eastAsia="宋体" w:cs="Arial"/>
          <w:b/>
          <w:sz w:val="24"/>
          <w:szCs w:val="18"/>
        </w:rPr>
      </w:pPr>
      <w:r>
        <w:rPr>
          <w:rFonts w:ascii="Arial" w:hAnsi="Arial" w:eastAsia="宋体" w:cs="Arial"/>
          <w:b/>
          <w:sz w:val="24"/>
          <w:szCs w:val="18"/>
        </w:rPr>
        <w:t>一、采购需求前附表</w:t>
      </w:r>
    </w:p>
    <w:tbl>
      <w:tblPr>
        <w:tblStyle w:val="7"/>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025"/>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pPr>
              <w:pStyle w:val="9"/>
              <w:pBdr>
                <w:bottom w:val="none" w:color="auto" w:sz="0" w:space="0"/>
              </w:pBdr>
              <w:adjustRightInd/>
              <w:spacing w:line="240" w:lineRule="auto"/>
              <w:textAlignment w:val="auto"/>
              <w:rPr>
                <w:rFonts w:ascii="宋体" w:hAnsi="宋体" w:eastAsia="宋体" w:cs="宋体"/>
                <w:b/>
                <w:kern w:val="2"/>
              </w:rPr>
            </w:pPr>
            <w:r>
              <w:rPr>
                <w:rFonts w:hint="eastAsia" w:ascii="宋体" w:hAnsi="宋体" w:eastAsia="宋体" w:cs="宋体"/>
                <w:b/>
                <w:kern w:val="2"/>
              </w:rPr>
              <w:t>序号</w:t>
            </w:r>
          </w:p>
        </w:tc>
        <w:tc>
          <w:tcPr>
            <w:tcW w:w="2025" w:type="dxa"/>
            <w:vAlign w:val="center"/>
          </w:tcPr>
          <w:p>
            <w:pPr>
              <w:pStyle w:val="10"/>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条款名称</w:t>
            </w:r>
          </w:p>
        </w:tc>
        <w:tc>
          <w:tcPr>
            <w:tcW w:w="5466" w:type="dxa"/>
            <w:vAlign w:val="center"/>
          </w:tcPr>
          <w:p>
            <w:pPr>
              <w:pStyle w:val="10"/>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pPr>
              <w:pStyle w:val="9"/>
              <w:pBdr>
                <w:bottom w:val="none" w:color="auto" w:sz="0" w:space="0"/>
              </w:pBdr>
              <w:adjustRightInd/>
              <w:spacing w:line="240" w:lineRule="auto"/>
              <w:textAlignment w:val="auto"/>
              <w:rPr>
                <w:rFonts w:ascii="宋体" w:hAnsi="宋体" w:eastAsia="宋体" w:cs="宋体"/>
                <w:bCs/>
                <w:kern w:val="2"/>
              </w:rPr>
            </w:pPr>
            <w:r>
              <w:rPr>
                <w:rFonts w:hint="eastAsia" w:ascii="宋体" w:hAnsi="宋体" w:eastAsia="宋体" w:cs="宋体"/>
                <w:bCs/>
                <w:kern w:val="2"/>
              </w:rPr>
              <w:t>1</w:t>
            </w:r>
          </w:p>
        </w:tc>
        <w:tc>
          <w:tcPr>
            <w:tcW w:w="2025" w:type="dxa"/>
            <w:vAlign w:val="center"/>
          </w:tcPr>
          <w:p>
            <w:pPr>
              <w:pStyle w:val="10"/>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付款方式</w:t>
            </w:r>
          </w:p>
        </w:tc>
        <w:tc>
          <w:tcPr>
            <w:tcW w:w="5466" w:type="dxa"/>
            <w:vAlign w:val="center"/>
          </w:tcPr>
          <w:p>
            <w:pPr>
              <w:pStyle w:val="10"/>
              <w:widowControl w:val="0"/>
              <w:spacing w:before="0" w:beforeAutospacing="0" w:after="0" w:afterAutospacing="0" w:line="360" w:lineRule="auto"/>
              <w:jc w:val="both"/>
              <w:rPr>
                <w:rFonts w:hint="eastAsia" w:ascii="宋体" w:hAnsi="宋体" w:eastAsia="宋体" w:cs="宋体"/>
                <w:b w:val="0"/>
                <w:sz w:val="24"/>
                <w:u w:val="single"/>
                <w:lang w:eastAsia="zh-CN"/>
              </w:rPr>
            </w:pPr>
            <w:r>
              <w:rPr>
                <w:rFonts w:hint="eastAsia" w:ascii="宋体" w:hAnsi="宋体" w:eastAsia="宋体" w:cs="宋体"/>
                <w:b w:val="0"/>
                <w:sz w:val="24"/>
                <w:u w:val="single"/>
              </w:rPr>
              <w:t>采购人付至合同价40%预付款给中标人，中标人提供等额预付款保函或其他担保措施给采购人，项目验收合格后支付剩余款项</w:t>
            </w:r>
            <w:r>
              <w:rPr>
                <w:rFonts w:hint="eastAsia" w:ascii="宋体" w:hAnsi="宋体" w:eastAsia="宋体" w:cs="宋体"/>
                <w:b w:val="0"/>
                <w:sz w:val="24"/>
                <w:u w:val="single"/>
                <w:lang w:eastAsia="zh-CN"/>
              </w:rPr>
              <w:t>并退还保函。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pPr>
              <w:pStyle w:val="9"/>
              <w:pBdr>
                <w:bottom w:val="none" w:color="auto" w:sz="0" w:space="0"/>
              </w:pBdr>
              <w:adjustRightInd/>
              <w:spacing w:line="240" w:lineRule="auto"/>
              <w:textAlignment w:val="auto"/>
              <w:rPr>
                <w:rFonts w:ascii="宋体" w:hAnsi="宋体" w:eastAsia="宋体" w:cs="宋体"/>
                <w:bCs/>
                <w:kern w:val="2"/>
              </w:rPr>
            </w:pPr>
            <w:r>
              <w:rPr>
                <w:rFonts w:hint="eastAsia" w:ascii="宋体" w:hAnsi="宋体" w:eastAsia="宋体" w:cs="宋体"/>
                <w:bCs/>
                <w:kern w:val="2"/>
              </w:rPr>
              <w:t>2</w:t>
            </w:r>
          </w:p>
        </w:tc>
        <w:tc>
          <w:tcPr>
            <w:tcW w:w="2025" w:type="dxa"/>
            <w:vAlign w:val="center"/>
          </w:tcPr>
          <w:p>
            <w:pPr>
              <w:pStyle w:val="10"/>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供货及安装地点</w:t>
            </w:r>
          </w:p>
        </w:tc>
        <w:tc>
          <w:tcPr>
            <w:tcW w:w="5466" w:type="dxa"/>
            <w:vAlign w:val="center"/>
          </w:tcPr>
          <w:p>
            <w:pPr>
              <w:pStyle w:val="10"/>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rPr>
              <w:t>安徽工商职业学院，或采购人指定地点。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pPr>
              <w:pStyle w:val="9"/>
              <w:pBdr>
                <w:bottom w:val="none" w:color="auto" w:sz="0" w:space="0"/>
              </w:pBdr>
              <w:adjustRightInd/>
              <w:spacing w:line="240" w:lineRule="auto"/>
              <w:textAlignment w:val="auto"/>
              <w:rPr>
                <w:rFonts w:ascii="宋体" w:hAnsi="宋体" w:eastAsia="宋体" w:cs="宋体"/>
                <w:bCs/>
                <w:kern w:val="2"/>
              </w:rPr>
            </w:pPr>
            <w:r>
              <w:rPr>
                <w:rFonts w:hint="eastAsia" w:ascii="宋体" w:hAnsi="宋体" w:eastAsia="宋体" w:cs="宋体"/>
                <w:bCs/>
                <w:kern w:val="2"/>
              </w:rPr>
              <w:t>3</w:t>
            </w:r>
          </w:p>
        </w:tc>
        <w:tc>
          <w:tcPr>
            <w:tcW w:w="2025" w:type="dxa"/>
            <w:vAlign w:val="center"/>
          </w:tcPr>
          <w:p>
            <w:pPr>
              <w:pStyle w:val="10"/>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供货及安装期限</w:t>
            </w:r>
          </w:p>
        </w:tc>
        <w:tc>
          <w:tcPr>
            <w:tcW w:w="5466" w:type="dxa"/>
            <w:vAlign w:val="center"/>
          </w:tcPr>
          <w:p>
            <w:pPr>
              <w:pStyle w:val="10"/>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rPr>
              <w:t>合同签订后7天完成供货和安装、调试。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pPr>
              <w:pStyle w:val="9"/>
              <w:pBdr>
                <w:bottom w:val="none" w:color="auto" w:sz="0" w:space="0"/>
              </w:pBdr>
              <w:adjustRightInd/>
              <w:spacing w:line="240" w:lineRule="auto"/>
              <w:textAlignment w:val="auto"/>
              <w:rPr>
                <w:rFonts w:ascii="宋体" w:hAnsi="宋体" w:eastAsia="宋体" w:cs="宋体"/>
                <w:bCs/>
                <w:kern w:val="2"/>
              </w:rPr>
            </w:pPr>
            <w:r>
              <w:rPr>
                <w:rFonts w:hint="eastAsia" w:ascii="宋体" w:hAnsi="宋体" w:eastAsia="宋体" w:cs="宋体"/>
                <w:bCs/>
                <w:kern w:val="2"/>
              </w:rPr>
              <w:t>4</w:t>
            </w:r>
          </w:p>
        </w:tc>
        <w:tc>
          <w:tcPr>
            <w:tcW w:w="2025" w:type="dxa"/>
            <w:vAlign w:val="center"/>
          </w:tcPr>
          <w:p>
            <w:pPr>
              <w:pStyle w:val="10"/>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免费质保期</w:t>
            </w:r>
          </w:p>
        </w:tc>
        <w:tc>
          <w:tcPr>
            <w:tcW w:w="5466" w:type="dxa"/>
            <w:vAlign w:val="center"/>
          </w:tcPr>
          <w:p>
            <w:pPr>
              <w:pStyle w:val="10"/>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rPr>
              <w:t>验收合格之日起3年。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pPr>
              <w:pStyle w:val="9"/>
              <w:pBdr>
                <w:bottom w:val="none" w:color="auto" w:sz="0" w:space="0"/>
              </w:pBdr>
              <w:adjustRightInd/>
              <w:spacing w:line="240" w:lineRule="auto"/>
              <w:textAlignment w:val="auto"/>
              <w:rPr>
                <w:rFonts w:ascii="宋体" w:hAnsi="宋体" w:eastAsia="宋体" w:cs="宋体"/>
                <w:bCs/>
                <w:kern w:val="2"/>
              </w:rPr>
            </w:pPr>
            <w:r>
              <w:rPr>
                <w:rFonts w:hint="eastAsia" w:ascii="宋体" w:hAnsi="宋体" w:eastAsia="宋体" w:cs="宋体"/>
                <w:bCs/>
                <w:kern w:val="2"/>
              </w:rPr>
              <w:t>5</w:t>
            </w:r>
          </w:p>
        </w:tc>
        <w:tc>
          <w:tcPr>
            <w:tcW w:w="2025" w:type="dxa"/>
            <w:vAlign w:val="center"/>
          </w:tcPr>
          <w:p>
            <w:pPr>
              <w:pStyle w:val="10"/>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技术参数响应</w:t>
            </w:r>
          </w:p>
        </w:tc>
        <w:tc>
          <w:tcPr>
            <w:tcW w:w="5466" w:type="dxa"/>
            <w:vAlign w:val="center"/>
          </w:tcPr>
          <w:p>
            <w:pPr>
              <w:pStyle w:val="10"/>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rPr>
              <w:t>标</w:t>
            </w:r>
            <w:r>
              <w:rPr>
                <w:rFonts w:hint="eastAsia" w:ascii="宋体" w:hAnsi="宋体" w:eastAsia="宋体" w:cs="宋体"/>
                <w:sz w:val="24"/>
                <w:szCs w:val="24"/>
              </w:rPr>
              <w:t>★</w:t>
            </w:r>
            <w:r>
              <w:rPr>
                <w:rFonts w:hint="eastAsia" w:ascii="宋体" w:hAnsi="宋体" w:eastAsia="宋体" w:cs="宋体"/>
                <w:b w:val="0"/>
                <w:bCs w:val="0"/>
                <w:sz w:val="24"/>
                <w:szCs w:val="24"/>
              </w:rPr>
              <w:t>的参数超过10项（不含）不满足，投标无效；未标</w:t>
            </w:r>
            <w:r>
              <w:rPr>
                <w:rFonts w:hint="eastAsia" w:ascii="宋体" w:hAnsi="宋体" w:eastAsia="宋体" w:cs="宋体"/>
                <w:sz w:val="24"/>
                <w:szCs w:val="24"/>
              </w:rPr>
              <w:t>★</w:t>
            </w:r>
            <w:r>
              <w:rPr>
                <w:rFonts w:hint="eastAsia" w:ascii="宋体" w:hAnsi="宋体" w:eastAsia="宋体" w:cs="宋体"/>
                <w:b w:val="0"/>
                <w:bCs w:val="0"/>
                <w:sz w:val="24"/>
                <w:szCs w:val="24"/>
              </w:rPr>
              <w:t>的参数超过16项（不含）不满足，投标无效。</w:t>
            </w:r>
          </w:p>
        </w:tc>
      </w:tr>
    </w:tbl>
    <w:p>
      <w:pPr>
        <w:spacing w:line="360" w:lineRule="auto"/>
        <w:ind w:firstLine="437"/>
        <w:rPr>
          <w:rFonts w:ascii="Arial" w:hAnsi="Arial" w:eastAsia="宋体" w:cs="Arial"/>
          <w:b/>
          <w:bCs/>
          <w:sz w:val="24"/>
          <w:szCs w:val="18"/>
        </w:rPr>
      </w:pPr>
      <w:r>
        <w:rPr>
          <w:rFonts w:ascii="Arial" w:hAnsi="Arial" w:eastAsia="宋体" w:cs="Arial"/>
          <w:b/>
          <w:bCs/>
          <w:sz w:val="24"/>
          <w:szCs w:val="18"/>
        </w:rPr>
        <w:t>二、</w:t>
      </w:r>
      <w:r>
        <w:rPr>
          <w:rFonts w:ascii="Arial" w:hAnsi="Arial" w:eastAsia="宋体" w:cs="Arial"/>
          <w:b/>
          <w:sz w:val="24"/>
          <w:szCs w:val="18"/>
        </w:rPr>
        <w:t>货物需求</w:t>
      </w:r>
    </w:p>
    <w:tbl>
      <w:tblPr>
        <w:tblStyle w:val="7"/>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459"/>
        <w:gridCol w:w="4772"/>
        <w:gridCol w:w="491"/>
        <w:gridCol w:w="573"/>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spacing w:line="360" w:lineRule="auto"/>
              <w:jc w:val="center"/>
              <w:rPr>
                <w:rFonts w:ascii="宋体" w:hAnsi="宋体" w:eastAsia="宋体" w:cs="宋体"/>
                <w:b/>
                <w:bCs/>
                <w:sz w:val="24"/>
                <w:szCs w:val="18"/>
              </w:rPr>
            </w:pPr>
            <w:r>
              <w:rPr>
                <w:rFonts w:hint="eastAsia" w:ascii="宋体" w:hAnsi="宋体" w:eastAsia="宋体" w:cs="宋体"/>
                <w:b/>
                <w:bCs/>
                <w:sz w:val="24"/>
                <w:szCs w:val="18"/>
              </w:rPr>
              <w:t>序号</w:t>
            </w:r>
          </w:p>
        </w:tc>
        <w:tc>
          <w:tcPr>
            <w:tcW w:w="1459" w:type="dxa"/>
            <w:vAlign w:val="center"/>
          </w:tcPr>
          <w:p>
            <w:pPr>
              <w:spacing w:line="360" w:lineRule="auto"/>
              <w:jc w:val="center"/>
              <w:rPr>
                <w:rFonts w:ascii="宋体" w:hAnsi="宋体" w:eastAsia="宋体" w:cs="宋体"/>
                <w:b/>
                <w:bCs/>
                <w:sz w:val="24"/>
                <w:szCs w:val="18"/>
              </w:rPr>
            </w:pPr>
            <w:r>
              <w:rPr>
                <w:rFonts w:hint="eastAsia" w:ascii="宋体" w:hAnsi="宋体" w:eastAsia="宋体" w:cs="宋体"/>
                <w:b/>
                <w:bCs/>
                <w:sz w:val="24"/>
                <w:szCs w:val="18"/>
              </w:rPr>
              <w:t>货物名称</w:t>
            </w:r>
          </w:p>
        </w:tc>
        <w:tc>
          <w:tcPr>
            <w:tcW w:w="4772" w:type="dxa"/>
            <w:vAlign w:val="center"/>
          </w:tcPr>
          <w:p>
            <w:pPr>
              <w:spacing w:line="360" w:lineRule="auto"/>
              <w:jc w:val="center"/>
              <w:rPr>
                <w:rFonts w:ascii="宋体" w:hAnsi="宋体" w:eastAsia="宋体" w:cs="宋体"/>
                <w:b/>
                <w:bCs/>
                <w:sz w:val="24"/>
                <w:szCs w:val="18"/>
              </w:rPr>
            </w:pPr>
            <w:r>
              <w:rPr>
                <w:rFonts w:hint="eastAsia" w:ascii="宋体" w:hAnsi="宋体" w:eastAsia="宋体" w:cs="宋体"/>
                <w:b/>
                <w:bCs/>
                <w:sz w:val="24"/>
                <w:szCs w:val="18"/>
              </w:rPr>
              <w:t>技术参数要求</w:t>
            </w:r>
          </w:p>
        </w:tc>
        <w:tc>
          <w:tcPr>
            <w:tcW w:w="491" w:type="dxa"/>
            <w:vAlign w:val="center"/>
          </w:tcPr>
          <w:p>
            <w:pPr>
              <w:spacing w:line="360" w:lineRule="auto"/>
              <w:jc w:val="center"/>
              <w:rPr>
                <w:rFonts w:ascii="宋体" w:hAnsi="宋体" w:eastAsia="宋体" w:cs="宋体"/>
                <w:b/>
                <w:bCs/>
                <w:sz w:val="24"/>
                <w:szCs w:val="18"/>
              </w:rPr>
            </w:pPr>
            <w:r>
              <w:rPr>
                <w:rFonts w:hint="eastAsia" w:ascii="宋体" w:hAnsi="宋体" w:eastAsia="宋体" w:cs="宋体"/>
                <w:b/>
                <w:bCs/>
                <w:sz w:val="24"/>
                <w:szCs w:val="18"/>
              </w:rPr>
              <w:t>单位</w:t>
            </w:r>
          </w:p>
        </w:tc>
        <w:tc>
          <w:tcPr>
            <w:tcW w:w="573" w:type="dxa"/>
            <w:vAlign w:val="center"/>
          </w:tcPr>
          <w:p>
            <w:pPr>
              <w:spacing w:line="360" w:lineRule="auto"/>
              <w:jc w:val="center"/>
              <w:rPr>
                <w:rFonts w:ascii="宋体" w:hAnsi="宋体" w:eastAsia="宋体" w:cs="宋体"/>
                <w:b/>
                <w:bCs/>
                <w:sz w:val="24"/>
                <w:szCs w:val="18"/>
              </w:rPr>
            </w:pPr>
            <w:r>
              <w:rPr>
                <w:rFonts w:hint="eastAsia" w:ascii="宋体" w:hAnsi="宋体" w:eastAsia="宋体" w:cs="宋体"/>
                <w:b/>
                <w:bCs/>
                <w:sz w:val="24"/>
                <w:szCs w:val="18"/>
              </w:rPr>
              <w:t>数量</w:t>
            </w:r>
          </w:p>
        </w:tc>
        <w:tc>
          <w:tcPr>
            <w:tcW w:w="576" w:type="dxa"/>
            <w:vAlign w:val="center"/>
          </w:tcPr>
          <w:p>
            <w:pPr>
              <w:spacing w:line="360" w:lineRule="auto"/>
              <w:jc w:val="center"/>
              <w:rPr>
                <w:rFonts w:ascii="宋体" w:hAnsi="宋体" w:eastAsia="宋体" w:cs="宋体"/>
                <w:b/>
                <w:bCs/>
                <w:sz w:val="24"/>
                <w:szCs w:val="18"/>
              </w:rPr>
            </w:pPr>
            <w:r>
              <w:rPr>
                <w:rFonts w:hint="eastAsia" w:ascii="宋体" w:hAnsi="宋体" w:eastAsia="宋体" w:cs="宋体"/>
                <w:b/>
                <w:bCs/>
                <w:sz w:val="24"/>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24" w:type="dxa"/>
            <w:vAlign w:val="center"/>
          </w:tcPr>
          <w:p>
            <w:pPr>
              <w:spacing w:line="360" w:lineRule="auto"/>
              <w:jc w:val="center"/>
              <w:rPr>
                <w:rFonts w:ascii="宋体" w:hAnsi="宋体" w:eastAsia="宋体" w:cs="宋体"/>
                <w:sz w:val="24"/>
                <w:szCs w:val="18"/>
              </w:rPr>
            </w:pPr>
            <w:r>
              <w:rPr>
                <w:rFonts w:hint="eastAsia" w:ascii="宋体" w:hAnsi="宋体" w:eastAsia="宋体" w:cs="宋体"/>
                <w:sz w:val="24"/>
                <w:szCs w:val="18"/>
              </w:rPr>
              <w:t>1</w:t>
            </w:r>
          </w:p>
        </w:tc>
        <w:tc>
          <w:tcPr>
            <w:tcW w:w="1459" w:type="dxa"/>
            <w:vAlign w:val="center"/>
          </w:tcPr>
          <w:p>
            <w:pPr>
              <w:widowControl/>
              <w:spacing w:line="360" w:lineRule="auto"/>
              <w:jc w:val="left"/>
              <w:rPr>
                <w:rFonts w:ascii="宋体" w:hAnsi="宋体" w:eastAsia="宋体" w:cs="宋体"/>
                <w:bCs/>
                <w:sz w:val="24"/>
                <w:szCs w:val="18"/>
              </w:rPr>
            </w:pPr>
            <w:r>
              <w:rPr>
                <w:rFonts w:ascii="Arial" w:hAnsi="Arial" w:eastAsia="宋体" w:cs="Arial"/>
                <w:sz w:val="24"/>
                <w:szCs w:val="18"/>
              </w:rPr>
              <w:t>▲</w:t>
            </w:r>
            <w:r>
              <w:rPr>
                <w:rFonts w:hint="eastAsia" w:ascii="宋体" w:hAnsi="宋体" w:eastAsia="宋体" w:cs="宋体"/>
                <w:szCs w:val="21"/>
              </w:rPr>
              <w:t>银行业务综合技能（数字金融）竞赛平台</w:t>
            </w:r>
          </w:p>
        </w:tc>
        <w:tc>
          <w:tcPr>
            <w:tcW w:w="4772" w:type="dxa"/>
            <w:vAlign w:val="center"/>
          </w:tcPr>
          <w:p>
            <w:pPr>
              <w:pStyle w:val="11"/>
              <w:spacing w:line="360" w:lineRule="auto"/>
              <w:rPr>
                <w:rFonts w:ascii="宋体" w:hAnsi="宋体" w:eastAsia="宋体" w:cs="宋体"/>
                <w:szCs w:val="21"/>
              </w:rPr>
            </w:pPr>
            <w:r>
              <w:rPr>
                <w:rFonts w:hint="eastAsia" w:ascii="宋体" w:hAnsi="宋体" w:eastAsia="宋体" w:cs="宋体"/>
                <w:szCs w:val="21"/>
              </w:rPr>
              <w:t>1.系统应为B/S结构，支持云端及本地服务器部署，无点数限制。</w:t>
            </w:r>
          </w:p>
          <w:p>
            <w:pPr>
              <w:pStyle w:val="12"/>
              <w:spacing w:after="156" w:afterLines="50" w:line="360" w:lineRule="auto"/>
              <w:rPr>
                <w:rFonts w:ascii="宋体" w:hAnsi="宋体" w:eastAsia="宋体" w:cs="宋体"/>
                <w:szCs w:val="21"/>
              </w:rPr>
            </w:pPr>
            <w:r>
              <w:rPr>
                <w:rFonts w:hint="eastAsia" w:ascii="宋体" w:hAnsi="宋体" w:eastAsia="宋体" w:cs="宋体"/>
                <w:szCs w:val="21"/>
              </w:rPr>
              <w:t>2.系统应采用模块化设计，提供前台操作以及后台管理系统。后台管理系统应具有设置竞赛账号和设置竞赛任务管理，成绩管理等十三个模块，具备实时成绩播报功能。</w:t>
            </w:r>
          </w:p>
          <w:p>
            <w:pPr>
              <w:pStyle w:val="12"/>
              <w:spacing w:after="156" w:afterLines="50" w:line="360" w:lineRule="auto"/>
              <w:rPr>
                <w:rFonts w:ascii="宋体" w:hAnsi="宋体" w:eastAsia="宋体" w:cs="宋体"/>
                <w:szCs w:val="21"/>
              </w:rPr>
            </w:pPr>
            <w:r>
              <w:rPr>
                <w:rFonts w:hint="eastAsia" w:ascii="宋体" w:hAnsi="宋体" w:eastAsia="宋体" w:cs="宋体"/>
                <w:szCs w:val="21"/>
              </w:rPr>
              <w:t>3.</w:t>
            </w:r>
            <w:r>
              <w:rPr>
                <w:rFonts w:hint="eastAsia" w:ascii="Arial" w:hAnsi="Arial" w:eastAsia="宋体" w:cs="Arial"/>
                <w:sz w:val="24"/>
                <w:szCs w:val="18"/>
              </w:rPr>
              <w:t>★</w:t>
            </w:r>
            <w:r>
              <w:rPr>
                <w:rFonts w:hint="eastAsia" w:ascii="宋体" w:hAnsi="宋体" w:eastAsia="宋体" w:cs="宋体"/>
                <w:szCs w:val="21"/>
              </w:rPr>
              <w:t>系统应内置不少于900道客观题，还可提供批量导题功能，3种题型应至少有单选题、判断题，应可体现题目相同顺序不同以及题目序号都不相同等至少三种不同方式进行组卷。教师应可查看学生卷面作答情况及成绩，系统应具备给考试补时以延长考试时间和清除成绩进行重考。</w:t>
            </w:r>
            <w:r>
              <w:rPr>
                <w:rFonts w:hint="eastAsia" w:ascii="宋体" w:hAnsi="宋体" w:eastAsia="宋体" w:cs="宋体"/>
                <w:b/>
                <w:bCs/>
                <w:szCs w:val="21"/>
              </w:rPr>
              <w:t>（本条参数须提供产品功能截图,若未能提供或不满足本项要求，本项不得分。）</w:t>
            </w:r>
          </w:p>
          <w:p>
            <w:pPr>
              <w:pStyle w:val="12"/>
              <w:spacing w:after="156" w:afterLines="50" w:line="360" w:lineRule="auto"/>
              <w:rPr>
                <w:rFonts w:ascii="宋体" w:hAnsi="宋体" w:eastAsia="宋体" w:cs="宋体"/>
                <w:szCs w:val="21"/>
              </w:rPr>
            </w:pPr>
            <w:r>
              <w:rPr>
                <w:rFonts w:hint="eastAsia" w:ascii="宋体" w:hAnsi="宋体" w:eastAsia="宋体" w:cs="宋体"/>
                <w:szCs w:val="21"/>
              </w:rPr>
              <w:t>4.系统应支持具有团队模式的竞赛方式，至少应有大数据金融、量化金融和区块链金融版块。应体现有证券交易所、航空公司、保险公司、银行、投资者、大数据采集、分析和应用等角色人员。</w:t>
            </w:r>
          </w:p>
          <w:p>
            <w:pPr>
              <w:pStyle w:val="11"/>
              <w:spacing w:line="360" w:lineRule="auto"/>
              <w:rPr>
                <w:rFonts w:ascii="宋体" w:hAnsi="宋体" w:eastAsia="宋体" w:cs="宋体"/>
                <w:szCs w:val="21"/>
              </w:rPr>
            </w:pPr>
            <w:r>
              <w:rPr>
                <w:rFonts w:hint="eastAsia" w:ascii="宋体" w:hAnsi="宋体" w:eastAsia="宋体" w:cs="宋体"/>
                <w:szCs w:val="21"/>
              </w:rPr>
              <w:t>5.大数据分析人员应可通过数据分析获取可视化用户画像，应至少经过进漏斗分析，通过用户画像进行进行定向营销，系统应内置不少于17种产品类型。</w:t>
            </w:r>
          </w:p>
          <w:p>
            <w:pPr>
              <w:pStyle w:val="11"/>
              <w:spacing w:line="360" w:lineRule="auto"/>
              <w:rPr>
                <w:rFonts w:ascii="宋体" w:hAnsi="宋体" w:eastAsia="宋体" w:cs="宋体"/>
                <w:szCs w:val="21"/>
              </w:rPr>
            </w:pPr>
            <w:r>
              <w:rPr>
                <w:rFonts w:hint="eastAsia" w:ascii="宋体" w:hAnsi="宋体" w:eastAsia="宋体" w:cs="宋体"/>
                <w:szCs w:val="21"/>
              </w:rPr>
              <w:t>6.量化金融应满足可设置多种策略并进行股票期货投资回测，应可在沪深交易所上市股票中筛选股票。</w:t>
            </w:r>
          </w:p>
          <w:p>
            <w:pPr>
              <w:pStyle w:val="12"/>
              <w:spacing w:after="156" w:afterLines="50" w:line="360" w:lineRule="auto"/>
              <w:rPr>
                <w:rFonts w:ascii="宋体" w:hAnsi="宋体" w:eastAsia="宋体" w:cs="宋体"/>
                <w:szCs w:val="21"/>
              </w:rPr>
            </w:pPr>
            <w:r>
              <w:rPr>
                <w:rFonts w:hint="eastAsia" w:ascii="宋体" w:hAnsi="宋体" w:eastAsia="宋体" w:cs="宋体"/>
                <w:szCs w:val="21"/>
              </w:rPr>
              <w:t>7.</w:t>
            </w:r>
            <w:r>
              <w:rPr>
                <w:rFonts w:hint="eastAsia" w:ascii="Arial" w:hAnsi="Arial" w:eastAsia="宋体" w:cs="Arial"/>
                <w:sz w:val="24"/>
                <w:szCs w:val="18"/>
              </w:rPr>
              <w:t>★</w:t>
            </w:r>
            <w:r>
              <w:rPr>
                <w:rFonts w:hint="eastAsia" w:ascii="宋体" w:hAnsi="宋体" w:eastAsia="宋体" w:cs="宋体"/>
                <w:szCs w:val="21"/>
              </w:rPr>
              <w:t>区块链设计应包含八大功能菜单，至少应体现机构认证、链管理、智能合约、通知管理和广播消息等。应可创建公有链、联盟链、专有链，可对节点进行共识管理，在公共账本中可对所有链的交易信息进行溯源，应可触发智能合约转账及在商城购买额外算力。应可实时显示链上的消息，至少应有申请通知、邀请通知、冻结通知、解冻通知等5种。</w:t>
            </w:r>
            <w:r>
              <w:rPr>
                <w:rFonts w:hint="eastAsia" w:ascii="宋体" w:hAnsi="宋体" w:eastAsia="宋体" w:cs="宋体"/>
                <w:b/>
                <w:bCs/>
                <w:szCs w:val="21"/>
              </w:rPr>
              <w:t>（本条参数须提供产品功能截图,若未能提供或不满足本项要求，本项不得分。）</w:t>
            </w:r>
          </w:p>
          <w:p>
            <w:pPr>
              <w:pStyle w:val="11"/>
              <w:spacing w:line="360" w:lineRule="auto"/>
              <w:rPr>
                <w:rFonts w:ascii="宋体" w:hAnsi="宋体" w:eastAsia="宋体" w:cs="宋体"/>
                <w:szCs w:val="21"/>
              </w:rPr>
            </w:pPr>
            <w:r>
              <w:rPr>
                <w:rFonts w:hint="eastAsia" w:ascii="宋体" w:hAnsi="宋体" w:eastAsia="宋体" w:cs="宋体"/>
                <w:szCs w:val="21"/>
              </w:rPr>
              <w:t>8.链应用应支持个人模式，应至少包含票据、供应链金融，债券，保函，资产证券化，航空意外险，航空延误险，跨境支付八大场景。</w:t>
            </w:r>
          </w:p>
          <w:p>
            <w:pPr>
              <w:pStyle w:val="11"/>
              <w:spacing w:line="360" w:lineRule="auto"/>
              <w:rPr>
                <w:rFonts w:ascii="宋体" w:hAnsi="宋体" w:eastAsia="宋体" w:cs="宋体"/>
                <w:szCs w:val="21"/>
              </w:rPr>
            </w:pPr>
            <w:r>
              <w:rPr>
                <w:rFonts w:hint="eastAsia" w:ascii="宋体" w:hAnsi="宋体" w:eastAsia="宋体" w:cs="宋体"/>
                <w:szCs w:val="21"/>
              </w:rPr>
              <w:t>9.票据模块应包体现公共账本、智能合约、承兑、贴现等主要的业务功能模块，应不少于40个模拟区块链票据应用场景。</w:t>
            </w:r>
          </w:p>
          <w:p>
            <w:pPr>
              <w:pStyle w:val="11"/>
              <w:spacing w:line="360" w:lineRule="auto"/>
              <w:rPr>
                <w:rFonts w:ascii="宋体" w:hAnsi="宋体" w:eastAsia="宋体" w:cs="宋体"/>
                <w:szCs w:val="21"/>
              </w:rPr>
            </w:pPr>
            <w:r>
              <w:rPr>
                <w:rFonts w:hint="eastAsia" w:ascii="宋体" w:hAnsi="宋体" w:eastAsia="宋体" w:cs="宋体"/>
                <w:szCs w:val="21"/>
              </w:rPr>
              <w:t>10.供应链金融应包含智能合约、签发、转让平台、公共账本等功能模块，应不少于35个模拟区块链供应链金融应用场景。</w:t>
            </w:r>
          </w:p>
          <w:p>
            <w:pPr>
              <w:pStyle w:val="11"/>
              <w:spacing w:line="360" w:lineRule="auto"/>
              <w:rPr>
                <w:rFonts w:ascii="宋体" w:hAnsi="宋体" w:eastAsia="宋体" w:cs="宋体"/>
                <w:szCs w:val="21"/>
              </w:rPr>
            </w:pPr>
            <w:r>
              <w:rPr>
                <w:rFonts w:hint="eastAsia" w:ascii="宋体" w:hAnsi="宋体" w:eastAsia="宋体" w:cs="宋体"/>
                <w:szCs w:val="21"/>
              </w:rPr>
              <w:t>11.保函应包含智能合约、保函申请、保函修改等主要业务模块，学生通过任务操作可模拟熟练区块链保函业务的操作，应不少于18个模拟区块链保函应用场景。</w:t>
            </w:r>
          </w:p>
          <w:p>
            <w:pPr>
              <w:pStyle w:val="11"/>
              <w:spacing w:line="360" w:lineRule="auto"/>
              <w:rPr>
                <w:rFonts w:ascii="宋体" w:hAnsi="宋体" w:eastAsia="宋体" w:cs="宋体"/>
                <w:szCs w:val="21"/>
              </w:rPr>
            </w:pPr>
            <w:r>
              <w:rPr>
                <w:rFonts w:hint="eastAsia" w:ascii="宋体" w:hAnsi="宋体" w:eastAsia="宋体" w:cs="宋体"/>
                <w:szCs w:val="21"/>
              </w:rPr>
              <w:t>12.区块链债券平台应包含智能合约、发行、承销、申购等六个模块，学生可通过模块体验债券业务操作，应不少于20个模拟区块链债券应用场景。</w:t>
            </w:r>
          </w:p>
          <w:p>
            <w:pPr>
              <w:spacing w:line="360" w:lineRule="auto"/>
              <w:ind w:firstLine="420" w:firstLineChars="200"/>
              <w:rPr>
                <w:rFonts w:ascii="宋体" w:hAnsi="宋体" w:eastAsia="宋体" w:cs="宋体"/>
                <w:szCs w:val="21"/>
              </w:rPr>
            </w:pPr>
            <w:r>
              <w:rPr>
                <w:rFonts w:hint="eastAsia" w:ascii="宋体" w:hAnsi="宋体" w:eastAsia="宋体" w:cs="宋体"/>
                <w:szCs w:val="21"/>
              </w:rPr>
              <w:t>13.资产证券化应能体现（发起人）企业、（发起人）银行、特殊目的机构(SPV)、特殊目的信托(SPT）等七类角色，学生模拟资产证券化完整流程，应不少于25个模拟区块链资产证券化应用场景。</w:t>
            </w:r>
          </w:p>
          <w:p>
            <w:pPr>
              <w:pStyle w:val="11"/>
              <w:spacing w:line="360" w:lineRule="auto"/>
              <w:rPr>
                <w:rFonts w:ascii="宋体" w:hAnsi="宋体" w:eastAsia="宋体" w:cs="宋体"/>
                <w:szCs w:val="21"/>
              </w:rPr>
            </w:pPr>
            <w:r>
              <w:rPr>
                <w:rFonts w:hint="eastAsia" w:ascii="宋体" w:hAnsi="宋体" w:eastAsia="宋体" w:cs="宋体"/>
                <w:szCs w:val="21"/>
              </w:rPr>
              <w:t>14.航班延误险应不少于10个模拟区块链航空延误险应用场景。</w:t>
            </w:r>
          </w:p>
          <w:p>
            <w:pPr>
              <w:pStyle w:val="11"/>
              <w:spacing w:line="360" w:lineRule="auto"/>
              <w:rPr>
                <w:rFonts w:ascii="宋体" w:hAnsi="宋体" w:eastAsia="宋体" w:cs="宋体"/>
                <w:szCs w:val="21"/>
              </w:rPr>
            </w:pPr>
            <w:r>
              <w:rPr>
                <w:rFonts w:hint="eastAsia" w:ascii="宋体" w:hAnsi="宋体" w:eastAsia="宋体" w:cs="宋体"/>
                <w:szCs w:val="21"/>
              </w:rPr>
              <w:t>15.航空意外险应不少于20个模拟区块链航空意外险应用场景。</w:t>
            </w:r>
          </w:p>
          <w:p>
            <w:pPr>
              <w:pStyle w:val="11"/>
              <w:spacing w:line="360" w:lineRule="auto"/>
              <w:rPr>
                <w:rFonts w:ascii="宋体" w:hAnsi="宋体" w:eastAsia="宋体" w:cs="宋体"/>
                <w:szCs w:val="21"/>
              </w:rPr>
            </w:pPr>
            <w:r>
              <w:rPr>
                <w:rFonts w:hint="eastAsia" w:ascii="宋体" w:hAnsi="宋体" w:eastAsia="宋体" w:cs="宋体"/>
                <w:szCs w:val="21"/>
              </w:rPr>
              <w:t>16.跨境支付应可通过触发智能合约执行跨境支付，跨境支付币种应有美元、英镑、欧元等5种货币，应不少于25个模拟区块链跨境支付应用场景。</w:t>
            </w:r>
          </w:p>
          <w:p>
            <w:pPr>
              <w:pStyle w:val="11"/>
              <w:spacing w:line="360" w:lineRule="auto"/>
              <w:rPr>
                <w:rFonts w:ascii="宋体" w:hAnsi="宋体" w:eastAsia="宋体" w:cs="宋体"/>
                <w:b/>
                <w:bCs/>
                <w:szCs w:val="21"/>
              </w:rPr>
            </w:pPr>
            <w:r>
              <w:rPr>
                <w:rFonts w:hint="eastAsia" w:ascii="宋体" w:hAnsi="宋体" w:eastAsia="宋体" w:cs="宋体"/>
                <w:szCs w:val="21"/>
              </w:rPr>
              <w:t>17.</w:t>
            </w:r>
            <w:r>
              <w:rPr>
                <w:rFonts w:hint="eastAsia" w:ascii="Arial" w:hAnsi="Arial" w:eastAsia="宋体" w:cs="Arial"/>
                <w:sz w:val="24"/>
                <w:szCs w:val="18"/>
              </w:rPr>
              <w:t>★</w:t>
            </w:r>
            <w:r>
              <w:rPr>
                <w:rFonts w:hint="eastAsia" w:ascii="宋体" w:hAnsi="宋体" w:eastAsia="宋体" w:cs="宋体"/>
                <w:szCs w:val="21"/>
              </w:rPr>
              <w:t>系统应能满足教育部银行业务综合技能竞赛数字金融业务操作赛项的要求。</w:t>
            </w:r>
            <w:r>
              <w:rPr>
                <w:rFonts w:hint="eastAsia" w:ascii="宋体" w:hAnsi="宋体" w:eastAsia="宋体" w:cs="宋体"/>
                <w:b/>
                <w:bCs/>
                <w:szCs w:val="21"/>
              </w:rPr>
              <w:t>（需提供相关证明材料或承诺函）。</w:t>
            </w:r>
          </w:p>
          <w:p>
            <w:pPr>
              <w:pStyle w:val="12"/>
              <w:spacing w:after="156" w:afterLines="50" w:line="360" w:lineRule="auto"/>
              <w:rPr>
                <w:rFonts w:ascii="宋体" w:hAnsi="宋体" w:eastAsia="宋体" w:cs="宋体"/>
                <w:bCs/>
                <w:szCs w:val="21"/>
              </w:rPr>
            </w:pPr>
            <w:r>
              <w:rPr>
                <w:rFonts w:hint="eastAsia" w:ascii="宋体" w:hAnsi="宋体" w:eastAsia="宋体" w:cs="宋体"/>
                <w:szCs w:val="21"/>
              </w:rPr>
              <w:t>18.提供计算机软件著作权登记证书，并与招标的软件产品一致。</w:t>
            </w:r>
          </w:p>
        </w:tc>
        <w:tc>
          <w:tcPr>
            <w:tcW w:w="491" w:type="dxa"/>
            <w:vAlign w:val="center"/>
          </w:tcPr>
          <w:p>
            <w:pPr>
              <w:widowControl/>
              <w:spacing w:line="360" w:lineRule="auto"/>
              <w:jc w:val="center"/>
              <w:rPr>
                <w:rFonts w:ascii="宋体" w:hAnsi="宋体" w:eastAsia="宋体" w:cs="宋体"/>
                <w:bCs/>
                <w:sz w:val="24"/>
                <w:szCs w:val="18"/>
              </w:rPr>
            </w:pPr>
            <w:r>
              <w:rPr>
                <w:rFonts w:hint="eastAsia" w:ascii="宋体" w:hAnsi="宋体" w:eastAsia="宋体" w:cs="宋体"/>
                <w:bCs/>
                <w:kern w:val="0"/>
                <w:szCs w:val="21"/>
              </w:rPr>
              <w:t>套</w:t>
            </w:r>
          </w:p>
        </w:tc>
        <w:tc>
          <w:tcPr>
            <w:tcW w:w="573" w:type="dxa"/>
            <w:vAlign w:val="center"/>
          </w:tcPr>
          <w:p>
            <w:pPr>
              <w:spacing w:line="360" w:lineRule="auto"/>
              <w:jc w:val="center"/>
              <w:rPr>
                <w:rFonts w:ascii="宋体" w:hAnsi="宋体" w:eastAsia="宋体" w:cs="宋体"/>
                <w:bCs/>
                <w:sz w:val="24"/>
                <w:szCs w:val="18"/>
              </w:rPr>
            </w:pPr>
            <w:r>
              <w:rPr>
                <w:rFonts w:hint="eastAsia" w:ascii="宋体" w:hAnsi="宋体" w:eastAsia="宋体" w:cs="宋体"/>
                <w:bCs/>
                <w:kern w:val="0"/>
                <w:szCs w:val="21"/>
              </w:rPr>
              <w:t>1</w:t>
            </w:r>
          </w:p>
        </w:tc>
        <w:tc>
          <w:tcPr>
            <w:tcW w:w="576" w:type="dxa"/>
            <w:vAlign w:val="center"/>
          </w:tcPr>
          <w:p>
            <w:pPr>
              <w:spacing w:line="360" w:lineRule="auto"/>
              <w:jc w:val="center"/>
              <w:rPr>
                <w:rFonts w:ascii="宋体" w:hAnsi="宋体" w:eastAsia="宋体" w:cs="宋体"/>
                <w:bCs/>
                <w:sz w:val="24"/>
                <w:szCs w:val="18"/>
              </w:rPr>
            </w:pPr>
            <w:r>
              <w:rPr>
                <w:rFonts w:hint="eastAsia" w:ascii="宋体" w:hAnsi="宋体" w:eastAsia="宋体" w:cs="宋体"/>
                <w:bCs/>
                <w:sz w:val="24"/>
                <w:szCs w:val="18"/>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spacing w:line="360" w:lineRule="auto"/>
              <w:jc w:val="center"/>
              <w:rPr>
                <w:rFonts w:ascii="宋体" w:hAnsi="宋体" w:eastAsia="宋体" w:cs="宋体"/>
                <w:sz w:val="24"/>
                <w:szCs w:val="18"/>
              </w:rPr>
            </w:pPr>
            <w:r>
              <w:rPr>
                <w:rFonts w:hint="eastAsia" w:ascii="宋体" w:hAnsi="宋体" w:eastAsia="宋体" w:cs="宋体"/>
                <w:sz w:val="24"/>
                <w:szCs w:val="18"/>
              </w:rPr>
              <w:t>2</w:t>
            </w:r>
          </w:p>
        </w:tc>
        <w:tc>
          <w:tcPr>
            <w:tcW w:w="1459" w:type="dxa"/>
            <w:vAlign w:val="center"/>
          </w:tcPr>
          <w:p>
            <w:pPr>
              <w:widowControl/>
              <w:spacing w:line="360" w:lineRule="auto"/>
              <w:jc w:val="center"/>
              <w:rPr>
                <w:rFonts w:ascii="宋体" w:hAnsi="宋体" w:eastAsia="宋体" w:cs="宋体"/>
                <w:bCs/>
                <w:sz w:val="24"/>
                <w:szCs w:val="18"/>
              </w:rPr>
            </w:pPr>
            <w:r>
              <w:rPr>
                <w:rFonts w:hint="eastAsia" w:ascii="宋体" w:hAnsi="宋体" w:eastAsia="宋体" w:cs="宋体"/>
                <w:szCs w:val="21"/>
              </w:rPr>
              <w:t>数字金融应用技能训练平台软件</w:t>
            </w:r>
          </w:p>
        </w:tc>
        <w:tc>
          <w:tcPr>
            <w:tcW w:w="4772" w:type="dxa"/>
            <w:vAlign w:val="center"/>
          </w:tcPr>
          <w:p>
            <w:pPr>
              <w:pStyle w:val="11"/>
              <w:spacing w:line="360" w:lineRule="auto"/>
              <w:rPr>
                <w:rFonts w:ascii="宋体" w:hAnsi="宋体" w:eastAsia="宋体" w:cs="宋体"/>
                <w:bCs/>
                <w:szCs w:val="21"/>
              </w:rPr>
            </w:pPr>
            <w:r>
              <w:rPr>
                <w:rFonts w:hint="eastAsia" w:ascii="宋体" w:hAnsi="宋体" w:eastAsia="宋体" w:cs="宋体"/>
                <w:bCs/>
                <w:szCs w:val="21"/>
              </w:rPr>
              <w:t>1.系统应为B/S结构，支持云端及本地服务器部署，无点数限制。</w:t>
            </w:r>
          </w:p>
          <w:p>
            <w:pPr>
              <w:pStyle w:val="11"/>
              <w:spacing w:line="360" w:lineRule="auto"/>
              <w:rPr>
                <w:rFonts w:ascii="宋体" w:hAnsi="宋体" w:eastAsia="宋体" w:cs="宋体"/>
                <w:bCs/>
                <w:szCs w:val="21"/>
              </w:rPr>
            </w:pPr>
            <w:r>
              <w:rPr>
                <w:rFonts w:hint="eastAsia" w:ascii="宋体" w:hAnsi="宋体" w:eastAsia="宋体" w:cs="宋体"/>
                <w:bCs/>
                <w:szCs w:val="21"/>
              </w:rPr>
              <w:t xml:space="preserve">2.系统应采用模块化设计，后台管理系统应具有设置训练账号和设置训练任务管理、成绩查询、股票池等九大模块。 </w:t>
            </w:r>
          </w:p>
          <w:p>
            <w:pPr>
              <w:pStyle w:val="11"/>
              <w:spacing w:line="360" w:lineRule="auto"/>
              <w:rPr>
                <w:rFonts w:ascii="宋体" w:hAnsi="宋体" w:eastAsia="宋体" w:cs="宋体"/>
                <w:bCs/>
                <w:szCs w:val="21"/>
              </w:rPr>
            </w:pPr>
            <w:r>
              <w:rPr>
                <w:rFonts w:hint="eastAsia" w:ascii="宋体" w:hAnsi="宋体" w:eastAsia="宋体" w:cs="宋体"/>
                <w:bCs/>
                <w:szCs w:val="21"/>
              </w:rPr>
              <w:t xml:space="preserve">3.系统应内置不少于900道客观题，教师在组卷完成后应可查看卷面情况是否满足考试要求，教师可将生成的试卷导出，教师应可查看学生卷面作答情况及成绩和作答用时。 </w:t>
            </w:r>
          </w:p>
          <w:p>
            <w:pPr>
              <w:pStyle w:val="11"/>
              <w:spacing w:line="360" w:lineRule="auto"/>
              <w:rPr>
                <w:rFonts w:ascii="宋体" w:hAnsi="宋体" w:eastAsia="宋体" w:cs="宋体"/>
                <w:bCs/>
                <w:szCs w:val="21"/>
              </w:rPr>
            </w:pPr>
            <w:r>
              <w:rPr>
                <w:rFonts w:hint="eastAsia" w:ascii="宋体" w:hAnsi="宋体" w:eastAsia="宋体" w:cs="宋体"/>
                <w:bCs/>
                <w:szCs w:val="21"/>
              </w:rPr>
              <w:t xml:space="preserve">4.系统应可提供批量导题功能，3种题型应至少有单选题、多选题，系统应可体现题目相同顺序相同以及题目序号都不相同等至少三种不同方式进行组卷。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5.系统应提供至少两种训练模式（应有个人模式），系统应体现有保险公司、银行、投资者、大数据采集、证券交易所、航空公司、大数据分析和大数据应用等角色人员。</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6.</w:t>
            </w:r>
            <w:r>
              <w:rPr>
                <w:rFonts w:hint="eastAsia" w:ascii="Arial" w:hAnsi="Arial" w:eastAsia="宋体" w:cs="Arial"/>
                <w:sz w:val="24"/>
                <w:szCs w:val="18"/>
              </w:rPr>
              <w:t>★</w:t>
            </w:r>
            <w:r>
              <w:rPr>
                <w:rFonts w:hint="eastAsia" w:ascii="宋体" w:hAnsi="宋体" w:eastAsia="宋体" w:cs="宋体"/>
                <w:bCs/>
                <w:szCs w:val="21"/>
              </w:rPr>
              <w:t>系统内置业务操作题应不少于九套，每套题任务数量应不少于24个，系统应支持教师一次性开放所有题库给学生进行训练，学生可根据训练计划自主安排训练。</w:t>
            </w:r>
            <w:r>
              <w:rPr>
                <w:rFonts w:hint="eastAsia" w:ascii="宋体" w:hAnsi="宋体" w:eastAsia="宋体" w:cs="宋体"/>
                <w:b/>
                <w:szCs w:val="21"/>
              </w:rPr>
              <w:t>（本条参数需提供产品功能截图,若未能提供或不满足本项要求，本项不得分。）</w:t>
            </w:r>
          </w:p>
          <w:p>
            <w:pPr>
              <w:spacing w:line="360" w:lineRule="auto"/>
              <w:ind w:firstLine="420" w:firstLineChars="200"/>
              <w:rPr>
                <w:rFonts w:ascii="宋体" w:hAnsi="宋体" w:eastAsia="宋体" w:cs="宋体"/>
                <w:b/>
                <w:szCs w:val="21"/>
              </w:rPr>
            </w:pPr>
            <w:r>
              <w:rPr>
                <w:rFonts w:hint="eastAsia" w:ascii="宋体" w:hAnsi="宋体" w:eastAsia="宋体" w:cs="宋体"/>
                <w:bCs/>
                <w:szCs w:val="21"/>
              </w:rPr>
              <w:t>7.系统应支持学生在训练完成后在学生端查看训练成绩，系统应可统计分析学生成绩，通过可视化展示学生成绩变化。</w:t>
            </w:r>
          </w:p>
          <w:p>
            <w:pPr>
              <w:pStyle w:val="11"/>
              <w:spacing w:line="360" w:lineRule="auto"/>
              <w:rPr>
                <w:rFonts w:ascii="宋体" w:hAnsi="宋体" w:eastAsia="宋体" w:cs="宋体"/>
                <w:bCs/>
                <w:szCs w:val="21"/>
              </w:rPr>
            </w:pPr>
            <w:r>
              <w:rPr>
                <w:rFonts w:hint="eastAsia" w:ascii="宋体" w:hAnsi="宋体" w:eastAsia="宋体" w:cs="宋体"/>
                <w:bCs/>
                <w:szCs w:val="21"/>
              </w:rPr>
              <w:t>8.系统应支持学生训练提交结束后显示学生成绩，学生可在学生端查看作答对错，成绩不理想的可在学生端自主清除数据重新作答。</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9.</w:t>
            </w:r>
            <w:r>
              <w:rPr>
                <w:rFonts w:hint="eastAsia" w:ascii="Arial" w:hAnsi="Arial" w:eastAsia="宋体" w:cs="Arial"/>
                <w:sz w:val="24"/>
                <w:szCs w:val="18"/>
              </w:rPr>
              <w:t>★</w:t>
            </w:r>
            <w:r>
              <w:rPr>
                <w:rFonts w:hint="eastAsia" w:ascii="宋体" w:hAnsi="宋体" w:eastAsia="宋体" w:cs="宋体"/>
                <w:bCs/>
                <w:szCs w:val="21"/>
              </w:rPr>
              <w:t>大数据分析人员应可通过数据分析获取可视化用户画像，应至少经过进漏斗分析，系统应内置投资经验、投资渠道、预期投资期限、常用APP等多种筛选条件，通过用户画像进行进行定向营销。</w:t>
            </w:r>
            <w:r>
              <w:rPr>
                <w:rFonts w:hint="eastAsia" w:ascii="宋体" w:hAnsi="宋体" w:eastAsia="宋体" w:cs="宋体"/>
                <w:b/>
                <w:szCs w:val="21"/>
              </w:rPr>
              <w:t>（本条参数需提供产品功能截图,若未能提供或不满足本项要求，本项不得分。）</w:t>
            </w:r>
          </w:p>
          <w:p>
            <w:pPr>
              <w:pStyle w:val="11"/>
              <w:spacing w:line="360" w:lineRule="auto"/>
              <w:rPr>
                <w:rFonts w:ascii="宋体" w:hAnsi="宋体" w:eastAsia="宋体" w:cs="宋体"/>
                <w:bCs/>
                <w:szCs w:val="21"/>
              </w:rPr>
            </w:pPr>
            <w:r>
              <w:rPr>
                <w:rFonts w:hint="eastAsia" w:ascii="宋体" w:hAnsi="宋体" w:eastAsia="宋体" w:cs="宋体"/>
                <w:bCs/>
                <w:szCs w:val="21"/>
              </w:rPr>
              <w:t>10.量化金融应满足可设置多种策略并进行股票期货投资回测，应可在沪深交易所上市股票中筛选股票。</w:t>
            </w:r>
          </w:p>
          <w:p>
            <w:pPr>
              <w:pStyle w:val="11"/>
              <w:spacing w:line="360" w:lineRule="auto"/>
              <w:rPr>
                <w:rFonts w:ascii="宋体" w:hAnsi="宋体" w:eastAsia="宋体" w:cs="宋体"/>
                <w:bCs/>
                <w:szCs w:val="21"/>
              </w:rPr>
            </w:pPr>
            <w:r>
              <w:rPr>
                <w:rFonts w:hint="eastAsia" w:ascii="宋体" w:hAnsi="宋体" w:eastAsia="宋体" w:cs="宋体"/>
                <w:bCs/>
                <w:szCs w:val="21"/>
              </w:rPr>
              <w:t>11.区块链设计应包含八大功能菜单，至少应体现机构认证、链管理、智能合约、通知管理和广播消息等。应可创建公有链、联盟链、专有链，可对节点进行共识管理，在公共账本中可对所有链的交易信息进行溯源，应可触发智能合约转账及在商城购买额外算力。应可实时显示链上的消息，至少应有申请通知、邀请通知、冻结通知、解冻通知等5种。</w:t>
            </w:r>
          </w:p>
          <w:p>
            <w:pPr>
              <w:spacing w:line="360" w:lineRule="auto"/>
              <w:ind w:firstLine="420" w:firstLineChars="200"/>
              <w:rPr>
                <w:rFonts w:ascii="宋体" w:hAnsi="宋体" w:eastAsia="宋体" w:cs="宋体"/>
                <w:b/>
                <w:szCs w:val="21"/>
              </w:rPr>
            </w:pPr>
            <w:r>
              <w:rPr>
                <w:rFonts w:hint="eastAsia" w:ascii="宋体" w:hAnsi="宋体" w:eastAsia="宋体" w:cs="宋体"/>
                <w:bCs/>
                <w:szCs w:val="21"/>
              </w:rPr>
              <w:t>12.</w:t>
            </w:r>
            <w:r>
              <w:rPr>
                <w:rFonts w:hint="eastAsia" w:ascii="Arial" w:hAnsi="Arial" w:eastAsia="宋体" w:cs="Arial"/>
                <w:sz w:val="24"/>
                <w:szCs w:val="18"/>
              </w:rPr>
              <w:t>★</w:t>
            </w:r>
            <w:r>
              <w:rPr>
                <w:rFonts w:hint="eastAsia" w:ascii="宋体" w:hAnsi="宋体" w:eastAsia="宋体" w:cs="宋体"/>
                <w:bCs/>
                <w:szCs w:val="21"/>
              </w:rPr>
              <w:t>链应用应提供团队模式，应包含票据、供应链金融，债券，保函，资产证券化，航空意外险，航空延误险，跨境支付八大场景。</w:t>
            </w:r>
            <w:r>
              <w:rPr>
                <w:rFonts w:hint="eastAsia" w:ascii="宋体" w:hAnsi="宋体" w:eastAsia="宋体" w:cs="宋体"/>
                <w:b/>
                <w:szCs w:val="21"/>
              </w:rPr>
              <w:t>（本条参数需提供产品功能截图,若未能提供或不满足本项要求，本项不得分。）</w:t>
            </w:r>
          </w:p>
          <w:p>
            <w:pPr>
              <w:pStyle w:val="11"/>
              <w:spacing w:line="360" w:lineRule="auto"/>
              <w:rPr>
                <w:rFonts w:ascii="宋体" w:hAnsi="宋体" w:eastAsia="宋体" w:cs="宋体"/>
                <w:b/>
                <w:szCs w:val="21"/>
              </w:rPr>
            </w:pPr>
            <w:r>
              <w:rPr>
                <w:rFonts w:hint="eastAsia" w:ascii="宋体" w:hAnsi="宋体" w:eastAsia="宋体" w:cs="宋体"/>
                <w:bCs/>
                <w:szCs w:val="21"/>
              </w:rPr>
              <w:t>13.</w:t>
            </w:r>
            <w:r>
              <w:rPr>
                <w:rFonts w:hint="eastAsia" w:ascii="Arial" w:hAnsi="Arial" w:eastAsia="宋体" w:cs="Arial"/>
                <w:sz w:val="24"/>
                <w:szCs w:val="18"/>
              </w:rPr>
              <w:t>★</w:t>
            </w:r>
            <w:r>
              <w:rPr>
                <w:rFonts w:hint="eastAsia" w:ascii="宋体" w:hAnsi="宋体" w:eastAsia="宋体" w:cs="宋体"/>
                <w:bCs/>
                <w:szCs w:val="21"/>
              </w:rPr>
              <w:t>系统应能满足教育部银行业务综合技能竞赛数字金融业务操作赛项的要求。</w:t>
            </w:r>
            <w:r>
              <w:rPr>
                <w:rFonts w:hint="eastAsia" w:ascii="宋体" w:hAnsi="宋体" w:eastAsia="宋体" w:cs="宋体"/>
                <w:b/>
                <w:szCs w:val="21"/>
              </w:rPr>
              <w:t>（需提供相关证明材料或承诺函。）</w:t>
            </w:r>
          </w:p>
          <w:p>
            <w:pPr>
              <w:pStyle w:val="11"/>
              <w:spacing w:line="360" w:lineRule="auto"/>
              <w:rPr>
                <w:rFonts w:ascii="宋体" w:hAnsi="宋体" w:eastAsia="宋体" w:cs="宋体"/>
                <w:bCs/>
                <w:sz w:val="22"/>
                <w:szCs w:val="16"/>
              </w:rPr>
            </w:pPr>
            <w:r>
              <w:rPr>
                <w:rFonts w:hint="eastAsia" w:ascii="宋体" w:hAnsi="宋体" w:eastAsia="宋体" w:cs="宋体"/>
                <w:bCs/>
                <w:szCs w:val="21"/>
              </w:rPr>
              <w:t>14.提供计算机软件著作权登记证书，并与招标的软件产品一致。</w:t>
            </w:r>
          </w:p>
        </w:tc>
        <w:tc>
          <w:tcPr>
            <w:tcW w:w="491" w:type="dxa"/>
            <w:vAlign w:val="center"/>
          </w:tcPr>
          <w:p>
            <w:pPr>
              <w:widowControl/>
              <w:spacing w:line="360" w:lineRule="auto"/>
              <w:jc w:val="center"/>
              <w:rPr>
                <w:rFonts w:ascii="宋体" w:hAnsi="宋体" w:eastAsia="宋体" w:cs="宋体"/>
                <w:bCs/>
                <w:sz w:val="24"/>
                <w:szCs w:val="18"/>
              </w:rPr>
            </w:pPr>
            <w:r>
              <w:rPr>
                <w:rFonts w:hint="eastAsia" w:ascii="宋体" w:hAnsi="宋体" w:eastAsia="宋体" w:cs="宋体"/>
                <w:bCs/>
                <w:kern w:val="0"/>
                <w:szCs w:val="21"/>
              </w:rPr>
              <w:t>套</w:t>
            </w:r>
          </w:p>
        </w:tc>
        <w:tc>
          <w:tcPr>
            <w:tcW w:w="573" w:type="dxa"/>
            <w:vAlign w:val="center"/>
          </w:tcPr>
          <w:p>
            <w:pPr>
              <w:spacing w:line="360" w:lineRule="auto"/>
              <w:jc w:val="center"/>
              <w:rPr>
                <w:rFonts w:ascii="宋体" w:hAnsi="宋体" w:eastAsia="宋体" w:cs="宋体"/>
                <w:bCs/>
                <w:sz w:val="24"/>
                <w:szCs w:val="18"/>
              </w:rPr>
            </w:pPr>
            <w:r>
              <w:rPr>
                <w:rFonts w:hint="eastAsia" w:ascii="宋体" w:hAnsi="宋体" w:eastAsia="宋体" w:cs="宋体"/>
                <w:bCs/>
                <w:kern w:val="0"/>
                <w:szCs w:val="21"/>
              </w:rPr>
              <w:t>1</w:t>
            </w:r>
          </w:p>
        </w:tc>
        <w:tc>
          <w:tcPr>
            <w:tcW w:w="576" w:type="dxa"/>
            <w:vAlign w:val="center"/>
          </w:tcPr>
          <w:p>
            <w:pPr>
              <w:spacing w:line="360" w:lineRule="auto"/>
              <w:jc w:val="center"/>
              <w:rPr>
                <w:rFonts w:ascii="宋体" w:hAnsi="宋体" w:eastAsia="宋体" w:cs="宋体"/>
                <w:bCs/>
                <w:sz w:val="24"/>
                <w:szCs w:val="18"/>
              </w:rPr>
            </w:pPr>
            <w:r>
              <w:rPr>
                <w:rFonts w:hint="eastAsia" w:ascii="宋体" w:hAnsi="宋体" w:eastAsia="宋体" w:cs="宋体"/>
                <w:bCs/>
                <w:sz w:val="24"/>
                <w:szCs w:val="18"/>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24" w:type="dxa"/>
            <w:vAlign w:val="center"/>
          </w:tcPr>
          <w:p>
            <w:pPr>
              <w:spacing w:line="360" w:lineRule="auto"/>
              <w:jc w:val="center"/>
              <w:rPr>
                <w:rFonts w:ascii="宋体" w:hAnsi="宋体" w:eastAsia="宋体" w:cs="宋体"/>
                <w:sz w:val="24"/>
                <w:szCs w:val="18"/>
              </w:rPr>
            </w:pPr>
            <w:r>
              <w:rPr>
                <w:rFonts w:hint="eastAsia" w:ascii="宋体" w:hAnsi="宋体" w:eastAsia="宋体" w:cs="宋体"/>
                <w:sz w:val="24"/>
                <w:szCs w:val="18"/>
              </w:rPr>
              <w:t>3</w:t>
            </w:r>
          </w:p>
        </w:tc>
        <w:tc>
          <w:tcPr>
            <w:tcW w:w="1459" w:type="dxa"/>
            <w:vAlign w:val="center"/>
          </w:tcPr>
          <w:p>
            <w:pPr>
              <w:widowControl/>
              <w:spacing w:line="360" w:lineRule="auto"/>
              <w:jc w:val="center"/>
              <w:rPr>
                <w:rFonts w:ascii="宋体" w:hAnsi="宋体" w:eastAsia="宋体" w:cs="宋体"/>
                <w:bCs/>
                <w:sz w:val="24"/>
                <w:szCs w:val="18"/>
              </w:rPr>
            </w:pPr>
            <w:r>
              <w:rPr>
                <w:rFonts w:hint="eastAsia" w:ascii="宋体" w:hAnsi="宋体" w:eastAsia="宋体" w:cs="宋体"/>
                <w:szCs w:val="21"/>
              </w:rPr>
              <w:t>金融科技应用技能(创新金融)竞赛平台</w:t>
            </w:r>
          </w:p>
        </w:tc>
        <w:tc>
          <w:tcPr>
            <w:tcW w:w="4772" w:type="dxa"/>
            <w:vAlign w:val="center"/>
          </w:tcPr>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系统采用模块化设计，应包含机构设置、教师管理、题库管理、班级管理、团队管理、用户管理（可查看学生登录ip和详细的登录时间）、职业素养、创新金融任务管理、补时管理、成绩查询、答案查询等模块。</w:t>
            </w:r>
          </w:p>
          <w:p>
            <w:pPr>
              <w:spacing w:line="360" w:lineRule="auto"/>
              <w:ind w:firstLine="420" w:firstLineChars="200"/>
              <w:rPr>
                <w:rFonts w:ascii="宋体" w:hAnsi="宋体" w:eastAsia="宋体" w:cs="宋体"/>
                <w:bCs/>
                <w:szCs w:val="21"/>
              </w:rPr>
            </w:pPr>
            <w:r>
              <w:rPr>
                <w:rFonts w:hint="eastAsia" w:ascii="宋体" w:hAnsi="宋体" w:eastAsia="宋体" w:cs="宋体"/>
                <w:szCs w:val="21"/>
              </w:rPr>
              <w:t>2.</w:t>
            </w:r>
            <w:r>
              <w:rPr>
                <w:rFonts w:hint="eastAsia" w:ascii="Arial" w:hAnsi="Arial" w:eastAsia="宋体" w:cs="Arial"/>
                <w:sz w:val="24"/>
                <w:szCs w:val="18"/>
              </w:rPr>
              <w:t>★</w:t>
            </w:r>
            <w:r>
              <w:rPr>
                <w:rFonts w:hint="eastAsia" w:ascii="宋体" w:hAnsi="宋体" w:eastAsia="宋体" w:cs="宋体"/>
                <w:bCs/>
                <w:szCs w:val="21"/>
              </w:rPr>
              <w:t>系统应内置至少4套业务题，320道创新金融职业素养题。应支持创新金融职业素养、第三方支付、互联网征信、互联网银行、互联网保险、互联网基金、互联网消费金融、系统性风险仿真、反金融诈骗、大数据金融等10个子赛项。其中职业素养为基础知识部分，该部分应包金融科技知识、金融基础知识等，应由单选题、多选题和判断题三种题型组成。</w:t>
            </w:r>
            <w:r>
              <w:rPr>
                <w:rFonts w:hint="eastAsia" w:ascii="宋体" w:hAnsi="宋体" w:eastAsia="宋体" w:cs="宋体"/>
                <w:b/>
                <w:szCs w:val="21"/>
              </w:rPr>
              <w:t>（本条参数需提供产品功能截图,若未能提供或不满足本项要求，本项不得分。）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3.系统的模拟业务角色应包含公司创始人、运营专员、风控专员、财务专员、客服专员、个人用户、企业用户、产品经理、证券交易所、证监会等，系统各个模块应根据业务内容使用其中的若干或全部角色类型。</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4.系统应支持团队竞赛模式，每个团队包含4名成员，系统应可随机分配角色，成员分别担任相应角色，完成该角色对应岗位的竞赛任务。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5.第三方支付 </w:t>
            </w:r>
          </w:p>
          <w:p>
            <w:pPr>
              <w:spacing w:line="360" w:lineRule="auto"/>
              <w:rPr>
                <w:rFonts w:ascii="宋体" w:hAnsi="宋体" w:eastAsia="宋体" w:cs="宋体"/>
                <w:bCs/>
                <w:szCs w:val="21"/>
              </w:rPr>
            </w:pPr>
            <w:r>
              <w:rPr>
                <w:rFonts w:hint="eastAsia" w:ascii="宋体" w:hAnsi="宋体" w:eastAsia="宋体" w:cs="宋体"/>
                <w:bCs/>
                <w:szCs w:val="21"/>
              </w:rPr>
              <w:t>（1）系统提供的第三方支付模块应为模拟第三方支付公司、个人用户和商家用户，创造一个第三方交易的平台和场景。</w:t>
            </w:r>
          </w:p>
          <w:p>
            <w:pPr>
              <w:spacing w:line="360" w:lineRule="auto"/>
              <w:rPr>
                <w:rFonts w:ascii="宋体" w:hAnsi="宋体" w:eastAsia="宋体" w:cs="宋体"/>
                <w:bCs/>
                <w:szCs w:val="21"/>
              </w:rPr>
            </w:pPr>
            <w:r>
              <w:rPr>
                <w:rFonts w:hint="eastAsia" w:ascii="宋体" w:hAnsi="宋体" w:eastAsia="宋体" w:cs="宋体"/>
                <w:bCs/>
                <w:szCs w:val="21"/>
              </w:rPr>
              <w:t xml:space="preserve">（2）模块应具体包含了第三方支付公司创立、个人支付用户管理、信用呗申请、个人充值、提现、支付、交易查询等，商家签约、交易管理、结算管理、账单管理、资金管理、客户服务等。 </w:t>
            </w:r>
          </w:p>
          <w:p>
            <w:pPr>
              <w:spacing w:line="360" w:lineRule="auto"/>
              <w:rPr>
                <w:rFonts w:ascii="宋体" w:hAnsi="宋体" w:eastAsia="宋体" w:cs="宋体"/>
                <w:bCs/>
                <w:szCs w:val="21"/>
              </w:rPr>
            </w:pPr>
            <w:r>
              <w:rPr>
                <w:rFonts w:hint="eastAsia" w:ascii="宋体" w:hAnsi="宋体" w:eastAsia="宋体" w:cs="宋体"/>
                <w:bCs/>
                <w:szCs w:val="21"/>
              </w:rPr>
              <w:t xml:space="preserve">（3）第三方支付平台应可以个人和商家用户提供平台便捷支付服务，个人和商家用户做商品的买卖交易，采用虚拟时间进行商品结算，系统能自动生成虚拟商品数据。 </w:t>
            </w:r>
          </w:p>
          <w:p>
            <w:pPr>
              <w:spacing w:line="360" w:lineRule="auto"/>
              <w:rPr>
                <w:rFonts w:ascii="宋体" w:hAnsi="宋体" w:eastAsia="宋体" w:cs="宋体"/>
                <w:bCs/>
                <w:szCs w:val="21"/>
              </w:rPr>
            </w:pPr>
            <w:r>
              <w:rPr>
                <w:rFonts w:hint="eastAsia" w:ascii="宋体" w:hAnsi="宋体" w:eastAsia="宋体" w:cs="宋体"/>
                <w:bCs/>
                <w:szCs w:val="21"/>
              </w:rPr>
              <w:t xml:space="preserve">（4）第三方支付平台应可提供互联网银行、互联网保险、互联网基金销售、互联网金融消费、反金融诈骗平台便捷支付服务。 </w:t>
            </w:r>
          </w:p>
          <w:p>
            <w:pPr>
              <w:spacing w:line="360" w:lineRule="auto"/>
              <w:rPr>
                <w:rFonts w:ascii="宋体" w:hAnsi="宋体" w:eastAsia="宋体" w:cs="宋体"/>
                <w:bCs/>
                <w:szCs w:val="21"/>
              </w:rPr>
            </w:pPr>
            <w:r>
              <w:rPr>
                <w:rFonts w:hint="eastAsia" w:ascii="宋体" w:hAnsi="宋体" w:eastAsia="宋体" w:cs="宋体"/>
                <w:bCs/>
                <w:szCs w:val="21"/>
              </w:rPr>
              <w:t xml:space="preserve">（5）个人用户应可对商品做退款业务，经商家、平台审核后，资金退回个人商户账户中。 </w:t>
            </w:r>
          </w:p>
          <w:p>
            <w:pPr>
              <w:spacing w:line="360" w:lineRule="auto"/>
              <w:rPr>
                <w:rFonts w:ascii="宋体" w:hAnsi="宋体" w:eastAsia="宋体" w:cs="宋体"/>
                <w:bCs/>
                <w:szCs w:val="21"/>
              </w:rPr>
            </w:pPr>
            <w:r>
              <w:rPr>
                <w:rFonts w:hint="eastAsia" w:ascii="宋体" w:hAnsi="宋体" w:eastAsia="宋体" w:cs="宋体"/>
                <w:bCs/>
                <w:szCs w:val="21"/>
              </w:rPr>
              <w:t>（6）可提供第三方支付平台账户余额充值、提现和转账基础功能操作。可查询账单的订单详细情况。</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6.互联网征信 </w:t>
            </w:r>
          </w:p>
          <w:p>
            <w:pPr>
              <w:spacing w:line="360" w:lineRule="auto"/>
              <w:rPr>
                <w:rFonts w:ascii="宋体" w:hAnsi="宋体" w:eastAsia="宋体" w:cs="宋体"/>
                <w:bCs/>
                <w:szCs w:val="21"/>
              </w:rPr>
            </w:pPr>
            <w:r>
              <w:rPr>
                <w:rFonts w:hint="eastAsia" w:ascii="宋体" w:hAnsi="宋体" w:eastAsia="宋体" w:cs="宋体"/>
                <w:bCs/>
                <w:szCs w:val="21"/>
              </w:rPr>
              <w:t xml:space="preserve">（1）互联网征信应包含了互联网征信平台创建、征信用户管理、征信数据采集、提升等级管理、信息服务等。 </w:t>
            </w:r>
          </w:p>
          <w:p>
            <w:pPr>
              <w:spacing w:line="360" w:lineRule="auto"/>
              <w:rPr>
                <w:rFonts w:ascii="宋体" w:hAnsi="宋体" w:eastAsia="宋体" w:cs="宋体"/>
                <w:bCs/>
                <w:szCs w:val="21"/>
              </w:rPr>
            </w:pPr>
            <w:r>
              <w:rPr>
                <w:rFonts w:hint="eastAsia" w:ascii="宋体" w:hAnsi="宋体" w:eastAsia="宋体" w:cs="宋体"/>
                <w:bCs/>
                <w:szCs w:val="21"/>
              </w:rPr>
              <w:t xml:space="preserve">（2）互联网征信报告数据采集应包含：基本情况、信用卡、购房贷款、其它贷款、担保情况、欠税记录、民事判决记录、行政处罚记录、电信欠费记录、其它欠费记录。 </w:t>
            </w:r>
          </w:p>
          <w:p>
            <w:pPr>
              <w:spacing w:line="360" w:lineRule="auto"/>
              <w:rPr>
                <w:rFonts w:ascii="宋体" w:hAnsi="宋体" w:eastAsia="宋体" w:cs="宋体"/>
                <w:bCs/>
                <w:szCs w:val="21"/>
              </w:rPr>
            </w:pPr>
            <w:r>
              <w:rPr>
                <w:rFonts w:hint="eastAsia" w:ascii="宋体" w:hAnsi="宋体" w:eastAsia="宋体" w:cs="宋体"/>
                <w:bCs/>
                <w:szCs w:val="21"/>
              </w:rPr>
              <w:t xml:space="preserve">（3）信用等级提升应要验证个人银行卡基本信息，确保个人用户的信息数据的真实性。 </w:t>
            </w:r>
          </w:p>
          <w:p>
            <w:pPr>
              <w:spacing w:line="360" w:lineRule="auto"/>
              <w:rPr>
                <w:rFonts w:ascii="宋体" w:hAnsi="宋体" w:eastAsia="宋体" w:cs="宋体"/>
                <w:bCs/>
                <w:szCs w:val="21"/>
              </w:rPr>
            </w:pPr>
            <w:r>
              <w:rPr>
                <w:rFonts w:hint="eastAsia" w:ascii="宋体" w:hAnsi="宋体" w:eastAsia="宋体" w:cs="宋体"/>
                <w:bCs/>
                <w:szCs w:val="21"/>
              </w:rPr>
              <w:t>（4）查询自己个人信用报告应要验证银行卡的基本信息，并运营专员进行认证通过，再把个人信用报告验证码发送回个人账户中，通过身份验证确保信息的严谨性。</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7.互联网银行 </w:t>
            </w:r>
          </w:p>
          <w:p>
            <w:pPr>
              <w:spacing w:line="360" w:lineRule="auto"/>
              <w:rPr>
                <w:rFonts w:ascii="宋体" w:hAnsi="宋体" w:eastAsia="宋体" w:cs="宋体"/>
                <w:bCs/>
                <w:szCs w:val="21"/>
              </w:rPr>
            </w:pPr>
            <w:r>
              <w:rPr>
                <w:rFonts w:hint="eastAsia" w:ascii="宋体" w:hAnsi="宋体" w:eastAsia="宋体" w:cs="宋体"/>
                <w:bCs/>
                <w:szCs w:val="21"/>
              </w:rPr>
              <w:t xml:space="preserve">（1）互联网银行包含了互联网银行创立、互联网银行日常运营查询、风险控制等业务操作，支持理财产品设计、贷款产品设计、个人客户信用查询等业务操作。 </w:t>
            </w:r>
          </w:p>
          <w:p>
            <w:pPr>
              <w:spacing w:line="360" w:lineRule="auto"/>
              <w:rPr>
                <w:rFonts w:ascii="宋体" w:hAnsi="宋体" w:eastAsia="宋体" w:cs="宋体"/>
                <w:bCs/>
                <w:szCs w:val="21"/>
              </w:rPr>
            </w:pPr>
            <w:r>
              <w:rPr>
                <w:rFonts w:hint="eastAsia" w:ascii="宋体" w:hAnsi="宋体" w:eastAsia="宋体" w:cs="宋体"/>
                <w:bCs/>
                <w:szCs w:val="21"/>
              </w:rPr>
              <w:t xml:space="preserve">（2）在互联网银行模块中，系统应通过创建互联网银行、个人客户、企业客户三个主要角色，虚拟运营互联网银行业务在个人客户与企业客户之间的投资、理财、贷款等运作过程，去深入学习互联网银行，掌握互联网银行的特点和功能。互联网银行下包括公司创始人、产品经理、风控专员、财务专员、客服专员五个角色，不同的角色不同的分工。 </w:t>
            </w:r>
          </w:p>
          <w:p>
            <w:pPr>
              <w:spacing w:line="360" w:lineRule="auto"/>
              <w:rPr>
                <w:rFonts w:ascii="宋体" w:hAnsi="宋体" w:eastAsia="宋体" w:cs="宋体"/>
                <w:bCs/>
                <w:szCs w:val="21"/>
              </w:rPr>
            </w:pPr>
            <w:r>
              <w:rPr>
                <w:rFonts w:hint="eastAsia" w:ascii="宋体" w:hAnsi="宋体" w:eastAsia="宋体" w:cs="宋体"/>
                <w:bCs/>
                <w:szCs w:val="21"/>
              </w:rPr>
              <w:t xml:space="preserve">（3）互联网银行应包含理财产品、投资产品和贷款业务。理财产品应有预期年化收益率、风险等级、发行公司、产品类型、投资期限、起购金额；投资产品应有单位净值、封闭时间、起购金额、发行公司、申购费率、赎回费率、风险等级、产品类型；贷款业务中个人贷款中应可查询到个人征信报告和客户的详细资料，作为审批贷款额度高低的一项指标。 </w:t>
            </w:r>
          </w:p>
          <w:p>
            <w:pPr>
              <w:spacing w:line="360" w:lineRule="auto"/>
              <w:rPr>
                <w:rFonts w:ascii="宋体" w:hAnsi="宋体" w:eastAsia="宋体" w:cs="宋体"/>
                <w:bCs/>
                <w:szCs w:val="21"/>
              </w:rPr>
            </w:pPr>
            <w:r>
              <w:rPr>
                <w:rFonts w:hint="eastAsia" w:ascii="宋体" w:hAnsi="宋体" w:eastAsia="宋体" w:cs="宋体"/>
                <w:bCs/>
                <w:szCs w:val="21"/>
              </w:rPr>
              <w:t xml:space="preserve">（4）互联网银行应有对个人客户风险评估的功能，并附带有存工资和还房贷的功能。 </w:t>
            </w:r>
          </w:p>
          <w:p>
            <w:pPr>
              <w:spacing w:line="360" w:lineRule="auto"/>
              <w:rPr>
                <w:rFonts w:ascii="宋体" w:hAnsi="宋体" w:eastAsia="宋体" w:cs="宋体"/>
                <w:bCs/>
                <w:szCs w:val="21"/>
              </w:rPr>
            </w:pPr>
            <w:r>
              <w:rPr>
                <w:rFonts w:hint="eastAsia" w:ascii="宋体" w:hAnsi="宋体" w:eastAsia="宋体" w:cs="宋体"/>
                <w:bCs/>
                <w:szCs w:val="21"/>
              </w:rPr>
              <w:t>（5）互联网银行应附有投资产品的虚拟实时走势图，可更直观查看产品的资金涨幅，可以更高效的进行投资。</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8.互联网保险 </w:t>
            </w:r>
          </w:p>
          <w:p>
            <w:pPr>
              <w:spacing w:line="360" w:lineRule="auto"/>
              <w:rPr>
                <w:rFonts w:ascii="宋体" w:hAnsi="宋体" w:eastAsia="宋体" w:cs="宋体"/>
                <w:bCs/>
                <w:szCs w:val="21"/>
              </w:rPr>
            </w:pPr>
            <w:r>
              <w:rPr>
                <w:rFonts w:hint="eastAsia" w:ascii="宋体" w:hAnsi="宋体" w:eastAsia="宋体" w:cs="宋体"/>
                <w:bCs/>
                <w:szCs w:val="21"/>
              </w:rPr>
              <w:t xml:space="preserve">（1）互联网保险应包含互联网保险公司创立、保险产品设计、个人保险客户管理、公司团险客户管理等，支持保险业务风险管理控制，支持分角色业务操作模式。 </w:t>
            </w:r>
          </w:p>
          <w:p>
            <w:pPr>
              <w:spacing w:line="360" w:lineRule="auto"/>
              <w:rPr>
                <w:rFonts w:ascii="宋体" w:hAnsi="宋体" w:eastAsia="宋体" w:cs="宋体"/>
                <w:bCs/>
                <w:szCs w:val="21"/>
              </w:rPr>
            </w:pPr>
            <w:r>
              <w:rPr>
                <w:rFonts w:hint="eastAsia" w:ascii="宋体" w:hAnsi="宋体" w:eastAsia="宋体" w:cs="宋体"/>
                <w:bCs/>
                <w:szCs w:val="21"/>
              </w:rPr>
              <w:t xml:space="preserve">（2）互联网保险应有航旅险、健康险、意外险、汽车保险和团体险。 </w:t>
            </w:r>
          </w:p>
          <w:p>
            <w:pPr>
              <w:spacing w:line="360" w:lineRule="auto"/>
              <w:rPr>
                <w:rFonts w:ascii="宋体" w:hAnsi="宋体" w:eastAsia="宋体" w:cs="宋体"/>
                <w:bCs/>
                <w:szCs w:val="21"/>
              </w:rPr>
            </w:pPr>
            <w:r>
              <w:rPr>
                <w:rFonts w:hint="eastAsia" w:ascii="宋体" w:hAnsi="宋体" w:eastAsia="宋体" w:cs="宋体"/>
                <w:bCs/>
                <w:szCs w:val="21"/>
              </w:rPr>
              <w:t xml:space="preserve">（3）保单应包含保险名称、保险期限、保费、投保人信息、被保险人信息、保障项目和保额，保单到期后可再做续保业务。 </w:t>
            </w:r>
          </w:p>
          <w:p>
            <w:pPr>
              <w:spacing w:line="360" w:lineRule="auto"/>
              <w:rPr>
                <w:rFonts w:ascii="宋体" w:hAnsi="宋体" w:eastAsia="宋体" w:cs="宋体"/>
                <w:bCs/>
                <w:szCs w:val="21"/>
              </w:rPr>
            </w:pPr>
            <w:r>
              <w:rPr>
                <w:rFonts w:hint="eastAsia" w:ascii="宋体" w:hAnsi="宋体" w:eastAsia="宋体" w:cs="宋体"/>
                <w:bCs/>
                <w:szCs w:val="21"/>
              </w:rPr>
              <w:t xml:space="preserve">（4）保单理赔应提供保单号、理赔申请人、手机号码、出险时间、出险地点和出险描述。 </w:t>
            </w:r>
          </w:p>
          <w:p>
            <w:pPr>
              <w:spacing w:line="360" w:lineRule="auto"/>
              <w:rPr>
                <w:rFonts w:ascii="宋体" w:hAnsi="宋体" w:eastAsia="宋体" w:cs="宋体"/>
                <w:bCs/>
                <w:szCs w:val="21"/>
              </w:rPr>
            </w:pPr>
            <w:r>
              <w:rPr>
                <w:rFonts w:hint="eastAsia" w:ascii="宋体" w:hAnsi="宋体" w:eastAsia="宋体" w:cs="宋体"/>
                <w:bCs/>
                <w:szCs w:val="21"/>
              </w:rPr>
              <w:t xml:space="preserve">（5）财务专员应有保险的资金流水动向，包含支出、收入、账户类型、交易账户、对方账户类型、对方账户、交易时间、交易金额和备注信息。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9.互联网基金 </w:t>
            </w:r>
          </w:p>
          <w:p>
            <w:pPr>
              <w:spacing w:line="360" w:lineRule="auto"/>
              <w:rPr>
                <w:rFonts w:ascii="宋体" w:hAnsi="宋体" w:eastAsia="宋体" w:cs="宋体"/>
                <w:bCs/>
                <w:szCs w:val="21"/>
              </w:rPr>
            </w:pPr>
            <w:r>
              <w:rPr>
                <w:rFonts w:hint="eastAsia" w:ascii="宋体" w:hAnsi="宋体" w:eastAsia="宋体" w:cs="宋体"/>
                <w:bCs/>
                <w:szCs w:val="21"/>
              </w:rPr>
              <w:t xml:space="preserve">（1）互联网基金应包含互联网基金公司创立、基金产品设计及运营、互联网基金个人客户管理、互联网基金交易查询等业务操作。 </w:t>
            </w:r>
          </w:p>
          <w:p>
            <w:pPr>
              <w:spacing w:line="360" w:lineRule="auto"/>
              <w:rPr>
                <w:rFonts w:ascii="宋体" w:hAnsi="宋体" w:eastAsia="宋体" w:cs="宋体"/>
                <w:bCs/>
                <w:szCs w:val="21"/>
              </w:rPr>
            </w:pPr>
            <w:r>
              <w:rPr>
                <w:rFonts w:hint="eastAsia" w:ascii="宋体" w:hAnsi="宋体" w:eastAsia="宋体" w:cs="宋体"/>
                <w:bCs/>
                <w:szCs w:val="21"/>
              </w:rPr>
              <w:t xml:space="preserve">（2）在该模块中，系统应通过虚拟互联网基金销售公司和基金投资者，让学生去学习和了解基金销售平台的运作和基金投资者的投资过程，在这一过程中，体会互联网平台下基金的特点和基金给人们带来的资金的变动。 </w:t>
            </w:r>
          </w:p>
          <w:p>
            <w:pPr>
              <w:spacing w:line="360" w:lineRule="auto"/>
              <w:rPr>
                <w:rFonts w:ascii="宋体" w:hAnsi="宋体" w:eastAsia="宋体" w:cs="宋体"/>
                <w:bCs/>
                <w:szCs w:val="21"/>
              </w:rPr>
            </w:pPr>
            <w:r>
              <w:rPr>
                <w:rFonts w:hint="eastAsia" w:ascii="宋体" w:hAnsi="宋体" w:eastAsia="宋体" w:cs="宋体"/>
                <w:bCs/>
                <w:szCs w:val="21"/>
              </w:rPr>
              <w:t xml:space="preserve">（3）互联网基金销售应包含活期宝、定期宝、指数宝、代销基金。投资者可查询自己资产的详细情况和收益详情，可自由卖出买入、定投和转换。 </w:t>
            </w:r>
          </w:p>
          <w:p>
            <w:pPr>
              <w:spacing w:line="360" w:lineRule="auto"/>
              <w:rPr>
                <w:rFonts w:ascii="宋体" w:hAnsi="宋体" w:eastAsia="宋体" w:cs="宋体"/>
                <w:bCs/>
                <w:szCs w:val="21"/>
              </w:rPr>
            </w:pPr>
            <w:r>
              <w:rPr>
                <w:rFonts w:hint="eastAsia" w:ascii="宋体" w:hAnsi="宋体" w:eastAsia="宋体" w:cs="宋体"/>
                <w:bCs/>
                <w:szCs w:val="21"/>
              </w:rPr>
              <w:t xml:space="preserve">（4）互联网基金销售产品应包含基金代码、基金规模、 基金管理人、基金类型、风险等级、起始金额、每万份收益、7日年化收益率、申购费率、赎回费率；并附带有基金的走势图。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10.互联网消费金融 </w:t>
            </w:r>
          </w:p>
          <w:p>
            <w:pPr>
              <w:spacing w:line="360" w:lineRule="auto"/>
              <w:rPr>
                <w:rFonts w:ascii="宋体" w:hAnsi="宋体" w:eastAsia="宋体" w:cs="宋体"/>
                <w:bCs/>
                <w:szCs w:val="21"/>
              </w:rPr>
            </w:pPr>
            <w:r>
              <w:rPr>
                <w:rFonts w:hint="eastAsia" w:ascii="宋体" w:hAnsi="宋体" w:eastAsia="宋体" w:cs="宋体"/>
                <w:bCs/>
                <w:szCs w:val="21"/>
              </w:rPr>
              <w:t xml:space="preserve">（1）互联网消费金融应包含互联网消费金融公司创立、贷款产品设计、额度管理、贷款审批、贷款查询、经营分析等，支持个人消费者管理、个人额度管理、个人贷款管理、个人账户管理等业务操作。 </w:t>
            </w:r>
          </w:p>
          <w:p>
            <w:pPr>
              <w:spacing w:line="360" w:lineRule="auto"/>
              <w:rPr>
                <w:rFonts w:ascii="宋体" w:hAnsi="宋体" w:eastAsia="宋体" w:cs="宋体"/>
                <w:bCs/>
                <w:szCs w:val="21"/>
              </w:rPr>
            </w:pPr>
            <w:r>
              <w:rPr>
                <w:rFonts w:hint="eastAsia" w:ascii="宋体" w:hAnsi="宋体" w:eastAsia="宋体" w:cs="宋体"/>
                <w:bCs/>
                <w:szCs w:val="21"/>
              </w:rPr>
              <w:t xml:space="preserve">（2）在本模块中，学生将会模拟公司和客户角色，虚拟操作互联网消费金融的综合业务。具体业务流程如下：应先到公司创始人角色里注册公司，注册成功之后由本公司的运营专员发布产品，再到个人消费者角色里进行个人注册，注册成功之后在我的额度里填写资料进行额度审核，再到风控专员角色里额度管理中进行额度审批，额度审批下来后个人消费者在贷款产品中可以根据额度进行相应的 </w:t>
            </w:r>
          </w:p>
          <w:p>
            <w:pPr>
              <w:spacing w:line="360" w:lineRule="auto"/>
              <w:rPr>
                <w:rFonts w:ascii="宋体" w:hAnsi="宋体" w:eastAsia="宋体" w:cs="宋体"/>
                <w:bCs/>
                <w:szCs w:val="21"/>
              </w:rPr>
            </w:pPr>
            <w:r>
              <w:rPr>
                <w:rFonts w:hint="eastAsia" w:ascii="宋体" w:hAnsi="宋体" w:eastAsia="宋体" w:cs="宋体"/>
                <w:bCs/>
                <w:szCs w:val="21"/>
              </w:rPr>
              <w:t>贷款服务，选好贷款产品填写完相关资料后，风控专员进行贷款审批，审批通过之后，贷款开始生效，个人消费者在贷款偿还里进行相应的还款操作，完成互联网消费金融业务操作</w:t>
            </w:r>
          </w:p>
          <w:p>
            <w:pPr>
              <w:spacing w:line="360" w:lineRule="auto"/>
              <w:rPr>
                <w:rFonts w:ascii="宋体" w:hAnsi="宋体" w:eastAsia="宋体" w:cs="宋体"/>
                <w:bCs/>
                <w:szCs w:val="21"/>
              </w:rPr>
            </w:pPr>
            <w:r>
              <w:rPr>
                <w:rFonts w:hint="eastAsia" w:ascii="宋体" w:hAnsi="宋体" w:eastAsia="宋体" w:cs="宋体"/>
                <w:bCs/>
                <w:szCs w:val="21"/>
              </w:rPr>
              <w:t xml:space="preserve">（3）互联网消费金融应有个人的基本信息、单位信息、联系人信息、房产信息、额度申请信息，并含有征信公司的认证。 </w:t>
            </w:r>
          </w:p>
          <w:p>
            <w:pPr>
              <w:spacing w:line="360" w:lineRule="auto"/>
              <w:rPr>
                <w:rFonts w:ascii="宋体" w:hAnsi="宋体" w:eastAsia="宋体" w:cs="宋体"/>
                <w:bCs/>
                <w:szCs w:val="21"/>
              </w:rPr>
            </w:pPr>
            <w:r>
              <w:rPr>
                <w:rFonts w:hint="eastAsia" w:ascii="宋体" w:hAnsi="宋体" w:eastAsia="宋体" w:cs="宋体"/>
                <w:bCs/>
                <w:szCs w:val="21"/>
              </w:rPr>
              <w:t xml:space="preserve">（4）互联网消费金融应包含信用贷款、消费贷款、汽车贷款、旅游贷款、租房贷款、装修贷款、职业培训贷款。 并附带有图片，可更直观查看产品。 </w:t>
            </w:r>
          </w:p>
          <w:p>
            <w:pPr>
              <w:spacing w:line="360" w:lineRule="auto"/>
              <w:rPr>
                <w:rFonts w:ascii="宋体" w:hAnsi="宋体" w:eastAsia="宋体" w:cs="宋体"/>
                <w:bCs/>
                <w:szCs w:val="21"/>
              </w:rPr>
            </w:pPr>
            <w:r>
              <w:rPr>
                <w:rFonts w:hint="eastAsia" w:ascii="宋体" w:hAnsi="宋体" w:eastAsia="宋体" w:cs="宋体"/>
                <w:bCs/>
                <w:szCs w:val="21"/>
              </w:rPr>
              <w:t xml:space="preserve">（5）互联网消费金融应可对整个贷款做经营性分析，包含已放贷金额、已偿还金额、利息收入。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w:t>
            </w:r>
            <w:r>
              <w:rPr>
                <w:rFonts w:hint="eastAsia" w:ascii="Arial" w:hAnsi="Arial" w:eastAsia="宋体" w:cs="Arial"/>
                <w:sz w:val="24"/>
                <w:szCs w:val="18"/>
              </w:rPr>
              <w:t>★</w:t>
            </w:r>
            <w:r>
              <w:rPr>
                <w:rFonts w:hint="eastAsia" w:ascii="宋体" w:hAnsi="宋体" w:eastAsia="宋体" w:cs="宋体"/>
                <w:bCs/>
                <w:szCs w:val="21"/>
              </w:rPr>
              <w:t xml:space="preserve">系统性风险模拟仿真 </w:t>
            </w:r>
          </w:p>
          <w:p>
            <w:pPr>
              <w:spacing w:line="360" w:lineRule="auto"/>
              <w:rPr>
                <w:rFonts w:ascii="宋体" w:hAnsi="宋体" w:eastAsia="宋体" w:cs="宋体"/>
                <w:bCs/>
                <w:szCs w:val="21"/>
              </w:rPr>
            </w:pPr>
            <w:r>
              <w:rPr>
                <w:rFonts w:hint="eastAsia" w:ascii="宋体" w:hAnsi="宋体" w:eastAsia="宋体" w:cs="宋体"/>
                <w:bCs/>
                <w:szCs w:val="21"/>
              </w:rPr>
              <w:t xml:space="preserve">（1）该功能模块应通过担任个人投资者、机构投资者、商业银行、上市公司、上市公司大股东、证券公司、证券交易所、证监会等角色，模拟仿真金融系统性风险发生过程中，证券市场风险变化过程，体验并理解金融系统性风 </w:t>
            </w:r>
          </w:p>
          <w:p>
            <w:pPr>
              <w:spacing w:line="360" w:lineRule="auto"/>
              <w:rPr>
                <w:rFonts w:ascii="宋体" w:hAnsi="宋体" w:eastAsia="宋体" w:cs="宋体"/>
                <w:bCs/>
                <w:szCs w:val="21"/>
              </w:rPr>
            </w:pPr>
            <w:r>
              <w:rPr>
                <w:rFonts w:hint="eastAsia" w:ascii="宋体" w:hAnsi="宋体" w:eastAsia="宋体" w:cs="宋体"/>
                <w:bCs/>
                <w:szCs w:val="21"/>
              </w:rPr>
              <w:t xml:space="preserve">险。 </w:t>
            </w:r>
          </w:p>
          <w:p>
            <w:pPr>
              <w:spacing w:line="360" w:lineRule="auto"/>
              <w:rPr>
                <w:rFonts w:ascii="宋体" w:hAnsi="宋体" w:eastAsia="宋体" w:cs="宋体"/>
                <w:bCs/>
                <w:szCs w:val="21"/>
              </w:rPr>
            </w:pPr>
            <w:r>
              <w:rPr>
                <w:rFonts w:hint="eastAsia" w:ascii="宋体" w:hAnsi="宋体" w:eastAsia="宋体" w:cs="宋体"/>
                <w:bCs/>
                <w:szCs w:val="21"/>
              </w:rPr>
              <w:t>（2）系统性风险仿真应含有账户状态、委托下单、委托撤销、委托确认和成交记录。并有对应的证券名称、证券代码、实际数量（股）、平均成本、现价、市值、盈亏和盈亏率。</w:t>
            </w:r>
          </w:p>
          <w:p>
            <w:pPr>
              <w:spacing w:line="360" w:lineRule="auto"/>
              <w:rPr>
                <w:rFonts w:ascii="宋体" w:hAnsi="宋体" w:eastAsia="宋体" w:cs="宋体"/>
                <w:bCs/>
                <w:szCs w:val="21"/>
              </w:rPr>
            </w:pPr>
            <w:r>
              <w:rPr>
                <w:rFonts w:hint="eastAsia" w:ascii="宋体" w:hAnsi="宋体" w:eastAsia="宋体" w:cs="宋体"/>
                <w:bCs/>
                <w:szCs w:val="21"/>
              </w:rPr>
              <w:t xml:space="preserve">（3）商业银行可做投放流动性资金；证券公司可做融资交易；证券交易所可做紧急停市和风险公告；证监会可发布公告信息和行政公告。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12.反金融诈骗模拟仿真 </w:t>
            </w:r>
          </w:p>
          <w:p>
            <w:pPr>
              <w:spacing w:line="360" w:lineRule="auto"/>
              <w:rPr>
                <w:rFonts w:ascii="宋体" w:hAnsi="宋体" w:eastAsia="宋体" w:cs="宋体"/>
                <w:bCs/>
                <w:szCs w:val="21"/>
              </w:rPr>
            </w:pPr>
            <w:r>
              <w:rPr>
                <w:rFonts w:hint="eastAsia" w:ascii="宋体" w:hAnsi="宋体" w:eastAsia="宋体" w:cs="宋体"/>
                <w:bCs/>
                <w:szCs w:val="21"/>
              </w:rPr>
              <w:t xml:space="preserve">（1）反金融诈骗模拟仿真应是通过担任庞氏骗局操纵者和庞氏骗局受骗者角色，模拟仿真庞氏骗局全过程，揭露庞氏骗局的欺骗性及危害性，达到防患于未然的实训目的。 </w:t>
            </w:r>
          </w:p>
          <w:p>
            <w:pPr>
              <w:spacing w:line="360" w:lineRule="auto"/>
              <w:rPr>
                <w:rFonts w:ascii="宋体" w:hAnsi="宋体" w:eastAsia="宋体" w:cs="宋体"/>
                <w:bCs/>
                <w:szCs w:val="21"/>
              </w:rPr>
            </w:pPr>
            <w:r>
              <w:rPr>
                <w:rFonts w:hint="eastAsia" w:ascii="宋体" w:hAnsi="宋体" w:eastAsia="宋体" w:cs="宋体"/>
                <w:bCs/>
                <w:szCs w:val="21"/>
              </w:rPr>
              <w:t xml:space="preserve">（2）发布项目应含有项目的名称、起投金额、额度、当前项目的金额、月利率和期限。 </w:t>
            </w:r>
          </w:p>
          <w:p>
            <w:pPr>
              <w:spacing w:line="360" w:lineRule="auto"/>
              <w:rPr>
                <w:rFonts w:ascii="宋体" w:hAnsi="宋体" w:eastAsia="宋体" w:cs="宋体"/>
                <w:bCs/>
                <w:szCs w:val="21"/>
              </w:rPr>
            </w:pPr>
            <w:r>
              <w:rPr>
                <w:rFonts w:hint="eastAsia" w:ascii="宋体" w:hAnsi="宋体" w:eastAsia="宋体" w:cs="宋体"/>
                <w:bCs/>
                <w:szCs w:val="21"/>
              </w:rPr>
              <w:t xml:space="preserve">（3）反金融诈骗平台应可使用第三方支付平台和银行卡做充值，并可提现和查看资金记录。 </w:t>
            </w:r>
          </w:p>
          <w:p>
            <w:pPr>
              <w:spacing w:line="360" w:lineRule="auto"/>
              <w:rPr>
                <w:rFonts w:ascii="宋体" w:hAnsi="宋体" w:eastAsia="宋体" w:cs="宋体"/>
                <w:bCs/>
                <w:szCs w:val="21"/>
              </w:rPr>
            </w:pPr>
            <w:r>
              <w:rPr>
                <w:rFonts w:hint="eastAsia" w:ascii="宋体" w:hAnsi="宋体" w:eastAsia="宋体" w:cs="宋体"/>
                <w:bCs/>
                <w:szCs w:val="21"/>
              </w:rPr>
              <w:t xml:space="preserve">（4）财务总监应有对资金的提取和发放回报，并可查看公司的资金信息和资金图表。资金信息应包含客户投资、项目分红、基本支出、客户充值、客户提现。 </w:t>
            </w:r>
          </w:p>
          <w:p>
            <w:pPr>
              <w:spacing w:line="360" w:lineRule="auto"/>
              <w:ind w:firstLine="420" w:firstLineChars="200"/>
              <w:rPr>
                <w:rFonts w:ascii="宋体" w:hAnsi="宋体" w:eastAsia="宋体" w:cs="宋体"/>
                <w:b/>
                <w:szCs w:val="21"/>
              </w:rPr>
            </w:pPr>
            <w:r>
              <w:rPr>
                <w:rFonts w:hint="eastAsia" w:ascii="宋体" w:hAnsi="宋体" w:eastAsia="宋体" w:cs="宋体"/>
                <w:bCs/>
                <w:szCs w:val="21"/>
              </w:rPr>
              <w:t>13.</w:t>
            </w:r>
            <w:r>
              <w:rPr>
                <w:rFonts w:hint="eastAsia" w:ascii="Arial" w:hAnsi="Arial" w:eastAsia="宋体" w:cs="Arial"/>
                <w:sz w:val="24"/>
                <w:szCs w:val="18"/>
              </w:rPr>
              <w:t>★</w:t>
            </w:r>
            <w:r>
              <w:rPr>
                <w:rFonts w:hint="eastAsia" w:ascii="宋体" w:hAnsi="宋体" w:eastAsia="宋体" w:cs="宋体"/>
                <w:bCs/>
                <w:szCs w:val="21"/>
              </w:rPr>
              <w:t>大数据金融应可进行数据采集、分析数据，针对客户进行产品营销，采集数据应含有：个人基本信息库、信用数据库、失信名单库、行为信息库、金融产品库（银行理财产品库、公募基金产品库、私募基金产品库、信托产品库）等十万条数据信息，所有数据经过脱敏处理；大数据分析人员应可通过分布分析、漏斗分析筛选出目标客户，完成用户画像。可按年龄、职业、教育程度、年收入、省份等多维度进行投资偏好分析，所有分析数据可生成图表形式更直观观察数据的比例情况；漏斗分析应内置净资产、金融资产、活期存款余额、理财账户余额、信托产品余额、贷款余额、授信额度、信用等级、是否为黑名单、投资收益期望值、投资经验、常用APP等多种筛选条件；用户画像可以通过漏斗分析生成图表形式展示，图表形状有:饼状图、柱状图、条形图、折线图、面积图等。</w:t>
            </w:r>
            <w:r>
              <w:rPr>
                <w:rFonts w:hint="eastAsia" w:ascii="宋体" w:hAnsi="宋体" w:eastAsia="宋体" w:cs="宋体"/>
                <w:b/>
                <w:szCs w:val="21"/>
              </w:rPr>
              <w:t>（本条参数需提供产品功能截图,若未能提供或不满足本项要求，本项不得分。）</w:t>
            </w:r>
          </w:p>
          <w:p>
            <w:pPr>
              <w:spacing w:line="360" w:lineRule="auto"/>
              <w:ind w:firstLine="420" w:firstLineChars="200"/>
              <w:rPr>
                <w:rFonts w:ascii="宋体" w:hAnsi="宋体" w:eastAsia="宋体" w:cs="宋体"/>
                <w:b/>
                <w:szCs w:val="21"/>
              </w:rPr>
            </w:pPr>
            <w:r>
              <w:rPr>
                <w:rFonts w:hint="eastAsia" w:ascii="宋体" w:hAnsi="宋体" w:eastAsia="宋体" w:cs="宋体"/>
                <w:bCs/>
                <w:szCs w:val="21"/>
              </w:rPr>
              <w:t>14.</w:t>
            </w:r>
            <w:r>
              <w:rPr>
                <w:rFonts w:hint="eastAsia" w:ascii="Arial" w:hAnsi="Arial" w:eastAsia="宋体" w:cs="Arial"/>
                <w:sz w:val="24"/>
                <w:szCs w:val="18"/>
              </w:rPr>
              <w:t>★</w:t>
            </w:r>
            <w:r>
              <w:rPr>
                <w:rFonts w:hint="eastAsia" w:ascii="宋体" w:hAnsi="宋体" w:eastAsia="宋体" w:cs="宋体"/>
                <w:bCs/>
                <w:szCs w:val="21"/>
              </w:rPr>
              <w:t>系统应有创新金融职业素养模块，职业素养应可采用多种形式组卷：题目序号都相同；题目相同序号不相同；题目序号都不相同。</w:t>
            </w:r>
            <w:r>
              <w:rPr>
                <w:rFonts w:hint="eastAsia" w:ascii="宋体" w:hAnsi="宋体" w:eastAsia="宋体" w:cs="宋体"/>
                <w:b/>
                <w:szCs w:val="21"/>
              </w:rPr>
              <w:t>（本条参数需提供产品功能截图,若未能提供或不满足本项要求，本项不得分。）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15.系统应支持创新金融技能竞赛成绩导出，能并实现竞赛操作即时查询，系统应可清除操作数据，满足可重复训练要求。</w:t>
            </w:r>
          </w:p>
          <w:p>
            <w:pPr>
              <w:spacing w:line="360" w:lineRule="auto"/>
              <w:ind w:firstLine="420" w:firstLineChars="200"/>
              <w:rPr>
                <w:rFonts w:ascii="宋体" w:hAnsi="宋体" w:eastAsia="宋体" w:cs="宋体"/>
                <w:b/>
                <w:szCs w:val="21"/>
              </w:rPr>
            </w:pPr>
            <w:r>
              <w:rPr>
                <w:rFonts w:hint="eastAsia" w:ascii="宋体" w:hAnsi="宋体" w:eastAsia="宋体" w:cs="宋体"/>
                <w:bCs/>
                <w:szCs w:val="21"/>
              </w:rPr>
              <w:t>16.</w:t>
            </w:r>
            <w:r>
              <w:rPr>
                <w:rFonts w:hint="eastAsia" w:ascii="Arial" w:hAnsi="Arial" w:eastAsia="宋体" w:cs="Arial"/>
                <w:sz w:val="24"/>
                <w:szCs w:val="18"/>
              </w:rPr>
              <w:t>★</w:t>
            </w:r>
            <w:r>
              <w:rPr>
                <w:rFonts w:hint="eastAsia" w:ascii="宋体" w:hAnsi="宋体" w:eastAsia="宋体" w:cs="宋体"/>
                <w:bCs/>
                <w:szCs w:val="21"/>
              </w:rPr>
              <w:t>系统应能满足2021年安徽省职业技能大赛金融科技应用赛项的要求。</w:t>
            </w:r>
            <w:r>
              <w:rPr>
                <w:rFonts w:hint="eastAsia" w:ascii="宋体" w:hAnsi="宋体" w:eastAsia="宋体" w:cs="宋体"/>
                <w:b/>
                <w:szCs w:val="21"/>
              </w:rPr>
              <w:t>（需提供相关证明材料或承诺函。）</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17.赛项竞赛内容符合国内金融机构业务技术规范，竞赛软件平台采用符合相关行业技术标准、业务流程、业务规范设计，竞赛平台软件应具有自主知识产权，提供计算机软件著作权登记证书。</w:t>
            </w:r>
          </w:p>
        </w:tc>
        <w:tc>
          <w:tcPr>
            <w:tcW w:w="491" w:type="dxa"/>
            <w:vAlign w:val="center"/>
          </w:tcPr>
          <w:p>
            <w:pPr>
              <w:widowControl/>
              <w:spacing w:line="360" w:lineRule="auto"/>
              <w:jc w:val="center"/>
              <w:rPr>
                <w:rFonts w:ascii="宋体" w:hAnsi="宋体" w:eastAsia="宋体" w:cs="宋体"/>
                <w:bCs/>
                <w:sz w:val="24"/>
                <w:szCs w:val="18"/>
              </w:rPr>
            </w:pPr>
            <w:r>
              <w:rPr>
                <w:rFonts w:hint="eastAsia" w:ascii="宋体" w:hAnsi="宋体" w:eastAsia="宋体" w:cs="宋体"/>
                <w:bCs/>
                <w:kern w:val="0"/>
                <w:szCs w:val="21"/>
              </w:rPr>
              <w:t>套</w:t>
            </w:r>
          </w:p>
        </w:tc>
        <w:tc>
          <w:tcPr>
            <w:tcW w:w="573" w:type="dxa"/>
            <w:vAlign w:val="center"/>
          </w:tcPr>
          <w:p>
            <w:pPr>
              <w:spacing w:line="360" w:lineRule="auto"/>
              <w:jc w:val="center"/>
              <w:rPr>
                <w:rFonts w:ascii="宋体" w:hAnsi="宋体" w:eastAsia="宋体" w:cs="宋体"/>
                <w:bCs/>
                <w:sz w:val="24"/>
                <w:szCs w:val="18"/>
              </w:rPr>
            </w:pPr>
            <w:r>
              <w:rPr>
                <w:rFonts w:hint="eastAsia" w:ascii="宋体" w:hAnsi="宋体" w:eastAsia="宋体" w:cs="宋体"/>
                <w:bCs/>
                <w:kern w:val="0"/>
                <w:szCs w:val="21"/>
              </w:rPr>
              <w:t>1</w:t>
            </w:r>
          </w:p>
        </w:tc>
        <w:tc>
          <w:tcPr>
            <w:tcW w:w="576" w:type="dxa"/>
            <w:vAlign w:val="center"/>
          </w:tcPr>
          <w:p>
            <w:pPr>
              <w:spacing w:line="360" w:lineRule="auto"/>
              <w:jc w:val="center"/>
              <w:rPr>
                <w:rFonts w:ascii="宋体" w:hAnsi="宋体" w:eastAsia="宋体" w:cs="宋体"/>
                <w:bCs/>
                <w:sz w:val="24"/>
                <w:szCs w:val="18"/>
              </w:rPr>
            </w:pPr>
          </w:p>
        </w:tc>
      </w:tr>
    </w:tbl>
    <w:p>
      <w:pPr>
        <w:spacing w:line="360" w:lineRule="auto"/>
        <w:rPr>
          <w:rFonts w:hint="eastAsia" w:ascii="宋体" w:hAnsi="宋体" w:eastAsia="宋体" w:cs="宋体"/>
          <w:b/>
          <w:color w:val="000000"/>
          <w:sz w:val="24"/>
          <w:szCs w:val="28"/>
          <w:lang w:eastAsia="zh-CN"/>
        </w:rPr>
      </w:pPr>
      <w:r>
        <w:rPr>
          <w:rFonts w:hint="eastAsia" w:ascii="宋体" w:hAnsi="宋体" w:eastAsia="宋体" w:cs="宋体"/>
          <w:b/>
          <w:bCs/>
          <w:sz w:val="24"/>
          <w:szCs w:val="18"/>
        </w:rPr>
        <w:t>三、</w:t>
      </w:r>
      <w:r>
        <w:rPr>
          <w:rFonts w:hint="eastAsia" w:ascii="宋体" w:hAnsi="宋体" w:eastAsia="宋体" w:cs="宋体"/>
          <w:b/>
          <w:color w:val="000000"/>
          <w:sz w:val="24"/>
          <w:szCs w:val="28"/>
        </w:rPr>
        <w:t>安装调试、质保及售后服务要求</w:t>
      </w:r>
      <w:r>
        <w:rPr>
          <w:rFonts w:hint="eastAsia" w:ascii="宋体" w:hAnsi="宋体" w:eastAsia="宋体" w:cs="宋体"/>
          <w:b/>
          <w:color w:val="000000"/>
          <w:sz w:val="24"/>
          <w:szCs w:val="28"/>
          <w:lang w:eastAsia="zh-CN"/>
        </w:rPr>
        <w:t>（本要求为实质性要求）</w:t>
      </w:r>
    </w:p>
    <w:p>
      <w:pPr>
        <w:spacing w:line="500" w:lineRule="exact"/>
        <w:rPr>
          <w:rFonts w:ascii="宋体" w:hAnsi="宋体" w:eastAsia="宋体" w:cs="Times New Roman"/>
          <w:color w:val="000000"/>
          <w:sz w:val="24"/>
          <w:szCs w:val="22"/>
        </w:rPr>
      </w:pPr>
      <w:r>
        <w:rPr>
          <w:rFonts w:hint="eastAsia" w:ascii="宋体" w:hAnsi="宋体" w:eastAsia="宋体" w:cs="Times New Roman"/>
          <w:color w:val="000000"/>
          <w:sz w:val="24"/>
          <w:szCs w:val="22"/>
        </w:rPr>
        <w:t>（1）项目实施需要完成对服务器和客户端硬件调试，项目实施小组应联合相关的硬件厂商进行服务器和客户端硬件的调试，以确保系统能顺利运行。</w:t>
      </w:r>
    </w:p>
    <w:p>
      <w:pPr>
        <w:spacing w:line="500" w:lineRule="exact"/>
        <w:rPr>
          <w:rFonts w:ascii="宋体" w:hAnsi="宋体" w:eastAsia="宋体" w:cs="Times New Roman"/>
          <w:color w:val="000000"/>
          <w:sz w:val="24"/>
          <w:szCs w:val="22"/>
        </w:rPr>
      </w:pPr>
      <w:r>
        <w:rPr>
          <w:rFonts w:hint="eastAsia" w:ascii="宋体" w:hAnsi="宋体" w:eastAsia="宋体" w:cs="Times New Roman"/>
          <w:color w:val="000000"/>
          <w:sz w:val="24"/>
          <w:szCs w:val="22"/>
        </w:rPr>
        <w:t>（2）软件产品应提供至少3年免费质保期，包含3年内免费现场服务、免费保修服务、免费远程维修服务及咨询、3年免费软件升级服务等。在质保期内软件题库若有更新，供应商应在题库更新升级后72小时内，为甲方进行升级，确保题库更新及时性。</w:t>
      </w:r>
    </w:p>
    <w:p>
      <w:pPr>
        <w:spacing w:line="500" w:lineRule="exact"/>
        <w:rPr>
          <w:rFonts w:ascii="宋体" w:hAnsi="宋体" w:eastAsia="宋体" w:cs="Times New Roman"/>
          <w:color w:val="000000"/>
          <w:sz w:val="24"/>
          <w:szCs w:val="22"/>
        </w:rPr>
      </w:pPr>
      <w:r>
        <w:rPr>
          <w:rFonts w:hint="eastAsia" w:ascii="宋体" w:hAnsi="宋体" w:eastAsia="宋体" w:cs="Times New Roman"/>
          <w:color w:val="000000"/>
          <w:sz w:val="24"/>
          <w:szCs w:val="22"/>
        </w:rPr>
        <w:t>（3）质保期内，在使用过程中，售后维护响应时间应不超过12小时，并在24小时解决问题。</w:t>
      </w:r>
    </w:p>
    <w:p>
      <w:pPr>
        <w:spacing w:line="500" w:lineRule="exact"/>
        <w:rPr>
          <w:rFonts w:ascii="宋体" w:hAnsi="宋体" w:eastAsia="宋体" w:cs="Times New Roman"/>
          <w:color w:val="000000"/>
          <w:sz w:val="24"/>
          <w:szCs w:val="22"/>
        </w:rPr>
      </w:pPr>
      <w:r>
        <w:rPr>
          <w:rFonts w:hint="eastAsia" w:ascii="宋体" w:hAnsi="宋体" w:eastAsia="宋体" w:cs="Times New Roman"/>
          <w:color w:val="000000"/>
          <w:sz w:val="24"/>
          <w:szCs w:val="22"/>
        </w:rPr>
        <w:t>（4）质保期内，设备每年必须检查的内容应包含：安装软件设备及软件运行情况、相关老师对软件使用的掌握情况等。</w:t>
      </w:r>
    </w:p>
    <w:p>
      <w:pPr>
        <w:spacing w:line="500" w:lineRule="exact"/>
        <w:rPr>
          <w:rFonts w:ascii="宋体" w:hAnsi="宋体" w:eastAsia="宋体" w:cs="Times New Roman"/>
          <w:color w:val="000000"/>
          <w:sz w:val="24"/>
          <w:szCs w:val="22"/>
        </w:rPr>
      </w:pPr>
      <w:r>
        <w:rPr>
          <w:rFonts w:hint="eastAsia" w:ascii="宋体" w:hAnsi="宋体" w:eastAsia="宋体" w:cs="Times New Roman"/>
          <w:color w:val="000000"/>
          <w:sz w:val="24"/>
          <w:szCs w:val="22"/>
        </w:rPr>
        <w:t>（5）培训要求：使管理员能够从技术上操作系统平台与相关辅助实训设备的使用。掌握系统配置、管理，以及日常维护操作等；使教师了解系统的主要功能、软件操作以及系统结构等。</w:t>
      </w:r>
    </w:p>
    <w:p>
      <w:pPr>
        <w:spacing w:line="360" w:lineRule="auto"/>
        <w:rPr>
          <w:rFonts w:ascii="宋体" w:hAnsi="宋体" w:eastAsia="宋体" w:cs="Times New Roman"/>
          <w:color w:val="000000"/>
          <w:sz w:val="24"/>
          <w:szCs w:val="22"/>
        </w:rPr>
        <w:sectPr>
          <w:footerReference r:id="rId3" w:type="default"/>
          <w:pgSz w:w="11906" w:h="16838"/>
          <w:pgMar w:top="1440" w:right="1706" w:bottom="1440" w:left="1800" w:header="851" w:footer="992" w:gutter="0"/>
          <w:pgNumType w:start="1"/>
          <w:cols w:space="720" w:num="1"/>
          <w:docGrid w:type="lines" w:linePitch="312" w:charSpace="0"/>
        </w:sectPr>
      </w:pPr>
      <w:r>
        <w:rPr>
          <w:rFonts w:hint="eastAsia" w:ascii="宋体" w:hAnsi="宋体" w:eastAsia="宋体" w:cs="Times New Roman"/>
          <w:color w:val="000000"/>
          <w:sz w:val="24"/>
          <w:szCs w:val="22"/>
        </w:rPr>
        <w:t>（6）所投产品必须满足采购人要求，不得以任何理由拒绝或未按要求进行采购，承担不满足采购人要求的所有责任。提供所投设备免费的安装和调试，完成系统集成，确保设备、系统运行良好。质保期内专业软件需免费维护和软件升级服务，在中标价以外不增加任何费用。</w:t>
      </w:r>
    </w:p>
    <w:p>
      <w:pPr>
        <w:spacing w:line="360" w:lineRule="auto"/>
        <w:ind w:firstLine="437"/>
        <w:rPr>
          <w:rFonts w:ascii="Arial" w:hAnsi="Arial" w:eastAsia="宋体" w:cs="Arial"/>
          <w:b/>
          <w:color w:val="FF0000"/>
          <w:sz w:val="24"/>
          <w:szCs w:val="18"/>
          <w:highlight w:val="yellow"/>
        </w:rPr>
      </w:pPr>
      <w:r>
        <w:rPr>
          <w:rFonts w:hint="eastAsia" w:ascii="Arial" w:hAnsi="Arial" w:eastAsia="宋体" w:cs="Arial"/>
          <w:b/>
          <w:color w:val="FF0000"/>
          <w:sz w:val="24"/>
          <w:szCs w:val="18"/>
          <w:highlight w:val="yellow"/>
        </w:rPr>
        <w:t>第2包：银行综合仿真实训平台</w:t>
      </w:r>
    </w:p>
    <w:p>
      <w:pPr>
        <w:spacing w:line="360" w:lineRule="auto"/>
        <w:ind w:firstLine="437"/>
        <w:rPr>
          <w:rFonts w:ascii="Arial" w:hAnsi="Arial" w:eastAsia="宋体" w:cs="Arial"/>
          <w:b/>
          <w:sz w:val="24"/>
          <w:szCs w:val="18"/>
        </w:rPr>
      </w:pPr>
      <w:r>
        <w:rPr>
          <w:rFonts w:ascii="Arial" w:hAnsi="Arial" w:eastAsia="宋体" w:cs="Arial"/>
          <w:b/>
          <w:sz w:val="24"/>
          <w:szCs w:val="18"/>
        </w:rPr>
        <w:t>一、采购需求前附表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025"/>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pPr>
              <w:pStyle w:val="9"/>
              <w:pBdr>
                <w:bottom w:val="none" w:color="auto" w:sz="0" w:space="0"/>
              </w:pBdr>
              <w:adjustRightInd/>
              <w:spacing w:line="240" w:lineRule="auto"/>
              <w:textAlignment w:val="auto"/>
              <w:rPr>
                <w:rFonts w:ascii="Arial" w:hAnsi="Arial" w:eastAsia="宋体" w:cs="Arial"/>
                <w:b/>
                <w:kern w:val="2"/>
              </w:rPr>
            </w:pPr>
            <w:r>
              <w:rPr>
                <w:rFonts w:ascii="Arial" w:hAnsi="Arial" w:eastAsia="宋体" w:cs="Arial"/>
                <w:b/>
                <w:kern w:val="2"/>
              </w:rPr>
              <w:t>序号</w:t>
            </w:r>
          </w:p>
        </w:tc>
        <w:tc>
          <w:tcPr>
            <w:tcW w:w="2025" w:type="dxa"/>
            <w:vAlign w:val="center"/>
          </w:tcPr>
          <w:p>
            <w:pPr>
              <w:pStyle w:val="10"/>
              <w:widowControl w:val="0"/>
              <w:spacing w:before="0" w:beforeAutospacing="0" w:after="0" w:afterAutospacing="0" w:line="360" w:lineRule="auto"/>
              <w:rPr>
                <w:rFonts w:ascii="Arial" w:hAnsi="Arial" w:eastAsia="宋体" w:cs="Arial"/>
                <w:bCs w:val="0"/>
                <w:sz w:val="24"/>
              </w:rPr>
            </w:pPr>
            <w:r>
              <w:rPr>
                <w:rFonts w:ascii="Arial" w:hAnsi="Arial" w:eastAsia="宋体" w:cs="Arial"/>
                <w:bCs w:val="0"/>
                <w:sz w:val="24"/>
              </w:rPr>
              <w:t>条款名称</w:t>
            </w:r>
          </w:p>
        </w:tc>
        <w:tc>
          <w:tcPr>
            <w:tcW w:w="5466" w:type="dxa"/>
            <w:vAlign w:val="center"/>
          </w:tcPr>
          <w:p>
            <w:pPr>
              <w:pStyle w:val="10"/>
              <w:widowControl w:val="0"/>
              <w:spacing w:before="0" w:beforeAutospacing="0" w:after="0" w:afterAutospacing="0" w:line="360" w:lineRule="auto"/>
              <w:rPr>
                <w:rFonts w:ascii="Arial" w:hAnsi="Arial" w:eastAsia="宋体" w:cs="Arial"/>
                <w:bCs w:val="0"/>
                <w:sz w:val="24"/>
              </w:rPr>
            </w:pPr>
            <w:r>
              <w:rPr>
                <w:rFonts w:ascii="Arial" w:hAnsi="Arial" w:eastAsia="宋体" w:cs="Arial"/>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pPr>
              <w:pStyle w:val="9"/>
              <w:pBdr>
                <w:bottom w:val="none" w:color="auto" w:sz="0" w:space="0"/>
              </w:pBdr>
              <w:adjustRightInd/>
              <w:spacing w:line="240" w:lineRule="auto"/>
              <w:textAlignment w:val="auto"/>
              <w:rPr>
                <w:rFonts w:ascii="Arial" w:hAnsi="Arial" w:eastAsia="宋体" w:cs="Arial"/>
                <w:bCs/>
                <w:kern w:val="2"/>
              </w:rPr>
            </w:pPr>
            <w:r>
              <w:rPr>
                <w:rFonts w:ascii="Arial" w:hAnsi="Arial" w:eastAsia="宋体" w:cs="Arial"/>
                <w:bCs/>
                <w:kern w:val="2"/>
              </w:rPr>
              <w:t>1</w:t>
            </w:r>
          </w:p>
        </w:tc>
        <w:tc>
          <w:tcPr>
            <w:tcW w:w="2025" w:type="dxa"/>
            <w:vAlign w:val="center"/>
          </w:tcPr>
          <w:p>
            <w:pPr>
              <w:pStyle w:val="10"/>
              <w:widowControl w:val="0"/>
              <w:spacing w:before="0" w:beforeAutospacing="0" w:after="0" w:afterAutospacing="0" w:line="360" w:lineRule="auto"/>
              <w:rPr>
                <w:rFonts w:ascii="Arial" w:hAnsi="Arial" w:eastAsia="宋体" w:cs="Arial"/>
                <w:b w:val="0"/>
                <w:sz w:val="24"/>
              </w:rPr>
            </w:pPr>
            <w:r>
              <w:rPr>
                <w:rFonts w:ascii="Arial" w:hAnsi="Arial" w:eastAsia="宋体" w:cs="Arial"/>
                <w:b w:val="0"/>
                <w:sz w:val="24"/>
              </w:rPr>
              <w:t>付款方式</w:t>
            </w:r>
          </w:p>
        </w:tc>
        <w:tc>
          <w:tcPr>
            <w:tcW w:w="5466" w:type="dxa"/>
            <w:vAlign w:val="center"/>
          </w:tcPr>
          <w:p>
            <w:pPr>
              <w:pStyle w:val="10"/>
              <w:widowControl w:val="0"/>
              <w:spacing w:before="0" w:beforeAutospacing="0" w:after="0" w:afterAutospacing="0" w:line="360" w:lineRule="auto"/>
              <w:jc w:val="both"/>
              <w:rPr>
                <w:rFonts w:ascii="Arial" w:hAnsi="Arial" w:eastAsia="宋体" w:cs="Arial"/>
                <w:b w:val="0"/>
                <w:sz w:val="24"/>
                <w:u w:val="single"/>
              </w:rPr>
            </w:pPr>
            <w:r>
              <w:rPr>
                <w:rFonts w:hint="eastAsia" w:ascii="宋体" w:hAnsi="宋体" w:eastAsia="宋体" w:cs="宋体"/>
                <w:b w:val="0"/>
                <w:sz w:val="24"/>
                <w:u w:val="single"/>
              </w:rPr>
              <w:t>采购人付至合同价40%预付款给中标人，中标人提供等额预付款保函或其他担保措施给采购人，项目验收合格后支付剩余款项</w:t>
            </w:r>
            <w:r>
              <w:rPr>
                <w:rFonts w:hint="eastAsia" w:ascii="宋体" w:hAnsi="宋体" w:eastAsia="宋体" w:cs="宋体"/>
                <w:b w:val="0"/>
                <w:sz w:val="24"/>
                <w:u w:val="single"/>
                <w:lang w:eastAsia="zh-CN"/>
              </w:rPr>
              <w:t>并退还保函。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pPr>
              <w:pStyle w:val="9"/>
              <w:pBdr>
                <w:bottom w:val="none" w:color="auto" w:sz="0" w:space="0"/>
              </w:pBdr>
              <w:adjustRightInd/>
              <w:spacing w:line="240" w:lineRule="auto"/>
              <w:textAlignment w:val="auto"/>
              <w:rPr>
                <w:rFonts w:ascii="Arial" w:hAnsi="Arial" w:eastAsia="宋体" w:cs="Arial"/>
                <w:bCs/>
                <w:kern w:val="2"/>
              </w:rPr>
            </w:pPr>
            <w:r>
              <w:rPr>
                <w:rFonts w:ascii="Arial" w:hAnsi="Arial" w:eastAsia="宋体" w:cs="Arial"/>
                <w:bCs/>
                <w:kern w:val="2"/>
              </w:rPr>
              <w:t>2</w:t>
            </w:r>
          </w:p>
        </w:tc>
        <w:tc>
          <w:tcPr>
            <w:tcW w:w="2025" w:type="dxa"/>
            <w:vAlign w:val="center"/>
          </w:tcPr>
          <w:p>
            <w:pPr>
              <w:pStyle w:val="10"/>
              <w:widowControl w:val="0"/>
              <w:spacing w:before="0" w:beforeAutospacing="0" w:after="0" w:afterAutospacing="0" w:line="360" w:lineRule="auto"/>
              <w:rPr>
                <w:rFonts w:ascii="Arial" w:hAnsi="Arial" w:eastAsia="宋体" w:cs="Arial"/>
                <w:b w:val="0"/>
                <w:sz w:val="24"/>
              </w:rPr>
            </w:pPr>
            <w:r>
              <w:rPr>
                <w:rFonts w:ascii="Arial" w:hAnsi="Arial" w:eastAsia="宋体" w:cs="Arial"/>
                <w:b w:val="0"/>
                <w:sz w:val="24"/>
              </w:rPr>
              <w:t>供货及安装地点</w:t>
            </w:r>
          </w:p>
        </w:tc>
        <w:tc>
          <w:tcPr>
            <w:tcW w:w="5466" w:type="dxa"/>
            <w:vAlign w:val="center"/>
          </w:tcPr>
          <w:p>
            <w:pPr>
              <w:pStyle w:val="10"/>
              <w:widowControl w:val="0"/>
              <w:spacing w:before="0" w:beforeAutospacing="0" w:after="0" w:afterAutospacing="0" w:line="360" w:lineRule="auto"/>
              <w:jc w:val="both"/>
              <w:rPr>
                <w:rFonts w:ascii="Arial" w:hAnsi="Arial" w:eastAsia="宋体" w:cs="Arial"/>
                <w:b w:val="0"/>
                <w:sz w:val="24"/>
              </w:rPr>
            </w:pPr>
            <w:r>
              <w:rPr>
                <w:rFonts w:hint="eastAsia" w:ascii="Arial" w:hAnsi="Arial" w:eastAsia="宋体" w:cs="Arial"/>
                <w:b w:val="0"/>
                <w:sz w:val="24"/>
              </w:rPr>
              <w:t>安徽工商职业学院，或采购人指定地点</w:t>
            </w:r>
          </w:p>
          <w:p>
            <w:pPr>
              <w:pStyle w:val="10"/>
              <w:widowControl w:val="0"/>
              <w:spacing w:before="0" w:beforeAutospacing="0" w:after="0" w:afterAutospacing="0" w:line="360" w:lineRule="auto"/>
              <w:jc w:val="both"/>
              <w:rPr>
                <w:rFonts w:ascii="Arial" w:hAnsi="Arial" w:eastAsia="宋体" w:cs="Arial"/>
                <w:b w:val="0"/>
                <w:sz w:val="24"/>
              </w:rPr>
            </w:pPr>
            <w:r>
              <w:rPr>
                <w:rFonts w:hint="eastAsia" w:ascii="Arial" w:hAnsi="Arial" w:eastAsia="宋体" w:cs="Arial"/>
                <w:b w:val="0"/>
                <w:sz w:val="24"/>
              </w:rPr>
              <w:t>（注：</w:t>
            </w:r>
            <w:r>
              <w:rPr>
                <w:rFonts w:hint="eastAsia" w:ascii="Arial" w:hAnsi="Arial" w:eastAsia="宋体" w:cs="Arial"/>
                <w:b w:val="0"/>
                <w:sz w:val="24"/>
                <w:lang w:eastAsia="zh-CN"/>
              </w:rPr>
              <w:t>合同签订后</w:t>
            </w:r>
            <w:r>
              <w:rPr>
                <w:rFonts w:hint="eastAsia" w:ascii="Arial" w:hAnsi="Arial" w:eastAsia="宋体" w:cs="Arial"/>
                <w:b w:val="0"/>
                <w:sz w:val="24"/>
              </w:rPr>
              <w:t>，采购人有权要求中标单位提供真实环境到指定地点进行现场演示，如系统演示内容与投标文件不符的，采购人有权终止合同，并上报财政监管部门，一切责任由中标人承担。）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pPr>
              <w:pStyle w:val="9"/>
              <w:pBdr>
                <w:bottom w:val="none" w:color="auto" w:sz="0" w:space="0"/>
              </w:pBdr>
              <w:adjustRightInd/>
              <w:spacing w:line="240" w:lineRule="auto"/>
              <w:textAlignment w:val="auto"/>
              <w:rPr>
                <w:rFonts w:ascii="Arial" w:hAnsi="Arial" w:eastAsia="宋体" w:cs="Arial"/>
                <w:bCs/>
                <w:kern w:val="2"/>
              </w:rPr>
            </w:pPr>
            <w:r>
              <w:rPr>
                <w:rFonts w:ascii="Arial" w:hAnsi="Arial" w:eastAsia="宋体" w:cs="Arial"/>
                <w:bCs/>
                <w:kern w:val="2"/>
              </w:rPr>
              <w:t>3</w:t>
            </w:r>
          </w:p>
        </w:tc>
        <w:tc>
          <w:tcPr>
            <w:tcW w:w="2025" w:type="dxa"/>
            <w:vAlign w:val="center"/>
          </w:tcPr>
          <w:p>
            <w:pPr>
              <w:pStyle w:val="10"/>
              <w:widowControl w:val="0"/>
              <w:spacing w:before="0" w:beforeAutospacing="0" w:after="0" w:afterAutospacing="0" w:line="360" w:lineRule="auto"/>
              <w:rPr>
                <w:rFonts w:ascii="Arial" w:hAnsi="Arial" w:eastAsia="宋体" w:cs="Arial"/>
                <w:b w:val="0"/>
                <w:sz w:val="24"/>
              </w:rPr>
            </w:pPr>
            <w:r>
              <w:rPr>
                <w:rFonts w:ascii="Arial" w:hAnsi="Arial" w:eastAsia="宋体" w:cs="Arial"/>
                <w:b w:val="0"/>
                <w:sz w:val="24"/>
              </w:rPr>
              <w:t>供货及安装期限</w:t>
            </w:r>
          </w:p>
        </w:tc>
        <w:tc>
          <w:tcPr>
            <w:tcW w:w="5466" w:type="dxa"/>
            <w:vAlign w:val="center"/>
          </w:tcPr>
          <w:p>
            <w:pPr>
              <w:pStyle w:val="10"/>
              <w:widowControl w:val="0"/>
              <w:spacing w:before="0" w:beforeAutospacing="0" w:after="0" w:afterAutospacing="0" w:line="360" w:lineRule="auto"/>
              <w:jc w:val="both"/>
              <w:rPr>
                <w:rFonts w:ascii="Arial" w:hAnsi="Arial" w:eastAsia="宋体" w:cs="Arial"/>
                <w:b w:val="0"/>
                <w:sz w:val="24"/>
              </w:rPr>
            </w:pPr>
            <w:r>
              <w:rPr>
                <w:rFonts w:hint="eastAsia" w:ascii="Arial" w:hAnsi="Arial" w:eastAsia="宋体" w:cs="Arial"/>
                <w:b w:val="0"/>
                <w:sz w:val="24"/>
              </w:rPr>
              <w:t>合同签订后7天完成供货和安装、调试。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pPr>
              <w:pStyle w:val="9"/>
              <w:pBdr>
                <w:bottom w:val="none" w:color="auto" w:sz="0" w:space="0"/>
              </w:pBdr>
              <w:adjustRightInd/>
              <w:spacing w:line="240" w:lineRule="auto"/>
              <w:textAlignment w:val="auto"/>
              <w:rPr>
                <w:rFonts w:ascii="Arial" w:hAnsi="Arial" w:eastAsia="宋体" w:cs="Arial"/>
                <w:bCs/>
                <w:kern w:val="2"/>
              </w:rPr>
            </w:pPr>
            <w:r>
              <w:rPr>
                <w:rFonts w:ascii="Arial" w:hAnsi="Arial" w:eastAsia="宋体" w:cs="Arial"/>
                <w:bCs/>
                <w:kern w:val="2"/>
              </w:rPr>
              <w:t>4</w:t>
            </w:r>
          </w:p>
        </w:tc>
        <w:tc>
          <w:tcPr>
            <w:tcW w:w="2025" w:type="dxa"/>
            <w:vAlign w:val="center"/>
          </w:tcPr>
          <w:p>
            <w:pPr>
              <w:pStyle w:val="10"/>
              <w:widowControl w:val="0"/>
              <w:spacing w:before="0" w:beforeAutospacing="0" w:after="0" w:afterAutospacing="0" w:line="360" w:lineRule="auto"/>
              <w:rPr>
                <w:rFonts w:ascii="Arial" w:hAnsi="Arial" w:eastAsia="宋体" w:cs="Arial"/>
                <w:b w:val="0"/>
                <w:sz w:val="24"/>
              </w:rPr>
            </w:pPr>
            <w:r>
              <w:rPr>
                <w:rFonts w:ascii="Arial" w:hAnsi="Arial" w:eastAsia="宋体" w:cs="Arial"/>
                <w:b w:val="0"/>
                <w:sz w:val="24"/>
              </w:rPr>
              <w:t>免费质保期</w:t>
            </w:r>
          </w:p>
        </w:tc>
        <w:tc>
          <w:tcPr>
            <w:tcW w:w="5466" w:type="dxa"/>
            <w:vAlign w:val="center"/>
          </w:tcPr>
          <w:p>
            <w:pPr>
              <w:pStyle w:val="10"/>
              <w:widowControl w:val="0"/>
              <w:spacing w:before="0" w:beforeAutospacing="0" w:after="0" w:afterAutospacing="0" w:line="360" w:lineRule="auto"/>
              <w:jc w:val="both"/>
              <w:rPr>
                <w:rFonts w:ascii="Arial" w:hAnsi="Arial" w:eastAsia="宋体" w:cs="Arial"/>
                <w:b w:val="0"/>
                <w:sz w:val="24"/>
              </w:rPr>
            </w:pPr>
            <w:r>
              <w:rPr>
                <w:rFonts w:hint="eastAsia" w:ascii="Arial" w:hAnsi="Arial" w:eastAsia="宋体" w:cs="Arial"/>
                <w:b w:val="0"/>
                <w:sz w:val="24"/>
              </w:rPr>
              <w:t>验收合格之日起3年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pPr>
              <w:pStyle w:val="9"/>
              <w:pBdr>
                <w:bottom w:val="none" w:color="auto" w:sz="0" w:space="0"/>
              </w:pBdr>
              <w:adjustRightInd/>
              <w:spacing w:line="240" w:lineRule="auto"/>
              <w:textAlignment w:val="auto"/>
              <w:rPr>
                <w:rFonts w:ascii="Arial" w:hAnsi="Arial" w:eastAsia="宋体" w:cs="Arial"/>
                <w:bCs/>
                <w:kern w:val="2"/>
              </w:rPr>
            </w:pPr>
            <w:r>
              <w:rPr>
                <w:rFonts w:hint="eastAsia" w:ascii="Arial" w:hAnsi="Arial" w:eastAsia="宋体" w:cs="Arial"/>
                <w:bCs/>
                <w:kern w:val="2"/>
              </w:rPr>
              <w:t>5</w:t>
            </w:r>
          </w:p>
        </w:tc>
        <w:tc>
          <w:tcPr>
            <w:tcW w:w="2025" w:type="dxa"/>
            <w:vAlign w:val="center"/>
          </w:tcPr>
          <w:p>
            <w:pPr>
              <w:pStyle w:val="10"/>
              <w:widowControl w:val="0"/>
              <w:spacing w:before="0" w:beforeAutospacing="0" w:after="0" w:afterAutospacing="0" w:line="360" w:lineRule="auto"/>
              <w:rPr>
                <w:rFonts w:ascii="Arial" w:hAnsi="Arial" w:eastAsia="宋体" w:cs="Arial"/>
                <w:b w:val="0"/>
                <w:sz w:val="24"/>
              </w:rPr>
            </w:pPr>
            <w:r>
              <w:rPr>
                <w:rFonts w:hint="eastAsia" w:ascii="宋体" w:hAnsi="宋体" w:eastAsia="宋体" w:cs="宋体"/>
                <w:b w:val="0"/>
                <w:sz w:val="24"/>
              </w:rPr>
              <w:t>技术参数响应</w:t>
            </w:r>
          </w:p>
        </w:tc>
        <w:tc>
          <w:tcPr>
            <w:tcW w:w="5466" w:type="dxa"/>
            <w:vAlign w:val="center"/>
          </w:tcPr>
          <w:p>
            <w:pPr>
              <w:pStyle w:val="10"/>
              <w:widowControl w:val="0"/>
              <w:spacing w:before="0" w:beforeAutospacing="0" w:after="0" w:afterAutospacing="0" w:line="360" w:lineRule="auto"/>
              <w:jc w:val="both"/>
              <w:rPr>
                <w:rFonts w:ascii="Arial" w:hAnsi="Arial" w:eastAsia="宋体" w:cs="Arial"/>
                <w:b w:val="0"/>
                <w:sz w:val="24"/>
              </w:rPr>
            </w:pPr>
            <w:r>
              <w:rPr>
                <w:rFonts w:hint="eastAsia" w:ascii="宋体" w:hAnsi="宋体" w:eastAsia="宋体" w:cs="宋体"/>
                <w:b w:val="0"/>
                <w:sz w:val="24"/>
              </w:rPr>
              <w:t>标</w:t>
            </w:r>
            <w:r>
              <w:rPr>
                <w:rFonts w:hint="eastAsia" w:ascii="宋体" w:hAnsi="宋体" w:eastAsia="宋体" w:cs="宋体"/>
                <w:sz w:val="24"/>
                <w:szCs w:val="24"/>
              </w:rPr>
              <w:t>★</w:t>
            </w:r>
            <w:r>
              <w:rPr>
                <w:rFonts w:hint="eastAsia" w:ascii="宋体" w:hAnsi="宋体" w:eastAsia="宋体" w:cs="宋体"/>
                <w:b w:val="0"/>
                <w:bCs w:val="0"/>
                <w:sz w:val="24"/>
                <w:szCs w:val="24"/>
              </w:rPr>
              <w:t>的参数超过</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项（不含）不满足，投标无效；未标</w:t>
            </w:r>
            <w:r>
              <w:rPr>
                <w:rFonts w:hint="eastAsia" w:ascii="宋体" w:hAnsi="宋体" w:eastAsia="宋体" w:cs="宋体"/>
                <w:sz w:val="24"/>
                <w:szCs w:val="24"/>
              </w:rPr>
              <w:t>★</w:t>
            </w:r>
            <w:r>
              <w:rPr>
                <w:rFonts w:hint="eastAsia" w:ascii="宋体" w:hAnsi="宋体" w:eastAsia="宋体" w:cs="宋体"/>
                <w:b w:val="0"/>
                <w:bCs w:val="0"/>
                <w:sz w:val="24"/>
                <w:szCs w:val="24"/>
              </w:rPr>
              <w:t>的参数超过10项（不含）不满足，投标无效。</w:t>
            </w:r>
          </w:p>
        </w:tc>
      </w:tr>
    </w:tbl>
    <w:p>
      <w:pPr>
        <w:spacing w:line="360" w:lineRule="auto"/>
        <w:ind w:firstLine="437"/>
        <w:rPr>
          <w:rFonts w:ascii="Arial" w:hAnsi="Arial" w:eastAsia="宋体" w:cs="Arial"/>
          <w:b/>
          <w:bCs/>
          <w:sz w:val="24"/>
          <w:szCs w:val="18"/>
        </w:rPr>
      </w:pPr>
      <w:r>
        <w:rPr>
          <w:rFonts w:ascii="Arial" w:hAnsi="Arial" w:eastAsia="宋体" w:cs="Arial"/>
          <w:b/>
          <w:bCs/>
          <w:sz w:val="24"/>
          <w:szCs w:val="18"/>
        </w:rPr>
        <w:t>二、货物需求</w:t>
      </w:r>
    </w:p>
    <w:tbl>
      <w:tblPr>
        <w:tblStyle w:val="7"/>
        <w:tblpPr w:leftFromText="180" w:rightFromText="180" w:vertAnchor="text" w:horzAnchor="page" w:tblpX="1809" w:tblpY="6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459"/>
        <w:gridCol w:w="4772"/>
        <w:gridCol w:w="491"/>
        <w:gridCol w:w="573"/>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60" w:lineRule="auto"/>
              <w:jc w:val="center"/>
              <w:rPr>
                <w:rFonts w:ascii="宋体" w:hAnsi="宋体" w:eastAsia="宋体" w:cs="宋体"/>
                <w:b/>
                <w:bCs/>
                <w:sz w:val="24"/>
                <w:szCs w:val="18"/>
              </w:rPr>
            </w:pPr>
            <w:r>
              <w:rPr>
                <w:rFonts w:hint="eastAsia" w:ascii="宋体" w:hAnsi="宋体" w:eastAsia="宋体" w:cs="宋体"/>
                <w:b/>
                <w:bCs/>
                <w:sz w:val="24"/>
                <w:szCs w:val="18"/>
              </w:rPr>
              <w:t>序号</w:t>
            </w:r>
          </w:p>
        </w:tc>
        <w:tc>
          <w:tcPr>
            <w:tcW w:w="1459" w:type="dxa"/>
            <w:vAlign w:val="center"/>
          </w:tcPr>
          <w:p>
            <w:pPr>
              <w:spacing w:line="360" w:lineRule="auto"/>
              <w:jc w:val="center"/>
              <w:rPr>
                <w:rFonts w:ascii="宋体" w:hAnsi="宋体" w:eastAsia="宋体" w:cs="宋体"/>
                <w:b/>
                <w:bCs/>
                <w:sz w:val="24"/>
                <w:szCs w:val="18"/>
              </w:rPr>
            </w:pPr>
            <w:r>
              <w:rPr>
                <w:rFonts w:hint="eastAsia" w:ascii="宋体" w:hAnsi="宋体" w:eastAsia="宋体" w:cs="宋体"/>
                <w:b/>
                <w:bCs/>
                <w:sz w:val="24"/>
                <w:szCs w:val="18"/>
              </w:rPr>
              <w:t>货物名称</w:t>
            </w:r>
          </w:p>
        </w:tc>
        <w:tc>
          <w:tcPr>
            <w:tcW w:w="4772" w:type="dxa"/>
            <w:vAlign w:val="center"/>
          </w:tcPr>
          <w:p>
            <w:pPr>
              <w:spacing w:line="360" w:lineRule="auto"/>
              <w:jc w:val="center"/>
              <w:rPr>
                <w:rFonts w:ascii="宋体" w:hAnsi="宋体" w:eastAsia="宋体" w:cs="宋体"/>
                <w:b/>
                <w:bCs/>
                <w:sz w:val="24"/>
                <w:szCs w:val="18"/>
              </w:rPr>
            </w:pPr>
            <w:r>
              <w:rPr>
                <w:rFonts w:hint="eastAsia" w:ascii="宋体" w:hAnsi="宋体" w:eastAsia="宋体" w:cs="宋体"/>
                <w:b/>
                <w:bCs/>
                <w:sz w:val="24"/>
                <w:szCs w:val="18"/>
              </w:rPr>
              <w:t>技术参数要求</w:t>
            </w:r>
          </w:p>
        </w:tc>
        <w:tc>
          <w:tcPr>
            <w:tcW w:w="491" w:type="dxa"/>
            <w:vAlign w:val="center"/>
          </w:tcPr>
          <w:p>
            <w:pPr>
              <w:spacing w:line="360" w:lineRule="auto"/>
              <w:jc w:val="center"/>
              <w:rPr>
                <w:rFonts w:ascii="宋体" w:hAnsi="宋体" w:eastAsia="宋体" w:cs="宋体"/>
                <w:b/>
                <w:bCs/>
                <w:sz w:val="24"/>
                <w:szCs w:val="18"/>
              </w:rPr>
            </w:pPr>
            <w:r>
              <w:rPr>
                <w:rFonts w:hint="eastAsia" w:ascii="宋体" w:hAnsi="宋体" w:eastAsia="宋体" w:cs="宋体"/>
                <w:b/>
                <w:bCs/>
                <w:sz w:val="24"/>
                <w:szCs w:val="18"/>
              </w:rPr>
              <w:t>单位</w:t>
            </w:r>
          </w:p>
        </w:tc>
        <w:tc>
          <w:tcPr>
            <w:tcW w:w="573" w:type="dxa"/>
            <w:vAlign w:val="center"/>
          </w:tcPr>
          <w:p>
            <w:pPr>
              <w:spacing w:line="360" w:lineRule="auto"/>
              <w:jc w:val="center"/>
              <w:rPr>
                <w:rFonts w:ascii="宋体" w:hAnsi="宋体" w:eastAsia="宋体" w:cs="宋体"/>
                <w:b/>
                <w:bCs/>
                <w:sz w:val="24"/>
                <w:szCs w:val="18"/>
              </w:rPr>
            </w:pPr>
            <w:r>
              <w:rPr>
                <w:rFonts w:hint="eastAsia" w:ascii="宋体" w:hAnsi="宋体" w:eastAsia="宋体" w:cs="宋体"/>
                <w:b/>
                <w:bCs/>
                <w:sz w:val="24"/>
                <w:szCs w:val="18"/>
              </w:rPr>
              <w:t>数量</w:t>
            </w:r>
          </w:p>
        </w:tc>
        <w:tc>
          <w:tcPr>
            <w:tcW w:w="576" w:type="dxa"/>
            <w:vAlign w:val="center"/>
          </w:tcPr>
          <w:p>
            <w:pPr>
              <w:spacing w:line="360" w:lineRule="auto"/>
              <w:jc w:val="center"/>
              <w:rPr>
                <w:rFonts w:ascii="宋体" w:hAnsi="宋体" w:eastAsia="宋体" w:cs="宋体"/>
                <w:b/>
                <w:bCs/>
                <w:sz w:val="24"/>
                <w:szCs w:val="18"/>
              </w:rPr>
            </w:pPr>
            <w:r>
              <w:rPr>
                <w:rFonts w:hint="eastAsia" w:ascii="宋体" w:hAnsi="宋体" w:eastAsia="宋体" w:cs="宋体"/>
                <w:b/>
                <w:bCs/>
                <w:sz w:val="24"/>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24" w:type="dxa"/>
            <w:vAlign w:val="center"/>
          </w:tcPr>
          <w:p>
            <w:pPr>
              <w:spacing w:line="360" w:lineRule="auto"/>
              <w:jc w:val="center"/>
              <w:rPr>
                <w:rFonts w:ascii="宋体" w:hAnsi="宋体" w:eastAsia="宋体" w:cs="宋体"/>
                <w:sz w:val="24"/>
                <w:szCs w:val="18"/>
              </w:rPr>
            </w:pPr>
            <w:r>
              <w:rPr>
                <w:rFonts w:hint="eastAsia" w:ascii="宋体" w:hAnsi="宋体" w:eastAsia="宋体" w:cs="宋体"/>
                <w:sz w:val="24"/>
                <w:szCs w:val="18"/>
              </w:rPr>
              <w:t>1</w:t>
            </w:r>
          </w:p>
        </w:tc>
        <w:tc>
          <w:tcPr>
            <w:tcW w:w="1459" w:type="dxa"/>
            <w:vAlign w:val="center"/>
          </w:tcPr>
          <w:p>
            <w:pPr>
              <w:widowControl/>
              <w:jc w:val="left"/>
              <w:rPr>
                <w:rFonts w:ascii="宋体" w:hAnsi="宋体" w:eastAsia="宋体" w:cs="宋体"/>
                <w:bCs/>
                <w:sz w:val="24"/>
                <w:szCs w:val="18"/>
              </w:rPr>
            </w:pPr>
            <w:r>
              <w:rPr>
                <w:rFonts w:hint="eastAsia" w:ascii="微软雅黑" w:hAnsi="微软雅黑" w:eastAsia="微软雅黑" w:cs="微软雅黑"/>
                <w:b/>
                <w:bCs/>
                <w:sz w:val="24"/>
                <w:szCs w:val="18"/>
              </w:rPr>
              <w:t>▲</w:t>
            </w:r>
            <w:r>
              <w:rPr>
                <w:rFonts w:hint="eastAsia" w:ascii="宋体" w:hAnsi="宋体" w:eastAsia="宋体" w:cs="宋体"/>
                <w:bCs/>
                <w:szCs w:val="21"/>
              </w:rPr>
              <w:t>银行综合仿真实训平台</w:t>
            </w:r>
          </w:p>
        </w:tc>
        <w:tc>
          <w:tcPr>
            <w:tcW w:w="4772" w:type="dxa"/>
          </w:tcPr>
          <w:p>
            <w:pPr>
              <w:numPr>
                <w:ilvl w:val="0"/>
                <w:numId w:val="1"/>
              </w:numPr>
              <w:jc w:val="left"/>
              <w:rPr>
                <w:rFonts w:ascii="宋体" w:hAnsi="宋体" w:eastAsia="宋体" w:cs="宋体"/>
              </w:rPr>
            </w:pPr>
            <w:r>
              <w:rPr>
                <w:rFonts w:hint="eastAsia" w:ascii="宋体" w:hAnsi="宋体" w:eastAsia="宋体" w:cs="宋体"/>
              </w:rPr>
              <w:t>系统使用方便快捷，采用B/S架构，可随时随地通过浏览器访问，且用户数量不受限制。</w:t>
            </w:r>
          </w:p>
          <w:p>
            <w:pPr>
              <w:numPr>
                <w:ilvl w:val="0"/>
                <w:numId w:val="1"/>
              </w:numPr>
              <w:jc w:val="left"/>
              <w:rPr>
                <w:rFonts w:ascii="宋体" w:hAnsi="宋体" w:eastAsia="宋体" w:cs="宋体"/>
              </w:rPr>
            </w:pPr>
            <w:r>
              <w:rPr>
                <w:rFonts w:hint="eastAsia" w:ascii="Arial" w:hAnsi="Arial" w:eastAsia="宋体" w:cs="Arial"/>
                <w:sz w:val="24"/>
                <w:szCs w:val="18"/>
              </w:rPr>
              <w:t>★</w:t>
            </w:r>
            <w:r>
              <w:rPr>
                <w:rFonts w:hint="eastAsia" w:ascii="宋体" w:hAnsi="宋体" w:eastAsia="宋体" w:cs="宋体"/>
              </w:rPr>
              <w:t>系统提供齐全的银行核心业务岗位业务案例，学生在高度仿真的环境中，通过对实训案例的操作可以系统地掌握银行综合柜员、大堂经理、客户经理（信贷）、理财经理四个岗位的业务技能。</w:t>
            </w:r>
          </w:p>
          <w:p>
            <w:pPr>
              <w:numPr>
                <w:ilvl w:val="0"/>
                <w:numId w:val="1"/>
              </w:numPr>
              <w:jc w:val="left"/>
              <w:rPr>
                <w:rFonts w:ascii="宋体" w:hAnsi="宋体" w:eastAsia="宋体" w:cs="宋体"/>
              </w:rPr>
            </w:pPr>
            <w:r>
              <w:rPr>
                <w:rFonts w:hint="eastAsia" w:ascii="宋体" w:hAnsi="宋体" w:eastAsia="宋体" w:cs="宋体"/>
              </w:rPr>
              <w:t>系统包括银行综合柜员模块、大堂经理模块、理财经理赛项模块、客户经理（信贷）模块、评分管理系统等，各模块具体如下：</w:t>
            </w:r>
          </w:p>
          <w:p>
            <w:pPr>
              <w:pStyle w:val="5"/>
              <w:numPr>
                <w:ilvl w:val="0"/>
                <w:numId w:val="2"/>
              </w:numPr>
              <w:spacing w:after="0"/>
              <w:rPr>
                <w:rFonts w:ascii="宋体" w:hAnsi="宋体" w:eastAsia="宋体" w:cs="宋体"/>
                <w:lang w:val="en-US"/>
              </w:rPr>
            </w:pPr>
            <w:r>
              <w:rPr>
                <w:rFonts w:hint="eastAsia" w:ascii="宋体" w:hAnsi="宋体" w:eastAsia="宋体" w:cs="宋体"/>
                <w:lang w:val="en-US"/>
              </w:rPr>
              <w:t>大堂经理岗模块</w:t>
            </w:r>
          </w:p>
          <w:p>
            <w:pPr>
              <w:pStyle w:val="5"/>
              <w:spacing w:after="0"/>
              <w:ind w:left="397"/>
              <w:rPr>
                <w:rFonts w:ascii="宋体" w:hAnsi="宋体" w:eastAsia="宋体" w:cs="宋体"/>
                <w:lang w:val="en-US"/>
              </w:rPr>
            </w:pPr>
            <w:r>
              <w:rPr>
                <w:rFonts w:hint="eastAsia" w:ascii="Arial" w:hAnsi="Arial" w:eastAsia="宋体" w:cs="Arial"/>
                <w:sz w:val="24"/>
                <w:szCs w:val="18"/>
              </w:rPr>
              <w:t>★</w:t>
            </w:r>
            <w:r>
              <w:rPr>
                <w:rFonts w:hint="eastAsia" w:ascii="宋体" w:hAnsi="宋体" w:eastAsia="宋体" w:cs="宋体"/>
                <w:lang w:val="en-US"/>
              </w:rPr>
              <w:t>1.1 通过采用3D虚拟仿真技术，考核选手对银行大堂经理岗业务处理流程及规范的掌握情况，包括客户引导与分流、客户问询处理、单据填写、假币鉴别，残/污损币的兑换、异议及投诉处理、签名与盖章、营销转介、手语/外语服务等。</w:t>
            </w:r>
          </w:p>
          <w:p>
            <w:pPr>
              <w:pStyle w:val="5"/>
              <w:spacing w:after="0"/>
              <w:ind w:left="397"/>
              <w:rPr>
                <w:rFonts w:ascii="宋体" w:hAnsi="宋体" w:eastAsia="宋体" w:cs="宋体"/>
                <w:lang w:val="en-US"/>
              </w:rPr>
            </w:pPr>
            <w:r>
              <w:rPr>
                <w:rFonts w:hint="eastAsia" w:ascii="Arial" w:hAnsi="Arial" w:eastAsia="宋体" w:cs="Arial"/>
                <w:sz w:val="24"/>
                <w:szCs w:val="18"/>
              </w:rPr>
              <w:t>★</w:t>
            </w:r>
            <w:r>
              <w:rPr>
                <w:rFonts w:hint="eastAsia" w:ascii="宋体" w:hAnsi="宋体" w:eastAsia="宋体" w:cs="宋体"/>
                <w:lang w:val="en-US"/>
              </w:rPr>
              <w:t>1.2 系统模块全部采用3D虚拟仿真技术。所有的场景均为 3D 场景（非图片、Flash、视频），学员进入后会显示 3D 环境的室内场景，场景中的布置均为可交互触发的独立建模介质（非贴图）。</w:t>
            </w:r>
          </w:p>
          <w:p>
            <w:pPr>
              <w:pStyle w:val="5"/>
              <w:spacing w:after="0"/>
              <w:ind w:left="397"/>
              <w:rPr>
                <w:rFonts w:ascii="宋体" w:hAnsi="宋体" w:eastAsia="宋体" w:cs="宋体"/>
                <w:lang w:val="en-US"/>
              </w:rPr>
            </w:pPr>
            <w:r>
              <w:rPr>
                <w:rFonts w:hint="eastAsia" w:ascii="宋体" w:hAnsi="宋体" w:eastAsia="宋体" w:cs="宋体"/>
                <w:lang w:val="en-US"/>
              </w:rPr>
              <w:t>1.3 题型多样，包括单选题、多选题、视频题、音频题、图文题、动画题、手语识别题等。</w:t>
            </w:r>
          </w:p>
          <w:p>
            <w:pPr>
              <w:pStyle w:val="5"/>
              <w:spacing w:after="0"/>
              <w:ind w:left="397"/>
              <w:rPr>
                <w:rFonts w:ascii="宋体" w:hAnsi="宋体" w:eastAsia="宋体" w:cs="宋体"/>
                <w:lang w:val="en-US"/>
              </w:rPr>
            </w:pPr>
            <w:r>
              <w:rPr>
                <w:rFonts w:hint="eastAsia" w:ascii="Arial" w:hAnsi="Arial" w:eastAsia="宋体" w:cs="Arial"/>
                <w:sz w:val="24"/>
                <w:szCs w:val="18"/>
              </w:rPr>
              <w:t>★</w:t>
            </w:r>
            <w:r>
              <w:rPr>
                <w:rFonts w:hint="eastAsia" w:ascii="宋体" w:hAnsi="宋体" w:eastAsia="宋体" w:cs="宋体"/>
                <w:lang w:val="en-US"/>
              </w:rPr>
              <w:t>1.4 流程化答题考核设计。题目设计贯穿从3D形象客户进入厅堂到送别的全过程，包括接待客户、询问客户需求、根据客户的需求为其取对应的业务号、引导客户到对应的业务办理区域、为客户选取对应的单据供客户填写、判断客户的填写结果是否正确、为客户推介合适的产品、处理客户投诉、应急状况处理、手语服务客户、英语口语服务客户、送别客户。</w:t>
            </w:r>
          </w:p>
          <w:p>
            <w:pPr>
              <w:pStyle w:val="5"/>
              <w:spacing w:after="0"/>
              <w:ind w:left="397"/>
              <w:rPr>
                <w:rFonts w:ascii="宋体" w:hAnsi="宋体" w:eastAsia="宋体" w:cs="宋体"/>
                <w:lang w:val="en-US"/>
              </w:rPr>
            </w:pPr>
            <w:r>
              <w:rPr>
                <w:rFonts w:hint="eastAsia" w:ascii="Arial" w:hAnsi="Arial" w:eastAsia="宋体" w:cs="Arial"/>
                <w:sz w:val="24"/>
                <w:szCs w:val="18"/>
              </w:rPr>
              <w:t>★</w:t>
            </w:r>
            <w:r>
              <w:rPr>
                <w:rFonts w:hint="eastAsia" w:ascii="宋体" w:hAnsi="宋体" w:eastAsia="宋体" w:cs="宋体"/>
                <w:lang w:val="en-US"/>
              </w:rPr>
              <w:t>1.5 人物角色多样。系统内设多个客户的人物形象，根据不同客户年龄画像可大致分为青年、中年、老年；根据不同性别分为男客户、女客户；根据不同国籍分为本国人、外国人。</w:t>
            </w:r>
          </w:p>
          <w:p>
            <w:pPr>
              <w:pStyle w:val="5"/>
              <w:numPr>
                <w:ilvl w:val="1"/>
                <w:numId w:val="3"/>
              </w:numPr>
              <w:spacing w:after="0"/>
              <w:rPr>
                <w:rFonts w:ascii="宋体" w:hAnsi="宋体" w:eastAsia="宋体" w:cs="宋体"/>
                <w:lang w:val="en-US"/>
              </w:rPr>
            </w:pPr>
            <w:r>
              <w:rPr>
                <w:rFonts w:hint="eastAsia" w:ascii="宋体" w:hAnsi="宋体" w:eastAsia="宋体" w:cs="宋体"/>
                <w:lang w:val="en-US"/>
              </w:rPr>
              <w:t>案例题知识点考察范围包括：厅堂应知应会基础理论知识、服务行业基本礼仪、金融行业标准、风险识别要点、客户投诉处理、应急事件处理、多语言服务、残损币/污损币兑换标准、商业银行业务知识等等。</w:t>
            </w:r>
          </w:p>
          <w:p>
            <w:pPr>
              <w:pStyle w:val="5"/>
              <w:numPr>
                <w:ilvl w:val="1"/>
                <w:numId w:val="3"/>
              </w:numPr>
              <w:spacing w:after="0"/>
              <w:rPr>
                <w:rFonts w:ascii="宋体" w:hAnsi="宋体" w:eastAsia="宋体" w:cs="宋体"/>
                <w:lang w:val="en-US"/>
              </w:rPr>
            </w:pPr>
            <w:r>
              <w:rPr>
                <w:rFonts w:hint="eastAsia" w:ascii="宋体" w:hAnsi="宋体" w:eastAsia="宋体" w:cs="宋体"/>
                <w:lang w:val="en-US"/>
              </w:rPr>
              <w:t>管理员端支持每支竞赛任务可灵活设置不同的题型、题量；灵活设置多位客户数量；可根据竞赛要求合理安排考核任务量。</w:t>
            </w:r>
          </w:p>
          <w:p>
            <w:pPr>
              <w:pStyle w:val="5"/>
              <w:numPr>
                <w:ilvl w:val="1"/>
                <w:numId w:val="3"/>
              </w:numPr>
              <w:spacing w:after="0"/>
              <w:rPr>
                <w:rFonts w:ascii="宋体" w:hAnsi="宋体" w:eastAsia="宋体" w:cs="宋体"/>
                <w:lang w:val="en-US"/>
              </w:rPr>
            </w:pPr>
            <w:r>
              <w:rPr>
                <w:rFonts w:hint="eastAsia" w:ascii="宋体" w:hAnsi="宋体" w:eastAsia="宋体" w:cs="宋体"/>
                <w:lang w:val="en-US"/>
              </w:rPr>
              <w:t>成绩展示可详细查看案例解析和得分/失分明细，并可支持导出、统计、排名功能。</w:t>
            </w:r>
          </w:p>
          <w:p>
            <w:pPr>
              <w:pStyle w:val="5"/>
              <w:numPr>
                <w:ilvl w:val="0"/>
                <w:numId w:val="2"/>
              </w:numPr>
              <w:spacing w:after="0"/>
              <w:rPr>
                <w:rFonts w:ascii="宋体" w:hAnsi="宋体" w:eastAsia="宋体" w:cs="宋体"/>
                <w:lang w:val="en-US"/>
              </w:rPr>
            </w:pPr>
            <w:r>
              <w:rPr>
                <w:rFonts w:hint="eastAsia" w:ascii="宋体" w:hAnsi="宋体" w:eastAsia="宋体" w:cs="宋体"/>
                <w:lang w:val="en-US"/>
              </w:rPr>
              <w:t>综合柜员岗模块</w:t>
            </w:r>
          </w:p>
          <w:p>
            <w:pPr>
              <w:pStyle w:val="5"/>
              <w:spacing w:after="0"/>
              <w:ind w:left="397"/>
              <w:rPr>
                <w:rFonts w:ascii="宋体" w:hAnsi="宋体" w:eastAsia="宋体" w:cs="宋体"/>
                <w:lang w:val="en-US"/>
              </w:rPr>
            </w:pPr>
            <w:r>
              <w:rPr>
                <w:rFonts w:hint="eastAsia" w:ascii="宋体" w:hAnsi="宋体" w:eastAsia="宋体" w:cs="宋体"/>
                <w:lang w:val="en-US"/>
              </w:rPr>
              <w:t>2.1 综合业务柜员岗模块涵盖银行40多支核心业务，含个人业务、对公业务、开工管理、公共业务、凭证管理、签约管理、完工管理、现金管理、保证金业务、查冻扣业务、电费代理业务、国库业务、通存通兑、网上银行管理、代理业务、汇兑业务、支付业务，通过技能竞赛考核操作，学员完成任务目标，达到掌握岗位技能的目的。</w:t>
            </w:r>
          </w:p>
          <w:p>
            <w:pPr>
              <w:pStyle w:val="5"/>
              <w:spacing w:after="0"/>
              <w:ind w:left="397"/>
              <w:rPr>
                <w:rFonts w:ascii="宋体" w:hAnsi="宋体" w:eastAsia="宋体" w:cs="宋体"/>
                <w:lang w:val="en-US"/>
              </w:rPr>
            </w:pPr>
            <w:r>
              <w:rPr>
                <w:rFonts w:hint="eastAsia" w:ascii="宋体" w:hAnsi="宋体" w:eastAsia="宋体" w:cs="宋体"/>
                <w:lang w:val="en-US"/>
              </w:rPr>
              <w:t>2.2 系统内置了丰富的实训任务，讲师可直接根据培训安排以任务布置形式给学员发布实训任务内容，学员根据培训的计划进行演练，从场景模拟，到业务柜台办理，再到业务办理完成后的打印，完成真实业务办理的整个流程。</w:t>
            </w:r>
          </w:p>
          <w:p>
            <w:pPr>
              <w:pStyle w:val="5"/>
              <w:spacing w:after="0"/>
              <w:ind w:left="397"/>
              <w:rPr>
                <w:rFonts w:ascii="宋体" w:hAnsi="宋体" w:eastAsia="宋体" w:cs="宋体"/>
                <w:lang w:val="en-US"/>
              </w:rPr>
            </w:pPr>
            <w:r>
              <w:rPr>
                <w:rFonts w:hint="eastAsia" w:ascii="宋体" w:hAnsi="宋体" w:eastAsia="宋体" w:cs="宋体"/>
                <w:lang w:val="en-US"/>
              </w:rPr>
              <w:t>2.3 系统支持讲师可以给培训内容加入不同考核计划，通过不同计划组合，给学员传授不同业务操作流程，使学员能通过实训掌握真实业务办理规则、流程、操作内容。</w:t>
            </w:r>
          </w:p>
          <w:p>
            <w:pPr>
              <w:pStyle w:val="5"/>
              <w:spacing w:after="0"/>
              <w:ind w:left="397"/>
              <w:rPr>
                <w:rFonts w:ascii="宋体" w:hAnsi="宋体" w:eastAsia="宋体" w:cs="宋体"/>
                <w:lang w:val="en-US"/>
              </w:rPr>
            </w:pPr>
            <w:r>
              <w:rPr>
                <w:rFonts w:hint="eastAsia" w:ascii="宋体" w:hAnsi="宋体" w:eastAsia="宋体" w:cs="宋体"/>
                <w:lang w:val="en-US"/>
              </w:rPr>
              <w:t>2.4 系统支持对任务考核设置时间，讲师可根据个人的培训计划灵活设定考核时间，计划性的给学员安排技能练习与考核。</w:t>
            </w:r>
          </w:p>
          <w:p>
            <w:pPr>
              <w:pStyle w:val="5"/>
              <w:spacing w:after="0"/>
              <w:ind w:left="397"/>
              <w:rPr>
                <w:rFonts w:ascii="宋体" w:hAnsi="宋体" w:eastAsia="宋体" w:cs="宋体"/>
                <w:lang w:val="en-US"/>
              </w:rPr>
            </w:pPr>
            <w:r>
              <w:rPr>
                <w:rFonts w:hint="eastAsia" w:ascii="宋体" w:hAnsi="宋体" w:eastAsia="宋体" w:cs="宋体"/>
                <w:lang w:val="en-US"/>
              </w:rPr>
              <w:t>2.5 综合业务技能培训包含核心业务系统、支付系统、行内汇兑系统、银行支付清算平台、财税库银系统、网上银行系统，培训操作过程系统具有实时业务办理引导功能，含流程引导、错误提示指引，财税库银系统含第三方协议管理、银行端查询缴款，第三方协议管理具体业务内容含可根据协议书号、付款账号、纳税人编码、账号类型、纳税人名称、验证标志几项基本信息进行查询，对查询结果进行添加、删除、协议验证、协议撤销操作，银行端查询缴款含查询序号、外部申报电子序号、申报状态、缴费标志几个查询条件，可对查询结果明细表进行申报；网络查控综合平台含扣划的请求查询及结果反馈以及结果查询、查询、冻结等。</w:t>
            </w:r>
          </w:p>
          <w:p>
            <w:pPr>
              <w:pStyle w:val="5"/>
              <w:numPr>
                <w:ilvl w:val="0"/>
                <w:numId w:val="2"/>
              </w:numPr>
              <w:spacing w:after="0"/>
              <w:rPr>
                <w:rFonts w:ascii="宋体" w:hAnsi="宋体" w:eastAsia="宋体" w:cs="宋体"/>
                <w:lang w:val="en-US"/>
              </w:rPr>
            </w:pPr>
            <w:r>
              <w:rPr>
                <w:rFonts w:hint="eastAsia" w:ascii="宋体" w:hAnsi="宋体" w:eastAsia="宋体" w:cs="宋体"/>
                <w:lang w:val="en-US"/>
              </w:rPr>
              <w:t>理财经理岗模块</w:t>
            </w:r>
          </w:p>
          <w:p>
            <w:pPr>
              <w:pStyle w:val="5"/>
              <w:spacing w:after="0"/>
              <w:ind w:left="397"/>
              <w:rPr>
                <w:rFonts w:ascii="宋体" w:hAnsi="宋体" w:eastAsia="宋体" w:cs="宋体"/>
                <w:lang w:val="en-US"/>
              </w:rPr>
            </w:pPr>
            <w:r>
              <w:rPr>
                <w:rFonts w:hint="eastAsia" w:ascii="宋体" w:hAnsi="宋体" w:eastAsia="宋体" w:cs="宋体"/>
                <w:lang w:val="en-US"/>
              </w:rPr>
              <w:t>3.1 投资理财规划模块适用于高校针对投资理财课程进行实训、考核及竞赛，同时也可作为全国大学生投资理财规划技能竞赛练习平台。包括理财计算、七大分项理财规划、综合理财规划三大模块；</w:t>
            </w:r>
          </w:p>
          <w:p>
            <w:pPr>
              <w:pStyle w:val="5"/>
              <w:spacing w:after="0"/>
              <w:ind w:left="396"/>
              <w:rPr>
                <w:rFonts w:ascii="宋体" w:hAnsi="宋体" w:eastAsia="宋体" w:cs="宋体"/>
                <w:lang w:val="en-US"/>
              </w:rPr>
            </w:pPr>
            <w:r>
              <w:rPr>
                <w:rFonts w:hint="eastAsia" w:ascii="宋体" w:hAnsi="宋体" w:eastAsia="宋体" w:cs="宋体"/>
                <w:lang w:val="en-US"/>
              </w:rPr>
              <w:t>3.2 教师在设置考试时，可自定义学生端的考核任务，根据学生课程进度实时调节学生端的考核任务和模块；</w:t>
            </w:r>
          </w:p>
          <w:p>
            <w:pPr>
              <w:pStyle w:val="5"/>
              <w:spacing w:after="0"/>
              <w:ind w:left="396"/>
              <w:rPr>
                <w:rFonts w:ascii="宋体" w:hAnsi="宋体" w:eastAsia="宋体" w:cs="宋体"/>
                <w:lang w:val="en-US"/>
              </w:rPr>
            </w:pPr>
            <w:r>
              <w:rPr>
                <w:rFonts w:hint="eastAsia" w:ascii="宋体" w:hAnsi="宋体" w:eastAsia="宋体" w:cs="宋体"/>
                <w:lang w:val="en-US"/>
              </w:rPr>
              <w:t>3.3 理财计算包括对时间价值中的终值、现值和年金计算；风险价值中的数学期望、预期收益率、风险报酬、投资价值计算；投资收益中的内部收益率、持有其收益率、到期收益率、本期收益率计算；信用卡计算中的账单金额、滞纳金、循环利息计算，贷款中的可负担首付款、可负担贷、还款金额计算；个人所得税应纳税额计算等；</w:t>
            </w:r>
          </w:p>
          <w:p>
            <w:pPr>
              <w:pStyle w:val="5"/>
              <w:spacing w:after="0"/>
              <w:ind w:left="397"/>
              <w:rPr>
                <w:rFonts w:ascii="宋体" w:hAnsi="宋体" w:eastAsia="宋体" w:cs="宋体"/>
                <w:lang w:val="en-US"/>
              </w:rPr>
            </w:pPr>
            <w:r>
              <w:rPr>
                <w:rFonts w:hint="eastAsia" w:ascii="宋体" w:hAnsi="宋体" w:eastAsia="宋体" w:cs="宋体"/>
                <w:lang w:val="en-US"/>
              </w:rPr>
              <w:t>3.4 理财规划包括客户信息、现金规划、保险规划、教育规划、购房规划、投资规划、养老规划、财产分配与传承规划、生成理财规划建议书等功能，学生根据生成的理财规划建议书进行客户理财规划分析展示；</w:t>
            </w:r>
          </w:p>
          <w:p>
            <w:pPr>
              <w:pStyle w:val="5"/>
              <w:spacing w:after="0"/>
              <w:ind w:left="397"/>
              <w:rPr>
                <w:rFonts w:ascii="宋体" w:hAnsi="宋体" w:eastAsia="宋体" w:cs="宋体"/>
                <w:lang w:val="en-US"/>
              </w:rPr>
            </w:pPr>
            <w:r>
              <w:rPr>
                <w:rFonts w:hint="eastAsia" w:ascii="宋体" w:hAnsi="宋体" w:eastAsia="宋体" w:cs="宋体"/>
                <w:lang w:val="en-US"/>
              </w:rPr>
              <w:t>3.5 客户信息：对用户提供的案例进行自主分析，包括客户基本信息、家庭信息、财务信息。计算客户的资产总值、资产负债总值、现金流量值、财务比例以及对应客户的理财目标和所需资金，编制出客户家庭现金流量表及资产负债表，完成客户财务分析，加深学生对客户的分析判断能力；</w:t>
            </w:r>
          </w:p>
          <w:p>
            <w:pPr>
              <w:pStyle w:val="5"/>
              <w:spacing w:after="0"/>
              <w:ind w:left="397"/>
              <w:rPr>
                <w:rFonts w:ascii="宋体" w:hAnsi="宋体" w:eastAsia="宋体" w:cs="宋体"/>
                <w:lang w:val="en-US"/>
              </w:rPr>
            </w:pPr>
            <w:r>
              <w:rPr>
                <w:rFonts w:hint="eastAsia" w:ascii="宋体" w:hAnsi="宋体" w:eastAsia="宋体" w:cs="宋体"/>
                <w:lang w:val="en-US"/>
              </w:rPr>
              <w:t>3.6 现金规划：通过操作多个现金规划案例，分析不同客户的资金情况，结合客户现金需求，有针对性的推荐理财工具（包括证券投资基金、国债、股票、期权、外汇、企业债、信托理财产品、典当融资、保单质押融资、货币市场基金等多种产品）。并在分析过程中，系统根据学生自行计算出的流动性资产、客户家庭的流动性比率、客户家庭应急准备金等数据来判断现金规划的可行性。现金规划模块中直接导出现金规划文档；</w:t>
            </w:r>
          </w:p>
          <w:p>
            <w:pPr>
              <w:pStyle w:val="5"/>
              <w:spacing w:after="0"/>
              <w:ind w:left="397"/>
              <w:rPr>
                <w:rFonts w:ascii="宋体" w:hAnsi="宋体" w:eastAsia="宋体" w:cs="宋体"/>
                <w:lang w:val="en-US"/>
              </w:rPr>
            </w:pPr>
            <w:r>
              <w:rPr>
                <w:rFonts w:hint="eastAsia" w:ascii="宋体" w:hAnsi="宋体" w:eastAsia="宋体" w:cs="宋体"/>
                <w:lang w:val="en-US"/>
              </w:rPr>
              <w:t>3.7 保险规划：通过分析个人占家庭收入比重确定家庭优先被保险人，判断家庭的风险保障，根据现金流量表分析适合客户家庭的保额及保费支出；</w:t>
            </w:r>
          </w:p>
          <w:p>
            <w:pPr>
              <w:pStyle w:val="5"/>
              <w:spacing w:after="0"/>
              <w:ind w:left="397"/>
              <w:rPr>
                <w:rFonts w:ascii="宋体" w:hAnsi="宋体" w:eastAsia="宋体" w:cs="宋体"/>
                <w:lang w:val="en-US"/>
              </w:rPr>
            </w:pPr>
            <w:r>
              <w:rPr>
                <w:rFonts w:hint="eastAsia" w:ascii="宋体" w:hAnsi="宋体" w:eastAsia="宋体" w:cs="宋体"/>
                <w:lang w:val="en-US"/>
              </w:rPr>
              <w:t>3.8 教育规划：通过分析客户家庭的教育需求，计算教育资金的缺口，计算出客户在教育这一项上的定投资金；</w:t>
            </w:r>
          </w:p>
          <w:p>
            <w:pPr>
              <w:pStyle w:val="5"/>
              <w:spacing w:after="0"/>
              <w:ind w:left="397"/>
              <w:rPr>
                <w:rFonts w:ascii="宋体" w:hAnsi="宋体" w:eastAsia="宋体" w:cs="宋体"/>
                <w:lang w:val="en-US"/>
              </w:rPr>
            </w:pPr>
            <w:r>
              <w:rPr>
                <w:rFonts w:hint="eastAsia" w:ascii="宋体" w:hAnsi="宋体" w:eastAsia="宋体" w:cs="宋体"/>
                <w:lang w:val="en-US"/>
              </w:rPr>
              <w:t>3.9 购房规划：通过计算可负担首付和可负担贷款计算购房规划的总需求，并对等额本息还款及等额本金还款法下的所需要偿还的月供进行理财决策；</w:t>
            </w:r>
          </w:p>
          <w:p>
            <w:pPr>
              <w:pStyle w:val="5"/>
              <w:spacing w:after="0"/>
              <w:ind w:left="397"/>
              <w:rPr>
                <w:rFonts w:ascii="宋体" w:hAnsi="宋体" w:eastAsia="宋体" w:cs="宋体"/>
                <w:lang w:val="en-US"/>
              </w:rPr>
            </w:pPr>
            <w:r>
              <w:rPr>
                <w:rFonts w:hint="eastAsia" w:ascii="宋体" w:hAnsi="宋体" w:eastAsia="宋体" w:cs="宋体"/>
                <w:lang w:val="en-US"/>
              </w:rPr>
              <w:t>3.10 投资规划：对客户风险承受能力、风险偏好两方面进行评分，风险承受能力考虑到客户的风险能力和风险态度两个方面。分析客户现有投资组合，有针对性的推荐不同种类产品，并设计不同种类产品所占比例及投入现金值 。为客户设计符合其风险承受能力及风险偏好的投资理财方案。</w:t>
            </w:r>
          </w:p>
          <w:p>
            <w:pPr>
              <w:pStyle w:val="5"/>
              <w:spacing w:after="0"/>
              <w:ind w:left="397"/>
              <w:rPr>
                <w:rFonts w:ascii="宋体" w:hAnsi="宋体" w:eastAsia="宋体" w:cs="宋体"/>
                <w:lang w:val="en-US"/>
              </w:rPr>
            </w:pPr>
            <w:r>
              <w:rPr>
                <w:rFonts w:hint="eastAsia" w:ascii="宋体" w:hAnsi="宋体" w:eastAsia="宋体" w:cs="宋体"/>
                <w:lang w:val="en-US"/>
              </w:rPr>
              <w:t>3.11 养老规划：分析客户的养老需求，核算养老资金缺口，计算出客户在养老项目每年应定投的资金；</w:t>
            </w:r>
          </w:p>
          <w:p>
            <w:pPr>
              <w:pStyle w:val="5"/>
              <w:spacing w:after="0"/>
              <w:ind w:left="397"/>
              <w:rPr>
                <w:rFonts w:ascii="宋体" w:hAnsi="宋体" w:eastAsia="宋体" w:cs="宋体"/>
                <w:lang w:val="en-US"/>
              </w:rPr>
            </w:pPr>
            <w:r>
              <w:rPr>
                <w:rFonts w:hint="eastAsia" w:ascii="宋体" w:hAnsi="宋体" w:eastAsia="宋体" w:cs="宋体"/>
                <w:lang w:val="en-US"/>
              </w:rPr>
              <w:t>3.12 财产分配与传承规划：离婚财产分配判断个人财产归属，遗产分配判断客户遗产法定继承人及继承人顺序，计算客户个人遗产，制定遗产分配方案；</w:t>
            </w:r>
          </w:p>
          <w:p>
            <w:pPr>
              <w:pStyle w:val="5"/>
              <w:spacing w:after="0"/>
              <w:ind w:left="397"/>
              <w:rPr>
                <w:rFonts w:ascii="宋体" w:hAnsi="宋体" w:eastAsia="宋体" w:cs="宋体"/>
                <w:lang w:val="en-US"/>
              </w:rPr>
            </w:pPr>
            <w:r>
              <w:rPr>
                <w:rFonts w:hint="eastAsia" w:ascii="宋体" w:hAnsi="宋体" w:eastAsia="宋体" w:cs="宋体"/>
                <w:lang w:val="en-US"/>
              </w:rPr>
              <w:t>3.13 实现客户单一目标理财规划、综合目标理财规划，支持单一理财规划建议书、综合理财规划建议书导出和打印，理财规划建议书为自动生成；</w:t>
            </w:r>
          </w:p>
          <w:p>
            <w:pPr>
              <w:pStyle w:val="5"/>
              <w:spacing w:after="0"/>
              <w:ind w:left="397"/>
              <w:rPr>
                <w:rFonts w:ascii="宋体" w:hAnsi="宋体" w:eastAsia="宋体" w:cs="宋体"/>
                <w:lang w:val="en-US"/>
              </w:rPr>
            </w:pPr>
            <w:r>
              <w:rPr>
                <w:rFonts w:hint="eastAsia" w:ascii="宋体" w:hAnsi="宋体" w:eastAsia="宋体" w:cs="宋体"/>
                <w:lang w:val="en-US"/>
              </w:rPr>
              <w:t>3.14 系统分管理员、教师、学生端，管理员进行赛区管理、竞赛管理、竞赛成绩管理、大赛业务设置等，教师可以对自己所对应班级的学生进行管理，自由出题进行比赛或考核；</w:t>
            </w:r>
          </w:p>
          <w:p>
            <w:pPr>
              <w:pStyle w:val="5"/>
              <w:numPr>
                <w:ilvl w:val="0"/>
                <w:numId w:val="2"/>
              </w:numPr>
              <w:spacing w:after="0"/>
              <w:rPr>
                <w:rFonts w:ascii="宋体" w:hAnsi="宋体" w:eastAsia="宋体" w:cs="宋体"/>
                <w:lang w:val="en-US"/>
              </w:rPr>
            </w:pPr>
            <w:r>
              <w:rPr>
                <w:rFonts w:hint="eastAsia" w:ascii="宋体" w:hAnsi="宋体" w:eastAsia="宋体" w:cs="宋体"/>
                <w:lang w:val="en-US"/>
              </w:rPr>
              <w:t>信贷经理岗模块</w:t>
            </w:r>
          </w:p>
          <w:p>
            <w:pPr>
              <w:pStyle w:val="5"/>
              <w:spacing w:after="0"/>
              <w:ind w:left="397"/>
              <w:rPr>
                <w:rFonts w:ascii="宋体" w:hAnsi="宋体" w:eastAsia="宋体" w:cs="宋体"/>
                <w:lang w:val="en-US"/>
              </w:rPr>
            </w:pPr>
            <w:r>
              <w:rPr>
                <w:rFonts w:hint="eastAsia" w:ascii="宋体" w:hAnsi="宋体" w:eastAsia="宋体" w:cs="宋体"/>
                <w:lang w:val="en-US"/>
              </w:rPr>
              <w:t>4.1 业务系统包括9个部分的功能：客户档案管理、担保品信息、资信评估、信贷业务处理、放贷管理、风险管理、资产保全管理、贷款台账、查询分析。</w:t>
            </w:r>
          </w:p>
          <w:p>
            <w:pPr>
              <w:pStyle w:val="5"/>
              <w:spacing w:after="0"/>
              <w:ind w:left="397"/>
              <w:rPr>
                <w:rFonts w:ascii="宋体" w:hAnsi="宋体" w:eastAsia="宋体" w:cs="宋体"/>
                <w:lang w:val="en-US"/>
              </w:rPr>
            </w:pPr>
            <w:r>
              <w:rPr>
                <w:rFonts w:hint="eastAsia" w:ascii="宋体" w:hAnsi="宋体" w:eastAsia="宋体" w:cs="宋体"/>
                <w:lang w:val="en-US"/>
              </w:rPr>
              <w:t>4.2 强大的档案管理模块。收集借款人基本信息、经济档案信息、抵押物、质押物、担保人等业务信息。</w:t>
            </w:r>
          </w:p>
          <w:p>
            <w:pPr>
              <w:pStyle w:val="5"/>
              <w:spacing w:after="0"/>
              <w:ind w:left="397"/>
              <w:rPr>
                <w:rFonts w:ascii="宋体" w:hAnsi="宋体" w:eastAsia="宋体" w:cs="宋体"/>
                <w:lang w:val="en-US"/>
              </w:rPr>
            </w:pPr>
            <w:r>
              <w:rPr>
                <w:rFonts w:hint="eastAsia" w:ascii="宋体" w:hAnsi="宋体" w:eastAsia="宋体" w:cs="宋体"/>
                <w:lang w:val="en-US"/>
              </w:rPr>
              <w:t>4.3 模拟真实信贷业务流程。包括业务申请、业务调查、业务审查、审批、合同管理、放贷业务处理。</w:t>
            </w:r>
          </w:p>
          <w:p>
            <w:pPr>
              <w:pStyle w:val="5"/>
              <w:spacing w:after="0"/>
              <w:ind w:left="397"/>
              <w:rPr>
                <w:rFonts w:ascii="宋体" w:hAnsi="宋体" w:eastAsia="宋体" w:cs="宋体"/>
                <w:lang w:val="en-US"/>
              </w:rPr>
            </w:pPr>
            <w:r>
              <w:rPr>
                <w:rFonts w:hint="eastAsia" w:ascii="宋体" w:hAnsi="宋体" w:eastAsia="宋体" w:cs="宋体"/>
                <w:lang w:val="en-US"/>
              </w:rPr>
              <w:t>4.4 七大信贷内容，覆盖银行目前大多数信贷业务内容，充分满足商业银行信贷业务处理的需要。主要包括：（1）贷款业务（包括贷款、委托贷款、贷款展期）、（2）保函业务、（3）授信业务、（4）信用证业务、（5）承兑汇票业务、（6）贴现业务(包括贴现业务、对外转贴现业务、再贴现业务)（7）个人消费贷款业务(包括个人住房贷款业务、个人汽车消费贷款业务、个人旅游贷款业务、个人助学贷款业务、个人耐用消费品贷款业务、个人综合性消费贷款业务)等。</w:t>
            </w:r>
          </w:p>
          <w:p>
            <w:pPr>
              <w:pStyle w:val="5"/>
              <w:spacing w:after="0"/>
              <w:ind w:left="397"/>
              <w:rPr>
                <w:rFonts w:ascii="宋体" w:hAnsi="宋体" w:eastAsia="宋体" w:cs="宋体"/>
                <w:lang w:val="en-US"/>
              </w:rPr>
            </w:pPr>
            <w:r>
              <w:rPr>
                <w:rFonts w:hint="eastAsia" w:ascii="宋体" w:hAnsi="宋体" w:eastAsia="宋体" w:cs="宋体"/>
                <w:lang w:val="en-US"/>
              </w:rPr>
              <w:t>4.5 对贷款涉及的担保合同、借款合同进行系统的管理。</w:t>
            </w:r>
          </w:p>
          <w:p>
            <w:pPr>
              <w:pStyle w:val="5"/>
              <w:spacing w:after="0"/>
              <w:ind w:left="397"/>
              <w:rPr>
                <w:rFonts w:ascii="宋体" w:hAnsi="宋体" w:eastAsia="宋体" w:cs="宋体"/>
                <w:lang w:val="en-US"/>
              </w:rPr>
            </w:pPr>
            <w:r>
              <w:rPr>
                <w:rFonts w:hint="eastAsia" w:ascii="宋体" w:hAnsi="宋体" w:eastAsia="宋体" w:cs="宋体"/>
                <w:lang w:val="en-US"/>
              </w:rPr>
              <w:t>4.6 系统提供风险管理功能。从风险预警到贷款风险度和信用度计算到贷后的跟踪检查、五级分类、不良资产管理、呆坏账核销等功能。</w:t>
            </w:r>
          </w:p>
          <w:p>
            <w:pPr>
              <w:pStyle w:val="5"/>
              <w:spacing w:after="0"/>
              <w:ind w:left="397"/>
              <w:rPr>
                <w:rFonts w:ascii="宋体" w:hAnsi="宋体" w:eastAsia="宋体" w:cs="宋体"/>
                <w:lang w:val="en-US"/>
              </w:rPr>
            </w:pPr>
            <w:r>
              <w:rPr>
                <w:rFonts w:hint="eastAsia" w:ascii="宋体" w:hAnsi="宋体" w:eastAsia="宋体" w:cs="宋体"/>
                <w:lang w:val="en-US"/>
              </w:rPr>
              <w:t>4.7 系统提供强大的统计查询功能。包括信贷信息汇总查询（贷款金额、业务发生笔数）、企业客户信息汇总及分析（企业财务状况分析派生指针、企业重大经济情况汇总）。</w:t>
            </w:r>
          </w:p>
          <w:p>
            <w:pPr>
              <w:pStyle w:val="5"/>
              <w:spacing w:after="0"/>
              <w:ind w:left="397"/>
              <w:rPr>
                <w:rFonts w:ascii="宋体" w:hAnsi="宋体" w:eastAsia="宋体" w:cs="宋体"/>
                <w:lang w:val="en-US"/>
              </w:rPr>
            </w:pPr>
            <w:r>
              <w:rPr>
                <w:rFonts w:hint="eastAsia" w:ascii="宋体" w:hAnsi="宋体" w:eastAsia="宋体" w:cs="宋体"/>
                <w:lang w:val="en-US"/>
              </w:rPr>
              <w:t>4.8 台账管理模块。对支行贴现贷款管理台帐、总行再贴现管理台帐、支行贷款登记台帐、承兑汇票管理台帐、呆坏帐核销台帐进行管理。</w:t>
            </w:r>
          </w:p>
          <w:p>
            <w:pPr>
              <w:pStyle w:val="5"/>
              <w:numPr>
                <w:ilvl w:val="0"/>
                <w:numId w:val="2"/>
              </w:numPr>
              <w:spacing w:after="0"/>
              <w:rPr>
                <w:rFonts w:ascii="宋体" w:hAnsi="宋体" w:eastAsia="宋体" w:cs="宋体"/>
                <w:lang w:val="en-US"/>
              </w:rPr>
            </w:pPr>
            <w:r>
              <w:rPr>
                <w:rFonts w:hint="eastAsia" w:ascii="宋体" w:hAnsi="宋体" w:eastAsia="宋体" w:cs="宋体"/>
                <w:lang w:val="en-US"/>
              </w:rPr>
              <w:t>评分管理系统模块</w:t>
            </w:r>
          </w:p>
          <w:p>
            <w:pPr>
              <w:ind w:left="397"/>
              <w:jc w:val="left"/>
              <w:rPr>
                <w:rFonts w:ascii="宋体" w:hAnsi="宋体" w:eastAsia="宋体" w:cs="宋体"/>
              </w:rPr>
            </w:pPr>
            <w:r>
              <w:rPr>
                <w:rFonts w:hint="eastAsia" w:ascii="宋体" w:hAnsi="宋体" w:eastAsia="宋体" w:cs="宋体"/>
              </w:rPr>
              <w:t>5.1 系统实时评定竞赛成绩，教师可灵活设置评分标准，根据考核重点设置分值比例，实时分数汇总实现同步更新每个学生及参赛队的分数，柱形图形式实时显示；</w:t>
            </w:r>
          </w:p>
          <w:p>
            <w:pPr>
              <w:ind w:left="397"/>
              <w:jc w:val="left"/>
              <w:rPr>
                <w:rFonts w:ascii="宋体" w:hAnsi="宋体" w:eastAsia="宋体" w:cs="宋体"/>
              </w:rPr>
            </w:pPr>
            <w:r>
              <w:rPr>
                <w:rFonts w:hint="eastAsia" w:ascii="宋体" w:hAnsi="宋体" w:eastAsia="宋体" w:cs="宋体"/>
              </w:rPr>
              <w:t>5.2 根据实时分数进行自动排名；支持查看任意参赛选手的成绩明细并导出成绩单；自由设置成绩奖项等级规则，导出的成绩单可以自动显示一二三等奖获奖名单。</w:t>
            </w:r>
          </w:p>
          <w:p>
            <w:pPr>
              <w:numPr>
                <w:ilvl w:val="0"/>
                <w:numId w:val="1"/>
              </w:numPr>
              <w:jc w:val="left"/>
              <w:rPr>
                <w:rFonts w:ascii="宋体" w:hAnsi="宋体" w:eastAsia="宋体" w:cs="宋体"/>
              </w:rPr>
            </w:pPr>
            <w:r>
              <w:rPr>
                <w:rFonts w:hint="eastAsia" w:ascii="Arial" w:hAnsi="Arial" w:eastAsia="宋体" w:cs="Arial"/>
                <w:sz w:val="24"/>
                <w:szCs w:val="18"/>
              </w:rPr>
              <w:t>★</w:t>
            </w:r>
            <w:r>
              <w:rPr>
                <w:rFonts w:hint="eastAsia" w:ascii="宋体" w:hAnsi="宋体" w:eastAsia="宋体" w:cs="宋体"/>
              </w:rPr>
              <w:t>学生登录系统后可随时修改个人信息，包括姓名、密码等信息修改，和重置功能。软件能够提供与VR设备平台对接的接口，能够提供Krpano、VRPlayer、ImVR、UtoVR、Cmoar VR Cinema PRO播放器平台。支持在现有平台上做VR二次开发。</w:t>
            </w:r>
          </w:p>
          <w:p>
            <w:pPr>
              <w:numPr>
                <w:ilvl w:val="0"/>
                <w:numId w:val="1"/>
              </w:numPr>
              <w:jc w:val="left"/>
              <w:rPr>
                <w:rFonts w:ascii="宋体" w:hAnsi="宋体" w:eastAsia="宋体" w:cs="宋体"/>
              </w:rPr>
            </w:pPr>
            <w:r>
              <w:rPr>
                <w:rFonts w:hint="eastAsia" w:ascii="宋体" w:hAnsi="宋体" w:eastAsia="宋体" w:cs="宋体"/>
              </w:rPr>
              <w:t>系统界面人性化设置，可对任务界面，功能操作界面进行关闭或者隐藏，同时对剩余竞赛时间倒计时显示，让学生随时了解剩余操作时间。</w:t>
            </w:r>
          </w:p>
          <w:p>
            <w:pPr>
              <w:numPr>
                <w:ilvl w:val="0"/>
                <w:numId w:val="1"/>
              </w:numPr>
              <w:jc w:val="left"/>
              <w:rPr>
                <w:rFonts w:ascii="宋体" w:hAnsi="宋体" w:eastAsia="宋体" w:cs="宋体"/>
              </w:rPr>
            </w:pPr>
            <w:r>
              <w:rPr>
                <w:rFonts w:hint="eastAsia" w:ascii="Arial" w:hAnsi="Arial" w:eastAsia="宋体" w:cs="Arial"/>
                <w:sz w:val="24"/>
                <w:szCs w:val="18"/>
              </w:rPr>
              <w:t>★</w:t>
            </w:r>
            <w:r>
              <w:rPr>
                <w:rFonts w:hint="eastAsia" w:ascii="宋体" w:hAnsi="宋体" w:eastAsia="宋体" w:cs="宋体"/>
              </w:rPr>
              <w:t>可设置练习模式和竞赛模式，练习模式学生提交后可查看考卷，对题目进行分析，且可自行清理操作数据，反复操作，对比每次操作成绩，以达到参赛训练目的，无需老师实时进行后台管理。竞赛模式学生只能在规定的时间内提交一次，且提交后只显示分数，且系统可对分数进行升降排序。要求系统同时能够和商业银行实训智能硬件设备VTM无缝对接，其硬件业务需支持物理设备读取真实二代身份证件验证，且系统能够提供40支以上的业务能够在智能设备上办理，提供人机交互的业务办理视频等相关证明材料。</w:t>
            </w:r>
          </w:p>
          <w:p>
            <w:pPr>
              <w:numPr>
                <w:ilvl w:val="0"/>
                <w:numId w:val="1"/>
              </w:numPr>
              <w:jc w:val="left"/>
              <w:rPr>
                <w:rFonts w:ascii="宋体" w:hAnsi="宋体" w:eastAsia="宋体" w:cs="宋体"/>
              </w:rPr>
            </w:pPr>
            <w:r>
              <w:rPr>
                <w:rFonts w:hint="eastAsia" w:ascii="宋体" w:hAnsi="宋体" w:eastAsia="宋体" w:cs="宋体"/>
              </w:rPr>
              <w:t>银行柜员零售/对公赛项和厅堂服务与管理赛项中的学生端包括“我的考试”和“我的成绩”两部分内容。管理员端包括“组织架构管理”“案例管理”“试卷管理”等功能组成；系统提供齐全的案例题库。并满足教师随时新增、删除、编辑功能，且对题目进行预览查看。</w:t>
            </w:r>
          </w:p>
          <w:p>
            <w:pPr>
              <w:numPr>
                <w:ilvl w:val="0"/>
                <w:numId w:val="1"/>
              </w:numPr>
              <w:jc w:val="left"/>
              <w:rPr>
                <w:rFonts w:ascii="宋体" w:hAnsi="宋体" w:eastAsia="宋体" w:cs="宋体"/>
              </w:rPr>
            </w:pPr>
            <w:r>
              <w:rPr>
                <w:rFonts w:hint="eastAsia" w:ascii="Arial" w:hAnsi="Arial" w:eastAsia="宋体" w:cs="Arial"/>
                <w:sz w:val="24"/>
                <w:szCs w:val="18"/>
              </w:rPr>
              <w:t>★</w:t>
            </w:r>
            <w:r>
              <w:rPr>
                <w:rFonts w:hint="eastAsia" w:ascii="宋体" w:hAnsi="宋体" w:eastAsia="宋体" w:cs="宋体"/>
              </w:rPr>
              <w:t>系统支持用户进行实训案例配置，内置可自由编辑案例细节的脚本编辑器，允许后台添加和编辑案例，而不是在固定案例和固定流程中进行仿真实操。</w:t>
            </w:r>
          </w:p>
          <w:p>
            <w:pPr>
              <w:numPr>
                <w:ilvl w:val="0"/>
                <w:numId w:val="1"/>
              </w:numPr>
              <w:jc w:val="left"/>
              <w:rPr>
                <w:rFonts w:ascii="宋体" w:hAnsi="宋体" w:eastAsia="宋体" w:cs="宋体"/>
              </w:rPr>
            </w:pPr>
            <w:r>
              <w:rPr>
                <w:rFonts w:hint="eastAsia" w:ascii="宋体" w:hAnsi="宋体" w:eastAsia="宋体" w:cs="宋体"/>
              </w:rPr>
              <w:t>系统对银行柜面业务赛项中的每个学生都有对应的独立数据存储空间，每个学生的数据都是独立的，如：客户号、凭证号、账号等信息，保证各学生之间操作数据互不影响。</w:t>
            </w:r>
          </w:p>
          <w:p>
            <w:pPr>
              <w:numPr>
                <w:ilvl w:val="0"/>
                <w:numId w:val="1"/>
              </w:numPr>
              <w:jc w:val="left"/>
              <w:rPr>
                <w:rFonts w:ascii="宋体" w:hAnsi="宋体" w:eastAsia="宋体" w:cs="宋体"/>
              </w:rPr>
            </w:pPr>
            <w:r>
              <w:rPr>
                <w:rFonts w:hint="eastAsia" w:ascii="宋体" w:hAnsi="宋体" w:eastAsia="宋体" w:cs="宋体"/>
              </w:rPr>
              <w:t>银行核心岗位赛项中每一界面对应当前操作任务详情，学生可在同一界面进行业务案例查看与业务处理。</w:t>
            </w:r>
          </w:p>
          <w:p>
            <w:pPr>
              <w:numPr>
                <w:ilvl w:val="0"/>
                <w:numId w:val="1"/>
              </w:numPr>
              <w:jc w:val="left"/>
              <w:rPr>
                <w:rFonts w:ascii="宋体" w:hAnsi="宋体" w:eastAsia="宋体" w:cs="宋体"/>
              </w:rPr>
            </w:pPr>
            <w:r>
              <w:rPr>
                <w:rFonts w:hint="eastAsia" w:ascii="宋体" w:hAnsi="宋体" w:eastAsia="宋体" w:cs="宋体"/>
              </w:rPr>
              <w:t>系统可根据教师任务自由设置竞赛、考核任务模块，同时可自定义每一环任务的具体操作流程并且深入至每一步具体操作，自由设置任务的得分点，自由分配每一个得分点的分值。</w:t>
            </w:r>
          </w:p>
          <w:p>
            <w:pPr>
              <w:numPr>
                <w:ilvl w:val="0"/>
                <w:numId w:val="1"/>
              </w:numPr>
              <w:jc w:val="left"/>
              <w:rPr>
                <w:rFonts w:ascii="宋体" w:hAnsi="宋体" w:eastAsia="宋体" w:cs="宋体"/>
              </w:rPr>
            </w:pPr>
            <w:r>
              <w:rPr>
                <w:rFonts w:hint="eastAsia" w:ascii="Arial" w:hAnsi="Arial" w:eastAsia="宋体" w:cs="Arial"/>
                <w:sz w:val="24"/>
                <w:szCs w:val="18"/>
              </w:rPr>
              <w:t>★</w:t>
            </w:r>
            <w:r>
              <w:rPr>
                <w:rFonts w:hint="eastAsia" w:ascii="宋体" w:hAnsi="宋体" w:eastAsia="宋体" w:cs="宋体"/>
              </w:rPr>
              <w:t>管理端功能包括系统管理、赛区管理、操作日志管理、考核测评设置、考核成绩管理和综合业务后台配置等；管理员可以设置赛区、参赛代表队、赛题、比赛时间等参数；教师可以对所对应班级的学生进行管理，自由出题进行比赛或考核，实时查看竞赛成绩。</w:t>
            </w:r>
          </w:p>
          <w:p>
            <w:pPr>
              <w:numPr>
                <w:ilvl w:val="0"/>
                <w:numId w:val="1"/>
              </w:numPr>
              <w:jc w:val="left"/>
              <w:rPr>
                <w:rFonts w:ascii="宋体" w:hAnsi="宋体" w:eastAsia="宋体" w:cs="宋体"/>
              </w:rPr>
            </w:pPr>
            <w:r>
              <w:rPr>
                <w:rFonts w:hint="eastAsia" w:ascii="宋体" w:hAnsi="宋体" w:eastAsia="宋体" w:cs="宋体"/>
              </w:rPr>
              <w:t>系统提供实训模板的业务流程相对应的详细操作视频，学生可以通过查看视频演示，自主解决疑问。</w:t>
            </w:r>
          </w:p>
          <w:p>
            <w:pPr>
              <w:numPr>
                <w:ilvl w:val="0"/>
                <w:numId w:val="1"/>
              </w:numPr>
              <w:jc w:val="left"/>
              <w:rPr>
                <w:rFonts w:ascii="宋体" w:hAnsi="宋体" w:eastAsia="宋体" w:cs="宋体"/>
                <w:bCs/>
                <w:sz w:val="24"/>
                <w:szCs w:val="18"/>
              </w:rPr>
            </w:pPr>
            <w:r>
              <w:rPr>
                <w:rFonts w:hint="eastAsia" w:ascii="Arial" w:hAnsi="Arial" w:eastAsia="宋体" w:cs="Arial"/>
                <w:sz w:val="24"/>
                <w:szCs w:val="18"/>
              </w:rPr>
              <w:t>★</w:t>
            </w:r>
            <w:r>
              <w:rPr>
                <w:rFonts w:hint="eastAsia" w:ascii="宋体" w:hAnsi="宋体" w:eastAsia="宋体" w:cs="宋体"/>
              </w:rPr>
              <w:t>平台需与实验教学实现无缝对接，通过“告诉—验证—应用”的教学模式，将每一课程下整体的、系统的知识点进行分解拆分，其展现形式多样，包括分析型微实验、算法型微实验、图形微实验、动图微实验、flash微实验、表单微实验、交互式微实验等。</w:t>
            </w:r>
          </w:p>
        </w:tc>
        <w:tc>
          <w:tcPr>
            <w:tcW w:w="491" w:type="dxa"/>
            <w:vAlign w:val="center"/>
          </w:tcPr>
          <w:p>
            <w:pPr>
              <w:widowControl/>
              <w:jc w:val="center"/>
              <w:rPr>
                <w:rFonts w:ascii="宋体" w:hAnsi="宋体" w:eastAsia="宋体" w:cs="宋体"/>
                <w:bCs/>
                <w:sz w:val="24"/>
                <w:szCs w:val="18"/>
              </w:rPr>
            </w:pPr>
            <w:r>
              <w:rPr>
                <w:rFonts w:hint="eastAsia" w:ascii="宋体" w:hAnsi="宋体" w:eastAsia="宋体" w:cs="宋体"/>
                <w:bCs/>
                <w:kern w:val="0"/>
                <w:szCs w:val="21"/>
              </w:rPr>
              <w:t>套</w:t>
            </w:r>
          </w:p>
        </w:tc>
        <w:tc>
          <w:tcPr>
            <w:tcW w:w="573" w:type="dxa"/>
            <w:vAlign w:val="center"/>
          </w:tcPr>
          <w:p>
            <w:pPr>
              <w:spacing w:line="360" w:lineRule="auto"/>
              <w:jc w:val="center"/>
              <w:rPr>
                <w:rFonts w:ascii="宋体" w:hAnsi="宋体" w:eastAsia="宋体" w:cs="宋体"/>
                <w:bCs/>
                <w:sz w:val="24"/>
                <w:szCs w:val="18"/>
              </w:rPr>
            </w:pPr>
            <w:r>
              <w:rPr>
                <w:rFonts w:hint="eastAsia" w:ascii="宋体" w:hAnsi="宋体" w:eastAsia="宋体" w:cs="宋体"/>
                <w:bCs/>
                <w:kern w:val="0"/>
                <w:szCs w:val="21"/>
              </w:rPr>
              <w:t>1</w:t>
            </w:r>
          </w:p>
        </w:tc>
        <w:tc>
          <w:tcPr>
            <w:tcW w:w="576" w:type="dxa"/>
            <w:vAlign w:val="center"/>
          </w:tcPr>
          <w:p>
            <w:pPr>
              <w:spacing w:line="360" w:lineRule="auto"/>
              <w:jc w:val="center"/>
              <w:rPr>
                <w:rFonts w:ascii="宋体" w:hAnsi="宋体" w:eastAsia="宋体" w:cs="宋体"/>
                <w:bCs/>
                <w:sz w:val="24"/>
                <w:szCs w:val="18"/>
              </w:rPr>
            </w:pPr>
          </w:p>
        </w:tc>
      </w:tr>
    </w:tbl>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Arial" w:hAnsi="Arial" w:eastAsia="宋体" w:cs="Arial"/>
        <w:b/>
        <w:bCs/>
        <w:szCs w:val="21"/>
      </w:rPr>
    </w:pPr>
    <w:r>
      <w:rPr>
        <w:rFonts w:ascii="Arial" w:hAnsi="Arial" w:eastAsia="宋体" w:cs="Arial"/>
        <w:sz w:val="22"/>
        <w:szCs w:val="22"/>
      </w:rPr>
      <w:t xml:space="preserve">第 </w:t>
    </w:r>
    <w:r>
      <w:rPr>
        <w:rFonts w:ascii="Arial" w:hAnsi="Arial" w:eastAsia="宋体" w:cs="Arial"/>
        <w:sz w:val="22"/>
        <w:szCs w:val="22"/>
      </w:rPr>
      <w:fldChar w:fldCharType="begin"/>
    </w:r>
    <w:r>
      <w:rPr>
        <w:rFonts w:ascii="Arial" w:hAnsi="Arial" w:eastAsia="宋体" w:cs="Arial"/>
        <w:sz w:val="22"/>
        <w:szCs w:val="22"/>
      </w:rPr>
      <w:instrText xml:space="preserve"> PAGE  \* MERGEFORMAT </w:instrText>
    </w:r>
    <w:r>
      <w:rPr>
        <w:rFonts w:ascii="Arial" w:hAnsi="Arial" w:eastAsia="宋体" w:cs="Arial"/>
        <w:sz w:val="22"/>
        <w:szCs w:val="22"/>
      </w:rPr>
      <w:fldChar w:fldCharType="separate"/>
    </w:r>
    <w:r>
      <w:rPr>
        <w:rFonts w:ascii="Arial" w:hAnsi="Arial" w:eastAsia="宋体" w:cs="Arial"/>
        <w:sz w:val="22"/>
        <w:szCs w:val="22"/>
      </w:rPr>
      <w:t>6</w:t>
    </w:r>
    <w:r>
      <w:rPr>
        <w:rFonts w:ascii="Arial" w:hAnsi="Arial" w:eastAsia="宋体" w:cs="Arial"/>
        <w:sz w:val="22"/>
        <w:szCs w:val="22"/>
      </w:rPr>
      <w:fldChar w:fldCharType="end"/>
    </w:r>
    <w:r>
      <w:rPr>
        <w:rFonts w:ascii="Arial" w:hAnsi="Arial" w:eastAsia="宋体" w:cs="Arial"/>
        <w:sz w:val="22"/>
        <w:szCs w:val="22"/>
      </w:rPr>
      <w:t xml:space="preserve"> 页 共 </w:t>
    </w:r>
    <w:r>
      <w:rPr>
        <w:rFonts w:ascii="Arial" w:hAnsi="Arial" w:eastAsia="宋体" w:cs="Arial"/>
        <w:sz w:val="22"/>
        <w:szCs w:val="22"/>
      </w:rPr>
      <w:fldChar w:fldCharType="begin"/>
    </w:r>
    <w:r>
      <w:rPr>
        <w:rFonts w:hint="eastAsia" w:ascii="Arial" w:hAnsi="Arial" w:eastAsia="宋体" w:cs="Arial"/>
        <w:sz w:val="22"/>
        <w:szCs w:val="22"/>
      </w:rPr>
      <w:instrText xml:space="preserve">=</w:instrText>
    </w:r>
    <w:r>
      <w:rPr>
        <w:rFonts w:hint="eastAsia" w:ascii="Arial" w:hAnsi="Arial" w:eastAsia="宋体" w:cs="Arial"/>
        <w:sz w:val="22"/>
        <w:szCs w:val="22"/>
      </w:rPr>
      <w:fldChar w:fldCharType="begin"/>
    </w:r>
    <w:r>
      <w:rPr>
        <w:rFonts w:hint="eastAsia" w:ascii="Arial" w:hAnsi="Arial" w:eastAsia="宋体" w:cs="Arial"/>
        <w:sz w:val="22"/>
        <w:szCs w:val="22"/>
      </w:rPr>
      <w:instrText xml:space="preserve"> numpages </w:instrText>
    </w:r>
    <w:r>
      <w:rPr>
        <w:rFonts w:hint="eastAsia" w:ascii="Arial" w:hAnsi="Arial" w:eastAsia="宋体" w:cs="Arial"/>
        <w:sz w:val="22"/>
        <w:szCs w:val="22"/>
      </w:rPr>
      <w:fldChar w:fldCharType="separate"/>
    </w:r>
    <w:r>
      <w:rPr>
        <w:rFonts w:ascii="Arial" w:hAnsi="Arial" w:eastAsia="宋体" w:cs="Arial"/>
        <w:sz w:val="22"/>
        <w:szCs w:val="22"/>
      </w:rPr>
      <w:instrText xml:space="preserve">89</w:instrText>
    </w:r>
    <w:r>
      <w:rPr>
        <w:rFonts w:hint="eastAsia" w:ascii="Arial" w:hAnsi="Arial" w:eastAsia="宋体" w:cs="Arial"/>
        <w:sz w:val="22"/>
        <w:szCs w:val="22"/>
      </w:rPr>
      <w:fldChar w:fldCharType="end"/>
    </w:r>
    <w:r>
      <w:rPr>
        <w:rFonts w:hint="eastAsia" w:ascii="Arial" w:hAnsi="Arial" w:eastAsia="宋体" w:cs="Arial"/>
        <w:sz w:val="22"/>
        <w:szCs w:val="22"/>
      </w:rPr>
      <w:instrText xml:space="preserve">-2</w:instrText>
    </w:r>
    <w:r>
      <w:rPr>
        <w:rFonts w:hint="eastAsia" w:ascii="Arial" w:hAnsi="Arial" w:eastAsia="宋体" w:cs="Arial"/>
        <w:sz w:val="22"/>
        <w:szCs w:val="22"/>
      </w:rPr>
      <w:fldChar w:fldCharType="begin"/>
    </w:r>
    <w:r>
      <w:rPr>
        <w:rFonts w:hint="eastAsia" w:ascii="Arial" w:hAnsi="Arial" w:eastAsia="宋体" w:cs="Arial"/>
        <w:sz w:val="22"/>
        <w:szCs w:val="22"/>
      </w:rPr>
      <w:instrText xml:space="preserve">2</w:instrText>
    </w:r>
    <w:r>
      <w:rPr>
        <w:rFonts w:hint="eastAsia" w:ascii="Arial" w:hAnsi="Arial" w:eastAsia="宋体" w:cs="Arial"/>
        <w:sz w:val="22"/>
        <w:szCs w:val="22"/>
      </w:rPr>
      <w:fldChar w:fldCharType="end"/>
    </w:r>
    <w:r>
      <w:rPr>
        <w:rFonts w:ascii="Arial" w:hAnsi="Arial" w:eastAsia="宋体" w:cs="Arial"/>
        <w:sz w:val="22"/>
        <w:szCs w:val="22"/>
      </w:rPr>
      <w:fldChar w:fldCharType="separate"/>
    </w:r>
    <w:r>
      <w:rPr>
        <w:rFonts w:ascii="Arial" w:hAnsi="Arial" w:eastAsia="宋体" w:cs="Arial"/>
        <w:sz w:val="22"/>
        <w:szCs w:val="22"/>
      </w:rPr>
      <w:t>87</w:t>
    </w:r>
    <w:r>
      <w:rPr>
        <w:rFonts w:ascii="Arial" w:hAnsi="Arial" w:eastAsia="宋体" w:cs="Arial"/>
        <w:sz w:val="22"/>
        <w:szCs w:val="22"/>
      </w:rPr>
      <w:fldChar w:fldCharType="end"/>
    </w:r>
    <w:r>
      <w:rPr>
        <w:rFonts w:ascii="Arial" w:hAnsi="Arial" w:eastAsia="宋体" w:cs="Arial"/>
        <w:sz w:val="22"/>
        <w:szCs w:val="22"/>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Arial" w:hAnsi="Arial" w:eastAsia="宋体" w:cs="Arial"/>
        <w:b/>
        <w:bCs/>
        <w:szCs w:val="21"/>
      </w:rPr>
    </w:pPr>
    <w:r>
      <w:rPr>
        <w:rFonts w:ascii="Arial" w:hAnsi="Arial" w:eastAsia="宋体" w:cs="Arial"/>
        <w:sz w:val="22"/>
        <w:szCs w:val="22"/>
      </w:rPr>
      <w:t xml:space="preserve">第 </w:t>
    </w:r>
    <w:r>
      <w:rPr>
        <w:rFonts w:ascii="Arial" w:hAnsi="Arial" w:eastAsia="宋体" w:cs="Arial"/>
        <w:sz w:val="22"/>
        <w:szCs w:val="22"/>
      </w:rPr>
      <w:fldChar w:fldCharType="begin"/>
    </w:r>
    <w:r>
      <w:rPr>
        <w:rFonts w:ascii="Arial" w:hAnsi="Arial" w:eastAsia="宋体" w:cs="Arial"/>
        <w:sz w:val="22"/>
        <w:szCs w:val="22"/>
      </w:rPr>
      <w:instrText xml:space="preserve"> PAGE  \* MERGEFORMAT </w:instrText>
    </w:r>
    <w:r>
      <w:rPr>
        <w:rFonts w:ascii="Arial" w:hAnsi="Arial" w:eastAsia="宋体" w:cs="Arial"/>
        <w:sz w:val="22"/>
        <w:szCs w:val="22"/>
      </w:rPr>
      <w:fldChar w:fldCharType="separate"/>
    </w:r>
    <w:r>
      <w:rPr>
        <w:rFonts w:ascii="Arial" w:hAnsi="Arial" w:eastAsia="宋体" w:cs="Arial"/>
        <w:sz w:val="22"/>
        <w:szCs w:val="22"/>
      </w:rPr>
      <w:t>6</w:t>
    </w:r>
    <w:r>
      <w:rPr>
        <w:rFonts w:ascii="Arial" w:hAnsi="Arial" w:eastAsia="宋体" w:cs="Arial"/>
        <w:sz w:val="22"/>
        <w:szCs w:val="22"/>
      </w:rPr>
      <w:fldChar w:fldCharType="end"/>
    </w:r>
    <w:r>
      <w:rPr>
        <w:rFonts w:ascii="Arial" w:hAnsi="Arial" w:eastAsia="宋体" w:cs="Arial"/>
        <w:sz w:val="22"/>
        <w:szCs w:val="22"/>
      </w:rPr>
      <w:t xml:space="preserve"> 页 共 </w:t>
    </w:r>
    <w:r>
      <w:rPr>
        <w:rFonts w:hint="eastAsia" w:ascii="Arial" w:hAnsi="Arial" w:eastAsia="宋体" w:cs="Arial"/>
        <w:sz w:val="22"/>
        <w:szCs w:val="22"/>
        <w:lang w:val="en-US" w:eastAsia="zh-CN"/>
      </w:rPr>
      <w:t>20</w:t>
    </w:r>
    <w:r>
      <w:rPr>
        <w:rFonts w:ascii="Arial" w:hAnsi="Arial" w:eastAsia="宋体" w:cs="Arial"/>
        <w:sz w:val="22"/>
        <w:szCs w:val="22"/>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89F9C"/>
    <w:multiLevelType w:val="singleLevel"/>
    <w:tmpl w:val="E1789F9C"/>
    <w:lvl w:ilvl="0" w:tentative="0">
      <w:start w:val="1"/>
      <w:numFmt w:val="decimal"/>
      <w:lvlText w:val="%1."/>
      <w:lvlJc w:val="left"/>
      <w:pPr>
        <w:ind w:left="425" w:hanging="425"/>
      </w:pPr>
      <w:rPr>
        <w:rFonts w:hint="default"/>
      </w:rPr>
    </w:lvl>
  </w:abstractNum>
  <w:abstractNum w:abstractNumId="1">
    <w:nsid w:val="3C0BEBBF"/>
    <w:multiLevelType w:val="multilevel"/>
    <w:tmpl w:val="3C0BEBBF"/>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4C69B864"/>
    <w:multiLevelType w:val="singleLevel"/>
    <w:tmpl w:val="4C69B864"/>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C4E4A"/>
    <w:rsid w:val="3DB8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rPr>
      <w:rFonts w:ascii="Times New Roman" w:cs="Times New Roman"/>
    </w:rPr>
  </w:style>
  <w:style w:type="paragraph" w:styleId="3">
    <w:name w:val="Body Text Indent"/>
    <w:basedOn w:val="1"/>
    <w:next w:val="4"/>
    <w:unhideWhenUsed/>
    <w:qFormat/>
    <w:uiPriority w:val="99"/>
    <w:pPr>
      <w:ind w:firstLine="645"/>
    </w:pPr>
    <w:rPr>
      <w:rFonts w:ascii="楷体_GB2312" w:eastAsia="楷体_GB2312"/>
      <w:sz w:val="32"/>
    </w:rPr>
  </w:style>
  <w:style w:type="paragraph" w:styleId="4">
    <w:name w:val="envelope return"/>
    <w:basedOn w:val="1"/>
    <w:qFormat/>
    <w:uiPriority w:val="99"/>
    <w:pPr>
      <w:snapToGrid w:val="0"/>
    </w:pPr>
    <w:rPr>
      <w:rFonts w:ascii="Arial" w:hAnsi="Arial" w:cs="Arial"/>
    </w:rPr>
  </w:style>
  <w:style w:type="paragraph" w:styleId="5">
    <w:name w:val="Body Text"/>
    <w:basedOn w:val="1"/>
    <w:qFormat/>
    <w:uiPriority w:val="0"/>
    <w:pPr>
      <w:spacing w:after="120"/>
    </w:pPr>
    <w:rPr>
      <w:rFonts w:ascii="@微软简标宋" w:hAnsi="@微软简标宋" w:eastAsia="@微软简标宋" w:cs="@微软简标宋"/>
      <w:szCs w:val="24"/>
      <w:lang w:val="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qFormat/>
    <w:uiPriority w:val="0"/>
    <w:pPr>
      <w:widowControl/>
      <w:spacing w:before="100" w:beforeAutospacing="1" w:after="100" w:afterAutospacing="1"/>
      <w:jc w:val="center"/>
    </w:pPr>
    <w:rPr>
      <w:b/>
      <w:bCs/>
      <w:kern w:val="0"/>
      <w:sz w:val="28"/>
      <w:szCs w:val="28"/>
    </w:rPr>
  </w:style>
  <w:style w:type="paragraph" w:customStyle="1" w:styleId="11">
    <w:name w:val="列表段落1"/>
    <w:basedOn w:val="1"/>
    <w:qFormat/>
    <w:uiPriority w:val="34"/>
    <w:pPr>
      <w:ind w:firstLine="420" w:firstLineChars="200"/>
    </w:pPr>
  </w:style>
  <w:style w:type="paragraph" w:customStyle="1" w:styleId="12">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2022-06-08T04:11:00Z</dcterms:created>
  <dc:creator>Administrator</dc:creator>
  <cp:lastModifiedBy>王Sir</cp:lastModifiedBy>
  <dcterms:modified xsi:type="dcterms:W3CDTF">2022-06-08T04:42:08Z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11209A4AF39A495D86350AF53981CBCD</vt:lpwstr>
  </property>
</Properties>
</file>