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政府采购示范文本</w:t>
      </w: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w:t>
      </w: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（货物类）</w:t>
      </w:r>
    </w:p>
    <w:bookmarkEnd w:id="0"/>
    <w:p>
      <w:pPr>
        <w:tabs>
          <w:tab w:val="left" w:pos="315"/>
          <w:tab w:val="left" w:pos="8820"/>
        </w:tabs>
        <w:spacing w:before="312" w:beforeLines="100" w:after="156" w:afterLines="50" w:line="500" w:lineRule="exact"/>
        <w:ind w:right="267" w:rightChars="127"/>
        <w:jc w:val="center"/>
        <w:rPr>
          <w:rFonts w:ascii="宋体" w:hAnsi="宋体" w:eastAsia="宋体"/>
          <w:bCs/>
          <w:color w:val="auto"/>
          <w:sz w:val="44"/>
          <w:szCs w:val="44"/>
          <w:highlight w:val="none"/>
        </w:rPr>
      </w:pP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p>
    <w:p>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lang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安徽大学2022年“强光磁试验装置”直线加速器及配套设备采购项目</w:t>
      </w:r>
    </w:p>
    <w:p>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lang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eastAsia="zh-CN"/>
        </w:rPr>
        <w:t>2023BTAHZ01434</w:t>
      </w:r>
    </w:p>
    <w:p>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u w:val="singl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安徽大学</w:t>
      </w:r>
    </w:p>
    <w:p>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安徽公共资源交易集团项目管理有限公司</w:t>
      </w:r>
    </w:p>
    <w:p>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rPr>
        <w:t>2023</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5</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pPr>
        <w:pStyle w:val="17"/>
        <w:tabs>
          <w:tab w:val="right" w:leader="dot" w:pos="8296"/>
        </w:tabs>
        <w:rPr>
          <w:color w:val="auto"/>
          <w:kern w:val="2"/>
          <w:sz w:val="21"/>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"_Toc60602962" </w:instrText>
      </w:r>
      <w:r>
        <w:rPr>
          <w:color w:val="auto"/>
          <w:highlight w:val="none"/>
        </w:rPr>
        <w:fldChar w:fldCharType="separate"/>
      </w:r>
      <w:r>
        <w:rPr>
          <w:rStyle w:val="26"/>
          <w:rFonts w:asciiTheme="minorEastAsia" w:hAnsiTheme="minorEastAsia"/>
          <w:b/>
          <w:color w:val="auto"/>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_Toc60602962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pPr>
        <w:pStyle w:val="17"/>
        <w:tabs>
          <w:tab w:val="right" w:leader="dot" w:pos="8296"/>
        </w:tabs>
        <w:rPr>
          <w:color w:val="auto"/>
          <w:kern w:val="2"/>
          <w:sz w:val="21"/>
          <w:highlight w:val="none"/>
        </w:rPr>
      </w:pPr>
      <w:r>
        <w:rPr>
          <w:color w:val="auto"/>
          <w:highlight w:val="none"/>
        </w:rPr>
        <w:fldChar w:fldCharType="begin"/>
      </w:r>
      <w:r>
        <w:rPr>
          <w:color w:val="auto"/>
          <w:highlight w:val="none"/>
        </w:rPr>
        <w:instrText xml:space="preserve"> HYPERLINK \l "_Toc60602963" </w:instrText>
      </w:r>
      <w:r>
        <w:rPr>
          <w:color w:val="auto"/>
          <w:highlight w:val="none"/>
        </w:rPr>
        <w:fldChar w:fldCharType="separate"/>
      </w:r>
      <w:r>
        <w:rPr>
          <w:rStyle w:val="26"/>
          <w:rFonts w:asciiTheme="minorEastAsia" w:hAnsiTheme="minorEastAsia"/>
          <w:b/>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_Toc60602963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pPr>
        <w:pStyle w:val="17"/>
        <w:tabs>
          <w:tab w:val="right" w:leader="dot" w:pos="8296"/>
        </w:tabs>
        <w:rPr>
          <w:color w:val="auto"/>
          <w:kern w:val="2"/>
          <w:sz w:val="21"/>
          <w:highlight w:val="none"/>
        </w:rPr>
      </w:pPr>
      <w:r>
        <w:rPr>
          <w:color w:val="auto"/>
          <w:highlight w:val="none"/>
        </w:rPr>
        <w:fldChar w:fldCharType="begin"/>
      </w:r>
      <w:r>
        <w:rPr>
          <w:color w:val="auto"/>
          <w:highlight w:val="none"/>
        </w:rPr>
        <w:instrText xml:space="preserve"> HYPERLINK \l "_Toc60602964" </w:instrText>
      </w:r>
      <w:r>
        <w:rPr>
          <w:color w:val="auto"/>
          <w:highlight w:val="none"/>
        </w:rPr>
        <w:fldChar w:fldCharType="separate"/>
      </w:r>
      <w:r>
        <w:rPr>
          <w:rStyle w:val="26"/>
          <w:rFonts w:asciiTheme="minorEastAsia" w:hAnsiTheme="minorEastAsia"/>
          <w:b/>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_Toc60602964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pPr>
        <w:pStyle w:val="17"/>
        <w:tabs>
          <w:tab w:val="right" w:leader="dot" w:pos="8296"/>
        </w:tabs>
        <w:rPr>
          <w:color w:val="auto"/>
          <w:kern w:val="2"/>
          <w:sz w:val="21"/>
          <w:highlight w:val="none"/>
        </w:rPr>
      </w:pPr>
      <w:r>
        <w:rPr>
          <w:color w:val="auto"/>
          <w:highlight w:val="none"/>
        </w:rPr>
        <w:fldChar w:fldCharType="begin"/>
      </w:r>
      <w:r>
        <w:rPr>
          <w:color w:val="auto"/>
          <w:highlight w:val="none"/>
        </w:rPr>
        <w:instrText xml:space="preserve"> HYPERLINK \l "_Toc60602966" </w:instrText>
      </w:r>
      <w:r>
        <w:rPr>
          <w:color w:val="auto"/>
          <w:highlight w:val="none"/>
        </w:rPr>
        <w:fldChar w:fldCharType="separate"/>
      </w:r>
      <w:r>
        <w:rPr>
          <w:rStyle w:val="26"/>
          <w:rFonts w:asciiTheme="minorEastAsia" w:hAnsiTheme="minorEastAsia"/>
          <w:b/>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_Toc60602966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pPr>
        <w:pStyle w:val="17"/>
        <w:tabs>
          <w:tab w:val="right" w:leader="dot" w:pos="8296"/>
        </w:tabs>
        <w:rPr>
          <w:color w:val="auto"/>
          <w:kern w:val="2"/>
          <w:sz w:val="21"/>
          <w:highlight w:val="none"/>
        </w:rPr>
      </w:pPr>
      <w:r>
        <w:rPr>
          <w:color w:val="auto"/>
          <w:highlight w:val="none"/>
        </w:rPr>
        <w:fldChar w:fldCharType="begin"/>
      </w:r>
      <w:r>
        <w:rPr>
          <w:color w:val="auto"/>
          <w:highlight w:val="none"/>
        </w:rPr>
        <w:instrText xml:space="preserve"> HYPERLINK \l "_Toc60602967" </w:instrText>
      </w:r>
      <w:r>
        <w:rPr>
          <w:color w:val="auto"/>
          <w:highlight w:val="none"/>
        </w:rPr>
        <w:fldChar w:fldCharType="separate"/>
      </w:r>
      <w:r>
        <w:rPr>
          <w:rStyle w:val="26"/>
          <w:rFonts w:asciiTheme="minorEastAsia" w:hAnsiTheme="minorEastAsia"/>
          <w:b/>
          <w:color w:val="auto"/>
          <w:highlight w:val="none"/>
        </w:rPr>
        <w:t>第五章  政府采购合同</w:t>
      </w:r>
      <w:r>
        <w:rPr>
          <w:color w:val="auto"/>
          <w:highlight w:val="none"/>
        </w:rPr>
        <w:tab/>
      </w:r>
      <w:r>
        <w:rPr>
          <w:color w:val="auto"/>
          <w:highlight w:val="none"/>
        </w:rPr>
        <w:fldChar w:fldCharType="begin"/>
      </w:r>
      <w:r>
        <w:rPr>
          <w:color w:val="auto"/>
          <w:highlight w:val="none"/>
        </w:rPr>
        <w:instrText xml:space="preserve"> PAGEREF _Toc60602967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pPr>
        <w:pStyle w:val="17"/>
        <w:tabs>
          <w:tab w:val="right" w:leader="dot" w:pos="8296"/>
        </w:tabs>
        <w:rPr>
          <w:color w:val="auto"/>
          <w:kern w:val="2"/>
          <w:sz w:val="21"/>
          <w:highlight w:val="none"/>
        </w:rPr>
      </w:pPr>
      <w:r>
        <w:rPr>
          <w:color w:val="auto"/>
          <w:highlight w:val="none"/>
        </w:rPr>
        <w:fldChar w:fldCharType="begin"/>
      </w:r>
      <w:r>
        <w:rPr>
          <w:color w:val="auto"/>
          <w:highlight w:val="none"/>
        </w:rPr>
        <w:instrText xml:space="preserve"> HYPERLINK \l "_Toc60602968" </w:instrText>
      </w:r>
      <w:r>
        <w:rPr>
          <w:color w:val="auto"/>
          <w:highlight w:val="none"/>
        </w:rPr>
        <w:fldChar w:fldCharType="separate"/>
      </w:r>
      <w:r>
        <w:rPr>
          <w:rStyle w:val="26"/>
          <w:rFonts w:asciiTheme="minorEastAsia" w:hAnsiTheme="minorEastAsia"/>
          <w:b/>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_Toc60602968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pPr>
        <w:pStyle w:val="17"/>
        <w:tabs>
          <w:tab w:val="right" w:leader="dot" w:pos="8296"/>
        </w:tabs>
        <w:rPr>
          <w:color w:val="auto"/>
          <w:kern w:val="2"/>
          <w:sz w:val="21"/>
          <w:highlight w:val="none"/>
        </w:rPr>
      </w:pPr>
      <w:r>
        <w:rPr>
          <w:color w:val="auto"/>
          <w:highlight w:val="none"/>
        </w:rPr>
        <w:fldChar w:fldCharType="begin"/>
      </w:r>
      <w:r>
        <w:rPr>
          <w:color w:val="auto"/>
          <w:highlight w:val="none"/>
        </w:rPr>
        <w:instrText xml:space="preserve"> HYPERLINK \l "_Toc60602970" </w:instrText>
      </w:r>
      <w:r>
        <w:rPr>
          <w:color w:val="auto"/>
          <w:highlight w:val="none"/>
        </w:rPr>
        <w:fldChar w:fldCharType="separate"/>
      </w:r>
      <w:r>
        <w:rPr>
          <w:rStyle w:val="26"/>
          <w:rFonts w:ascii="宋体" w:hAnsi="宋体" w:eastAsia="宋体"/>
          <w:b/>
          <w:bCs/>
          <w:color w:val="auto"/>
          <w:highlight w:val="none"/>
        </w:rPr>
        <w:t>第</w:t>
      </w:r>
      <w:r>
        <w:rPr>
          <w:rStyle w:val="26"/>
          <w:rFonts w:hint="eastAsia" w:ascii="宋体" w:hAnsi="宋体" w:eastAsia="宋体"/>
          <w:b/>
          <w:bCs/>
          <w:color w:val="auto"/>
          <w:highlight w:val="none"/>
        </w:rPr>
        <w:t>七</w:t>
      </w:r>
      <w:r>
        <w:rPr>
          <w:rStyle w:val="26"/>
          <w:rFonts w:ascii="宋体" w:hAnsi="宋体" w:eastAsia="宋体"/>
          <w:b/>
          <w:bCs/>
          <w:color w:val="auto"/>
          <w:highlight w:val="none"/>
        </w:rPr>
        <w:t>章  政府采购</w:t>
      </w:r>
      <w:r>
        <w:rPr>
          <w:rStyle w:val="26"/>
          <w:rFonts w:asciiTheme="minorEastAsia" w:hAnsiTheme="minorEastAsia"/>
          <w:b/>
          <w:color w:val="auto"/>
          <w:highlight w:val="none"/>
        </w:rPr>
        <w:t>供应</w:t>
      </w:r>
      <w:r>
        <w:rPr>
          <w:rStyle w:val="26"/>
          <w:rFonts w:ascii="宋体" w:hAnsi="宋体" w:eastAsia="宋体"/>
          <w:b/>
          <w:bCs/>
          <w:color w:val="auto"/>
          <w:highlight w:val="none"/>
        </w:rPr>
        <w:t>商质疑函范本</w:t>
      </w:r>
      <w:r>
        <w:rPr>
          <w:color w:val="auto"/>
          <w:highlight w:val="none"/>
        </w:rPr>
        <w:tab/>
      </w:r>
      <w:r>
        <w:rPr>
          <w:color w:val="auto"/>
          <w:highlight w:val="none"/>
        </w:rPr>
        <w:fldChar w:fldCharType="begin"/>
      </w:r>
      <w:r>
        <w:rPr>
          <w:color w:val="auto"/>
          <w:highlight w:val="none"/>
        </w:rPr>
        <w:instrText xml:space="preserve"> PAGEREF _Toc60602970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519" w:bottom="1440" w:left="1519" w:header="851" w:footer="992" w:gutter="0"/>
          <w:cols w:space="425" w:num="1"/>
          <w:docGrid w:type="lines" w:linePitch="312" w:charSpace="0"/>
        </w:sectPr>
      </w:pPr>
    </w:p>
    <w:p>
      <w:pPr>
        <w:spacing w:line="360" w:lineRule="auto"/>
        <w:jc w:val="center"/>
        <w:outlineLvl w:val="0"/>
        <w:rPr>
          <w:rFonts w:asciiTheme="minorEastAsia" w:hAnsiTheme="minorEastAsia" w:eastAsiaTheme="minorEastAsia"/>
          <w:b/>
          <w:color w:val="auto"/>
          <w:sz w:val="28"/>
          <w:highlight w:val="none"/>
        </w:rPr>
      </w:pPr>
      <w:bookmarkStart w:id="1" w:name="_Toc60602962"/>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一</w:t>
      </w:r>
      <w:r>
        <w:rPr>
          <w:rFonts w:hint="eastAsia" w:asciiTheme="minorEastAsia" w:hAnsiTheme="minorEastAsia" w:eastAsiaTheme="minorEastAsia"/>
          <w:b/>
          <w:color w:val="auto"/>
          <w:sz w:val="24"/>
          <w:highlight w:val="none"/>
        </w:rPr>
        <w:t>、</w:t>
      </w:r>
      <w:r>
        <w:rPr>
          <w:rFonts w:hint="eastAsia" w:ascii="宋体" w:hAnsi="宋体" w:eastAsia="宋体"/>
          <w:b/>
          <w:bCs/>
          <w:color w:val="auto"/>
          <w:sz w:val="24"/>
          <w:szCs w:val="18"/>
          <w:highlight w:val="none"/>
        </w:rPr>
        <w:t>项目名称及内容</w:t>
      </w:r>
    </w:p>
    <w:p>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1</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项目编号：</w:t>
      </w:r>
      <w:r>
        <w:rPr>
          <w:rFonts w:hint="eastAsia" w:ascii="宋体" w:hAnsi="宋体" w:eastAsia="宋体"/>
          <w:color w:val="auto"/>
          <w:sz w:val="24"/>
          <w:szCs w:val="18"/>
          <w:highlight w:val="none"/>
          <w:lang w:eastAsia="zh-CN"/>
        </w:rPr>
        <w:t>2023BTAHZ01434</w:t>
      </w:r>
    </w:p>
    <w:p>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2</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color w:val="auto"/>
          <w:sz w:val="24"/>
          <w:highlight w:val="none"/>
        </w:rPr>
        <w:t>项目</w:t>
      </w:r>
      <w:r>
        <w:rPr>
          <w:rFonts w:hint="eastAsia" w:ascii="宋体" w:hAnsi="宋体" w:eastAsia="宋体"/>
          <w:color w:val="auto"/>
          <w:sz w:val="24"/>
          <w:szCs w:val="18"/>
          <w:highlight w:val="none"/>
        </w:rPr>
        <w:t>名称：</w:t>
      </w:r>
      <w:r>
        <w:rPr>
          <w:rFonts w:hint="eastAsia" w:ascii="宋体" w:hAnsi="宋体" w:eastAsia="宋体"/>
          <w:color w:val="auto"/>
          <w:sz w:val="24"/>
          <w:szCs w:val="18"/>
          <w:highlight w:val="none"/>
          <w:lang w:eastAsia="zh-CN"/>
        </w:rPr>
        <w:t>安徽大学2022年“强光磁试验装置”直线加速器及配套设备采购项目</w:t>
      </w:r>
    </w:p>
    <w:p>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宋体" w:hAnsi="宋体" w:eastAsia="宋体"/>
          <w:color w:val="auto"/>
          <w:sz w:val="24"/>
          <w:szCs w:val="18"/>
          <w:highlight w:val="none"/>
        </w:rPr>
        <w:t>3</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项目地点：安徽省合肥市</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4</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color w:val="auto"/>
          <w:sz w:val="24"/>
          <w:highlight w:val="none"/>
        </w:rPr>
        <w:t>项目</w:t>
      </w:r>
      <w:r>
        <w:rPr>
          <w:rFonts w:hint="eastAsia" w:ascii="宋体" w:hAnsi="宋体" w:eastAsia="宋体"/>
          <w:color w:val="auto"/>
          <w:sz w:val="24"/>
          <w:szCs w:val="18"/>
          <w:highlight w:val="none"/>
        </w:rPr>
        <w:t>单位：安徽大学</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5</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项目概况：</w:t>
      </w:r>
      <w:r>
        <w:rPr>
          <w:rFonts w:hint="eastAsia" w:ascii="宋体" w:hAnsi="宋体" w:eastAsia="宋体"/>
          <w:color w:val="auto"/>
          <w:sz w:val="24"/>
          <w:szCs w:val="18"/>
          <w:highlight w:val="none"/>
          <w:lang w:eastAsia="zh-CN"/>
        </w:rPr>
        <w:t>安徽大学2022年“强光磁试验装置”直线加速器及配套设备采购项目</w:t>
      </w:r>
      <w:r>
        <w:rPr>
          <w:rFonts w:hint="eastAsia" w:ascii="宋体" w:hAnsi="宋体" w:eastAsia="宋体"/>
          <w:color w:val="auto"/>
          <w:sz w:val="24"/>
          <w:szCs w:val="18"/>
          <w:highlight w:val="none"/>
        </w:rPr>
        <w:t>，</w:t>
      </w:r>
      <w:r>
        <w:rPr>
          <w:rFonts w:hint="eastAsia" w:ascii="宋体" w:hAnsi="宋体" w:eastAsia="宋体"/>
          <w:color w:val="auto"/>
          <w:sz w:val="24"/>
          <w:highlight w:val="none"/>
        </w:rPr>
        <w:t>详见招标文件</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6</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color w:val="auto"/>
          <w:sz w:val="24"/>
          <w:highlight w:val="none"/>
        </w:rPr>
        <w:t>资金来源</w:t>
      </w:r>
      <w:r>
        <w:rPr>
          <w:rFonts w:hint="eastAsia" w:ascii="宋体" w:hAnsi="宋体" w:eastAsia="宋体"/>
          <w:color w:val="auto"/>
          <w:sz w:val="24"/>
          <w:szCs w:val="18"/>
          <w:highlight w:val="none"/>
        </w:rPr>
        <w:t>：财政支付</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7</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项目预算：1950万元</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8</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最高限价：1950万元</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9</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项目类别：政府采购货物</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10</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标段（包别）划分：共分1个包，本次采购第</w:t>
      </w:r>
      <w:r>
        <w:rPr>
          <w:rFonts w:hint="eastAsia" w:ascii="宋体" w:hAnsi="宋体" w:eastAsia="宋体"/>
          <w:color w:val="auto"/>
          <w:sz w:val="24"/>
          <w:szCs w:val="18"/>
          <w:highlight w:val="none"/>
          <w:u w:val="single"/>
        </w:rPr>
        <w:t>1</w:t>
      </w:r>
      <w:r>
        <w:rPr>
          <w:rFonts w:hint="eastAsia" w:ascii="宋体" w:hAnsi="宋体" w:eastAsia="宋体"/>
          <w:color w:val="auto"/>
          <w:sz w:val="24"/>
          <w:szCs w:val="18"/>
          <w:highlight w:val="none"/>
        </w:rPr>
        <w:t>包</w:t>
      </w:r>
    </w:p>
    <w:p>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宋体" w:hAnsi="宋体" w:eastAsia="宋体"/>
          <w:b/>
          <w:bCs/>
          <w:color w:val="auto"/>
          <w:sz w:val="24"/>
          <w:szCs w:val="18"/>
          <w:highlight w:val="none"/>
        </w:rPr>
        <w:t>投标人资格</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详见招标公告</w:t>
      </w:r>
      <w:r>
        <w:rPr>
          <w:rFonts w:hint="eastAsia" w:ascii="宋体" w:hAnsi="宋体" w:eastAsia="宋体"/>
          <w:color w:val="auto"/>
          <w:sz w:val="24"/>
          <w:szCs w:val="18"/>
          <w:highlight w:val="none"/>
          <w:u w:val="single"/>
        </w:rPr>
        <w:t>申请人的资格要求</w:t>
      </w:r>
      <w:r>
        <w:rPr>
          <w:rFonts w:hint="eastAsia" w:ascii="宋体" w:hAnsi="宋体" w:eastAsia="宋体"/>
          <w:color w:val="auto"/>
          <w:sz w:val="24"/>
          <w:szCs w:val="18"/>
          <w:highlight w:val="none"/>
        </w:rPr>
        <w:t>。</w:t>
      </w:r>
    </w:p>
    <w:p>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r>
        <w:rPr>
          <w:rFonts w:hint="eastAsia" w:ascii="宋体" w:hAnsi="宋体" w:eastAsia="宋体"/>
          <w:b/>
          <w:bCs/>
          <w:color w:val="auto"/>
          <w:sz w:val="24"/>
          <w:szCs w:val="18"/>
          <w:highlight w:val="none"/>
        </w:rPr>
        <w:t>招标文件的获取</w:t>
      </w:r>
    </w:p>
    <w:p>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宋体" w:hAnsi="宋体" w:eastAsia="宋体"/>
          <w:color w:val="auto"/>
          <w:sz w:val="24"/>
          <w:szCs w:val="18"/>
          <w:highlight w:val="none"/>
        </w:rPr>
        <w:t>1</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获取时间：详见招标公告</w:t>
      </w:r>
    </w:p>
    <w:p>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宋体" w:hAnsi="宋体" w:eastAsia="宋体"/>
          <w:color w:val="auto"/>
          <w:sz w:val="24"/>
          <w:highlight w:val="none"/>
        </w:rPr>
        <w:t>2.</w:t>
      </w:r>
      <w:r>
        <w:rPr>
          <w:rFonts w:hint="eastAsia" w:ascii="宋体" w:hAnsi="宋体" w:eastAsia="宋体"/>
          <w:color w:val="auto"/>
          <w:sz w:val="24"/>
          <w:szCs w:val="18"/>
          <w:highlight w:val="none"/>
        </w:rPr>
        <w:t>获取方式：详见招标公告</w:t>
      </w:r>
    </w:p>
    <w:p>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r>
        <w:rPr>
          <w:rFonts w:hint="eastAsia" w:ascii="宋体" w:hAnsi="宋体" w:eastAsia="宋体"/>
          <w:b/>
          <w:bCs/>
          <w:color w:val="auto"/>
          <w:sz w:val="24"/>
          <w:szCs w:val="18"/>
          <w:highlight w:val="none"/>
        </w:rPr>
        <w:t>开标时间及地点</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1</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开标时间：详见招标公告</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开标地点：详见招标公告</w:t>
      </w:r>
    </w:p>
    <w:p>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r>
        <w:rPr>
          <w:rFonts w:hint="eastAsia" w:ascii="宋体" w:hAnsi="宋体" w:eastAsia="宋体"/>
          <w:b/>
          <w:bCs/>
          <w:color w:val="auto"/>
          <w:sz w:val="24"/>
          <w:szCs w:val="18"/>
          <w:highlight w:val="none"/>
        </w:rPr>
        <w:t>投标截止时间</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同开标时间</w:t>
      </w:r>
    </w:p>
    <w:p>
      <w:pPr>
        <w:spacing w:line="360" w:lineRule="auto"/>
        <w:ind w:firstLine="435"/>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六</w:t>
      </w:r>
      <w:r>
        <w:rPr>
          <w:rFonts w:hint="eastAsia" w:asciiTheme="minorEastAsia" w:hAnsiTheme="minorEastAsia" w:eastAsiaTheme="minorEastAsia"/>
          <w:b/>
          <w:color w:val="auto"/>
          <w:sz w:val="24"/>
          <w:highlight w:val="none"/>
        </w:rPr>
        <w:t>、</w:t>
      </w:r>
      <w:r>
        <w:rPr>
          <w:rFonts w:hint="eastAsia" w:ascii="宋体" w:hAnsi="宋体" w:eastAsia="宋体"/>
          <w:b/>
          <w:color w:val="auto"/>
          <w:sz w:val="24"/>
          <w:szCs w:val="18"/>
          <w:highlight w:val="none"/>
        </w:rPr>
        <w:t>公告期限</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自本公告发布之日起</w:t>
      </w:r>
      <w:r>
        <w:rPr>
          <w:rFonts w:ascii="宋体" w:hAnsi="宋体" w:eastAsia="宋体"/>
          <w:color w:val="auto"/>
          <w:sz w:val="24"/>
          <w:szCs w:val="18"/>
          <w:highlight w:val="none"/>
        </w:rPr>
        <w:t>5个工作日</w:t>
      </w:r>
    </w:p>
    <w:p>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七</w:t>
      </w:r>
      <w:r>
        <w:rPr>
          <w:rFonts w:hint="eastAsia" w:asciiTheme="minorEastAsia" w:hAnsiTheme="minorEastAsia" w:eastAsiaTheme="minorEastAsia"/>
          <w:b/>
          <w:color w:val="auto"/>
          <w:sz w:val="24"/>
          <w:highlight w:val="none"/>
        </w:rPr>
        <w:t>、</w:t>
      </w:r>
      <w:r>
        <w:rPr>
          <w:rFonts w:hint="eastAsia" w:ascii="宋体" w:hAnsi="宋体" w:eastAsia="宋体"/>
          <w:b/>
          <w:bCs/>
          <w:color w:val="auto"/>
          <w:sz w:val="24"/>
          <w:szCs w:val="18"/>
          <w:highlight w:val="none"/>
        </w:rPr>
        <w:t>联系方式</w:t>
      </w:r>
    </w:p>
    <w:p>
      <w:pPr>
        <w:spacing w:line="360" w:lineRule="auto"/>
        <w:ind w:firstLine="435"/>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采购人：</w:t>
      </w:r>
      <w:r>
        <w:rPr>
          <w:rFonts w:hint="eastAsia" w:ascii="宋体" w:hAnsi="宋体" w:eastAsia="宋体"/>
          <w:color w:val="auto"/>
          <w:sz w:val="24"/>
          <w:szCs w:val="18"/>
          <w:highlight w:val="none"/>
          <w:u w:val="single"/>
        </w:rPr>
        <w:t>安徽大学</w:t>
      </w:r>
    </w:p>
    <w:p>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合肥市经开区九龙路111号</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刘欢</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 xml:space="preserve">电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话：</w:t>
      </w:r>
      <w:r>
        <w:rPr>
          <w:rFonts w:hint="eastAsia" w:ascii="宋体" w:hAnsi="宋体" w:eastAsia="宋体"/>
          <w:color w:val="auto"/>
          <w:sz w:val="24"/>
          <w:szCs w:val="18"/>
          <w:highlight w:val="none"/>
          <w:u w:val="single"/>
        </w:rPr>
        <w:t>0551-63861283</w:t>
      </w:r>
    </w:p>
    <w:p>
      <w:pPr>
        <w:spacing w:line="360" w:lineRule="auto"/>
        <w:ind w:firstLine="435"/>
        <w:outlineLvl w:val="2"/>
        <w:rPr>
          <w:rFonts w:asciiTheme="minorEastAsia" w:hAnsiTheme="minorEastAsia" w:eastAsiaTheme="minorEastAsia"/>
          <w:b/>
          <w:color w:val="auto"/>
          <w:sz w:val="24"/>
          <w:highlight w:val="none"/>
        </w:rPr>
      </w:pPr>
      <w:r>
        <w:rPr>
          <w:rFonts w:ascii="宋体" w:hAnsi="宋体" w:eastAsia="宋体"/>
          <w:color w:val="auto"/>
          <w:sz w:val="24"/>
          <w:szCs w:val="18"/>
          <w:highlight w:val="none"/>
        </w:rPr>
        <w:t>2</w:t>
      </w:r>
      <w:r>
        <w:rPr>
          <w:rFonts w:hint="eastAsia" w:asciiTheme="minorEastAsia" w:hAnsiTheme="minorEastAsia" w:eastAsiaTheme="minorEastAsia"/>
          <w:b/>
          <w:color w:val="auto"/>
          <w:sz w:val="24"/>
          <w:highlight w:val="none"/>
        </w:rPr>
        <w:t>.</w:t>
      </w:r>
      <w:r>
        <w:rPr>
          <w:rFonts w:hint="eastAsia" w:ascii="宋体" w:hAnsi="宋体" w:eastAsia="宋体"/>
          <w:color w:val="auto"/>
          <w:sz w:val="24"/>
          <w:szCs w:val="18"/>
          <w:highlight w:val="none"/>
        </w:rPr>
        <w:t>采购代理机构</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采购代理机构：</w:t>
      </w:r>
      <w:r>
        <w:rPr>
          <w:rFonts w:hint="eastAsia" w:ascii="宋体" w:hAnsi="宋体" w:eastAsia="宋体"/>
          <w:color w:val="auto"/>
          <w:sz w:val="24"/>
          <w:szCs w:val="18"/>
          <w:highlight w:val="none"/>
          <w:u w:val="single"/>
        </w:rPr>
        <w:t>安徽公共资源交易集团项目管理有限公司</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合肥市滨湖新区南京路</w:t>
      </w:r>
      <w:r>
        <w:rPr>
          <w:rFonts w:ascii="宋体" w:hAnsi="宋体" w:eastAsia="宋体"/>
          <w:color w:val="auto"/>
          <w:sz w:val="24"/>
          <w:szCs w:val="18"/>
          <w:highlight w:val="none"/>
          <w:u w:val="single"/>
        </w:rPr>
        <w:t>2588号（徽州大道与南京路交口）六楼</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李工</w:t>
      </w:r>
    </w:p>
    <w:p>
      <w:pPr>
        <w:spacing w:line="360" w:lineRule="auto"/>
        <w:ind w:firstLine="435"/>
        <w:rPr>
          <w:rFonts w:ascii="宋体" w:hAnsi="宋体" w:eastAsia="宋体"/>
          <w:color w:val="auto"/>
          <w:sz w:val="24"/>
          <w:szCs w:val="18"/>
          <w:highlight w:val="none"/>
          <w:u w:val="single"/>
        </w:rPr>
      </w:pPr>
      <w:r>
        <w:rPr>
          <w:rFonts w:hint="eastAsia" w:asciiTheme="minorEastAsia" w:hAnsiTheme="minorEastAsia" w:eastAsiaTheme="minorEastAsia"/>
          <w:color w:val="auto"/>
          <w:sz w:val="24"/>
          <w:szCs w:val="24"/>
          <w:highlight w:val="none"/>
        </w:rPr>
        <w:t>电  话：</w:t>
      </w:r>
      <w:r>
        <w:rPr>
          <w:rFonts w:hint="eastAsia" w:asciiTheme="minorEastAsia" w:hAnsiTheme="minorEastAsia" w:eastAsiaTheme="minorEastAsia"/>
          <w:color w:val="auto"/>
          <w:sz w:val="24"/>
          <w:szCs w:val="24"/>
          <w:highlight w:val="none"/>
          <w:u w:val="single"/>
        </w:rPr>
        <w:t>0551-66223922，66223923</w:t>
      </w:r>
    </w:p>
    <w:p>
      <w:pPr>
        <w:spacing w:line="360" w:lineRule="auto"/>
        <w:ind w:firstLine="435"/>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3.</w:t>
      </w:r>
      <w:r>
        <w:rPr>
          <w:rFonts w:ascii="宋体" w:hAnsi="宋体" w:eastAsia="宋体"/>
          <w:color w:val="auto"/>
          <w:sz w:val="24"/>
          <w:szCs w:val="18"/>
          <w:highlight w:val="none"/>
        </w:rPr>
        <w:t>电子交易系统</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名  称：</w:t>
      </w:r>
      <w:r>
        <w:rPr>
          <w:rFonts w:hint="eastAsia" w:ascii="宋体" w:hAnsi="宋体" w:eastAsia="宋体"/>
          <w:color w:val="auto"/>
          <w:sz w:val="24"/>
          <w:szCs w:val="18"/>
          <w:highlight w:val="none"/>
          <w:u w:val="single"/>
        </w:rPr>
        <w:t>安徽公共资源交易集团电子交易系统</w:t>
      </w:r>
    </w:p>
    <w:p>
      <w:pPr>
        <w:spacing w:line="360" w:lineRule="auto"/>
        <w:ind w:firstLine="435"/>
        <w:rPr>
          <w:rFonts w:ascii="宋体" w:hAnsi="宋体" w:eastAsia="宋体"/>
          <w:color w:val="auto"/>
          <w:sz w:val="24"/>
          <w:szCs w:val="18"/>
          <w:highlight w:val="none"/>
        </w:rPr>
      </w:pPr>
      <w:bookmarkStart w:id="2" w:name="_Hlk38114117"/>
      <w:r>
        <w:rPr>
          <w:rFonts w:hint="eastAsia" w:ascii="宋体" w:hAnsi="宋体" w:eastAsia="宋体"/>
          <w:color w:val="auto"/>
          <w:sz w:val="24"/>
          <w:szCs w:val="18"/>
          <w:highlight w:val="none"/>
        </w:rPr>
        <w:t>电  话：</w:t>
      </w:r>
      <w:r>
        <w:rPr>
          <w:rFonts w:ascii="宋体" w:hAnsi="宋体" w:eastAsia="宋体"/>
          <w:color w:val="auto"/>
          <w:sz w:val="24"/>
          <w:szCs w:val="18"/>
          <w:highlight w:val="none"/>
          <w:u w:val="single"/>
        </w:rPr>
        <w:t>400 998 0000</w:t>
      </w:r>
    </w:p>
    <w:bookmarkEnd w:id="2"/>
    <w:p>
      <w:pPr>
        <w:spacing w:line="360" w:lineRule="auto"/>
        <w:ind w:firstLine="435"/>
        <w:outlineLvl w:val="2"/>
        <w:rPr>
          <w:rFonts w:ascii="宋体" w:hAnsi="宋体" w:eastAsia="宋体"/>
          <w:color w:val="auto"/>
          <w:sz w:val="24"/>
          <w:szCs w:val="18"/>
          <w:highlight w:val="none"/>
        </w:rPr>
      </w:pPr>
      <w:r>
        <w:rPr>
          <w:rFonts w:ascii="宋体" w:hAnsi="宋体" w:eastAsia="宋体"/>
          <w:color w:val="auto"/>
          <w:sz w:val="24"/>
          <w:szCs w:val="18"/>
          <w:highlight w:val="none"/>
        </w:rPr>
        <w:t>4</w:t>
      </w:r>
      <w:r>
        <w:rPr>
          <w:rFonts w:hint="eastAsia" w:ascii="宋体" w:hAnsi="宋体" w:eastAsia="宋体"/>
          <w:color w:val="auto"/>
          <w:sz w:val="24"/>
          <w:szCs w:val="18"/>
          <w:highlight w:val="none"/>
        </w:rPr>
        <w:t>.</w:t>
      </w:r>
      <w:r>
        <w:rPr>
          <w:rFonts w:ascii="宋体" w:hAnsi="宋体" w:eastAsia="宋体"/>
          <w:color w:val="auto"/>
          <w:sz w:val="24"/>
          <w:szCs w:val="18"/>
          <w:highlight w:val="none"/>
        </w:rPr>
        <w:t>电子服务系统</w:t>
      </w:r>
    </w:p>
    <w:p>
      <w:pPr>
        <w:spacing w:line="360" w:lineRule="auto"/>
        <w:ind w:firstLine="435"/>
        <w:rPr>
          <w:rFonts w:ascii="宋体" w:hAnsi="宋体" w:eastAsia="宋体" w:cs="宋体"/>
          <w:color w:val="auto"/>
          <w:sz w:val="24"/>
          <w:szCs w:val="24"/>
          <w:highlight w:val="none"/>
          <w:u w:val="single"/>
        </w:rPr>
      </w:pPr>
      <w:r>
        <w:rPr>
          <w:rFonts w:hint="eastAsia" w:ascii="宋体" w:hAnsi="宋体" w:eastAsia="宋体"/>
          <w:color w:val="auto"/>
          <w:sz w:val="24"/>
          <w:szCs w:val="18"/>
          <w:highlight w:val="none"/>
        </w:rPr>
        <w:t>名  称：</w:t>
      </w:r>
      <w:r>
        <w:rPr>
          <w:rFonts w:ascii="宋体" w:hAnsi="宋体" w:eastAsia="宋体" w:cs="宋体"/>
          <w:color w:val="auto"/>
          <w:sz w:val="24"/>
          <w:szCs w:val="24"/>
          <w:highlight w:val="none"/>
          <w:u w:val="single"/>
        </w:rPr>
        <w:t>安徽合肥·公共资源交易电子服务系统</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电  话：</w:t>
      </w:r>
      <w:r>
        <w:rPr>
          <w:rFonts w:ascii="宋体" w:hAnsi="宋体" w:eastAsia="宋体"/>
          <w:color w:val="auto"/>
          <w:sz w:val="24"/>
          <w:szCs w:val="18"/>
          <w:highlight w:val="none"/>
          <w:u w:val="single"/>
        </w:rPr>
        <w:t>0551-12345</w:t>
      </w:r>
    </w:p>
    <w:p>
      <w:pPr>
        <w:spacing w:line="360" w:lineRule="auto"/>
        <w:ind w:firstLine="435"/>
        <w:outlineLvl w:val="2"/>
        <w:rPr>
          <w:rFonts w:asciiTheme="minorEastAsia" w:hAnsiTheme="minorEastAsia" w:eastAsiaTheme="minorEastAsia"/>
          <w:b/>
          <w:color w:val="auto"/>
          <w:sz w:val="24"/>
          <w:highlight w:val="none"/>
        </w:rPr>
      </w:pPr>
      <w:r>
        <w:rPr>
          <w:rFonts w:hint="eastAsia" w:ascii="宋体" w:hAnsi="宋体" w:eastAsia="宋体"/>
          <w:color w:val="auto"/>
          <w:sz w:val="24"/>
          <w:szCs w:val="18"/>
          <w:highlight w:val="none"/>
        </w:rPr>
        <w:t>5</w:t>
      </w:r>
      <w:r>
        <w:rPr>
          <w:rFonts w:hint="eastAsia" w:asciiTheme="minorEastAsia" w:hAnsiTheme="minorEastAsia" w:eastAsiaTheme="minorEastAsia"/>
          <w:b/>
          <w:color w:val="auto"/>
          <w:sz w:val="24"/>
          <w:highlight w:val="none"/>
        </w:rPr>
        <w:t>.</w:t>
      </w:r>
      <w:r>
        <w:rPr>
          <w:rFonts w:hint="eastAsia" w:ascii="宋体" w:hAnsi="宋体" w:eastAsia="宋体"/>
          <w:color w:val="auto"/>
          <w:sz w:val="24"/>
          <w:highlight w:val="none"/>
        </w:rPr>
        <w:t>政府采购监督管理部门</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highlight w:val="none"/>
        </w:rPr>
        <w:t>政府采购监督管理部门</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安徽省财政厅</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合肥市阜南西路</w:t>
      </w:r>
      <w:r>
        <w:rPr>
          <w:rFonts w:ascii="宋体" w:hAnsi="宋体" w:eastAsia="宋体"/>
          <w:color w:val="auto"/>
          <w:sz w:val="24"/>
          <w:szCs w:val="18"/>
          <w:highlight w:val="none"/>
          <w:u w:val="single"/>
        </w:rPr>
        <w:t>238号</w:t>
      </w:r>
    </w:p>
    <w:p>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电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话：</w:t>
      </w:r>
      <w:r>
        <w:rPr>
          <w:rFonts w:ascii="宋体" w:hAnsi="宋体" w:eastAsia="宋体"/>
          <w:color w:val="auto"/>
          <w:sz w:val="24"/>
          <w:szCs w:val="18"/>
          <w:highlight w:val="none"/>
          <w:u w:val="single"/>
        </w:rPr>
        <w:t>0551-68150309</w:t>
      </w:r>
    </w:p>
    <w:p>
      <w:pPr>
        <w:spacing w:line="360" w:lineRule="auto"/>
        <w:ind w:firstLine="435"/>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八</w:t>
      </w:r>
      <w:r>
        <w:rPr>
          <w:rFonts w:hint="eastAsia" w:asciiTheme="minorEastAsia" w:hAnsiTheme="minorEastAsia" w:eastAsiaTheme="minorEastAsia"/>
          <w:b/>
          <w:color w:val="auto"/>
          <w:sz w:val="24"/>
          <w:highlight w:val="none"/>
        </w:rPr>
        <w:t>、</w:t>
      </w:r>
      <w:r>
        <w:rPr>
          <w:rFonts w:hint="eastAsia" w:ascii="宋体" w:hAnsi="宋体" w:eastAsia="宋体"/>
          <w:b/>
          <w:color w:val="auto"/>
          <w:sz w:val="24"/>
          <w:szCs w:val="18"/>
          <w:highlight w:val="none"/>
        </w:rPr>
        <w:t>其他事项说明</w:t>
      </w:r>
    </w:p>
    <w:p>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t>1</w:t>
      </w:r>
      <w:r>
        <w:rPr>
          <w:rFonts w:hint="eastAsia" w:ascii="宋体" w:hAnsi="宋体" w:eastAsia="宋体"/>
          <w:color w:val="auto"/>
          <w:sz w:val="24"/>
          <w:szCs w:val="18"/>
          <w:highlight w:val="none"/>
        </w:rPr>
        <w:t>.本项目落实节能环保、中小微型企业扶持等相关政府采购政策。</w:t>
      </w:r>
    </w:p>
    <w:p>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t>2</w:t>
      </w:r>
      <w:r>
        <w:rPr>
          <w:rFonts w:hint="eastAsia" w:ascii="宋体" w:hAnsi="宋体" w:eastAsia="宋体"/>
          <w:color w:val="auto"/>
          <w:sz w:val="24"/>
          <w:szCs w:val="18"/>
          <w:highlight w:val="none"/>
        </w:rPr>
        <w:t>.本次招标公告同时在安徽省政府采购网、安徽公共资源交易集团网站</w:t>
      </w:r>
      <w:r>
        <w:rPr>
          <w:rFonts w:ascii="宋体" w:hAnsi="宋体" w:eastAsia="宋体"/>
          <w:color w:val="auto"/>
          <w:sz w:val="24"/>
          <w:szCs w:val="18"/>
          <w:highlight w:val="none"/>
        </w:rPr>
        <w:t>上发布。</w:t>
      </w:r>
    </w:p>
    <w:p>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3.</w:t>
      </w:r>
      <w:r>
        <w:rPr>
          <w:rFonts w:hint="eastAsia" w:ascii="宋体" w:hAnsi="宋体" w:eastAsia="宋体"/>
          <w:bCs/>
          <w:color w:val="auto"/>
          <w:sz w:val="24"/>
          <w:szCs w:val="18"/>
          <w:highlight w:val="none"/>
        </w:rPr>
        <w:t>投标人应合理安排招标文件获取时间，特别是网络速度慢的地区防止在系统关闭前网络拥堵无法操作。如果因计算机及网络故障造成无法完成招标文件获取，责任自负。</w:t>
      </w:r>
    </w:p>
    <w:p>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pPr>
        <w:spacing w:line="360" w:lineRule="auto"/>
        <w:jc w:val="center"/>
        <w:outlineLvl w:val="0"/>
        <w:rPr>
          <w:rFonts w:asciiTheme="minorEastAsia" w:hAnsiTheme="minorEastAsia" w:eastAsiaTheme="minorEastAsia"/>
          <w:b/>
          <w:color w:val="auto"/>
          <w:sz w:val="28"/>
          <w:highlight w:val="none"/>
        </w:rPr>
      </w:pPr>
      <w:bookmarkStart w:id="3" w:name="_Toc60602963"/>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3"/>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p>
    <w:p>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2"/>
        <w:tblW w:w="8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032"/>
        <w:gridCol w:w="5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0"/>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032" w:type="dxa"/>
            <w:vAlign w:val="center"/>
          </w:tcPr>
          <w:p>
            <w:pPr>
              <w:pStyle w:val="30"/>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853" w:type="dxa"/>
            <w:vAlign w:val="center"/>
          </w:tcPr>
          <w:p>
            <w:pPr>
              <w:pStyle w:val="30"/>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jc w:val="left"/>
              <w:rPr>
                <w:rFonts w:ascii="宋体" w:hAnsi="宋体" w:eastAsia="宋体"/>
                <w:b w:val="0"/>
                <w:bCs w:val="0"/>
                <w:color w:val="auto"/>
                <w:sz w:val="24"/>
                <w:highlight w:val="none"/>
              </w:rPr>
            </w:pPr>
            <w:r>
              <w:rPr>
                <w:rFonts w:hint="eastAsia" w:ascii="宋体" w:hAnsi="宋体" w:eastAsia="宋体"/>
                <w:b w:val="0"/>
                <w:bCs w:val="0"/>
                <w:color w:val="auto"/>
                <w:sz w:val="24"/>
                <w:highlight w:val="none"/>
              </w:rPr>
              <w:t>采购人</w:t>
            </w:r>
          </w:p>
        </w:tc>
        <w:tc>
          <w:tcPr>
            <w:tcW w:w="5853" w:type="dxa"/>
            <w:vAlign w:val="center"/>
          </w:tcPr>
          <w:p>
            <w:pPr>
              <w:pStyle w:val="30"/>
              <w:widowControl w:val="0"/>
              <w:spacing w:before="0" w:beforeAutospacing="0" w:after="0" w:afterAutospacing="0"/>
              <w:jc w:val="both"/>
              <w:rPr>
                <w:rFonts w:ascii="宋体" w:hAnsi="宋体" w:eastAsia="宋体"/>
                <w:b w:val="0"/>
                <w:bCs w:val="0"/>
                <w:color w:val="auto"/>
                <w:kern w:val="2"/>
                <w:sz w:val="24"/>
                <w:szCs w:val="20"/>
                <w:highlight w:val="none"/>
              </w:rPr>
            </w:pPr>
            <w:r>
              <w:rPr>
                <w:rFonts w:hint="eastAsia" w:ascii="宋体" w:hAnsi="宋体" w:eastAsia="宋体"/>
                <w:b w:val="0"/>
                <w:bCs w:val="0"/>
                <w:color w:val="auto"/>
                <w:sz w:val="24"/>
                <w:szCs w:val="18"/>
                <w:highlight w:val="none"/>
                <w:u w:val="single"/>
              </w:rPr>
              <w:t>安徽大学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.2</w:t>
            </w:r>
          </w:p>
        </w:tc>
        <w:tc>
          <w:tcPr>
            <w:tcW w:w="2032" w:type="dxa"/>
            <w:vAlign w:val="center"/>
          </w:tcPr>
          <w:p>
            <w:pPr>
              <w:pStyle w:val="30"/>
              <w:widowControl w:val="0"/>
              <w:spacing w:before="0" w:beforeAutospacing="0" w:after="0" w:afterAutospacing="0"/>
              <w:jc w:val="left"/>
              <w:rPr>
                <w:rFonts w:ascii="宋体" w:hAnsi="宋体" w:eastAsia="宋体"/>
                <w:b w:val="0"/>
                <w:bCs w:val="0"/>
                <w:color w:val="auto"/>
                <w:sz w:val="24"/>
                <w:highlight w:val="none"/>
              </w:rPr>
            </w:pPr>
            <w:r>
              <w:rPr>
                <w:rFonts w:hint="eastAsia" w:ascii="宋体" w:hAnsi="宋体" w:eastAsia="宋体"/>
                <w:b w:val="0"/>
                <w:bCs w:val="0"/>
                <w:color w:val="auto"/>
                <w:sz w:val="24"/>
                <w:highlight w:val="none"/>
              </w:rPr>
              <w:t>采购代理机构</w:t>
            </w:r>
          </w:p>
        </w:tc>
        <w:tc>
          <w:tcPr>
            <w:tcW w:w="5853" w:type="dxa"/>
            <w:vAlign w:val="center"/>
          </w:tcPr>
          <w:p>
            <w:pPr>
              <w:pStyle w:val="30"/>
              <w:widowControl w:val="0"/>
              <w:spacing w:before="0" w:beforeAutospacing="0" w:after="0" w:afterAutospacing="0"/>
              <w:jc w:val="both"/>
              <w:rPr>
                <w:rFonts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u w:val="single"/>
              </w:rPr>
              <w:t>安徽公共资源交易集团项目管理有限公司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2032" w:type="dxa"/>
            <w:vAlign w:val="center"/>
          </w:tcPr>
          <w:p>
            <w:pPr>
              <w:pStyle w:val="30"/>
              <w:widowControl w:val="0"/>
              <w:spacing w:before="0" w:beforeAutospacing="0" w:after="0" w:afterAutospacing="0"/>
              <w:jc w:val="left"/>
              <w:rPr>
                <w:rFonts w:ascii="宋体" w:hAnsi="宋体" w:eastAsia="宋体"/>
                <w:b w:val="0"/>
                <w:bCs w:val="0"/>
                <w:color w:val="auto"/>
                <w:sz w:val="24"/>
                <w:highlight w:val="none"/>
              </w:rPr>
            </w:pPr>
            <w:r>
              <w:rPr>
                <w:rFonts w:hint="eastAsia" w:ascii="宋体" w:hAnsi="宋体" w:eastAsia="宋体"/>
                <w:b w:val="0"/>
                <w:bCs w:val="0"/>
                <w:color w:val="auto"/>
                <w:sz w:val="24"/>
                <w:highlight w:val="none"/>
              </w:rPr>
              <w:t>政府采购监督管理部门</w:t>
            </w:r>
          </w:p>
        </w:tc>
        <w:tc>
          <w:tcPr>
            <w:tcW w:w="5853" w:type="dxa"/>
            <w:vAlign w:val="center"/>
          </w:tcPr>
          <w:p>
            <w:pPr>
              <w:pStyle w:val="30"/>
              <w:widowControl w:val="0"/>
              <w:spacing w:before="0" w:beforeAutospacing="0" w:after="0" w:afterAutospacing="0"/>
              <w:jc w:val="both"/>
              <w:rPr>
                <w:rFonts w:ascii="宋体" w:hAnsi="宋体" w:eastAsia="宋体"/>
                <w:b w:val="0"/>
                <w:bCs w:val="0"/>
                <w:color w:val="auto"/>
                <w:sz w:val="24"/>
                <w:highlight w:val="none"/>
                <w:u w:val="single"/>
              </w:rPr>
            </w:pPr>
            <w:r>
              <w:rPr>
                <w:rFonts w:hint="eastAsia" w:ascii="宋体" w:hAnsi="宋体" w:eastAsia="宋体"/>
                <w:b w:val="0"/>
                <w:bCs w:val="0"/>
                <w:color w:val="auto"/>
                <w:sz w:val="24"/>
                <w:szCs w:val="18"/>
                <w:highlight w:val="none"/>
                <w:u w:val="single"/>
              </w:rPr>
              <w:t>安徽省财政厅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.4.</w:t>
            </w:r>
            <w:r>
              <w:rPr>
                <w:rFonts w:hint="eastAsia" w:ascii="宋体" w:hAnsi="宋体" w:eastAsia="宋体"/>
                <w:bCs/>
                <w:color w:val="auto"/>
                <w:kern w:val="2"/>
                <w:highlight w:val="none"/>
              </w:rPr>
              <w:t>4</w:t>
            </w:r>
          </w:p>
        </w:tc>
        <w:tc>
          <w:tcPr>
            <w:tcW w:w="2032" w:type="dxa"/>
            <w:vAlign w:val="center"/>
          </w:tcPr>
          <w:p>
            <w:pPr>
              <w:pStyle w:val="30"/>
              <w:widowControl w:val="0"/>
              <w:spacing w:before="0" w:beforeAutospacing="0" w:after="0" w:afterAutospacing="0"/>
              <w:jc w:val="left"/>
              <w:rPr>
                <w:rFonts w:ascii="宋体" w:hAnsi="宋体" w:eastAsia="宋体"/>
                <w:b w:val="0"/>
                <w:bCs w:val="0"/>
                <w:color w:val="auto"/>
                <w:sz w:val="24"/>
                <w:highlight w:val="none"/>
              </w:rPr>
            </w:pPr>
            <w:r>
              <w:rPr>
                <w:rFonts w:hint="eastAsia" w:ascii="宋体" w:hAnsi="宋体" w:eastAsia="宋体"/>
                <w:b w:val="0"/>
                <w:bCs w:val="0"/>
                <w:color w:val="auto"/>
                <w:sz w:val="24"/>
                <w:highlight w:val="none"/>
              </w:rPr>
              <w:t>是否允许采购进口产品</w:t>
            </w:r>
          </w:p>
        </w:tc>
        <w:tc>
          <w:tcPr>
            <w:tcW w:w="5853" w:type="dxa"/>
            <w:vAlign w:val="center"/>
          </w:tcPr>
          <w:p>
            <w:pPr>
              <w:pStyle w:val="30"/>
              <w:widowControl w:val="0"/>
              <w:spacing w:before="0" w:beforeAutospacing="0" w:after="0" w:afterAutospacing="0"/>
              <w:jc w:val="both"/>
              <w:rPr>
                <w:rFonts w:ascii="宋体" w:hAnsi="宋体" w:eastAsia="宋体"/>
                <w:b w:val="0"/>
                <w:bCs w:val="0"/>
                <w:color w:val="auto"/>
                <w:sz w:val="24"/>
                <w:highlight w:val="none"/>
              </w:rPr>
            </w:pPr>
            <w:r>
              <w:rPr>
                <w:rFonts w:hint="eastAsia" w:ascii="宋体" w:hAnsi="宋体" w:eastAsia="宋体"/>
                <w:b w:val="0"/>
                <w:color w:val="auto"/>
                <w:sz w:val="24"/>
                <w:highlight w:val="none"/>
                <w:u w:val="singl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.4.</w:t>
            </w:r>
            <w:r>
              <w:rPr>
                <w:rFonts w:hint="eastAsia" w:ascii="宋体" w:hAnsi="宋体" w:eastAsia="宋体"/>
                <w:bCs/>
                <w:color w:val="auto"/>
                <w:kern w:val="2"/>
                <w:highlight w:val="none"/>
              </w:rPr>
              <w:t>5</w:t>
            </w:r>
          </w:p>
        </w:tc>
        <w:tc>
          <w:tcPr>
            <w:tcW w:w="2032" w:type="dxa"/>
            <w:vAlign w:val="center"/>
          </w:tcPr>
          <w:p>
            <w:pPr>
              <w:pStyle w:val="30"/>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是否为专门面向中小企业采购</w:t>
            </w:r>
          </w:p>
        </w:tc>
        <w:tc>
          <w:tcPr>
            <w:tcW w:w="5853" w:type="dxa"/>
            <w:vAlign w:val="center"/>
          </w:tcPr>
          <w:p>
            <w:pPr>
              <w:pStyle w:val="30"/>
              <w:widowControl w:val="0"/>
              <w:spacing w:before="0" w:beforeAutospacing="0" w:after="0" w:afterAutospacing="0"/>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 xml:space="preserve">□是  </w:t>
            </w:r>
            <w:r>
              <w:rPr>
                <w:rFonts w:hint="eastAsia" w:ascii="宋体" w:hAnsi="宋体" w:eastAsia="宋体"/>
                <w:b w:val="0"/>
                <w:color w:val="auto"/>
                <w:sz w:val="24"/>
                <w:highlight w:val="none"/>
              </w:rPr>
              <w:sym w:font="Wingdings 2" w:char="0052"/>
            </w:r>
            <w:r>
              <w:rPr>
                <w:rFonts w:hint="eastAsia" w:ascii="宋体" w:hAnsi="宋体" w:eastAsia="宋体"/>
                <w:b w:val="0"/>
                <w:color w:val="auto"/>
                <w:sz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.3</w:t>
            </w:r>
          </w:p>
        </w:tc>
        <w:tc>
          <w:tcPr>
            <w:tcW w:w="2032" w:type="dxa"/>
            <w:vAlign w:val="center"/>
          </w:tcPr>
          <w:p>
            <w:pPr>
              <w:pStyle w:val="30"/>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w:t>
            </w:r>
          </w:p>
        </w:tc>
        <w:tc>
          <w:tcPr>
            <w:tcW w:w="5853" w:type="dxa"/>
            <w:vAlign w:val="center"/>
          </w:tcPr>
          <w:p>
            <w:pPr>
              <w:spacing w:line="500" w:lineRule="exact"/>
              <w:rPr>
                <w:rFonts w:ascii="宋体" w:hAnsi="宋体" w:eastAsia="宋体"/>
                <w:bCs/>
                <w:color w:val="auto"/>
                <w:sz w:val="24"/>
                <w:highlight w:val="none"/>
              </w:rPr>
            </w:pPr>
            <w:r>
              <w:rPr>
                <w:rFonts w:ascii="宋体" w:hAnsi="宋体" w:eastAsia="宋体"/>
                <w:bCs/>
                <w:color w:val="auto"/>
                <w:sz w:val="24"/>
                <w:szCs w:val="24"/>
                <w:highlight w:val="none"/>
              </w:rPr>
              <w:sym w:font="Wingdings 2" w:char="0052"/>
            </w:r>
            <w:r>
              <w:rPr>
                <w:rFonts w:hint="eastAsia" w:ascii="宋体" w:hAnsi="宋体" w:eastAsia="宋体"/>
                <w:color w:val="auto"/>
                <w:sz w:val="24"/>
                <w:highlight w:val="none"/>
              </w:rPr>
              <w:t>不组织，投标人</w:t>
            </w:r>
            <w:r>
              <w:rPr>
                <w:rFonts w:hint="eastAsia" w:ascii="宋体" w:hAnsi="宋体" w:eastAsia="宋体"/>
                <w:bCs/>
                <w:color w:val="auto"/>
                <w:sz w:val="24"/>
                <w:highlight w:val="none"/>
              </w:rPr>
              <w:t>自行考察</w:t>
            </w:r>
          </w:p>
          <w:p>
            <w:pPr>
              <w:spacing w:line="500" w:lineRule="exact"/>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pPr>
              <w:spacing w:line="500" w:lineRule="exact"/>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pPr>
              <w:spacing w:line="500" w:lineRule="exact"/>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pPr>
              <w:spacing w:line="500" w:lineRule="exact"/>
              <w:rPr>
                <w:rFonts w:ascii="宋体" w:hAnsi="宋体" w:eastAsia="宋体"/>
                <w:bCs/>
                <w:color w:val="auto"/>
                <w:sz w:val="24"/>
                <w:highlight w:val="none"/>
                <w:u w:val="single"/>
              </w:rPr>
            </w:pPr>
            <w:r>
              <w:rPr>
                <w:rFonts w:hint="eastAsia" w:ascii="宋体" w:hAnsi="宋体" w:eastAsia="宋体"/>
                <w:bCs/>
                <w:color w:val="auto"/>
                <w:sz w:val="24"/>
                <w:highlight w:val="none"/>
              </w:rPr>
              <w:t>现场考察联系人及联系电话：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备注：如投标人未参加采购人统一组织的现场考察，视同放弃现场考察，由此引起的一切责任由投标人自行承担。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8</w:t>
            </w:r>
            <w:r>
              <w:rPr>
                <w:rFonts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853" w:type="dxa"/>
            <w:vAlign w:val="center"/>
          </w:tcPr>
          <w:p>
            <w:pPr>
              <w:pStyle w:val="30"/>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2023</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5</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30</w:t>
            </w:r>
            <w:r>
              <w:rPr>
                <w:rFonts w:ascii="宋体" w:hAnsi="宋体" w:eastAsia="宋体"/>
                <w:b w:val="0"/>
                <w:color w:val="auto"/>
                <w:sz w:val="24"/>
                <w:highlight w:val="none"/>
              </w:rPr>
              <w:t>日</w:t>
            </w:r>
            <w:r>
              <w:rPr>
                <w:rFonts w:hint="eastAsia" w:ascii="宋体" w:hAnsi="宋体" w:eastAsia="宋体"/>
                <w:b w:val="0"/>
                <w:color w:val="auto"/>
                <w:sz w:val="24"/>
                <w:highlight w:val="none"/>
                <w:u w:val="single"/>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rPr>
              <w:t>30</w:t>
            </w:r>
            <w:r>
              <w:rPr>
                <w:rFonts w:hint="eastAsia" w:ascii="宋体" w:hAnsi="宋体" w:eastAsia="宋体"/>
                <w:b w:val="0"/>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9</w:t>
            </w:r>
            <w:r>
              <w:rPr>
                <w:rFonts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sym w:font="Wingdings 2" w:char="0052"/>
            </w:r>
            <w:r>
              <w:rPr>
                <w:rFonts w:ascii="宋体" w:hAnsi="宋体" w:eastAsia="宋体"/>
                <w:b w:val="0"/>
                <w:color w:val="auto"/>
                <w:sz w:val="24"/>
                <w:highlight w:val="none"/>
              </w:rPr>
              <w:t xml:space="preserve">不分包     </w:t>
            </w:r>
            <w:r>
              <w:rPr>
                <w:rFonts w:ascii="宋体" w:hAnsi="宋体" w:eastAsia="宋体"/>
                <w:b w:val="0"/>
                <w:color w:val="auto"/>
                <w:sz w:val="24"/>
                <w:highlight w:val="none"/>
              </w:rPr>
              <w:sym w:font="Wingdings 2" w:char="00A3"/>
            </w:r>
            <w:r>
              <w:rPr>
                <w:rFonts w:ascii="宋体" w:hAnsi="宋体" w:eastAsia="宋体"/>
                <w:b w:val="0"/>
                <w:color w:val="auto"/>
                <w:sz w:val="24"/>
                <w:highlight w:val="none"/>
              </w:rPr>
              <w:t>分为</w:t>
            </w:r>
            <w:r>
              <w:rPr>
                <w:rFonts w:hint="eastAsia" w:ascii="宋体" w:hAnsi="宋体" w:eastAsia="宋体"/>
                <w:b w:val="0"/>
                <w:color w:val="auto"/>
                <w:sz w:val="24"/>
                <w:highlight w:val="none"/>
              </w:rPr>
              <w:t>/</w:t>
            </w:r>
            <w:r>
              <w:rPr>
                <w:rFonts w:ascii="宋体" w:hAnsi="宋体" w:eastAsia="宋体"/>
                <w:b w:val="0"/>
                <w:color w:val="auto"/>
                <w:sz w:val="24"/>
                <w:highlight w:val="none"/>
              </w:rPr>
              <w:t>个包</w:t>
            </w:r>
          </w:p>
          <w:p>
            <w:pPr>
              <w:pStyle w:val="30"/>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3.1</w:t>
            </w:r>
          </w:p>
        </w:tc>
        <w:tc>
          <w:tcPr>
            <w:tcW w:w="2032" w:type="dxa"/>
            <w:vAlign w:val="center"/>
          </w:tcPr>
          <w:p>
            <w:pPr>
              <w:pStyle w:val="30"/>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szCs w:val="24"/>
                <w:highlight w:val="none"/>
              </w:rPr>
              <w:sym w:font="Wingdings" w:char="F0FE"/>
            </w:r>
            <w:r>
              <w:rPr>
                <w:rFonts w:hint="eastAsia" w:ascii="宋体" w:hAnsi="宋体" w:eastAsia="宋体"/>
                <w:b w:val="0"/>
                <w:color w:val="auto"/>
                <w:sz w:val="24"/>
                <w:highlight w:val="none"/>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4.1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120  </w:t>
            </w:r>
            <w:r>
              <w:rPr>
                <w:rFonts w:hint="eastAsia" w:ascii="宋体" w:hAnsi="宋体" w:eastAsia="宋体"/>
                <w:b w:val="0"/>
                <w:color w:val="auto"/>
                <w:sz w:val="24"/>
                <w:highlight w:val="none"/>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5.1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投标文件要求</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加密电子投标文件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5.3</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开标现场提交的其他材料要求</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6.1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投标截止时间</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详见投标邀请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7.3</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投标截止时间后3</w:t>
            </w:r>
            <w:r>
              <w:rPr>
                <w:rFonts w:ascii="宋体" w:hAnsi="宋体" w:eastAsia="宋体"/>
                <w:b w:val="0"/>
                <w:color w:val="auto"/>
                <w:sz w:val="24"/>
                <w:highlight w:val="none"/>
                <w:u w:val="single"/>
              </w:rPr>
              <w:t>0</w:t>
            </w:r>
            <w:r>
              <w:rPr>
                <w:rFonts w:hint="eastAsia" w:ascii="宋体" w:hAnsi="宋体" w:eastAsia="宋体"/>
                <w:b w:val="0"/>
                <w:color w:val="auto"/>
                <w:sz w:val="24"/>
                <w:highlight w:val="none"/>
                <w:u w:val="single"/>
              </w:rPr>
              <w:t>分钟内（以电子交易系统解密倒计时为准）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Merge w:val="restart"/>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8.1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开标时间</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详见投标邀请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Merge w:val="continue"/>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开标地点</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详见投标邀请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19.1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采购人审查或采购人出具委托函委托采购代理机构进行审查。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ascii="宋体" w:hAnsi="宋体" w:eastAsia="宋体"/>
                <w:bCs/>
                <w:color w:val="auto"/>
                <w:kern w:val="2"/>
                <w:highlight w:val="none"/>
              </w:rPr>
              <w:t>0.3</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核心产品</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ascii="宋体" w:hAnsi="宋体" w:eastAsia="宋体"/>
                <w:bCs/>
                <w:color w:val="auto"/>
                <w:kern w:val="2"/>
                <w:highlight w:val="none"/>
              </w:rPr>
              <w:t>2.2</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single"/>
              </w:rPr>
              <w:t>最低评标价法</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sym w:font="Wingdings 2" w:char="0052"/>
            </w:r>
            <w:r>
              <w:rPr>
                <w:rFonts w:hint="eastAsia" w:ascii="宋体" w:hAnsi="宋体" w:eastAsia="宋体"/>
                <w:b w:val="0"/>
                <w:color w:val="auto"/>
                <w:sz w:val="24"/>
                <w:highlight w:val="none"/>
                <w:u w:val="singl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ascii="宋体" w:hAnsi="宋体" w:eastAsia="宋体"/>
                <w:bCs/>
                <w:color w:val="auto"/>
                <w:kern w:val="2"/>
                <w:highlight w:val="none"/>
              </w:rPr>
              <w:t>2.3</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10</w:t>
            </w:r>
            <w:r>
              <w:rPr>
                <w:rFonts w:ascii="宋体" w:hAnsi="宋体" w:eastAsia="宋体"/>
                <w:b w:val="0"/>
                <w:color w:val="auto"/>
                <w:sz w:val="24"/>
                <w:highlight w:val="none"/>
              </w:rPr>
              <w:t>%</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w:t>
            </w:r>
            <w:r>
              <w:rPr>
                <w:rFonts w:ascii="宋体" w:hAnsi="宋体" w:eastAsia="宋体"/>
                <w:b w:val="0"/>
                <w:color w:val="auto"/>
                <w:sz w:val="24"/>
                <w:highlight w:val="none"/>
              </w:rPr>
              <w:t>%</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w:t>
            </w:r>
            <w:r>
              <w:rPr>
                <w:rFonts w:ascii="宋体" w:hAnsi="宋体" w:eastAsia="宋体"/>
                <w:b w:val="0"/>
                <w:color w:val="auto"/>
                <w:sz w:val="24"/>
                <w:highlight w:val="none"/>
              </w:rPr>
              <w:t>%</w:t>
            </w:r>
            <w:r>
              <w:rPr>
                <w:rFonts w:hint="eastAsia" w:ascii="宋体" w:hAnsi="宋体" w:eastAsia="宋体"/>
                <w:b w:val="0"/>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color w:val="auto"/>
                <w:sz w:val="24"/>
                <w:highlight w:val="none"/>
                <w:u w:val="single"/>
              </w:rPr>
              <w:t>1-3家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853" w:type="dxa"/>
            <w:vAlign w:val="center"/>
          </w:tcPr>
          <w:p>
            <w:pPr>
              <w:pStyle w:val="30"/>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Theme="minorEastAsia" w:hAnsiTheme="minorEastAsia"/>
                <w:b w:val="0"/>
                <w:color w:val="auto"/>
                <w:sz w:val="24"/>
                <w:szCs w:val="24"/>
                <w:highlight w:val="none"/>
              </w:rPr>
              <w:sym w:font="Wingdings" w:char="F0FE"/>
            </w:r>
            <w:r>
              <w:rPr>
                <w:rFonts w:hint="eastAsia" w:ascii="宋体" w:hAnsi="宋体" w:eastAsia="宋体"/>
                <w:b w:val="0"/>
                <w:bCs w:val="0"/>
                <w:color w:val="auto"/>
                <w:sz w:val="24"/>
                <w:szCs w:val="24"/>
                <w:highlight w:val="none"/>
              </w:rPr>
              <w:t>采购人委托评标委员会确定</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8</w:t>
            </w:r>
            <w:r>
              <w:rPr>
                <w:rFonts w:ascii="宋体" w:hAnsi="宋体" w:eastAsia="宋体"/>
                <w:bCs/>
                <w:color w:val="auto"/>
                <w:kern w:val="2"/>
                <w:highlight w:val="none"/>
              </w:rPr>
              <w:t>.3</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随中标结果公告同时公告的中标人的投标文件内容</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（1）</w:t>
            </w:r>
            <w:r>
              <w:rPr>
                <w:rFonts w:hint="eastAsia" w:ascii="宋体" w:hAnsi="宋体" w:eastAsia="宋体"/>
                <w:b w:val="0"/>
                <w:color w:val="auto"/>
                <w:sz w:val="24"/>
                <w:highlight w:val="none"/>
                <w:u w:val="single"/>
              </w:rPr>
              <w:t>无重大违法记录声明函、无不良信用记录声明函</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hint="eastAsia" w:ascii="宋体" w:hAnsi="宋体" w:eastAsia="宋体"/>
                <w:b w:val="0"/>
                <w:color w:val="auto"/>
                <w:sz w:val="24"/>
                <w:highlight w:val="none"/>
                <w:u w:val="single"/>
              </w:rPr>
              <w:t>主要中标标的承诺函</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（3）</w:t>
            </w:r>
            <w:r>
              <w:rPr>
                <w:rFonts w:hint="eastAsia" w:ascii="宋体" w:hAnsi="宋体" w:eastAsia="宋体"/>
                <w:b w:val="0"/>
                <w:color w:val="auto"/>
                <w:sz w:val="24"/>
                <w:highlight w:val="none"/>
                <w:u w:val="single"/>
              </w:rPr>
              <w:t>投标业绩承诺函</w:t>
            </w:r>
            <w:r>
              <w:rPr>
                <w:rFonts w:hint="eastAsia" w:ascii="宋体" w:hAnsi="宋体" w:eastAsia="宋体"/>
                <w:b w:val="0"/>
                <w:color w:val="auto"/>
                <w:sz w:val="24"/>
                <w:highlight w:val="none"/>
              </w:rPr>
              <w:t>；</w:t>
            </w:r>
            <w:r>
              <w:rPr>
                <w:rFonts w:hint="eastAsia" w:ascii="宋体" w:hAnsi="宋体" w:eastAsia="宋体"/>
                <w:b w:val="0"/>
                <w:i/>
                <w:color w:val="auto"/>
                <w:sz w:val="24"/>
                <w:szCs w:val="20"/>
                <w:highlight w:val="none"/>
              </w:rPr>
              <w:t>（如有）</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w:t>
            </w:r>
            <w:r>
              <w:rPr>
                <w:rFonts w:hint="eastAsia" w:ascii="宋体" w:hAnsi="宋体" w:eastAsia="宋体"/>
                <w:b w:val="0"/>
                <w:color w:val="auto"/>
                <w:sz w:val="24"/>
                <w:highlight w:val="none"/>
                <w:u w:val="single"/>
              </w:rPr>
              <w:t>中小企业声明函</w:t>
            </w:r>
            <w:r>
              <w:rPr>
                <w:rFonts w:hint="eastAsia" w:ascii="宋体" w:hAnsi="宋体" w:eastAsia="宋体"/>
                <w:b w:val="0"/>
                <w:color w:val="auto"/>
                <w:sz w:val="24"/>
                <w:highlight w:val="none"/>
              </w:rPr>
              <w:t>；</w:t>
            </w:r>
            <w:r>
              <w:rPr>
                <w:rFonts w:hint="eastAsia" w:ascii="宋体" w:hAnsi="宋体" w:eastAsia="宋体"/>
                <w:b w:val="0"/>
                <w:i/>
                <w:iCs/>
                <w:color w:val="auto"/>
                <w:sz w:val="24"/>
                <w:highlight w:val="none"/>
              </w:rPr>
              <w:t>（如有）</w:t>
            </w:r>
          </w:p>
          <w:p>
            <w:pPr>
              <w:pStyle w:val="30"/>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（5）</w:t>
            </w:r>
            <w:r>
              <w:rPr>
                <w:rFonts w:hint="eastAsia" w:ascii="宋体" w:hAnsi="宋体" w:eastAsia="宋体"/>
                <w:b w:val="0"/>
                <w:color w:val="auto"/>
                <w:sz w:val="24"/>
                <w:highlight w:val="none"/>
                <w:u w:val="single"/>
              </w:rPr>
              <w:t>残疾人福利性单位声明函</w:t>
            </w:r>
            <w:r>
              <w:rPr>
                <w:rFonts w:hint="eastAsia" w:ascii="宋体" w:hAnsi="宋体" w:eastAsia="宋体"/>
                <w:b w:val="0"/>
                <w:color w:val="auto"/>
                <w:sz w:val="24"/>
                <w:highlight w:val="none"/>
              </w:rPr>
              <w:t>；</w:t>
            </w:r>
            <w:r>
              <w:rPr>
                <w:rFonts w:hint="eastAsia" w:ascii="宋体" w:hAnsi="宋体" w:eastAsia="宋体"/>
                <w:b w:val="0"/>
                <w:i/>
                <w:iCs/>
                <w:color w:val="auto"/>
                <w:sz w:val="24"/>
                <w:highlight w:val="none"/>
              </w:rPr>
              <w:t>（如有）</w:t>
            </w:r>
          </w:p>
          <w:p>
            <w:pPr>
              <w:pStyle w:val="30"/>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（6）</w:t>
            </w:r>
            <w:r>
              <w:rPr>
                <w:rFonts w:hint="eastAsia" w:ascii="宋体" w:hAnsi="宋体" w:eastAsia="宋体"/>
                <w:b w:val="0"/>
                <w:color w:val="auto"/>
                <w:sz w:val="24"/>
                <w:highlight w:val="none"/>
                <w:u w:val="single"/>
              </w:rPr>
              <w:t>招标文件中规定进行公示的其他内容</w:t>
            </w:r>
            <w:r>
              <w:rPr>
                <w:rFonts w:hint="eastAsia" w:ascii="宋体" w:hAnsi="宋体" w:eastAsia="宋体"/>
                <w:b w:val="0"/>
                <w:color w:val="auto"/>
                <w:sz w:val="24"/>
                <w:highlight w:val="none"/>
              </w:rPr>
              <w:t>。</w:t>
            </w:r>
            <w:r>
              <w:rPr>
                <w:rFonts w:hint="eastAsia" w:ascii="宋体" w:hAnsi="宋体" w:eastAsia="宋体"/>
                <w:b w:val="0"/>
                <w:i/>
                <w:iCs/>
                <w:color w:val="auto"/>
                <w:sz w:val="24"/>
                <w:highlight w:val="none"/>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29</w:t>
            </w:r>
            <w:r>
              <w:rPr>
                <w:rFonts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 xml:space="preserve">□书面 </w:t>
            </w:r>
            <w:r>
              <w:rPr>
                <w:rFonts w:ascii="宋体" w:hAnsi="宋体" w:eastAsia="宋体"/>
                <w:b w:val="0"/>
                <w:color w:val="auto"/>
                <w:sz w:val="24"/>
                <w:szCs w:val="24"/>
                <w:highlight w:val="none"/>
              </w:rPr>
              <w:t xml:space="preserve">    </w:t>
            </w:r>
            <w:r>
              <w:rPr>
                <w:rFonts w:hint="eastAsia" w:ascii="宋体" w:hAnsi="宋体" w:eastAsia="宋体"/>
                <w:b w:val="0"/>
                <w:color w:val="auto"/>
                <w:sz w:val="24"/>
                <w:szCs w:val="24"/>
                <w:highlight w:val="none"/>
              </w:rPr>
              <w:sym w:font="Wingdings" w:char="F0FE"/>
            </w:r>
            <w:r>
              <w:rPr>
                <w:rFonts w:hint="eastAsia" w:ascii="宋体" w:hAnsi="宋体" w:eastAsia="宋体"/>
                <w:b w:val="0"/>
                <w:color w:val="auto"/>
                <w:sz w:val="24"/>
                <w:szCs w:val="24"/>
                <w:highlight w:val="none"/>
              </w:rPr>
              <w:t>数据电文</w:t>
            </w:r>
          </w:p>
          <w:p>
            <w:pPr>
              <w:pStyle w:val="30"/>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特别提醒：本项目发布中标结果公告的同时，通过电子交易系统向中标人发出中标通知书。中标通知书发出视为已送达，投标人应主动登录电子交易系统查询，采购代理机构不承担投标人未及时关注相关信息引发的相关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30</w:t>
            </w:r>
            <w:r>
              <w:rPr>
                <w:rFonts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853" w:type="dxa"/>
            <w:vAlign w:val="center"/>
          </w:tcPr>
          <w:p>
            <w:pPr>
              <w:pStyle w:val="30"/>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Theme="minorEastAsia" w:hAnsiTheme="minorEastAsia"/>
                <w:b w:val="0"/>
                <w:color w:val="auto"/>
                <w:sz w:val="24"/>
                <w:szCs w:val="24"/>
                <w:highlight w:val="none"/>
              </w:rPr>
              <w:sym w:font="Wingdings" w:char="F0FE"/>
            </w:r>
            <w:r>
              <w:rPr>
                <w:rFonts w:hint="eastAsia" w:ascii="宋体" w:hAnsi="宋体" w:eastAsia="宋体"/>
                <w:b w:val="0"/>
                <w:bCs w:val="0"/>
                <w:color w:val="auto"/>
                <w:sz w:val="24"/>
                <w:szCs w:val="24"/>
                <w:highlight w:val="none"/>
              </w:rPr>
              <w:t>投标人自行登录电子服务系统查看</w:t>
            </w:r>
          </w:p>
          <w:p>
            <w:pPr>
              <w:pStyle w:val="30"/>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rPr>
              <w:t>□评标现场告知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3</w:t>
            </w:r>
            <w:r>
              <w:rPr>
                <w:rFonts w:hint="eastAsia" w:ascii="宋体" w:hAnsi="宋体" w:eastAsia="宋体"/>
                <w:bCs/>
                <w:color w:val="auto"/>
                <w:kern w:val="2"/>
                <w:highlight w:val="none"/>
              </w:rPr>
              <w:t>1</w:t>
            </w:r>
            <w:r>
              <w:rPr>
                <w:rFonts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853" w:type="dxa"/>
          </w:tcPr>
          <w:p>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sym w:font="Wingdings 2" w:char="0052"/>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0</w:t>
            </w:r>
            <w:r>
              <w:rPr>
                <w:rFonts w:hint="eastAsia" w:ascii="宋体" w:hAnsi="宋体" w:eastAsia="宋体"/>
                <w:bCs/>
                <w:color w:val="auto"/>
                <w:kern w:val="0"/>
                <w:sz w:val="24"/>
                <w:szCs w:val="28"/>
                <w:highlight w:val="none"/>
                <w:u w:val="single"/>
              </w:rPr>
              <w:t>.5</w:t>
            </w:r>
            <w:r>
              <w:rPr>
                <w:rFonts w:ascii="宋体" w:hAnsi="宋体" w:eastAsia="宋体"/>
                <w:bCs/>
                <w:color w:val="auto"/>
                <w:kern w:val="0"/>
                <w:sz w:val="24"/>
                <w:szCs w:val="28"/>
                <w:highlight w:val="none"/>
              </w:rPr>
              <w:t>%</w:t>
            </w:r>
          </w:p>
          <w:p>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F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F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F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F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F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F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采购人</w:t>
            </w:r>
          </w:p>
          <w:p>
            <w:pPr>
              <w:spacing w:line="360" w:lineRule="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户名：安徽大学</w:t>
            </w:r>
          </w:p>
          <w:p>
            <w:pPr>
              <w:spacing w:line="360" w:lineRule="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帐号：12181001040006875</w:t>
            </w:r>
          </w:p>
          <w:p>
            <w:pPr>
              <w:spacing w:line="360" w:lineRule="auto"/>
              <w:rPr>
                <w:rFonts w:ascii="宋体" w:hAnsi="宋体" w:eastAsia="宋体"/>
                <w:bCs/>
                <w:color w:val="auto"/>
                <w:kern w:val="0"/>
                <w:sz w:val="24"/>
                <w:szCs w:val="28"/>
                <w:highlight w:val="none"/>
                <w:u w:val="single"/>
              </w:rPr>
            </w:pPr>
            <w:r>
              <w:rPr>
                <w:rFonts w:ascii="Times New Roman" w:hAnsi="Times New Roman" w:eastAsia="宋体" w:cs="Times New Roman"/>
                <w:color w:val="auto"/>
                <w:sz w:val="24"/>
                <w:szCs w:val="24"/>
                <w:highlight w:val="none"/>
              </w:rPr>
              <w:t>开户行：中国农业银行合肥金寨路支行</w:t>
            </w:r>
          </w:p>
          <w:p>
            <w:pPr>
              <w:spacing w:line="360" w:lineRule="auto"/>
              <w:rPr>
                <w:rFonts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（4）缴纳时间：</w:t>
            </w:r>
            <w:r>
              <w:rPr>
                <w:rFonts w:hint="eastAsia" w:ascii="宋体" w:hAnsi="宋体" w:eastAsia="宋体"/>
                <w:bCs/>
                <w:color w:val="auto"/>
                <w:kern w:val="0"/>
                <w:sz w:val="24"/>
                <w:szCs w:val="28"/>
                <w:highlight w:val="none"/>
                <w:u w:val="single"/>
              </w:rPr>
              <w:t xml:space="preserve">合同签订前 </w:t>
            </w:r>
          </w:p>
          <w:p>
            <w:pPr>
              <w:spacing w:line="360" w:lineRule="auto"/>
              <w:rPr>
                <w:rFonts w:ascii="宋体" w:hAnsi="宋体" w:eastAsia="宋体"/>
                <w:color w:val="auto"/>
                <w:sz w:val="24"/>
                <w:highlight w:val="none"/>
              </w:rPr>
            </w:pPr>
            <w:r>
              <w:rPr>
                <w:rFonts w:hint="eastAsia" w:ascii="宋体" w:hAnsi="宋体" w:eastAsia="宋体"/>
                <w:color w:val="auto"/>
                <w:sz w:val="24"/>
                <w:highlight w:val="none"/>
              </w:rPr>
              <w:t>（5）退还时间：验收合格后</w:t>
            </w:r>
            <w:r>
              <w:rPr>
                <w:rFonts w:hint="eastAsia" w:ascii="宋体" w:hAnsi="宋体" w:eastAsia="宋体"/>
                <w:color w:val="auto"/>
                <w:sz w:val="24"/>
                <w:highlight w:val="none"/>
                <w:u w:val="single"/>
              </w:rPr>
              <w:t>一次性退还</w:t>
            </w:r>
          </w:p>
          <w:p>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pPr>
              <w:spacing w:line="360" w:lineRule="auto"/>
              <w:rPr>
                <w:rFonts w:ascii="宋体" w:hAnsi="宋体" w:eastAsia="宋体"/>
                <w:b/>
                <w:bCs/>
                <w:color w:val="auto"/>
                <w:sz w:val="24"/>
                <w:szCs w:val="24"/>
                <w:highlight w:val="none"/>
              </w:rPr>
            </w:pPr>
            <w:r>
              <w:rPr>
                <w:rFonts w:hint="eastAsia" w:ascii="宋体" w:hAnsi="宋体" w:eastAsia="宋体"/>
                <w:b/>
                <w:bCs/>
                <w:color w:val="auto"/>
                <w:kern w:val="0"/>
                <w:sz w:val="24"/>
                <w:szCs w:val="24"/>
                <w:highlight w:val="none"/>
              </w:rPr>
              <w:t>（1）</w:t>
            </w:r>
            <w:r>
              <w:rPr>
                <w:rFonts w:hint="eastAsia" w:ascii="宋体" w:hAnsi="宋体" w:eastAsia="宋体"/>
                <w:b/>
                <w:bCs/>
                <w:color w:val="auto"/>
                <w:sz w:val="24"/>
                <w:szCs w:val="24"/>
                <w:highlight w:val="none"/>
              </w:rPr>
              <w:t>以担保函、保证保险形式缴纳履约保证金的，受益人和收取单位须为采购人。</w:t>
            </w:r>
          </w:p>
          <w:p>
            <w:pPr>
              <w:pStyle w:val="30"/>
              <w:widowControl w:val="0"/>
              <w:spacing w:before="0" w:beforeAutospacing="0" w:after="0" w:afterAutospacing="0" w:line="360" w:lineRule="auto"/>
              <w:jc w:val="both"/>
              <w:rPr>
                <w:rFonts w:ascii="宋体" w:hAnsi="宋体" w:eastAsia="宋体"/>
                <w:color w:val="auto"/>
                <w:sz w:val="24"/>
                <w:szCs w:val="24"/>
                <w:highlight w:val="none"/>
              </w:rPr>
            </w:pPr>
            <w:r>
              <w:rPr>
                <w:rFonts w:hint="eastAsia" w:ascii="宋体" w:hAnsi="宋体" w:eastAsia="宋体"/>
                <w:color w:val="auto"/>
                <w:sz w:val="24"/>
                <w:szCs w:val="24"/>
                <w:highlight w:val="none"/>
              </w:rPr>
              <w:t>（2）如采用银行保函，银行保函应为合肥行政区域（含四县一市）具有分支机构的银行（或该银行国内任一分行或支行）出具的见索即付无条件银行保函。例如：某银行在合肥行政区域有分支机构，则该银行总行（或该银行国内任一分行或支行）出具的满足招标文件要求的银行保函均予以认可。</w:t>
            </w:r>
          </w:p>
          <w:p>
            <w:pPr>
              <w:pStyle w:val="30"/>
              <w:widowControl w:val="0"/>
              <w:spacing w:before="0" w:beforeAutospacing="0" w:after="0" w:afterAutospacing="0" w:line="360" w:lineRule="auto"/>
              <w:jc w:val="both"/>
              <w:rPr>
                <w:rFonts w:ascii="宋体" w:hAnsi="宋体" w:eastAsia="宋体"/>
                <w:color w:val="auto"/>
                <w:sz w:val="24"/>
                <w:szCs w:val="24"/>
                <w:highlight w:val="none"/>
              </w:rPr>
            </w:pPr>
            <w:r>
              <w:rPr>
                <w:rFonts w:hint="eastAsia" w:ascii="宋体" w:hAnsi="宋体" w:eastAsia="宋体"/>
                <w:color w:val="auto"/>
                <w:sz w:val="24"/>
                <w:szCs w:val="24"/>
                <w:highlight w:val="none"/>
              </w:rPr>
              <w:t>（3）如采用担保机构出具的保函（担保机构担保），应为经安徽省地方金融监督管理局审查批准，依法取得融资担保业务经营许可证的融资担保机构出具的无条件保函。</w:t>
            </w:r>
          </w:p>
          <w:p>
            <w:pPr>
              <w:pStyle w:val="30"/>
              <w:widowControl w:val="0"/>
              <w:spacing w:before="0" w:beforeAutospacing="0" w:after="0" w:afterAutospacing="0" w:line="360" w:lineRule="auto"/>
              <w:jc w:val="both"/>
              <w:rPr>
                <w:rFonts w:ascii="宋体" w:hAnsi="宋体" w:eastAsia="宋体"/>
                <w:color w:val="auto"/>
                <w:sz w:val="24"/>
                <w:szCs w:val="24"/>
                <w:highlight w:val="none"/>
              </w:rPr>
            </w:pPr>
            <w:r>
              <w:rPr>
                <w:rFonts w:hint="eastAsia" w:ascii="宋体" w:hAnsi="宋体" w:eastAsia="宋体"/>
                <w:color w:val="auto"/>
                <w:sz w:val="24"/>
                <w:szCs w:val="24"/>
                <w:highlight w:val="none"/>
              </w:rPr>
              <w:t>（4）以上各类机构出具的以担保函、保证保险承担责任的方式均须满足无条件见索即付条件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33</w:t>
            </w:r>
            <w:r>
              <w:rPr>
                <w:rFonts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中标服务费</w:t>
            </w:r>
          </w:p>
        </w:tc>
        <w:tc>
          <w:tcPr>
            <w:tcW w:w="5853" w:type="dxa"/>
            <w:vAlign w:val="center"/>
          </w:tcPr>
          <w:p>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pPr>
              <w:spacing w:line="360" w:lineRule="auto"/>
              <w:rPr>
                <w:rFonts w:ascii="宋体" w:hAnsi="宋体" w:eastAsia="宋体"/>
                <w:bCs/>
                <w:color w:val="auto"/>
                <w:kern w:val="0"/>
                <w:sz w:val="24"/>
                <w:szCs w:val="28"/>
                <w:highlight w:val="none"/>
                <w:u w:val="singl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pPr>
              <w:spacing w:line="360" w:lineRule="auto"/>
              <w:rPr>
                <w:rFonts w:ascii="宋体" w:hAnsi="宋体" w:eastAsia="宋体"/>
                <w:bCs/>
                <w:i/>
                <w:color w:val="auto"/>
                <w:kern w:val="0"/>
                <w:sz w:val="24"/>
                <w:szCs w:val="28"/>
                <w:highlight w:val="none"/>
                <w:u w:val="single"/>
              </w:rPr>
            </w:pPr>
            <w:r>
              <w:rPr>
                <w:rFonts w:ascii="宋体" w:hAnsi="宋体" w:eastAsia="宋体"/>
                <w:bCs/>
                <w:color w:val="auto"/>
                <w:kern w:val="0"/>
                <w:sz w:val="24"/>
                <w:szCs w:val="28"/>
                <w:highlight w:val="none"/>
              </w:rPr>
              <w:sym w:font="Wingdings 2" w:char="0052"/>
            </w:r>
            <w:r>
              <w:rPr>
                <w:rFonts w:hint="eastAsia" w:ascii="宋体" w:hAnsi="宋体" w:eastAsia="宋体"/>
                <w:bCs/>
                <w:color w:val="auto"/>
                <w:kern w:val="0"/>
                <w:sz w:val="24"/>
                <w:szCs w:val="28"/>
                <w:highlight w:val="none"/>
              </w:rPr>
              <w:t>按下列标准收取：中标服务费的收取采用差额定率累进计费方式，具体收费标准为下表的</w:t>
            </w:r>
            <w:r>
              <w:rPr>
                <w:rFonts w:hint="eastAsia" w:ascii="宋体" w:hAnsi="宋体" w:eastAsia="宋体"/>
                <w:bCs/>
                <w:color w:val="auto"/>
                <w:kern w:val="0"/>
                <w:sz w:val="24"/>
                <w:szCs w:val="28"/>
                <w:highlight w:val="none"/>
                <w:u w:val="single"/>
              </w:rPr>
              <w:t>70%</w:t>
            </w:r>
            <w:r>
              <w:rPr>
                <w:rFonts w:hint="eastAsia" w:ascii="宋体" w:hAnsi="宋体" w:eastAsia="宋体"/>
                <w:bCs/>
                <w:color w:val="auto"/>
                <w:kern w:val="0"/>
                <w:sz w:val="24"/>
                <w:szCs w:val="28"/>
                <w:highlight w:val="none"/>
              </w:rPr>
              <w:t>，</w:t>
            </w:r>
            <w:r>
              <w:rPr>
                <w:rFonts w:hint="eastAsia" w:asciiTheme="minorEastAsia" w:hAnsiTheme="minorEastAsia" w:eastAsiaTheme="minorEastAsia"/>
                <w:b/>
                <w:color w:val="auto"/>
                <w:kern w:val="0"/>
                <w:sz w:val="24"/>
                <w:szCs w:val="28"/>
                <w:highlight w:val="none"/>
              </w:rPr>
              <w:t>如按规则计算的中标服务费超过</w:t>
            </w:r>
            <w:r>
              <w:rPr>
                <w:rFonts w:hint="eastAsia" w:asciiTheme="minorEastAsia" w:hAnsiTheme="minorEastAsia" w:eastAsiaTheme="minorEastAsia"/>
                <w:b/>
                <w:color w:val="auto"/>
                <w:kern w:val="0"/>
                <w:sz w:val="24"/>
                <w:szCs w:val="28"/>
                <w:highlight w:val="none"/>
                <w:u w:val="single"/>
              </w:rPr>
              <w:t>贰万元</w:t>
            </w:r>
            <w:r>
              <w:rPr>
                <w:rFonts w:hint="eastAsia" w:asciiTheme="minorEastAsia" w:hAnsiTheme="minorEastAsia" w:eastAsiaTheme="minorEastAsia"/>
                <w:b/>
                <w:color w:val="auto"/>
                <w:kern w:val="0"/>
                <w:sz w:val="24"/>
                <w:szCs w:val="28"/>
                <w:highlight w:val="none"/>
              </w:rPr>
              <w:t>的，按</w:t>
            </w:r>
            <w:r>
              <w:rPr>
                <w:rFonts w:hint="eastAsia" w:asciiTheme="minorEastAsia" w:hAnsiTheme="minorEastAsia" w:eastAsiaTheme="minorEastAsia"/>
                <w:b/>
                <w:color w:val="auto"/>
                <w:kern w:val="0"/>
                <w:sz w:val="24"/>
                <w:szCs w:val="28"/>
                <w:highlight w:val="none"/>
                <w:u w:val="single"/>
              </w:rPr>
              <w:t>贰万元</w:t>
            </w:r>
            <w:r>
              <w:rPr>
                <w:rFonts w:hint="eastAsia" w:asciiTheme="minorEastAsia" w:hAnsiTheme="minorEastAsia" w:eastAsiaTheme="minorEastAsia"/>
                <w:b/>
                <w:color w:val="auto"/>
                <w:kern w:val="0"/>
                <w:sz w:val="24"/>
                <w:szCs w:val="28"/>
                <w:highlight w:val="none"/>
              </w:rPr>
              <w:t>收取；不足</w:t>
            </w:r>
            <w:r>
              <w:rPr>
                <w:rFonts w:hint="eastAsia" w:asciiTheme="minorEastAsia" w:hAnsiTheme="minorEastAsia" w:eastAsiaTheme="minorEastAsia"/>
                <w:b/>
                <w:color w:val="auto"/>
                <w:kern w:val="0"/>
                <w:sz w:val="24"/>
                <w:szCs w:val="28"/>
                <w:highlight w:val="none"/>
                <w:u w:val="single"/>
              </w:rPr>
              <w:t>叁仟</w:t>
            </w:r>
            <w:r>
              <w:rPr>
                <w:rFonts w:hint="eastAsia" w:asciiTheme="minorEastAsia" w:hAnsiTheme="minorEastAsia" w:eastAsiaTheme="minorEastAsia"/>
                <w:b/>
                <w:color w:val="auto"/>
                <w:kern w:val="0"/>
                <w:sz w:val="24"/>
                <w:szCs w:val="28"/>
                <w:highlight w:val="none"/>
              </w:rPr>
              <w:t>元的，按</w:t>
            </w:r>
            <w:r>
              <w:rPr>
                <w:rFonts w:hint="eastAsia" w:asciiTheme="minorEastAsia" w:hAnsiTheme="minorEastAsia" w:eastAsiaTheme="minorEastAsia"/>
                <w:b/>
                <w:color w:val="auto"/>
                <w:kern w:val="0"/>
                <w:sz w:val="24"/>
                <w:szCs w:val="28"/>
                <w:highlight w:val="none"/>
                <w:u w:val="single"/>
              </w:rPr>
              <w:t>叁仟</w:t>
            </w:r>
            <w:r>
              <w:rPr>
                <w:rFonts w:hint="eastAsia" w:asciiTheme="minorEastAsia" w:hAnsiTheme="minorEastAsia" w:eastAsiaTheme="minorEastAsia"/>
                <w:b/>
                <w:color w:val="auto"/>
                <w:kern w:val="0"/>
                <w:sz w:val="24"/>
                <w:szCs w:val="28"/>
                <w:highlight w:val="none"/>
              </w:rPr>
              <w:t>元收取</w:t>
            </w:r>
          </w:p>
          <w:tbl>
            <w:tblPr>
              <w:tblStyle w:val="2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33"/>
              <w:gridCol w:w="1270"/>
              <w:gridCol w:w="1263"/>
              <w:gridCol w:w="13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中标金额</w:t>
                  </w:r>
                </w:p>
                <w:p>
                  <w:pPr>
                    <w:spacing w:line="360"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（万元）</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货物招标</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服务招标</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工程招标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以下</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1.2%</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1.2%</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100-500</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0.88%</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0.6%</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0.56%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w:t>
                  </w:r>
                  <w:r>
                    <w:rPr>
                      <w:rFonts w:hint="eastAsia" w:cs="宋体" w:asciiTheme="minorEastAsia" w:hAnsiTheme="minorEastAsia" w:eastAsiaTheme="minorEastAsia"/>
                      <w:color w:val="auto"/>
                      <w:sz w:val="24"/>
                      <w:szCs w:val="24"/>
                      <w:highlight w:val="none"/>
                    </w:rPr>
                    <w:t>0</w:t>
                  </w:r>
                  <w:r>
                    <w:rPr>
                      <w:rFonts w:cs="宋体" w:asciiTheme="minorEastAsia" w:hAnsiTheme="minorEastAsia" w:eastAsiaTheme="minorEastAsia"/>
                      <w:color w:val="auto"/>
                      <w:sz w:val="24"/>
                      <w:szCs w:val="24"/>
                      <w:highlight w:val="none"/>
                    </w:rPr>
                    <w:t>-1000</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0.6%</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0.36%</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0.44%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1000-5000</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0.4%</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0.2%</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0.28%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5000-10000</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0.2%</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0.08%</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0.16%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10000-100000</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0.04%</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0.04%</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100000</w:t>
                  </w:r>
                  <w:r>
                    <w:rPr>
                      <w:rFonts w:hint="eastAsia" w:cs="宋体" w:asciiTheme="minorEastAsia" w:hAnsiTheme="minorEastAsia" w:eastAsiaTheme="minorEastAsia"/>
                      <w:color w:val="auto"/>
                      <w:sz w:val="24"/>
                      <w:szCs w:val="24"/>
                      <w:highlight w:val="none"/>
                    </w:rPr>
                    <w:t>以上</w:t>
                  </w:r>
                </w:p>
              </w:tc>
              <w:tc>
                <w:tcPr>
                  <w:tcW w:w="11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0.008%</w:t>
                  </w:r>
                </w:p>
              </w:tc>
              <w:tc>
                <w:tcPr>
                  <w:tcW w:w="112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0.008%</w:t>
                  </w:r>
                </w:p>
              </w:tc>
              <w:tc>
                <w:tcPr>
                  <w:tcW w:w="12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0.008%</w:t>
                  </w:r>
                </w:p>
              </w:tc>
            </w:tr>
          </w:tbl>
          <w:p>
            <w:pPr>
              <w:spacing w:line="360" w:lineRule="auto"/>
              <w:rPr>
                <w:rFonts w:asciiTheme="minorEastAsia" w:hAnsiTheme="minorEastAsia" w:eastAsiaTheme="minorEastAsia"/>
                <w:bCs/>
                <w:color w:val="auto"/>
                <w:kern w:val="0"/>
                <w:sz w:val="24"/>
                <w:szCs w:val="28"/>
                <w:highlight w:val="none"/>
              </w:rPr>
            </w:pPr>
            <w:r>
              <w:rPr>
                <w:rFonts w:hint="eastAsia" w:asciiTheme="minorEastAsia" w:hAnsiTheme="minorEastAsia" w:eastAsiaTheme="minorEastAsia"/>
                <w:bCs/>
                <w:color w:val="auto"/>
                <w:kern w:val="0"/>
                <w:sz w:val="24"/>
                <w:szCs w:val="28"/>
                <w:highlight w:val="none"/>
              </w:rPr>
              <w:t>注：代理服务收费按差额定率累进法计算</w:t>
            </w:r>
            <w:r>
              <w:rPr>
                <w:rFonts w:asciiTheme="minorEastAsia" w:hAnsiTheme="minorEastAsia" w:eastAsiaTheme="minorEastAsia"/>
                <w:bCs/>
                <w:color w:val="auto"/>
                <w:kern w:val="0"/>
                <w:sz w:val="24"/>
                <w:szCs w:val="28"/>
                <w:highlight w:val="none"/>
              </w:rPr>
              <w:t>。</w:t>
            </w:r>
          </w:p>
          <w:p>
            <w:pPr>
              <w:spacing w:line="360" w:lineRule="auto"/>
              <w:rPr>
                <w:rFonts w:asciiTheme="minorEastAsia" w:hAnsiTheme="minorEastAsia" w:eastAsiaTheme="minorEastAsia"/>
                <w:bCs/>
                <w:color w:val="auto"/>
                <w:kern w:val="0"/>
                <w:sz w:val="24"/>
                <w:szCs w:val="28"/>
                <w:highlight w:val="none"/>
              </w:rPr>
            </w:pPr>
            <w:r>
              <w:rPr>
                <w:rFonts w:hint="eastAsia" w:asciiTheme="minorEastAsia" w:hAnsiTheme="minorEastAsia" w:eastAsiaTheme="minorEastAsia"/>
                <w:bCs/>
                <w:color w:val="auto"/>
                <w:kern w:val="0"/>
                <w:sz w:val="24"/>
                <w:szCs w:val="28"/>
                <w:highlight w:val="none"/>
              </w:rPr>
              <w:t>例如：某货物类项目中标金额为</w:t>
            </w:r>
            <w:r>
              <w:rPr>
                <w:rFonts w:asciiTheme="minorEastAsia" w:hAnsiTheme="minorEastAsia" w:eastAsiaTheme="minorEastAsia"/>
                <w:bCs/>
                <w:color w:val="auto"/>
                <w:kern w:val="0"/>
                <w:sz w:val="24"/>
                <w:szCs w:val="28"/>
                <w:highlight w:val="none"/>
              </w:rPr>
              <w:t>400万元，计算代理服务费额如下：</w:t>
            </w:r>
          </w:p>
          <w:p>
            <w:pPr>
              <w:spacing w:line="360" w:lineRule="auto"/>
              <w:rPr>
                <w:rFonts w:asciiTheme="minorEastAsia" w:hAnsiTheme="minorEastAsia" w:eastAsiaTheme="minorEastAsia"/>
                <w:bCs/>
                <w:color w:val="auto"/>
                <w:kern w:val="0"/>
                <w:sz w:val="24"/>
                <w:szCs w:val="28"/>
                <w:highlight w:val="none"/>
              </w:rPr>
            </w:pPr>
            <w:r>
              <w:rPr>
                <w:rFonts w:asciiTheme="minorEastAsia" w:hAnsiTheme="minorEastAsia" w:eastAsiaTheme="minorEastAsia"/>
                <w:bCs/>
                <w:color w:val="auto"/>
                <w:kern w:val="0"/>
                <w:sz w:val="24"/>
                <w:szCs w:val="28"/>
                <w:highlight w:val="none"/>
              </w:rPr>
              <w:t>100万元×1.2％＝1.2万元</w:t>
            </w:r>
          </w:p>
          <w:p>
            <w:pPr>
              <w:spacing w:line="360" w:lineRule="auto"/>
              <w:rPr>
                <w:rFonts w:asciiTheme="minorEastAsia" w:hAnsiTheme="minorEastAsia" w:eastAsiaTheme="minorEastAsia"/>
                <w:bCs/>
                <w:color w:val="auto"/>
                <w:kern w:val="0"/>
                <w:sz w:val="24"/>
                <w:szCs w:val="28"/>
                <w:highlight w:val="none"/>
              </w:rPr>
            </w:pPr>
            <w:r>
              <w:rPr>
                <w:rFonts w:hint="eastAsia" w:asciiTheme="minorEastAsia" w:hAnsiTheme="minorEastAsia" w:eastAsiaTheme="minorEastAsia"/>
                <w:bCs/>
                <w:color w:val="auto"/>
                <w:kern w:val="0"/>
                <w:sz w:val="24"/>
                <w:szCs w:val="28"/>
                <w:highlight w:val="none"/>
              </w:rPr>
              <w:t>（</w:t>
            </w:r>
            <w:r>
              <w:rPr>
                <w:rFonts w:asciiTheme="minorEastAsia" w:hAnsiTheme="minorEastAsia" w:eastAsiaTheme="minorEastAsia"/>
                <w:bCs/>
                <w:color w:val="auto"/>
                <w:kern w:val="0"/>
                <w:sz w:val="24"/>
                <w:szCs w:val="28"/>
                <w:highlight w:val="none"/>
              </w:rPr>
              <w:t>400－100）万元×0.88％＝2.64万元</w:t>
            </w:r>
          </w:p>
          <w:p>
            <w:pPr>
              <w:spacing w:line="360" w:lineRule="auto"/>
              <w:rPr>
                <w:rFonts w:asciiTheme="minorEastAsia" w:hAnsiTheme="minorEastAsia" w:eastAsiaTheme="minorEastAsia"/>
                <w:bCs/>
                <w:color w:val="auto"/>
                <w:kern w:val="0"/>
                <w:sz w:val="24"/>
                <w:szCs w:val="28"/>
                <w:highlight w:val="none"/>
              </w:rPr>
            </w:pPr>
            <w:r>
              <w:rPr>
                <w:rFonts w:hint="eastAsia" w:asciiTheme="minorEastAsia" w:hAnsiTheme="minorEastAsia" w:eastAsiaTheme="minorEastAsia"/>
                <w:bCs/>
                <w:color w:val="auto"/>
                <w:kern w:val="0"/>
                <w:sz w:val="24"/>
                <w:szCs w:val="28"/>
                <w:highlight w:val="none"/>
              </w:rPr>
              <w:t>按合价服</w:t>
            </w:r>
            <w:r>
              <w:rPr>
                <w:rFonts w:asciiTheme="minorEastAsia" w:hAnsiTheme="minorEastAsia" w:eastAsiaTheme="minorEastAsia"/>
                <w:bCs/>
                <w:color w:val="auto"/>
                <w:kern w:val="0"/>
                <w:sz w:val="24"/>
                <w:szCs w:val="28"/>
                <w:highlight w:val="none"/>
              </w:rPr>
              <w:t>[2009]216号文件收费＝1.2＋2.64＝3.84万元</w:t>
            </w:r>
          </w:p>
          <w:p>
            <w:pPr>
              <w:spacing w:line="360" w:lineRule="auto"/>
              <w:rPr>
                <w:rFonts w:asciiTheme="minorEastAsia" w:hAnsiTheme="minorEastAsia" w:eastAsiaTheme="minorEastAsia"/>
                <w:bCs/>
                <w:color w:val="auto"/>
                <w:kern w:val="0"/>
                <w:sz w:val="24"/>
                <w:szCs w:val="28"/>
                <w:highlight w:val="none"/>
              </w:rPr>
            </w:pPr>
            <w:r>
              <w:rPr>
                <w:rFonts w:hint="eastAsia" w:asciiTheme="minorEastAsia" w:hAnsiTheme="minorEastAsia" w:eastAsiaTheme="minorEastAsia"/>
                <w:bCs/>
                <w:color w:val="auto"/>
                <w:kern w:val="0"/>
                <w:sz w:val="24"/>
                <w:szCs w:val="28"/>
                <w:highlight w:val="none"/>
              </w:rPr>
              <w:t>合计收费</w:t>
            </w:r>
            <w:r>
              <w:rPr>
                <w:rFonts w:asciiTheme="minorEastAsia" w:hAnsiTheme="minorEastAsia" w:eastAsiaTheme="minorEastAsia"/>
                <w:bCs/>
                <w:color w:val="auto"/>
                <w:kern w:val="0"/>
                <w:sz w:val="24"/>
                <w:szCs w:val="28"/>
                <w:highlight w:val="none"/>
              </w:rPr>
              <w:t>=3.84×</w:t>
            </w:r>
            <w:r>
              <w:rPr>
                <w:rFonts w:hint="eastAsia" w:asciiTheme="minorEastAsia" w:hAnsiTheme="minorEastAsia" w:eastAsiaTheme="minorEastAsia"/>
                <w:bCs/>
                <w:color w:val="auto"/>
                <w:kern w:val="0"/>
                <w:sz w:val="24"/>
                <w:szCs w:val="28"/>
                <w:highlight w:val="none"/>
              </w:rPr>
              <w:t>70%</w:t>
            </w:r>
            <w:r>
              <w:rPr>
                <w:rFonts w:asciiTheme="minorEastAsia" w:hAnsiTheme="minorEastAsia" w:eastAsiaTheme="minorEastAsia"/>
                <w:bCs/>
                <w:color w:val="auto"/>
                <w:kern w:val="0"/>
                <w:sz w:val="24"/>
                <w:szCs w:val="28"/>
                <w:highlight w:val="none"/>
              </w:rPr>
              <w:t>=2.688万元。</w:t>
            </w:r>
          </w:p>
          <w:p>
            <w:pPr>
              <w:spacing w:line="360" w:lineRule="auto"/>
              <w:rPr>
                <w:rFonts w:asciiTheme="minorEastAsia" w:hAnsiTheme="minorEastAsia" w:eastAsiaTheme="minorEastAsia"/>
                <w:bCs/>
                <w:color w:val="auto"/>
                <w:kern w:val="0"/>
                <w:sz w:val="24"/>
                <w:szCs w:val="28"/>
                <w:highlight w:val="none"/>
              </w:rPr>
            </w:pPr>
            <w:r>
              <w:rPr>
                <w:rFonts w:hint="eastAsia" w:asciiTheme="minorEastAsia" w:hAnsiTheme="minorEastAsia" w:eastAsiaTheme="minorEastAsia"/>
                <w:bCs/>
                <w:color w:val="auto"/>
                <w:kern w:val="0"/>
                <w:sz w:val="24"/>
                <w:szCs w:val="28"/>
                <w:highlight w:val="none"/>
              </w:rPr>
              <w:t>因超过上限，因此中标服务费为2万元。</w:t>
            </w:r>
          </w:p>
          <w:p>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r>
              <w:rPr>
                <w:rFonts w:hint="eastAsia" w:ascii="宋体" w:hAnsi="宋体" w:eastAsia="宋体"/>
                <w:color w:val="auto"/>
                <w:kern w:val="0"/>
                <w:sz w:val="24"/>
                <w:szCs w:val="28"/>
                <w:highlight w:val="none"/>
              </w:rPr>
              <w:sym w:font="Wingdings" w:char="F0FE"/>
            </w:r>
            <w:r>
              <w:rPr>
                <w:rFonts w:ascii="宋体" w:hAnsi="宋体" w:eastAsia="宋体"/>
                <w:bCs/>
                <w:color w:val="auto"/>
                <w:kern w:val="0"/>
                <w:sz w:val="24"/>
                <w:szCs w:val="28"/>
                <w:highlight w:val="none"/>
              </w:rPr>
              <w:t>转账/电汇</w:t>
            </w:r>
          </w:p>
          <w:p>
            <w:pPr>
              <w:spacing w:line="360" w:lineRule="auto"/>
              <w:rPr>
                <w:rFonts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安徽公共资源交易集团项目管理有限公司</w:t>
            </w:r>
          </w:p>
          <w:p>
            <w:pPr>
              <w:pStyle w:val="30"/>
              <w:widowControl w:val="0"/>
              <w:spacing w:before="0" w:beforeAutospacing="0" w:after="0" w:afterAutospacing="0" w:line="360" w:lineRule="auto"/>
              <w:jc w:val="both"/>
              <w:rPr>
                <w:rFonts w:ascii="宋体" w:hAnsi="宋体" w:eastAsia="宋体"/>
                <w:b w:val="0"/>
                <w:bCs w:val="0"/>
                <w:color w:val="auto"/>
                <w:kern w:val="2"/>
                <w:sz w:val="24"/>
                <w:szCs w:val="20"/>
                <w:highlight w:val="none"/>
              </w:rPr>
            </w:pPr>
            <w:r>
              <w:rPr>
                <w:rFonts w:hint="eastAsia" w:ascii="宋体" w:hAnsi="宋体" w:eastAsia="宋体"/>
                <w:b w:val="0"/>
                <w:bCs w:val="0"/>
                <w:color w:val="auto"/>
                <w:kern w:val="2"/>
                <w:sz w:val="24"/>
                <w:szCs w:val="20"/>
                <w:highlight w:val="none"/>
              </w:rPr>
              <w:t>（4）</w:t>
            </w:r>
            <w:r>
              <w:rPr>
                <w:rFonts w:hint="eastAsia" w:ascii="宋体" w:hAnsi="宋体" w:eastAsia="宋体"/>
                <w:b w:val="0"/>
                <w:bCs w:val="0"/>
                <w:color w:val="auto"/>
                <w:sz w:val="24"/>
                <w:highlight w:val="none"/>
              </w:rPr>
              <w:t>缴纳单位：</w:t>
            </w:r>
            <w:r>
              <w:rPr>
                <w:rFonts w:hint="eastAsia" w:ascii="宋体" w:hAnsi="宋体" w:eastAsia="宋体"/>
                <w:b w:val="0"/>
                <w:bCs w:val="0"/>
                <w:color w:val="auto"/>
                <w:sz w:val="24"/>
                <w:highlight w:val="none"/>
              </w:rPr>
              <w:sym w:font="Wingdings" w:char="00FE"/>
            </w:r>
            <w:r>
              <w:rPr>
                <w:rFonts w:hint="eastAsia" w:ascii="宋体" w:hAnsi="宋体" w:eastAsia="宋体"/>
                <w:b w:val="0"/>
                <w:bCs w:val="0"/>
                <w:color w:val="auto"/>
                <w:sz w:val="24"/>
                <w:highlight w:val="none"/>
              </w:rPr>
              <w:t>中标人</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kern w:val="2"/>
                <w:sz w:val="24"/>
                <w:szCs w:val="20"/>
                <w:highlight w:val="none"/>
              </w:rPr>
              <w:t>（5）缴纳时间：</w:t>
            </w:r>
            <w:r>
              <w:rPr>
                <w:rFonts w:hint="eastAsia" w:ascii="宋体" w:hAnsi="宋体" w:eastAsia="宋体"/>
                <w:b w:val="0"/>
                <w:bCs w:val="0"/>
                <w:color w:val="auto"/>
                <w:kern w:val="2"/>
                <w:sz w:val="24"/>
                <w:szCs w:val="20"/>
                <w:highlight w:val="none"/>
                <w:u w:val="single"/>
              </w:rPr>
              <w:t>领取中标通知书前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36</w:t>
            </w:r>
            <w:r>
              <w:rPr>
                <w:rFonts w:ascii="宋体" w:hAnsi="宋体" w:eastAsia="宋体"/>
                <w:bCs/>
                <w:color w:val="auto"/>
                <w:kern w:val="2"/>
                <w:highlight w:val="none"/>
              </w:rPr>
              <w:t>.3</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w:t>
            </w:r>
          </w:p>
          <w:p>
            <w:pPr>
              <w:pStyle w:val="30"/>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bCs w:val="0"/>
                <w:color w:val="auto"/>
                <w:sz w:val="24"/>
                <w:szCs w:val="18"/>
                <w:highlight w:val="none"/>
                <w:u w:val="single"/>
              </w:rPr>
              <w:t>纪检监察室</w:t>
            </w:r>
          </w:p>
          <w:p>
            <w:pPr>
              <w:pStyle w:val="30"/>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ascii="宋体" w:hAnsi="宋体" w:eastAsia="宋体"/>
                <w:b w:val="0"/>
                <w:bCs w:val="0"/>
                <w:color w:val="auto"/>
                <w:sz w:val="24"/>
                <w:szCs w:val="18"/>
                <w:highlight w:val="none"/>
                <w:u w:val="single"/>
              </w:rPr>
              <w:t>0551-66223642</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rPr>
              <w:t>合肥市滨湖新区南京路2588号（徽州大道与南京路交口）A区六楼678室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37</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37</w:t>
            </w:r>
            <w:r>
              <w:rPr>
                <w:rFonts w:ascii="宋体" w:hAnsi="宋体" w:eastAsia="宋体"/>
                <w:b w:val="0"/>
                <w:color w:val="auto"/>
                <w:sz w:val="24"/>
                <w:highlight w:val="none"/>
              </w:rPr>
              <w:t>.1</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关于联合体投标的相关约定</w:t>
            </w:r>
            <w:r>
              <w:rPr>
                <w:rFonts w:hint="eastAsia" w:ascii="宋体" w:hAnsi="宋体" w:eastAsia="宋体"/>
                <w:b w:val="0"/>
                <w:i/>
                <w:color w:val="auto"/>
                <w:sz w:val="24"/>
                <w:szCs w:val="20"/>
                <w:highlight w:val="none"/>
              </w:rPr>
              <w:t>（本项目不适用）</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联合体投标的须提供联合协议（见</w:t>
            </w:r>
            <w:r>
              <w:rPr>
                <w:rFonts w:hint="eastAsia" w:ascii="宋体" w:hAnsi="宋体" w:eastAsia="宋体"/>
                <w:b w:val="0"/>
                <w:color w:val="auto"/>
                <w:sz w:val="24"/>
                <w:highlight w:val="none"/>
              </w:rPr>
              <w:t>投标文件格式</w:t>
            </w:r>
            <w:r>
              <w:rPr>
                <w:rFonts w:ascii="宋体" w:hAnsi="宋体" w:eastAsia="宋体"/>
                <w:b w:val="0"/>
                <w:color w:val="auto"/>
                <w:sz w:val="24"/>
                <w:highlight w:val="none"/>
              </w:rPr>
              <w:t>）</w:t>
            </w:r>
            <w:r>
              <w:rPr>
                <w:rFonts w:hint="eastAsia" w:ascii="宋体" w:hAnsi="宋体" w:eastAsia="宋体"/>
                <w:b w:val="0"/>
                <w:color w:val="auto"/>
                <w:sz w:val="24"/>
                <w:highlight w:val="none"/>
              </w:rPr>
              <w:t>，相关</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由</w:t>
            </w:r>
            <w:r>
              <w:rPr>
                <w:rFonts w:ascii="宋体" w:hAnsi="宋体" w:eastAsia="宋体"/>
                <w:b w:val="0"/>
                <w:color w:val="auto"/>
                <w:sz w:val="24"/>
                <w:highlight w:val="none"/>
              </w:rPr>
              <w:t>投标</w:t>
            </w:r>
            <w:r>
              <w:rPr>
                <w:rFonts w:hint="eastAsia" w:ascii="宋体" w:hAnsi="宋体" w:eastAsia="宋体"/>
                <w:b w:val="0"/>
                <w:color w:val="auto"/>
                <w:sz w:val="24"/>
                <w:highlight w:val="none"/>
              </w:rPr>
              <w:t>人</w:t>
            </w:r>
            <w:r>
              <w:rPr>
                <w:rFonts w:ascii="宋体" w:hAnsi="宋体" w:eastAsia="宋体"/>
                <w:b w:val="0"/>
                <w:color w:val="auto"/>
                <w:sz w:val="24"/>
                <w:highlight w:val="none"/>
              </w:rPr>
              <w:t>根据联合协议分工情况及招标文件要求提供。</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w:t>
            </w:r>
            <w:r>
              <w:rPr>
                <w:rFonts w:ascii="宋体" w:hAnsi="宋体" w:eastAsia="宋体"/>
                <w:b w:val="0"/>
                <w:color w:val="auto"/>
                <w:sz w:val="24"/>
                <w:highlight w:val="none"/>
              </w:rPr>
              <w:t>联合体各</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均须提供营业执照</w:t>
            </w:r>
            <w:r>
              <w:rPr>
                <w:rFonts w:hint="eastAsia" w:ascii="宋体" w:hAnsi="宋体" w:eastAsia="宋体"/>
                <w:b w:val="0"/>
                <w:color w:val="auto"/>
                <w:sz w:val="24"/>
                <w:highlight w:val="none"/>
              </w:rPr>
              <w:t>（或事业单位法人登记证书）</w:t>
            </w:r>
            <w:r>
              <w:rPr>
                <w:rFonts w:ascii="宋体" w:hAnsi="宋体" w:eastAsia="宋体"/>
                <w:b w:val="0"/>
                <w:color w:val="auto"/>
                <w:sz w:val="24"/>
                <w:highlight w:val="none"/>
              </w:rPr>
              <w:t>、税务登记证</w:t>
            </w:r>
            <w:r>
              <w:rPr>
                <w:rFonts w:hint="eastAsia" w:ascii="宋体" w:hAnsi="宋体" w:eastAsia="宋体"/>
                <w:b w:val="0"/>
                <w:color w:val="auto"/>
                <w:sz w:val="24"/>
                <w:highlight w:val="none"/>
              </w:rPr>
              <w:t>和无重大违法记录声明函、无不良信用记录声明函。</w:t>
            </w:r>
            <w:r>
              <w:rPr>
                <w:rFonts w:hint="eastAsia" w:ascii="宋体" w:hAnsi="宋体" w:eastAsia="宋体"/>
                <w:bCs w:val="0"/>
                <w:color w:val="auto"/>
                <w:sz w:val="24"/>
                <w:highlight w:val="none"/>
              </w:rPr>
              <w:t>注：</w:t>
            </w:r>
            <w:r>
              <w:rPr>
                <w:rFonts w:hint="eastAsia" w:ascii="宋体" w:hAnsi="宋体" w:eastAsia="宋体"/>
                <w:b w:val="0"/>
                <w:color w:val="auto"/>
                <w:sz w:val="24"/>
                <w:highlight w:val="none"/>
              </w:rPr>
              <w:t>已办理“三证合一”登记的，投标文件中提供营业执照（或事业单位法人登记证书）扫描件即可。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37.2</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社保</w:t>
            </w:r>
            <w:r>
              <w:rPr>
                <w:rFonts w:ascii="宋体" w:hAnsi="宋体" w:eastAsia="宋体"/>
                <w:b w:val="0"/>
                <w:color w:val="auto"/>
                <w:sz w:val="24"/>
                <w:highlight w:val="none"/>
              </w:rPr>
              <w:t>证明材料</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i/>
                <w:color w:val="auto"/>
                <w:sz w:val="24"/>
                <w:szCs w:val="20"/>
                <w:highlight w:val="none"/>
              </w:rPr>
              <w:t>（如有要求）</w:t>
            </w:r>
          </w:p>
        </w:tc>
        <w:tc>
          <w:tcPr>
            <w:tcW w:w="585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本项目招标文件中要求提供的社保</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为下述形式之一（投标文件中须提供扫描件）：</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社保局官方网站查询的缴费记录截图；</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社保局的书面证明材料；</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w:t>
            </w:r>
            <w:r>
              <w:rPr>
                <w:rFonts w:ascii="宋体" w:hAnsi="宋体" w:eastAsia="宋体"/>
                <w:b w:val="0"/>
                <w:color w:val="auto"/>
                <w:sz w:val="24"/>
                <w:highlight w:val="none"/>
              </w:rPr>
              <w:t>经投标</w:t>
            </w:r>
            <w:r>
              <w:rPr>
                <w:rFonts w:hint="eastAsia" w:ascii="宋体" w:hAnsi="宋体" w:eastAsia="宋体"/>
                <w:b w:val="0"/>
                <w:color w:val="auto"/>
                <w:sz w:val="24"/>
                <w:highlight w:val="none"/>
              </w:rPr>
              <w:t>人</w:t>
            </w:r>
            <w:r>
              <w:rPr>
                <w:rFonts w:ascii="宋体" w:hAnsi="宋体" w:eastAsia="宋体"/>
                <w:b w:val="0"/>
                <w:color w:val="auto"/>
                <w:sz w:val="24"/>
                <w:highlight w:val="none"/>
              </w:rPr>
              <w:t>委托的第三方人力资源服务机构或与投标</w:t>
            </w:r>
            <w:r>
              <w:rPr>
                <w:rFonts w:hint="eastAsia" w:ascii="宋体" w:hAnsi="宋体" w:eastAsia="宋体"/>
                <w:b w:val="0"/>
                <w:color w:val="auto"/>
                <w:sz w:val="24"/>
                <w:highlight w:val="none"/>
              </w:rPr>
              <w:t>人</w:t>
            </w:r>
            <w:r>
              <w:rPr>
                <w:rFonts w:ascii="宋体" w:hAnsi="宋体" w:eastAsia="宋体"/>
                <w:b w:val="0"/>
                <w:color w:val="auto"/>
                <w:sz w:val="24"/>
                <w:highlight w:val="none"/>
              </w:rPr>
              <w:t>有直接隶属关系的机构可以代缴社保，但须提供有关证明材料并经评标委员会确认。</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w:t>
            </w:r>
            <w:r>
              <w:rPr>
                <w:rFonts w:ascii="宋体" w:hAnsi="宋体" w:eastAsia="宋体"/>
                <w:b w:val="0"/>
                <w:color w:val="auto"/>
                <w:sz w:val="24"/>
                <w:highlight w:val="none"/>
              </w:rPr>
              <w:t>参与投标的院校，社保证明可以用以下任意一种：</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①</w:t>
            </w:r>
            <w:r>
              <w:rPr>
                <w:rFonts w:ascii="宋体" w:hAnsi="宋体" w:eastAsia="宋体"/>
                <w:b w:val="0"/>
                <w:color w:val="auto"/>
                <w:sz w:val="24"/>
                <w:highlight w:val="none"/>
              </w:rPr>
              <w:t>加盖投标</w:t>
            </w:r>
            <w:r>
              <w:rPr>
                <w:rFonts w:hint="eastAsia" w:ascii="宋体" w:hAnsi="宋体" w:eastAsia="宋体"/>
                <w:b w:val="0"/>
                <w:color w:val="auto"/>
                <w:sz w:val="24"/>
                <w:highlight w:val="none"/>
              </w:rPr>
              <w:t>人</w:t>
            </w:r>
            <w:r>
              <w:rPr>
                <w:rFonts w:ascii="宋体" w:hAnsi="宋体" w:eastAsia="宋体"/>
                <w:b w:val="0"/>
                <w:color w:val="auto"/>
                <w:sz w:val="24"/>
                <w:highlight w:val="none"/>
              </w:rPr>
              <w:t>公章的教师证</w:t>
            </w:r>
            <w:r>
              <w:rPr>
                <w:rFonts w:hint="eastAsia" w:ascii="宋体" w:hAnsi="宋体" w:eastAsia="宋体"/>
                <w:b w:val="0"/>
                <w:color w:val="auto"/>
                <w:sz w:val="24"/>
                <w:highlight w:val="none"/>
              </w:rPr>
              <w:t>或工作证</w:t>
            </w:r>
            <w:r>
              <w:rPr>
                <w:rFonts w:ascii="宋体" w:hAnsi="宋体" w:eastAsia="宋体"/>
                <w:b w:val="0"/>
                <w:color w:val="auto"/>
                <w:sz w:val="24"/>
                <w:highlight w:val="none"/>
              </w:rPr>
              <w:t>（须为本</w:t>
            </w:r>
            <w:r>
              <w:rPr>
                <w:rFonts w:hint="eastAsia" w:ascii="宋体" w:hAnsi="宋体" w:eastAsia="宋体"/>
                <w:b w:val="0"/>
                <w:color w:val="auto"/>
                <w:sz w:val="24"/>
                <w:highlight w:val="none"/>
              </w:rPr>
              <w:t>单位</w:t>
            </w:r>
            <w:r>
              <w:rPr>
                <w:rFonts w:ascii="宋体" w:hAnsi="宋体" w:eastAsia="宋体"/>
                <w:b w:val="0"/>
                <w:color w:val="auto"/>
                <w:sz w:val="24"/>
                <w:highlight w:val="none"/>
              </w:rPr>
              <w:t>人员）</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②</w:t>
            </w:r>
            <w:r>
              <w:rPr>
                <w:rFonts w:ascii="宋体" w:hAnsi="宋体" w:eastAsia="宋体"/>
                <w:b w:val="0"/>
                <w:color w:val="auto"/>
                <w:sz w:val="24"/>
                <w:highlight w:val="none"/>
              </w:rPr>
              <w:t>医保证明材料</w:t>
            </w:r>
            <w:r>
              <w:rPr>
                <w:rFonts w:hint="eastAsia" w:ascii="宋体" w:hAnsi="宋体" w:eastAsia="宋体"/>
                <w:b w:val="0"/>
                <w:color w:val="auto"/>
                <w:sz w:val="24"/>
                <w:highlight w:val="none"/>
              </w:rPr>
              <w:t>。</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w:t>
            </w:r>
            <w:r>
              <w:rPr>
                <w:rFonts w:ascii="宋体" w:hAnsi="宋体" w:eastAsia="宋体"/>
                <w:b w:val="0"/>
                <w:color w:val="auto"/>
                <w:sz w:val="24"/>
                <w:highlight w:val="none"/>
              </w:rPr>
              <w:t>其他经评标委员会认可的证明材料。</w:t>
            </w:r>
          </w:p>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iCs/>
                <w:color w:val="auto"/>
                <w:sz w:val="24"/>
                <w:highlight w:val="none"/>
              </w:rPr>
              <w:t>（6）法定代表人参与项目的，无需提供社保证明材料，提供身份证明材料即可。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3</w:t>
            </w:r>
            <w:r>
              <w:rPr>
                <w:rFonts w:hint="eastAsia" w:ascii="宋体" w:hAnsi="宋体" w:eastAsia="宋体"/>
                <w:bCs/>
                <w:color w:val="auto"/>
                <w:kern w:val="2"/>
                <w:highlight w:val="none"/>
              </w:rPr>
              <w:t>7</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本项目提供除电子版招标文件以外的其他资料</w:t>
            </w:r>
          </w:p>
        </w:tc>
        <w:tc>
          <w:tcPr>
            <w:tcW w:w="5853" w:type="dxa"/>
            <w:vAlign w:val="center"/>
          </w:tcPr>
          <w:p>
            <w:pPr>
              <w:spacing w:line="500" w:lineRule="exact"/>
              <w:rPr>
                <w:rFonts w:asciiTheme="minorEastAsia" w:hAnsiTheme="minorEastAsia" w:eastAsiaTheme="minorEastAsia"/>
                <w:color w:val="auto"/>
                <w:sz w:val="24"/>
                <w:highlight w:val="none"/>
                <w:u w:val="single"/>
              </w:rPr>
            </w:pPr>
            <w:r>
              <w:rPr>
                <w:rFonts w:asciiTheme="minorEastAsia" w:hAnsiTheme="minorEastAsia" w:eastAsiaTheme="minorEastAsia"/>
                <w:bCs/>
                <w:color w:val="auto"/>
                <w:sz w:val="24"/>
                <w:szCs w:val="24"/>
                <w:highlight w:val="none"/>
              </w:rPr>
              <w:sym w:font="Wingdings 2" w:char="0052"/>
            </w:r>
            <w:r>
              <w:rPr>
                <w:rFonts w:hint="eastAsia" w:asciiTheme="minorEastAsia" w:hAnsiTheme="minorEastAsia" w:eastAsiaTheme="minorEastAsia"/>
                <w:color w:val="auto"/>
                <w:sz w:val="24"/>
                <w:highlight w:val="none"/>
              </w:rPr>
              <w:t>无   □图纸   □光盘   □</w:t>
            </w:r>
            <w:r>
              <w:rPr>
                <w:rFonts w:hint="eastAsia" w:asciiTheme="minorEastAsia" w:hAnsiTheme="minorEastAsia" w:eastAsiaTheme="minorEastAsia"/>
                <w:color w:val="auto"/>
                <w:sz w:val="24"/>
                <w:highlight w:val="none"/>
                <w:u w:val="single"/>
              </w:rPr>
              <w:t xml:space="preserve"> / </w:t>
            </w:r>
          </w:p>
          <w:p>
            <w:pPr>
              <w:spacing w:line="500" w:lineRule="exac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获取方式：</w:t>
            </w:r>
          </w:p>
          <w:p>
            <w:pPr>
              <w:pStyle w:val="30"/>
              <w:widowControl w:val="0"/>
              <w:spacing w:before="0" w:beforeAutospacing="0" w:after="0" w:afterAutospacing="0" w:line="360" w:lineRule="auto"/>
              <w:jc w:val="both"/>
              <w:rPr>
                <w:rFonts w:ascii="宋体" w:hAnsi="宋体" w:eastAsia="宋体"/>
                <w:b w:val="0"/>
                <w:iCs/>
                <w:color w:val="auto"/>
                <w:sz w:val="24"/>
                <w:highlight w:val="none"/>
              </w:rPr>
            </w:pPr>
            <w:r>
              <w:rPr>
                <w:rFonts w:hint="eastAsia" w:asciiTheme="minorEastAsia" w:hAnsiTheme="minorEastAsia" w:eastAsiaTheme="minorEastAsia"/>
                <w:color w:val="auto"/>
                <w:sz w:val="24"/>
                <w:highlight w:val="none"/>
              </w:rPr>
              <w:t>上述资料请投标人在获取招标文件后，自行登陆电子交易系统下载本项目附件。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3</w:t>
            </w:r>
            <w:r>
              <w:rPr>
                <w:rFonts w:hint="eastAsia" w:ascii="宋体" w:hAnsi="宋体" w:eastAsia="宋体"/>
                <w:bCs/>
                <w:color w:val="auto"/>
                <w:kern w:val="2"/>
                <w:highlight w:val="none"/>
              </w:rPr>
              <w:t>7</w:t>
            </w:r>
            <w:r>
              <w:rPr>
                <w:rFonts w:ascii="宋体" w:hAnsi="宋体" w:eastAsia="宋体"/>
                <w:bCs/>
                <w:color w:val="auto"/>
                <w:kern w:val="2"/>
                <w:highlight w:val="none"/>
              </w:rPr>
              <w:t>.</w:t>
            </w:r>
            <w:r>
              <w:rPr>
                <w:rFonts w:hint="eastAsia" w:ascii="宋体" w:hAnsi="宋体" w:eastAsia="宋体"/>
                <w:bCs/>
                <w:color w:val="auto"/>
                <w:kern w:val="2"/>
                <w:highlight w:val="none"/>
              </w:rPr>
              <w:t>4</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重要提示</w:t>
            </w:r>
          </w:p>
        </w:tc>
        <w:tc>
          <w:tcPr>
            <w:tcW w:w="5853" w:type="dxa"/>
            <w:vAlign w:val="center"/>
          </w:tcPr>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）中标人应在规定期限内提交履约担保并与</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人签订合同，若中标人未能在规定期限内提交履约担保或签订合同，采购人有权取消中标人中标资格，并将相关违约行为报送监管部门，实施信用惩戒</w:t>
            </w:r>
            <w:r>
              <w:rPr>
                <w:rFonts w:hint="eastAsia" w:asciiTheme="minorEastAsia" w:hAnsiTheme="minorEastAsia" w:eastAsiaTheme="minorEastAsia"/>
                <w:bCs/>
                <w:color w:val="auto"/>
                <w:sz w:val="24"/>
                <w:szCs w:val="24"/>
                <w:highlight w:val="none"/>
              </w:rPr>
              <w:t>；</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）合同签订后，中标人存在规定时间内不组织人员进场开工</w:t>
            </w:r>
            <w:r>
              <w:rPr>
                <w:rFonts w:hint="eastAsia" w:asciiTheme="minorEastAsia" w:hAnsiTheme="minorEastAsia" w:eastAsiaTheme="minorEastAsia"/>
                <w:bCs/>
                <w:color w:val="auto"/>
                <w:sz w:val="24"/>
                <w:szCs w:val="24"/>
                <w:highlight w:val="none"/>
              </w:rPr>
              <w:t>，</w:t>
            </w:r>
            <w:r>
              <w:rPr>
                <w:rFonts w:asciiTheme="minorEastAsia" w:hAnsiTheme="minorEastAsia" w:eastAsiaTheme="minorEastAsia"/>
                <w:bCs/>
                <w:color w:val="auto"/>
                <w:sz w:val="24"/>
                <w:szCs w:val="24"/>
                <w:highlight w:val="none"/>
              </w:rPr>
              <w:t>不履行供货</w:t>
            </w:r>
            <w:r>
              <w:rPr>
                <w:rFonts w:hint="eastAsia" w:asciiTheme="minorEastAsia" w:hAnsiTheme="minorEastAsia" w:eastAsiaTheme="minorEastAsia"/>
                <w:bCs/>
                <w:color w:val="auto"/>
                <w:sz w:val="24"/>
                <w:szCs w:val="24"/>
                <w:highlight w:val="none"/>
              </w:rPr>
              <w:t>、</w:t>
            </w:r>
            <w:r>
              <w:rPr>
                <w:rFonts w:asciiTheme="minorEastAsia" w:hAnsiTheme="minorEastAsia" w:eastAsiaTheme="minorEastAsia"/>
                <w:bCs/>
                <w:color w:val="auto"/>
                <w:sz w:val="24"/>
                <w:szCs w:val="24"/>
                <w:highlight w:val="none"/>
              </w:rPr>
              <w:t>安装</w:t>
            </w:r>
            <w:r>
              <w:rPr>
                <w:rFonts w:hint="eastAsia" w:asciiTheme="minorEastAsia" w:hAnsiTheme="minorEastAsia" w:eastAsiaTheme="minorEastAsia"/>
                <w:bCs/>
                <w:color w:val="auto"/>
                <w:sz w:val="24"/>
                <w:szCs w:val="24"/>
                <w:highlight w:val="none"/>
              </w:rPr>
              <w:t>或服务</w:t>
            </w:r>
            <w:r>
              <w:rPr>
                <w:rFonts w:asciiTheme="minorEastAsia" w:hAnsiTheme="minorEastAsia" w:eastAsiaTheme="minorEastAsia"/>
                <w:bCs/>
                <w:color w:val="auto"/>
                <w:sz w:val="24"/>
                <w:szCs w:val="24"/>
                <w:highlight w:val="none"/>
              </w:rPr>
              <w:t>义务等情况，采购人有权解除合同，并追究违约责任，同时将相关违约行为报送监管部门，记不良行为记录，实施信用惩戒</w:t>
            </w:r>
            <w:r>
              <w:rPr>
                <w:rFonts w:hint="eastAsia" w:asciiTheme="minorEastAsia" w:hAnsiTheme="minorEastAsia" w:eastAsiaTheme="minorEastAsia"/>
                <w:bCs/>
                <w:color w:val="auto"/>
                <w:sz w:val="24"/>
                <w:szCs w:val="24"/>
                <w:highlight w:val="none"/>
              </w:rPr>
              <w:t>；</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）中标人中标后被监管部门查实存在违法行为，不满足中标条件的，由采购人取消中标资格，并做好项目后续工作</w:t>
            </w:r>
            <w:r>
              <w:rPr>
                <w:rFonts w:hint="eastAsia" w:asciiTheme="minorEastAsia" w:hAnsiTheme="minorEastAsia" w:eastAsiaTheme="minorEastAsia"/>
                <w:bCs/>
                <w:color w:val="auto"/>
                <w:sz w:val="24"/>
                <w:szCs w:val="24"/>
                <w:highlight w:val="none"/>
              </w:rPr>
              <w:t>；</w:t>
            </w:r>
          </w:p>
          <w:p>
            <w:pPr>
              <w:spacing w:line="500" w:lineRule="exact"/>
              <w:rPr>
                <w:rFonts w:ascii="宋体" w:hAnsi="宋体" w:eastAsia="宋体"/>
                <w:color w:val="auto"/>
                <w:sz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）中标人在中标项目发生投诉、信访举报案件、履约存在争议时，拒绝协助配合执法部门调查案件的，采购人可以取消其中标资格或解除合同，并追究其违约责任。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37.</w:t>
            </w:r>
            <w:r>
              <w:rPr>
                <w:rFonts w:hint="eastAsia" w:ascii="宋体" w:hAnsi="宋体" w:eastAsia="宋体"/>
                <w:bCs/>
                <w:color w:val="auto"/>
                <w:kern w:val="2"/>
                <w:highlight w:val="none"/>
              </w:rPr>
              <w:t>5</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解释权</w:t>
            </w:r>
          </w:p>
        </w:tc>
        <w:tc>
          <w:tcPr>
            <w:tcW w:w="5853" w:type="dxa"/>
            <w:vAlign w:val="center"/>
          </w:tcPr>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3</w:t>
            </w:r>
            <w:r>
              <w:rPr>
                <w:rFonts w:hint="eastAsia" w:ascii="宋体" w:hAnsi="宋体" w:eastAsia="宋体"/>
                <w:bCs/>
                <w:color w:val="auto"/>
                <w:kern w:val="2"/>
                <w:highlight w:val="none"/>
              </w:rPr>
              <w:t>7</w:t>
            </w:r>
            <w:r>
              <w:rPr>
                <w:rFonts w:ascii="宋体" w:hAnsi="宋体" w:eastAsia="宋体"/>
                <w:bCs/>
                <w:color w:val="auto"/>
                <w:kern w:val="2"/>
                <w:highlight w:val="none"/>
              </w:rPr>
              <w:t>.</w:t>
            </w:r>
            <w:r>
              <w:rPr>
                <w:rFonts w:hint="eastAsia" w:ascii="宋体" w:hAnsi="宋体" w:eastAsia="宋体"/>
                <w:bCs/>
                <w:color w:val="auto"/>
                <w:kern w:val="2"/>
                <w:highlight w:val="none"/>
              </w:rPr>
              <w:t>6</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olor w:val="auto"/>
                <w:sz w:val="24"/>
                <w:highlight w:val="none"/>
              </w:rPr>
              <w:t>特别提醒</w:t>
            </w:r>
          </w:p>
        </w:tc>
        <w:tc>
          <w:tcPr>
            <w:tcW w:w="5853" w:type="dxa"/>
            <w:vAlign w:val="center"/>
          </w:tcPr>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（1）本项目评审时将查询投标文件的机器识别码，如不同投标文件的机器识别码相同，相关投标将被认定为</w:t>
            </w:r>
            <w:r>
              <w:rPr>
                <w:rFonts w:hint="eastAsia" w:asciiTheme="minorEastAsia" w:hAnsiTheme="minorEastAsia" w:eastAsiaTheme="minorEastAsia"/>
                <w:b/>
                <w:color w:val="auto"/>
                <w:sz w:val="24"/>
                <w:szCs w:val="24"/>
                <w:highlight w:val="none"/>
              </w:rPr>
              <w:t>投标无效</w:t>
            </w:r>
            <w:r>
              <w:rPr>
                <w:rFonts w:hint="eastAsia" w:asciiTheme="minorEastAsia" w:hAnsiTheme="minorEastAsia" w:eastAsiaTheme="minorEastAsia"/>
                <w:bCs/>
                <w:color w:val="auto"/>
                <w:sz w:val="24"/>
                <w:szCs w:val="24"/>
                <w:highlight w:val="none"/>
              </w:rPr>
              <w:t>，并报政府采购监督管理部门处理。</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因电子服务系统或电子交易系统出现软件设计或功能缺陷、运行异常等情况，影响政府采购活动正常进行的，政府采购各方当事人免责。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37.7</w:t>
            </w:r>
          </w:p>
        </w:tc>
        <w:tc>
          <w:tcPr>
            <w:tcW w:w="2032"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其他补充说明</w:t>
            </w:r>
          </w:p>
        </w:tc>
        <w:tc>
          <w:tcPr>
            <w:tcW w:w="5853" w:type="dxa"/>
            <w:vAlign w:val="center"/>
          </w:tcPr>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“政采贷”融资指引：有融资需求的供应商在取得政府采购中标或成交通知书后，可访问安徽省政府采购网“政采贷”栏目，查看和联系第三方平台或者金融机构，商洽融资事项，确定融资意向。</w:t>
            </w:r>
          </w:p>
          <w:p>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供应商签署政府采购中标（成交）合同后，登录“徽采云”金融服务模块，选择意向产品进行申请，并填写相关信息，“徽采云”金融服务模块将供应商融资申请信息推送第三方平台、意向金融机构。</w:t>
            </w:r>
          </w:p>
        </w:tc>
      </w:tr>
    </w:tbl>
    <w:p>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适用范围</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1.1</w:t>
      </w:r>
      <w:r>
        <w:rPr>
          <w:rFonts w:hint="eastAsia" w:ascii="宋体" w:hAnsi="宋体" w:eastAsia="宋体"/>
          <w:color w:val="auto"/>
          <w:sz w:val="24"/>
          <w:highlight w:val="none"/>
        </w:rPr>
        <w:t>本招标文件仅适用于本次公开招标所述的货物项目采购。</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定义</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货物：</w:t>
      </w:r>
      <w:r>
        <w:rPr>
          <w:rFonts w:ascii="宋体" w:hAnsi="宋体" w:eastAsia="宋体"/>
          <w:color w:val="auto"/>
          <w:sz w:val="24"/>
          <w:highlight w:val="none"/>
        </w:rPr>
        <w:t>是指各种形态和种类的物品，包括原材料、燃料、设备、产品等。</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2.2时限（年份、月份等）计算：系指从开标之日向前追溯X年/月（“X”为“一”及以后整数）起算。</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2.3业绩：业绩系指符合本招标文件规定的与最终用户签订的合同</w:t>
      </w:r>
      <w:r>
        <w:rPr>
          <w:rFonts w:hint="eastAsia" w:ascii="宋体" w:hAnsi="宋体" w:eastAsia="宋体"/>
          <w:color w:val="auto"/>
          <w:sz w:val="24"/>
          <w:highlight w:val="none"/>
        </w:rPr>
        <w:t>或</w:t>
      </w:r>
      <w:r>
        <w:rPr>
          <w:rFonts w:ascii="宋体" w:hAnsi="宋体" w:eastAsia="宋体"/>
          <w:color w:val="auto"/>
          <w:sz w:val="24"/>
          <w:highlight w:val="none"/>
        </w:rPr>
        <w:t>招标文件要求的相关证明。投标人与其关联公司（如母公司、控股公司、分公司、子公司、同一法定代表人的公司）之间签订的合同，均不予认可。</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采购人、采购代理机构及投标人</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.1采购人：是指依法开展政府采购活动的国家机关、事业单位、团体组织。</w:t>
      </w:r>
      <w:r>
        <w:rPr>
          <w:rFonts w:hint="eastAsia" w:ascii="宋体" w:hAnsi="宋体" w:eastAsia="宋体"/>
          <w:color w:val="auto"/>
          <w:sz w:val="24"/>
          <w:highlight w:val="none"/>
        </w:rPr>
        <w:t>本项目的采购人见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.2采购代理机构：是指集中采购机构或从事采购代理业务的社会中介机构。本项目的采购代理机构见</w:t>
      </w:r>
      <w:r>
        <w:rPr>
          <w:rFonts w:hint="eastAsia" w:ascii="宋体" w:hAnsi="宋体" w:eastAsia="宋体"/>
          <w:color w:val="auto"/>
          <w:sz w:val="24"/>
          <w:highlight w:val="none"/>
          <w:u w:val="single"/>
        </w:rPr>
        <w:t>投标人须知前附表</w:t>
      </w:r>
      <w:r>
        <w:rPr>
          <w:rFonts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3.3政府采购监督管理部门：</w:t>
      </w:r>
      <w:r>
        <w:rPr>
          <w:rFonts w:hint="eastAsia" w:ascii="宋体" w:hAnsi="宋体" w:eastAsia="宋体"/>
          <w:color w:val="auto"/>
          <w:sz w:val="24"/>
          <w:highlight w:val="none"/>
        </w:rPr>
        <w:t>各级人民政府指定的有关部门依法履行与政府采购活动有关的监督管理职责。本项目的政府采购监督管理部门见</w:t>
      </w:r>
      <w:r>
        <w:rPr>
          <w:rFonts w:hint="eastAsia" w:ascii="宋体" w:hAnsi="宋体" w:eastAsia="宋体"/>
          <w:color w:val="auto"/>
          <w:sz w:val="24"/>
          <w:highlight w:val="none"/>
          <w:u w:val="single"/>
        </w:rPr>
        <w:t>投标人须知前附表</w:t>
      </w:r>
      <w:r>
        <w:rPr>
          <w:rFonts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.4投标人：是指向采购人提供货物、工程或者服务的法人、非法人组织或者自然人。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本项目的投标人及其投标货物须满足以下条件：</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.4.1在中华人民共和国境内注册，能够独立承担民事责任，有生产或供应能力的本国供应商。</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.4.2具备《中华人民共和国政府采购法》第二十二条关于供应商条件的规定，遵守本项目采购人本级和上级财政部门政府采购的有关规定。</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.4.3以采购代理机构认可的方式获得了本项目的招标文件。</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.4.4若</w:t>
      </w:r>
      <w:r>
        <w:rPr>
          <w:rFonts w:hint="eastAsia" w:ascii="宋体" w:hAnsi="宋体" w:eastAsia="宋体"/>
          <w:color w:val="auto"/>
          <w:sz w:val="24"/>
          <w:highlight w:val="none"/>
          <w:u w:val="single"/>
        </w:rPr>
        <w:t>投标人须知前附表</w:t>
      </w:r>
      <w:r>
        <w:rPr>
          <w:rFonts w:ascii="宋体" w:hAnsi="宋体" w:eastAsia="宋体"/>
          <w:color w:val="auto"/>
          <w:sz w:val="24"/>
          <w:highlight w:val="none"/>
        </w:rPr>
        <w:t>中写明允许采购进口产品，投标人应保证所投产品可履行合法报通关手续进入中国关境内。</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.4.5若</w:t>
      </w:r>
      <w:r>
        <w:rPr>
          <w:rFonts w:hint="eastAsia" w:ascii="宋体" w:hAnsi="宋体" w:eastAsia="宋体"/>
          <w:color w:val="auto"/>
          <w:sz w:val="24"/>
          <w:highlight w:val="none"/>
          <w:u w:val="single"/>
        </w:rPr>
        <w:t>投标人须知前附表</w:t>
      </w:r>
      <w:r>
        <w:rPr>
          <w:rFonts w:ascii="宋体" w:hAnsi="宋体" w:eastAsia="宋体"/>
          <w:color w:val="auto"/>
          <w:sz w:val="24"/>
          <w:highlight w:val="none"/>
        </w:rPr>
        <w:t>中写明专门面向中小企业采购的，如投标人</w:t>
      </w:r>
      <w:r>
        <w:rPr>
          <w:rFonts w:hint="eastAsia" w:ascii="宋体" w:hAnsi="宋体" w:eastAsia="宋体"/>
          <w:color w:val="auto"/>
          <w:sz w:val="24"/>
          <w:highlight w:val="none"/>
        </w:rPr>
        <w:t>提供的货物非</w:t>
      </w:r>
      <w:r>
        <w:rPr>
          <w:rFonts w:ascii="宋体" w:hAnsi="宋体" w:eastAsia="宋体"/>
          <w:color w:val="auto"/>
          <w:sz w:val="24"/>
          <w:highlight w:val="none"/>
        </w:rPr>
        <w:t>中小企业</w:t>
      </w:r>
      <w:r>
        <w:rPr>
          <w:rFonts w:hint="eastAsia" w:ascii="宋体" w:hAnsi="宋体" w:eastAsia="宋体"/>
          <w:color w:val="auto"/>
          <w:sz w:val="24"/>
          <w:highlight w:val="none"/>
        </w:rPr>
        <w:t>制造的</w:t>
      </w:r>
      <w:r>
        <w:rPr>
          <w:rFonts w:ascii="宋体" w:hAnsi="宋体" w:eastAsia="宋体"/>
          <w:color w:val="auto"/>
          <w:sz w:val="24"/>
          <w:highlight w:val="none"/>
        </w:rPr>
        <w:t>，其投标将被认定为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bCs/>
          <w:color w:val="auto"/>
          <w:kern w:val="0"/>
          <w:sz w:val="24"/>
          <w:szCs w:val="28"/>
          <w:highlight w:val="none"/>
        </w:rPr>
        <w:t>3</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若招标公告</w:t>
      </w:r>
      <w:r>
        <w:rPr>
          <w:rFonts w:ascii="宋体" w:hAnsi="宋体" w:eastAsia="宋体"/>
          <w:bCs/>
          <w:color w:val="auto"/>
          <w:kern w:val="0"/>
          <w:sz w:val="24"/>
          <w:szCs w:val="28"/>
          <w:highlight w:val="none"/>
        </w:rPr>
        <w:t>中允许联合体投标，对联合体规定如下</w:t>
      </w:r>
      <w:r>
        <w:rPr>
          <w:rFonts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.5.1两个以上供应商可以组成一个投标联合体，以一个投标人的身份投标。</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.5.2联合体各方均应符合《中华人民共和国政府采购法》第二十二条规定的条件。</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.5.3采购人根据采购项目对投标人的特殊要求，联合体中至少应当有一方符合相关规定。</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u w:val="single"/>
        </w:rPr>
        <w:t>投标人资格</w:t>
      </w:r>
      <w:r>
        <w:rPr>
          <w:rFonts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.6单位负责人为同一人或者存在直接控股、管理关系的不同供应商，</w:t>
      </w:r>
      <w:r>
        <w:rPr>
          <w:rFonts w:hint="eastAsia" w:ascii="宋体" w:hAnsi="宋体" w:eastAsia="宋体"/>
          <w:color w:val="auto"/>
          <w:sz w:val="24"/>
          <w:highlight w:val="none"/>
        </w:rPr>
        <w:t>不得参加同一合同项下的政府采购活动。否则其投标将被认定为</w:t>
      </w:r>
      <w:r>
        <w:rPr>
          <w:rFonts w:hint="eastAsia" w:ascii="宋体" w:hAnsi="宋体" w:eastAsia="宋体"/>
          <w:b/>
          <w:bCs/>
          <w:color w:val="auto"/>
          <w:sz w:val="24"/>
          <w:highlight w:val="none"/>
        </w:rPr>
        <w:t>投标无效</w:t>
      </w:r>
      <w:r>
        <w:rPr>
          <w:rFonts w:hint="eastAsia"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.7为本项目提供过整体设计、规范编制或者项目管理、监理、检测等服务的供应商，不得再参加本项目上述服务以外的其他采购活动。</w:t>
      </w:r>
      <w:bookmarkStart w:id="4" w:name="_Hlk13431092"/>
      <w:r>
        <w:rPr>
          <w:rFonts w:ascii="宋体" w:hAnsi="宋体" w:eastAsia="宋体"/>
          <w:color w:val="auto"/>
          <w:sz w:val="24"/>
          <w:highlight w:val="none"/>
        </w:rPr>
        <w:t>否则其投标将被认定为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bookmarkEnd w:id="4"/>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资金来源</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pPr>
        <w:spacing w:line="360" w:lineRule="auto"/>
        <w:ind w:firstLine="435"/>
        <w:rPr>
          <w:rFonts w:ascii="宋体" w:hAnsi="宋体" w:eastAsia="宋体"/>
          <w:color w:val="auto"/>
          <w:sz w:val="24"/>
          <w:highlight w:val="none"/>
        </w:rPr>
      </w:pPr>
      <w:bookmarkStart w:id="5" w:name="_Hlk11702998"/>
      <w:r>
        <w:rPr>
          <w:rFonts w:hint="eastAsia" w:ascii="宋体" w:hAnsi="宋体" w:eastAsia="宋体"/>
          <w:color w:val="auto"/>
          <w:sz w:val="24"/>
          <w:highlight w:val="none"/>
        </w:rPr>
        <w:t>4.2项目预算金额和分项（或分包）最高限价见</w:t>
      </w:r>
      <w:r>
        <w:rPr>
          <w:rFonts w:hint="eastAsia" w:ascii="宋体" w:hAnsi="宋体" w:eastAsia="宋体"/>
          <w:color w:val="auto"/>
          <w:sz w:val="24"/>
          <w:highlight w:val="none"/>
          <w:u w:val="single"/>
        </w:rPr>
        <w:t>投标邀请</w:t>
      </w:r>
      <w:r>
        <w:rPr>
          <w:rFonts w:hint="eastAsia" w:ascii="宋体" w:hAnsi="宋体" w:eastAsia="宋体"/>
          <w:color w:val="auto"/>
          <w:sz w:val="24"/>
          <w:highlight w:val="none"/>
        </w:rPr>
        <w:t>。</w:t>
      </w:r>
    </w:p>
    <w:bookmarkEnd w:id="5"/>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投标费用</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招标文件构成</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7.1招标文件包括下列内容：</w:t>
      </w:r>
    </w:p>
    <w:p>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政府采购供应商质疑函范本</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7.2招标文件中有不一致的，有</w:t>
      </w:r>
      <w:r>
        <w:rPr>
          <w:rFonts w:hint="eastAsia" w:asciiTheme="minorEastAsia" w:hAnsiTheme="minorEastAsia" w:eastAsiaTheme="minorEastAsia"/>
          <w:color w:val="auto"/>
          <w:sz w:val="24"/>
          <w:highlight w:val="none"/>
        </w:rPr>
        <w:t>澄清</w:t>
      </w:r>
      <w:r>
        <w:rPr>
          <w:rFonts w:asciiTheme="minorEastAsia" w:hAnsiTheme="minorEastAsia" w:eastAsiaTheme="minorEastAsia"/>
          <w:color w:val="auto"/>
          <w:sz w:val="24"/>
          <w:highlight w:val="none"/>
        </w:rPr>
        <w:t>的部分以最终的</w:t>
      </w:r>
      <w:r>
        <w:rPr>
          <w:rFonts w:hint="eastAsia" w:asciiTheme="minorEastAsia" w:hAnsiTheme="minorEastAsia" w:eastAsiaTheme="minorEastAsia"/>
          <w:color w:val="auto"/>
          <w:sz w:val="24"/>
          <w:highlight w:val="none"/>
        </w:rPr>
        <w:t>澄清更正</w:t>
      </w:r>
      <w:r>
        <w:rPr>
          <w:rFonts w:asciiTheme="minorEastAsia" w:hAnsiTheme="minorEastAsia" w:eastAsiaTheme="minorEastAsia"/>
          <w:color w:val="auto"/>
          <w:sz w:val="24"/>
          <w:highlight w:val="none"/>
        </w:rPr>
        <w:t>内容为准</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7.3现场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7.4原则上采购人、采购代理机构不要求投标人提供样品。除仅凭书面方式不能准确描述采购需求，或者需要对样品进行主观判断以确认是否满足采购需求等特殊情况除外。</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7.5投标人应认真阅读招标文件所有的事项、格式、条款和技术规范等。</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2采购人可主动地或在解答投标人提出的问题时对招标文件进行澄清与修改。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在安徽省政府采购网及</w:t>
      </w:r>
      <w:r>
        <w:rPr>
          <w:rFonts w:hint="eastAsia" w:ascii="宋体" w:hAnsi="宋体" w:eastAsia="宋体"/>
          <w:color w:val="auto"/>
          <w:sz w:val="24"/>
          <w:szCs w:val="18"/>
          <w:highlight w:val="none"/>
        </w:rPr>
        <w:t>安徽公共资源交易集团网站</w:t>
      </w:r>
      <w:r>
        <w:rPr>
          <w:rFonts w:hint="eastAsia" w:asciiTheme="minorEastAsia" w:hAnsiTheme="minorEastAsia" w:eastAsiaTheme="minorEastAsia"/>
          <w:color w:val="auto"/>
          <w:sz w:val="24"/>
          <w:highlight w:val="none"/>
        </w:rPr>
        <w:t>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8</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有分包的，投标人可对招标文件其中某一个或几个分包货物进行投标，除非在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bookmarkStart w:id="6" w:name="_Hlk16458980"/>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6"/>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0.</w:t>
      </w:r>
      <w:r>
        <w:rPr>
          <w:rFonts w:hint="eastAsia" w:asciiTheme="minorEastAsia" w:hAnsiTheme="minorEastAsia" w:eastAsiaTheme="minorEastAsia"/>
          <w:b/>
          <w:color w:val="auto"/>
          <w:sz w:val="24"/>
          <w:highlight w:val="none"/>
        </w:rPr>
        <w:t>投标文件构成</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具体内容详见本项目第六章投标文件格式的相关内容。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w:t>
      </w:r>
      <w:r>
        <w:rPr>
          <w:rFonts w:asciiTheme="minorEastAsia" w:hAnsiTheme="minorEastAsia" w:eastAsiaTheme="minorEastAsia"/>
          <w:color w:val="auto"/>
          <w:sz w:val="24"/>
          <w:highlight w:val="none"/>
        </w:rPr>
        <w:t>.2上述</w:t>
      </w:r>
      <w:r>
        <w:rPr>
          <w:rFonts w:ascii="宋体" w:hAnsi="宋体" w:eastAsia="宋体"/>
          <w:color w:val="auto"/>
          <w:sz w:val="24"/>
          <w:highlight w:val="none"/>
        </w:rPr>
        <w:t>文件</w:t>
      </w:r>
      <w:r>
        <w:rPr>
          <w:rFonts w:asciiTheme="minorEastAsia" w:hAnsiTheme="minorEastAsia" w:eastAsiaTheme="minorEastAsia"/>
          <w:color w:val="auto"/>
          <w:sz w:val="24"/>
          <w:highlight w:val="none"/>
        </w:rPr>
        <w:t>应按照招标文件规定的格式填写、签署和盖章。</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证明投标标的的合格性和符合招标文件规定的技术文件</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证明文件，证明其投标内容符合招标文件规定。该证明文件是投标文件的一部分。</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.2上款所述的证明文件，可以是文字资料、图纸和数据</w:t>
      </w:r>
      <w:bookmarkStart w:id="7" w:name="_Hlk11703583"/>
      <w:r>
        <w:rPr>
          <w:rFonts w:asciiTheme="minorEastAsia" w:hAnsiTheme="minorEastAsia" w:eastAsiaTheme="minorEastAsia"/>
          <w:color w:val="auto"/>
          <w:sz w:val="24"/>
          <w:highlight w:val="none"/>
        </w:rPr>
        <w:t>，它包括：</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.2.1</w:t>
      </w:r>
      <w:r>
        <w:rPr>
          <w:rFonts w:ascii="宋体" w:hAnsi="宋体" w:eastAsia="宋体"/>
          <w:color w:val="auto"/>
          <w:sz w:val="24"/>
          <w:highlight w:val="none"/>
        </w:rPr>
        <w:t>货物</w:t>
      </w:r>
      <w:r>
        <w:rPr>
          <w:rFonts w:asciiTheme="minorEastAsia" w:hAnsiTheme="minorEastAsia" w:eastAsiaTheme="minorEastAsia"/>
          <w:color w:val="auto"/>
          <w:sz w:val="24"/>
          <w:highlight w:val="none"/>
        </w:rPr>
        <w:t>主要技术指标和性能的详细说明；</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.2.2</w:t>
      </w:r>
      <w:r>
        <w:rPr>
          <w:rFonts w:ascii="宋体" w:hAnsi="宋体" w:eastAsia="宋体"/>
          <w:color w:val="auto"/>
          <w:sz w:val="24"/>
          <w:highlight w:val="none"/>
        </w:rPr>
        <w:t>货物</w:t>
      </w:r>
      <w:r>
        <w:rPr>
          <w:rFonts w:asciiTheme="minorEastAsia" w:hAnsiTheme="minorEastAsia" w:eastAsiaTheme="minorEastAsia"/>
          <w:color w:val="auto"/>
          <w:sz w:val="24"/>
          <w:highlight w:val="none"/>
        </w:rPr>
        <w:t>从买方开始使用至招标文件规定的保质期内正常、连续地使用所必须的备件和专用工具清单，包括备件和专用工具的货源及现行价格；</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.2.3对照</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技术规格，逐条说明所提供货物及伴随的工程和服务已对招标文件的技术规格做出了实质性的响应，或申明与技术规格条文的偏差和例外。</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.3投标人应</w:t>
      </w:r>
      <w:r>
        <w:rPr>
          <w:rFonts w:ascii="宋体" w:hAnsi="宋体" w:eastAsia="宋体"/>
          <w:color w:val="auto"/>
          <w:sz w:val="24"/>
          <w:highlight w:val="none"/>
        </w:rPr>
        <w:t>注意</w:t>
      </w:r>
      <w:r>
        <w:rPr>
          <w:rFonts w:asciiTheme="minorEastAsia" w:hAnsiTheme="minorEastAsia" w:eastAsiaTheme="minorEastAsia"/>
          <w:color w:val="auto"/>
          <w:sz w:val="24"/>
          <w:highlight w:val="none"/>
        </w:rPr>
        <w:t>采购人在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w:t>
      </w:r>
      <w:r>
        <w:rPr>
          <w:rFonts w:hint="eastAsia" w:asciiTheme="minorEastAsia" w:hAnsiTheme="minorEastAsia" w:eastAsiaTheme="minorEastAsia"/>
          <w:color w:val="auto"/>
          <w:sz w:val="24"/>
          <w:highlight w:val="none"/>
        </w:rPr>
        <w:t>提供</w:t>
      </w:r>
      <w:r>
        <w:rPr>
          <w:rFonts w:asciiTheme="minorEastAsia" w:hAnsiTheme="minorEastAsia" w:eastAsiaTheme="minorEastAsia"/>
          <w:color w:val="auto"/>
          <w:sz w:val="24"/>
          <w:highlight w:val="none"/>
        </w:rPr>
        <w:t>的工艺、材料和设备的参</w:t>
      </w:r>
      <w:r>
        <w:rPr>
          <w:rFonts w:hint="eastAsia" w:asciiTheme="minorEastAsia" w:hAnsiTheme="minorEastAsia" w:eastAsiaTheme="minorEastAsia"/>
          <w:color w:val="auto"/>
          <w:sz w:val="24"/>
          <w:highlight w:val="none"/>
        </w:rPr>
        <w:t>考</w:t>
      </w:r>
      <w:r>
        <w:rPr>
          <w:rFonts w:asciiTheme="minorEastAsia" w:hAnsiTheme="minorEastAsia" w:eastAsiaTheme="minorEastAsia"/>
          <w:color w:val="auto"/>
          <w:sz w:val="24"/>
          <w:highlight w:val="none"/>
        </w:rPr>
        <w:t>品牌型号或分类号仅起说明作用，并没有任何限制性。投标人在投标</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中可以选用替代品牌型号或分类号，但这些替代要实质上相当于技术规格的要求</w:t>
      </w:r>
      <w:r>
        <w:rPr>
          <w:rFonts w:hint="eastAsia" w:asciiTheme="minorEastAsia" w:hAnsiTheme="minorEastAsia" w:eastAsiaTheme="minorEastAsia"/>
          <w:color w:val="auto"/>
          <w:sz w:val="24"/>
          <w:highlight w:val="none"/>
        </w:rPr>
        <w:t>，是否满足要求，由评标委员会来评判。</w:t>
      </w:r>
    </w:p>
    <w:bookmarkEnd w:id="7"/>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1.4</w:t>
      </w:r>
      <w:r>
        <w:rPr>
          <w:rFonts w:hint="eastAsia" w:asciiTheme="minorEastAsia" w:hAnsiTheme="minorEastAsia" w:eastAsiaTheme="minorEastAsia"/>
          <w:color w:val="auto"/>
          <w:sz w:val="24"/>
          <w:highlight w:val="none"/>
        </w:rPr>
        <w:t>本条所指证明文件不包括对招标文件相关部分的文字、图标的复制。</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.5为保证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投标报价</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2.1投标人的报价应当包括满足本次招标全部采购需求所应提供的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12.2投标人报价超过招标文件规定的预算金额或者分项、分包最高限价，其投标将被认定为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.3投标人应在投标分项报价表上标明投标货物及相关服务的单价（如适用）和总价。</w:t>
      </w:r>
      <w:r>
        <w:rPr>
          <w:rFonts w:hint="eastAsia" w:asciiTheme="minorEastAsia" w:hAnsiTheme="minorEastAsia" w:eastAsiaTheme="minorEastAsia"/>
          <w:color w:val="auto"/>
          <w:sz w:val="24"/>
          <w:highlight w:val="none"/>
        </w:rPr>
        <w:t>未标明的视同包含在投标报价中。</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2.5</w:t>
      </w:r>
      <w:r>
        <w:rPr>
          <w:rFonts w:hint="eastAsia" w:asciiTheme="minorEastAsia" w:hAnsiTheme="minorEastAsia" w:eastAsiaTheme="minorEastAsia"/>
          <w:color w:val="auto"/>
          <w:sz w:val="24"/>
          <w:highlight w:val="none"/>
        </w:rPr>
        <w:t>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color w:val="auto"/>
          <w:sz w:val="24"/>
          <w:highlight w:val="none"/>
        </w:rPr>
        <w:t>必要时提交相关证明材料；投标人不能证明其报价合理性的，其投标将被认定为</w:t>
      </w:r>
      <w:r>
        <w:rPr>
          <w:rFonts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.6采购人不接受具有附加条件的报价。</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rPr>
        <w:t>投标保证金</w:t>
      </w:r>
    </w:p>
    <w:p>
      <w:pPr>
        <w:spacing w:line="360" w:lineRule="auto"/>
        <w:ind w:firstLine="435"/>
        <w:rPr>
          <w:rFonts w:ascii="宋体" w:hAnsi="宋体" w:eastAsia="宋体" w:cs="宋体"/>
          <w:color w:val="auto"/>
          <w:sz w:val="24"/>
          <w:highlight w:val="none"/>
        </w:rPr>
      </w:pPr>
      <w:r>
        <w:rPr>
          <w:rFonts w:hint="eastAsia" w:asciiTheme="minorEastAsia" w:hAnsiTheme="minorEastAsia" w:eastAsiaTheme="minorEastAsia"/>
          <w:color w:val="auto"/>
          <w:sz w:val="24"/>
          <w:highlight w:val="none"/>
        </w:rPr>
        <w:t>13.1本项目不收取投标保证金。</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4.</w:t>
      </w:r>
      <w:r>
        <w:rPr>
          <w:rFonts w:hint="eastAsia" w:asciiTheme="minorEastAsia" w:hAnsiTheme="minorEastAsia" w:eastAsiaTheme="minorEastAsia"/>
          <w:b/>
          <w:color w:val="auto"/>
          <w:sz w:val="24"/>
          <w:highlight w:val="none"/>
        </w:rPr>
        <w:t>投标有效期</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14.3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5.</w:t>
      </w:r>
      <w:r>
        <w:rPr>
          <w:rFonts w:hint="eastAsia" w:asciiTheme="minorEastAsia" w:hAnsiTheme="minorEastAsia" w:eastAsiaTheme="minorEastAsia"/>
          <w:b/>
          <w:color w:val="auto"/>
          <w:sz w:val="24"/>
          <w:highlight w:val="none"/>
        </w:rPr>
        <w:t>投标文件的制作</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15.1本项目要求提供加密电子投标文件，</w:t>
      </w:r>
      <w:r>
        <w:rPr>
          <w:rFonts w:asciiTheme="minorEastAsia" w:hAnsiTheme="minorEastAsia" w:eastAsiaTheme="minorEastAsia"/>
          <w:color w:val="auto"/>
          <w:sz w:val="24"/>
          <w:highlight w:val="none"/>
        </w:rPr>
        <w:t>投标文件的制作应满足以下规定：</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由投标人使用电子交易系统提供的“投标文件制作工具”制作生成。“投标文件制作工具”可以通过电子交易系统中下载。投标人应当在互联网络通畅状态下启用最新版投标文件制作工具制作投标文件。</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2）在第</w:t>
      </w:r>
      <w:r>
        <w:rPr>
          <w:rFonts w:hint="eastAsia" w:asciiTheme="minorEastAsia" w:hAnsiTheme="minorEastAsia" w:eastAsiaTheme="minorEastAsia"/>
          <w:color w:val="auto"/>
          <w:sz w:val="24"/>
          <w:highlight w:val="none"/>
        </w:rPr>
        <w:t>六</w:t>
      </w:r>
      <w:r>
        <w:rPr>
          <w:rFonts w:asciiTheme="minorEastAsia" w:hAnsiTheme="minorEastAsia" w:eastAsiaTheme="minorEastAsia"/>
          <w:color w:val="auto"/>
          <w:sz w:val="24"/>
          <w:highlight w:val="none"/>
        </w:rPr>
        <w:t>章“投标文件格式”中要求盖投标人电子</w:t>
      </w:r>
      <w:r>
        <w:rPr>
          <w:rFonts w:hint="eastAsia" w:asciiTheme="minorEastAsia" w:hAnsiTheme="minorEastAsia" w:eastAsiaTheme="minorEastAsia"/>
          <w:color w:val="auto"/>
          <w:sz w:val="24"/>
          <w:highlight w:val="none"/>
        </w:rPr>
        <w:t>签</w:t>
      </w:r>
      <w:r>
        <w:rPr>
          <w:rFonts w:asciiTheme="minorEastAsia" w:hAnsiTheme="minorEastAsia" w:eastAsiaTheme="minorEastAsia"/>
          <w:color w:val="auto"/>
          <w:sz w:val="24"/>
          <w:highlight w:val="none"/>
        </w:rPr>
        <w:t>章处，投标人均应加盖投标人电子</w:t>
      </w:r>
      <w:r>
        <w:rPr>
          <w:rFonts w:hint="eastAsia" w:asciiTheme="minorEastAsia" w:hAnsiTheme="minorEastAsia" w:eastAsiaTheme="minorEastAsia"/>
          <w:color w:val="auto"/>
          <w:sz w:val="24"/>
          <w:highlight w:val="none"/>
        </w:rPr>
        <w:t>签</w:t>
      </w:r>
      <w:r>
        <w:rPr>
          <w:rFonts w:asciiTheme="minorEastAsia" w:hAnsiTheme="minorEastAsia" w:eastAsiaTheme="minorEastAsia"/>
          <w:color w:val="auto"/>
          <w:sz w:val="24"/>
          <w:highlight w:val="none"/>
        </w:rPr>
        <w:t>章</w:t>
      </w:r>
      <w:r>
        <w:rPr>
          <w:rFonts w:hint="eastAsia" w:asciiTheme="minorEastAsia" w:hAnsiTheme="minorEastAsia" w:eastAsiaTheme="minorEastAsia"/>
          <w:color w:val="auto"/>
          <w:sz w:val="24"/>
          <w:highlight w:val="none"/>
        </w:rPr>
        <w:t>或公章</w:t>
      </w:r>
      <w:r>
        <w:rPr>
          <w:rFonts w:asciiTheme="minorEastAsia" w:hAnsiTheme="minorEastAsia" w:eastAsiaTheme="minorEastAsia"/>
          <w:color w:val="auto"/>
          <w:sz w:val="24"/>
          <w:highlight w:val="none"/>
        </w:rPr>
        <w:t>。联合体投标的，除联合协议</w:t>
      </w:r>
      <w:r>
        <w:rPr>
          <w:rFonts w:hint="eastAsia" w:asciiTheme="minorEastAsia" w:hAnsiTheme="minorEastAsia" w:eastAsiaTheme="minorEastAsia"/>
          <w:color w:val="auto"/>
          <w:sz w:val="24"/>
          <w:highlight w:val="none"/>
        </w:rPr>
        <w:t>及联合体各成员单位提供的本单位证明材料</w:t>
      </w:r>
      <w:r>
        <w:rPr>
          <w:rFonts w:asciiTheme="minorEastAsia" w:hAnsiTheme="minorEastAsia" w:eastAsiaTheme="minorEastAsia"/>
          <w:color w:val="auto"/>
          <w:sz w:val="24"/>
          <w:highlight w:val="none"/>
        </w:rPr>
        <w:t>外，投标文件由联合体牵头人按上述规定加盖联合体牵头人单位电子</w:t>
      </w:r>
      <w:r>
        <w:rPr>
          <w:rFonts w:hint="eastAsia" w:asciiTheme="minorEastAsia" w:hAnsiTheme="minorEastAsia" w:eastAsiaTheme="minorEastAsia"/>
          <w:color w:val="auto"/>
          <w:sz w:val="24"/>
          <w:highlight w:val="none"/>
        </w:rPr>
        <w:t>签</w:t>
      </w:r>
      <w:r>
        <w:rPr>
          <w:rFonts w:asciiTheme="minorEastAsia" w:hAnsiTheme="minorEastAsia" w:eastAsiaTheme="minorEastAsia"/>
          <w:color w:val="auto"/>
          <w:sz w:val="24"/>
          <w:highlight w:val="none"/>
        </w:rPr>
        <w:t>章。</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投标文件制作完成后，投标人应对投标文件进行文件加密，形成加密的投标文件。采用数字证书加密的，加密时投标文件的所有内容均只能使用同一把数字证书进行加密，否则引起的解密失败责任由投标人自行承担。</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4）投标文件制作的具体方法详见“投标文件制作工具”中的帮助文档。</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15.2因投标人自身原因而导致投标文件无法导入电子交易系统电子开标、评标系统，该投标视为无效投标，投标人自行承担由此导致的全部责任。（该投标文件是指解密后的投标文件）。</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5.3</w:t>
      </w:r>
      <w:r>
        <w:rPr>
          <w:rFonts w:hint="eastAsia" w:asciiTheme="minorEastAsia" w:hAnsiTheme="minorEastAsia" w:eastAsiaTheme="minorEastAsia"/>
          <w:color w:val="auto"/>
          <w:sz w:val="24"/>
          <w:highlight w:val="none"/>
        </w:rPr>
        <w:t>开标现场提交的其他材料要求详见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6.</w:t>
      </w:r>
      <w:r>
        <w:rPr>
          <w:rFonts w:hint="eastAsia" w:asciiTheme="minorEastAsia" w:hAnsiTheme="minorEastAsia" w:eastAsiaTheme="minorEastAsia"/>
          <w:b/>
          <w:color w:val="auto"/>
          <w:sz w:val="24"/>
          <w:highlight w:val="none"/>
        </w:rPr>
        <w:t>投标截止</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16.1投标人应在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中规定的</w:t>
      </w:r>
      <w:r>
        <w:rPr>
          <w:rFonts w:hint="eastAsia" w:asciiTheme="minorEastAsia" w:hAnsiTheme="minorEastAsia" w:eastAsiaTheme="minorEastAsia"/>
          <w:color w:val="auto"/>
          <w:sz w:val="24"/>
          <w:highlight w:val="none"/>
        </w:rPr>
        <w:t>投标</w:t>
      </w:r>
      <w:r>
        <w:rPr>
          <w:rFonts w:asciiTheme="minorEastAsia" w:hAnsiTheme="minorEastAsia" w:eastAsiaTheme="minorEastAsia"/>
          <w:color w:val="auto"/>
          <w:sz w:val="24"/>
          <w:highlight w:val="none"/>
        </w:rPr>
        <w:t>截止时间前，</w:t>
      </w:r>
      <w:r>
        <w:rPr>
          <w:rFonts w:hint="eastAsia" w:asciiTheme="minorEastAsia" w:hAnsiTheme="minorEastAsia" w:eastAsiaTheme="minorEastAsia"/>
          <w:color w:val="auto"/>
          <w:sz w:val="24"/>
          <w:highlight w:val="none"/>
        </w:rPr>
        <w:t>在网上提交加密电子投标文件。</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6</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在</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规定的投标截止时间前上传了网上加密电子投标文件，但未在规定时间内进行解密的，</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16.3采购人和采购代理机构有权按本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的规定，延迟投标截止时间。在此情况下，采购人、采购代理机构和投标人受投标截止时间制约的所有权利和义务均应延长至新的截止时间。</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7.</w:t>
      </w:r>
      <w:r>
        <w:rPr>
          <w:rFonts w:hint="eastAsia" w:asciiTheme="minorEastAsia" w:hAnsiTheme="minorEastAsia" w:eastAsiaTheme="minorEastAsia"/>
          <w:b/>
          <w:color w:val="auto"/>
          <w:sz w:val="24"/>
          <w:highlight w:val="none"/>
        </w:rPr>
        <w:t>投标文件的递交、修改与撤回</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17</w:t>
      </w:r>
      <w:r>
        <w:rPr>
          <w:rFonts w:hint="eastAsia" w:asciiTheme="minorEastAsia" w:hAnsiTheme="minorEastAsia" w:eastAsiaTheme="minorEastAsia"/>
          <w:color w:val="auto"/>
          <w:sz w:val="24"/>
          <w:highlight w:val="none"/>
        </w:rPr>
        <w:t>.1投标人应当在第一章“投标邀请”规定的投标截止时间前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17</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17</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投标人在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规定的解密时间（以电子交易系统解密倒计时为准）内完成电子投标文件的解密工作。</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8.</w:t>
      </w:r>
      <w:r>
        <w:rPr>
          <w:rFonts w:hint="eastAsia" w:asciiTheme="minorEastAsia" w:hAnsiTheme="minorEastAsia" w:eastAsiaTheme="minorEastAsia"/>
          <w:b/>
          <w:color w:val="auto"/>
          <w:sz w:val="24"/>
          <w:highlight w:val="none"/>
        </w:rPr>
        <w:t>开标</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18.1采购人和</w:t>
      </w:r>
      <w:r>
        <w:rPr>
          <w:rFonts w:asciiTheme="minorEastAsia" w:hAnsiTheme="minorEastAsia" w:eastAsiaTheme="minorEastAsia"/>
          <w:color w:val="auto"/>
          <w:sz w:val="24"/>
          <w:highlight w:val="none"/>
        </w:rPr>
        <w:t>采购代理机构</w:t>
      </w:r>
      <w:r>
        <w:rPr>
          <w:rFonts w:hint="eastAsia" w:asciiTheme="minorEastAsia" w:hAnsiTheme="minorEastAsia" w:eastAsiaTheme="minorEastAsia"/>
          <w:color w:val="auto"/>
          <w:sz w:val="24"/>
          <w:highlight w:val="none"/>
        </w:rPr>
        <w:t>将按</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中规定的开标时间和地点组织公开开标。</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w:t>
      </w:r>
      <w:r>
        <w:rPr>
          <w:rFonts w:asciiTheme="minorEastAsia" w:hAnsiTheme="minorEastAsia" w:eastAsiaTheme="minorEastAsia"/>
          <w:color w:val="auto"/>
          <w:sz w:val="24"/>
          <w:highlight w:val="none"/>
        </w:rPr>
        <w:t>.2开标时，各投标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应在规定时间前（</w:t>
      </w:r>
      <w:r>
        <w:rPr>
          <w:rFonts w:hint="eastAsia" w:asciiTheme="minorEastAsia" w:hAnsiTheme="minorEastAsia" w:eastAsiaTheme="minorEastAsia"/>
          <w:color w:val="auto"/>
          <w:sz w:val="24"/>
          <w:highlight w:val="none"/>
        </w:rPr>
        <w:t>以电子交易系统解密倒计时为准</w:t>
      </w:r>
      <w:r>
        <w:rPr>
          <w:rFonts w:asciiTheme="minorEastAsia" w:hAnsiTheme="minorEastAsia" w:eastAsiaTheme="minorEastAsia"/>
          <w:color w:val="auto"/>
          <w:sz w:val="24"/>
          <w:highlight w:val="none"/>
        </w:rPr>
        <w:t>）对本单位的投标文件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18.4采购人或采购代理机构将对开标过程进行记录，由参加开标的各投标人代表和相关工作人员签字确认，并存档备查。</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18.5投标人代表对开标过程和开标记录有疑义，以及认为采购人、采购代理机构相关工作人员有需要回避的情形的，应当场提出询问或者回避申请。</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9.</w:t>
      </w:r>
      <w:r>
        <w:rPr>
          <w:rFonts w:hint="eastAsia" w:asciiTheme="minorEastAsia" w:hAnsiTheme="minorEastAsia" w:eastAsiaTheme="minorEastAsia"/>
          <w:b/>
          <w:color w:val="auto"/>
          <w:sz w:val="24"/>
          <w:highlight w:val="none"/>
        </w:rPr>
        <w:t>资格审查及组建评标委员会</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19.1采购人或采购代理机构依据法律法规和招标文件中规定的内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19.2</w:t>
      </w:r>
      <w:r>
        <w:rPr>
          <w:rFonts w:hint="eastAsia" w:asciiTheme="minorEastAsia" w:hAnsiTheme="minorEastAsia" w:eastAsiaTheme="minorEastAsia"/>
          <w:color w:val="auto"/>
          <w:sz w:val="24"/>
          <w:highlight w:val="none"/>
        </w:rPr>
        <w:t>采购人</w:t>
      </w:r>
      <w:r>
        <w:rPr>
          <w:rFonts w:asciiTheme="minorEastAsia" w:hAnsiTheme="minorEastAsia" w:eastAsiaTheme="minorEastAsia"/>
          <w:color w:val="auto"/>
          <w:sz w:val="24"/>
          <w:highlight w:val="none"/>
        </w:rPr>
        <w:t>或</w:t>
      </w:r>
      <w:r>
        <w:rPr>
          <w:rFonts w:ascii="宋体" w:hAnsi="宋体" w:eastAsia="宋体"/>
          <w:color w:val="auto"/>
          <w:sz w:val="24"/>
          <w:highlight w:val="none"/>
        </w:rPr>
        <w:t>采购</w:t>
      </w:r>
      <w:r>
        <w:rPr>
          <w:rFonts w:asciiTheme="minorEastAsia" w:hAnsiTheme="minorEastAsia" w:eastAsiaTheme="minorEastAsia"/>
          <w:color w:val="auto"/>
          <w:sz w:val="24"/>
          <w:highlight w:val="none"/>
        </w:rPr>
        <w:t>代理机构</w:t>
      </w:r>
      <w:r>
        <w:rPr>
          <w:rFonts w:hint="eastAsia" w:asciiTheme="minorEastAsia" w:hAnsiTheme="minorEastAsia" w:eastAsiaTheme="minorEastAsia"/>
          <w:color w:val="auto"/>
          <w:sz w:val="24"/>
          <w:highlight w:val="none"/>
        </w:rPr>
        <w:t>将在投标截止时间后至</w:t>
      </w:r>
      <w:bookmarkStart w:id="8" w:name="_Hlk11535240"/>
      <w:r>
        <w:rPr>
          <w:rFonts w:hint="eastAsia" w:asciiTheme="minorEastAsia" w:hAnsiTheme="minorEastAsia" w:eastAsiaTheme="minorEastAsia"/>
          <w:color w:val="auto"/>
          <w:sz w:val="24"/>
          <w:highlight w:val="none"/>
        </w:rPr>
        <w:t>评审结束</w:t>
      </w:r>
      <w:bookmarkEnd w:id="8"/>
      <w:r>
        <w:rPr>
          <w:rFonts w:hint="eastAsia" w:asciiTheme="minorEastAsia" w:hAnsiTheme="minorEastAsia" w:eastAsiaTheme="minorEastAsia"/>
          <w:color w:val="auto"/>
          <w:sz w:val="24"/>
          <w:highlight w:val="none"/>
        </w:rPr>
        <w:t>前查询投标人的信用记录。投标人存在不良信用记录的，其投标将被认定为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pPr>
        <w:spacing w:line="360" w:lineRule="auto"/>
        <w:ind w:firstLine="435"/>
        <w:rPr>
          <w:rFonts w:ascii="宋体" w:hAnsi="宋体" w:eastAsia="宋体"/>
          <w:color w:val="auto"/>
          <w:sz w:val="24"/>
          <w:szCs w:val="18"/>
          <w:highlight w:val="none"/>
        </w:rPr>
      </w:pPr>
      <w:r>
        <w:rPr>
          <w:rFonts w:asciiTheme="minorEastAsia" w:hAnsiTheme="minorEastAsia" w:eastAsiaTheme="minorEastAsia"/>
          <w:color w:val="auto"/>
          <w:sz w:val="24"/>
          <w:highlight w:val="none"/>
        </w:rPr>
        <w:t>19.2</w:t>
      </w:r>
      <w:r>
        <w:rPr>
          <w:rFonts w:hint="eastAsia" w:asciiTheme="minorEastAsia" w:hAnsiTheme="minorEastAsia" w:eastAsiaTheme="minorEastAsia"/>
          <w:color w:val="auto"/>
          <w:sz w:val="24"/>
          <w:highlight w:val="none"/>
        </w:rPr>
        <w:t>.1不良信用记录是指：</w:t>
      </w:r>
      <w:r>
        <w:rPr>
          <w:rFonts w:hint="eastAsia" w:ascii="宋体" w:hAnsi="宋体" w:eastAsia="宋体"/>
          <w:color w:val="auto"/>
          <w:sz w:val="24"/>
          <w:szCs w:val="18"/>
          <w:highlight w:val="none"/>
        </w:rPr>
        <w:t>（1）供应商被人民法院列入失信被执行人；（2）供应商或其法定代表人或拟派项目经理（项目负责人）被人民检察院列入行贿犯罪档案；（3）供应商被工商行政管理部门列入企业经营异常名录；（4）供应商被税务部门列入重大税收违法案件当事人名单；（5）供应商被政府采购监管部门列入政府采购严重违法失信行为记录名单</w:t>
      </w:r>
      <w:r>
        <w:rPr>
          <w:rFonts w:hint="eastAsia" w:asciiTheme="minorEastAsia" w:hAnsiTheme="minorEastAsia" w:eastAsiaTheme="minorEastAsia"/>
          <w:color w:val="auto"/>
          <w:sz w:val="24"/>
          <w:highlight w:val="none"/>
        </w:rPr>
        <w:t>，以及存在《中华人民共和国政府采购法实施条例》第十九条规定的行政处罚记录</w:t>
      </w:r>
      <w:r>
        <w:rPr>
          <w:rFonts w:hint="eastAsia" w:ascii="宋体" w:hAnsi="宋体" w:eastAsia="宋体"/>
          <w:color w:val="auto"/>
          <w:sz w:val="24"/>
          <w:szCs w:val="18"/>
          <w:highlight w:val="none"/>
        </w:rPr>
        <w:t>。</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以联合体形式参加投标的，</w:t>
      </w:r>
      <w:r>
        <w:rPr>
          <w:rFonts w:hint="eastAsia" w:ascii="宋体" w:hAnsi="宋体" w:eastAsia="宋体"/>
          <w:color w:val="auto"/>
          <w:sz w:val="24"/>
          <w:highlight w:val="none"/>
        </w:rPr>
        <w:t>联合体</w:t>
      </w:r>
      <w:r>
        <w:rPr>
          <w:rFonts w:hint="eastAsia" w:asciiTheme="minorEastAsia" w:hAnsiTheme="minorEastAsia" w:eastAsiaTheme="minorEastAsia"/>
          <w:color w:val="auto"/>
          <w:sz w:val="24"/>
          <w:highlight w:val="none"/>
        </w:rPr>
        <w:t>任何成员存在以上不良信用记录的，联合体投标将被认定为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bookmarkStart w:id="9" w:name="_Hlk24663244"/>
      <w:r>
        <w:rPr>
          <w:rFonts w:asciiTheme="minorEastAsia" w:hAnsiTheme="minorEastAsia" w:eastAsiaTheme="minorEastAsia"/>
          <w:color w:val="auto"/>
          <w:sz w:val="24"/>
          <w:highlight w:val="none"/>
        </w:rPr>
        <w:t>19.2</w:t>
      </w:r>
      <w:r>
        <w:rPr>
          <w:rFonts w:hint="eastAsia" w:asciiTheme="minorEastAsia" w:hAnsiTheme="minorEastAsia" w:eastAsiaTheme="minorEastAsia"/>
          <w:color w:val="auto"/>
          <w:sz w:val="24"/>
          <w:highlight w:val="none"/>
        </w:rPr>
        <w:t>.2信用信息查询渠道：中国政府采购网（www.ccgp.gov.cn）、“信用中国”网站（www.creditchina.gov.cn）、国家企业信用信息公示系统（</w:t>
      </w:r>
      <w:r>
        <w:rPr>
          <w:rFonts w:asciiTheme="minorEastAsia" w:hAnsiTheme="minorEastAsia" w:eastAsiaTheme="minorEastAsia"/>
          <w:color w:val="auto"/>
          <w:sz w:val="24"/>
          <w:highlight w:val="none"/>
        </w:rPr>
        <w:t>www.gsxt.gov.cn</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注：</w:t>
      </w:r>
      <w:r>
        <w:rPr>
          <w:rFonts w:hint="eastAsia" w:asciiTheme="minorEastAsia" w:hAnsiTheme="minorEastAsia" w:eastAsiaTheme="minorEastAsia"/>
          <w:color w:val="auto"/>
          <w:sz w:val="24"/>
          <w:highlight w:val="none"/>
        </w:rPr>
        <w:t>企业经营异常名录以国家企业信用信息公示系统查询结果为准。</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9.2.3</w:t>
      </w:r>
      <w:r>
        <w:rPr>
          <w:rFonts w:hint="eastAsia" w:asciiTheme="minorEastAsia" w:hAnsiTheme="minorEastAsia" w:eastAsiaTheme="minorEastAsia"/>
          <w:color w:val="auto"/>
          <w:sz w:val="24"/>
          <w:highlight w:val="none"/>
        </w:rPr>
        <w:t>信用信息</w:t>
      </w:r>
      <w:r>
        <w:rPr>
          <w:rFonts w:hint="eastAsia" w:ascii="宋体" w:hAnsi="宋体" w:eastAsia="宋体"/>
          <w:color w:val="auto"/>
          <w:sz w:val="24"/>
          <w:highlight w:val="none"/>
        </w:rPr>
        <w:t>记录方式</w:t>
      </w:r>
      <w:r>
        <w:rPr>
          <w:rFonts w:hint="eastAsia" w:asciiTheme="minorEastAsia" w:hAnsiTheme="minorEastAsia" w:eastAsiaTheme="minorEastAsia"/>
          <w:color w:val="auto"/>
          <w:sz w:val="24"/>
          <w:highlight w:val="none"/>
        </w:rPr>
        <w:t>：采购人</w:t>
      </w:r>
      <w:r>
        <w:rPr>
          <w:rFonts w:asciiTheme="minorEastAsia" w:hAnsiTheme="minorEastAsia" w:eastAsiaTheme="minorEastAsia"/>
          <w:color w:val="auto"/>
          <w:sz w:val="24"/>
          <w:highlight w:val="none"/>
        </w:rPr>
        <w:t>或采购代理机构</w:t>
      </w:r>
      <w:r>
        <w:rPr>
          <w:rFonts w:hint="eastAsia" w:asciiTheme="minorEastAsia" w:hAnsiTheme="minorEastAsia" w:eastAsiaTheme="minorEastAsia"/>
          <w:color w:val="auto"/>
          <w:sz w:val="24"/>
          <w:highlight w:val="none"/>
        </w:rPr>
        <w:t>工作人员将查询网页打印、签字并存档备查。</w:t>
      </w:r>
      <w:r>
        <w:rPr>
          <w:rFonts w:hint="eastAsia" w:ascii="宋体" w:hAnsi="宋体" w:eastAsia="宋体"/>
          <w:color w:val="auto"/>
          <w:sz w:val="24"/>
          <w:highlight w:val="none"/>
        </w:rPr>
        <w:t>投标人</w:t>
      </w:r>
      <w:r>
        <w:rPr>
          <w:rFonts w:hint="eastAsia" w:asciiTheme="minorEastAsia" w:hAnsiTheme="minorEastAsia" w:eastAsiaTheme="minorEastAsia"/>
          <w:color w:val="auto"/>
          <w:sz w:val="24"/>
          <w:highlight w:val="none"/>
        </w:rPr>
        <w:t>不良信用记录以采购人</w:t>
      </w:r>
      <w:r>
        <w:rPr>
          <w:rFonts w:asciiTheme="minorEastAsia" w:hAnsiTheme="minorEastAsia" w:eastAsiaTheme="minorEastAsia"/>
          <w:color w:val="auto"/>
          <w:sz w:val="24"/>
          <w:highlight w:val="none"/>
        </w:rPr>
        <w:t>或采购代理机构</w:t>
      </w:r>
      <w:r>
        <w:rPr>
          <w:rFonts w:hint="eastAsia" w:asciiTheme="minorEastAsia" w:hAnsiTheme="minorEastAsia" w:eastAsiaTheme="minorEastAsia"/>
          <w:color w:val="auto"/>
          <w:sz w:val="24"/>
          <w:highlight w:val="none"/>
        </w:rPr>
        <w:t>查询结果为准。</w:t>
      </w:r>
    </w:p>
    <w:p>
      <w:pPr>
        <w:spacing w:line="360" w:lineRule="auto"/>
        <w:ind w:firstLine="435"/>
        <w:rPr>
          <w:rFonts w:asciiTheme="minorEastAsia" w:hAnsiTheme="minorEastAsia" w:eastAsiaTheme="minorEastAsia"/>
          <w:color w:val="auto"/>
          <w:sz w:val="24"/>
          <w:highlight w:val="none"/>
        </w:rPr>
      </w:pPr>
      <w:bookmarkStart w:id="10" w:name="_Hlk24663338"/>
      <w:r>
        <w:rPr>
          <w:rFonts w:hint="eastAsia" w:asciiTheme="minorEastAsia" w:hAnsiTheme="minorEastAsia" w:eastAsiaTheme="minorEastAsia"/>
          <w:color w:val="auto"/>
          <w:sz w:val="24"/>
          <w:highlight w:val="none"/>
        </w:rPr>
        <w:t>在本</w:t>
      </w:r>
      <w:r>
        <w:rPr>
          <w:rFonts w:asciiTheme="minorEastAsia" w:hAnsiTheme="minorEastAsia" w:eastAsiaTheme="minorEastAsia"/>
          <w:color w:val="auto"/>
          <w:sz w:val="24"/>
          <w:highlight w:val="none"/>
        </w:rPr>
        <w:t>招标文件规定</w:t>
      </w:r>
      <w:r>
        <w:rPr>
          <w:rFonts w:hint="eastAsia" w:asciiTheme="minorEastAsia" w:hAnsiTheme="minorEastAsia" w:eastAsiaTheme="minorEastAsia"/>
          <w:color w:val="auto"/>
          <w:sz w:val="24"/>
          <w:highlight w:val="none"/>
        </w:rPr>
        <w:t>的查询时间之外，网站信息发生的任何变更均不作为资格审查依据。</w:t>
      </w:r>
    </w:p>
    <w:bookmarkEnd w:id="10"/>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投标人自行提供的与网站信息不一致的其他证明材料亦不作为资格审查依据。</w:t>
      </w:r>
    </w:p>
    <w:bookmarkEnd w:id="9"/>
    <w:p>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19.3按照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0.</w:t>
      </w:r>
      <w:r>
        <w:rPr>
          <w:rFonts w:hint="eastAsia" w:asciiTheme="minorEastAsia" w:hAnsiTheme="minorEastAsia" w:eastAsiaTheme="minorEastAsia"/>
          <w:b/>
          <w:color w:val="auto"/>
          <w:sz w:val="24"/>
          <w:highlight w:val="none"/>
        </w:rPr>
        <w:t>投标文件符合性审查与澄清</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20.1符合性审查是指依据招标文件的规定，从投标文件的有效性和完整性对招标文件的响应程度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20.2如一个分包内只有一种产品，不同投标人所投产品为同一品牌的，按如下方式处理：</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20.2.1如本项目使用最低评标价法，提供相同品牌产品的不同投标人以其中通过资格审查、符合性审查且报价最低的参加评标；报价相同的，由采购人或者采购人委托评标委员会按照招标文件中评标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20.2.2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20.3如一个分包内包含多种产品的，采购人或采购代理机构将在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中载明核心产品，多家投标人提供的核心产品品牌相同的，按第20.2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20.4</w:t>
      </w:r>
      <w:r>
        <w:rPr>
          <w:rFonts w:hint="eastAsia" w:ascii="宋体" w:hAnsi="宋体" w:eastAsia="宋体"/>
          <w:color w:val="auto"/>
          <w:sz w:val="24"/>
          <w:highlight w:val="none"/>
        </w:rPr>
        <w:t>投标文件的澄清</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20.4.1为有助于投标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0.4.2</w:t>
      </w:r>
      <w:r>
        <w:rPr>
          <w:rFonts w:hint="eastAsia" w:asciiTheme="minorEastAsia" w:hAnsiTheme="minorEastAsia" w:eastAsiaTheme="minorEastAsia"/>
          <w:color w:val="auto"/>
          <w:sz w:val="24"/>
          <w:highlight w:val="none"/>
        </w:rPr>
        <w:t>投标人的澄清、说明或补正将作为投标文件的一部分。</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20.4.3评标委员会对投标人提交的澄清、说明或补正有疑问的，可以要求投标人进一步澄清、说明或补正，直至满足评标委员会的要求。</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20.5投标文件报价出现前后不一致的，按照下列规定修正：</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同时出现两种以上不一致的，按照前款规定的顺序修正。修正后的报价按照第20.4条的规定经投标人确认后产生约束力，投标人不确认的，其投标将被认定为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投标无效</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21.1根据本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21.2如发现下列情况之一的，其投标将被认定为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比较与评价</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.1经符合性审查合格的投标文件，评标委员会将根据招标文件确定的评标方法和标准，对其投标文件作进一步的比较与评价。</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pPr>
        <w:spacing w:line="360" w:lineRule="auto"/>
        <w:ind w:firstLine="435"/>
        <w:rPr>
          <w:rFonts w:ascii="宋体" w:hAnsi="宋体" w:eastAsia="宋体" w:cs="宋体"/>
          <w:color w:val="auto"/>
          <w:sz w:val="24"/>
          <w:highlight w:val="none"/>
        </w:rPr>
      </w:pPr>
      <w:r>
        <w:rPr>
          <w:rFonts w:ascii="宋体" w:hAnsi="宋体" w:eastAsia="宋体"/>
          <w:color w:val="auto"/>
          <w:sz w:val="24"/>
          <w:highlight w:val="none"/>
        </w:rPr>
        <w:t>22</w:t>
      </w:r>
      <w:r>
        <w:rPr>
          <w:rFonts w:hint="eastAsia" w:ascii="宋体" w:hAnsi="宋体" w:eastAsia="宋体"/>
          <w:color w:val="auto"/>
          <w:sz w:val="24"/>
          <w:highlight w:val="none"/>
        </w:rPr>
        <w:t>.3根据《政府采购促进中小企业发展管理办法》（财库〔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w:t>
      </w:r>
      <w:r>
        <w:rPr>
          <w:rFonts w:ascii="宋体" w:hAnsi="宋体" w:eastAsia="宋体"/>
          <w:color w:val="auto"/>
          <w:sz w:val="24"/>
          <w:highlight w:val="none"/>
        </w:rPr>
        <w:t>财政部 司法部关于政府采购支持监狱企业发展有关问题的通知</w:t>
      </w:r>
      <w:r>
        <w:rPr>
          <w:rFonts w:hint="eastAsia" w:ascii="宋体" w:hAnsi="宋体" w:eastAsia="宋体"/>
          <w:color w:val="auto"/>
          <w:sz w:val="24"/>
          <w:highlight w:val="none"/>
        </w:rPr>
        <w:t>》（财库〔2014〕68号）和《三部门联合发布关于</w:t>
      </w:r>
      <w:r>
        <w:rPr>
          <w:rFonts w:hint="eastAsia" w:ascii="宋体" w:hAnsi="宋体" w:eastAsia="宋体" w:cs="宋体"/>
          <w:color w:val="auto"/>
          <w:sz w:val="24"/>
          <w:highlight w:val="none"/>
        </w:rPr>
        <w:t>促进残疾人就业政府采购政策的通知》（财库〔2017〕141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中规定的标准扣除后的价格参与评审。对于同时属于小微企业、监狱企业或残疾人福利性单位的，不重复进行投标报价扣除。</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w:t>
      </w:r>
      <w:r>
        <w:rPr>
          <w:rFonts w:hint="eastAsia" w:ascii="宋体" w:hAnsi="宋体" w:eastAsia="宋体"/>
          <w:color w:val="auto"/>
          <w:sz w:val="24"/>
          <w:highlight w:val="none"/>
        </w:rPr>
        <w:t>投标报价按照</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中规定的标准扣除后的价格参与评审</w:t>
      </w:r>
      <w:r>
        <w:rPr>
          <w:rFonts w:ascii="宋体" w:hAnsi="宋体" w:eastAsia="宋体"/>
          <w:color w:val="auto"/>
          <w:sz w:val="24"/>
          <w:highlight w:val="none"/>
        </w:rPr>
        <w:t>。</w:t>
      </w:r>
      <w:r>
        <w:rPr>
          <w:rFonts w:hint="eastAsia" w:ascii="宋体" w:hAnsi="宋体" w:eastAsia="宋体"/>
          <w:color w:val="auto"/>
          <w:sz w:val="24"/>
          <w:highlight w:val="none"/>
        </w:rPr>
        <w:t>组成联合体或者接受分包的小微企业与联合体内其他企业、分包企业之间存在直接控股、管理关系的，不享受价格扣除优惠政策。</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rPr>
        <w:t>废标、重新招标与变更采购方式</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23.1出现下列情形之一，将导致项目废标：</w:t>
      </w:r>
    </w:p>
    <w:p>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资格审查或符合性审查的投标人不足</w:t>
      </w:r>
      <w:r>
        <w:rPr>
          <w:rFonts w:asciiTheme="minorEastAsia" w:hAnsiTheme="minorEastAsia" w:eastAsiaTheme="minorEastAsia"/>
          <w:color w:val="auto"/>
          <w:sz w:val="24"/>
          <w:highlight w:val="none"/>
        </w:rPr>
        <w:t>3家的，除采购任务取消情形外，按照以下方式处理：</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（2）招标文件没有不合理条款、招标程序符合规定，需要采用其他采购方式采购的，采购人应当依法报财政部门批准。</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4.</w:t>
      </w:r>
      <w:r>
        <w:rPr>
          <w:rFonts w:hint="eastAsia" w:asciiTheme="minorEastAsia" w:hAnsiTheme="minorEastAsia" w:eastAsiaTheme="minorEastAsia"/>
          <w:b/>
          <w:color w:val="auto"/>
          <w:sz w:val="24"/>
          <w:highlight w:val="none"/>
        </w:rPr>
        <w:t>保密要求</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24</w:t>
      </w:r>
      <w:r>
        <w:rPr>
          <w:rFonts w:hint="eastAsia" w:ascii="宋体" w:hAnsi="宋体" w:eastAsia="宋体"/>
          <w:color w:val="auto"/>
          <w:sz w:val="24"/>
          <w:highlight w:val="none"/>
        </w:rPr>
        <w:t>.1评标将在严格保密的情况下进行。</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24</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5.</w:t>
      </w:r>
      <w:r>
        <w:rPr>
          <w:rFonts w:hint="eastAsia" w:asciiTheme="minorEastAsia" w:hAnsiTheme="minorEastAsia" w:eastAsiaTheme="minorEastAsia"/>
          <w:b/>
          <w:color w:val="auto"/>
          <w:sz w:val="24"/>
          <w:highlight w:val="none"/>
        </w:rPr>
        <w:t>中标候选人的确定原则及标准</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25.1评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6.</w:t>
      </w:r>
      <w:r>
        <w:rPr>
          <w:rFonts w:hint="eastAsia" w:asciiTheme="minorEastAsia" w:hAnsiTheme="minorEastAsia" w:eastAsiaTheme="minorEastAsia"/>
          <w:b/>
          <w:color w:val="auto"/>
          <w:sz w:val="24"/>
          <w:highlight w:val="none"/>
        </w:rPr>
        <w:t>确定中标候选人和中标人</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26.1评标委员会将根据评标标准，按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6</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6.3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7.</w:t>
      </w:r>
      <w:r>
        <w:rPr>
          <w:rFonts w:hint="eastAsia" w:asciiTheme="minorEastAsia" w:hAnsiTheme="minorEastAsia" w:eastAsiaTheme="minorEastAsia"/>
          <w:b/>
          <w:color w:val="auto"/>
          <w:sz w:val="24"/>
          <w:highlight w:val="none"/>
        </w:rPr>
        <w:t>编写评标报告</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8.</w:t>
      </w:r>
      <w:r>
        <w:rPr>
          <w:rFonts w:hint="eastAsia" w:asciiTheme="minorEastAsia" w:hAnsiTheme="minorEastAsia" w:eastAsiaTheme="minorEastAsia"/>
          <w:b/>
          <w:color w:val="auto"/>
          <w:sz w:val="24"/>
          <w:highlight w:val="none"/>
        </w:rPr>
        <w:t>中标结果公告</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8.1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8.2自中标人确定之日起2个工作日内，采购代理机构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rPr>
        <w:t>安徽省政府采购网（</w:t>
      </w:r>
      <w:r>
        <w:rPr>
          <w:rFonts w:asciiTheme="minorEastAsia" w:hAnsiTheme="minorEastAsia" w:eastAsiaTheme="minorEastAsia"/>
          <w:color w:val="auto"/>
          <w:sz w:val="24"/>
          <w:highlight w:val="none"/>
        </w:rPr>
        <w:t>www.ccgp-anhui.gov.cn</w:t>
      </w:r>
      <w:r>
        <w:rPr>
          <w:rFonts w:hint="eastAsia" w:asciiTheme="minorEastAsia" w:hAnsiTheme="minorEastAsia" w:eastAsiaTheme="minorEastAsia"/>
          <w:color w:val="auto"/>
          <w:sz w:val="24"/>
          <w:highlight w:val="none"/>
        </w:rPr>
        <w:t>）、安徽公共资源交易集团网站（</w:t>
      </w:r>
      <w:r>
        <w:rPr>
          <w:rFonts w:asciiTheme="minorEastAsia" w:hAnsiTheme="minorEastAsia" w:eastAsiaTheme="minorEastAsia"/>
          <w:color w:val="auto"/>
          <w:sz w:val="24"/>
          <w:highlight w:val="none"/>
        </w:rPr>
        <w:t>http://www.ahggzyjt.com）上发布中标</w:t>
      </w:r>
      <w:r>
        <w:rPr>
          <w:rFonts w:hint="eastAsia" w:asciiTheme="minorEastAsia" w:hAnsiTheme="minorEastAsia" w:eastAsiaTheme="minorEastAsia"/>
          <w:color w:val="auto"/>
          <w:sz w:val="24"/>
          <w:highlight w:val="none"/>
        </w:rPr>
        <w:t>结果</w:t>
      </w:r>
      <w:r>
        <w:rPr>
          <w:rFonts w:asciiTheme="minorEastAsia" w:hAnsiTheme="minorEastAsia" w:eastAsiaTheme="minorEastAsia"/>
          <w:color w:val="auto"/>
          <w:sz w:val="24"/>
          <w:highlight w:val="none"/>
        </w:rPr>
        <w:t>公告。</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30</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1.1中标人应按照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pPr>
        <w:spacing w:line="360" w:lineRule="auto"/>
        <w:ind w:firstLine="435"/>
        <w:rPr>
          <w:rFonts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2.1采购人与中标人应当自发出中标通知书之日起7个工作日内签订合同，采购合同签订之日起</w:t>
      </w:r>
      <w:r>
        <w:rPr>
          <w:rFonts w:ascii="宋体" w:hAnsi="宋体" w:eastAsia="宋体"/>
          <w:color w:val="auto"/>
          <w:sz w:val="24"/>
          <w:highlight w:val="none"/>
        </w:rPr>
        <w:t>2个工作日内完成政府采购合同公开。</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2.2招标文件、中标人的投标文件及其澄清文件等，均为签订合同的依据。</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2.3中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2.4当出现法规规定的中标无效或中标结果无效情形时，采购人可依法与排名下一位的中标候选人另行签订合同，或依法重新开展采购活动。</w:t>
      </w: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32.5依据《政府采购促进中小企业发展管理办法》（财库〔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中标服务费</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.1</w:t>
      </w:r>
      <w:r>
        <w:rPr>
          <w:rFonts w:hint="eastAsia" w:ascii="宋体" w:hAnsi="宋体" w:eastAsia="宋体"/>
          <w:color w:val="auto"/>
          <w:sz w:val="24"/>
          <w:highlight w:val="none"/>
        </w:rPr>
        <w:t>本项目中标服务费的收取按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pPr>
        <w:spacing w:line="360" w:lineRule="auto"/>
        <w:ind w:firstLine="437"/>
        <w:outlineLvl w:val="2"/>
        <w:rPr>
          <w:rFonts w:asciiTheme="minorEastAsia" w:hAnsiTheme="minorEastAsia" w:eastAsiaTheme="minorEastAsia"/>
          <w:b/>
          <w:color w:val="auto"/>
          <w:sz w:val="24"/>
          <w:highlight w:val="none"/>
        </w:rPr>
      </w:pPr>
      <w:bookmarkStart w:id="11" w:name="_Toc2583661"/>
      <w:bookmarkStart w:id="12" w:name="_Toc518923100"/>
      <w:r>
        <w:rPr>
          <w:rFonts w:hint="eastAsia" w:asciiTheme="minorEastAsia" w:hAnsiTheme="minorEastAsia" w:eastAsiaTheme="minorEastAsia"/>
          <w:b/>
          <w:color w:val="auto"/>
          <w:sz w:val="24"/>
          <w:highlight w:val="none"/>
        </w:rPr>
        <w:t>34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1"/>
      <w:bookmarkEnd w:id="12"/>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34.1采购代理机构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pPr>
        <w:spacing w:line="360" w:lineRule="auto"/>
        <w:ind w:firstLine="437"/>
        <w:outlineLvl w:val="2"/>
        <w:rPr>
          <w:rFonts w:asciiTheme="minorEastAsia" w:hAnsiTheme="minorEastAsia" w:eastAsiaTheme="minorEastAsia"/>
          <w:b/>
          <w:color w:val="auto"/>
          <w:sz w:val="24"/>
          <w:highlight w:val="none"/>
        </w:rPr>
      </w:pPr>
      <w:bookmarkStart w:id="13" w:name="_Toc518923101"/>
      <w:bookmarkStart w:id="14" w:name="_Toc2583662"/>
      <w:r>
        <w:rPr>
          <w:rFonts w:hint="eastAsia" w:asciiTheme="minorEastAsia" w:hAnsiTheme="minorEastAsia" w:eastAsiaTheme="minorEastAsia"/>
          <w:b/>
          <w:color w:val="auto"/>
          <w:sz w:val="24"/>
          <w:highlight w:val="none"/>
        </w:rPr>
        <w:t>35.人员回避</w:t>
      </w:r>
      <w:bookmarkEnd w:id="13"/>
      <w:bookmarkEnd w:id="14"/>
    </w:p>
    <w:p>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36.1投标人认为招标文件、招标过程和中标结果使自己的权益受到损害的，可以在知道或者应知其权益受到损害之日起七个工作日内，以书面形式向采购人或其委托的采购代理机构提出质疑。</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36.2上述应知其权益受到损害之日，是指：</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（1）对招标文件提出质疑的，为招标文件公告期限届满之日；</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（2）对采购过程提出质疑的，为各采购程序环节结束之日；</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（3）对中标结果提出质疑的，为中标结果公告期限届满之日。</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36.3质疑供应商应按照财政部制定的《政府采购供应商质疑函范本》格式（详见招标文件第七章）和《政府采购质疑和投诉办法》的要求，在法定质疑期内以书面形式提出质疑，超出法定质疑期提交的质疑将被拒绝。针对同一采购程序环节的质疑应一次性提出。</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36.4采购代理机构质疑函接收部门、联系电话和通讯地址，见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pPr>
        <w:spacing w:line="360" w:lineRule="auto"/>
        <w:jc w:val="center"/>
        <w:outlineLvl w:val="0"/>
        <w:rPr>
          <w:rFonts w:asciiTheme="minorEastAsia" w:hAnsiTheme="minorEastAsia" w:eastAsiaTheme="minorEastAsia"/>
          <w:b/>
          <w:color w:val="auto"/>
          <w:sz w:val="28"/>
          <w:highlight w:val="none"/>
        </w:rPr>
      </w:pPr>
      <w:bookmarkStart w:id="15" w:name="_Toc60602964"/>
      <w:r>
        <w:rPr>
          <w:rFonts w:hint="eastAsia" w:asciiTheme="minorEastAsia" w:hAnsiTheme="minorEastAsia" w:eastAsiaTheme="minorEastAsia"/>
          <w:b/>
          <w:color w:val="auto"/>
          <w:sz w:val="28"/>
          <w:highlight w:val="none"/>
        </w:rPr>
        <w:t>第三章  采购需求</w:t>
      </w:r>
      <w:bookmarkEnd w:id="15"/>
    </w:p>
    <w:p>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根据《关于规范政府采购进口产品有关工作的通知》及政府采购管理部门的相关规定，下列采购需求中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3.</w:t>
      </w:r>
      <w:r>
        <w:rPr>
          <w:rFonts w:ascii="宋体" w:hAnsi="宋体" w:eastAsia="宋体"/>
          <w:color w:val="auto"/>
          <w:sz w:val="24"/>
          <w:szCs w:val="18"/>
          <w:highlight w:val="none"/>
        </w:rPr>
        <w:t>下列采购需求中：标注▲的产品</w:t>
      </w:r>
      <w:r>
        <w:rPr>
          <w:rFonts w:hint="eastAsia" w:ascii="宋体" w:hAnsi="宋体" w:eastAsia="宋体"/>
          <w:color w:val="auto"/>
          <w:sz w:val="24"/>
          <w:szCs w:val="18"/>
          <w:highlight w:val="none"/>
        </w:rPr>
        <w:t>（核心产品）</w:t>
      </w:r>
      <w:r>
        <w:rPr>
          <w:rFonts w:ascii="宋体" w:hAnsi="宋体" w:eastAsia="宋体"/>
          <w:color w:val="auto"/>
          <w:sz w:val="24"/>
          <w:szCs w:val="18"/>
          <w:highlight w:val="none"/>
        </w:rPr>
        <w:t>，投标</w:t>
      </w:r>
      <w:r>
        <w:rPr>
          <w:rFonts w:hint="eastAsia" w:ascii="宋体" w:hAnsi="宋体" w:eastAsia="宋体"/>
          <w:color w:val="auto"/>
          <w:sz w:val="24"/>
          <w:szCs w:val="18"/>
          <w:highlight w:val="none"/>
        </w:rPr>
        <w:t>人</w:t>
      </w:r>
      <w:r>
        <w:rPr>
          <w:rFonts w:ascii="宋体" w:hAnsi="宋体" w:eastAsia="宋体"/>
          <w:color w:val="auto"/>
          <w:sz w:val="24"/>
          <w:szCs w:val="18"/>
          <w:highlight w:val="none"/>
        </w:rPr>
        <w:t>在投标文件《主要</w:t>
      </w:r>
      <w:r>
        <w:rPr>
          <w:rFonts w:hint="eastAsia" w:ascii="宋体" w:hAnsi="宋体" w:eastAsia="宋体"/>
          <w:color w:val="auto"/>
          <w:sz w:val="24"/>
          <w:szCs w:val="18"/>
          <w:highlight w:val="none"/>
        </w:rPr>
        <w:t>中标</w:t>
      </w:r>
      <w:r>
        <w:rPr>
          <w:rFonts w:ascii="宋体" w:hAnsi="宋体" w:eastAsia="宋体"/>
          <w:color w:val="auto"/>
          <w:sz w:val="24"/>
          <w:szCs w:val="18"/>
          <w:highlight w:val="none"/>
        </w:rPr>
        <w:t>标的承诺函》中填写名称、</w:t>
      </w:r>
      <w:r>
        <w:rPr>
          <w:rFonts w:hint="eastAsia" w:ascii="宋体" w:hAnsi="宋体" w:eastAsia="宋体"/>
          <w:color w:val="auto"/>
          <w:sz w:val="24"/>
          <w:szCs w:val="18"/>
          <w:highlight w:val="none"/>
        </w:rPr>
        <w:t>品牌、</w:t>
      </w:r>
      <w:r>
        <w:rPr>
          <w:rFonts w:ascii="宋体" w:hAnsi="宋体" w:eastAsia="宋体"/>
          <w:color w:val="auto"/>
          <w:sz w:val="24"/>
          <w:szCs w:val="18"/>
          <w:highlight w:val="none"/>
        </w:rPr>
        <w:t>规格、型号、数量、单价等信息</w:t>
      </w:r>
      <w:r>
        <w:rPr>
          <w:rFonts w:hint="eastAsia" w:ascii="宋体" w:hAnsi="宋体" w:eastAsia="宋体"/>
          <w:color w:val="auto"/>
          <w:sz w:val="24"/>
          <w:szCs w:val="18"/>
          <w:highlight w:val="none"/>
        </w:rPr>
        <w:t>。</w:t>
      </w:r>
    </w:p>
    <w:p>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032"/>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32" w:type="dxa"/>
            <w:vAlign w:val="center"/>
          </w:tcPr>
          <w:p>
            <w:pPr>
              <w:pStyle w:val="3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5483" w:type="dxa"/>
            <w:vAlign w:val="center"/>
          </w:tcPr>
          <w:p>
            <w:pPr>
              <w:pStyle w:val="3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32" w:type="dxa"/>
            <w:vAlign w:val="center"/>
          </w:tcPr>
          <w:p>
            <w:pPr>
              <w:pStyle w:val="3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3" w:type="dxa"/>
            <w:vAlign w:val="center"/>
          </w:tcPr>
          <w:p>
            <w:pPr>
              <w:pStyle w:val="30"/>
              <w:widowControl w:val="0"/>
              <w:spacing w:before="0" w:beforeAutospacing="0" w:after="0" w:afterAutospacing="0" w:line="360" w:lineRule="auto"/>
              <w:jc w:val="both"/>
              <w:rPr>
                <w:rFonts w:hint="eastAsia" w:ascii="宋体" w:hAnsi="宋体" w:eastAsia="宋体"/>
                <w:b w:val="0"/>
                <w:color w:val="auto"/>
                <w:sz w:val="24"/>
                <w:highlight w:val="none"/>
                <w:u w:val="single"/>
                <w:lang w:eastAsia="zh-CN"/>
              </w:rPr>
            </w:pPr>
            <w:r>
              <w:rPr>
                <w:rFonts w:hint="eastAsia" w:ascii="宋体" w:hAnsi="宋体" w:eastAsia="宋体"/>
                <w:b w:val="0"/>
                <w:color w:val="auto"/>
                <w:sz w:val="24"/>
                <w:highlight w:val="none"/>
                <w:u w:val="single"/>
              </w:rPr>
              <w:t>合同签订且采购人收到中标</w:t>
            </w:r>
            <w:r>
              <w:rPr>
                <w:rFonts w:hint="eastAsia" w:ascii="宋体" w:hAnsi="宋体" w:eastAsia="宋体"/>
                <w:b w:val="0"/>
                <w:color w:val="auto"/>
                <w:sz w:val="24"/>
                <w:highlight w:val="none"/>
                <w:u w:val="single"/>
                <w:lang w:eastAsia="zh-CN"/>
              </w:rPr>
              <w:t>人</w:t>
            </w:r>
            <w:r>
              <w:rPr>
                <w:rFonts w:hint="eastAsia" w:ascii="宋体" w:hAnsi="宋体" w:eastAsia="宋体"/>
                <w:b w:val="0"/>
                <w:color w:val="auto"/>
                <w:sz w:val="24"/>
                <w:highlight w:val="none"/>
                <w:u w:val="single"/>
              </w:rPr>
              <w:t>递交的等额预付款保函后5个工作日内采购人支付合同款</w:t>
            </w:r>
            <w:r>
              <w:rPr>
                <w:rFonts w:hint="eastAsia" w:ascii="宋体" w:hAnsi="宋体" w:eastAsia="宋体"/>
                <w:b w:val="0"/>
                <w:color w:val="auto"/>
                <w:sz w:val="24"/>
                <w:highlight w:val="none"/>
                <w:u w:val="single"/>
                <w:lang w:eastAsia="zh-CN"/>
              </w:rPr>
              <w:t>的</w:t>
            </w:r>
            <w:r>
              <w:rPr>
                <w:rFonts w:hint="eastAsia" w:ascii="宋体" w:hAnsi="宋体" w:eastAsia="宋体"/>
                <w:b w:val="0"/>
                <w:color w:val="auto"/>
                <w:sz w:val="24"/>
                <w:highlight w:val="none"/>
                <w:u w:val="single"/>
              </w:rPr>
              <w:t>50%作为预付款</w:t>
            </w:r>
            <w:r>
              <w:rPr>
                <w:rFonts w:hint="eastAsia" w:ascii="宋体" w:hAnsi="宋体" w:eastAsia="宋体"/>
                <w:b w:val="0"/>
                <w:color w:val="auto"/>
                <w:sz w:val="24"/>
                <w:highlight w:val="none"/>
                <w:u w:val="single"/>
              </w:rPr>
              <w:t>，设备到场付合同款的</w:t>
            </w:r>
            <w:r>
              <w:rPr>
                <w:rFonts w:ascii="宋体" w:hAnsi="宋体" w:eastAsia="宋体"/>
                <w:b w:val="0"/>
                <w:color w:val="auto"/>
                <w:sz w:val="24"/>
                <w:highlight w:val="none"/>
                <w:u w:val="single"/>
              </w:rPr>
              <w:t>20%</w:t>
            </w:r>
            <w:r>
              <w:rPr>
                <w:rFonts w:hint="eastAsia" w:ascii="宋体" w:hAnsi="宋体" w:eastAsia="宋体"/>
                <w:b w:val="0"/>
                <w:color w:val="auto"/>
                <w:sz w:val="24"/>
                <w:highlight w:val="none"/>
                <w:u w:val="single"/>
              </w:rPr>
              <w:t>，调试完成付合同款的2</w:t>
            </w:r>
            <w:r>
              <w:rPr>
                <w:rFonts w:ascii="宋体" w:hAnsi="宋体" w:eastAsia="宋体"/>
                <w:b w:val="0"/>
                <w:color w:val="auto"/>
                <w:sz w:val="24"/>
                <w:highlight w:val="none"/>
                <w:u w:val="single"/>
              </w:rPr>
              <w:t>0%</w:t>
            </w:r>
            <w:r>
              <w:rPr>
                <w:rFonts w:hint="eastAsia" w:ascii="宋体" w:hAnsi="宋体" w:eastAsia="宋体"/>
                <w:b w:val="0"/>
                <w:color w:val="auto"/>
                <w:sz w:val="24"/>
                <w:highlight w:val="none"/>
                <w:u w:val="single"/>
              </w:rPr>
              <w:t>，验收合格后一次性付清</w:t>
            </w:r>
            <w:r>
              <w:rPr>
                <w:rFonts w:hint="eastAsia" w:ascii="宋体" w:hAnsi="宋体" w:eastAsia="宋体"/>
                <w:b w:val="0"/>
                <w:color w:val="auto"/>
                <w:sz w:val="24"/>
                <w:highlight w:val="none"/>
                <w:u w:val="single"/>
                <w:lang w:eastAsia="zh-CN"/>
              </w:rPr>
              <w:t>剩余合同价款，同时退还预付款保函。</w:t>
            </w:r>
          </w:p>
          <w:p>
            <w:pPr>
              <w:pStyle w:val="30"/>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lang w:eastAsia="zh-CN"/>
              </w:rPr>
              <w:t>注：（</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lang w:eastAsia="zh-CN"/>
              </w:rPr>
              <w:t>）预付款保函形式</w:t>
            </w:r>
            <w:r>
              <w:rPr>
                <w:rFonts w:hint="eastAsia" w:ascii="宋体" w:hAnsi="宋体" w:eastAsia="宋体"/>
                <w:b w:val="0"/>
                <w:bCs/>
                <w:color w:val="auto"/>
                <w:sz w:val="24"/>
                <w:highlight w:val="none"/>
                <w:u w:val="none"/>
                <w:lang w:eastAsia="zh-CN"/>
              </w:rPr>
              <w:t>：</w:t>
            </w:r>
            <w:r>
              <w:rPr>
                <w:rFonts w:hint="eastAsia" w:ascii="宋体" w:hAnsi="宋体" w:eastAsia="宋体"/>
                <w:b w:val="0"/>
                <w:bCs/>
                <w:color w:val="auto"/>
                <w:kern w:val="0"/>
                <w:sz w:val="24"/>
                <w:szCs w:val="28"/>
                <w:highlight w:val="none"/>
                <w:u w:val="none"/>
              </w:rPr>
              <w:sym w:font="Wingdings" w:char="F0FE"/>
            </w:r>
            <w:r>
              <w:rPr>
                <w:rFonts w:hint="eastAsia" w:ascii="宋体" w:hAnsi="宋体" w:eastAsia="宋体"/>
                <w:b w:val="0"/>
                <w:bCs/>
                <w:color w:val="auto"/>
                <w:kern w:val="0"/>
                <w:sz w:val="24"/>
                <w:szCs w:val="28"/>
                <w:highlight w:val="none"/>
                <w:u w:val="none"/>
                <w:lang w:eastAsia="zh-CN"/>
              </w:rPr>
              <w:t>银行保函</w:t>
            </w:r>
            <w:r>
              <w:rPr>
                <w:rFonts w:hint="eastAsia" w:ascii="宋体" w:hAnsi="宋体" w:eastAsia="宋体"/>
                <w:b w:val="0"/>
                <w:bCs/>
                <w:color w:val="auto"/>
                <w:kern w:val="0"/>
                <w:sz w:val="24"/>
                <w:szCs w:val="28"/>
                <w:highlight w:val="none"/>
                <w:u w:val="none"/>
              </w:rPr>
              <w:t xml:space="preserve"> </w:t>
            </w:r>
            <w:r>
              <w:rPr>
                <w:rFonts w:hint="eastAsia" w:ascii="宋体" w:hAnsi="宋体" w:eastAsia="宋体"/>
                <w:b w:val="0"/>
                <w:bCs/>
                <w:color w:val="auto"/>
                <w:kern w:val="0"/>
                <w:sz w:val="24"/>
                <w:szCs w:val="28"/>
                <w:highlight w:val="none"/>
                <w:u w:val="none"/>
              </w:rPr>
              <w:sym w:font="Wingdings" w:char="F0FE"/>
            </w:r>
            <w:r>
              <w:rPr>
                <w:rFonts w:hint="eastAsia" w:ascii="宋体" w:hAnsi="宋体" w:eastAsia="宋体"/>
                <w:b w:val="0"/>
                <w:bCs/>
                <w:color w:val="auto"/>
                <w:kern w:val="0"/>
                <w:sz w:val="24"/>
                <w:szCs w:val="28"/>
                <w:highlight w:val="none"/>
                <w:u w:val="none"/>
                <w:lang w:eastAsia="zh-CN"/>
              </w:rPr>
              <w:t>担保机构担保</w:t>
            </w:r>
            <w:r>
              <w:rPr>
                <w:rFonts w:hint="eastAsia" w:ascii="宋体" w:hAnsi="宋体" w:eastAsia="宋体"/>
                <w:b w:val="0"/>
                <w:bCs/>
                <w:color w:val="auto"/>
                <w:sz w:val="24"/>
                <w:highlight w:val="none"/>
                <w:u w:val="none"/>
                <w:lang w:eastAsia="zh-CN"/>
              </w:rPr>
              <w:t>；</w:t>
            </w:r>
          </w:p>
          <w:p>
            <w:pPr>
              <w:pStyle w:val="30"/>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lang w:eastAsia="zh-CN"/>
              </w:rPr>
              <w:t>）预付款保函递交要求：</w:t>
            </w:r>
          </w:p>
          <w:p>
            <w:pPr>
              <w:pStyle w:val="30"/>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lang w:val="en-US" w:eastAsia="zh-CN"/>
              </w:rPr>
              <w:fldChar w:fldCharType="begin"/>
            </w:r>
            <w:r>
              <w:rPr>
                <w:rFonts w:hint="eastAsia" w:ascii="宋体" w:hAnsi="宋体" w:eastAsia="宋体"/>
                <w:b w:val="0"/>
                <w:color w:val="auto"/>
                <w:sz w:val="24"/>
                <w:highlight w:val="none"/>
                <w:u w:val="none"/>
                <w:lang w:val="en-US" w:eastAsia="zh-CN"/>
              </w:rPr>
              <w:instrText xml:space="preserve"> EQ \o\ac(</w:instrText>
            </w:r>
            <w:r>
              <w:rPr>
                <w:rFonts w:hint="eastAsia" w:ascii="宋体" w:hAnsi="宋体" w:eastAsia="宋体" w:cs="@仿宋_GB2312"/>
                <w:b w:val="0"/>
                <w:bCs/>
                <w:color w:val="auto"/>
                <w:kern w:val="0"/>
                <w:sz w:val="24"/>
                <w:szCs w:val="28"/>
                <w:highlight w:val="none"/>
                <w:u w:val="none"/>
                <w:lang w:val="en-US" w:eastAsia="zh-CN" w:bidi="ar-SA"/>
              </w:rPr>
              <w:instrText xml:space="preserve">○</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cs="@仿宋_GB2312"/>
                <w:b w:val="0"/>
                <w:bCs/>
                <w:color w:val="auto"/>
                <w:kern w:val="0"/>
                <w:position w:val="3"/>
                <w:sz w:val="16"/>
                <w:szCs w:val="28"/>
                <w:highlight w:val="none"/>
                <w:u w:val="none"/>
                <w:lang w:val="en-US" w:eastAsia="zh-CN" w:bidi="ar-SA"/>
              </w:rPr>
              <w:instrText xml:space="preserve">1</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b w:val="0"/>
                <w:color w:val="auto"/>
                <w:sz w:val="24"/>
                <w:highlight w:val="none"/>
                <w:u w:val="none"/>
                <w:lang w:val="en-US" w:eastAsia="zh-CN"/>
              </w:rPr>
              <w:fldChar w:fldCharType="end"/>
            </w:r>
            <w:r>
              <w:rPr>
                <w:rFonts w:hint="eastAsia" w:ascii="宋体" w:hAnsi="宋体" w:eastAsia="宋体"/>
                <w:b w:val="0"/>
                <w:color w:val="auto"/>
                <w:sz w:val="24"/>
                <w:highlight w:val="none"/>
                <w:u w:val="none"/>
                <w:lang w:eastAsia="zh-CN"/>
              </w:rPr>
              <w:t>如采用银行保函，银行保函应为合肥行政区域（含四县一市）具有分支机构的银行出具的见索即付无条件银行保函。例如：</w:t>
            </w:r>
            <w:r>
              <w:rPr>
                <w:rFonts w:hint="eastAsia" w:ascii="宋体" w:hAnsi="宋体" w:eastAsia="宋体"/>
                <w:b w:val="0"/>
                <w:color w:val="auto"/>
                <w:sz w:val="24"/>
                <w:highlight w:val="none"/>
                <w:u w:val="none"/>
                <w:lang w:val="en-US" w:eastAsia="zh-CN"/>
              </w:rPr>
              <w:t>A</w:t>
            </w:r>
            <w:r>
              <w:rPr>
                <w:rFonts w:hint="eastAsia" w:ascii="宋体" w:hAnsi="宋体" w:eastAsia="宋体"/>
                <w:b w:val="0"/>
                <w:color w:val="auto"/>
                <w:sz w:val="24"/>
                <w:highlight w:val="none"/>
                <w:u w:val="none"/>
                <w:lang w:eastAsia="zh-CN"/>
              </w:rPr>
              <w:t>银行总部在合肥，或者</w:t>
            </w:r>
            <w:r>
              <w:rPr>
                <w:rFonts w:hint="eastAsia" w:ascii="宋体" w:hAnsi="宋体" w:eastAsia="宋体"/>
                <w:b w:val="0"/>
                <w:color w:val="auto"/>
                <w:sz w:val="24"/>
                <w:highlight w:val="none"/>
                <w:u w:val="none"/>
                <w:lang w:val="en-US" w:eastAsia="zh-CN"/>
              </w:rPr>
              <w:t>A</w:t>
            </w:r>
            <w:r>
              <w:rPr>
                <w:rFonts w:hint="eastAsia" w:ascii="宋体" w:hAnsi="宋体" w:eastAsia="宋体"/>
                <w:b w:val="0"/>
                <w:color w:val="auto"/>
                <w:sz w:val="24"/>
                <w:highlight w:val="none"/>
                <w:u w:val="none"/>
                <w:lang w:eastAsia="zh-CN"/>
              </w:rPr>
              <w:t>银行在合肥行政区域（含四县一市）具有分支机构，那么</w:t>
            </w:r>
            <w:r>
              <w:rPr>
                <w:rFonts w:hint="eastAsia" w:ascii="宋体" w:hAnsi="宋体" w:eastAsia="宋体"/>
                <w:b w:val="0"/>
                <w:color w:val="auto"/>
                <w:sz w:val="24"/>
                <w:highlight w:val="none"/>
                <w:u w:val="none"/>
                <w:lang w:val="en-US" w:eastAsia="zh-CN"/>
              </w:rPr>
              <w:t>A</w:t>
            </w:r>
            <w:r>
              <w:rPr>
                <w:rFonts w:hint="eastAsia" w:ascii="宋体" w:hAnsi="宋体" w:eastAsia="宋体"/>
                <w:b w:val="0"/>
                <w:color w:val="auto"/>
                <w:sz w:val="24"/>
                <w:highlight w:val="none"/>
                <w:u w:val="none"/>
                <w:lang w:eastAsia="zh-CN"/>
              </w:rPr>
              <w:t>银行任一分支机构或者总部出具的见索即付无条件保函符合要求），且应将原件交至采购人保管。</w:t>
            </w:r>
          </w:p>
          <w:p>
            <w:pPr>
              <w:pStyle w:val="30"/>
              <w:widowControl w:val="0"/>
              <w:spacing w:before="0" w:beforeAutospacing="0" w:after="0" w:afterAutospacing="0" w:line="360" w:lineRule="auto"/>
              <w:jc w:val="both"/>
              <w:rPr>
                <w:rFonts w:hint="eastAsia" w:ascii="宋体" w:hAnsi="宋体" w:eastAsia="宋体"/>
                <w:b w:val="0"/>
                <w:color w:val="auto"/>
                <w:sz w:val="24"/>
                <w:highlight w:val="none"/>
                <w:u w:val="single"/>
                <w:lang w:eastAsia="zh-CN"/>
              </w:rPr>
            </w:pPr>
            <w:r>
              <w:rPr>
                <w:rFonts w:hint="eastAsia" w:ascii="宋体" w:hAnsi="宋体" w:eastAsia="宋体"/>
                <w:b w:val="0"/>
                <w:color w:val="auto"/>
                <w:sz w:val="24"/>
                <w:highlight w:val="none"/>
                <w:u w:val="none"/>
                <w:lang w:val="en-US" w:eastAsia="zh-CN"/>
              </w:rPr>
              <w:fldChar w:fldCharType="begin"/>
            </w:r>
            <w:r>
              <w:rPr>
                <w:rFonts w:hint="eastAsia" w:ascii="宋体" w:hAnsi="宋体" w:eastAsia="宋体"/>
                <w:b w:val="0"/>
                <w:color w:val="auto"/>
                <w:sz w:val="24"/>
                <w:highlight w:val="none"/>
                <w:u w:val="none"/>
                <w:lang w:val="en-US" w:eastAsia="zh-CN"/>
              </w:rPr>
              <w:instrText xml:space="preserve"> EQ \o\ac(</w:instrText>
            </w:r>
            <w:r>
              <w:rPr>
                <w:rFonts w:hint="eastAsia" w:ascii="宋体" w:hAnsi="宋体" w:eastAsia="宋体" w:cs="@仿宋_GB2312"/>
                <w:b w:val="0"/>
                <w:bCs/>
                <w:color w:val="auto"/>
                <w:kern w:val="0"/>
                <w:sz w:val="24"/>
                <w:szCs w:val="28"/>
                <w:highlight w:val="none"/>
                <w:u w:val="none"/>
                <w:lang w:val="en-US" w:eastAsia="zh-CN" w:bidi="ar-SA"/>
              </w:rPr>
              <w:instrText xml:space="preserve">○</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cs="@仿宋_GB2312"/>
                <w:b w:val="0"/>
                <w:bCs/>
                <w:color w:val="auto"/>
                <w:kern w:val="0"/>
                <w:position w:val="3"/>
                <w:sz w:val="16"/>
                <w:szCs w:val="28"/>
                <w:highlight w:val="none"/>
                <w:u w:val="none"/>
                <w:lang w:val="en-US" w:eastAsia="zh-CN" w:bidi="ar-SA"/>
              </w:rPr>
              <w:instrText xml:space="preserve">2</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b w:val="0"/>
                <w:color w:val="auto"/>
                <w:sz w:val="24"/>
                <w:highlight w:val="none"/>
                <w:u w:val="none"/>
                <w:lang w:val="en-US" w:eastAsia="zh-CN"/>
              </w:rPr>
              <w:fldChar w:fldCharType="end"/>
            </w:r>
            <w:r>
              <w:rPr>
                <w:rFonts w:hint="eastAsia" w:ascii="宋体" w:hAnsi="宋体" w:eastAsia="宋体"/>
                <w:b w:val="0"/>
                <w:color w:val="auto"/>
                <w:sz w:val="24"/>
                <w:highlight w:val="none"/>
                <w:u w:val="none"/>
                <w:lang w:eastAsia="zh-CN"/>
              </w:rPr>
              <w:t>如采用担保机构担保，应为注册地在合肥市行政区域（含四县一市）范围内的融资担保机构或经安徽省地方金融监督管理局备案的融资担保机构出具的见索即付无条件担保，且应将原件交至采购人保管。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32" w:type="dxa"/>
            <w:vAlign w:val="center"/>
          </w:tcPr>
          <w:p>
            <w:pPr>
              <w:pStyle w:val="3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安徽大学磬苑校区F座，采购人指定地点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32" w:type="dxa"/>
            <w:vAlign w:val="center"/>
          </w:tcPr>
          <w:p>
            <w:pPr>
              <w:pStyle w:val="3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合同签订后18个月内完成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pPr>
              <w:pStyle w:val="3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3" w:type="dxa"/>
            <w:vAlign w:val="center"/>
          </w:tcPr>
          <w:p>
            <w:pPr>
              <w:pStyle w:val="3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验收合格之日起12个月</w:t>
            </w:r>
          </w:p>
        </w:tc>
      </w:tr>
    </w:tbl>
    <w:p>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二、货物需求</w:t>
      </w:r>
    </w:p>
    <w:p>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（一）货物指标重要性表述</w:t>
      </w:r>
    </w:p>
    <w:tbl>
      <w:tblPr>
        <w:tblStyle w:val="22"/>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1315"/>
        <w:gridCol w:w="5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bCs/>
                <w:color w:val="auto"/>
                <w:sz w:val="24"/>
                <w:szCs w:val="18"/>
                <w:highlight w:val="none"/>
              </w:rPr>
              <w:t>标识重要性</w:t>
            </w:r>
          </w:p>
        </w:tc>
        <w:tc>
          <w:tcPr>
            <w:tcW w:w="742"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bCs/>
                <w:color w:val="auto"/>
                <w:sz w:val="24"/>
                <w:szCs w:val="18"/>
                <w:highlight w:val="none"/>
              </w:rPr>
              <w:t>标识符号</w:t>
            </w:r>
          </w:p>
        </w:tc>
        <w:tc>
          <w:tcPr>
            <w:tcW w:w="3293"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bCs/>
                <w:color w:val="auto"/>
                <w:sz w:val="24"/>
                <w:szCs w:val="18"/>
                <w:highlight w:val="none"/>
              </w:rPr>
              <w:t>代表意思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pct"/>
            <w:vAlign w:val="center"/>
          </w:tcPr>
          <w:p>
            <w:pPr>
              <w:spacing w:line="360" w:lineRule="auto"/>
              <w:jc w:val="center"/>
              <w:rPr>
                <w:rFonts w:ascii="Times New Roman" w:hAnsi="Times New Roman" w:eastAsia="宋体" w:cs="宋体"/>
                <w:color w:val="auto"/>
                <w:sz w:val="24"/>
                <w:szCs w:val="18"/>
                <w:highlight w:val="none"/>
              </w:rPr>
            </w:pPr>
            <w:r>
              <w:rPr>
                <w:rFonts w:hint="eastAsia" w:ascii="Times New Roman" w:hAnsi="Times New Roman" w:eastAsia="宋体" w:cs="宋体"/>
                <w:color w:val="auto"/>
                <w:sz w:val="24"/>
                <w:szCs w:val="18"/>
                <w:highlight w:val="none"/>
              </w:rPr>
              <w:t>关键性指标项</w:t>
            </w:r>
          </w:p>
        </w:tc>
        <w:tc>
          <w:tcPr>
            <w:tcW w:w="742" w:type="pct"/>
            <w:vAlign w:val="center"/>
          </w:tcPr>
          <w:p>
            <w:pPr>
              <w:spacing w:line="360" w:lineRule="auto"/>
              <w:jc w:val="center"/>
              <w:rPr>
                <w:rFonts w:ascii="Times New Roman" w:hAnsi="Times New Roman" w:eastAsia="宋体" w:cs="宋体"/>
                <w:color w:val="auto"/>
                <w:sz w:val="24"/>
                <w:szCs w:val="18"/>
                <w:highlight w:val="none"/>
              </w:rPr>
            </w:pPr>
            <w:r>
              <w:rPr>
                <w:rFonts w:hint="eastAsia" w:ascii="Times New Roman" w:hAnsi="Times New Roman" w:eastAsia="宋体" w:cs="宋体"/>
                <w:color w:val="auto"/>
                <w:sz w:val="24"/>
                <w:szCs w:val="18"/>
                <w:highlight w:val="none"/>
              </w:rPr>
              <w:t>★</w:t>
            </w:r>
          </w:p>
        </w:tc>
        <w:tc>
          <w:tcPr>
            <w:tcW w:w="3293" w:type="pct"/>
            <w:vAlign w:val="center"/>
          </w:tcPr>
          <w:p>
            <w:pPr>
              <w:spacing w:line="360" w:lineRule="auto"/>
              <w:jc w:val="center"/>
              <w:rPr>
                <w:rFonts w:ascii="Times New Roman" w:hAnsi="Times New Roman" w:eastAsia="宋体" w:cs="宋体"/>
                <w:color w:val="auto"/>
                <w:sz w:val="24"/>
                <w:szCs w:val="18"/>
                <w:highlight w:val="none"/>
              </w:rPr>
            </w:pPr>
            <w:r>
              <w:rPr>
                <w:rFonts w:hint="eastAsia" w:ascii="Times New Roman" w:hAnsi="Times New Roman" w:eastAsia="宋体" w:cs="宋体"/>
                <w:color w:val="auto"/>
                <w:sz w:val="24"/>
                <w:szCs w:val="18"/>
                <w:highlight w:val="none"/>
              </w:rPr>
              <w:t>不满足该指标项将导致</w:t>
            </w:r>
            <w:r>
              <w:rPr>
                <w:rFonts w:hint="eastAsia" w:ascii="Times New Roman" w:hAnsi="Times New Roman" w:eastAsia="宋体"/>
                <w:b/>
                <w:bCs/>
                <w:color w:val="auto"/>
                <w:sz w:val="24"/>
                <w:szCs w:val="15"/>
                <w:highlight w:val="none"/>
              </w:rPr>
              <w:t>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pct"/>
            <w:vAlign w:val="center"/>
          </w:tcPr>
          <w:p>
            <w:pPr>
              <w:spacing w:line="360" w:lineRule="auto"/>
              <w:jc w:val="center"/>
              <w:rPr>
                <w:rFonts w:ascii="Times New Roman" w:hAnsi="Times New Roman" w:eastAsia="宋体"/>
                <w:color w:val="auto"/>
                <w:sz w:val="24"/>
                <w:szCs w:val="18"/>
                <w:highlight w:val="none"/>
              </w:rPr>
            </w:pPr>
            <w:r>
              <w:rPr>
                <w:rFonts w:hint="eastAsia" w:ascii="Times New Roman" w:hAnsi="Times New Roman" w:eastAsia="宋体" w:cs="宋体"/>
                <w:color w:val="auto"/>
                <w:sz w:val="24"/>
                <w:szCs w:val="18"/>
                <w:highlight w:val="none"/>
              </w:rPr>
              <w:t>重要指标项</w:t>
            </w:r>
          </w:p>
        </w:tc>
        <w:tc>
          <w:tcPr>
            <w:tcW w:w="742"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cs="宋体"/>
                <w:color w:val="auto"/>
                <w:sz w:val="24"/>
                <w:szCs w:val="18"/>
                <w:highlight w:val="none"/>
              </w:rPr>
              <w:t>■</w:t>
            </w:r>
          </w:p>
        </w:tc>
        <w:tc>
          <w:tcPr>
            <w:tcW w:w="3293"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cs="宋体"/>
                <w:color w:val="auto"/>
                <w:sz w:val="24"/>
                <w:szCs w:val="24"/>
                <w:highlight w:val="none"/>
              </w:rPr>
              <w:t>评分项，详见评分标准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pct"/>
            <w:vAlign w:val="center"/>
          </w:tcPr>
          <w:p>
            <w:pPr>
              <w:spacing w:line="360" w:lineRule="auto"/>
              <w:jc w:val="center"/>
              <w:rPr>
                <w:rFonts w:ascii="Times New Roman" w:hAnsi="Times New Roman" w:eastAsia="宋体"/>
                <w:color w:val="auto"/>
                <w:sz w:val="24"/>
                <w:szCs w:val="18"/>
                <w:highlight w:val="none"/>
              </w:rPr>
            </w:pPr>
            <w:r>
              <w:rPr>
                <w:rFonts w:hint="eastAsia" w:ascii="Times New Roman" w:hAnsi="Times New Roman" w:eastAsia="宋体" w:cs="宋体"/>
                <w:color w:val="auto"/>
                <w:sz w:val="24"/>
                <w:szCs w:val="18"/>
                <w:highlight w:val="none"/>
              </w:rPr>
              <w:t>无标识项</w:t>
            </w:r>
          </w:p>
        </w:tc>
        <w:tc>
          <w:tcPr>
            <w:tcW w:w="742" w:type="pct"/>
            <w:vAlign w:val="center"/>
          </w:tcPr>
          <w:p>
            <w:pPr>
              <w:spacing w:line="360" w:lineRule="auto"/>
              <w:jc w:val="center"/>
              <w:rPr>
                <w:rFonts w:ascii="Times New Roman" w:hAnsi="Times New Roman" w:eastAsia="宋体"/>
                <w:bCs/>
                <w:color w:val="auto"/>
                <w:sz w:val="24"/>
                <w:szCs w:val="18"/>
                <w:highlight w:val="none"/>
              </w:rPr>
            </w:pPr>
          </w:p>
        </w:tc>
        <w:tc>
          <w:tcPr>
            <w:tcW w:w="3293"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cs="宋体"/>
                <w:color w:val="auto"/>
                <w:sz w:val="24"/>
                <w:szCs w:val="15"/>
                <w:highlight w:val="none"/>
              </w:rPr>
              <w:t>符合性审查项，超过3条</w:t>
            </w:r>
            <w:r>
              <w:rPr>
                <w:rFonts w:hint="eastAsia" w:ascii="Times New Roman" w:hAnsi="Times New Roman" w:eastAsia="宋体"/>
                <w:color w:val="auto"/>
                <w:sz w:val="24"/>
                <w:szCs w:val="15"/>
                <w:highlight w:val="none"/>
              </w:rPr>
              <w:t>未响应或</w:t>
            </w:r>
            <w:r>
              <w:rPr>
                <w:rFonts w:ascii="Times New Roman" w:hAnsi="Times New Roman" w:eastAsia="宋体"/>
                <w:color w:val="auto"/>
                <w:sz w:val="24"/>
                <w:szCs w:val="15"/>
                <w:highlight w:val="none"/>
              </w:rPr>
              <w:t>负偏离</w:t>
            </w:r>
            <w:r>
              <w:rPr>
                <w:rFonts w:hint="eastAsia" w:ascii="Times New Roman" w:hAnsi="Times New Roman" w:eastAsia="宋体"/>
                <w:color w:val="auto"/>
                <w:sz w:val="24"/>
                <w:szCs w:val="15"/>
                <w:highlight w:val="none"/>
              </w:rPr>
              <w:t>，将导致</w:t>
            </w:r>
            <w:r>
              <w:rPr>
                <w:rFonts w:hint="eastAsia" w:ascii="Times New Roman" w:hAnsi="Times New Roman" w:eastAsia="宋体"/>
                <w:b/>
                <w:bCs/>
                <w:color w:val="auto"/>
                <w:sz w:val="24"/>
                <w:szCs w:val="15"/>
                <w:highlight w:val="none"/>
              </w:rPr>
              <w:t>投标无效</w:t>
            </w:r>
          </w:p>
        </w:tc>
      </w:tr>
    </w:tbl>
    <w:p>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（二）货物指标要求</w:t>
      </w:r>
    </w:p>
    <w:tbl>
      <w:tblPr>
        <w:tblStyle w:val="22"/>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030"/>
        <w:gridCol w:w="5264"/>
        <w:gridCol w:w="1113"/>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2" w:type="pct"/>
            <w:vAlign w:val="center"/>
          </w:tcPr>
          <w:p>
            <w:pPr>
              <w:jc w:val="center"/>
              <w:rPr>
                <w:rFonts w:ascii="Times New Roman" w:hAnsi="Times New Roman" w:eastAsia="宋体"/>
                <w:b/>
                <w:color w:val="auto"/>
                <w:sz w:val="24"/>
                <w:szCs w:val="18"/>
                <w:highlight w:val="none"/>
              </w:rPr>
            </w:pPr>
            <w:r>
              <w:rPr>
                <w:rFonts w:hint="eastAsia" w:ascii="Times New Roman" w:hAnsi="Times New Roman" w:eastAsia="宋体"/>
                <w:b/>
                <w:color w:val="auto"/>
                <w:sz w:val="24"/>
                <w:szCs w:val="18"/>
                <w:highlight w:val="none"/>
              </w:rPr>
              <w:t>序号</w:t>
            </w:r>
          </w:p>
        </w:tc>
        <w:tc>
          <w:tcPr>
            <w:tcW w:w="569" w:type="pct"/>
            <w:vAlign w:val="center"/>
          </w:tcPr>
          <w:p>
            <w:pPr>
              <w:jc w:val="center"/>
              <w:rPr>
                <w:rFonts w:ascii="Times New Roman" w:hAnsi="Times New Roman" w:eastAsia="宋体"/>
                <w:b/>
                <w:color w:val="auto"/>
                <w:sz w:val="24"/>
                <w:szCs w:val="18"/>
                <w:highlight w:val="none"/>
              </w:rPr>
            </w:pPr>
            <w:r>
              <w:rPr>
                <w:rFonts w:hint="eastAsia" w:ascii="Times New Roman" w:hAnsi="Times New Roman" w:eastAsia="宋体"/>
                <w:b/>
                <w:color w:val="auto"/>
                <w:sz w:val="24"/>
                <w:szCs w:val="18"/>
                <w:highlight w:val="none"/>
              </w:rPr>
              <w:t>名称</w:t>
            </w:r>
          </w:p>
        </w:tc>
        <w:tc>
          <w:tcPr>
            <w:tcW w:w="2908" w:type="pct"/>
            <w:vAlign w:val="center"/>
          </w:tcPr>
          <w:p>
            <w:pPr>
              <w:jc w:val="center"/>
              <w:rPr>
                <w:rFonts w:ascii="Times New Roman" w:hAnsi="Times New Roman" w:eastAsia="宋体"/>
                <w:b/>
                <w:color w:val="auto"/>
                <w:sz w:val="24"/>
                <w:szCs w:val="18"/>
                <w:highlight w:val="none"/>
              </w:rPr>
            </w:pPr>
            <w:r>
              <w:rPr>
                <w:rFonts w:hint="eastAsia" w:ascii="Times New Roman" w:hAnsi="Times New Roman" w:eastAsia="宋体"/>
                <w:b/>
                <w:color w:val="auto"/>
                <w:sz w:val="24"/>
                <w:szCs w:val="18"/>
                <w:highlight w:val="none"/>
              </w:rPr>
              <w:t>技术参数及要求</w:t>
            </w:r>
          </w:p>
        </w:tc>
        <w:tc>
          <w:tcPr>
            <w:tcW w:w="615" w:type="pct"/>
            <w:vAlign w:val="center"/>
          </w:tcPr>
          <w:p>
            <w:pPr>
              <w:jc w:val="center"/>
              <w:rPr>
                <w:rFonts w:ascii="Times New Roman" w:hAnsi="Times New Roman" w:eastAsia="宋体"/>
                <w:b/>
                <w:color w:val="auto"/>
                <w:sz w:val="24"/>
                <w:szCs w:val="18"/>
                <w:highlight w:val="none"/>
              </w:rPr>
            </w:pPr>
            <w:r>
              <w:rPr>
                <w:rFonts w:hint="eastAsia" w:ascii="Times New Roman" w:hAnsi="Times New Roman" w:eastAsia="宋体"/>
                <w:b/>
                <w:color w:val="auto"/>
                <w:sz w:val="24"/>
                <w:szCs w:val="18"/>
                <w:highlight w:val="none"/>
              </w:rPr>
              <w:t>数量</w:t>
            </w:r>
          </w:p>
        </w:tc>
        <w:tc>
          <w:tcPr>
            <w:tcW w:w="462" w:type="pct"/>
            <w:vAlign w:val="center"/>
          </w:tcPr>
          <w:p>
            <w:pPr>
              <w:jc w:val="center"/>
              <w:rPr>
                <w:rFonts w:ascii="Times New Roman" w:hAnsi="Times New Roman" w:eastAsia="宋体"/>
                <w:b/>
                <w:color w:val="auto"/>
                <w:sz w:val="24"/>
                <w:szCs w:val="18"/>
                <w:highlight w:val="none"/>
              </w:rPr>
            </w:pPr>
            <w:r>
              <w:rPr>
                <w:rFonts w:hint="eastAsia" w:ascii="Times New Roman" w:hAnsi="Times New Roman" w:eastAsia="宋体"/>
                <w:b/>
                <w:color w:val="auto"/>
                <w:sz w:val="24"/>
                <w:szCs w:val="18"/>
                <w:highlight w:val="none"/>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442" w:type="pct"/>
            <w:vAlign w:val="center"/>
          </w:tcPr>
          <w:p>
            <w:pPr>
              <w:spacing w:line="360" w:lineRule="auto"/>
              <w:jc w:val="center"/>
              <w:rPr>
                <w:rFonts w:ascii="Times New Roman" w:hAnsi="Times New Roman" w:eastAsia="宋体"/>
                <w:color w:val="auto"/>
                <w:sz w:val="24"/>
                <w:szCs w:val="18"/>
                <w:highlight w:val="none"/>
              </w:rPr>
            </w:pPr>
            <w:r>
              <w:rPr>
                <w:rFonts w:hint="eastAsia" w:ascii="Times New Roman" w:hAnsi="Times New Roman" w:eastAsia="宋体"/>
                <w:color w:val="auto"/>
                <w:sz w:val="24"/>
                <w:szCs w:val="18"/>
                <w:highlight w:val="none"/>
              </w:rPr>
              <w:t>1</w:t>
            </w:r>
          </w:p>
        </w:tc>
        <w:tc>
          <w:tcPr>
            <w:tcW w:w="569"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b/>
                <w:color w:val="auto"/>
                <w:sz w:val="24"/>
                <w:szCs w:val="24"/>
                <w:highlight w:val="none"/>
              </w:rPr>
              <w:t>▲</w:t>
            </w:r>
            <w:r>
              <w:rPr>
                <w:rFonts w:hint="eastAsia" w:ascii="Times New Roman" w:hAnsi="Times New Roman" w:eastAsia="宋体"/>
                <w:bCs/>
                <w:color w:val="auto"/>
                <w:sz w:val="24"/>
                <w:szCs w:val="18"/>
                <w:highlight w:val="none"/>
              </w:rPr>
              <w:t>直线加速器系统</w:t>
            </w:r>
          </w:p>
        </w:tc>
        <w:tc>
          <w:tcPr>
            <w:tcW w:w="2908" w:type="pct"/>
          </w:tcPr>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★1</w:t>
            </w:r>
            <w:r>
              <w:rPr>
                <w:rFonts w:ascii="Times New Roman" w:hAnsi="Times New Roman" w:eastAsia="宋体"/>
                <w:color w:val="auto"/>
                <w:sz w:val="24"/>
                <w:highlight w:val="none"/>
              </w:rPr>
              <w:t>.</w:t>
            </w:r>
            <w:r>
              <w:rPr>
                <w:rFonts w:hint="eastAsia" w:ascii="Times New Roman" w:hAnsi="Times New Roman" w:eastAsia="宋体"/>
                <w:color w:val="auto"/>
                <w:sz w:val="24"/>
                <w:highlight w:val="none"/>
              </w:rPr>
              <w:t>根据红外自由电子激光要求，直线加速器布局设计为：热阴极电子枪+预聚束器+聚束器+主加速器；</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★2</w:t>
            </w:r>
            <w:r>
              <w:rPr>
                <w:rFonts w:ascii="Times New Roman" w:hAnsi="Times New Roman" w:eastAsia="宋体"/>
                <w:color w:val="auto"/>
                <w:sz w:val="24"/>
                <w:highlight w:val="none"/>
              </w:rPr>
              <w:t>.</w:t>
            </w:r>
            <w:r>
              <w:rPr>
                <w:rFonts w:hint="eastAsia" w:ascii="Times New Roman" w:hAnsi="Times New Roman" w:eastAsia="宋体"/>
                <w:color w:val="auto"/>
                <w:sz w:val="24"/>
                <w:highlight w:val="none"/>
              </w:rPr>
              <w:t>直线加速器产生的电子束参数（所述电子束参数指直线段出口参数）要求如下：</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（1）电子束参数：</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电子能量：</w:t>
            </w:r>
            <w:r>
              <w:rPr>
                <w:rFonts w:ascii="Times New Roman" w:hAnsi="Times New Roman" w:eastAsia="宋体"/>
                <w:color w:val="auto"/>
                <w:sz w:val="24"/>
                <w:highlight w:val="none"/>
              </w:rPr>
              <w:t>15-55 MeV</w:t>
            </w:r>
          </w:p>
          <w:p>
            <w:pPr>
              <w:spacing w:line="360" w:lineRule="auto"/>
              <w:rPr>
                <w:rFonts w:ascii="Times New Roman" w:hAnsi="Times New Roman" w:eastAsia="宋体"/>
                <w:color w:val="auto"/>
                <w:sz w:val="24"/>
                <w:highlight w:val="none"/>
              </w:rPr>
            </w:pPr>
            <w:r>
              <w:rPr>
                <w:rFonts w:ascii="Times New Roman" w:hAnsi="Times New Roman" w:eastAsia="宋体"/>
                <w:color w:val="auto"/>
                <w:sz w:val="24"/>
                <w:highlight w:val="none"/>
              </w:rPr>
              <w:t>rms</w:t>
            </w:r>
            <w:r>
              <w:rPr>
                <w:rFonts w:hint="eastAsia" w:ascii="Times New Roman" w:hAnsi="Times New Roman" w:eastAsia="宋体"/>
                <w:color w:val="auto"/>
                <w:sz w:val="24"/>
                <w:highlight w:val="none"/>
              </w:rPr>
              <w:t>能散度：</w:t>
            </w:r>
            <w:r>
              <w:rPr>
                <w:rFonts w:ascii="Times New Roman" w:hAnsi="Times New Roman" w:eastAsia="宋体"/>
                <w:color w:val="auto"/>
                <w:sz w:val="24"/>
                <w:highlight w:val="none"/>
              </w:rPr>
              <w:t>&lt;0.5%@40-55MeV</w:t>
            </w:r>
          </w:p>
          <w:p>
            <w:pPr>
              <w:spacing w:line="360" w:lineRule="auto"/>
              <w:ind w:firstLine="1440" w:firstLineChars="600"/>
              <w:rPr>
                <w:rFonts w:ascii="Times New Roman" w:hAnsi="Times New Roman" w:eastAsia="宋体"/>
                <w:color w:val="auto"/>
                <w:sz w:val="24"/>
                <w:highlight w:val="none"/>
              </w:rPr>
            </w:pPr>
            <w:r>
              <w:rPr>
                <w:rFonts w:ascii="Times New Roman" w:hAnsi="Times New Roman" w:eastAsia="宋体"/>
                <w:color w:val="auto"/>
                <w:sz w:val="24"/>
                <w:highlight w:val="none"/>
              </w:rPr>
              <w:t>&lt;0.8%@30-40MeV</w:t>
            </w:r>
          </w:p>
          <w:p>
            <w:pPr>
              <w:spacing w:line="360" w:lineRule="auto"/>
              <w:ind w:firstLine="1440" w:firstLineChars="600"/>
              <w:rPr>
                <w:rFonts w:ascii="Times New Roman" w:hAnsi="Times New Roman" w:eastAsia="宋体"/>
                <w:color w:val="auto"/>
                <w:sz w:val="24"/>
                <w:highlight w:val="none"/>
              </w:rPr>
            </w:pPr>
            <w:r>
              <w:rPr>
                <w:rFonts w:ascii="Times New Roman" w:hAnsi="Times New Roman" w:eastAsia="宋体"/>
                <w:color w:val="auto"/>
                <w:sz w:val="24"/>
                <w:highlight w:val="none"/>
              </w:rPr>
              <w:t>&lt;1%@15-30MeV</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归一化发射度</w:t>
            </w:r>
            <w:r>
              <w:rPr>
                <w:rFonts w:ascii="Times New Roman" w:hAnsi="Times New Roman" w:eastAsia="宋体"/>
                <w:color w:val="auto"/>
                <w:sz w:val="24"/>
                <w:highlight w:val="none"/>
              </w:rPr>
              <w:t>&lt;40 mm•mrad</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60%</w:t>
            </w:r>
            <w:r>
              <w:rPr>
                <w:rFonts w:hint="eastAsia" w:ascii="Times New Roman" w:hAnsi="Times New Roman" w:eastAsia="宋体"/>
                <w:color w:val="auto"/>
                <w:sz w:val="24"/>
                <w:highlight w:val="none"/>
              </w:rPr>
              <w:t>核心部分）</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（2）微脉冲</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ab/>
            </w:r>
            <w:r>
              <w:rPr>
                <w:rFonts w:hint="eastAsia" w:ascii="Times New Roman" w:hAnsi="Times New Roman" w:eastAsia="宋体"/>
                <w:color w:val="auto"/>
                <w:sz w:val="24"/>
                <w:highlight w:val="none"/>
              </w:rPr>
              <w:t>最大电荷量</w:t>
            </w:r>
            <w:r>
              <w:rPr>
                <w:rFonts w:ascii="Times New Roman" w:hAnsi="Times New Roman" w:eastAsia="宋体"/>
                <w:color w:val="auto"/>
                <w:sz w:val="24"/>
                <w:highlight w:val="none"/>
              </w:rPr>
              <w:t xml:space="preserve"> 1 nC (</w:t>
            </w:r>
            <w:r>
              <w:rPr>
                <w:rFonts w:hint="eastAsia" w:ascii="Times New Roman" w:hAnsi="Times New Roman" w:eastAsia="宋体"/>
                <w:color w:val="auto"/>
                <w:sz w:val="24"/>
                <w:highlight w:val="none"/>
              </w:rPr>
              <w:t>电子枪出口</w:t>
            </w:r>
            <w:r>
              <w:rPr>
                <w:rFonts w:ascii="Times New Roman" w:hAnsi="Times New Roman" w:eastAsia="宋体"/>
                <w:color w:val="auto"/>
                <w:sz w:val="24"/>
                <w:highlight w:val="none"/>
              </w:rPr>
              <w:t>)</w:t>
            </w:r>
          </w:p>
          <w:p>
            <w:pPr>
              <w:spacing w:line="360" w:lineRule="auto"/>
              <w:rPr>
                <w:rFonts w:ascii="Times New Roman" w:hAnsi="Times New Roman" w:eastAsia="宋体"/>
                <w:color w:val="auto"/>
                <w:sz w:val="24"/>
                <w:highlight w:val="none"/>
              </w:rPr>
            </w:pPr>
            <w:r>
              <w:rPr>
                <w:rFonts w:ascii="Times New Roman" w:hAnsi="Times New Roman" w:eastAsia="宋体"/>
                <w:color w:val="auto"/>
                <w:sz w:val="24"/>
                <w:highlight w:val="none"/>
              </w:rPr>
              <w:tab/>
            </w:r>
            <w:r>
              <w:rPr>
                <w:rFonts w:hint="eastAsia" w:ascii="Times New Roman" w:hAnsi="Times New Roman" w:eastAsia="宋体"/>
                <w:color w:val="auto"/>
                <w:sz w:val="24"/>
                <w:highlight w:val="none"/>
              </w:rPr>
              <w:t>长度</w:t>
            </w:r>
            <w:r>
              <w:rPr>
                <w:rFonts w:ascii="Times New Roman" w:hAnsi="Times New Roman" w:eastAsia="宋体"/>
                <w:color w:val="auto"/>
                <w:sz w:val="24"/>
                <w:highlight w:val="none"/>
              </w:rPr>
              <w:t>/FWHM</w:t>
            </w:r>
            <w:r>
              <w:rPr>
                <w:rFonts w:ascii="Times New Roman" w:hAnsi="Times New Roman" w:eastAsia="宋体"/>
                <w:color w:val="auto"/>
                <w:sz w:val="24"/>
                <w:highlight w:val="none"/>
              </w:rPr>
              <w:tab/>
            </w:r>
            <w:r>
              <w:rPr>
                <w:rFonts w:ascii="Times New Roman" w:hAnsi="Times New Roman" w:eastAsia="宋体"/>
                <w:color w:val="auto"/>
                <w:sz w:val="24"/>
                <w:highlight w:val="none"/>
              </w:rPr>
              <w:t>&lt;10 ps</w:t>
            </w:r>
            <w:r>
              <w:rPr>
                <w:rFonts w:hint="eastAsia" w:ascii="Times New Roman" w:hAnsi="Times New Roman" w:eastAsia="宋体"/>
                <w:color w:val="auto"/>
                <w:sz w:val="24"/>
                <w:highlight w:val="none"/>
              </w:rPr>
              <w:t>（设计保证）</w:t>
            </w:r>
          </w:p>
          <w:p>
            <w:pPr>
              <w:spacing w:line="360" w:lineRule="auto"/>
              <w:rPr>
                <w:rFonts w:ascii="Times New Roman" w:hAnsi="Times New Roman" w:eastAsia="宋体"/>
                <w:color w:val="auto"/>
                <w:sz w:val="24"/>
                <w:highlight w:val="none"/>
              </w:rPr>
            </w:pPr>
            <w:r>
              <w:rPr>
                <w:rFonts w:ascii="Times New Roman" w:hAnsi="Times New Roman" w:eastAsia="宋体"/>
                <w:color w:val="auto"/>
                <w:sz w:val="24"/>
                <w:highlight w:val="none"/>
              </w:rPr>
              <w:tab/>
            </w:r>
            <w:r>
              <w:rPr>
                <w:rFonts w:hint="eastAsia" w:ascii="Times New Roman" w:hAnsi="Times New Roman" w:eastAsia="宋体"/>
                <w:color w:val="auto"/>
                <w:sz w:val="24"/>
                <w:highlight w:val="none"/>
              </w:rPr>
              <w:t>重复频率</w:t>
            </w:r>
            <w:r>
              <w:rPr>
                <w:rFonts w:ascii="Times New Roman" w:hAnsi="Times New Roman" w:eastAsia="宋体"/>
                <w:color w:val="auto"/>
                <w:sz w:val="24"/>
                <w:highlight w:val="none"/>
              </w:rPr>
              <w:tab/>
            </w:r>
            <w:r>
              <w:rPr>
                <w:rFonts w:ascii="Times New Roman" w:hAnsi="Times New Roman" w:eastAsia="宋体"/>
                <w:color w:val="auto"/>
                <w:sz w:val="24"/>
                <w:highlight w:val="none"/>
              </w:rPr>
              <w:t>119, 59.5, 29.75 MHz</w:t>
            </w:r>
          </w:p>
          <w:p>
            <w:pPr>
              <w:numPr>
                <w:ilvl w:val="0"/>
                <w:numId w:val="1"/>
              </w:num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宏脉冲</w:t>
            </w:r>
            <w:r>
              <w:rPr>
                <w:rFonts w:ascii="Times New Roman" w:hAnsi="Times New Roman" w:eastAsia="宋体"/>
                <w:color w:val="auto"/>
                <w:sz w:val="24"/>
                <w:highlight w:val="none"/>
              </w:rPr>
              <w:tab/>
            </w:r>
            <w:r>
              <w:rPr>
                <w:rFonts w:hint="eastAsia" w:ascii="Times New Roman" w:hAnsi="Times New Roman" w:eastAsia="宋体"/>
                <w:color w:val="auto"/>
                <w:sz w:val="24"/>
                <w:highlight w:val="none"/>
              </w:rPr>
              <w:t>长度</w:t>
            </w:r>
            <w:r>
              <w:rPr>
                <w:rFonts w:ascii="Times New Roman" w:hAnsi="Times New Roman" w:eastAsia="宋体"/>
                <w:color w:val="auto"/>
                <w:sz w:val="24"/>
                <w:highlight w:val="none"/>
              </w:rPr>
              <w:tab/>
            </w:r>
            <w:r>
              <w:rPr>
                <w:rFonts w:ascii="Times New Roman" w:hAnsi="Times New Roman" w:eastAsia="宋体"/>
                <w:color w:val="auto"/>
                <w:sz w:val="24"/>
                <w:highlight w:val="none"/>
              </w:rPr>
              <w:t xml:space="preserve">3-10 </w:t>
            </w:r>
            <w:r>
              <w:rPr>
                <w:rFonts w:ascii="Times New Roman" w:hAnsi="Times New Roman" w:eastAsia="宋体" w:cs="Times New Roman"/>
                <w:color w:val="auto"/>
                <w:sz w:val="24"/>
                <w:highlight w:val="none"/>
              </w:rPr>
              <w:t>μ</w:t>
            </w:r>
            <w:r>
              <w:rPr>
                <w:rFonts w:ascii="Times New Roman" w:hAnsi="Times New Roman" w:eastAsia="宋体"/>
                <w:color w:val="auto"/>
                <w:sz w:val="24"/>
                <w:highlight w:val="none"/>
              </w:rPr>
              <w:t>s</w:t>
            </w:r>
            <w:r>
              <w:rPr>
                <w:rFonts w:hint="eastAsia" w:ascii="Times New Roman" w:hAnsi="Times New Roman" w:eastAsia="宋体"/>
                <w:color w:val="auto"/>
                <w:sz w:val="24"/>
                <w:highlight w:val="none"/>
              </w:rPr>
              <w:t>可调</w:t>
            </w:r>
          </w:p>
          <w:p>
            <w:pPr>
              <w:spacing w:line="360" w:lineRule="auto"/>
              <w:rPr>
                <w:rFonts w:ascii="Times New Roman" w:hAnsi="Times New Roman" w:eastAsia="宋体"/>
                <w:color w:val="auto"/>
                <w:sz w:val="24"/>
                <w:highlight w:val="none"/>
              </w:rPr>
            </w:pPr>
            <w:r>
              <w:rPr>
                <w:rFonts w:ascii="Times New Roman" w:hAnsi="Times New Roman" w:eastAsia="宋体"/>
                <w:color w:val="auto"/>
                <w:sz w:val="24"/>
                <w:highlight w:val="none"/>
              </w:rPr>
              <w:tab/>
            </w:r>
            <w:r>
              <w:rPr>
                <w:rFonts w:hint="eastAsia" w:ascii="Times New Roman" w:hAnsi="Times New Roman" w:eastAsia="宋体"/>
                <w:color w:val="auto"/>
                <w:sz w:val="24"/>
                <w:highlight w:val="none"/>
              </w:rPr>
              <w:t>最高重复频率</w:t>
            </w:r>
            <w:r>
              <w:rPr>
                <w:rFonts w:ascii="Times New Roman" w:hAnsi="Times New Roman" w:eastAsia="宋体"/>
                <w:color w:val="auto"/>
                <w:sz w:val="24"/>
                <w:highlight w:val="none"/>
              </w:rPr>
              <w:tab/>
            </w:r>
            <w:r>
              <w:rPr>
                <w:rFonts w:ascii="Times New Roman" w:hAnsi="Times New Roman" w:eastAsia="宋体"/>
                <w:color w:val="auto"/>
                <w:sz w:val="24"/>
                <w:highlight w:val="none"/>
              </w:rPr>
              <w:t>10 Hz</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3.</w:t>
            </w:r>
            <w:r>
              <w:rPr>
                <w:rFonts w:hint="eastAsia" w:ascii="Times New Roman" w:hAnsi="Times New Roman" w:eastAsia="宋体"/>
                <w:color w:val="auto"/>
                <w:sz w:val="24"/>
                <w:highlight w:val="none"/>
              </w:rPr>
              <w:t>整体布局（包括直线加速器、波荡器和谐振腔）的空间大小不大于：16m×8.95m×5.5m（长×宽×高）；</w:t>
            </w:r>
          </w:p>
          <w:p>
            <w:pPr>
              <w:spacing w:line="360" w:lineRule="auto"/>
              <w:rPr>
                <w:rFonts w:ascii="Times New Roman" w:hAnsi="Times New Roman" w:eastAsia="宋体"/>
                <w:color w:val="auto"/>
                <w:sz w:val="24"/>
                <w:highlight w:val="none"/>
              </w:rPr>
            </w:pPr>
            <w:r>
              <w:rPr>
                <w:rFonts w:ascii="Times New Roman" w:hAnsi="Times New Roman" w:eastAsia="宋体"/>
                <w:color w:val="auto"/>
                <w:sz w:val="24"/>
                <w:highlight w:val="none"/>
              </w:rPr>
              <w:t>4.</w:t>
            </w:r>
            <w:r>
              <w:rPr>
                <w:rFonts w:hint="eastAsia" w:ascii="Times New Roman" w:hAnsi="Times New Roman" w:eastAsia="宋体"/>
                <w:color w:val="auto"/>
                <w:sz w:val="24"/>
                <w:highlight w:val="none"/>
              </w:rPr>
              <w:t>布局包括直线加速器段（直线段）和2个横向偏转及谐振腔段（横向输运段）；</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5.</w:t>
            </w:r>
            <w:r>
              <w:rPr>
                <w:rFonts w:hint="eastAsia" w:ascii="Times New Roman" w:hAnsi="Times New Roman" w:eastAsia="宋体"/>
                <w:color w:val="auto"/>
                <w:sz w:val="24"/>
                <w:highlight w:val="none"/>
              </w:rPr>
              <w:t>中标人完成直线加速器的工程设计，给出直线加速器各部件的技术参数要求和相关接口要求；横向输运段物理设计在本次采购范围内，工程设计不在本次采购范围，但中标人应协助采购人完成整个横向输运段的工程设计。</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6</w:t>
            </w:r>
            <w:r>
              <w:rPr>
                <w:rFonts w:ascii="Times New Roman" w:hAnsi="Times New Roman" w:eastAsia="宋体"/>
                <w:color w:val="auto"/>
                <w:sz w:val="24"/>
                <w:highlight w:val="none"/>
              </w:rPr>
              <w:t>.</w:t>
            </w:r>
            <w:r>
              <w:rPr>
                <w:rFonts w:hint="eastAsia" w:ascii="Times New Roman" w:hAnsi="Times New Roman" w:eastAsia="宋体"/>
                <w:color w:val="auto"/>
                <w:sz w:val="24"/>
                <w:highlight w:val="none"/>
              </w:rPr>
              <w:t>直线加速器的</w:t>
            </w:r>
            <w:r>
              <w:rPr>
                <w:rFonts w:hint="eastAsia" w:ascii="Times New Roman" w:hAnsi="Times New Roman" w:eastAsia="宋体"/>
                <w:color w:val="auto"/>
                <w:sz w:val="24"/>
                <w:highlight w:val="none"/>
              </w:rPr>
              <w:t>以下</w:t>
            </w:r>
            <w:r>
              <w:rPr>
                <w:rFonts w:hint="eastAsia" w:ascii="Times New Roman" w:hAnsi="Times New Roman" w:eastAsia="宋体"/>
                <w:color w:val="auto"/>
                <w:sz w:val="24"/>
                <w:highlight w:val="none"/>
              </w:rPr>
              <w:t>部分由中标人负责完成系统设计和研制，包括：</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（1）</w:t>
            </w:r>
            <w:r>
              <w:rPr>
                <w:rFonts w:hint="eastAsia" w:ascii="Times New Roman" w:hAnsi="Times New Roman" w:eastAsia="宋体"/>
                <w:color w:val="auto"/>
                <w:sz w:val="24"/>
                <w:highlight w:val="none"/>
              </w:rPr>
              <w:t>电子枪：电子枪腔体及阴栅组件。此外，高压电源、脉冲电源、偏置电源及灯丝电源由采购人按照中标人要求提供；</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（2）</w:t>
            </w:r>
            <w:r>
              <w:rPr>
                <w:rFonts w:hint="eastAsia" w:ascii="Times New Roman" w:hAnsi="Times New Roman" w:eastAsia="宋体"/>
                <w:color w:val="auto"/>
                <w:sz w:val="24"/>
                <w:highlight w:val="none"/>
              </w:rPr>
              <w:t>磁铁：螺线管及四极磁铁、二极磁铁（包含横向输运段磁铁），由采购人按中标人要求另行采购。中标人负责设计及后期安装调试；</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■（3）束测系统：FCT、ICT、BPM、束斑探测器及能谱分析系统（注：包括横向输运段的束测元件及其前端设备和连接线缆）；</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■（4）</w:t>
            </w:r>
            <w:r>
              <w:rPr>
                <w:rFonts w:hint="eastAsia" w:ascii="Times New Roman" w:hAnsi="Times New Roman" w:eastAsia="宋体"/>
                <w:color w:val="auto"/>
                <w:sz w:val="24"/>
                <w:highlight w:val="none"/>
              </w:rPr>
              <w:t>微波系统：预聚束器、聚束器、加速管、相应的波导、吸收负载及微波测量和控制设备、低电平系统。此外，速调管、固态放大器和调制器由采购人按照中标人提供的技术要求进行采购；</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（5）</w:t>
            </w:r>
            <w:r>
              <w:rPr>
                <w:rFonts w:hint="eastAsia" w:ascii="Times New Roman" w:hAnsi="Times New Roman" w:eastAsia="宋体"/>
                <w:color w:val="auto"/>
                <w:sz w:val="24"/>
                <w:highlight w:val="none"/>
              </w:rPr>
              <w:t>机械支撑：电子枪、加速管、磁铁、束测件等机械支撑，及波导支撑、离子泵及阀门支撑；</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（6）</w:t>
            </w:r>
            <w:r>
              <w:rPr>
                <w:rFonts w:hint="eastAsia" w:ascii="Times New Roman" w:hAnsi="Times New Roman" w:eastAsia="宋体"/>
                <w:color w:val="auto"/>
                <w:sz w:val="24"/>
                <w:highlight w:val="none"/>
              </w:rPr>
              <w:t>真空系统：直线加速器的真空连接管道。此外，泵、阀、规由中标人提供技术要求，采购人进行采购；</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■（7）控制系统：上述由中标人负责的相关装置，其系统级控制由中标人负责，直线加速器控制系统硬件平台、环境及设备安全联锁的搭建由采购人负责；系统开发环境基于EPICS系统。</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7</w:t>
            </w:r>
            <w:r>
              <w:rPr>
                <w:rFonts w:ascii="Times New Roman" w:hAnsi="Times New Roman" w:eastAsia="宋体"/>
                <w:color w:val="auto"/>
                <w:sz w:val="24"/>
                <w:highlight w:val="none"/>
              </w:rPr>
              <w:t>.</w:t>
            </w:r>
            <w:r>
              <w:rPr>
                <w:rFonts w:hint="eastAsia" w:ascii="Times New Roman" w:hAnsi="Times New Roman" w:eastAsia="宋体"/>
                <w:color w:val="auto"/>
                <w:sz w:val="24"/>
                <w:highlight w:val="none"/>
              </w:rPr>
              <w:t>直线加速器中，除上述由中标人负责完成研制的部分外，其他部分由采购人提供。中标人负责提出对其技术参数和接口的要求。包括：</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■(1)功率源系统、磁铁、磁铁电源、电子枪电源的具体技术要求，包括所有参数细节要求，包括和加速器控制系统的同步和通讯；</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■(2)真空系统泵、阀、规清单及参数要求；</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■(3)时序系统的设备清单和具体技术要求；</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(4)采购人所提供的水冷系统为：两路恒温水供应，其中20kW冷水机组出水温度40℃~45℃连续可调，水温控制精度为±0.1℃；100kW冷水机组出水温度为20℃~27℃连续可调，水温控制精度为±0.5℃。中标人根据采购人所提供的上述条件，明确和深化直线加速器水冷系统的具体参数指标要求和接口参数要求。</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8</w:t>
            </w:r>
            <w:r>
              <w:rPr>
                <w:rFonts w:hint="eastAsia" w:ascii="Times New Roman" w:hAnsi="Times New Roman" w:eastAsia="宋体"/>
                <w:color w:val="auto"/>
                <w:sz w:val="24"/>
                <w:highlight w:val="none"/>
              </w:rPr>
              <w:t>．中标人负责直线加速器的安装和调试，输出符合物理指标要求的电子束。</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9.</w:t>
            </w:r>
            <w:r>
              <w:rPr>
                <w:rFonts w:hint="eastAsia" w:ascii="Times New Roman" w:hAnsi="Times New Roman" w:eastAsia="宋体"/>
                <w:color w:val="auto"/>
                <w:sz w:val="24"/>
                <w:highlight w:val="none"/>
              </w:rPr>
              <w:t>中标人需向</w:t>
            </w:r>
            <w:r>
              <w:rPr>
                <w:rFonts w:hint="eastAsia" w:ascii="Times New Roman" w:hAnsi="Times New Roman" w:eastAsia="宋体"/>
                <w:color w:val="auto"/>
                <w:sz w:val="24"/>
                <w:highlight w:val="none"/>
              </w:rPr>
              <w:t>采购人</w:t>
            </w:r>
            <w:r>
              <w:rPr>
                <w:rFonts w:hint="eastAsia" w:ascii="Times New Roman" w:hAnsi="Times New Roman" w:eastAsia="宋体"/>
                <w:color w:val="auto"/>
                <w:sz w:val="24"/>
                <w:highlight w:val="none"/>
              </w:rPr>
              <w:t>提供详细的工程设计方案和完整的工程图纸。</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10.</w:t>
            </w:r>
            <w:r>
              <w:rPr>
                <w:rFonts w:hint="eastAsia" w:ascii="Times New Roman" w:hAnsi="Times New Roman" w:eastAsia="宋体"/>
                <w:color w:val="auto"/>
                <w:sz w:val="24"/>
                <w:highlight w:val="none"/>
              </w:rPr>
              <w:t>中标人协助</w:t>
            </w:r>
            <w:r>
              <w:rPr>
                <w:rFonts w:hint="eastAsia" w:ascii="Times New Roman" w:hAnsi="Times New Roman" w:eastAsia="宋体"/>
                <w:color w:val="auto"/>
                <w:sz w:val="24"/>
                <w:highlight w:val="none"/>
              </w:rPr>
              <w:t>采购人</w:t>
            </w:r>
            <w:r>
              <w:rPr>
                <w:rFonts w:hint="eastAsia" w:ascii="Times New Roman" w:hAnsi="Times New Roman" w:eastAsia="宋体"/>
                <w:color w:val="auto"/>
                <w:sz w:val="24"/>
                <w:highlight w:val="none"/>
              </w:rPr>
              <w:t>联调、出光。</w:t>
            </w:r>
          </w:p>
        </w:tc>
        <w:tc>
          <w:tcPr>
            <w:tcW w:w="615" w:type="pct"/>
            <w:vAlign w:val="center"/>
          </w:tcPr>
          <w:p>
            <w:pPr>
              <w:spacing w:line="360" w:lineRule="auto"/>
              <w:jc w:val="center"/>
              <w:rPr>
                <w:rFonts w:ascii="Times New Roman" w:hAnsi="Times New Roman" w:eastAsia="宋体"/>
                <w:bCs/>
                <w:color w:val="auto"/>
                <w:sz w:val="24"/>
                <w:szCs w:val="18"/>
                <w:highlight w:val="none"/>
              </w:rPr>
            </w:pPr>
            <w:r>
              <w:rPr>
                <w:rFonts w:ascii="Times New Roman" w:hAnsi="Times New Roman" w:eastAsia="宋体"/>
                <w:bCs/>
                <w:color w:val="auto"/>
                <w:sz w:val="24"/>
                <w:szCs w:val="18"/>
                <w:highlight w:val="none"/>
              </w:rPr>
              <w:t>1</w:t>
            </w:r>
            <w:r>
              <w:rPr>
                <w:rFonts w:hint="eastAsia" w:ascii="Times New Roman" w:hAnsi="Times New Roman" w:eastAsia="宋体"/>
                <w:bCs/>
                <w:color w:val="auto"/>
                <w:sz w:val="24"/>
                <w:szCs w:val="18"/>
                <w:highlight w:val="none"/>
              </w:rPr>
              <w:t>套</w:t>
            </w:r>
          </w:p>
        </w:tc>
        <w:tc>
          <w:tcPr>
            <w:tcW w:w="462" w:type="pct"/>
            <w:vAlign w:val="center"/>
          </w:tcPr>
          <w:p>
            <w:pPr>
              <w:spacing w:line="360" w:lineRule="auto"/>
              <w:jc w:val="center"/>
              <w:rPr>
                <w:rFonts w:ascii="Times New Roman" w:hAnsi="Times New Roman" w:eastAsia="宋体"/>
                <w:bCs/>
                <w:color w:val="auto"/>
                <w:sz w:val="24"/>
                <w:szCs w:val="18"/>
                <w:highlight w:val="none"/>
              </w:rPr>
            </w:pPr>
            <w:r>
              <w:rPr>
                <w:rFonts w:hint="eastAsia" w:ascii="Times New Roman" w:hAnsi="Times New Roman" w:eastAsia="宋体"/>
                <w:bCs/>
                <w:color w:val="auto"/>
                <w:sz w:val="24"/>
                <w:szCs w:val="18"/>
                <w:highlight w:val="none"/>
              </w:rPr>
              <w:t>工业</w:t>
            </w:r>
          </w:p>
        </w:tc>
      </w:tr>
    </w:tbl>
    <w:p>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三、报价要求</w:t>
      </w:r>
    </w:p>
    <w:p>
      <w:pPr>
        <w:spacing w:line="360" w:lineRule="auto"/>
        <w:ind w:firstLine="437"/>
        <w:outlineLvl w:val="1"/>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本项目报投标总价，并同时报出分项报价，投标总价包含完成所投项目所产生的一切费用，履约期间采购人不再追加任何费用，投标人综合考虑报价风险。</w:t>
      </w:r>
    </w:p>
    <w:p>
      <w:pPr>
        <w:spacing w:line="360" w:lineRule="auto"/>
        <w:ind w:firstLine="437"/>
        <w:outlineLvl w:val="1"/>
        <w:rPr>
          <w:rFonts w:ascii="宋体" w:hAnsi="宋体" w:eastAsia="宋体"/>
          <w:bCs/>
          <w:color w:val="auto"/>
          <w:sz w:val="24"/>
          <w:szCs w:val="18"/>
          <w:highlight w:val="none"/>
        </w:rPr>
      </w:pPr>
      <w:r>
        <w:rPr>
          <w:rFonts w:hint="eastAsia" w:ascii="宋体" w:hAnsi="宋体" w:eastAsia="宋体"/>
          <w:b/>
          <w:bCs/>
          <w:color w:val="auto"/>
          <w:sz w:val="24"/>
          <w:szCs w:val="18"/>
          <w:highlight w:val="none"/>
        </w:rPr>
        <w:t>四、其他要求</w:t>
      </w:r>
    </w:p>
    <w:p>
      <w:pPr>
        <w:spacing w:line="360" w:lineRule="auto"/>
        <w:ind w:firstLine="437"/>
        <w:outlineLvl w:val="1"/>
        <w:rPr>
          <w:rFonts w:hint="eastAsia" w:ascii="宋体" w:hAnsi="宋体" w:eastAsia="宋体"/>
          <w:b/>
          <w:bCs/>
          <w:color w:val="auto"/>
          <w:sz w:val="24"/>
          <w:szCs w:val="18"/>
          <w:highlight w:val="none"/>
          <w:lang w:eastAsia="zh-CN"/>
        </w:rPr>
      </w:pPr>
      <w:r>
        <w:rPr>
          <w:rFonts w:hint="eastAsia" w:ascii="Times New Roman" w:hAnsi="Times New Roman" w:eastAsia="宋体"/>
          <w:color w:val="auto"/>
          <w:sz w:val="24"/>
          <w:highlight w:val="none"/>
        </w:rPr>
        <w:t>中标人需在安装和调试阶段对</w:t>
      </w:r>
      <w:r>
        <w:rPr>
          <w:rFonts w:hint="eastAsia" w:ascii="Times New Roman" w:hAnsi="Times New Roman" w:eastAsia="宋体"/>
          <w:color w:val="auto"/>
          <w:sz w:val="24"/>
          <w:highlight w:val="none"/>
        </w:rPr>
        <w:t>采购人</w:t>
      </w:r>
      <w:r>
        <w:rPr>
          <w:rFonts w:hint="eastAsia" w:ascii="Times New Roman" w:hAnsi="Times New Roman" w:eastAsia="宋体"/>
          <w:color w:val="auto"/>
          <w:sz w:val="24"/>
          <w:highlight w:val="none"/>
        </w:rPr>
        <w:t>相关人员进行必要培训，同时参与调试完成后的运行6个月，在此时间内，应对</w:t>
      </w:r>
      <w:r>
        <w:rPr>
          <w:rFonts w:hint="eastAsia" w:ascii="Times New Roman" w:hAnsi="Times New Roman" w:eastAsia="宋体"/>
          <w:color w:val="auto"/>
          <w:sz w:val="24"/>
          <w:highlight w:val="none"/>
        </w:rPr>
        <w:t>采购人相关</w:t>
      </w:r>
      <w:r>
        <w:rPr>
          <w:rFonts w:hint="eastAsia" w:ascii="Times New Roman" w:hAnsi="Times New Roman" w:eastAsia="宋体"/>
          <w:color w:val="auto"/>
          <w:sz w:val="24"/>
          <w:highlight w:val="none"/>
        </w:rPr>
        <w:t>人员进行培训和指导，协助</w:t>
      </w:r>
      <w:r>
        <w:rPr>
          <w:rFonts w:hint="eastAsia" w:ascii="Times New Roman" w:hAnsi="Times New Roman" w:eastAsia="宋体"/>
          <w:color w:val="auto"/>
          <w:sz w:val="24"/>
          <w:highlight w:val="none"/>
        </w:rPr>
        <w:t>采购人相关</w:t>
      </w:r>
      <w:r>
        <w:rPr>
          <w:rFonts w:hint="eastAsia" w:ascii="Times New Roman" w:hAnsi="Times New Roman" w:eastAsia="宋体"/>
          <w:color w:val="auto"/>
          <w:sz w:val="24"/>
          <w:highlight w:val="none"/>
        </w:rPr>
        <w:t>人员</w:t>
      </w:r>
      <w:r>
        <w:rPr>
          <w:rFonts w:hint="eastAsia" w:ascii="Times New Roman" w:hAnsi="Times New Roman" w:eastAsia="宋体"/>
          <w:color w:val="auto"/>
          <w:sz w:val="24"/>
          <w:highlight w:val="none"/>
        </w:rPr>
        <w:t>具备独立运行</w:t>
      </w:r>
      <w:r>
        <w:rPr>
          <w:rFonts w:hint="eastAsia" w:ascii="Times New Roman" w:hAnsi="Times New Roman" w:eastAsia="宋体"/>
          <w:color w:val="auto"/>
          <w:sz w:val="24"/>
          <w:highlight w:val="none"/>
        </w:rPr>
        <w:t>加速器的能力。调试阶段中标人应</w:t>
      </w:r>
      <w:r>
        <w:rPr>
          <w:rFonts w:hint="eastAsia" w:ascii="Times New Roman" w:hAnsi="Times New Roman" w:eastAsia="宋体"/>
          <w:color w:val="auto"/>
          <w:sz w:val="24"/>
          <w:highlight w:val="none"/>
        </w:rPr>
        <w:t>提供</w:t>
      </w:r>
      <w:r>
        <w:rPr>
          <w:rFonts w:hint="eastAsia" w:ascii="Times New Roman" w:hAnsi="Times New Roman" w:eastAsia="宋体"/>
          <w:color w:val="auto"/>
          <w:sz w:val="24"/>
          <w:highlight w:val="none"/>
        </w:rPr>
        <w:t>2</w:t>
      </w:r>
      <w:r>
        <w:rPr>
          <w:rFonts w:ascii="Times New Roman" w:hAnsi="Times New Roman" w:eastAsia="宋体"/>
          <w:color w:val="auto"/>
          <w:sz w:val="24"/>
          <w:highlight w:val="none"/>
        </w:rPr>
        <w:t>4</w:t>
      </w:r>
      <w:r>
        <w:rPr>
          <w:rFonts w:hint="eastAsia" w:ascii="Times New Roman" w:hAnsi="Times New Roman" w:eastAsia="宋体"/>
          <w:color w:val="auto"/>
          <w:sz w:val="24"/>
          <w:highlight w:val="none"/>
        </w:rPr>
        <w:t>h×</w:t>
      </w:r>
      <w:r>
        <w:rPr>
          <w:rFonts w:ascii="Times New Roman" w:hAnsi="Times New Roman" w:eastAsia="宋体"/>
          <w:color w:val="auto"/>
          <w:sz w:val="24"/>
          <w:highlight w:val="none"/>
        </w:rPr>
        <w:t>7</w:t>
      </w:r>
      <w:r>
        <w:rPr>
          <w:rFonts w:hint="eastAsia" w:ascii="Times New Roman" w:hAnsi="Times New Roman" w:eastAsia="宋体"/>
          <w:color w:val="auto"/>
          <w:sz w:val="24"/>
          <w:highlight w:val="none"/>
        </w:rPr>
        <w:t>日常驻服务，并提供与之匹配的技术人员，总人数不少于2</w:t>
      </w:r>
      <w:r>
        <w:rPr>
          <w:rFonts w:ascii="Times New Roman" w:hAnsi="Times New Roman" w:eastAsia="宋体"/>
          <w:color w:val="auto"/>
          <w:sz w:val="24"/>
          <w:highlight w:val="none"/>
        </w:rPr>
        <w:t>0</w:t>
      </w:r>
      <w:r>
        <w:rPr>
          <w:rFonts w:hint="eastAsia" w:ascii="Times New Roman" w:hAnsi="Times New Roman" w:eastAsia="宋体"/>
          <w:color w:val="auto"/>
          <w:sz w:val="24"/>
          <w:highlight w:val="none"/>
        </w:rPr>
        <w:t>名，技术人员应为加速器各个系统的专门技术人员</w:t>
      </w:r>
      <w:r>
        <w:rPr>
          <w:rFonts w:hint="eastAsia" w:ascii="Times New Roman" w:hAnsi="Times New Roman" w:eastAsia="宋体"/>
          <w:color w:val="auto"/>
          <w:sz w:val="24"/>
          <w:highlight w:val="none"/>
          <w:lang w:eastAsia="zh-CN"/>
        </w:rPr>
        <w:t>。</w:t>
      </w:r>
      <w:bookmarkStart w:id="175" w:name="_GoBack"/>
      <w:bookmarkEnd w:id="175"/>
    </w:p>
    <w:p>
      <w:pPr>
        <w:spacing w:line="360" w:lineRule="auto"/>
        <w:ind w:firstLine="437"/>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0"/>
        <w:rPr>
          <w:rFonts w:asciiTheme="minorEastAsia" w:hAnsiTheme="minorEastAsia" w:eastAsiaTheme="minorEastAsia"/>
          <w:b/>
          <w:color w:val="auto"/>
          <w:sz w:val="28"/>
          <w:highlight w:val="none"/>
        </w:rPr>
      </w:pPr>
      <w:bookmarkStart w:id="16" w:name="_Toc60602966"/>
      <w:r>
        <w:rPr>
          <w:rFonts w:hint="eastAsia" w:asciiTheme="minorEastAsia" w:hAnsiTheme="minorEastAsia" w:eastAsiaTheme="minorEastAsia"/>
          <w:b/>
          <w:color w:val="auto"/>
          <w:sz w:val="28"/>
          <w:highlight w:val="none"/>
        </w:rPr>
        <w:t>第四章  评标方法和标准（综合评分法）</w:t>
      </w:r>
      <w:bookmarkEnd w:id="16"/>
    </w:p>
    <w:p>
      <w:pPr>
        <w:spacing w:line="360" w:lineRule="auto"/>
        <w:ind w:firstLine="437"/>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一、总则</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pPr>
        <w:spacing w:line="360" w:lineRule="auto"/>
        <w:ind w:firstLine="437"/>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二、评标方法</w:t>
      </w:r>
    </w:p>
    <w:p>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依据政府采购相关法律法规规定</w:t>
      </w:r>
      <w:r>
        <w:rPr>
          <w:rFonts w:asciiTheme="minorEastAsia" w:hAnsiTheme="minorEastAsia" w:eastAsiaTheme="minorEastAsia"/>
          <w:color w:val="auto"/>
          <w:sz w:val="24"/>
          <w:highlight w:val="none"/>
        </w:rPr>
        <w:t>,由采购人或采购代理机构对</w:t>
      </w:r>
      <w:r>
        <w:rPr>
          <w:rFonts w:hint="eastAsia" w:asciiTheme="minorEastAsia" w:hAnsiTheme="minorEastAsia" w:eastAsiaTheme="minorEastAsia"/>
          <w:color w:val="auto"/>
          <w:sz w:val="24"/>
          <w:highlight w:val="none"/>
        </w:rPr>
        <w:t>投标人进行资格审查</w:t>
      </w:r>
      <w:r>
        <w:rPr>
          <w:rFonts w:asciiTheme="minorEastAsia" w:hAnsiTheme="minorEastAsia" w:eastAsiaTheme="minorEastAsia"/>
          <w:color w:val="auto"/>
          <w:sz w:val="24"/>
          <w:highlight w:val="none"/>
        </w:rPr>
        <w:t>。资格审查表如下：</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25"/>
        <w:gridCol w:w="1802"/>
        <w:gridCol w:w="4288"/>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22" w:type="dxa"/>
            <w:gridSpan w:val="5"/>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697"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725" w:type="dxa"/>
            <w:tcBorders>
              <w:bottom w:val="single" w:color="auto" w:sz="4" w:space="0"/>
            </w:tcBorders>
            <w:vAlign w:val="center"/>
          </w:tcPr>
          <w:p>
            <w:pPr>
              <w:pStyle w:val="31"/>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评审指标</w:t>
            </w:r>
          </w:p>
        </w:tc>
        <w:tc>
          <w:tcPr>
            <w:tcW w:w="1802"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评审标准</w:t>
            </w:r>
          </w:p>
        </w:tc>
        <w:tc>
          <w:tcPr>
            <w:tcW w:w="4288"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1835" w:hRule="atLeast"/>
          <w:jc w:val="center"/>
        </w:trPr>
        <w:tc>
          <w:tcPr>
            <w:tcW w:w="697"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725" w:type="dxa"/>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营业执照</w:t>
            </w:r>
          </w:p>
        </w:tc>
        <w:tc>
          <w:tcPr>
            <w:tcW w:w="1802" w:type="dxa"/>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合法有效</w:t>
            </w:r>
          </w:p>
        </w:tc>
        <w:tc>
          <w:tcPr>
            <w:tcW w:w="4288" w:type="dxa"/>
            <w:vMerge w:val="restart"/>
            <w:vAlign w:val="center"/>
          </w:tcPr>
          <w:p>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提供有效的投标人营业执照（或事业单位法人登记证书）和税务登记证的扫描件，应完整的体现出营业执照（或事业单位法人登记证书）和税务登记证的全部内容。已办理“三证合一”登记的，投标文件中提供营业执照（或事业单位法人登记证书）扫描件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697"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725" w:type="dxa"/>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税务登记证</w:t>
            </w:r>
          </w:p>
        </w:tc>
        <w:tc>
          <w:tcPr>
            <w:tcW w:w="1802" w:type="dxa"/>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合法有效</w:t>
            </w:r>
          </w:p>
        </w:tc>
        <w:tc>
          <w:tcPr>
            <w:tcW w:w="4288" w:type="dxa"/>
            <w:vMerge w:val="continue"/>
            <w:tcBorders>
              <w:bottom w:val="single" w:color="auto" w:sz="4" w:space="0"/>
            </w:tcBorders>
            <w:vAlign w:val="center"/>
          </w:tcPr>
          <w:p>
            <w:pPr>
              <w:adjustRightInd w:val="0"/>
              <w:snapToGrid w:val="0"/>
              <w:spacing w:line="360" w:lineRule="auto"/>
              <w:ind w:right="-10"/>
              <w:jc w:val="left"/>
              <w:rPr>
                <w:rFonts w:ascii="宋体" w:hAnsi="宋体" w:eastAsia="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697"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725" w:type="dxa"/>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不良信用记录查询</w:t>
            </w:r>
          </w:p>
        </w:tc>
        <w:tc>
          <w:tcPr>
            <w:tcW w:w="1802" w:type="dxa"/>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投标人不得存在投标人</w:t>
            </w:r>
            <w:r>
              <w:rPr>
                <w:rFonts w:hint="eastAsia" w:ascii="宋体" w:hAnsi="宋体" w:eastAsia="宋体"/>
                <w:color w:val="auto"/>
                <w:sz w:val="24"/>
                <w:highlight w:val="none"/>
              </w:rPr>
              <w:t>须知正文第1</w:t>
            </w:r>
            <w:r>
              <w:rPr>
                <w:rFonts w:ascii="宋体" w:hAnsi="宋体" w:eastAsia="宋体"/>
                <w:color w:val="auto"/>
                <w:sz w:val="24"/>
                <w:highlight w:val="none"/>
              </w:rPr>
              <w:t>9.2.1</w:t>
            </w:r>
            <w:r>
              <w:rPr>
                <w:rFonts w:hint="eastAsia" w:ascii="宋体" w:hAnsi="宋体" w:eastAsia="宋体"/>
                <w:color w:val="auto"/>
                <w:sz w:val="24"/>
                <w:highlight w:val="none"/>
              </w:rPr>
              <w:t>条</w:t>
            </w:r>
            <w:r>
              <w:rPr>
                <w:rFonts w:hint="eastAsia" w:ascii="宋体" w:hAnsi="宋体" w:eastAsia="宋体"/>
                <w:color w:val="auto"/>
                <w:sz w:val="24"/>
                <w:szCs w:val="28"/>
                <w:highlight w:val="none"/>
              </w:rPr>
              <w:t>中的</w:t>
            </w:r>
            <w:r>
              <w:rPr>
                <w:rFonts w:hint="eastAsia" w:ascii="宋体" w:hAnsi="宋体" w:eastAsia="宋体"/>
                <w:color w:val="auto"/>
                <w:sz w:val="24"/>
                <w:szCs w:val="18"/>
                <w:highlight w:val="none"/>
              </w:rPr>
              <w:t>不良信用记录情形</w:t>
            </w:r>
          </w:p>
        </w:tc>
        <w:tc>
          <w:tcPr>
            <w:tcW w:w="4288" w:type="dxa"/>
            <w:tcBorders>
              <w:bottom w:val="single" w:color="auto" w:sz="4" w:space="0"/>
            </w:tcBorders>
            <w:vAlign w:val="center"/>
          </w:tcPr>
          <w:p>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详见投标人须知正文第1</w:t>
            </w:r>
            <w:r>
              <w:rPr>
                <w:rFonts w:ascii="宋体" w:hAnsi="宋体" w:eastAsia="宋体"/>
                <w:color w:val="auto"/>
                <w:sz w:val="24"/>
                <w:highlight w:val="none"/>
              </w:rPr>
              <w:t>9.2</w:t>
            </w:r>
            <w:r>
              <w:rPr>
                <w:rFonts w:hint="eastAsia" w:ascii="宋体" w:hAnsi="宋体" w:eastAsia="宋体"/>
                <w:color w:val="auto"/>
                <w:sz w:val="24"/>
                <w:highlight w:val="none"/>
              </w:rPr>
              <w:t>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697"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4</w:t>
            </w:r>
          </w:p>
        </w:tc>
        <w:tc>
          <w:tcPr>
            <w:tcW w:w="1725" w:type="dxa"/>
            <w:tcBorders>
              <w:bottom w:val="single" w:color="auto" w:sz="4" w:space="0"/>
            </w:tcBorders>
            <w:vAlign w:val="center"/>
          </w:tcPr>
          <w:p>
            <w:pPr>
              <w:spacing w:after="50" w:line="360" w:lineRule="auto"/>
              <w:ind w:right="-10"/>
              <w:jc w:val="center"/>
              <w:rPr>
                <w:rFonts w:ascii="宋体" w:hAnsi="宋体" w:eastAsia="宋体"/>
                <w:color w:val="auto"/>
                <w:sz w:val="24"/>
                <w:szCs w:val="18"/>
                <w:highlight w:val="none"/>
              </w:rPr>
            </w:pPr>
            <w:r>
              <w:rPr>
                <w:rFonts w:hint="eastAsia" w:ascii="宋体" w:hAnsi="宋体" w:eastAsia="宋体"/>
                <w:color w:val="auto"/>
                <w:sz w:val="24"/>
                <w:szCs w:val="28"/>
                <w:highlight w:val="none"/>
              </w:rPr>
              <w:t>无重大违法记录声明函、无不良信用记录声明函</w:t>
            </w:r>
          </w:p>
        </w:tc>
        <w:tc>
          <w:tcPr>
            <w:tcW w:w="1802" w:type="dxa"/>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格式、填写要求符合招标文件规定并加盖投标人电子签章</w:t>
            </w:r>
          </w:p>
        </w:tc>
        <w:tc>
          <w:tcPr>
            <w:tcW w:w="4288" w:type="dxa"/>
            <w:tcBorders>
              <w:bottom w:val="single" w:color="auto" w:sz="4" w:space="0"/>
            </w:tcBorders>
            <w:vAlign w:val="center"/>
          </w:tcPr>
          <w:p>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详见第六章投标文件格式三</w:t>
            </w:r>
          </w:p>
        </w:tc>
      </w:tr>
    </w:tbl>
    <w:p>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117"/>
        <w:gridCol w:w="3128"/>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2"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2117" w:type="dxa"/>
            <w:tcBorders>
              <w:bottom w:val="single" w:color="auto" w:sz="4" w:space="0"/>
            </w:tcBorders>
            <w:vAlign w:val="center"/>
          </w:tcPr>
          <w:p>
            <w:pPr>
              <w:pStyle w:val="31"/>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评审指标</w:t>
            </w:r>
          </w:p>
        </w:tc>
        <w:tc>
          <w:tcPr>
            <w:tcW w:w="3128"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评审标准</w:t>
            </w:r>
          </w:p>
        </w:tc>
        <w:tc>
          <w:tcPr>
            <w:tcW w:w="2505" w:type="dxa"/>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招标文件投标人须知正文第1</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条要求</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投标文件机器识别码查询</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不同投标人的投标文件机器识别码不得相同</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符合招标文件采购需求中对付款方式、供货及安装期限、供货及安装地点、免费质保期的要求。</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详见第六章投标文件格式六（6</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商务响应表）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★项及无标识项技术参数及要求响应情况</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符合招标文件采购需求中要求</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详见第六章投标文件格式六（6</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技术响应表、6</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货物说明一览表）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p>
        </w:tc>
        <w:tc>
          <w:tcPr>
            <w:tcW w:w="2117"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128" w:type="dxa"/>
            <w:vAlign w:val="center"/>
          </w:tcPr>
          <w:p>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符合法律、行政法规规定的其他条件或招标文件列明的其他要求</w:t>
            </w:r>
          </w:p>
        </w:tc>
        <w:tc>
          <w:tcPr>
            <w:tcW w:w="2505" w:type="dxa"/>
            <w:vAlign w:val="center"/>
          </w:tcPr>
          <w:p>
            <w:pPr>
              <w:adjustRightInd w:val="0"/>
              <w:snapToGrid w:val="0"/>
              <w:spacing w:line="360" w:lineRule="auto"/>
              <w:ind w:right="-10"/>
              <w:jc w:val="center"/>
              <w:rPr>
                <w:rFonts w:asciiTheme="minorEastAsia" w:hAnsiTheme="minorEastAsia" w:eastAsiaTheme="minorEastAsia"/>
                <w:color w:val="auto"/>
                <w:sz w:val="24"/>
                <w:highlight w:val="none"/>
              </w:rPr>
            </w:pPr>
          </w:p>
        </w:tc>
      </w:tr>
    </w:tbl>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2.3详细审查</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.3.1</w:t>
      </w:r>
      <w:r>
        <w:rPr>
          <w:rFonts w:hint="eastAsia" w:asciiTheme="minorEastAsia" w:hAnsiTheme="minorEastAsia" w:eastAsiaTheme="minorEastAsia"/>
          <w:color w:val="auto"/>
          <w:sz w:val="24"/>
          <w:highlight w:val="none"/>
        </w:rPr>
        <w:t>评标委员会按照下表对投标文件进行详细审查和评分。</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.3.2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rPr>
        <w:t>30</w:t>
      </w:r>
      <w:r>
        <w:rPr>
          <w:rFonts w:asciiTheme="minorEastAsia" w:hAnsiTheme="minorEastAsia" w:eastAsiaTheme="minorEastAsia"/>
          <w:color w:val="auto"/>
          <w:sz w:val="24"/>
          <w:highlight w:val="none"/>
        </w:rPr>
        <w:t>%。具体评分细则如下：</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1321"/>
        <w:gridCol w:w="4526"/>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3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4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11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restart"/>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70</w:t>
            </w:r>
            <w:r>
              <w:rPr>
                <w:rFonts w:hint="eastAsia" w:asciiTheme="minorEastAsia" w:hAnsiTheme="minorEastAsia" w:eastAsiaTheme="minorEastAsia"/>
                <w:color w:val="auto"/>
                <w:sz w:val="24"/>
                <w:highlight w:val="none"/>
              </w:rPr>
              <w:t>分）</w:t>
            </w:r>
          </w:p>
        </w:tc>
        <w:tc>
          <w:tcPr>
            <w:tcW w:w="13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bCs/>
                <w:color w:val="auto"/>
                <w:sz w:val="24"/>
                <w:highlight w:val="none"/>
              </w:rPr>
            </w:pPr>
            <w:r>
              <w:rPr>
                <w:rFonts w:hint="eastAsia" w:ascii="Times New Roman" w:hAnsi="Times New Roman" w:eastAsia="宋体" w:cs="宋体"/>
                <w:color w:val="auto"/>
                <w:sz w:val="24"/>
                <w:szCs w:val="24"/>
                <w:highlight w:val="none"/>
              </w:rPr>
              <w:t>满足货物</w:t>
            </w:r>
            <w:r>
              <w:rPr>
                <w:rFonts w:hint="eastAsia" w:ascii="Times New Roman" w:hAnsi="Times New Roman" w:eastAsia="宋体" w:cs="宋体"/>
                <w:bCs/>
                <w:color w:val="auto"/>
                <w:sz w:val="24"/>
                <w:szCs w:val="18"/>
                <w:highlight w:val="none"/>
              </w:rPr>
              <w:t>指标要求</w:t>
            </w:r>
            <w:r>
              <w:rPr>
                <w:rFonts w:hint="eastAsia" w:ascii="Times New Roman" w:hAnsi="Times New Roman" w:eastAsia="宋体" w:cs="宋体"/>
                <w:color w:val="auto"/>
                <w:sz w:val="24"/>
                <w:szCs w:val="24"/>
                <w:highlight w:val="none"/>
              </w:rPr>
              <w:t>情况</w:t>
            </w:r>
          </w:p>
        </w:tc>
        <w:tc>
          <w:tcPr>
            <w:tcW w:w="452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eastAsia="宋体" w:cs="宋体"/>
                <w:color w:val="auto"/>
                <w:sz w:val="24"/>
                <w:szCs w:val="24"/>
                <w:highlight w:val="none"/>
              </w:rPr>
            </w:pPr>
            <w:r>
              <w:rPr>
                <w:rFonts w:hint="eastAsia" w:ascii="Times New Roman" w:hAnsi="Times New Roman" w:eastAsia="宋体" w:cs="宋体"/>
                <w:color w:val="auto"/>
                <w:sz w:val="24"/>
                <w:szCs w:val="18"/>
                <w:highlight w:val="none"/>
              </w:rPr>
              <w:t>■</w:t>
            </w:r>
            <w:r>
              <w:rPr>
                <w:rFonts w:hint="eastAsia" w:ascii="Times New Roman" w:hAnsi="Times New Roman" w:eastAsia="宋体" w:cs="宋体"/>
                <w:color w:val="auto"/>
                <w:sz w:val="24"/>
                <w:szCs w:val="24"/>
                <w:highlight w:val="none"/>
              </w:rPr>
              <w:t>代表重要指标，每满足一项得</w:t>
            </w:r>
            <w:r>
              <w:rPr>
                <w:rFonts w:hint="eastAsia" w:ascii="Times New Roman" w:hAnsi="Times New Roman" w:eastAsia="宋体" w:cs="宋体"/>
                <w:color w:val="auto"/>
                <w:sz w:val="24"/>
                <w:szCs w:val="18"/>
                <w:highlight w:val="none"/>
                <w:u w:val="single"/>
              </w:rPr>
              <w:t>4</w:t>
            </w:r>
            <w:r>
              <w:rPr>
                <w:rFonts w:hint="eastAsia" w:ascii="Times New Roman" w:hAnsi="Times New Roman" w:eastAsia="宋体" w:cs="宋体"/>
                <w:color w:val="auto"/>
                <w:sz w:val="24"/>
                <w:szCs w:val="24"/>
                <w:highlight w:val="none"/>
              </w:rPr>
              <w:t>分，共</w:t>
            </w:r>
            <w:r>
              <w:rPr>
                <w:rFonts w:hint="eastAsia" w:ascii="Times New Roman" w:hAnsi="Times New Roman" w:eastAsia="宋体" w:cs="宋体"/>
                <w:color w:val="auto"/>
                <w:sz w:val="24"/>
                <w:szCs w:val="18"/>
                <w:highlight w:val="none"/>
                <w:u w:val="single"/>
              </w:rPr>
              <w:t>10</w:t>
            </w:r>
            <w:r>
              <w:rPr>
                <w:rFonts w:hint="eastAsia" w:ascii="Times New Roman" w:hAnsi="Times New Roman" w:eastAsia="宋体" w:cs="宋体"/>
                <w:color w:val="auto"/>
                <w:sz w:val="24"/>
                <w:szCs w:val="24"/>
                <w:highlight w:val="none"/>
              </w:rPr>
              <w:t>项，共计</w:t>
            </w:r>
            <w:r>
              <w:rPr>
                <w:rFonts w:hint="eastAsia" w:ascii="Times New Roman" w:hAnsi="Times New Roman" w:eastAsia="宋体" w:cs="宋体"/>
                <w:color w:val="auto"/>
                <w:sz w:val="24"/>
                <w:szCs w:val="24"/>
                <w:highlight w:val="none"/>
                <w:u w:val="single"/>
              </w:rPr>
              <w:t>40</w:t>
            </w:r>
            <w:r>
              <w:rPr>
                <w:rFonts w:hint="eastAsia" w:ascii="Times New Roman" w:hAnsi="Times New Roman" w:eastAsia="宋体" w:cs="宋体"/>
                <w:color w:val="auto"/>
                <w:sz w:val="24"/>
                <w:szCs w:val="24"/>
                <w:highlight w:val="none"/>
              </w:rPr>
              <w:t>分。</w:t>
            </w:r>
          </w:p>
          <w:p>
            <w:pPr>
              <w:tabs>
                <w:tab w:val="left" w:pos="312"/>
              </w:tabs>
              <w:spacing w:line="360" w:lineRule="auto"/>
              <w:rPr>
                <w:rFonts w:ascii="Times New Roman" w:hAnsi="Times New Roman" w:eastAsia="宋体"/>
                <w:bCs/>
                <w:color w:val="auto"/>
                <w:sz w:val="24"/>
                <w:highlight w:val="none"/>
              </w:rPr>
            </w:pPr>
            <w:r>
              <w:rPr>
                <w:rFonts w:hint="eastAsia" w:ascii="Times New Roman" w:hAnsi="Times New Roman" w:eastAsia="宋体" w:cs="宋体"/>
                <w:b/>
                <w:color w:val="auto"/>
                <w:kern w:val="0"/>
                <w:sz w:val="24"/>
                <w:szCs w:val="24"/>
                <w:highlight w:val="none"/>
                <w:lang w:bidi="ar"/>
              </w:rPr>
              <w:t>注：以投标响应表作为评审依据。</w:t>
            </w:r>
          </w:p>
        </w:tc>
        <w:tc>
          <w:tcPr>
            <w:tcW w:w="11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b/>
                <w:bCs/>
                <w:color w:val="auto"/>
                <w:sz w:val="24"/>
                <w:highlight w:val="none"/>
              </w:rPr>
            </w:pPr>
            <w:r>
              <w:rPr>
                <w:rFonts w:hint="eastAsia" w:ascii="Times New Roman" w:hAnsi="Times New Roman" w:eastAsia="宋体" w:cs="宋体"/>
                <w:color w:val="auto"/>
                <w:sz w:val="24"/>
                <w:szCs w:val="24"/>
                <w:highlight w:val="none"/>
              </w:rPr>
              <w:t>0-4</w:t>
            </w:r>
            <w:r>
              <w:rPr>
                <w:rFonts w:hint="eastAsia" w:ascii="Times New Roman" w:hAnsi="Times New Roman" w:eastAsia="宋体" w:cs="宋体"/>
                <w:color w:val="auto"/>
                <w:sz w:val="24"/>
                <w:szCs w:val="18"/>
                <w:highlight w:val="none"/>
                <w:u w:val="single"/>
              </w:rPr>
              <w:t>0</w:t>
            </w:r>
            <w:r>
              <w:rPr>
                <w:rFonts w:hint="eastAsia" w:ascii="Times New Roman" w:hAnsi="Times New Roman" w:eastAsia="宋体" w:cs="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pPr>
              <w:spacing w:line="360" w:lineRule="auto"/>
              <w:ind w:firstLine="435"/>
              <w:jc w:val="center"/>
              <w:rPr>
                <w:rFonts w:asciiTheme="minorEastAsia" w:hAnsiTheme="minorEastAsia" w:eastAsiaTheme="minorEastAsia"/>
                <w:b/>
                <w:bCs/>
                <w:color w:val="auto"/>
                <w:sz w:val="24"/>
                <w:highlight w:val="none"/>
              </w:rPr>
            </w:pPr>
          </w:p>
        </w:tc>
        <w:tc>
          <w:tcPr>
            <w:tcW w:w="13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olor w:val="auto"/>
                <w:sz w:val="24"/>
                <w:szCs w:val="21"/>
                <w:highlight w:val="none"/>
              </w:rPr>
            </w:pPr>
            <w:r>
              <w:rPr>
                <w:rFonts w:hint="eastAsia" w:ascii="Times New Roman" w:hAnsi="Times New Roman" w:eastAsia="宋体"/>
                <w:color w:val="auto"/>
                <w:sz w:val="24"/>
                <w:highlight w:val="none"/>
              </w:rPr>
              <w:t>实施方案</w:t>
            </w:r>
          </w:p>
        </w:tc>
        <w:tc>
          <w:tcPr>
            <w:tcW w:w="4526"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imes New Roman" w:hAnsi="Times New Roman" w:eastAsia="宋体" w:cs="宋体"/>
                <w:color w:val="auto"/>
                <w:sz w:val="24"/>
                <w:szCs w:val="21"/>
                <w:highlight w:val="none"/>
              </w:rPr>
            </w:pPr>
            <w:r>
              <w:rPr>
                <w:rFonts w:hint="eastAsia" w:ascii="Times New Roman" w:hAnsi="Times New Roman" w:eastAsia="宋体"/>
                <w:color w:val="auto"/>
                <w:sz w:val="24"/>
                <w:highlight w:val="none"/>
              </w:rPr>
              <w:t>投标人针对本项目提供包含供货、安装、运行、售后服务与维保方案等方面内容的实施方案，</w:t>
            </w:r>
            <w:r>
              <w:rPr>
                <w:rFonts w:hint="eastAsia" w:ascii="Times New Roman" w:hAnsi="Times New Roman" w:eastAsia="宋体" w:cs="宋体"/>
                <w:color w:val="auto"/>
                <w:sz w:val="24"/>
                <w:szCs w:val="21"/>
                <w:highlight w:val="none"/>
              </w:rPr>
              <w:t>由评标委员会进行综合评分：</w:t>
            </w:r>
          </w:p>
          <w:p>
            <w:pPr>
              <w:spacing w:line="360" w:lineRule="auto"/>
              <w:jc w:val="left"/>
              <w:rPr>
                <w:rFonts w:ascii="Times New Roman" w:hAnsi="Times New Roman" w:eastAsia="宋体"/>
                <w:color w:val="auto"/>
                <w:sz w:val="24"/>
                <w:highlight w:val="none"/>
              </w:rPr>
            </w:pPr>
            <w:r>
              <w:rPr>
                <w:rFonts w:hint="eastAsia" w:ascii="Times New Roman" w:hAnsi="Times New Roman" w:eastAsia="宋体"/>
                <w:color w:val="auto"/>
                <w:sz w:val="24"/>
                <w:highlight w:val="none"/>
              </w:rPr>
              <w:t>1、实施方案详尽科学、详实细致，进度计划合理，有利于项目顺利实施的，得5分；方案较为科学、细致，进度计划比较合理，基本满足项目实施需要的，得3分；方案较为简单，科学性、针对性不强，进度计划有待进一步完善的，得1分；方案差或未提供方案的不得分。</w:t>
            </w:r>
          </w:p>
          <w:p>
            <w:pPr>
              <w:spacing w:line="360" w:lineRule="auto"/>
              <w:jc w:val="left"/>
              <w:rPr>
                <w:rFonts w:ascii="Times New Roman" w:hAnsi="Times New Roman" w:eastAsia="宋体" w:cs="宋体"/>
                <w:bCs/>
                <w:color w:val="auto"/>
                <w:kern w:val="0"/>
                <w:sz w:val="24"/>
                <w:szCs w:val="21"/>
                <w:highlight w:val="none"/>
                <w:lang w:bidi="ar"/>
              </w:rPr>
            </w:pPr>
            <w:r>
              <w:rPr>
                <w:rFonts w:hint="eastAsia" w:ascii="Times New Roman" w:hAnsi="Times New Roman" w:eastAsia="宋体"/>
                <w:color w:val="auto"/>
                <w:sz w:val="24"/>
                <w:highlight w:val="none"/>
              </w:rPr>
              <w:t>2、实施方案中承诺可根据项目需要提供高水平的售后服务与维保服务团队和及时的服务，并在方案中提供售后服务与维保机构地址、联系方式以及售后服务与维保服务人员，且：服务人员数量不少于15名，得2分；服务人员数量不少于8名，得1分。</w:t>
            </w:r>
            <w:r>
              <w:rPr>
                <w:rFonts w:hint="eastAsia" w:ascii="Times New Roman" w:hAnsi="Times New Roman" w:eastAsia="宋体"/>
                <w:b/>
                <w:bCs/>
                <w:color w:val="auto"/>
                <w:sz w:val="24"/>
                <w:highlight w:val="none"/>
              </w:rPr>
              <w:t>注：针对服务人员，投标文件中提供服务人员名单（</w:t>
            </w:r>
            <w:r>
              <w:rPr>
                <w:rFonts w:hint="eastAsia" w:ascii="Times New Roman" w:hAnsi="Times New Roman" w:eastAsia="宋体" w:cs="宋体"/>
                <w:b/>
                <w:bCs/>
                <w:color w:val="auto"/>
                <w:sz w:val="24"/>
                <w:szCs w:val="24"/>
                <w:highlight w:val="none"/>
              </w:rPr>
              <w:t>格式自拟</w:t>
            </w:r>
            <w:r>
              <w:rPr>
                <w:rFonts w:hint="eastAsia" w:ascii="Times New Roman" w:hAnsi="Times New Roman" w:eastAsia="宋体"/>
                <w:b/>
                <w:bCs/>
                <w:color w:val="auto"/>
                <w:sz w:val="24"/>
                <w:highlight w:val="none"/>
              </w:rPr>
              <w:t>）及投标人为以上人员缴纳近三个月内（其中任意一个月即可）社保的证明材料（社保提供任一险种即可），社保证明材料形式详见招标文件第二章投标人须知前附表相关要求。</w:t>
            </w:r>
          </w:p>
        </w:tc>
        <w:tc>
          <w:tcPr>
            <w:tcW w:w="11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olor w:val="auto"/>
                <w:sz w:val="24"/>
                <w:szCs w:val="21"/>
                <w:highlight w:val="none"/>
              </w:rPr>
            </w:pPr>
            <w:r>
              <w:rPr>
                <w:rFonts w:hint="eastAsia" w:ascii="Times New Roman" w:hAnsi="Times New Roman" w:eastAsia="宋体"/>
                <w:color w:val="auto"/>
                <w:sz w:val="24"/>
                <w:szCs w:val="24"/>
                <w:highlight w:val="none"/>
              </w:rPr>
              <w:t>0-</w:t>
            </w:r>
            <w:r>
              <w:rPr>
                <w:rFonts w:hint="eastAsia" w:ascii="Times New Roman" w:hAnsi="Times New Roman" w:eastAsia="宋体"/>
                <w:color w:val="auto"/>
                <w:sz w:val="24"/>
                <w:szCs w:val="24"/>
                <w:highlight w:val="none"/>
                <w:u w:val="single"/>
              </w:rPr>
              <w:t>7</w:t>
            </w:r>
            <w:r>
              <w:rPr>
                <w:rFonts w:hint="eastAsia" w:ascii="Times New Roman" w:hAnsi="Times New Roman" w:eastAsia="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pPr>
              <w:spacing w:line="360" w:lineRule="auto"/>
              <w:ind w:firstLine="435"/>
              <w:jc w:val="center"/>
              <w:rPr>
                <w:rFonts w:asciiTheme="minorEastAsia" w:hAnsiTheme="minorEastAsia" w:eastAsiaTheme="minorEastAsia"/>
                <w:b/>
                <w:bCs/>
                <w:color w:val="auto"/>
                <w:sz w:val="24"/>
                <w:highlight w:val="none"/>
              </w:rPr>
            </w:pPr>
          </w:p>
        </w:tc>
        <w:tc>
          <w:tcPr>
            <w:tcW w:w="13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olor w:val="auto"/>
                <w:sz w:val="24"/>
                <w:highlight w:val="none"/>
              </w:rPr>
            </w:pPr>
            <w:r>
              <w:rPr>
                <w:rFonts w:hint="eastAsia" w:ascii="Times New Roman" w:hAnsi="Times New Roman" w:eastAsia="宋体"/>
                <w:color w:val="auto"/>
                <w:sz w:val="24"/>
                <w:highlight w:val="none"/>
              </w:rPr>
              <w:t>投标人业绩</w:t>
            </w:r>
          </w:p>
        </w:tc>
        <w:tc>
          <w:tcPr>
            <w:tcW w:w="4526"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imes New Roman" w:hAnsi="Times New Roman" w:eastAsia="宋体"/>
                <w:color w:val="auto"/>
                <w:sz w:val="24"/>
                <w:highlight w:val="none"/>
              </w:rPr>
            </w:pPr>
            <w:r>
              <w:rPr>
                <w:rFonts w:hint="eastAsia" w:ascii="Times New Roman" w:hAnsi="Times New Roman" w:eastAsia="宋体"/>
                <w:color w:val="auto"/>
                <w:sz w:val="24"/>
                <w:highlight w:val="none"/>
              </w:rPr>
              <w:t>自2010年1月1日以来</w:t>
            </w:r>
            <w:r>
              <w:rPr>
                <w:rFonts w:hint="eastAsia" w:ascii="Times New Roman" w:hAnsi="Times New Roman" w:eastAsia="宋体"/>
                <w:color w:val="auto"/>
                <w:sz w:val="24"/>
                <w:highlight w:val="none"/>
              </w:rPr>
              <w:t>（</w:t>
            </w:r>
            <w:r>
              <w:rPr>
                <w:rFonts w:hint="eastAsia" w:ascii="Times New Roman" w:hAnsi="Times New Roman" w:eastAsia="宋体"/>
                <w:color w:val="auto"/>
                <w:sz w:val="24"/>
                <w:highlight w:val="none"/>
              </w:rPr>
              <w:t>以立项文件或拨款文件或批复文件等文件落款时间，或合同签订时间为准</w:t>
            </w:r>
            <w:r>
              <w:rPr>
                <w:rFonts w:hint="eastAsia" w:ascii="Times New Roman" w:hAnsi="Times New Roman" w:eastAsia="宋体"/>
                <w:color w:val="auto"/>
                <w:sz w:val="24"/>
                <w:highlight w:val="none"/>
              </w:rPr>
              <w:t>）</w:t>
            </w:r>
            <w:r>
              <w:rPr>
                <w:rFonts w:hint="eastAsia" w:ascii="Times New Roman" w:hAnsi="Times New Roman" w:eastAsia="宋体"/>
                <w:color w:val="auto"/>
                <w:sz w:val="24"/>
                <w:highlight w:val="none"/>
              </w:rPr>
              <w:t>，投标人具有下列业绩：</w:t>
            </w:r>
          </w:p>
          <w:p>
            <w:pPr>
              <w:spacing w:line="360" w:lineRule="auto"/>
              <w:jc w:val="left"/>
              <w:rPr>
                <w:rFonts w:ascii="Times New Roman" w:hAnsi="Times New Roman" w:eastAsia="宋体"/>
                <w:color w:val="auto"/>
                <w:sz w:val="24"/>
                <w:highlight w:val="none"/>
              </w:rPr>
            </w:pPr>
            <w:r>
              <w:rPr>
                <w:rFonts w:hint="eastAsia" w:ascii="Times New Roman" w:hAnsi="Times New Roman" w:eastAsia="宋体"/>
                <w:color w:val="auto"/>
                <w:sz w:val="24"/>
                <w:highlight w:val="none"/>
              </w:rPr>
              <w:t>1、红外激光光源（其中直线加速器系统最高能量≥50MeV）建设或研制项目业绩，每提供一个业绩得</w:t>
            </w:r>
            <w:r>
              <w:rPr>
                <w:rFonts w:ascii="Times New Roman" w:hAnsi="Times New Roman" w:eastAsia="宋体"/>
                <w:color w:val="auto"/>
                <w:sz w:val="24"/>
                <w:highlight w:val="none"/>
              </w:rPr>
              <w:t>5</w:t>
            </w:r>
            <w:r>
              <w:rPr>
                <w:rFonts w:hint="eastAsia" w:ascii="Times New Roman" w:hAnsi="Times New Roman" w:eastAsia="宋体"/>
                <w:color w:val="auto"/>
                <w:sz w:val="24"/>
                <w:highlight w:val="none"/>
              </w:rPr>
              <w:t>分，本小项满分5分。</w:t>
            </w:r>
          </w:p>
          <w:p>
            <w:pPr>
              <w:spacing w:line="360" w:lineRule="auto"/>
              <w:jc w:val="left"/>
              <w:rPr>
                <w:rFonts w:ascii="Times New Roman" w:hAnsi="Times New Roman" w:eastAsia="宋体"/>
                <w:color w:val="auto"/>
                <w:sz w:val="24"/>
                <w:highlight w:val="none"/>
              </w:rPr>
            </w:pPr>
            <w:r>
              <w:rPr>
                <w:rFonts w:hint="eastAsia" w:ascii="Times New Roman" w:hAnsi="Times New Roman" w:eastAsia="宋体"/>
                <w:color w:val="auto"/>
                <w:sz w:val="24"/>
                <w:highlight w:val="none"/>
              </w:rPr>
              <w:t>2、其他非自由电子激光用电子直线加速器（最高能量≥5</w:t>
            </w:r>
            <w:r>
              <w:rPr>
                <w:rFonts w:ascii="Times New Roman" w:hAnsi="Times New Roman" w:eastAsia="宋体"/>
                <w:color w:val="auto"/>
                <w:sz w:val="24"/>
                <w:highlight w:val="none"/>
              </w:rPr>
              <w:t>0</w:t>
            </w:r>
            <w:r>
              <w:rPr>
                <w:rFonts w:hint="eastAsia" w:ascii="Times New Roman" w:hAnsi="Times New Roman" w:eastAsia="宋体"/>
                <w:color w:val="auto"/>
                <w:sz w:val="24"/>
                <w:highlight w:val="none"/>
              </w:rPr>
              <w:t>MeV）建设或研制项目业绩，每提供一个业绩得</w:t>
            </w:r>
            <w:r>
              <w:rPr>
                <w:rFonts w:ascii="Times New Roman" w:hAnsi="Times New Roman" w:eastAsia="宋体"/>
                <w:color w:val="auto"/>
                <w:sz w:val="24"/>
                <w:highlight w:val="none"/>
              </w:rPr>
              <w:t>5</w:t>
            </w:r>
            <w:r>
              <w:rPr>
                <w:rFonts w:hint="eastAsia" w:ascii="Times New Roman" w:hAnsi="Times New Roman" w:eastAsia="宋体"/>
                <w:color w:val="auto"/>
                <w:sz w:val="24"/>
                <w:highlight w:val="none"/>
              </w:rPr>
              <w:t>分</w:t>
            </w:r>
            <w:r>
              <w:rPr>
                <w:rFonts w:ascii="Times New Roman" w:hAnsi="Times New Roman" w:eastAsia="宋体"/>
                <w:color w:val="auto"/>
                <w:sz w:val="24"/>
                <w:highlight w:val="none"/>
              </w:rPr>
              <w:t>，</w:t>
            </w:r>
            <w:r>
              <w:rPr>
                <w:rFonts w:hint="eastAsia" w:ascii="Times New Roman" w:hAnsi="Times New Roman" w:eastAsia="宋体"/>
                <w:color w:val="auto"/>
                <w:sz w:val="24"/>
                <w:highlight w:val="none"/>
              </w:rPr>
              <w:t>本小项满分5分。</w:t>
            </w:r>
          </w:p>
          <w:p>
            <w:pPr>
              <w:spacing w:line="360" w:lineRule="auto"/>
              <w:jc w:val="left"/>
              <w:rPr>
                <w:rFonts w:ascii="Times New Roman" w:hAnsi="Times New Roman" w:eastAsia="宋体"/>
                <w:b/>
                <w:bCs/>
                <w:color w:val="auto"/>
                <w:sz w:val="24"/>
                <w:highlight w:val="none"/>
              </w:rPr>
            </w:pPr>
            <w:r>
              <w:rPr>
                <w:rFonts w:hint="eastAsia" w:ascii="Times New Roman" w:hAnsi="Times New Roman" w:eastAsia="宋体"/>
                <w:b/>
                <w:bCs/>
                <w:color w:val="auto"/>
                <w:sz w:val="24"/>
                <w:highlight w:val="none"/>
              </w:rPr>
              <w:t>注：本项满分10分，投标文件中提供下列证明材料之一：</w:t>
            </w:r>
          </w:p>
          <w:p>
            <w:pPr>
              <w:spacing w:line="360" w:lineRule="auto"/>
              <w:jc w:val="left"/>
              <w:rPr>
                <w:rFonts w:ascii="Times New Roman" w:hAnsi="Times New Roman" w:eastAsia="宋体"/>
                <w:b/>
                <w:bCs/>
                <w:color w:val="auto"/>
                <w:sz w:val="24"/>
                <w:highlight w:val="none"/>
              </w:rPr>
            </w:pPr>
            <w:r>
              <w:rPr>
                <w:rFonts w:hint="eastAsia" w:ascii="Times New Roman" w:hAnsi="Times New Roman" w:eastAsia="宋体"/>
                <w:b/>
                <w:bCs/>
                <w:color w:val="auto"/>
                <w:sz w:val="24"/>
                <w:highlight w:val="none"/>
              </w:rPr>
              <w:t>（1）省级及以上政府部门颁发的文件（如立项文件或拨款文件或批复文件等）扫描件；</w:t>
            </w:r>
          </w:p>
          <w:p>
            <w:pPr>
              <w:spacing w:line="360" w:lineRule="auto"/>
              <w:jc w:val="left"/>
              <w:rPr>
                <w:rFonts w:ascii="Times New Roman" w:hAnsi="Times New Roman" w:eastAsia="宋体"/>
                <w:b/>
                <w:bCs/>
                <w:color w:val="auto"/>
                <w:sz w:val="24"/>
                <w:highlight w:val="none"/>
              </w:rPr>
            </w:pPr>
            <w:r>
              <w:rPr>
                <w:rFonts w:hint="eastAsia" w:ascii="Times New Roman" w:hAnsi="Times New Roman" w:eastAsia="宋体"/>
                <w:b/>
                <w:bCs/>
                <w:color w:val="auto"/>
                <w:sz w:val="24"/>
                <w:highlight w:val="none"/>
              </w:rPr>
              <w:t>（2）业绩合同及验收报告扫描件。</w:t>
            </w:r>
          </w:p>
          <w:p>
            <w:pPr>
              <w:spacing w:line="360" w:lineRule="auto"/>
              <w:jc w:val="left"/>
              <w:rPr>
                <w:rFonts w:ascii="Times New Roman" w:hAnsi="Times New Roman" w:eastAsia="宋体"/>
                <w:color w:val="auto"/>
                <w:sz w:val="24"/>
                <w:highlight w:val="none"/>
              </w:rPr>
            </w:pPr>
            <w:r>
              <w:rPr>
                <w:rFonts w:hint="eastAsia" w:ascii="Times New Roman" w:hAnsi="Times New Roman" w:eastAsia="宋体"/>
                <w:color w:val="auto"/>
                <w:sz w:val="24"/>
                <w:highlight w:val="none"/>
              </w:rPr>
              <w:t>投标人提供的以上证明材料须能</w:t>
            </w:r>
            <w:r>
              <w:rPr>
                <w:rFonts w:hint="eastAsia" w:ascii="Times New Roman" w:hAnsi="Times New Roman" w:eastAsia="宋体"/>
                <w:color w:val="auto"/>
                <w:sz w:val="24"/>
                <w:highlight w:val="none"/>
              </w:rPr>
              <w:t>体现文件落款时间（或合同签订时间）</w:t>
            </w:r>
            <w:r>
              <w:rPr>
                <w:rFonts w:hint="eastAsia" w:ascii="Times New Roman" w:hAnsi="Times New Roman" w:eastAsia="宋体"/>
                <w:color w:val="auto"/>
                <w:sz w:val="24"/>
                <w:highlight w:val="none"/>
              </w:rPr>
              <w:t>、项目内容等关键评审信息，如无法体现，须同时提供相关材料加以证明，经评标委员会认可后方可得分，否则不予得分。</w:t>
            </w:r>
          </w:p>
        </w:tc>
        <w:tc>
          <w:tcPr>
            <w:tcW w:w="11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b/>
                <w:bCs/>
                <w:color w:val="auto"/>
                <w:sz w:val="24"/>
                <w:highlight w:val="none"/>
              </w:rPr>
            </w:pPr>
            <w:r>
              <w:rPr>
                <w:rFonts w:hint="eastAsia" w:ascii="Times New Roman" w:hAnsi="Times New Roman" w:eastAsia="宋体"/>
                <w:color w:val="auto"/>
                <w:sz w:val="24"/>
                <w:szCs w:val="24"/>
                <w:highlight w:val="none"/>
              </w:rPr>
              <w:t>0-</w:t>
            </w:r>
            <w:r>
              <w:rPr>
                <w:rFonts w:ascii="Times New Roman" w:hAnsi="Times New Roman" w:eastAsia="宋体" w:cs="宋体"/>
                <w:color w:val="auto"/>
                <w:sz w:val="24"/>
                <w:szCs w:val="24"/>
                <w:highlight w:val="none"/>
                <w:u w:val="single"/>
              </w:rPr>
              <w:t>10</w:t>
            </w:r>
            <w:r>
              <w:rPr>
                <w:rFonts w:hint="eastAsia" w:ascii="Times New Roman" w:hAnsi="Times New Roman" w:eastAsia="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pPr>
              <w:spacing w:line="360" w:lineRule="auto"/>
              <w:ind w:firstLine="435"/>
              <w:jc w:val="center"/>
              <w:rPr>
                <w:rFonts w:asciiTheme="minorEastAsia" w:hAnsiTheme="minorEastAsia" w:eastAsiaTheme="minorEastAsia"/>
                <w:b/>
                <w:bCs/>
                <w:color w:val="auto"/>
                <w:sz w:val="24"/>
                <w:highlight w:val="none"/>
              </w:rPr>
            </w:pPr>
          </w:p>
        </w:tc>
        <w:tc>
          <w:tcPr>
            <w:tcW w:w="13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olor w:val="auto"/>
                <w:sz w:val="24"/>
                <w:highlight w:val="none"/>
              </w:rPr>
            </w:pPr>
            <w:r>
              <w:rPr>
                <w:rFonts w:hint="eastAsia" w:ascii="Times New Roman" w:hAnsi="Times New Roman" w:eastAsia="宋体"/>
                <w:color w:val="auto"/>
                <w:sz w:val="24"/>
                <w:szCs w:val="21"/>
                <w:highlight w:val="none"/>
              </w:rPr>
              <w:t>投标人实力及</w:t>
            </w:r>
            <w:r>
              <w:rPr>
                <w:rFonts w:ascii="Times New Roman" w:hAnsi="Times New Roman" w:eastAsia="宋体"/>
                <w:color w:val="auto"/>
                <w:sz w:val="24"/>
                <w:szCs w:val="21"/>
                <w:highlight w:val="none"/>
              </w:rPr>
              <w:t>团队</w:t>
            </w:r>
            <w:r>
              <w:rPr>
                <w:rFonts w:hint="eastAsia" w:ascii="Times New Roman" w:hAnsi="Times New Roman" w:eastAsia="宋体"/>
                <w:color w:val="auto"/>
                <w:sz w:val="24"/>
                <w:highlight w:val="none"/>
              </w:rPr>
              <w:t>人员</w:t>
            </w:r>
          </w:p>
        </w:tc>
        <w:tc>
          <w:tcPr>
            <w:tcW w:w="4526"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Times New Roman" w:hAnsi="Times New Roman" w:eastAsia="宋体"/>
                <w:color w:val="auto"/>
                <w:sz w:val="24"/>
                <w:highlight w:val="none"/>
                <w:lang w:val="en-US" w:eastAsia="zh-CN"/>
              </w:rPr>
            </w:pPr>
            <w:r>
              <w:rPr>
                <w:rFonts w:ascii="Times New Roman" w:hAnsi="Times New Roman" w:eastAsia="宋体"/>
                <w:color w:val="auto"/>
                <w:sz w:val="24"/>
                <w:highlight w:val="none"/>
              </w:rPr>
              <w:t>1</w:t>
            </w:r>
            <w:r>
              <w:rPr>
                <w:rFonts w:hint="eastAsia" w:ascii="Times New Roman" w:hAnsi="Times New Roman" w:eastAsia="宋体"/>
                <w:color w:val="auto"/>
                <w:sz w:val="24"/>
                <w:highlight w:val="none"/>
              </w:rPr>
              <w:t>、投标人具有国家级科研机构（如国家级工程中心、国家实验室或国家重点实验室等），</w:t>
            </w:r>
            <w:r>
              <w:rPr>
                <w:rFonts w:hint="eastAsia" w:ascii="Times New Roman" w:hAnsi="Times New Roman" w:eastAsia="宋体"/>
                <w:color w:val="auto"/>
                <w:sz w:val="24"/>
                <w:highlight w:val="none"/>
              </w:rPr>
              <w:t>得5分</w:t>
            </w:r>
            <w:r>
              <w:rPr>
                <w:rFonts w:hint="eastAsia" w:ascii="Times New Roman" w:hAnsi="Times New Roman" w:eastAsia="宋体"/>
                <w:color w:val="auto"/>
                <w:sz w:val="24"/>
                <w:highlight w:val="none"/>
                <w:lang w:eastAsia="zh-CN"/>
              </w:rPr>
              <w:t>；</w:t>
            </w:r>
            <w:r>
              <w:rPr>
                <w:rFonts w:hint="eastAsia" w:ascii="Times New Roman" w:hAnsi="Times New Roman" w:eastAsia="宋体"/>
                <w:color w:val="auto"/>
                <w:sz w:val="24"/>
                <w:highlight w:val="none"/>
                <w:lang w:eastAsia="zh-CN"/>
              </w:rPr>
              <w:t>具有省部级研发机构，得</w:t>
            </w:r>
            <w:r>
              <w:rPr>
                <w:rFonts w:hint="eastAsia" w:ascii="Times New Roman" w:hAnsi="Times New Roman" w:eastAsia="宋体"/>
                <w:color w:val="auto"/>
                <w:sz w:val="24"/>
                <w:highlight w:val="none"/>
                <w:lang w:val="en-US" w:eastAsia="zh-CN"/>
              </w:rPr>
              <w:t>3分。本小项满分5分，具有多个</w:t>
            </w:r>
            <w:r>
              <w:rPr>
                <w:rFonts w:hint="eastAsia" w:ascii="Times New Roman" w:hAnsi="Times New Roman" w:eastAsia="宋体"/>
                <w:color w:val="auto"/>
                <w:sz w:val="24"/>
                <w:highlight w:val="none"/>
              </w:rPr>
              <w:t>机构</w:t>
            </w:r>
            <w:r>
              <w:rPr>
                <w:rFonts w:hint="eastAsia" w:ascii="Times New Roman" w:hAnsi="Times New Roman" w:eastAsia="宋体"/>
                <w:color w:val="auto"/>
                <w:sz w:val="24"/>
                <w:highlight w:val="none"/>
                <w:lang w:eastAsia="zh-CN"/>
              </w:rPr>
              <w:t>的仅按最高级别计分一次，不累计计分。</w:t>
            </w:r>
          </w:p>
          <w:p>
            <w:pPr>
              <w:spacing w:line="360" w:lineRule="auto"/>
              <w:rPr>
                <w:rFonts w:ascii="Times New Roman" w:hAnsi="Times New Roman" w:eastAsia="宋体"/>
                <w:color w:val="auto"/>
                <w:sz w:val="24"/>
                <w:highlight w:val="none"/>
              </w:rPr>
            </w:pPr>
            <w:r>
              <w:rPr>
                <w:rFonts w:hint="eastAsia" w:ascii="Times New Roman" w:hAnsi="Times New Roman" w:eastAsia="宋体"/>
                <w:b/>
                <w:bCs/>
                <w:color w:val="auto"/>
                <w:sz w:val="24"/>
                <w:highlight w:val="none"/>
              </w:rPr>
              <w:t>注：</w:t>
            </w:r>
            <w:r>
              <w:rPr>
                <w:rFonts w:hint="eastAsia" w:ascii="Times New Roman" w:hAnsi="Times New Roman" w:eastAsia="宋体" w:cs="宋体"/>
                <w:b/>
                <w:bCs/>
                <w:color w:val="auto"/>
                <w:sz w:val="24"/>
                <w:szCs w:val="24"/>
                <w:highlight w:val="none"/>
              </w:rPr>
              <w:t>投标文件中提供证书、批复、颁发单位颁发文件、网上公示截图（具有其中之一即可）等证明材料扫描件，证明材料须能体现投标人名称，如无法体现，须另附相关有效证明材料，且该证明材料须评标委员会认可，否则不得分。</w:t>
            </w:r>
          </w:p>
          <w:p>
            <w:pPr>
              <w:spacing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2、</w:t>
            </w:r>
            <w:r>
              <w:rPr>
                <w:rFonts w:hint="eastAsia" w:ascii="Times New Roman" w:hAnsi="Times New Roman" w:eastAsia="宋体"/>
                <w:color w:val="auto"/>
                <w:sz w:val="24"/>
                <w:highlight w:val="none"/>
              </w:rPr>
              <w:t>投标人为本项目配备的</w:t>
            </w:r>
            <w:r>
              <w:rPr>
                <w:rFonts w:ascii="Times New Roman" w:hAnsi="Times New Roman" w:eastAsia="宋体"/>
                <w:color w:val="auto"/>
                <w:sz w:val="24"/>
                <w:szCs w:val="21"/>
                <w:highlight w:val="none"/>
              </w:rPr>
              <w:t>团队</w:t>
            </w:r>
            <w:r>
              <w:rPr>
                <w:rFonts w:hint="eastAsia" w:ascii="Times New Roman" w:hAnsi="Times New Roman" w:eastAsia="宋体"/>
                <w:color w:val="auto"/>
                <w:sz w:val="24"/>
                <w:highlight w:val="none"/>
              </w:rPr>
              <w:t>人员中具有正高级职称（专业领域为核科学与技术、物理、电子、真空物理、机械工程、自动化、电气工程等相关专业）或核科学与技术专业博士学位的，每提供1人得1分，本小项满分8分。</w:t>
            </w:r>
          </w:p>
          <w:p>
            <w:pPr>
              <w:spacing w:line="360" w:lineRule="auto"/>
              <w:rPr>
                <w:rFonts w:ascii="Times New Roman" w:hAnsi="Times New Roman" w:eastAsia="宋体"/>
                <w:b/>
                <w:bCs/>
                <w:color w:val="auto"/>
                <w:sz w:val="24"/>
                <w:highlight w:val="none"/>
              </w:rPr>
            </w:pPr>
            <w:r>
              <w:rPr>
                <w:rFonts w:hint="eastAsia" w:ascii="Times New Roman" w:hAnsi="Times New Roman" w:eastAsia="宋体"/>
                <w:b/>
                <w:bCs/>
                <w:color w:val="auto"/>
                <w:sz w:val="24"/>
                <w:highlight w:val="none"/>
              </w:rPr>
              <w:t>注：投标文件中同时提供：</w:t>
            </w:r>
          </w:p>
          <w:p>
            <w:pPr>
              <w:spacing w:line="360" w:lineRule="auto"/>
              <w:rPr>
                <w:rFonts w:ascii="Times New Roman" w:hAnsi="Times New Roman" w:eastAsia="宋体"/>
                <w:b/>
                <w:bCs/>
                <w:color w:val="auto"/>
                <w:sz w:val="24"/>
                <w:highlight w:val="none"/>
              </w:rPr>
            </w:pPr>
            <w:r>
              <w:rPr>
                <w:rFonts w:hint="eastAsia" w:ascii="Times New Roman" w:hAnsi="Times New Roman" w:eastAsia="宋体"/>
                <w:b/>
                <w:bCs/>
                <w:color w:val="auto"/>
                <w:sz w:val="24"/>
                <w:highlight w:val="none"/>
              </w:rPr>
              <w:t>1、团队人员名单（格式自拟）及投标人为以上人员缴纳近三个月内（其中任意一个月即可）社保的证明材料（社保提供任一险种即可），社保证明材料形式详见招标文件第二章投标人须知前附表相关要求。</w:t>
            </w:r>
          </w:p>
          <w:p>
            <w:pPr>
              <w:spacing w:line="360" w:lineRule="auto"/>
              <w:rPr>
                <w:rFonts w:ascii="Times New Roman" w:hAnsi="Times New Roman" w:eastAsia="宋体"/>
                <w:color w:val="auto"/>
                <w:sz w:val="24"/>
                <w:highlight w:val="none"/>
              </w:rPr>
            </w:pPr>
            <w:r>
              <w:rPr>
                <w:rFonts w:hint="eastAsia" w:ascii="Times New Roman" w:hAnsi="Times New Roman" w:eastAsia="宋体"/>
                <w:b/>
                <w:bCs/>
                <w:color w:val="auto"/>
                <w:sz w:val="24"/>
                <w:highlight w:val="none"/>
              </w:rPr>
              <w:t>2、针对博士学位，投标文件中提供学位证书扫描件；针对职称，投标文件中提供</w:t>
            </w:r>
            <w:r>
              <w:rPr>
                <w:rFonts w:hint="eastAsia" w:ascii="Times New Roman" w:hAnsi="Times New Roman" w:eastAsia="宋体"/>
                <w:b/>
                <w:bCs/>
                <w:color w:val="auto"/>
                <w:sz w:val="24"/>
                <w:highlight w:val="none"/>
              </w:rPr>
              <w:t>人社部门</w:t>
            </w:r>
            <w:r>
              <w:rPr>
                <w:rFonts w:hint="eastAsia" w:ascii="Times New Roman" w:hAnsi="Times New Roman" w:eastAsia="宋体"/>
                <w:b/>
                <w:bCs/>
                <w:color w:val="auto"/>
                <w:sz w:val="24"/>
                <w:highlight w:val="none"/>
              </w:rPr>
              <w:t>颁发的职称证书扫描件，如人员所在单位具备自主职称评审的资格，则该提供该单位（或该单位人事部门）的聘书或证明文件扫描件。</w:t>
            </w:r>
          </w:p>
        </w:tc>
        <w:tc>
          <w:tcPr>
            <w:tcW w:w="11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b/>
                <w:bCs/>
                <w:color w:val="auto"/>
                <w:sz w:val="24"/>
                <w:highlight w:val="none"/>
              </w:rPr>
            </w:pPr>
            <w:r>
              <w:rPr>
                <w:rFonts w:hint="eastAsia" w:ascii="Times New Roman" w:hAnsi="Times New Roman" w:eastAsia="宋体"/>
                <w:color w:val="auto"/>
                <w:sz w:val="24"/>
                <w:szCs w:val="24"/>
                <w:highlight w:val="none"/>
              </w:rPr>
              <w:t>0-</w:t>
            </w:r>
            <w:r>
              <w:rPr>
                <w:rFonts w:hint="eastAsia" w:ascii="Times New Roman" w:hAnsi="Times New Roman" w:eastAsia="宋体" w:cs="宋体"/>
                <w:color w:val="auto"/>
                <w:sz w:val="24"/>
                <w:szCs w:val="24"/>
                <w:highlight w:val="none"/>
                <w:u w:val="single"/>
              </w:rPr>
              <w:t>13</w:t>
            </w:r>
            <w:r>
              <w:rPr>
                <w:rFonts w:hint="eastAsia" w:ascii="Times New Roman" w:hAnsi="Times New Roman" w:eastAsia="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30</w:t>
            </w:r>
            <w:r>
              <w:rPr>
                <w:rFonts w:hint="eastAsia" w:asciiTheme="minorEastAsia" w:hAnsiTheme="minorEastAsia" w:eastAsiaTheme="minorEastAsia"/>
                <w:color w:val="auto"/>
                <w:sz w:val="24"/>
                <w:highlight w:val="none"/>
              </w:rPr>
              <w:t>分）</w:t>
            </w:r>
          </w:p>
        </w:tc>
        <w:tc>
          <w:tcPr>
            <w:tcW w:w="704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30</w:t>
            </w:r>
            <w:r>
              <w:rPr>
                <w:rFonts w:hint="eastAsia" w:asciiTheme="minorEastAsia" w:hAnsiTheme="minorEastAsia" w:eastAsiaTheme="minorEastAsia"/>
                <w:color w:val="auto"/>
                <w:sz w:val="24"/>
                <w:highlight w:val="none"/>
              </w:rPr>
              <w:t>分。其他投标人的价格分统一按照下列公式计算：</w:t>
            </w:r>
          </w:p>
          <w:p>
            <w:pPr>
              <w:spacing w:line="360" w:lineRule="auto"/>
              <w:rPr>
                <w:rFonts w:asciiTheme="minorEastAsia" w:hAnsiTheme="minorEastAsia" w:eastAsiaTheme="minorEastAsia"/>
                <w:b/>
                <w:bCs/>
                <w:strike/>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30</w:t>
            </w:r>
            <w:r>
              <w:rPr>
                <w:rFonts w:hint="eastAsia" w:asciiTheme="minorEastAsia" w:hAnsiTheme="minorEastAsia" w:eastAsiaTheme="minorEastAsia"/>
                <w:color w:val="auto"/>
                <w:sz w:val="24"/>
                <w:highlight w:val="none"/>
              </w:rPr>
              <w:t>％×100</w:t>
            </w:r>
          </w:p>
        </w:tc>
      </w:tr>
    </w:tbl>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.3.3</w:t>
      </w:r>
      <w:r>
        <w:rPr>
          <w:rFonts w:hint="eastAsia" w:asciiTheme="minorEastAsia" w:hAnsiTheme="minorEastAsia" w:eastAsiaTheme="minorEastAsia"/>
          <w:color w:val="auto"/>
          <w:sz w:val="24"/>
          <w:highlight w:val="none"/>
        </w:rPr>
        <w:t>分值汇总</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pPr>
        <w:spacing w:line="360" w:lineRule="auto"/>
        <w:jc w:val="center"/>
        <w:outlineLvl w:val="0"/>
        <w:rPr>
          <w:rFonts w:asciiTheme="minorEastAsia" w:hAnsiTheme="minorEastAsia" w:eastAsiaTheme="minorEastAsia"/>
          <w:b/>
          <w:color w:val="auto"/>
          <w:sz w:val="28"/>
          <w:highlight w:val="none"/>
        </w:rPr>
      </w:pPr>
      <w:bookmarkStart w:id="17" w:name="_Toc6060296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17"/>
    </w:p>
    <w:p>
      <w:pPr>
        <w:spacing w:line="480" w:lineRule="auto"/>
        <w:jc w:val="center"/>
        <w:rPr>
          <w:rFonts w:cs="Times New Roman" w:asciiTheme="minorEastAsia" w:hAnsiTheme="minorEastAsia" w:eastAsiaTheme="minorEastAsia"/>
          <w:b/>
          <w:color w:val="auto"/>
          <w:sz w:val="24"/>
          <w:szCs w:val="24"/>
          <w:highlight w:val="none"/>
        </w:rPr>
      </w:pPr>
      <w:bookmarkStart w:id="18" w:name="_Hlk11711914"/>
    </w:p>
    <w:p>
      <w:pPr>
        <w:spacing w:line="480" w:lineRule="auto"/>
        <w:jc w:val="center"/>
        <w:rPr>
          <w:rFonts w:cs="Times New Roman" w:asciiTheme="minorEastAsia" w:hAnsiTheme="minorEastAsia" w:eastAsiaTheme="minorEastAsia"/>
          <w:b/>
          <w:color w:val="auto"/>
          <w:sz w:val="24"/>
          <w:szCs w:val="24"/>
          <w:highlight w:val="none"/>
        </w:rPr>
      </w:pPr>
    </w:p>
    <w:p>
      <w:pPr>
        <w:spacing w:line="480" w:lineRule="auto"/>
        <w:jc w:val="center"/>
        <w:rPr>
          <w:rFonts w:cs="Times New Roman" w:asciiTheme="minorEastAsia" w:hAnsiTheme="minorEastAsia" w:eastAsiaTheme="minorEastAsia"/>
          <w:b/>
          <w:color w:val="auto"/>
          <w:sz w:val="24"/>
          <w:szCs w:val="24"/>
          <w:highlight w:val="none"/>
        </w:rPr>
      </w:pPr>
    </w:p>
    <w:p>
      <w:pPr>
        <w:spacing w:line="480" w:lineRule="auto"/>
        <w:jc w:val="center"/>
        <w:outlineLvl w:val="1"/>
        <w:rPr>
          <w:rFonts w:cs="Times New Roman" w:asciiTheme="minorEastAsia" w:hAnsiTheme="minorEastAsia" w:eastAsiaTheme="minorEastAsia"/>
          <w:b/>
          <w:color w:val="auto"/>
          <w:sz w:val="32"/>
          <w:szCs w:val="32"/>
          <w:highlight w:val="none"/>
        </w:rPr>
      </w:pPr>
      <w:r>
        <w:rPr>
          <w:rFonts w:cs="Times New Roman" w:asciiTheme="minorEastAsia" w:hAnsiTheme="minorEastAsia" w:eastAsiaTheme="minorEastAsia"/>
          <w:b/>
          <w:color w:val="auto"/>
          <w:sz w:val="32"/>
          <w:szCs w:val="32"/>
          <w:highlight w:val="none"/>
        </w:rPr>
        <w:t>政府采购合同</w:t>
      </w:r>
      <w:r>
        <w:rPr>
          <w:rFonts w:hint="eastAsia" w:cs="Times New Roman" w:asciiTheme="minorEastAsia" w:hAnsiTheme="minorEastAsia" w:eastAsiaTheme="minorEastAsia"/>
          <w:b/>
          <w:color w:val="auto"/>
          <w:sz w:val="32"/>
          <w:szCs w:val="32"/>
          <w:highlight w:val="none"/>
        </w:rPr>
        <w:t>参考范本</w:t>
      </w:r>
    </w:p>
    <w:p>
      <w:pPr>
        <w:spacing w:line="480" w:lineRule="auto"/>
        <w:jc w:val="center"/>
        <w:outlineLvl w:val="1"/>
        <w:rPr>
          <w:rFonts w:cs="Times New Roman" w:asciiTheme="minorEastAsia" w:hAnsiTheme="minorEastAsia" w:eastAsiaTheme="minorEastAsia"/>
          <w:b/>
          <w:color w:val="auto"/>
          <w:sz w:val="32"/>
          <w:szCs w:val="32"/>
          <w:highlight w:val="none"/>
        </w:rPr>
      </w:pPr>
      <w:r>
        <w:rPr>
          <w:rFonts w:hint="eastAsia" w:cs="Times New Roman" w:asciiTheme="minorEastAsia" w:hAnsiTheme="minorEastAsia" w:eastAsiaTheme="minorEastAsia"/>
          <w:b/>
          <w:color w:val="auto"/>
          <w:sz w:val="32"/>
          <w:szCs w:val="32"/>
          <w:highlight w:val="none"/>
        </w:rPr>
        <w:t>（货物类）</w:t>
      </w:r>
    </w:p>
    <w:p>
      <w:pPr>
        <w:spacing w:line="480" w:lineRule="auto"/>
        <w:jc w:val="center"/>
        <w:rPr>
          <w:rFonts w:cs="Times New Roman" w:asciiTheme="minorEastAsia" w:hAnsiTheme="minorEastAsia" w:eastAsiaTheme="minorEastAsia"/>
          <w:b/>
          <w:color w:val="auto"/>
          <w:sz w:val="24"/>
          <w:szCs w:val="24"/>
          <w:highlight w:val="none"/>
        </w:rPr>
      </w:pPr>
    </w:p>
    <w:p>
      <w:pPr>
        <w:spacing w:line="480" w:lineRule="auto"/>
        <w:jc w:val="center"/>
        <w:rPr>
          <w:rFonts w:cs="Times New Roman" w:asciiTheme="minorEastAsia" w:hAnsiTheme="minorEastAsia" w:eastAsiaTheme="minorEastAsia"/>
          <w:b/>
          <w:color w:val="auto"/>
          <w:sz w:val="24"/>
          <w:szCs w:val="24"/>
          <w:highlight w:val="none"/>
        </w:rPr>
      </w:pPr>
    </w:p>
    <w:p>
      <w:pPr>
        <w:spacing w:line="480" w:lineRule="auto"/>
        <w:jc w:val="center"/>
        <w:rPr>
          <w:rFonts w:cs="Times New Roman" w:asciiTheme="minorEastAsia" w:hAnsiTheme="minorEastAsia" w:eastAsiaTheme="minorEastAsia"/>
          <w:b/>
          <w:color w:val="auto"/>
          <w:sz w:val="24"/>
          <w:szCs w:val="24"/>
          <w:highlight w:val="none"/>
        </w:rPr>
      </w:pP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第一部分 合同书</w:t>
      </w:r>
    </w:p>
    <w:p>
      <w:pPr>
        <w:spacing w:line="480" w:lineRule="auto"/>
        <w:jc w:val="center"/>
        <w:rPr>
          <w:rFonts w:cs="Times New Roman" w:asciiTheme="minorEastAsia" w:hAnsiTheme="minorEastAsia" w:eastAsiaTheme="minorEastAsia"/>
          <w:b/>
          <w:color w:val="auto"/>
          <w:sz w:val="24"/>
          <w:szCs w:val="24"/>
          <w:highlight w:val="none"/>
        </w:rPr>
      </w:pPr>
    </w:p>
    <w:p>
      <w:pPr>
        <w:spacing w:line="480" w:lineRule="auto"/>
        <w:jc w:val="center"/>
        <w:rPr>
          <w:rFonts w:cs="Times New Roman" w:asciiTheme="minorEastAsia" w:hAnsiTheme="minorEastAsia" w:eastAsiaTheme="minorEastAsia"/>
          <w:b/>
          <w:color w:val="auto"/>
          <w:sz w:val="24"/>
          <w:szCs w:val="24"/>
          <w:highlight w:val="none"/>
        </w:rPr>
      </w:pPr>
    </w:p>
    <w:p>
      <w:pPr>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项目名称：</w:t>
      </w:r>
      <w:r>
        <w:rPr>
          <w:rFonts w:hint="eastAsia" w:cs="Times New Roman" w:asciiTheme="minorEastAsia" w:hAnsiTheme="minorEastAsia" w:eastAsiaTheme="minorEastAsia"/>
          <w:color w:val="auto"/>
          <w:sz w:val="24"/>
          <w:szCs w:val="24"/>
          <w:highlight w:val="none"/>
          <w:u w:val="single"/>
          <w:lang w:eastAsia="zh-CN"/>
        </w:rPr>
        <w:t>安徽大学2022年“强光磁试验装置”直线加速器及配套设备采购项目</w:t>
      </w:r>
    </w:p>
    <w:p>
      <w:pPr>
        <w:spacing w:before="120" w:line="480" w:lineRule="auto"/>
        <w:ind w:left="960"/>
        <w:rPr>
          <w:rFonts w:hint="eastAsia" w:cs="Times New Roman" w:asciiTheme="minorEastAsia" w:hAnsiTheme="minorEastAsia" w:eastAsiaTheme="minorEastAsia"/>
          <w:color w:val="auto"/>
          <w:sz w:val="24"/>
          <w:szCs w:val="24"/>
          <w:highlight w:val="none"/>
          <w:lang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eastAsia="zh-CN"/>
        </w:rPr>
        <w:t>2023BTAHZ01434</w:t>
      </w:r>
    </w:p>
    <w:p>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single"/>
        </w:rPr>
        <w:t xml:space="preserve">                              </w:t>
      </w:r>
    </w:p>
    <w:p>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p>
    <w:p>
      <w:pPr>
        <w:spacing w:before="120" w:line="480" w:lineRule="auto"/>
        <w:ind w:firstLine="960" w:firstLineChars="40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签订地：</w:t>
      </w:r>
      <w:r>
        <w:rPr>
          <w:rFonts w:hint="eastAsia" w:cs="Times New Roman" w:asciiTheme="minorEastAsia" w:hAnsiTheme="minorEastAsia" w:eastAsiaTheme="minorEastAsia"/>
          <w:color w:val="auto"/>
          <w:sz w:val="24"/>
          <w:szCs w:val="24"/>
          <w:highlight w:val="none"/>
          <w:u w:val="single"/>
        </w:rPr>
        <w:t xml:space="preserve">                                     </w:t>
      </w:r>
    </w:p>
    <w:p>
      <w:pPr>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日</w:t>
      </w:r>
    </w:p>
    <w:p>
      <w:pPr>
        <w:widowControl/>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u w:val="single"/>
        </w:rPr>
        <w:t>安徽大学</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以下简称：甲方</w:t>
      </w:r>
      <w:r>
        <w:rPr>
          <w:rFonts w:hint="eastAsia" w:asciiTheme="minorEastAsia" w:hAnsiTheme="minorEastAsia" w:eastAsiaTheme="minorEastAsia"/>
          <w:color w:val="auto"/>
          <w:sz w:val="24"/>
          <w:highlight w:val="none"/>
        </w:rPr>
        <w:t>）通过</w:t>
      </w:r>
      <w:r>
        <w:rPr>
          <w:rFonts w:hint="eastAsia" w:asciiTheme="minorEastAsia" w:hAnsiTheme="minorEastAsia" w:eastAsiaTheme="minorEastAsia"/>
          <w:color w:val="auto"/>
          <w:sz w:val="24"/>
          <w:highlight w:val="none"/>
          <w:u w:val="single"/>
        </w:rPr>
        <w:t>安徽公共资源交易集团项目管理有限公司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cs="Times New Roman" w:asciiTheme="minorEastAsia" w:hAnsiTheme="minorEastAsia" w:eastAsiaTheme="minorEastAsia"/>
          <w:i/>
          <w:iCs/>
          <w:color w:val="auto"/>
          <w:sz w:val="24"/>
          <w:szCs w:val="24"/>
          <w:highlight w:val="none"/>
          <w:u w:val="single"/>
        </w:rPr>
        <w:t>（中标人名称）</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9" w:name="_Toc2232"/>
      <w:bookmarkStart w:id="20" w:name="_Toc24059"/>
      <w:bookmarkStart w:id="21" w:name="_Toc3029"/>
      <w:r>
        <w:rPr>
          <w:rFonts w:hint="eastAsia" w:cs="Times New Roman" w:asciiTheme="minorEastAsia" w:hAnsiTheme="minorEastAsia" w:eastAsiaTheme="minorEastAsia"/>
          <w:b/>
          <w:bCs/>
          <w:color w:val="auto"/>
          <w:sz w:val="24"/>
          <w:szCs w:val="24"/>
          <w:highlight w:val="none"/>
          <w:lang w:val="zh-CN"/>
        </w:rPr>
        <w:t>1.1</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合同组成部分</w:t>
      </w:r>
      <w:bookmarkEnd w:id="19"/>
      <w:bookmarkEnd w:id="20"/>
      <w:bookmarkEnd w:id="21"/>
    </w:p>
    <w:p>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22" w:name="_Toc21295"/>
      <w:bookmarkStart w:id="23" w:name="_Toc24300"/>
      <w:bookmarkStart w:id="24" w:name="_Toc27126"/>
      <w:r>
        <w:rPr>
          <w:rFonts w:hint="eastAsia" w:cs="Times New Roman" w:asciiTheme="minorEastAsia" w:hAnsiTheme="minorEastAsia" w:eastAsiaTheme="minorEastAsia"/>
          <w:b/>
          <w:bCs/>
          <w:color w:val="auto"/>
          <w:sz w:val="24"/>
          <w:szCs w:val="24"/>
          <w:highlight w:val="none"/>
          <w:lang w:val="zh-CN"/>
        </w:rPr>
        <w:t>1.2</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货物</w:t>
      </w:r>
      <w:bookmarkEnd w:id="22"/>
      <w:bookmarkEnd w:id="23"/>
      <w:bookmarkEnd w:id="24"/>
    </w:p>
    <w:tbl>
      <w:tblPr>
        <w:tblStyle w:val="5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序号</w:t>
            </w: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货物名称</w:t>
            </w: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规格型号</w:t>
            </w: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单位</w:t>
            </w: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数量</w:t>
            </w:r>
          </w:p>
        </w:tc>
        <w:tc>
          <w:tcPr>
            <w:tcW w:w="1508" w:type="dxa"/>
            <w:vAlign w:val="center"/>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生产厂商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08" w:type="dxa"/>
            <w:vAlign w:val="center"/>
          </w:tcPr>
          <w:p>
            <w:pPr>
              <w:jc w:val="center"/>
              <w:rPr>
                <w:rFonts w:cs="Times New Roman" w:asciiTheme="minorEastAsia" w:hAnsiTheme="minorEastAsia" w:eastAsiaTheme="minorEastAsia"/>
                <w:color w:val="auto"/>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08" w:type="dxa"/>
            <w:vAlign w:val="center"/>
          </w:tcPr>
          <w:p>
            <w:pPr>
              <w:jc w:val="center"/>
              <w:rPr>
                <w:rFonts w:cs="Times New Roman" w:asciiTheme="minorEastAsia" w:hAnsiTheme="minorEastAsia" w:eastAsiaTheme="minorEastAsia"/>
                <w:color w:val="auto"/>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08" w:type="dxa"/>
            <w:vAlign w:val="center"/>
          </w:tcPr>
          <w:p>
            <w:pPr>
              <w:jc w:val="center"/>
              <w:rPr>
                <w:rFonts w:cs="Times New Roman" w:asciiTheme="minorEastAsia" w:hAnsiTheme="minorEastAsia" w:eastAsiaTheme="minorEastAsia"/>
                <w:color w:val="auto"/>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5"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12" w:type="dxa"/>
            <w:vAlign w:val="center"/>
          </w:tcPr>
          <w:p>
            <w:pPr>
              <w:jc w:val="center"/>
              <w:rPr>
                <w:rFonts w:cs="Times New Roman" w:asciiTheme="minorEastAsia" w:hAnsiTheme="minorEastAsia" w:eastAsiaTheme="minorEastAsia"/>
                <w:color w:val="auto"/>
                <w:sz w:val="24"/>
                <w:szCs w:val="24"/>
                <w:highlight w:val="none"/>
                <w:lang w:val="zh-CN"/>
              </w:rPr>
            </w:pPr>
          </w:p>
        </w:tc>
        <w:tc>
          <w:tcPr>
            <w:tcW w:w="1508" w:type="dxa"/>
            <w:vAlign w:val="center"/>
          </w:tcPr>
          <w:p>
            <w:pPr>
              <w:jc w:val="center"/>
              <w:rPr>
                <w:rFonts w:cs="Times New Roman" w:asciiTheme="minorEastAsia" w:hAnsiTheme="minorEastAsia" w:eastAsiaTheme="minorEastAsia"/>
                <w:color w:val="auto"/>
                <w:sz w:val="24"/>
                <w:szCs w:val="24"/>
                <w:highlight w:val="none"/>
                <w:lang w:val="zh-CN"/>
              </w:rPr>
            </w:pPr>
          </w:p>
        </w:tc>
      </w:tr>
    </w:tbl>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25" w:name="_Toc21551"/>
      <w:bookmarkStart w:id="26" w:name="_Toc21631"/>
      <w:bookmarkStart w:id="27" w:name="_Toc23292"/>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3 </w:t>
      </w:r>
      <w:r>
        <w:rPr>
          <w:rFonts w:hint="eastAsia" w:cs="Times New Roman" w:asciiTheme="minorEastAsia" w:hAnsiTheme="minorEastAsia" w:eastAsiaTheme="minorEastAsia"/>
          <w:b/>
          <w:bCs/>
          <w:color w:val="auto"/>
          <w:sz w:val="24"/>
          <w:szCs w:val="24"/>
          <w:highlight w:val="none"/>
          <w:lang w:val="zh-CN"/>
        </w:rPr>
        <w:t>价款</w:t>
      </w:r>
      <w:bookmarkEnd w:id="25"/>
      <w:bookmarkEnd w:id="26"/>
      <w:bookmarkEnd w:id="27"/>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pPr>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pPr>
              <w:ind w:firstLine="200"/>
              <w:jc w:val="center"/>
              <w:rPr>
                <w:rFonts w:cs="Times New Roman"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pPr>
              <w:ind w:firstLine="200"/>
              <w:jc w:val="center"/>
              <w:rPr>
                <w:rFonts w:cs="Times New Roman"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pPr>
              <w:ind w:firstLine="200"/>
              <w:jc w:val="center"/>
              <w:rPr>
                <w:rFonts w:cs="Times New Roman"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pPr>
              <w:ind w:firstLine="200"/>
              <w:jc w:val="center"/>
              <w:rPr>
                <w:rFonts w:cs="Times New Roman"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pPr>
              <w:ind w:firstLine="200"/>
              <w:jc w:val="center"/>
              <w:rPr>
                <w:rFonts w:cs="Times New Roman" w:asciiTheme="minorEastAsia" w:hAnsiTheme="minorEastAsia" w:eastAsiaTheme="minorEastAsia"/>
                <w:color w:val="auto"/>
                <w:sz w:val="24"/>
                <w:szCs w:val="24"/>
                <w:highlight w:val="none"/>
              </w:rPr>
            </w:pPr>
          </w:p>
        </w:tc>
      </w:tr>
    </w:tbl>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28" w:name="_Toc1814"/>
      <w:bookmarkStart w:id="29" w:name="_Toc22618"/>
      <w:bookmarkStart w:id="30" w:name="_Toc10340"/>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 付款方式和发票开具方式</w:t>
      </w:r>
      <w:bookmarkEnd w:id="28"/>
      <w:bookmarkEnd w:id="29"/>
      <w:bookmarkEnd w:id="30"/>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31" w:name="_Toc2846"/>
      <w:bookmarkStart w:id="32" w:name="_Toc19304"/>
      <w:bookmarkStart w:id="33" w:name="_Toc3207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 货物交付期限</w:t>
      </w:r>
      <w:r>
        <w:rPr>
          <w:rFonts w:hint="eastAsia" w:cs="Times New Roman" w:asciiTheme="minorEastAsia" w:hAnsiTheme="minorEastAsia" w:eastAsiaTheme="minorEastAsia"/>
          <w:b/>
          <w:bCs/>
          <w:color w:val="auto"/>
          <w:sz w:val="24"/>
          <w:szCs w:val="24"/>
          <w:highlight w:val="none"/>
          <w:lang w:val="zh-CN"/>
        </w:rPr>
        <w:t>、地点和方式</w:t>
      </w:r>
      <w:bookmarkEnd w:id="31"/>
      <w:bookmarkEnd w:id="32"/>
      <w:bookmarkEnd w:id="33"/>
    </w:p>
    <w:p>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1.5.1交付期限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1.5.2交付地点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1.5.3交付方式：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34" w:name="_Toc27250"/>
      <w:bookmarkStart w:id="35" w:name="_Toc21423"/>
      <w:bookmarkStart w:id="36" w:name="_Toc19554"/>
      <w:r>
        <w:rPr>
          <w:rFonts w:hint="eastAsia" w:cs="Times New Roman" w:asciiTheme="minorEastAsia" w:hAnsiTheme="minorEastAsia" w:eastAsiaTheme="minorEastAsia"/>
          <w:b/>
          <w:bCs/>
          <w:color w:val="auto"/>
          <w:sz w:val="24"/>
          <w:szCs w:val="24"/>
          <w:highlight w:val="none"/>
          <w:lang w:val="zh-CN"/>
        </w:rPr>
        <w:t>1.6 违约责任</w:t>
      </w:r>
      <w:bookmarkEnd w:id="34"/>
      <w:bookmarkEnd w:id="35"/>
      <w:bookmarkEnd w:id="36"/>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1.6.1</w:t>
      </w:r>
      <w:r>
        <w:rPr>
          <w:rFonts w:cs="Times New Roman" w:asciiTheme="minorEastAsia" w:hAnsiTheme="minorEastAsia" w:eastAsiaTheme="minorEastAsia"/>
          <w:color w:val="auto"/>
          <w:sz w:val="24"/>
          <w:szCs w:val="24"/>
          <w:highlight w:val="none"/>
        </w:rPr>
        <w:t>除不可抗力外，如果乙方没有按照本合同约定的期限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地点和方式交付货物，那么甲方可要求乙方支付违约金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违约金按每迟延交付货物一日的应交付而未交付货物价格的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迟延交付货物的违约金计算数额达到前述最高限额之日起</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甲方有权在要求乙方支付违约金的同时</w:t>
      </w:r>
      <w:r>
        <w:rPr>
          <w:rFonts w:hint="eastAsia" w:cs="Times New Roman" w:asciiTheme="minorEastAsia" w:hAnsiTheme="minorEastAsia" w:eastAsiaTheme="minorEastAsia"/>
          <w:color w:val="auto"/>
          <w:sz w:val="24"/>
          <w:szCs w:val="24"/>
          <w:highlight w:val="none"/>
        </w:rPr>
        <w:t>，书面通知乙方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1.6.2</w:t>
      </w:r>
      <w:r>
        <w:rPr>
          <w:rFonts w:cs="Times New Roman" w:asciiTheme="minorEastAsia" w:hAnsiTheme="minorEastAsia" w:eastAsiaTheme="minorEastAsia"/>
          <w:color w:val="auto"/>
          <w:sz w:val="24"/>
          <w:szCs w:val="24"/>
          <w:highlight w:val="none"/>
        </w:rPr>
        <w:t>除不可抗力外，如果甲方没有按照本合同约定的付款方式付款，那么乙方可要求甲方支付违约金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一日的应付而未付款的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的违约金计算数额达到前述最高限额之日起</w:t>
      </w:r>
      <w:r>
        <w:rPr>
          <w:rFonts w:hint="eastAsia" w:cs="Times New Roman" w:asciiTheme="minorEastAsia" w:hAnsiTheme="minorEastAsia" w:eastAsiaTheme="minorEastAsia"/>
          <w:color w:val="auto"/>
          <w:sz w:val="24"/>
          <w:szCs w:val="24"/>
          <w:highlight w:val="none"/>
        </w:rPr>
        <w:t>，乙</w:t>
      </w:r>
      <w:r>
        <w:rPr>
          <w:rFonts w:cs="Times New Roman" w:asciiTheme="minorEastAsia" w:hAnsiTheme="minorEastAsia" w:eastAsiaTheme="minorEastAsia"/>
          <w:color w:val="auto"/>
          <w:sz w:val="24"/>
          <w:szCs w:val="24"/>
          <w:highlight w:val="none"/>
        </w:rPr>
        <w:t>方有权在要求甲方支付违约金的同时</w:t>
      </w:r>
      <w:r>
        <w:rPr>
          <w:rFonts w:hint="eastAsia" w:cs="Times New Roman" w:asciiTheme="minorEastAsia" w:hAnsiTheme="minorEastAsia" w:eastAsiaTheme="minorEastAsia"/>
          <w:color w:val="auto"/>
          <w:sz w:val="24"/>
          <w:szCs w:val="24"/>
          <w:highlight w:val="none"/>
        </w:rPr>
        <w:t>，书面通知甲方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8若卖方在质量保修期内未能完成本合同约定的保修责任，买方将追究其违约责任，并要求卖方承担因违约给买方造成的经济损失等。</w:t>
      </w:r>
    </w:p>
    <w:p>
      <w:pPr>
        <w:spacing w:line="360" w:lineRule="auto"/>
        <w:ind w:firstLine="437"/>
        <w:outlineLvl w:val="3"/>
        <w:rPr>
          <w:rFonts w:ascii="Times New Roman" w:hAnsi="Times New Roman" w:eastAsia="宋体"/>
          <w:b/>
          <w:bCs/>
          <w:color w:val="auto"/>
          <w:sz w:val="24"/>
          <w:highlight w:val="none"/>
          <w:lang w:val="zh-CN"/>
        </w:rPr>
      </w:pPr>
      <w:r>
        <w:rPr>
          <w:rFonts w:hint="eastAsia" w:ascii="Times New Roman" w:hAnsi="Times New Roman" w:eastAsia="宋体"/>
          <w:b/>
          <w:bCs/>
          <w:color w:val="auto"/>
          <w:sz w:val="24"/>
          <w:highlight w:val="none"/>
          <w:lang w:val="zh-CN"/>
        </w:rPr>
        <w:t>1.7验收要求</w:t>
      </w:r>
    </w:p>
    <w:p>
      <w:pPr>
        <w:spacing w:line="360" w:lineRule="auto"/>
        <w:ind w:firstLine="435"/>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（一）质量标准</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卖方保证提供的货物符合中华人民共和国国家及行业的安全质量标准、环保标准中之较高者；若货物来源于中华人民共和国境外，还要同时符合货物来源国的官方、行业及生产厂商的安全质量标准、环保标准中之较高者。上述标准为已发布的且在货物交付时有效的最新版本的标准；当货物来源于中华人民共和国境外时，产品必须附有原产地证明、中华人民共和国商检机构的检验证明、合法进货渠道证明及海关完税证明，此外，有关技术资料中须附有全文翻译的中文文本。</w:t>
      </w:r>
    </w:p>
    <w:p>
      <w:pPr>
        <w:spacing w:line="360" w:lineRule="auto"/>
        <w:ind w:firstLine="435"/>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（二）验收组织</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买方负责组织验收工作，大型或者复杂的政府采购项目，必须邀请国家认可的质量检测机构参加验收工作。</w:t>
      </w:r>
    </w:p>
    <w:p>
      <w:pPr>
        <w:spacing w:line="360" w:lineRule="auto"/>
        <w:ind w:firstLine="435"/>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（三）验收程序</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1.成立验收小组，验收人员应由买方代表和技术专家组成。</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2.验收前要编制验收表格。</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3.验收时双方要按照验收表格逐项验收。</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4.验收方出具验收报告。</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5.复杂设备的验收还要包括出厂检验、到货检验、安装和调试、最终验收、培训等伴随服务的验收。</w:t>
      </w:r>
    </w:p>
    <w:p>
      <w:pPr>
        <w:spacing w:line="360" w:lineRule="auto"/>
        <w:ind w:firstLine="437"/>
        <w:outlineLvl w:val="3"/>
        <w:rPr>
          <w:rFonts w:ascii="Times New Roman" w:hAnsi="Times New Roman" w:eastAsia="宋体"/>
          <w:b/>
          <w:bCs/>
          <w:color w:val="auto"/>
          <w:sz w:val="24"/>
          <w:highlight w:val="none"/>
          <w:lang w:val="zh-CN"/>
        </w:rPr>
      </w:pPr>
      <w:r>
        <w:rPr>
          <w:rFonts w:hint="eastAsia" w:ascii="Times New Roman" w:hAnsi="Times New Roman" w:eastAsia="宋体"/>
          <w:b/>
          <w:bCs/>
          <w:color w:val="auto"/>
          <w:sz w:val="24"/>
          <w:highlight w:val="none"/>
          <w:lang w:val="zh-CN"/>
        </w:rPr>
        <w:t>1.8售后服务</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（一）卖方对合同货物的质量保修期为</w:t>
      </w:r>
      <w:r>
        <w:rPr>
          <w:rFonts w:hint="eastAsia" w:ascii="Times New Roman" w:hAnsi="Times New Roman" w:eastAsia="宋体"/>
          <w:color w:val="auto"/>
          <w:sz w:val="24"/>
          <w:highlight w:val="none"/>
        </w:rPr>
        <w:t>自验收合格之日起</w:t>
      </w:r>
      <w:r>
        <w:rPr>
          <w:rFonts w:ascii="Times New Roman" w:hAnsi="Times New Roman" w:eastAsia="宋体" w:cs="Times New Roman"/>
          <w:color w:val="auto"/>
          <w:sz w:val="24"/>
          <w:highlight w:val="none"/>
          <w:u w:val="single"/>
        </w:rPr>
        <w:t xml:space="preserve"> </w:t>
      </w:r>
      <w:r>
        <w:rPr>
          <w:rFonts w:hint="eastAsia"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rPr>
        <w:t>个月。</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（二）卖方在合同货物的质量保修期内，免费为买方提供合同货物的技术指导和维修服务的时间是：每周5天40小时（工作时间）。</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（三）卖方保证在合同货物出现故障和缺陷时，或接到买方提出的技术服务要求后</w:t>
      </w:r>
      <w:r>
        <w:rPr>
          <w:rFonts w:hint="eastAsia" w:ascii="Times New Roman" w:hAnsi="Times New Roman" w:eastAsia="宋体" w:cs="Times New Roman"/>
          <w:color w:val="auto"/>
          <w:sz w:val="24"/>
          <w:highlight w:val="none"/>
        </w:rPr>
        <w:t>4</w:t>
      </w:r>
      <w:r>
        <w:rPr>
          <w:rFonts w:ascii="Times New Roman" w:hAnsi="Times New Roman" w:eastAsia="宋体" w:cs="Times New Roman"/>
          <w:color w:val="auto"/>
          <w:sz w:val="24"/>
          <w:highlight w:val="none"/>
        </w:rPr>
        <w:t>小时内予以答复，如买方有要求或必要时，卖方应在接到买方通知后</w:t>
      </w:r>
      <w:r>
        <w:rPr>
          <w:rFonts w:hint="eastAsia" w:ascii="Times New Roman" w:hAnsi="Times New Roman" w:eastAsia="宋体" w:cs="Times New Roman"/>
          <w:color w:val="auto"/>
          <w:sz w:val="24"/>
          <w:highlight w:val="none"/>
        </w:rPr>
        <w:t>8</w:t>
      </w:r>
      <w:r>
        <w:rPr>
          <w:rFonts w:ascii="Times New Roman" w:hAnsi="Times New Roman" w:eastAsia="宋体" w:cs="Times New Roman"/>
          <w:color w:val="auto"/>
          <w:sz w:val="24"/>
          <w:highlight w:val="none"/>
        </w:rPr>
        <w:t>小时内派员至买方免费维修和提供现场指导。</w:t>
      </w:r>
    </w:p>
    <w:p>
      <w:pPr>
        <w:spacing w:line="360" w:lineRule="auto"/>
        <w:ind w:firstLine="435"/>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（四）如卖方在接到买方维修通知后8小时仍不能修复有关货物，卖方应提供与该货物同一型号的备用货物。</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（五）如卖方在接到买方提出的技术服务要求或维修通知后</w:t>
      </w:r>
      <w:r>
        <w:rPr>
          <w:rFonts w:hint="eastAsia" w:ascii="Times New Roman" w:hAnsi="Times New Roman" w:eastAsia="宋体" w:cs="Times New Roman"/>
          <w:color w:val="auto"/>
          <w:sz w:val="24"/>
          <w:highlight w:val="none"/>
        </w:rPr>
        <w:t>24</w:t>
      </w:r>
      <w:r>
        <w:rPr>
          <w:rFonts w:ascii="Times New Roman" w:hAnsi="Times New Roman" w:eastAsia="宋体" w:cs="Times New Roman"/>
          <w:color w:val="auto"/>
          <w:sz w:val="24"/>
          <w:highlight w:val="none"/>
        </w:rPr>
        <w:t>小时内没有响应、拒绝或没有派员到达买方提供技术服务、修理或退换货物，买方有权委托第三方对合同货物进行维修或提供技术服务，因此产生的相关费用由卖方承担。</w:t>
      </w:r>
    </w:p>
    <w:p>
      <w:pPr>
        <w:spacing w:line="360" w:lineRule="auto"/>
        <w:ind w:firstLine="435"/>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（六）在合同货物保修期届满后，如果因合同货物硬件或软件的固有缺陷和瑕疵出现紧急故障和事故，卖方应在接到买方通知之后 24 小时内到达现场。</w:t>
      </w:r>
    </w:p>
    <w:p>
      <w:pPr>
        <w:spacing w:line="360" w:lineRule="auto"/>
        <w:ind w:firstLine="437"/>
        <w:outlineLvl w:val="3"/>
        <w:rPr>
          <w:rFonts w:ascii="Times New Roman" w:hAnsi="Times New Roman" w:eastAsia="宋体"/>
          <w:b/>
          <w:bCs/>
          <w:color w:val="auto"/>
          <w:sz w:val="24"/>
          <w:highlight w:val="none"/>
          <w:lang w:val="zh-CN"/>
        </w:rPr>
      </w:pPr>
      <w:r>
        <w:rPr>
          <w:rFonts w:hint="eastAsia" w:ascii="Times New Roman" w:hAnsi="Times New Roman" w:eastAsia="宋体"/>
          <w:b/>
          <w:bCs/>
          <w:color w:val="auto"/>
          <w:sz w:val="24"/>
          <w:highlight w:val="none"/>
          <w:lang w:val="zh-CN"/>
        </w:rPr>
        <w:t>1.9履约保证金</w:t>
      </w:r>
    </w:p>
    <w:p>
      <w:pPr>
        <w:widowControl/>
        <w:spacing w:line="360" w:lineRule="auto"/>
        <w:ind w:firstLine="480" w:firstLineChars="200"/>
        <w:jc w:val="left"/>
        <w:rPr>
          <w:rFonts w:ascii="Times New Roman" w:hAnsi="Times New Roman" w:eastAsia="宋体"/>
          <w:color w:val="auto"/>
          <w:sz w:val="24"/>
          <w:highlight w:val="none"/>
        </w:rPr>
      </w:pPr>
      <w:r>
        <w:rPr>
          <w:rFonts w:ascii="Times New Roman" w:hAnsi="Times New Roman" w:eastAsia="宋体" w:cs="Times New Roman"/>
          <w:color w:val="auto"/>
          <w:sz w:val="24"/>
          <w:highlight w:val="none"/>
        </w:rPr>
        <w:t>本项目履约保证金为</w:t>
      </w:r>
      <w:r>
        <w:rPr>
          <w:rFonts w:ascii="Times New Roman" w:hAnsi="Times New Roman" w:eastAsia="宋体" w:cs="Times New Roman"/>
          <w:color w:val="auto"/>
          <w:sz w:val="24"/>
          <w:highlight w:val="none"/>
          <w:u w:val="single"/>
        </w:rPr>
        <w:t xml:space="preserve"> </w:t>
      </w:r>
      <w:r>
        <w:rPr>
          <w:rFonts w:hint="eastAsia"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rPr>
        <w:t>元(人民币大写：</w:t>
      </w:r>
      <w:r>
        <w:rPr>
          <w:rFonts w:hint="eastAsia"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rPr>
        <w:t>元)，收受人</w:t>
      </w:r>
      <w:r>
        <w:rPr>
          <w:rFonts w:hint="eastAsia" w:ascii="Times New Roman" w:hAnsi="Times New Roman" w:eastAsia="宋体" w:cs="Times New Roman"/>
          <w:color w:val="auto"/>
          <w:sz w:val="24"/>
          <w:highlight w:val="none"/>
        </w:rPr>
        <w:t>（或受益人）</w:t>
      </w:r>
      <w:r>
        <w:rPr>
          <w:rFonts w:ascii="Times New Roman" w:hAnsi="Times New Roman" w:eastAsia="宋体" w:cs="Times New Roman"/>
          <w:color w:val="auto"/>
          <w:sz w:val="24"/>
          <w:highlight w:val="none"/>
        </w:rPr>
        <w:t>为</w:t>
      </w:r>
      <w:r>
        <w:rPr>
          <w:rFonts w:ascii="Times New Roman" w:hAnsi="Times New Roman" w:eastAsia="宋体" w:cs="Times New Roman"/>
          <w:color w:val="auto"/>
          <w:sz w:val="24"/>
          <w:highlight w:val="none"/>
          <w:u w:val="single"/>
        </w:rPr>
        <w:t>安徽大学</w:t>
      </w:r>
      <w:r>
        <w:rPr>
          <w:rFonts w:ascii="Times New Roman" w:hAnsi="Times New Roman" w:eastAsia="宋体" w:cs="Times New Roman"/>
          <w:color w:val="auto"/>
          <w:sz w:val="24"/>
          <w:highlight w:val="none"/>
        </w:rPr>
        <w:t>，期限为</w:t>
      </w:r>
      <w:r>
        <w:rPr>
          <w:rFonts w:hint="eastAsia"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u w:val="single"/>
        </w:rPr>
        <w:t xml:space="preserve"> </w:t>
      </w:r>
      <w:r>
        <w:rPr>
          <w:rFonts w:hint="eastAsia"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rPr>
        <w:t>。如卖方未能按期履行合同，买方可从履约保证金中获得经济上的赔偿。</w:t>
      </w:r>
      <w:r>
        <w:rPr>
          <w:rFonts w:hint="eastAsia" w:ascii="Times New Roman" w:hAnsi="Times New Roman" w:eastAsia="宋体" w:cs="宋体"/>
          <w:color w:val="auto"/>
          <w:kern w:val="0"/>
          <w:sz w:val="24"/>
          <w:highlight w:val="none"/>
          <w:lang w:bidi="ar"/>
        </w:rPr>
        <w:t xml:space="preserve"> </w:t>
      </w:r>
    </w:p>
    <w:p>
      <w:pPr>
        <w:widowControl/>
        <w:spacing w:line="360" w:lineRule="auto"/>
        <w:ind w:firstLine="482" w:firstLineChars="200"/>
        <w:jc w:val="left"/>
        <w:rPr>
          <w:rFonts w:ascii="Times New Roman" w:hAnsi="Times New Roman" w:eastAsia="宋体"/>
          <w:color w:val="auto"/>
          <w:sz w:val="24"/>
          <w:highlight w:val="none"/>
        </w:rPr>
      </w:pPr>
      <w:r>
        <w:rPr>
          <w:rFonts w:hint="eastAsia" w:ascii="Times New Roman" w:hAnsi="Times New Roman" w:eastAsia="宋体" w:cs="宋体"/>
          <w:b/>
          <w:bCs/>
          <w:color w:val="auto"/>
          <w:kern w:val="0"/>
          <w:sz w:val="24"/>
          <w:highlight w:val="none"/>
          <w:lang w:bidi="ar"/>
        </w:rPr>
        <w:t xml:space="preserve">2.0 合同争议的解决 </w:t>
      </w:r>
    </w:p>
    <w:p>
      <w:pPr>
        <w:widowControl/>
        <w:spacing w:line="360" w:lineRule="auto"/>
        <w:ind w:firstLine="480" w:firstLineChars="200"/>
        <w:jc w:val="left"/>
        <w:rPr>
          <w:rFonts w:ascii="Times New Roman" w:hAnsi="Times New Roman" w:eastAsia="宋体"/>
          <w:color w:val="auto"/>
          <w:sz w:val="24"/>
          <w:highlight w:val="none"/>
        </w:rPr>
      </w:pPr>
      <w:r>
        <w:rPr>
          <w:rFonts w:hint="eastAsia" w:ascii="Times New Roman" w:hAnsi="Times New Roman" w:eastAsia="宋体" w:cs="宋体"/>
          <w:color w:val="auto"/>
          <w:kern w:val="0"/>
          <w:sz w:val="24"/>
          <w:highlight w:val="none"/>
          <w:lang w:bidi="ar"/>
        </w:rPr>
        <w:t>本合同履行过程中发生的任何争议，双方当事人均可通过和解或者调解解决；不愿和解、调解或者和解、调解不成的，可以选择下列第</w:t>
      </w:r>
      <w:r>
        <w:rPr>
          <w:rFonts w:hint="eastAsia" w:ascii="Times New Roman" w:hAnsi="Times New Roman" w:eastAsia="宋体" w:cs="宋体"/>
          <w:color w:val="auto"/>
          <w:kern w:val="0"/>
          <w:sz w:val="24"/>
          <w:highlight w:val="none"/>
          <w:u w:val="single"/>
          <w:lang w:bidi="ar"/>
        </w:rPr>
        <w:t xml:space="preserve">    </w:t>
      </w:r>
      <w:r>
        <w:rPr>
          <w:rFonts w:hint="eastAsia" w:ascii="Times New Roman" w:hAnsi="Times New Roman" w:eastAsia="宋体" w:cs="宋体"/>
          <w:color w:val="auto"/>
          <w:kern w:val="0"/>
          <w:sz w:val="24"/>
          <w:highlight w:val="none"/>
          <w:lang w:bidi="ar"/>
        </w:rPr>
        <w:t xml:space="preserve">种方式解决： </w:t>
      </w:r>
    </w:p>
    <w:p>
      <w:pPr>
        <w:widowControl/>
        <w:spacing w:line="360" w:lineRule="auto"/>
        <w:ind w:firstLine="480" w:firstLineChars="200"/>
        <w:jc w:val="left"/>
        <w:rPr>
          <w:rFonts w:ascii="Times New Roman" w:hAnsi="Times New Roman" w:eastAsia="宋体"/>
          <w:color w:val="auto"/>
          <w:sz w:val="24"/>
          <w:highlight w:val="none"/>
        </w:rPr>
      </w:pPr>
      <w:r>
        <w:rPr>
          <w:rFonts w:hint="eastAsia" w:ascii="Times New Roman" w:hAnsi="Times New Roman" w:eastAsia="宋体" w:cs="宋体"/>
          <w:color w:val="auto"/>
          <w:kern w:val="0"/>
          <w:sz w:val="24"/>
          <w:highlight w:val="none"/>
          <w:lang w:bidi="ar"/>
        </w:rPr>
        <w:t>2.0.1 将争议提交</w:t>
      </w:r>
      <w:r>
        <w:rPr>
          <w:rFonts w:hint="eastAsia" w:ascii="Times New Roman" w:hAnsi="Times New Roman" w:eastAsia="宋体" w:cs="宋体"/>
          <w:color w:val="auto"/>
          <w:kern w:val="0"/>
          <w:sz w:val="24"/>
          <w:highlight w:val="none"/>
          <w:u w:val="single"/>
          <w:lang w:bidi="ar"/>
        </w:rPr>
        <w:t xml:space="preserve">  合肥  </w:t>
      </w:r>
      <w:r>
        <w:rPr>
          <w:rFonts w:hint="eastAsia" w:ascii="Times New Roman" w:hAnsi="Times New Roman" w:eastAsia="宋体" w:cs="宋体"/>
          <w:color w:val="auto"/>
          <w:kern w:val="0"/>
          <w:sz w:val="24"/>
          <w:highlight w:val="none"/>
          <w:lang w:bidi="ar"/>
        </w:rPr>
        <w:t xml:space="preserve">仲裁委员会依申请仲裁时其现行有效的仲裁规则裁决； </w:t>
      </w:r>
    </w:p>
    <w:p>
      <w:pPr>
        <w:spacing w:line="360" w:lineRule="auto"/>
        <w:ind w:firstLine="435"/>
        <w:rPr>
          <w:rFonts w:ascii="Times New Roman" w:hAnsi="Times New Roman" w:eastAsia="宋体" w:cs="Times New Roman"/>
          <w:color w:val="auto"/>
          <w:sz w:val="24"/>
          <w:szCs w:val="24"/>
          <w:highlight w:val="none"/>
        </w:rPr>
      </w:pPr>
      <w:r>
        <w:rPr>
          <w:rFonts w:hint="eastAsia" w:ascii="Times New Roman" w:hAnsi="Times New Roman" w:eastAsia="宋体" w:cs="宋体"/>
          <w:color w:val="auto"/>
          <w:kern w:val="0"/>
          <w:sz w:val="24"/>
          <w:highlight w:val="none"/>
          <w:lang w:bidi="ar"/>
        </w:rPr>
        <w:t>2.0.2 向</w:t>
      </w:r>
      <w:r>
        <w:rPr>
          <w:rFonts w:hint="eastAsia" w:ascii="Times New Roman" w:hAnsi="Times New Roman" w:eastAsia="宋体" w:cs="宋体"/>
          <w:color w:val="auto"/>
          <w:kern w:val="0"/>
          <w:sz w:val="24"/>
          <w:highlight w:val="none"/>
          <w:u w:val="single"/>
          <w:lang w:bidi="ar"/>
        </w:rPr>
        <w:t>合肥市蜀山区</w:t>
      </w:r>
      <w:r>
        <w:rPr>
          <w:rFonts w:hint="eastAsia" w:ascii="Times New Roman" w:hAnsi="Times New Roman" w:eastAsia="宋体" w:cs="宋体"/>
          <w:color w:val="auto"/>
          <w:kern w:val="0"/>
          <w:sz w:val="24"/>
          <w:highlight w:val="none"/>
          <w:lang w:bidi="ar"/>
        </w:rPr>
        <w:t xml:space="preserve">人民法院起诉。 </w:t>
      </w:r>
    </w:p>
    <w:p>
      <w:pPr>
        <w:spacing w:line="360" w:lineRule="auto"/>
        <w:ind w:firstLine="437"/>
        <w:outlineLvl w:val="3"/>
        <w:rPr>
          <w:rFonts w:cs="Times New Roman" w:asciiTheme="minorEastAsia" w:hAnsiTheme="minorEastAsia" w:eastAsiaTheme="minorEastAsia"/>
          <w:b/>
          <w:bCs/>
          <w:color w:val="auto"/>
          <w:sz w:val="24"/>
          <w:szCs w:val="24"/>
          <w:highlight w:val="none"/>
          <w:lang w:val="zh-CN"/>
        </w:rPr>
      </w:pPr>
      <w:bookmarkStart w:id="37" w:name="_Toc15322"/>
      <w:bookmarkStart w:id="38" w:name="_Toc7245"/>
      <w:bookmarkStart w:id="39" w:name="_Toc11173"/>
      <w:r>
        <w:rPr>
          <w:rFonts w:hint="eastAsia" w:cs="Times New Roman" w:asciiTheme="minorEastAsia" w:hAnsiTheme="minorEastAsia" w:eastAsiaTheme="minorEastAsia"/>
          <w:b/>
          <w:bCs/>
          <w:color w:val="auto"/>
          <w:sz w:val="24"/>
          <w:szCs w:val="24"/>
          <w:highlight w:val="none"/>
        </w:rPr>
        <w:t>2</w:t>
      </w:r>
      <w:r>
        <w:rPr>
          <w:rFonts w:hint="eastAsia" w:cs="Times New Roman" w:asciiTheme="minorEastAsia" w:hAnsiTheme="minorEastAsia" w:eastAsiaTheme="minorEastAsia"/>
          <w:b/>
          <w:bCs/>
          <w:color w:val="auto"/>
          <w:sz w:val="24"/>
          <w:szCs w:val="24"/>
          <w:highlight w:val="none"/>
          <w:lang w:val="zh-CN"/>
        </w:rPr>
        <w:t>.</w:t>
      </w:r>
      <w:r>
        <w:rPr>
          <w:rFonts w:hint="eastAsia" w:cs="Times New Roman" w:asciiTheme="minorEastAsia" w:hAnsiTheme="minorEastAsia" w:eastAsiaTheme="minorEastAsia"/>
          <w:b/>
          <w:bCs/>
          <w:color w:val="auto"/>
          <w:sz w:val="24"/>
          <w:szCs w:val="24"/>
          <w:highlight w:val="none"/>
        </w:rPr>
        <w:t>1</w:t>
      </w:r>
      <w:r>
        <w:rPr>
          <w:rFonts w:cs="Times New Roman" w:asciiTheme="minorEastAsia" w:hAnsiTheme="minorEastAsia" w:eastAsiaTheme="minorEastAsia"/>
          <w:b/>
          <w:bCs/>
          <w:color w:val="auto"/>
          <w:sz w:val="24"/>
          <w:szCs w:val="24"/>
          <w:highlight w:val="none"/>
          <w:lang w:val="zh-CN"/>
        </w:rPr>
        <w:t xml:space="preserve"> 合同生效</w:t>
      </w:r>
      <w:bookmarkEnd w:id="37"/>
      <w:bookmarkEnd w:id="38"/>
      <w:bookmarkEnd w:id="39"/>
    </w:p>
    <w:p>
      <w:pPr>
        <w:spacing w:line="360" w:lineRule="auto"/>
        <w:ind w:firstLine="435"/>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pPr>
        <w:autoSpaceDE w:val="0"/>
        <w:autoSpaceDN w:val="0"/>
        <w:adjustRightInd w:val="0"/>
        <w:spacing w:line="560" w:lineRule="exact"/>
        <w:rPr>
          <w:rFonts w:cs="Times New Roman" w:asciiTheme="minorEastAsia" w:hAnsiTheme="minorEastAsia" w:eastAsiaTheme="minorEastAsia"/>
          <w:bCs/>
          <w:color w:val="auto"/>
          <w:sz w:val="24"/>
          <w:szCs w:val="24"/>
          <w:highlight w:val="none"/>
          <w:lang w:val="zh-CN"/>
        </w:rPr>
      </w:pPr>
      <w:r>
        <w:rPr>
          <w:rFonts w:hint="eastAsia" w:cs="Times New Roman" w:asciiTheme="minorEastAsia" w:hAnsiTheme="minorEastAsia" w:eastAsiaTheme="minorEastAsia"/>
          <w:bCs/>
          <w:color w:val="auto"/>
          <w:sz w:val="24"/>
          <w:szCs w:val="24"/>
          <w:highlight w:val="none"/>
          <w:lang w:val="zh-CN"/>
        </w:rPr>
        <w:t xml:space="preserve">甲 </w:t>
      </w:r>
      <w:r>
        <w:rPr>
          <w:rFonts w:cs="Times New Roman" w:asciiTheme="minorEastAsia" w:hAnsiTheme="minorEastAsia" w:eastAsiaTheme="minorEastAsia"/>
          <w:bCs/>
          <w:color w:val="auto"/>
          <w:sz w:val="24"/>
          <w:szCs w:val="24"/>
          <w:highlight w:val="none"/>
          <w:lang w:val="zh-CN"/>
        </w:rPr>
        <w:t xml:space="preserve">   </w:t>
      </w:r>
      <w:r>
        <w:rPr>
          <w:rFonts w:hint="eastAsia" w:cs="Times New Roman" w:asciiTheme="minorEastAsia" w:hAnsiTheme="minorEastAsia" w:eastAsiaTheme="minorEastAsia"/>
          <w:bCs/>
          <w:color w:val="auto"/>
          <w:sz w:val="24"/>
          <w:szCs w:val="24"/>
          <w:highlight w:val="none"/>
          <w:lang w:val="zh-CN"/>
        </w:rPr>
        <w:t>方：</w:t>
      </w:r>
      <w:r>
        <w:rPr>
          <w:rFonts w:hint="eastAsia" w:cs="Times New Roman" w:asciiTheme="minorEastAsia" w:hAnsiTheme="minorEastAsia" w:eastAsiaTheme="minorEastAsia"/>
          <w:bCs/>
          <w:color w:val="auto"/>
          <w:sz w:val="24"/>
          <w:szCs w:val="24"/>
          <w:highlight w:val="none"/>
          <w:u w:val="single"/>
          <w:lang w:val="zh-CN"/>
        </w:rPr>
        <w:t xml:space="preserve">    （单位盖章）     </w:t>
      </w:r>
      <w:r>
        <w:rPr>
          <w:rFonts w:hint="eastAsia" w:cs="Times New Roman" w:asciiTheme="minorEastAsia" w:hAnsiTheme="minorEastAsia" w:eastAsiaTheme="minorEastAsia"/>
          <w:bCs/>
          <w:color w:val="auto"/>
          <w:sz w:val="24"/>
          <w:szCs w:val="24"/>
          <w:highlight w:val="none"/>
          <w:lang w:val="zh-CN"/>
        </w:rPr>
        <w:t xml:space="preserve">          乙方：</w:t>
      </w:r>
      <w:r>
        <w:rPr>
          <w:rFonts w:hint="eastAsia" w:cs="Times New Roman" w:asciiTheme="minorEastAsia" w:hAnsiTheme="minorEastAsia" w:eastAsiaTheme="minorEastAsia"/>
          <w:bCs/>
          <w:color w:val="auto"/>
          <w:sz w:val="24"/>
          <w:szCs w:val="24"/>
          <w:highlight w:val="none"/>
          <w:u w:val="single"/>
          <w:lang w:val="zh-CN"/>
        </w:rPr>
        <w:t xml:space="preserve">    （单位盖章）     </w:t>
      </w:r>
    </w:p>
    <w:p>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 xml:space="preserve">法定代表人                             </w:t>
      </w:r>
      <w:r>
        <w:rPr>
          <w:rFonts w:cs="Times New Roman" w:asciiTheme="minorEastAsia" w:hAnsiTheme="minorEastAsia" w:eastAsiaTheme="minorEastAsia"/>
          <w:color w:val="auto"/>
          <w:sz w:val="24"/>
          <w:szCs w:val="24"/>
          <w:highlight w:val="none"/>
          <w:lang w:val="zh-CN"/>
        </w:rPr>
        <w:t xml:space="preserve">  </w:t>
      </w:r>
      <w:r>
        <w:rPr>
          <w:rFonts w:hint="eastAsia" w:cs="Times New Roman" w:asciiTheme="minorEastAsia" w:hAnsiTheme="minorEastAsia" w:eastAsiaTheme="minorEastAsia"/>
          <w:color w:val="auto"/>
          <w:sz w:val="24"/>
          <w:szCs w:val="24"/>
          <w:highlight w:val="none"/>
          <w:lang w:val="zh-CN"/>
        </w:rPr>
        <w:t>法定代表人</w:t>
      </w:r>
    </w:p>
    <w:p>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                      或授权代表（签字）：</w:t>
      </w:r>
    </w:p>
    <w:p>
      <w:pPr>
        <w:widowControl/>
        <w:spacing w:line="560" w:lineRule="exact"/>
        <w:jc w:val="lef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               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w:t>
      </w:r>
    </w:p>
    <w:p>
      <w:pPr>
        <w:widowControl/>
        <w:jc w:val="left"/>
        <w:rPr>
          <w:rFonts w:cs="Times New Roman" w:asciiTheme="minorEastAsia" w:hAnsiTheme="minorEastAsia" w:eastAsiaTheme="minorEastAsia"/>
          <w:b/>
          <w:color w:val="auto"/>
          <w:sz w:val="24"/>
          <w:szCs w:val="24"/>
          <w:highlight w:val="none"/>
        </w:rPr>
      </w:pPr>
      <w:bookmarkStart w:id="40" w:name="_Toc331685783"/>
      <w:r>
        <w:rPr>
          <w:rFonts w:cs="Times New Roman" w:asciiTheme="minorEastAsia" w:hAnsiTheme="minorEastAsia" w:eastAsiaTheme="minorEastAsia"/>
          <w:b/>
          <w:color w:val="auto"/>
          <w:sz w:val="24"/>
          <w:szCs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第二部分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合同一般条款</w:t>
      </w:r>
      <w:bookmarkEnd w:id="40"/>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41" w:name="_Ref467379205"/>
      <w:bookmarkStart w:id="42" w:name="_Ref467378463"/>
      <w:bookmarkStart w:id="43" w:name="_Ref467379101"/>
      <w:bookmarkStart w:id="44" w:name="_Ref467378404"/>
      <w:bookmarkStart w:id="45" w:name="_Ref467379094"/>
      <w:bookmarkStart w:id="46" w:name="_Ref467379109"/>
      <w:bookmarkStart w:id="47" w:name="_Toc279701240"/>
      <w:bookmarkStart w:id="48" w:name="_Toc487900349"/>
      <w:bookmarkStart w:id="49" w:name="_Ref467379214"/>
      <w:bookmarkStart w:id="50" w:name="_Ref467379225"/>
      <w:bookmarkStart w:id="51" w:name="_Ref467378499"/>
      <w:bookmarkStart w:id="52" w:name="_Ref467379195"/>
      <w:bookmarkStart w:id="53" w:name="_Toc28763"/>
      <w:bookmarkStart w:id="54" w:name="_Toc259093669"/>
      <w:bookmarkStart w:id="55" w:name="_Toc16917"/>
      <w:bookmarkStart w:id="56" w:name="_Toc1961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 xml:space="preserve"> 定义</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1.3“货物”系指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根据合同约定应向采购人交付的一切</w:t>
      </w:r>
      <w:r>
        <w:rPr>
          <w:rFonts w:hint="eastAsia" w:cs="Times New Roman" w:asciiTheme="minorEastAsia" w:hAnsiTheme="minorEastAsia" w:eastAsiaTheme="minorEastAsia"/>
          <w:color w:val="auto"/>
          <w:sz w:val="24"/>
          <w:szCs w:val="24"/>
          <w:highlight w:val="none"/>
        </w:rPr>
        <w:t>各种形态和种类的物品，包括原材料、燃料、设备、</w:t>
      </w:r>
      <w:r>
        <w:rPr>
          <w:rFonts w:cs="Times New Roman" w:asciiTheme="minorEastAsia" w:hAnsiTheme="minorEastAsia" w:eastAsiaTheme="minorEastAsia"/>
          <w:color w:val="auto"/>
          <w:sz w:val="24"/>
          <w:szCs w:val="24"/>
          <w:highlight w:val="none"/>
        </w:rPr>
        <w:t>机械、仪表、备件</w:t>
      </w:r>
      <w:r>
        <w:rPr>
          <w:rFonts w:hint="eastAsia" w:cs="Times New Roman" w:asciiTheme="minorEastAsia" w:hAnsiTheme="minorEastAsia" w:eastAsiaTheme="minorEastAsia"/>
          <w:color w:val="auto"/>
          <w:sz w:val="24"/>
          <w:szCs w:val="24"/>
          <w:highlight w:val="none"/>
        </w:rPr>
        <w:t>、计算机软件、产品等</w:t>
      </w:r>
      <w:r>
        <w:rPr>
          <w:rFonts w:cs="Times New Roman" w:asciiTheme="minorEastAsia" w:hAnsiTheme="minorEastAsia" w:eastAsiaTheme="minorEastAsia"/>
          <w:color w:val="auto"/>
          <w:sz w:val="24"/>
          <w:szCs w:val="24"/>
          <w:highlight w:val="none"/>
        </w:rPr>
        <w:t>，并包括工具、手册等其他相关资料。</w:t>
      </w:r>
    </w:p>
    <w:p>
      <w:pPr>
        <w:spacing w:line="360" w:lineRule="auto"/>
        <w:ind w:firstLine="435"/>
        <w:rPr>
          <w:rFonts w:cs="Times New Roman" w:asciiTheme="minorEastAsia" w:hAnsiTheme="minorEastAsia" w:eastAsiaTheme="minorEastAsia"/>
          <w:color w:val="auto"/>
          <w:sz w:val="24"/>
          <w:szCs w:val="24"/>
          <w:highlight w:val="none"/>
        </w:rPr>
      </w:pPr>
      <w:bookmarkStart w:id="57"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57"/>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pPr>
        <w:spacing w:line="360" w:lineRule="auto"/>
        <w:ind w:firstLine="435"/>
        <w:rPr>
          <w:rFonts w:cs="Times New Roman" w:asciiTheme="minorEastAsia" w:hAnsiTheme="minorEastAsia" w:eastAsiaTheme="minorEastAsia"/>
          <w:color w:val="auto"/>
          <w:sz w:val="24"/>
          <w:szCs w:val="24"/>
          <w:highlight w:val="none"/>
        </w:rPr>
      </w:pPr>
      <w:bookmarkStart w:id="58"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“乙方”系指根据合同约定交付货物的中标人</w:t>
      </w:r>
      <w:bookmarkEnd w:id="58"/>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35"/>
        <w:rPr>
          <w:rFonts w:cs="Times New Roman" w:asciiTheme="minorEastAsia" w:hAnsiTheme="minorEastAsia" w:eastAsiaTheme="minorEastAsia"/>
          <w:color w:val="auto"/>
          <w:sz w:val="24"/>
          <w:szCs w:val="24"/>
          <w:highlight w:val="none"/>
        </w:rPr>
      </w:pPr>
      <w:bookmarkStart w:id="59"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“现场”系指合同约定货物将要运至</w:t>
      </w:r>
      <w:r>
        <w:rPr>
          <w:rFonts w:hint="eastAsia" w:cs="Times New Roman" w:asciiTheme="minorEastAsia" w:hAnsiTheme="minorEastAsia" w:eastAsiaTheme="minorEastAsia"/>
          <w:color w:val="auto"/>
          <w:sz w:val="24"/>
          <w:szCs w:val="24"/>
          <w:highlight w:val="none"/>
        </w:rPr>
        <w:t>或者</w:t>
      </w:r>
      <w:r>
        <w:rPr>
          <w:rFonts w:cs="Times New Roman" w:asciiTheme="minorEastAsia" w:hAnsiTheme="minorEastAsia" w:eastAsiaTheme="minorEastAsia"/>
          <w:color w:val="auto"/>
          <w:sz w:val="24"/>
          <w:szCs w:val="24"/>
          <w:highlight w:val="none"/>
        </w:rPr>
        <w:t>安装的地点。</w:t>
      </w:r>
      <w:bookmarkEnd w:id="59"/>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0" w:name="_Toc279701241"/>
      <w:bookmarkStart w:id="61" w:name="_Toc259093670"/>
      <w:bookmarkStart w:id="62" w:name="_Toc13336"/>
      <w:bookmarkStart w:id="63" w:name="_Toc487900350"/>
      <w:bookmarkStart w:id="64" w:name="_Toc32504"/>
      <w:bookmarkStart w:id="65" w:name="_Toc2763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 技术规范</w:t>
      </w:r>
      <w:bookmarkEnd w:id="60"/>
      <w:bookmarkEnd w:id="61"/>
      <w:bookmarkEnd w:id="62"/>
      <w:bookmarkEnd w:id="63"/>
      <w:bookmarkEnd w:id="64"/>
      <w:bookmarkEnd w:id="65"/>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6" w:name="_Toc279701242"/>
      <w:bookmarkStart w:id="67" w:name="_Toc27853"/>
      <w:bookmarkStart w:id="68" w:name="_Toc487900351"/>
      <w:bookmarkStart w:id="69" w:name="_Toc259093671"/>
      <w:bookmarkStart w:id="70" w:name="_Toc9829"/>
      <w:bookmarkStart w:id="71" w:name="_Toc3163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 知识产权</w:t>
      </w:r>
      <w:bookmarkEnd w:id="66"/>
      <w:bookmarkEnd w:id="67"/>
      <w:bookmarkEnd w:id="68"/>
      <w:bookmarkEnd w:id="69"/>
      <w:bookmarkEnd w:id="70"/>
      <w:bookmarkEnd w:id="71"/>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方应保证甲方在使用该货物或其任何一部分时不受任何第三方提出的侵犯其著作权、商标权、专利权等知识产权方面的起诉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color w:val="auto"/>
          <w:sz w:val="24"/>
          <w:szCs w:val="24"/>
          <w:highlight w:val="none"/>
        </w:rPr>
      </w:pPr>
      <w:bookmarkStart w:id="72" w:name="_Toc29149"/>
      <w:bookmarkStart w:id="73" w:name="_Toc4194"/>
      <w:bookmarkStart w:id="74" w:name="_Toc11932"/>
      <w:r>
        <w:rPr>
          <w:rFonts w:hint="eastAsia" w:cs="Times New Roman" w:asciiTheme="minorEastAsia" w:hAnsiTheme="minorEastAsia" w:eastAsiaTheme="minorEastAsia"/>
          <w:b/>
          <w:bCs/>
          <w:color w:val="auto"/>
          <w:sz w:val="24"/>
          <w:szCs w:val="24"/>
          <w:highlight w:val="none"/>
          <w:lang w:val="zh-CN"/>
        </w:rPr>
        <w:t>2.4</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包装和装运</w:t>
      </w:r>
      <w:bookmarkEnd w:id="72"/>
      <w:bookmarkEnd w:id="73"/>
      <w:bookmarkEnd w:id="74"/>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2.4.1除</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color w:val="auto"/>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2.4.2装运货物的要求和通知，详见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5" w:name="_Ref467378591"/>
      <w:bookmarkStart w:id="76" w:name="_Ref467379527"/>
      <w:bookmarkStart w:id="77" w:name="_Toc279701245"/>
      <w:bookmarkStart w:id="78" w:name="_Toc487900354"/>
      <w:bookmarkStart w:id="79" w:name="_Toc259093674"/>
      <w:bookmarkStart w:id="80" w:name="_Ref467378541"/>
      <w:bookmarkStart w:id="81" w:name="_Ref467379536"/>
      <w:bookmarkStart w:id="82" w:name="_Ref467379542"/>
      <w:bookmarkStart w:id="83" w:name="_Toc30272"/>
      <w:bookmarkStart w:id="84" w:name="_Toc19074"/>
      <w:bookmarkStart w:id="85" w:name="_Toc26182"/>
      <w:r>
        <w:rPr>
          <w:rFonts w:hint="eastAsia" w:cs="Times New Roman" w:asciiTheme="minorEastAsia" w:hAnsiTheme="minorEastAsia" w:eastAsiaTheme="minorEastAsia"/>
          <w:b/>
          <w:bCs/>
          <w:color w:val="auto"/>
          <w:sz w:val="24"/>
          <w:szCs w:val="24"/>
          <w:highlight w:val="none"/>
          <w:lang w:val="zh-CN"/>
        </w:rPr>
        <w:t>2.</w:t>
      </w:r>
      <w:bookmarkEnd w:id="75"/>
      <w:bookmarkEnd w:id="76"/>
      <w:bookmarkEnd w:id="77"/>
      <w:bookmarkEnd w:id="78"/>
      <w:bookmarkEnd w:id="79"/>
      <w:bookmarkEnd w:id="80"/>
      <w:bookmarkEnd w:id="81"/>
      <w:bookmarkEnd w:id="82"/>
      <w:r>
        <w:rPr>
          <w:rFonts w:hint="eastAsia" w:cs="Times New Roman" w:asciiTheme="minorEastAsia" w:hAnsiTheme="minorEastAsia" w:eastAsiaTheme="minorEastAsia"/>
          <w:b/>
          <w:bCs/>
          <w:color w:val="auto"/>
          <w:sz w:val="24"/>
          <w:szCs w:val="24"/>
          <w:highlight w:val="none"/>
          <w:lang w:val="zh-CN"/>
        </w:rPr>
        <w:t>5</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履约检查和问题反馈</w:t>
      </w:r>
      <w:bookmarkEnd w:id="83"/>
      <w:bookmarkEnd w:id="84"/>
      <w:bookmarkEnd w:id="85"/>
    </w:p>
    <w:p>
      <w:pPr>
        <w:spacing w:line="360" w:lineRule="auto"/>
        <w:ind w:firstLine="435"/>
        <w:rPr>
          <w:rFonts w:cs="Times New Roman" w:asciiTheme="minorEastAsia" w:hAnsiTheme="minorEastAsia" w:eastAsiaTheme="minorEastAsia"/>
          <w:color w:val="auto"/>
          <w:sz w:val="24"/>
          <w:szCs w:val="24"/>
          <w:highlight w:val="none"/>
        </w:rPr>
      </w:pPr>
      <w:bookmarkStart w:id="86" w:name="_Ref467379657"/>
      <w:r>
        <w:rPr>
          <w:rFonts w:hint="eastAsia" w:cs="Times New Roman" w:asciiTheme="minorEastAsia" w:hAnsiTheme="minorEastAsia" w:eastAsiaTheme="minorEastAsia"/>
          <w:color w:val="auto"/>
          <w:sz w:val="24"/>
          <w:szCs w:val="24"/>
          <w:highlight w:val="none"/>
        </w:rPr>
        <w:t>2.5</w:t>
      </w:r>
      <w:r>
        <w:rPr>
          <w:rFonts w:cs="Times New Roman" w:asciiTheme="minorEastAsia" w:hAnsiTheme="minorEastAsia" w:eastAsiaTheme="minorEastAsia"/>
          <w:color w:val="auto"/>
          <w:sz w:val="24"/>
          <w:szCs w:val="24"/>
          <w:highlight w:val="none"/>
        </w:rPr>
        <w:t>.1</w:t>
      </w:r>
      <w:bookmarkEnd w:id="86"/>
      <w:bookmarkStart w:id="87" w:name="_Toc186431854"/>
      <w:bookmarkStart w:id="88" w:name="_Ref467379793"/>
      <w:bookmarkStart w:id="89" w:name="_Toc259093676"/>
      <w:bookmarkStart w:id="90" w:name="_Ref467379807"/>
      <w:bookmarkStart w:id="91" w:name="_Toc279701247"/>
      <w:bookmarkStart w:id="92" w:name="_Toc487900357"/>
      <w:r>
        <w:rPr>
          <w:rFonts w:cs="Times New Roman" w:asciiTheme="minorEastAsia" w:hAnsiTheme="minorEastAsia" w:eastAsiaTheme="minorEastAsia"/>
          <w:color w:val="auto"/>
          <w:sz w:val="24"/>
          <w:szCs w:val="24"/>
          <w:highlight w:val="none"/>
        </w:rPr>
        <w:t>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，对乙方是否能够按照合同约定交付货物进行履约检查，以确保乙方所交付的货物能够依约满足甲方项目需求，但不得因履约检查妨碍乙方的正常工作，乙方应予积极配合；</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2.5.2合同履行期间，甲方有权将履行过程中出现的问题反馈给乙方，双方当事人应以书面形式约定需要完善和改进的内容</w:t>
      </w:r>
      <w:bookmarkEnd w:id="87"/>
      <w:bookmarkStart w:id="93" w:name="_Toc186431855"/>
      <w:r>
        <w:rPr>
          <w:rFonts w:hint="eastAsia" w:cs="Times New Roman" w:asciiTheme="minorEastAsia" w:hAnsiTheme="minorEastAsia" w:eastAsiaTheme="minorEastAsia"/>
          <w:color w:val="auto"/>
          <w:sz w:val="24"/>
          <w:szCs w:val="24"/>
          <w:highlight w:val="none"/>
        </w:rPr>
        <w:t>。</w:t>
      </w:r>
    </w:p>
    <w:bookmarkEnd w:id="93"/>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4" w:name="_Toc19219"/>
      <w:bookmarkStart w:id="95" w:name="_Toc28451"/>
      <w:bookmarkStart w:id="96" w:name="_Toc7836"/>
      <w:r>
        <w:rPr>
          <w:rFonts w:hint="eastAsia" w:cs="Times New Roman" w:asciiTheme="minorEastAsia" w:hAnsiTheme="minorEastAsia" w:eastAsiaTheme="minorEastAsia"/>
          <w:b/>
          <w:bCs/>
          <w:color w:val="auto"/>
          <w:sz w:val="24"/>
          <w:szCs w:val="24"/>
          <w:highlight w:val="none"/>
          <w:lang w:val="zh-CN"/>
        </w:rPr>
        <w:t xml:space="preserve">2.6 </w:t>
      </w:r>
      <w:r>
        <w:rPr>
          <w:rFonts w:cs="Times New Roman" w:asciiTheme="minorEastAsia" w:hAnsiTheme="minorEastAsia" w:eastAsiaTheme="minorEastAsia"/>
          <w:b/>
          <w:bCs/>
          <w:color w:val="auto"/>
          <w:sz w:val="24"/>
          <w:szCs w:val="24"/>
          <w:highlight w:val="none"/>
          <w:lang w:val="zh-CN"/>
        </w:rPr>
        <w:t>结算方式和付款条件</w:t>
      </w:r>
      <w:bookmarkEnd w:id="88"/>
      <w:bookmarkEnd w:id="89"/>
      <w:bookmarkEnd w:id="90"/>
      <w:bookmarkEnd w:id="91"/>
      <w:bookmarkEnd w:id="92"/>
      <w:bookmarkEnd w:id="94"/>
      <w:bookmarkEnd w:id="95"/>
      <w:bookmarkEnd w:id="96"/>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7" w:name="_Toc259093677"/>
      <w:bookmarkStart w:id="98" w:name="_Toc487900358"/>
      <w:bookmarkStart w:id="99" w:name="_Ref467379923"/>
      <w:bookmarkStart w:id="100" w:name="_Ref467379852"/>
      <w:bookmarkStart w:id="101" w:name="_Toc279701248"/>
      <w:bookmarkStart w:id="102" w:name="_Ref467379863"/>
      <w:bookmarkStart w:id="103" w:name="_Toc16110"/>
      <w:bookmarkStart w:id="104" w:name="_Toc3225"/>
      <w:bookmarkStart w:id="105" w:name="_Toc774"/>
      <w:r>
        <w:rPr>
          <w:rFonts w:hint="eastAsia" w:cs="Times New Roman" w:asciiTheme="minorEastAsia" w:hAnsiTheme="minorEastAsia" w:eastAsiaTheme="minorEastAsia"/>
          <w:b/>
          <w:bCs/>
          <w:color w:val="auto"/>
          <w:sz w:val="24"/>
          <w:szCs w:val="24"/>
          <w:highlight w:val="none"/>
          <w:lang w:val="zh-CN"/>
        </w:rPr>
        <w:t xml:space="preserve">2.7 </w:t>
      </w:r>
      <w:r>
        <w:rPr>
          <w:rFonts w:cs="Times New Roman" w:asciiTheme="minorEastAsia" w:hAnsiTheme="minorEastAsia" w:eastAsiaTheme="minorEastAsia"/>
          <w:b/>
          <w:bCs/>
          <w:color w:val="auto"/>
          <w:sz w:val="24"/>
          <w:szCs w:val="24"/>
          <w:highlight w:val="none"/>
          <w:lang w:val="zh-CN"/>
        </w:rPr>
        <w:t>技术资料</w:t>
      </w:r>
      <w:bookmarkEnd w:id="97"/>
      <w:bookmarkEnd w:id="98"/>
      <w:bookmarkEnd w:id="99"/>
      <w:bookmarkEnd w:id="100"/>
      <w:bookmarkEnd w:id="101"/>
      <w:bookmarkEnd w:id="102"/>
      <w:r>
        <w:rPr>
          <w:rFonts w:cs="Times New Roman" w:asciiTheme="minorEastAsia" w:hAnsiTheme="minorEastAsia" w:eastAsiaTheme="minorEastAsia"/>
          <w:b/>
          <w:bCs/>
          <w:color w:val="auto"/>
          <w:sz w:val="24"/>
          <w:szCs w:val="24"/>
          <w:highlight w:val="none"/>
          <w:lang w:val="zh-CN"/>
        </w:rPr>
        <w:t>和保密义务</w:t>
      </w:r>
      <w:bookmarkEnd w:id="103"/>
      <w:bookmarkEnd w:id="104"/>
      <w:bookmarkEnd w:id="105"/>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2.7</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2.7.2乙方有义务妥善保管和保护由甲方提供的前款信息和资料等；</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2.7</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6" w:name="_Toc7860"/>
      <w:r>
        <w:rPr>
          <w:rFonts w:cs="Times New Roman" w:asciiTheme="minorEastAsia" w:hAnsiTheme="minorEastAsia" w:eastAsiaTheme="minorEastAsia"/>
          <w:b/>
          <w:bCs/>
          <w:color w:val="auto"/>
          <w:sz w:val="24"/>
          <w:szCs w:val="24"/>
          <w:highlight w:val="none"/>
          <w:lang w:val="zh-CN"/>
        </w:rPr>
        <w:t>2.8 质量保证</w:t>
      </w:r>
      <w:bookmarkEnd w:id="106"/>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2.8.1乙方应建立和完善履行合同的内部质量保证体系，并提供相关内部规章制度给甲方，以便甲方进行监督检查；</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2.8.2乙方应保证履行合同的人员数量和素质、软件和硬件设备的配置、场地、环境和设施等满足全面履行合同的要求，并应接受甲方的监督检查。</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7" w:name="_Toc17244"/>
      <w:bookmarkStart w:id="108" w:name="_Toc259093681"/>
      <w:bookmarkStart w:id="109" w:name="_Toc487900362"/>
      <w:bookmarkStart w:id="110" w:name="_Toc279701252"/>
      <w:r>
        <w:rPr>
          <w:rFonts w:cs="Times New Roman" w:asciiTheme="minorEastAsia" w:hAnsiTheme="minorEastAsia" w:eastAsiaTheme="minorEastAsia"/>
          <w:b/>
          <w:bCs/>
          <w:color w:val="auto"/>
          <w:sz w:val="24"/>
          <w:szCs w:val="24"/>
          <w:highlight w:val="none"/>
          <w:lang w:val="zh-CN"/>
        </w:rPr>
        <w:t>2.9 货物的风险负担</w:t>
      </w:r>
      <w:bookmarkEnd w:id="107"/>
    </w:p>
    <w:p>
      <w:pPr>
        <w:spacing w:line="360" w:lineRule="auto"/>
        <w:ind w:firstLine="435"/>
        <w:rPr>
          <w:rFonts w:cs="Times New Roman" w:asciiTheme="minorEastAsia" w:hAnsiTheme="minorEastAsia" w:eastAsiaTheme="minorEastAsia"/>
          <w:b/>
          <w:color w:val="auto"/>
          <w:sz w:val="24"/>
          <w:szCs w:val="24"/>
          <w:highlight w:val="none"/>
        </w:rPr>
      </w:pPr>
      <w:r>
        <w:rPr>
          <w:rFonts w:hint="eastAsia" w:cs="Times New Roman" w:asciiTheme="minorEastAsia" w:hAnsiTheme="minorEastAsia" w:eastAsiaTheme="minorEastAsia"/>
          <w:color w:val="auto"/>
          <w:sz w:val="24"/>
          <w:szCs w:val="24"/>
          <w:highlight w:val="none"/>
        </w:rPr>
        <w:t>货物或者在途货物或者交付给第一承运人后的货物毁损、灭失的风险负担</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1" w:name="_Toc14055"/>
      <w:r>
        <w:rPr>
          <w:rFonts w:cs="Times New Roman" w:asciiTheme="minorEastAsia" w:hAnsiTheme="minorEastAsia" w:eastAsiaTheme="minorEastAsia"/>
          <w:b/>
          <w:bCs/>
          <w:color w:val="auto"/>
          <w:sz w:val="24"/>
          <w:szCs w:val="24"/>
          <w:highlight w:val="none"/>
          <w:lang w:val="zh-CN"/>
        </w:rPr>
        <w:t>2.10 延迟交货</w:t>
      </w:r>
      <w:bookmarkEnd w:id="108"/>
      <w:bookmarkEnd w:id="109"/>
      <w:bookmarkEnd w:id="110"/>
      <w:bookmarkEnd w:id="111"/>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在合同履行过程中，如果乙方遇到不能按时交付货物的情况，应及时以书面形式将不能按时</w:t>
      </w:r>
      <w:r>
        <w:rPr>
          <w:rFonts w:hint="eastAsia" w:cs="Times New Roman" w:asciiTheme="minorEastAsia" w:hAnsiTheme="minorEastAsia" w:eastAsiaTheme="minorEastAsia"/>
          <w:color w:val="auto"/>
          <w:sz w:val="24"/>
          <w:szCs w:val="24"/>
          <w:highlight w:val="none"/>
        </w:rPr>
        <w:t>交付货物</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方收到乙方通知后，认为其理由正当的，可以书面形式酌情同意乙方可以延长交货的具体时间。</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2" w:name="_Toc7502"/>
      <w:bookmarkStart w:id="113" w:name="_Toc259093683"/>
      <w:bookmarkStart w:id="114" w:name="_Toc279701254"/>
      <w:bookmarkStart w:id="115" w:name="_Ref467378121"/>
      <w:bookmarkStart w:id="116" w:name="_Toc487900364"/>
      <w:r>
        <w:rPr>
          <w:rFonts w:cs="Times New Roman" w:asciiTheme="minorEastAsia" w:hAnsiTheme="minorEastAsia" w:eastAsiaTheme="minorEastAsia"/>
          <w:b/>
          <w:bCs/>
          <w:color w:val="auto"/>
          <w:sz w:val="24"/>
          <w:szCs w:val="24"/>
          <w:highlight w:val="none"/>
          <w:lang w:val="zh-CN"/>
        </w:rPr>
        <w:t>2.11 合同变更</w:t>
      </w:r>
      <w:bookmarkEnd w:id="112"/>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2.11.1双方当事人协商一致，可以签订书面补充合同的形式变更合同，但不得违背采购文件确定的事项；</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2.11.2合同继续履行将损害国家利益和社会公共利益的，双方当事人应当以书面形式变更合同。有过错的一方应当承担赔偿责任，双方当事人都有过错的，各自承担相应的责任。</w:t>
      </w:r>
      <w:bookmarkStart w:id="117" w:name="_Toc279701259"/>
      <w:bookmarkStart w:id="118" w:name="_Toc259093688"/>
      <w:bookmarkStart w:id="119" w:name="_Toc487900369"/>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0" w:name="_Toc22955"/>
      <w:bookmarkStart w:id="121" w:name="_Toc15237"/>
      <w:bookmarkStart w:id="122" w:name="_Toc10366"/>
      <w:r>
        <w:rPr>
          <w:rFonts w:hint="eastAsia" w:cs="Times New Roman" w:asciiTheme="minorEastAsia" w:hAnsiTheme="minorEastAsia" w:eastAsiaTheme="minorEastAsia"/>
          <w:b/>
          <w:bCs/>
          <w:color w:val="auto"/>
          <w:sz w:val="24"/>
          <w:szCs w:val="24"/>
          <w:highlight w:val="none"/>
          <w:lang w:val="zh-CN"/>
        </w:rPr>
        <w:t xml:space="preserve">2.12 </w:t>
      </w:r>
      <w:r>
        <w:rPr>
          <w:rFonts w:cs="Times New Roman" w:asciiTheme="minorEastAsia" w:hAnsiTheme="minorEastAsia" w:eastAsiaTheme="minorEastAsia"/>
          <w:b/>
          <w:bCs/>
          <w:color w:val="auto"/>
          <w:sz w:val="24"/>
          <w:szCs w:val="24"/>
          <w:highlight w:val="none"/>
          <w:lang w:val="zh-CN"/>
        </w:rPr>
        <w:t>合同转让</w:t>
      </w:r>
      <w:bookmarkEnd w:id="117"/>
      <w:bookmarkEnd w:id="118"/>
      <w:bookmarkEnd w:id="119"/>
      <w:r>
        <w:rPr>
          <w:rFonts w:cs="Times New Roman" w:asciiTheme="minorEastAsia" w:hAnsiTheme="minorEastAsia" w:eastAsiaTheme="minorEastAsia"/>
          <w:b/>
          <w:bCs/>
          <w:color w:val="auto"/>
          <w:sz w:val="24"/>
          <w:szCs w:val="24"/>
          <w:highlight w:val="none"/>
          <w:lang w:val="zh-CN"/>
        </w:rPr>
        <w:t>和分包</w:t>
      </w:r>
      <w:bookmarkEnd w:id="120"/>
      <w:bookmarkEnd w:id="121"/>
      <w:bookmarkEnd w:id="122"/>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3" w:name="_Toc14066"/>
      <w:bookmarkStart w:id="124" w:name="_Toc16508"/>
      <w:bookmarkStart w:id="125" w:name="_Toc13566"/>
      <w:r>
        <w:rPr>
          <w:rFonts w:hint="eastAsia" w:cs="Times New Roman" w:asciiTheme="minorEastAsia" w:hAnsiTheme="minorEastAsia" w:eastAsiaTheme="minorEastAsia"/>
          <w:b/>
          <w:bCs/>
          <w:color w:val="auto"/>
          <w:sz w:val="24"/>
          <w:szCs w:val="24"/>
          <w:highlight w:val="none"/>
          <w:lang w:val="zh-CN"/>
        </w:rPr>
        <w:t>2.13</w:t>
      </w:r>
      <w:r>
        <w:rPr>
          <w:rFonts w:cs="Times New Roman" w:asciiTheme="minorEastAsia" w:hAnsiTheme="minorEastAsia" w:eastAsiaTheme="minorEastAsia"/>
          <w:b/>
          <w:bCs/>
          <w:color w:val="auto"/>
          <w:sz w:val="24"/>
          <w:szCs w:val="24"/>
          <w:highlight w:val="none"/>
          <w:lang w:val="zh-CN"/>
        </w:rPr>
        <w:t xml:space="preserve"> 不可抗力</w:t>
      </w:r>
      <w:bookmarkEnd w:id="123"/>
      <w:bookmarkEnd w:id="124"/>
      <w:bookmarkEnd w:id="125"/>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2.13</w:t>
      </w:r>
      <w:r>
        <w:rPr>
          <w:rFonts w:cs="Times New Roman" w:asciiTheme="minorEastAsia" w:hAnsiTheme="minorEastAsia" w:eastAsiaTheme="minorEastAsia"/>
          <w:color w:val="auto"/>
          <w:sz w:val="24"/>
          <w:szCs w:val="24"/>
          <w:highlight w:val="none"/>
        </w:rPr>
        <w:t>.1如果任何一方遭遇法律规定的不可抗力，致使合同履行受阻时，履行合同的期限应予延长，延长的期限应相当于不可抗力所影响的时间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2.13.2因不可抗力致使不能实现合同目的的，当事人可以解除合同；</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2.13.3因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2.13</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6" w:name="_Toc689"/>
      <w:bookmarkStart w:id="127" w:name="_Toc30676"/>
      <w:bookmarkStart w:id="128" w:name="_Toc487900365"/>
      <w:bookmarkStart w:id="129" w:name="_Toc259093684"/>
      <w:bookmarkStart w:id="130" w:name="_Toc279701255"/>
      <w:bookmarkStart w:id="131" w:name="_Toc696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w:t>
      </w:r>
      <w:r>
        <w:rPr>
          <w:rFonts w:hint="eastAsia" w:cs="Times New Roman" w:asciiTheme="minorEastAsia" w:hAnsiTheme="minorEastAsia" w:eastAsiaTheme="minorEastAsia"/>
          <w:b/>
          <w:bCs/>
          <w:color w:val="auto"/>
          <w:sz w:val="24"/>
          <w:szCs w:val="24"/>
          <w:highlight w:val="none"/>
          <w:lang w:val="zh-CN"/>
        </w:rPr>
        <w:t xml:space="preserve">4 </w:t>
      </w:r>
      <w:r>
        <w:rPr>
          <w:rFonts w:cs="Times New Roman" w:asciiTheme="minorEastAsia" w:hAnsiTheme="minorEastAsia" w:eastAsiaTheme="minorEastAsia"/>
          <w:b/>
          <w:bCs/>
          <w:color w:val="auto"/>
          <w:sz w:val="24"/>
          <w:szCs w:val="24"/>
          <w:highlight w:val="none"/>
          <w:lang w:val="zh-CN"/>
        </w:rPr>
        <w:t>税费</w:t>
      </w:r>
      <w:bookmarkEnd w:id="126"/>
      <w:bookmarkEnd w:id="127"/>
      <w:bookmarkEnd w:id="128"/>
      <w:bookmarkEnd w:id="129"/>
      <w:bookmarkEnd w:id="130"/>
      <w:bookmarkEnd w:id="131"/>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8298"/>
      <w:bookmarkStart w:id="133" w:name="_Toc7102"/>
      <w:bookmarkStart w:id="134" w:name="_Toc16959"/>
      <w:bookmarkStart w:id="135" w:name="_Toc259093687"/>
      <w:bookmarkStart w:id="136" w:name="_Toc487900368"/>
      <w:bookmarkStart w:id="137" w:name="_Toc279701258"/>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w:t>
      </w:r>
      <w:r>
        <w:rPr>
          <w:rFonts w:hint="eastAsia" w:cs="Times New Roman" w:asciiTheme="minorEastAsia" w:hAnsiTheme="minorEastAsia" w:eastAsiaTheme="minorEastAsia"/>
          <w:b/>
          <w:bCs/>
          <w:color w:val="auto"/>
          <w:sz w:val="24"/>
          <w:szCs w:val="24"/>
          <w:highlight w:val="none"/>
          <w:lang w:val="zh-CN"/>
        </w:rPr>
        <w:t xml:space="preserve">5 </w:t>
      </w:r>
      <w:r>
        <w:rPr>
          <w:rFonts w:cs="Times New Roman" w:asciiTheme="minorEastAsia" w:hAnsiTheme="minorEastAsia" w:eastAsiaTheme="minorEastAsia"/>
          <w:b/>
          <w:bCs/>
          <w:color w:val="auto"/>
          <w:sz w:val="24"/>
          <w:szCs w:val="24"/>
          <w:highlight w:val="none"/>
          <w:lang w:val="zh-CN"/>
        </w:rPr>
        <w:t>乙方破产</w:t>
      </w:r>
      <w:bookmarkEnd w:id="132"/>
      <w:bookmarkEnd w:id="133"/>
      <w:bookmarkEnd w:id="134"/>
      <w:bookmarkEnd w:id="135"/>
      <w:bookmarkEnd w:id="136"/>
      <w:bookmarkEnd w:id="137"/>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pPr>
        <w:spacing w:line="360" w:lineRule="auto"/>
        <w:ind w:firstLine="437"/>
        <w:outlineLvl w:val="2"/>
        <w:rPr>
          <w:rFonts w:cs="Times New Roman" w:asciiTheme="minorEastAsia" w:hAnsiTheme="minorEastAsia" w:eastAsiaTheme="minorEastAsia"/>
          <w:b/>
          <w:color w:val="auto"/>
          <w:sz w:val="24"/>
          <w:szCs w:val="24"/>
          <w:highlight w:val="none"/>
        </w:rPr>
      </w:pPr>
      <w:bookmarkStart w:id="138" w:name="_Toc15387"/>
      <w:bookmarkStart w:id="139" w:name="_Toc6134"/>
      <w:bookmarkStart w:id="140" w:name="_Toc29333"/>
      <w:r>
        <w:rPr>
          <w:rFonts w:hint="eastAsia" w:cs="Times New Roman" w:asciiTheme="minorEastAsia" w:hAnsiTheme="minorEastAsia" w:eastAsiaTheme="minorEastAsia"/>
          <w:b/>
          <w:bCs/>
          <w:color w:val="auto"/>
          <w:sz w:val="24"/>
          <w:szCs w:val="24"/>
          <w:highlight w:val="none"/>
          <w:lang w:val="zh-CN"/>
        </w:rPr>
        <w:t>2.16 合同中止、终止</w:t>
      </w:r>
      <w:bookmarkEnd w:id="138"/>
      <w:bookmarkEnd w:id="139"/>
      <w:bookmarkEnd w:id="140"/>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2.16.1双方当事人不得擅自中止或者终止合同；</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2.16.2合同继续履行将损害国家利益和社会公共利益的，双方当事人应当中止或者终止合同。有过错的一方应当承担赔偿责任，双方当事人都有过错的，各自承担相应的责任。</w:t>
      </w:r>
    </w:p>
    <w:p>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1" w:name="_Toc6596"/>
      <w:bookmarkStart w:id="142" w:name="_Toc1125"/>
      <w:bookmarkStart w:id="143" w:name="_Toc14563"/>
      <w:r>
        <w:rPr>
          <w:rFonts w:hint="eastAsia" w:cs="Times New Roman" w:asciiTheme="minorEastAsia" w:hAnsiTheme="minorEastAsia" w:eastAsiaTheme="minorEastAsia"/>
          <w:b/>
          <w:bCs/>
          <w:color w:val="auto"/>
          <w:sz w:val="24"/>
          <w:szCs w:val="24"/>
          <w:highlight w:val="none"/>
          <w:lang w:val="zh-CN"/>
        </w:rPr>
        <w:t>2.17 检验和验收</w:t>
      </w:r>
      <w:bookmarkEnd w:id="141"/>
      <w:bookmarkEnd w:id="142"/>
      <w:bookmarkEnd w:id="143"/>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7</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1货物交付前，乙方应对货物的质量、数量等方面进行详细、全面的检验，并向甲方出具证明货物符合合同约定的文件；货物交付时，乙方在</w:t>
      </w:r>
      <w:r>
        <w:rPr>
          <w:rFonts w:hint="eastAsia"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color w:val="auto"/>
          <w:sz w:val="24"/>
          <w:szCs w:val="24"/>
          <w:highlight w:val="none"/>
        </w:rPr>
        <w:t>约定时间内组织验收，并可依法邀请相关方参加，验收应出具验收书。</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2.17.3检验和验收标准、程序等具体内容以及前述验收书的效力详见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13"/>
    <w:bookmarkEnd w:id="114"/>
    <w:bookmarkEnd w:id="115"/>
    <w:bookmarkEnd w:id="116"/>
    <w:p>
      <w:pPr>
        <w:spacing w:line="360" w:lineRule="auto"/>
        <w:ind w:firstLine="437"/>
        <w:outlineLvl w:val="2"/>
        <w:rPr>
          <w:rFonts w:cs="Times New Roman" w:asciiTheme="minorEastAsia" w:hAnsiTheme="minorEastAsia" w:eastAsiaTheme="minorEastAsia"/>
          <w:b/>
          <w:color w:val="auto"/>
          <w:sz w:val="24"/>
          <w:szCs w:val="24"/>
          <w:highlight w:val="none"/>
        </w:rPr>
      </w:pPr>
      <w:bookmarkStart w:id="144" w:name="_Toc487900372"/>
      <w:bookmarkStart w:id="145" w:name="_Toc259093691"/>
      <w:bookmarkStart w:id="146" w:name="_Toc30599"/>
      <w:bookmarkStart w:id="147" w:name="_Toc4355"/>
      <w:bookmarkStart w:id="148" w:name="_Toc18540"/>
      <w:bookmarkStart w:id="149" w:name="_Toc279701262"/>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8</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计量单位</w:t>
      </w:r>
      <w:bookmarkEnd w:id="144"/>
      <w:bookmarkEnd w:id="145"/>
      <w:bookmarkEnd w:id="146"/>
      <w:bookmarkEnd w:id="147"/>
      <w:bookmarkEnd w:id="148"/>
      <w:bookmarkEnd w:id="149"/>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除技术规范中另有规定外,合同的计量单位均使用国家法定计量单位。</w:t>
      </w:r>
    </w:p>
    <w:p>
      <w:pPr>
        <w:spacing w:line="360" w:lineRule="auto"/>
        <w:ind w:firstLine="437"/>
        <w:outlineLvl w:val="2"/>
        <w:rPr>
          <w:rFonts w:cs="Times New Roman" w:asciiTheme="minorEastAsia" w:hAnsiTheme="minorEastAsia" w:eastAsiaTheme="minorEastAsia"/>
          <w:b/>
          <w:bCs/>
          <w:color w:val="auto"/>
          <w:sz w:val="24"/>
          <w:szCs w:val="24"/>
          <w:highlight w:val="none"/>
        </w:rPr>
      </w:pPr>
      <w:bookmarkStart w:id="150" w:name="_Toc12773"/>
      <w:bookmarkStart w:id="151" w:name="_Toc279701263"/>
      <w:bookmarkStart w:id="152" w:name="_Toc10330"/>
      <w:bookmarkStart w:id="153" w:name="_Toc18567"/>
      <w:bookmarkStart w:id="154" w:name="_Toc487900373"/>
      <w:bookmarkStart w:id="155" w:name="_Toc259093692"/>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19</w:t>
      </w:r>
      <w:r>
        <w:rPr>
          <w:rFonts w:hint="eastAsia" w:cs="Times New Roman" w:asciiTheme="minorEastAsia" w:hAnsiTheme="minorEastAsia" w:eastAsiaTheme="minorEastAsia"/>
          <w:b/>
          <w:bCs/>
          <w:color w:val="auto"/>
          <w:sz w:val="24"/>
          <w:szCs w:val="24"/>
          <w:highlight w:val="none"/>
        </w:rPr>
        <w:t xml:space="preserve"> </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50"/>
      <w:bookmarkEnd w:id="151"/>
      <w:bookmarkEnd w:id="152"/>
      <w:bookmarkEnd w:id="153"/>
      <w:bookmarkEnd w:id="154"/>
      <w:bookmarkEnd w:id="155"/>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19.1合同使用汉语书就</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19</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pPr>
        <w:spacing w:line="360" w:lineRule="auto"/>
        <w:ind w:firstLine="437"/>
        <w:outlineLvl w:val="2"/>
        <w:rPr>
          <w:rFonts w:cs="Times New Roman" w:asciiTheme="minorEastAsia" w:hAnsiTheme="minorEastAsia" w:eastAsiaTheme="minorEastAsia"/>
          <w:b/>
          <w:color w:val="auto"/>
          <w:sz w:val="24"/>
          <w:szCs w:val="24"/>
          <w:highlight w:val="none"/>
        </w:rPr>
      </w:pPr>
      <w:bookmarkStart w:id="156" w:name="_Toc259093693"/>
      <w:bookmarkStart w:id="157" w:name="_Toc279701264"/>
      <w:bookmarkStart w:id="158" w:name="_Toc3148"/>
      <w:bookmarkStart w:id="159" w:name="_Toc16673"/>
      <w:bookmarkStart w:id="160" w:name="_Toc12004"/>
      <w:bookmarkStart w:id="161" w:name="_Toc487900374"/>
      <w:r>
        <w:rPr>
          <w:rFonts w:hint="eastAsia" w:cs="Times New Roman" w:asciiTheme="minorEastAsia" w:hAnsiTheme="minorEastAsia" w:eastAsiaTheme="minorEastAsia"/>
          <w:b/>
          <w:bCs/>
          <w:color w:val="auto"/>
          <w:sz w:val="24"/>
          <w:szCs w:val="24"/>
          <w:highlight w:val="none"/>
          <w:lang w:val="zh-CN"/>
        </w:rPr>
        <w:t>2.2</w:t>
      </w:r>
      <w:r>
        <w:rPr>
          <w:rFonts w:cs="Times New Roman" w:asciiTheme="minorEastAsia" w:hAnsiTheme="minorEastAsia" w:eastAsiaTheme="minorEastAsia"/>
          <w:b/>
          <w:bCs/>
          <w:color w:val="auto"/>
          <w:sz w:val="24"/>
          <w:szCs w:val="24"/>
          <w:highlight w:val="none"/>
          <w:lang w:val="zh-CN"/>
        </w:rPr>
        <w:t>0</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履约保证金</w:t>
      </w:r>
      <w:bookmarkEnd w:id="156"/>
      <w:bookmarkEnd w:id="157"/>
      <w:bookmarkEnd w:id="158"/>
      <w:bookmarkEnd w:id="159"/>
      <w:bookmarkEnd w:id="160"/>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2.2</w:t>
      </w:r>
      <w:r>
        <w:rPr>
          <w:rFonts w:cs="Times New Roman" w:asciiTheme="minorEastAsia" w:hAnsiTheme="minorEastAsia" w:eastAsiaTheme="minorEastAsia"/>
          <w:color w:val="auto"/>
          <w:sz w:val="24"/>
          <w:szCs w:val="24"/>
          <w:highlight w:val="none"/>
        </w:rPr>
        <w:t>0</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，以支票、汇票、本票或者金融机构、担保机构出具的保函等非现金形式，提交不超过合同价10%的履约保证金；</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2.2</w:t>
      </w:r>
      <w:r>
        <w:rPr>
          <w:rFonts w:cs="Times New Roman" w:asciiTheme="minorEastAsia" w:hAnsiTheme="minorEastAsia" w:eastAsiaTheme="minorEastAsia"/>
          <w:color w:val="auto"/>
          <w:sz w:val="24"/>
          <w:szCs w:val="24"/>
          <w:highlight w:val="none"/>
        </w:rPr>
        <w:t>0.2履约保证金在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约定期间内或者货物质量保证期内不予退还或者应完全有效</w:t>
      </w:r>
      <w:r>
        <w:rPr>
          <w:rFonts w:hint="eastAsia" w:cs="Times New Roman" w:asciiTheme="minorEastAsia" w:hAnsiTheme="minorEastAsia" w:eastAsiaTheme="minorEastAsia"/>
          <w:color w:val="auto"/>
          <w:sz w:val="24"/>
          <w:szCs w:val="24"/>
          <w:highlight w:val="none"/>
        </w:rPr>
        <w:t>，前述约定期间届满或者</w:t>
      </w:r>
      <w:r>
        <w:rPr>
          <w:rFonts w:cs="Times New Roman" w:asciiTheme="minorEastAsia" w:hAnsiTheme="minorEastAsia" w:eastAsiaTheme="minorEastAsia"/>
          <w:color w:val="auto"/>
          <w:sz w:val="24"/>
          <w:szCs w:val="24"/>
          <w:highlight w:val="none"/>
        </w:rPr>
        <w:t>货物质量保证期届满之日起</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rPr>
        <w:t>；</w:t>
      </w:r>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2.2</w:t>
      </w:r>
      <w:r>
        <w:rPr>
          <w:rFonts w:cs="Times New Roman" w:asciiTheme="minorEastAsia" w:hAnsiTheme="minorEastAsia" w:eastAsiaTheme="minorEastAsia"/>
          <w:color w:val="auto"/>
          <w:sz w:val="24"/>
          <w:szCs w:val="24"/>
          <w:highlight w:val="none"/>
        </w:rPr>
        <w:t>0</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61"/>
    <w:p>
      <w:pPr>
        <w:spacing w:line="360" w:lineRule="auto"/>
        <w:ind w:firstLine="437"/>
        <w:outlineLvl w:val="2"/>
        <w:rPr>
          <w:rFonts w:cs="Times New Roman" w:asciiTheme="minorEastAsia" w:hAnsiTheme="minorEastAsia" w:eastAsiaTheme="minorEastAsia"/>
          <w:b/>
          <w:color w:val="auto"/>
          <w:sz w:val="24"/>
          <w:szCs w:val="24"/>
          <w:highlight w:val="none"/>
        </w:rPr>
      </w:pPr>
      <w:bookmarkStart w:id="162" w:name="_Toc14001"/>
      <w:bookmarkStart w:id="163" w:name="_Toc6885"/>
      <w:bookmarkStart w:id="164" w:name="_Toc19890"/>
      <w:r>
        <w:rPr>
          <w:rFonts w:hint="eastAsia" w:cs="Times New Roman" w:asciiTheme="minorEastAsia" w:hAnsiTheme="minorEastAsia" w:eastAsiaTheme="minorEastAsia"/>
          <w:b/>
          <w:bCs/>
          <w:color w:val="auto"/>
          <w:sz w:val="24"/>
          <w:szCs w:val="24"/>
          <w:highlight w:val="none"/>
          <w:lang w:val="zh-CN"/>
        </w:rPr>
        <w:t>2.2</w:t>
      </w:r>
      <w:r>
        <w:rPr>
          <w:rFonts w:cs="Times New Roman" w:asciiTheme="minorEastAsia" w:hAnsiTheme="minorEastAsia" w:eastAsiaTheme="minorEastAsia"/>
          <w:b/>
          <w:bCs/>
          <w:color w:val="auto"/>
          <w:sz w:val="24"/>
          <w:szCs w:val="24"/>
          <w:highlight w:val="none"/>
          <w:lang w:val="zh-CN"/>
        </w:rPr>
        <w:t>1</w:t>
      </w:r>
      <w:r>
        <w:rPr>
          <w:rFonts w:hint="eastAsia" w:cs="Times New Roman" w:asciiTheme="minorEastAsia" w:hAnsiTheme="minorEastAsia" w:eastAsiaTheme="minorEastAsia"/>
          <w:b/>
          <w:bCs/>
          <w:color w:val="auto"/>
          <w:sz w:val="24"/>
          <w:szCs w:val="24"/>
          <w:highlight w:val="none"/>
          <w:lang w:val="zh-CN"/>
        </w:rPr>
        <w:t xml:space="preserve"> 合同份数</w:t>
      </w:r>
      <w:bookmarkEnd w:id="162"/>
      <w:bookmarkEnd w:id="163"/>
      <w:bookmarkEnd w:id="164"/>
    </w:p>
    <w:p>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pPr>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65" w:name="_Toc331685784"/>
      <w:r>
        <w:rPr>
          <w:rFonts w:hint="eastAsia" w:asciiTheme="minorEastAsia" w:hAnsiTheme="minorEastAsia" w:eastAsiaTheme="minorEastAsia"/>
          <w:b/>
          <w:color w:val="auto"/>
          <w:sz w:val="24"/>
          <w:highlight w:val="none"/>
        </w:rPr>
        <w:t>第三部分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合同专用条款</w:t>
      </w:r>
      <w:bookmarkEnd w:id="165"/>
    </w:p>
    <w:p>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2"/>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7568" w:type="dxa"/>
            <w:vAlign w:val="center"/>
          </w:tcPr>
          <w:p>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auto"/>
                <w:sz w:val="24"/>
                <w:szCs w:val="24"/>
                <w:highlight w:val="none"/>
              </w:rPr>
            </w:pPr>
          </w:p>
        </w:tc>
      </w:tr>
      <w:bookmarkEnd w:id="18"/>
    </w:tbl>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0"/>
        <w:rPr>
          <w:rFonts w:asciiTheme="minorEastAsia" w:hAnsiTheme="minorEastAsia" w:eastAsiaTheme="minorEastAsia"/>
          <w:b/>
          <w:color w:val="auto"/>
          <w:sz w:val="28"/>
          <w:highlight w:val="none"/>
        </w:rPr>
      </w:pPr>
      <w:bookmarkStart w:id="166" w:name="_Toc60602968"/>
      <w:r>
        <w:rPr>
          <w:rFonts w:hint="eastAsia" w:asciiTheme="minorEastAsia" w:hAnsiTheme="minorEastAsia" w:eastAsiaTheme="minorEastAsia"/>
          <w:b/>
          <w:color w:val="auto"/>
          <w:sz w:val="28"/>
          <w:highlight w:val="none"/>
        </w:rPr>
        <w:t>第六章  投标文件格式</w:t>
      </w:r>
      <w:bookmarkEnd w:id="166"/>
    </w:p>
    <w:p>
      <w:pPr>
        <w:spacing w:line="500" w:lineRule="exact"/>
        <w:jc w:val="center"/>
        <w:outlineLvl w:val="1"/>
        <w:rPr>
          <w:rFonts w:hint="eastAsia" w:asciiTheme="minorEastAsia" w:hAnsiTheme="minorEastAsia" w:eastAsiaTheme="minorEastAsia"/>
          <w:b/>
          <w:color w:val="auto"/>
          <w:sz w:val="32"/>
          <w:highlight w:val="none"/>
          <w:lang w:eastAsia="zh-CN"/>
        </w:rPr>
      </w:pPr>
      <w:r>
        <w:rPr>
          <w:rFonts w:hint="eastAsia" w:asciiTheme="minorEastAsia" w:hAnsiTheme="minorEastAsia" w:eastAsiaTheme="minorEastAsia"/>
          <w:b/>
          <w:color w:val="auto"/>
          <w:sz w:val="32"/>
          <w:highlight w:val="none"/>
          <w:lang w:eastAsia="zh-CN"/>
        </w:rPr>
        <w:t>安徽大学2022年“强光磁试验装置”直线加速器及配套设备采购项目</w:t>
      </w:r>
    </w:p>
    <w:p>
      <w:pPr>
        <w:spacing w:line="900" w:lineRule="exact"/>
        <w:jc w:val="center"/>
        <w:rPr>
          <w:rFonts w:asciiTheme="minorEastAsia" w:hAnsiTheme="minorEastAsia" w:eastAsiaTheme="minorEastAsia"/>
          <w:b/>
          <w:color w:val="auto"/>
          <w:sz w:val="72"/>
          <w:highlight w:val="none"/>
        </w:rPr>
      </w:pPr>
    </w:p>
    <w:p>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投</w:t>
      </w:r>
    </w:p>
    <w:p>
      <w:pPr>
        <w:spacing w:line="900" w:lineRule="exact"/>
        <w:jc w:val="center"/>
        <w:rPr>
          <w:rFonts w:asciiTheme="minorEastAsia" w:hAnsiTheme="minorEastAsia" w:eastAsiaTheme="minorEastAsia"/>
          <w:b/>
          <w:color w:val="auto"/>
          <w:sz w:val="72"/>
          <w:highlight w:val="none"/>
        </w:rPr>
      </w:pPr>
    </w:p>
    <w:p>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标</w:t>
      </w:r>
    </w:p>
    <w:p>
      <w:pPr>
        <w:spacing w:line="900" w:lineRule="exact"/>
        <w:jc w:val="center"/>
        <w:rPr>
          <w:rFonts w:asciiTheme="minorEastAsia" w:hAnsiTheme="minorEastAsia" w:eastAsiaTheme="minorEastAsia"/>
          <w:b/>
          <w:color w:val="auto"/>
          <w:sz w:val="72"/>
          <w:highlight w:val="none"/>
        </w:rPr>
      </w:pPr>
    </w:p>
    <w:p>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pPr>
        <w:spacing w:line="900" w:lineRule="exact"/>
        <w:jc w:val="center"/>
        <w:rPr>
          <w:rFonts w:asciiTheme="minorEastAsia" w:hAnsiTheme="minorEastAsia" w:eastAsiaTheme="minorEastAsia"/>
          <w:b/>
          <w:color w:val="auto"/>
          <w:sz w:val="72"/>
          <w:highlight w:val="none"/>
        </w:rPr>
      </w:pPr>
    </w:p>
    <w:p>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pPr>
        <w:spacing w:after="156" w:afterLines="50"/>
        <w:jc w:val="center"/>
        <w:rPr>
          <w:rFonts w:asciiTheme="minorEastAsia" w:hAnsiTheme="minorEastAsia" w:eastAsiaTheme="minorEastAsia"/>
          <w:b/>
          <w:color w:val="auto"/>
          <w:sz w:val="72"/>
          <w:highlight w:val="none"/>
        </w:rPr>
      </w:pPr>
    </w:p>
    <w:p>
      <w:pPr>
        <w:spacing w:before="156" w:beforeLines="50" w:after="156" w:afterLines="50"/>
        <w:jc w:val="center"/>
        <w:outlineLvl w:val="1"/>
        <w:rPr>
          <w:rFonts w:asciiTheme="minorEastAsia" w:hAnsiTheme="minorEastAsia" w:eastAsiaTheme="minorEastAsia"/>
          <w:b/>
          <w:color w:val="auto"/>
          <w:sz w:val="32"/>
          <w:szCs w:val="32"/>
          <w:highlight w:val="none"/>
        </w:rPr>
      </w:pPr>
    </w:p>
    <w:p>
      <w:pPr>
        <w:spacing w:after="156" w:afterLines="50" w:line="500" w:lineRule="exact"/>
        <w:jc w:val="center"/>
        <w:rPr>
          <w:rFonts w:asciiTheme="minorEastAsia" w:hAnsiTheme="minorEastAsia" w:eastAsiaTheme="minorEastAsia"/>
          <w:b/>
          <w:color w:val="auto"/>
          <w:sz w:val="28"/>
          <w:szCs w:val="28"/>
          <w:highlight w:val="none"/>
        </w:rPr>
      </w:pPr>
    </w:p>
    <w:p>
      <w:pPr>
        <w:spacing w:after="156" w:afterLines="50" w:line="500" w:lineRule="exact"/>
        <w:jc w:val="center"/>
        <w:rPr>
          <w:rFonts w:asciiTheme="minorEastAsia" w:hAnsiTheme="minorEastAsia" w:eastAsiaTheme="minorEastAsia"/>
          <w:b/>
          <w:color w:val="auto"/>
          <w:sz w:val="72"/>
          <w:highlight w:val="none"/>
        </w:rPr>
      </w:pPr>
    </w:p>
    <w:p>
      <w:pPr>
        <w:spacing w:after="156" w:afterLines="50" w:line="500" w:lineRule="exact"/>
        <w:ind w:firstLine="2522" w:firstLineChars="785"/>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投标人：</w:t>
      </w:r>
      <w:r>
        <w:rPr>
          <w:rFonts w:hint="eastAsia" w:asciiTheme="minorEastAsia" w:hAnsiTheme="minorEastAsia" w:eastAsiaTheme="minorEastAsia"/>
          <w:b/>
          <w:color w:val="auto"/>
          <w:sz w:val="32"/>
          <w:highlight w:val="none"/>
          <w:u w:val="single"/>
        </w:rPr>
        <w:t xml:space="preserve">               </w:t>
      </w:r>
    </w:p>
    <w:p>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p>
    <w:p>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一、开标一览表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pPr>
              <w:spacing w:line="360" w:lineRule="exact"/>
              <w:jc w:val="center"/>
              <w:rPr>
                <w:rFonts w:hint="eastAsia" w:asciiTheme="minorEastAsia" w:hAnsiTheme="minorEastAsia" w:eastAsiaTheme="minorEastAsia"/>
                <w:bCs/>
                <w:color w:val="auto"/>
                <w:sz w:val="24"/>
                <w:highlight w:val="none"/>
                <w:u w:val="single"/>
                <w:lang w:eastAsia="zh-CN"/>
              </w:rPr>
            </w:pPr>
            <w:r>
              <w:rPr>
                <w:rFonts w:hint="eastAsia" w:asciiTheme="minorEastAsia" w:hAnsiTheme="minorEastAsia" w:eastAsiaTheme="minorEastAsia"/>
                <w:b/>
                <w:color w:val="auto"/>
                <w:sz w:val="24"/>
                <w:highlight w:val="none"/>
                <w:lang w:eastAsia="zh-CN"/>
              </w:rPr>
              <w:t>安徽大学2022年“强光磁试验装置”直线加速器及配套设备采购项目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pPr>
              <w:spacing w:line="360" w:lineRule="auto"/>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pPr>
              <w:widowControl/>
              <w:spacing w:line="360" w:lineRule="exac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pPr>
              <w:spacing w:line="360" w:lineRule="auto"/>
              <w:ind w:right="-670"/>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pPr>
              <w:spacing w:line="360" w:lineRule="auto"/>
              <w:jc w:val="left"/>
              <w:rPr>
                <w:rFonts w:asciiTheme="minorEastAsia" w:hAnsiTheme="minorEastAsia" w:eastAsiaTheme="minorEastAsia"/>
                <w:color w:val="auto"/>
                <w:sz w:val="24"/>
                <w:szCs w:val="28"/>
                <w:highlight w:val="none"/>
              </w:rPr>
            </w:pPr>
          </w:p>
        </w:tc>
      </w:tr>
    </w:tbl>
    <w:p>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投标人电子签章：</w:t>
      </w:r>
      <w:r>
        <w:rPr>
          <w:rFonts w:asciiTheme="minorEastAsia" w:hAnsiTheme="minorEastAsia" w:eastAsiaTheme="minorEastAsia"/>
          <w:color w:val="auto"/>
          <w:sz w:val="24"/>
          <w:highlight w:val="none"/>
        </w:rPr>
        <w:t xml:space="preserve">                                           </w:t>
      </w:r>
    </w:p>
    <w:p>
      <w:pPr>
        <w:spacing w:line="360" w:lineRule="auto"/>
        <w:ind w:firstLine="360" w:firstLineChars="150"/>
        <w:rPr>
          <w:rFonts w:asciiTheme="minorEastAsia" w:hAnsiTheme="minorEastAsia" w:eastAsiaTheme="minorEastAsia"/>
          <w:color w:val="auto"/>
          <w:sz w:val="24"/>
          <w:highlight w:val="none"/>
        </w:rPr>
      </w:pPr>
    </w:p>
    <w:p>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二、投标函</w:t>
      </w:r>
    </w:p>
    <w:p>
      <w:pPr>
        <w:pStyle w:val="12"/>
        <w:spacing w:line="360" w:lineRule="auto"/>
        <w:rPr>
          <w:rFonts w:ascii="宋体" w:hAnsi="宋体"/>
          <w:color w:val="auto"/>
          <w:sz w:val="24"/>
          <w:highlight w:val="none"/>
        </w:rPr>
      </w:pPr>
    </w:p>
    <w:p>
      <w:pPr>
        <w:pStyle w:val="12"/>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安徽大学</w:t>
      </w:r>
    </w:p>
    <w:p>
      <w:pPr>
        <w:pStyle w:val="12"/>
        <w:spacing w:line="360" w:lineRule="auto"/>
        <w:ind w:firstLine="472" w:firstLineChars="196"/>
        <w:rPr>
          <w:rFonts w:ascii="宋体" w:hAnsi="宋体"/>
          <w:color w:val="auto"/>
          <w:sz w:val="24"/>
          <w:highlight w:val="none"/>
        </w:rPr>
      </w:pPr>
      <w:r>
        <w:rPr>
          <w:rFonts w:hint="eastAsia" w:ascii="宋体" w:hAnsi="宋体"/>
          <w:color w:val="auto"/>
          <w:sz w:val="24"/>
          <w:highlight w:val="none"/>
          <w:u w:val="single"/>
        </w:rPr>
        <w:t>安徽公共资源交易集团项目管理有限公司</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1.按招标文件规定提供交付的货物（包括安装调试等工作）的最终投标报价见开标一览表，如我方中标，我方承诺愿意按招标文件规定缴纳履约保证金和中标服务费。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2.我方根据招标文件的规定，严格履行合同的责任和义务,并保证于买方要求的日期内完成供货、安装及服务，并通过买方验收。</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3.我方承诺报价低于同类货物和服务的市场平均价格。</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已详细审核全部招标文件，包括招标文件的澄清或修改（如有），参考资料及有关附件，我方正式认可并遵守本次招标文件，并对招标文件各项条款、规定及要求均无异议。我方知道必须放弃提出含糊不清或误解问题的权利。</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5.我方同意从招标文件规定的开标日期起遵循本招标文件，并在招标文件规定的投标有效期之前均具有约束力。</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我方声明投标文件所提供的一切资料均真实无误、及时、有效，企业运营正常。由于我方提供资料不实而造成的责任和后果由我方承担。我方同意按照贵方提出的要求，提供与投标有关的任何证据、数据或资料。</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7.我方完全理解贵方不一定接受最低报价的投标。</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8.我方接受招标文件规定的付款方式、免费质保要求。</w:t>
      </w:r>
    </w:p>
    <w:p>
      <w:pPr>
        <w:spacing w:line="360" w:lineRule="auto"/>
        <w:ind w:firstLine="4800" w:firstLineChars="2000"/>
        <w:rPr>
          <w:rFonts w:ascii="宋体" w:hAnsi="宋体" w:eastAsia="宋体"/>
          <w:color w:val="auto"/>
          <w:sz w:val="24"/>
          <w:highlight w:val="none"/>
        </w:rPr>
      </w:pPr>
    </w:p>
    <w:p>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pPr>
        <w:widowControl/>
        <w:jc w:val="left"/>
        <w:rPr>
          <w:rFonts w:ascii="宋体" w:hAnsi="宋体" w:eastAsia="宋体"/>
          <w:color w:val="auto"/>
          <w:sz w:val="24"/>
          <w:highlight w:val="none"/>
        </w:rPr>
      </w:pPr>
      <w:r>
        <w:rPr>
          <w:rFonts w:ascii="宋体" w:hAnsi="宋体" w:eastAsia="宋体"/>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三、无重大违法记录声明函、无不良信用记录声明函</w:t>
      </w:r>
    </w:p>
    <w:p>
      <w:pPr>
        <w:spacing w:line="360" w:lineRule="auto"/>
        <w:jc w:val="center"/>
        <w:rPr>
          <w:rFonts w:ascii="宋体" w:hAnsi="宋体" w:eastAsia="宋体"/>
          <w:i/>
          <w:color w:val="auto"/>
          <w:sz w:val="24"/>
          <w:highlight w:val="none"/>
        </w:rPr>
      </w:pP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2.本单位郑重声明，我单位无以下不良信用记录情形：</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（1）被人民法院列入失信被执行人；</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（2）单位、法定代表人或拟派项目经理（项目负责人）被人民检察院列入行贿犯罪档案；</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（3）被工商行政管理部门列入企业经营异常名录；</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（4）被税务部门列入重大税收违法案件当事人名单；</w:t>
      </w:r>
    </w:p>
    <w:p>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（5）被政府采购监管部门列入政府采购严重违法失信行为记录</w:t>
      </w:r>
      <w:r>
        <w:rPr>
          <w:rFonts w:hint="eastAsia" w:ascii="宋体" w:hAnsi="宋体" w:eastAsia="宋体"/>
          <w:color w:val="auto"/>
          <w:sz w:val="24"/>
          <w:highlight w:val="none"/>
        </w:rPr>
        <w:t>名单。</w:t>
      </w:r>
    </w:p>
    <w:p>
      <w:pPr>
        <w:spacing w:line="360" w:lineRule="auto"/>
        <w:ind w:firstLine="435"/>
        <w:rPr>
          <w:rFonts w:ascii="宋体" w:hAnsi="宋体" w:eastAsia="宋体"/>
          <w:color w:val="auto"/>
          <w:sz w:val="24"/>
          <w:highlight w:val="none"/>
        </w:rPr>
      </w:pPr>
    </w:p>
    <w:p>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四、授权书</w:t>
      </w:r>
    </w:p>
    <w:p>
      <w:pPr>
        <w:pStyle w:val="11"/>
        <w:snapToGrid w:val="0"/>
        <w:spacing w:line="360" w:lineRule="auto"/>
        <w:ind w:firstLine="480" w:firstLineChars="200"/>
        <w:jc w:val="left"/>
        <w:rPr>
          <w:rFonts w:hAnsi="宋体" w:eastAsia="宋体"/>
          <w:color w:val="auto"/>
          <w:sz w:val="24"/>
          <w:szCs w:val="28"/>
          <w:highlight w:val="none"/>
        </w:rPr>
      </w:pPr>
    </w:p>
    <w:p>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pPr>
        <w:spacing w:line="360" w:lineRule="auto"/>
        <w:ind w:firstLine="435"/>
        <w:rPr>
          <w:rFonts w:asciiTheme="minorEastAsia" w:hAnsiTheme="minorEastAsia" w:eastAsiaTheme="minorEastAsia"/>
          <w:color w:val="auto"/>
          <w:sz w:val="24"/>
          <w:highlight w:val="none"/>
        </w:rPr>
      </w:pPr>
    </w:p>
    <w:p>
      <w:pPr>
        <w:spacing w:line="360" w:lineRule="auto"/>
        <w:ind w:firstLine="435"/>
        <w:rPr>
          <w:rFonts w:asciiTheme="minorEastAsia" w:hAnsiTheme="minorEastAsia" w:eastAsiaTheme="minorEastAsia"/>
          <w:color w:val="auto"/>
          <w:sz w:val="24"/>
          <w:highlight w:val="none"/>
        </w:rPr>
      </w:pPr>
    </w:p>
    <w:p>
      <w:pPr>
        <w:spacing w:line="360" w:lineRule="auto"/>
        <w:ind w:firstLine="435"/>
        <w:rPr>
          <w:rFonts w:asciiTheme="minorEastAsia" w:hAnsiTheme="minorEastAsia" w:eastAsiaTheme="minorEastAsia"/>
          <w:color w:val="auto"/>
          <w:sz w:val="24"/>
          <w:highlight w:val="none"/>
        </w:rPr>
      </w:pPr>
    </w:p>
    <w:p>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pPr>
        <w:spacing w:line="360" w:lineRule="auto"/>
        <w:ind w:firstLine="435"/>
        <w:rPr>
          <w:rFonts w:hAnsi="宋体" w:eastAsia="宋体"/>
          <w:color w:val="auto"/>
          <w:sz w:val="24"/>
          <w:szCs w:val="28"/>
          <w:highlight w:val="none"/>
          <w:lang w:val="zh-CN"/>
        </w:rPr>
      </w:pPr>
    </w:p>
    <w:p>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pPr>
        <w:spacing w:line="360" w:lineRule="auto"/>
        <w:rPr>
          <w:rFonts w:ascii="宋体" w:hAnsi="宋体" w:eastAsia="宋体"/>
          <w:color w:val="auto"/>
          <w:sz w:val="24"/>
          <w:szCs w:val="28"/>
          <w:highlight w:val="none"/>
        </w:rPr>
      </w:pPr>
    </w:p>
    <w:p>
      <w:pPr>
        <w:spacing w:line="360" w:lineRule="auto"/>
        <w:ind w:firstLine="435"/>
        <w:rPr>
          <w:rFonts w:ascii="宋体" w:hAnsi="宋体" w:eastAsia="宋体"/>
          <w:bCs/>
          <w:color w:val="auto"/>
          <w:sz w:val="24"/>
          <w:szCs w:val="28"/>
          <w:highlight w:val="none"/>
        </w:rPr>
      </w:pP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pPr>
        <w:spacing w:line="360" w:lineRule="auto"/>
        <w:ind w:firstLine="435"/>
        <w:rPr>
          <w:rFonts w:ascii="宋体" w:hAnsi="宋体" w:eastAsia="宋体"/>
          <w:color w:val="auto"/>
          <w:sz w:val="24"/>
          <w:szCs w:val="28"/>
          <w:highlight w:val="none"/>
        </w:rPr>
      </w:pP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pPr>
        <w:spacing w:line="360" w:lineRule="auto"/>
        <w:ind w:firstLine="435"/>
        <w:rPr>
          <w:rFonts w:asciiTheme="minorEastAsia" w:hAnsiTheme="minorEastAsia" w:eastAsiaTheme="minorEastAsia"/>
          <w:color w:val="auto"/>
          <w:sz w:val="24"/>
          <w:highlight w:val="none"/>
        </w:rPr>
      </w:pPr>
    </w:p>
    <w:p>
      <w:pPr>
        <w:spacing w:line="360" w:lineRule="auto"/>
        <w:ind w:firstLine="435"/>
        <w:rPr>
          <w:rFonts w:asciiTheme="minorEastAsia" w:hAnsiTheme="minorEastAsia" w:eastAsiaTheme="minorEastAsia"/>
          <w:color w:val="auto"/>
          <w:sz w:val="24"/>
          <w:highlight w:val="none"/>
        </w:rPr>
      </w:pPr>
    </w:p>
    <w:p>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五、投标分项报价表</w:t>
      </w:r>
    </w:p>
    <w:p>
      <w:pPr>
        <w:spacing w:line="360" w:lineRule="auto"/>
        <w:ind w:firstLine="435"/>
        <w:rPr>
          <w:rFonts w:asciiTheme="minorEastAsia" w:hAnsiTheme="minorEastAsia" w:eastAsiaTheme="minorEastAsia"/>
          <w:b/>
          <w:color w:val="auto"/>
          <w:sz w:val="24"/>
          <w:highlight w:val="none"/>
        </w:rPr>
      </w:pP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23"/>
        <w:gridCol w:w="1318"/>
        <w:gridCol w:w="1318"/>
        <w:gridCol w:w="672"/>
        <w:gridCol w:w="672"/>
        <w:gridCol w:w="939"/>
        <w:gridCol w:w="939"/>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vAlign w:val="center"/>
          </w:tcPr>
          <w:p>
            <w:pPr>
              <w:pStyle w:val="30"/>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1323"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货物名称</w:t>
            </w:r>
          </w:p>
        </w:tc>
        <w:tc>
          <w:tcPr>
            <w:tcW w:w="1318"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号规格</w:t>
            </w:r>
          </w:p>
        </w:tc>
        <w:tc>
          <w:tcPr>
            <w:tcW w:w="1318"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672"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672"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939"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939"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670" w:type="dxa"/>
            <w:vAlign w:val="center"/>
          </w:tcPr>
          <w:p>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Borders>
              <w:bottom w:val="single" w:color="auto" w:sz="4" w:space="0"/>
            </w:tcBorders>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p>
        </w:tc>
        <w:tc>
          <w:tcPr>
            <w:tcW w:w="1323"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p>
        </w:tc>
        <w:tc>
          <w:tcPr>
            <w:tcW w:w="1323" w:type="dxa"/>
            <w:vAlign w:val="center"/>
          </w:tcPr>
          <w:p>
            <w:pPr>
              <w:pStyle w:val="38"/>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其他费用</w:t>
            </w: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p>
        </w:tc>
        <w:tc>
          <w:tcPr>
            <w:tcW w:w="1323" w:type="dxa"/>
          </w:tcPr>
          <w:p>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p>
        </w:tc>
        <w:tc>
          <w:tcPr>
            <w:tcW w:w="1323" w:type="dxa"/>
          </w:tcPr>
          <w:p>
            <w:pPr>
              <w:pStyle w:val="38"/>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w:t>
            </w: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color w:val="auto"/>
                <w:sz w:val="24"/>
                <w:highlight w:val="none"/>
              </w:rPr>
            </w:pPr>
          </w:p>
        </w:tc>
        <w:tc>
          <w:tcPr>
            <w:tcW w:w="1323" w:type="dxa"/>
          </w:tcPr>
          <w:p>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994" w:type="dxa"/>
            <w:gridSpan w:val="2"/>
            <w:vAlign w:val="center"/>
          </w:tcPr>
          <w:p>
            <w:pPr>
              <w:pStyle w:val="38"/>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1318" w:type="dxa"/>
          </w:tcPr>
          <w:p>
            <w:pPr>
              <w:rPr>
                <w:rFonts w:asciiTheme="minorEastAsia" w:hAnsiTheme="minorEastAsia" w:eastAsiaTheme="minorEastAsia"/>
                <w:color w:val="auto"/>
                <w:sz w:val="24"/>
                <w:highlight w:val="none"/>
              </w:rPr>
            </w:pPr>
          </w:p>
        </w:tc>
        <w:tc>
          <w:tcPr>
            <w:tcW w:w="1318"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672"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939" w:type="dxa"/>
          </w:tcPr>
          <w:p>
            <w:pPr>
              <w:rPr>
                <w:rFonts w:asciiTheme="minorEastAsia" w:hAnsiTheme="minorEastAsia" w:eastAsiaTheme="minorEastAsia"/>
                <w:color w:val="auto"/>
                <w:sz w:val="24"/>
                <w:highlight w:val="none"/>
              </w:rPr>
            </w:pPr>
          </w:p>
        </w:tc>
        <w:tc>
          <w:tcPr>
            <w:tcW w:w="670" w:type="dxa"/>
          </w:tcPr>
          <w:p>
            <w:pPr>
              <w:rPr>
                <w:rFonts w:asciiTheme="minorEastAsia" w:hAnsiTheme="minorEastAsia" w:eastAsiaTheme="minorEastAsia"/>
                <w:color w:val="auto"/>
                <w:sz w:val="24"/>
                <w:highlight w:val="none"/>
              </w:rPr>
            </w:pPr>
          </w:p>
        </w:tc>
      </w:tr>
    </w:tbl>
    <w:p>
      <w:pPr>
        <w:pStyle w:val="12"/>
        <w:spacing w:line="360" w:lineRule="auto"/>
        <w:rPr>
          <w:rFonts w:asciiTheme="minorEastAsia" w:hAnsiTheme="minorEastAsia" w:eastAsiaTheme="minorEastAsia"/>
          <w:b w:val="0"/>
          <w:bCs/>
          <w:color w:val="auto"/>
          <w:sz w:val="24"/>
          <w:szCs w:val="28"/>
          <w:highlight w:val="none"/>
        </w:rPr>
      </w:pPr>
      <w:r>
        <w:rPr>
          <w:rFonts w:hint="eastAsia" w:asciiTheme="minorEastAsia" w:hAnsiTheme="minorEastAsia" w:eastAsiaTheme="minorEastAsia"/>
          <w:b w:val="0"/>
          <w:color w:val="auto"/>
          <w:sz w:val="24"/>
          <w:highlight w:val="none"/>
        </w:rPr>
        <w:t>投标人电子签章：</w:t>
      </w:r>
    </w:p>
    <w:p>
      <w:pPr>
        <w:adjustRightInd w:val="0"/>
        <w:snapToGrid w:val="0"/>
        <w:spacing w:line="360" w:lineRule="auto"/>
        <w:rPr>
          <w:rFonts w:asciiTheme="minorEastAsia" w:hAnsiTheme="minorEastAsia" w:eastAsiaTheme="minorEastAsia"/>
          <w:b/>
          <w:bCs/>
          <w:color w:val="auto"/>
          <w:sz w:val="24"/>
          <w:szCs w:val="28"/>
          <w:highlight w:val="none"/>
        </w:rPr>
      </w:pPr>
    </w:p>
    <w:p>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备注：</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投标人承担全部责任。</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2.表中须明确列出所投产品的货物名称、品牌、型号规格、原产地及生产厂商，否则可能导致</w:t>
      </w:r>
      <w:r>
        <w:rPr>
          <w:rFonts w:hint="eastAsia" w:asciiTheme="minorEastAsia" w:hAnsiTheme="minorEastAsia" w:eastAsiaTheme="minorEastAsia"/>
          <w:b/>
          <w:bCs/>
          <w:color w:val="auto"/>
          <w:sz w:val="24"/>
          <w:highlight w:val="none"/>
        </w:rPr>
        <w:t>投标无效</w:t>
      </w:r>
      <w:r>
        <w:rPr>
          <w:rFonts w:hint="eastAsia" w:asciiTheme="minorEastAsia" w:hAnsiTheme="minorEastAsia" w:eastAsiaTheme="minorEastAsia"/>
          <w:color w:val="auto"/>
          <w:sz w:val="24"/>
          <w:highlight w:val="none"/>
        </w:rPr>
        <w:t>。</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六、投标响应表</w:t>
      </w:r>
    </w:p>
    <w:p>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225"/>
        <w:gridCol w:w="4050"/>
        <w:gridCol w:w="1713"/>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4"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225" w:type="dxa"/>
            <w:vAlign w:val="center"/>
          </w:tcPr>
          <w:p>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4050"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713"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4" w:type="dxa"/>
            <w:vAlign w:val="center"/>
          </w:tcPr>
          <w:p>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225" w:type="dxa"/>
            <w:vAlign w:val="center"/>
          </w:tcPr>
          <w:p>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4050" w:type="dxa"/>
            <w:vAlign w:val="center"/>
          </w:tcPr>
          <w:p>
            <w:pPr>
              <w:pStyle w:val="30"/>
              <w:widowControl w:val="0"/>
              <w:spacing w:before="0" w:beforeAutospacing="0" w:after="0" w:afterAutospacing="0" w:line="360" w:lineRule="auto"/>
              <w:jc w:val="both"/>
              <w:rPr>
                <w:rFonts w:hint="eastAsia" w:ascii="宋体" w:hAnsi="宋体" w:eastAsia="宋体"/>
                <w:b w:val="0"/>
                <w:color w:val="auto"/>
                <w:sz w:val="24"/>
                <w:highlight w:val="none"/>
                <w:u w:val="single"/>
                <w:lang w:eastAsia="zh-CN"/>
              </w:rPr>
            </w:pPr>
            <w:r>
              <w:rPr>
                <w:rFonts w:hint="eastAsia" w:ascii="宋体" w:hAnsi="宋体" w:eastAsia="宋体"/>
                <w:b w:val="0"/>
                <w:color w:val="auto"/>
                <w:sz w:val="24"/>
                <w:highlight w:val="none"/>
                <w:u w:val="single"/>
              </w:rPr>
              <w:t>合同签订且采购人收到中标</w:t>
            </w:r>
            <w:r>
              <w:rPr>
                <w:rFonts w:hint="eastAsia" w:ascii="宋体" w:hAnsi="宋体" w:eastAsia="宋体"/>
                <w:b w:val="0"/>
                <w:color w:val="auto"/>
                <w:sz w:val="24"/>
                <w:highlight w:val="none"/>
                <w:u w:val="single"/>
                <w:lang w:eastAsia="zh-CN"/>
              </w:rPr>
              <w:t>人</w:t>
            </w:r>
            <w:r>
              <w:rPr>
                <w:rFonts w:hint="eastAsia" w:ascii="宋体" w:hAnsi="宋体" w:eastAsia="宋体"/>
                <w:b w:val="0"/>
                <w:color w:val="auto"/>
                <w:sz w:val="24"/>
                <w:highlight w:val="none"/>
                <w:u w:val="single"/>
              </w:rPr>
              <w:t>递交的等额预付款保函后5个工作日内采购人支付合同款</w:t>
            </w:r>
            <w:r>
              <w:rPr>
                <w:rFonts w:hint="eastAsia" w:ascii="宋体" w:hAnsi="宋体" w:eastAsia="宋体"/>
                <w:b w:val="0"/>
                <w:color w:val="auto"/>
                <w:sz w:val="24"/>
                <w:highlight w:val="none"/>
                <w:u w:val="single"/>
                <w:lang w:eastAsia="zh-CN"/>
              </w:rPr>
              <w:t>的</w:t>
            </w:r>
            <w:r>
              <w:rPr>
                <w:rFonts w:hint="eastAsia" w:ascii="宋体" w:hAnsi="宋体" w:eastAsia="宋体"/>
                <w:b w:val="0"/>
                <w:color w:val="auto"/>
                <w:sz w:val="24"/>
                <w:highlight w:val="none"/>
                <w:u w:val="single"/>
              </w:rPr>
              <w:t>50%作为预付款</w:t>
            </w:r>
            <w:r>
              <w:rPr>
                <w:rFonts w:hint="eastAsia" w:ascii="宋体" w:hAnsi="宋体" w:eastAsia="宋体"/>
                <w:b w:val="0"/>
                <w:color w:val="auto"/>
                <w:sz w:val="24"/>
                <w:highlight w:val="none"/>
                <w:u w:val="single"/>
              </w:rPr>
              <w:t>，设备到场付合同款的</w:t>
            </w:r>
            <w:r>
              <w:rPr>
                <w:rFonts w:ascii="宋体" w:hAnsi="宋体" w:eastAsia="宋体"/>
                <w:b w:val="0"/>
                <w:color w:val="auto"/>
                <w:sz w:val="24"/>
                <w:highlight w:val="none"/>
                <w:u w:val="single"/>
              </w:rPr>
              <w:t>20%</w:t>
            </w:r>
            <w:r>
              <w:rPr>
                <w:rFonts w:hint="eastAsia" w:ascii="宋体" w:hAnsi="宋体" w:eastAsia="宋体"/>
                <w:b w:val="0"/>
                <w:color w:val="auto"/>
                <w:sz w:val="24"/>
                <w:highlight w:val="none"/>
                <w:u w:val="single"/>
              </w:rPr>
              <w:t>，调试完成付合同款的2</w:t>
            </w:r>
            <w:r>
              <w:rPr>
                <w:rFonts w:ascii="宋体" w:hAnsi="宋体" w:eastAsia="宋体"/>
                <w:b w:val="0"/>
                <w:color w:val="auto"/>
                <w:sz w:val="24"/>
                <w:highlight w:val="none"/>
                <w:u w:val="single"/>
              </w:rPr>
              <w:t>0%</w:t>
            </w:r>
            <w:r>
              <w:rPr>
                <w:rFonts w:hint="eastAsia" w:ascii="宋体" w:hAnsi="宋体" w:eastAsia="宋体"/>
                <w:b w:val="0"/>
                <w:color w:val="auto"/>
                <w:sz w:val="24"/>
                <w:highlight w:val="none"/>
                <w:u w:val="single"/>
              </w:rPr>
              <w:t>，验收合格后一次性付清</w:t>
            </w:r>
            <w:r>
              <w:rPr>
                <w:rFonts w:hint="eastAsia" w:ascii="宋体" w:hAnsi="宋体" w:eastAsia="宋体"/>
                <w:b w:val="0"/>
                <w:color w:val="auto"/>
                <w:sz w:val="24"/>
                <w:highlight w:val="none"/>
                <w:u w:val="single"/>
                <w:lang w:eastAsia="zh-CN"/>
              </w:rPr>
              <w:t>剩余合同价款，同时退还预付款保函。</w:t>
            </w:r>
          </w:p>
          <w:p>
            <w:pPr>
              <w:pStyle w:val="30"/>
              <w:widowControl w:val="0"/>
              <w:spacing w:before="0" w:beforeAutospacing="0" w:after="0" w:afterAutospacing="0" w:line="360" w:lineRule="auto"/>
              <w:jc w:val="both"/>
              <w:rPr>
                <w:rFonts w:hint="eastAsia" w:ascii="宋体" w:hAnsi="宋体" w:eastAsia="宋体"/>
                <w:b w:val="0"/>
                <w:bCs/>
                <w:color w:val="auto"/>
                <w:sz w:val="24"/>
                <w:highlight w:val="none"/>
                <w:u w:val="none"/>
                <w:lang w:eastAsia="zh-CN"/>
              </w:rPr>
            </w:pPr>
            <w:r>
              <w:rPr>
                <w:rFonts w:hint="eastAsia" w:ascii="宋体" w:hAnsi="宋体" w:eastAsia="宋体"/>
                <w:b w:val="0"/>
                <w:color w:val="auto"/>
                <w:sz w:val="24"/>
                <w:highlight w:val="none"/>
                <w:u w:val="none"/>
                <w:lang w:eastAsia="zh-CN"/>
              </w:rPr>
              <w:t>注：（</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lang w:eastAsia="zh-CN"/>
              </w:rPr>
              <w:t>）预付款保函形式</w:t>
            </w:r>
            <w:r>
              <w:rPr>
                <w:rFonts w:hint="eastAsia" w:ascii="宋体" w:hAnsi="宋体" w:eastAsia="宋体"/>
                <w:b w:val="0"/>
                <w:bCs/>
                <w:color w:val="auto"/>
                <w:sz w:val="24"/>
                <w:highlight w:val="none"/>
                <w:u w:val="none"/>
                <w:lang w:eastAsia="zh-CN"/>
              </w:rPr>
              <w:t>：</w:t>
            </w:r>
          </w:p>
          <w:p>
            <w:pPr>
              <w:pStyle w:val="30"/>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bCs/>
                <w:color w:val="auto"/>
                <w:kern w:val="0"/>
                <w:sz w:val="24"/>
                <w:szCs w:val="28"/>
                <w:highlight w:val="none"/>
                <w:u w:val="none"/>
              </w:rPr>
              <w:sym w:font="Wingdings" w:char="F0FE"/>
            </w:r>
            <w:r>
              <w:rPr>
                <w:rFonts w:hint="eastAsia" w:ascii="宋体" w:hAnsi="宋体" w:eastAsia="宋体"/>
                <w:b w:val="0"/>
                <w:bCs/>
                <w:color w:val="auto"/>
                <w:kern w:val="0"/>
                <w:sz w:val="24"/>
                <w:szCs w:val="28"/>
                <w:highlight w:val="none"/>
                <w:u w:val="none"/>
                <w:lang w:eastAsia="zh-CN"/>
              </w:rPr>
              <w:t>银行保函</w:t>
            </w:r>
            <w:r>
              <w:rPr>
                <w:rFonts w:hint="eastAsia" w:ascii="宋体" w:hAnsi="宋体" w:eastAsia="宋体"/>
                <w:b w:val="0"/>
                <w:bCs/>
                <w:color w:val="auto"/>
                <w:kern w:val="0"/>
                <w:sz w:val="24"/>
                <w:szCs w:val="28"/>
                <w:highlight w:val="none"/>
                <w:u w:val="none"/>
              </w:rPr>
              <w:t xml:space="preserve"> </w:t>
            </w:r>
            <w:r>
              <w:rPr>
                <w:rFonts w:hint="eastAsia" w:ascii="宋体" w:hAnsi="宋体" w:eastAsia="宋体"/>
                <w:b w:val="0"/>
                <w:bCs/>
                <w:color w:val="auto"/>
                <w:kern w:val="0"/>
                <w:sz w:val="24"/>
                <w:szCs w:val="28"/>
                <w:highlight w:val="none"/>
                <w:u w:val="none"/>
              </w:rPr>
              <w:sym w:font="Wingdings" w:char="F0FE"/>
            </w:r>
            <w:r>
              <w:rPr>
                <w:rFonts w:hint="eastAsia" w:ascii="宋体" w:hAnsi="宋体" w:eastAsia="宋体"/>
                <w:b w:val="0"/>
                <w:bCs/>
                <w:color w:val="auto"/>
                <w:kern w:val="0"/>
                <w:sz w:val="24"/>
                <w:szCs w:val="28"/>
                <w:highlight w:val="none"/>
                <w:u w:val="none"/>
                <w:lang w:eastAsia="zh-CN"/>
              </w:rPr>
              <w:t>担保机构担保</w:t>
            </w:r>
            <w:r>
              <w:rPr>
                <w:rFonts w:hint="eastAsia" w:ascii="宋体" w:hAnsi="宋体" w:eastAsia="宋体"/>
                <w:b w:val="0"/>
                <w:bCs/>
                <w:color w:val="auto"/>
                <w:sz w:val="24"/>
                <w:highlight w:val="none"/>
                <w:u w:val="none"/>
                <w:lang w:eastAsia="zh-CN"/>
              </w:rPr>
              <w:t>；</w:t>
            </w:r>
          </w:p>
          <w:p>
            <w:pPr>
              <w:pStyle w:val="30"/>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lang w:eastAsia="zh-CN"/>
              </w:rPr>
              <w:t>）预付款保函递交要求：</w:t>
            </w:r>
          </w:p>
          <w:p>
            <w:pPr>
              <w:pStyle w:val="30"/>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lang w:val="en-US" w:eastAsia="zh-CN"/>
              </w:rPr>
              <w:fldChar w:fldCharType="begin"/>
            </w:r>
            <w:r>
              <w:rPr>
                <w:rFonts w:hint="eastAsia" w:ascii="宋体" w:hAnsi="宋体" w:eastAsia="宋体"/>
                <w:b w:val="0"/>
                <w:color w:val="auto"/>
                <w:sz w:val="24"/>
                <w:highlight w:val="none"/>
                <w:u w:val="none"/>
                <w:lang w:val="en-US" w:eastAsia="zh-CN"/>
              </w:rPr>
              <w:instrText xml:space="preserve"> EQ \o\ac(</w:instrText>
            </w:r>
            <w:r>
              <w:rPr>
                <w:rFonts w:hint="eastAsia" w:ascii="宋体" w:hAnsi="宋体" w:eastAsia="宋体" w:cs="@仿宋_GB2312"/>
                <w:b w:val="0"/>
                <w:bCs/>
                <w:color w:val="auto"/>
                <w:kern w:val="0"/>
                <w:sz w:val="24"/>
                <w:szCs w:val="28"/>
                <w:highlight w:val="none"/>
                <w:u w:val="none"/>
                <w:lang w:val="en-US" w:eastAsia="zh-CN" w:bidi="ar-SA"/>
              </w:rPr>
              <w:instrText xml:space="preserve">○</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cs="@仿宋_GB2312"/>
                <w:b w:val="0"/>
                <w:bCs/>
                <w:color w:val="auto"/>
                <w:kern w:val="0"/>
                <w:position w:val="3"/>
                <w:sz w:val="16"/>
                <w:szCs w:val="28"/>
                <w:highlight w:val="none"/>
                <w:u w:val="none"/>
                <w:lang w:val="en-US" w:eastAsia="zh-CN" w:bidi="ar-SA"/>
              </w:rPr>
              <w:instrText xml:space="preserve">1</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b w:val="0"/>
                <w:color w:val="auto"/>
                <w:sz w:val="24"/>
                <w:highlight w:val="none"/>
                <w:u w:val="none"/>
                <w:lang w:val="en-US" w:eastAsia="zh-CN"/>
              </w:rPr>
              <w:fldChar w:fldCharType="end"/>
            </w:r>
            <w:r>
              <w:rPr>
                <w:rFonts w:hint="eastAsia" w:ascii="宋体" w:hAnsi="宋体" w:eastAsia="宋体"/>
                <w:b w:val="0"/>
                <w:color w:val="auto"/>
                <w:sz w:val="24"/>
                <w:highlight w:val="none"/>
                <w:u w:val="none"/>
                <w:lang w:eastAsia="zh-CN"/>
              </w:rPr>
              <w:t>如采用银行保函，银行保函应为合肥行政区域（含四县一市）具有分支机构的银行出具的见索即付无条件银行保函。例如：</w:t>
            </w:r>
            <w:r>
              <w:rPr>
                <w:rFonts w:hint="eastAsia" w:ascii="宋体" w:hAnsi="宋体" w:eastAsia="宋体"/>
                <w:b w:val="0"/>
                <w:color w:val="auto"/>
                <w:sz w:val="24"/>
                <w:highlight w:val="none"/>
                <w:u w:val="none"/>
                <w:lang w:val="en-US" w:eastAsia="zh-CN"/>
              </w:rPr>
              <w:t>A</w:t>
            </w:r>
            <w:r>
              <w:rPr>
                <w:rFonts w:hint="eastAsia" w:ascii="宋体" w:hAnsi="宋体" w:eastAsia="宋体"/>
                <w:b w:val="0"/>
                <w:color w:val="auto"/>
                <w:sz w:val="24"/>
                <w:highlight w:val="none"/>
                <w:u w:val="none"/>
                <w:lang w:eastAsia="zh-CN"/>
              </w:rPr>
              <w:t>银行总部在合肥，或者</w:t>
            </w:r>
            <w:r>
              <w:rPr>
                <w:rFonts w:hint="eastAsia" w:ascii="宋体" w:hAnsi="宋体" w:eastAsia="宋体"/>
                <w:b w:val="0"/>
                <w:color w:val="auto"/>
                <w:sz w:val="24"/>
                <w:highlight w:val="none"/>
                <w:u w:val="none"/>
                <w:lang w:val="en-US" w:eastAsia="zh-CN"/>
              </w:rPr>
              <w:t>A</w:t>
            </w:r>
            <w:r>
              <w:rPr>
                <w:rFonts w:hint="eastAsia" w:ascii="宋体" w:hAnsi="宋体" w:eastAsia="宋体"/>
                <w:b w:val="0"/>
                <w:color w:val="auto"/>
                <w:sz w:val="24"/>
                <w:highlight w:val="none"/>
                <w:u w:val="none"/>
                <w:lang w:eastAsia="zh-CN"/>
              </w:rPr>
              <w:t>银行在合肥行政区域（含四县一市）具有分支机构，那么</w:t>
            </w:r>
            <w:r>
              <w:rPr>
                <w:rFonts w:hint="eastAsia" w:ascii="宋体" w:hAnsi="宋体" w:eastAsia="宋体"/>
                <w:b w:val="0"/>
                <w:color w:val="auto"/>
                <w:sz w:val="24"/>
                <w:highlight w:val="none"/>
                <w:u w:val="none"/>
                <w:lang w:val="en-US" w:eastAsia="zh-CN"/>
              </w:rPr>
              <w:t>A</w:t>
            </w:r>
            <w:r>
              <w:rPr>
                <w:rFonts w:hint="eastAsia" w:ascii="宋体" w:hAnsi="宋体" w:eastAsia="宋体"/>
                <w:b w:val="0"/>
                <w:color w:val="auto"/>
                <w:sz w:val="24"/>
                <w:highlight w:val="none"/>
                <w:u w:val="none"/>
                <w:lang w:eastAsia="zh-CN"/>
              </w:rPr>
              <w:t>银行任一分支机构或者总部出具的见索即付无条件保函符合要求），且应将原件交至采购人保管。</w:t>
            </w:r>
          </w:p>
          <w:p>
            <w:pPr>
              <w:pStyle w:val="30"/>
              <w:widowControl w:val="0"/>
              <w:spacing w:before="0" w:beforeAutospacing="0" w:after="0" w:afterAutospacing="0" w:line="360" w:lineRule="auto"/>
              <w:jc w:val="both"/>
              <w:rPr>
                <w:rFonts w:asciiTheme="minorEastAsia" w:hAnsiTheme="minorEastAsia" w:eastAsiaTheme="minorEastAsia"/>
                <w:color w:val="auto"/>
                <w:sz w:val="24"/>
                <w:highlight w:val="none"/>
              </w:rPr>
            </w:pPr>
            <w:r>
              <w:rPr>
                <w:rFonts w:hint="eastAsia" w:ascii="宋体" w:hAnsi="宋体" w:eastAsia="宋体"/>
                <w:b w:val="0"/>
                <w:color w:val="auto"/>
                <w:sz w:val="24"/>
                <w:highlight w:val="none"/>
                <w:u w:val="none"/>
                <w:lang w:val="en-US" w:eastAsia="zh-CN"/>
              </w:rPr>
              <w:fldChar w:fldCharType="begin"/>
            </w:r>
            <w:r>
              <w:rPr>
                <w:rFonts w:hint="eastAsia" w:ascii="宋体" w:hAnsi="宋体" w:eastAsia="宋体"/>
                <w:b w:val="0"/>
                <w:color w:val="auto"/>
                <w:sz w:val="24"/>
                <w:highlight w:val="none"/>
                <w:u w:val="none"/>
                <w:lang w:val="en-US" w:eastAsia="zh-CN"/>
              </w:rPr>
              <w:instrText xml:space="preserve"> EQ \o\ac(</w:instrText>
            </w:r>
            <w:r>
              <w:rPr>
                <w:rFonts w:hint="eastAsia" w:ascii="宋体" w:hAnsi="宋体" w:eastAsia="宋体" w:cs="@仿宋_GB2312"/>
                <w:b w:val="0"/>
                <w:bCs/>
                <w:color w:val="auto"/>
                <w:kern w:val="0"/>
                <w:sz w:val="24"/>
                <w:szCs w:val="28"/>
                <w:highlight w:val="none"/>
                <w:u w:val="none"/>
                <w:lang w:val="en-US" w:eastAsia="zh-CN" w:bidi="ar-SA"/>
              </w:rPr>
              <w:instrText xml:space="preserve">○</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cs="@仿宋_GB2312"/>
                <w:b w:val="0"/>
                <w:bCs/>
                <w:color w:val="auto"/>
                <w:kern w:val="0"/>
                <w:position w:val="3"/>
                <w:sz w:val="16"/>
                <w:szCs w:val="28"/>
                <w:highlight w:val="none"/>
                <w:u w:val="none"/>
                <w:lang w:val="en-US" w:eastAsia="zh-CN" w:bidi="ar-SA"/>
              </w:rPr>
              <w:instrText xml:space="preserve">2</w:instrText>
            </w:r>
            <w:r>
              <w:rPr>
                <w:rFonts w:hint="eastAsia" w:ascii="宋体" w:hAnsi="宋体" w:eastAsia="宋体"/>
                <w:b w:val="0"/>
                <w:color w:val="auto"/>
                <w:sz w:val="24"/>
                <w:highlight w:val="none"/>
                <w:u w:val="none"/>
                <w:lang w:val="en-US" w:eastAsia="zh-CN"/>
              </w:rPr>
              <w:instrText xml:space="preserve">)</w:instrText>
            </w:r>
            <w:r>
              <w:rPr>
                <w:rFonts w:hint="eastAsia" w:ascii="宋体" w:hAnsi="宋体" w:eastAsia="宋体"/>
                <w:b w:val="0"/>
                <w:color w:val="auto"/>
                <w:sz w:val="24"/>
                <w:highlight w:val="none"/>
                <w:u w:val="none"/>
                <w:lang w:val="en-US" w:eastAsia="zh-CN"/>
              </w:rPr>
              <w:fldChar w:fldCharType="end"/>
            </w:r>
            <w:r>
              <w:rPr>
                <w:rFonts w:hint="eastAsia" w:ascii="宋体" w:hAnsi="宋体" w:eastAsia="宋体"/>
                <w:b w:val="0"/>
                <w:color w:val="auto"/>
                <w:sz w:val="24"/>
                <w:highlight w:val="none"/>
                <w:u w:val="none"/>
                <w:lang w:eastAsia="zh-CN"/>
              </w:rPr>
              <w:t>如采用担保机构担保，应为注册地在合肥市行政区域（含四县一市）范围内的融资担保机构或经安徽省地方金融监督管理局备案的融资担保机构出具的见索即付无条件担保，且应将原件交至采购人保管。</w:t>
            </w:r>
          </w:p>
        </w:tc>
        <w:tc>
          <w:tcPr>
            <w:tcW w:w="1713" w:type="dxa"/>
            <w:vAlign w:val="center"/>
          </w:tcPr>
          <w:p>
            <w:pPr>
              <w:jc w:val="center"/>
              <w:rPr>
                <w:rFonts w:asciiTheme="minorEastAsia" w:hAnsiTheme="minorEastAsia" w:eastAsiaTheme="minorEastAsia"/>
                <w:color w:val="auto"/>
                <w:sz w:val="24"/>
                <w:highlight w:val="none"/>
              </w:rPr>
            </w:pPr>
          </w:p>
        </w:tc>
        <w:tc>
          <w:tcPr>
            <w:tcW w:w="810" w:type="dxa"/>
            <w:vAlign w:val="center"/>
          </w:tcPr>
          <w:p>
            <w:pPr>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4"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25" w:type="dxa"/>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4050" w:type="dxa"/>
            <w:vAlign w:val="center"/>
          </w:tcPr>
          <w:p>
            <w:pPr>
              <w:pStyle w:val="30"/>
              <w:widowControl w:val="0"/>
              <w:spacing w:before="0" w:beforeAutospacing="0" w:after="0" w:afterAutospacing="0" w:line="360" w:lineRule="auto"/>
              <w:jc w:val="both"/>
              <w:rPr>
                <w:rFonts w:asciiTheme="minorEastAsia" w:hAnsiTheme="minorEastAsia" w:eastAsiaTheme="minorEastAsia"/>
                <w:color w:val="auto"/>
                <w:sz w:val="24"/>
                <w:highlight w:val="none"/>
              </w:rPr>
            </w:pPr>
            <w:r>
              <w:rPr>
                <w:rFonts w:hint="eastAsia" w:ascii="宋体" w:hAnsi="宋体" w:eastAsia="宋体"/>
                <w:b w:val="0"/>
                <w:color w:val="auto"/>
                <w:sz w:val="24"/>
                <w:highlight w:val="none"/>
              </w:rPr>
              <w:t>安徽大学磬苑校区F座，采购人指定地点</w:t>
            </w:r>
          </w:p>
        </w:tc>
        <w:tc>
          <w:tcPr>
            <w:tcW w:w="1713" w:type="dxa"/>
            <w:vAlign w:val="center"/>
          </w:tcPr>
          <w:p>
            <w:pPr>
              <w:jc w:val="center"/>
              <w:rPr>
                <w:rFonts w:asciiTheme="minorEastAsia" w:hAnsiTheme="minorEastAsia" w:eastAsiaTheme="minorEastAsia"/>
                <w:color w:val="auto"/>
                <w:sz w:val="24"/>
                <w:highlight w:val="none"/>
              </w:rPr>
            </w:pPr>
          </w:p>
        </w:tc>
        <w:tc>
          <w:tcPr>
            <w:tcW w:w="810" w:type="dxa"/>
            <w:vAlign w:val="center"/>
          </w:tcPr>
          <w:p>
            <w:pPr>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4"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225" w:type="dxa"/>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4050" w:type="dxa"/>
            <w:vAlign w:val="center"/>
          </w:tcPr>
          <w:p>
            <w:pPr>
              <w:pStyle w:val="30"/>
              <w:widowControl w:val="0"/>
              <w:spacing w:before="0" w:beforeAutospacing="0" w:after="0" w:afterAutospacing="0" w:line="360" w:lineRule="auto"/>
              <w:jc w:val="both"/>
              <w:rPr>
                <w:rFonts w:asciiTheme="minorEastAsia" w:hAnsiTheme="minorEastAsia" w:eastAsiaTheme="minorEastAsia"/>
                <w:color w:val="auto"/>
                <w:sz w:val="24"/>
                <w:highlight w:val="none"/>
              </w:rPr>
            </w:pPr>
            <w:r>
              <w:rPr>
                <w:rFonts w:hint="eastAsia" w:ascii="宋体" w:hAnsi="宋体" w:eastAsia="宋体"/>
                <w:b w:val="0"/>
                <w:color w:val="auto"/>
                <w:sz w:val="24"/>
                <w:highlight w:val="none"/>
              </w:rPr>
              <w:t>合同签订后18个月内完成</w:t>
            </w:r>
          </w:p>
        </w:tc>
        <w:tc>
          <w:tcPr>
            <w:tcW w:w="1713" w:type="dxa"/>
            <w:vAlign w:val="center"/>
          </w:tcPr>
          <w:p>
            <w:pPr>
              <w:pStyle w:val="38"/>
              <w:jc w:val="center"/>
              <w:rPr>
                <w:rFonts w:asciiTheme="minorEastAsia" w:hAnsiTheme="minorEastAsia" w:eastAsiaTheme="minorEastAsia"/>
                <w:color w:val="auto"/>
                <w:highlight w:val="none"/>
              </w:rPr>
            </w:pPr>
          </w:p>
        </w:tc>
        <w:tc>
          <w:tcPr>
            <w:tcW w:w="810" w:type="dxa"/>
            <w:vAlign w:val="center"/>
          </w:tcPr>
          <w:p>
            <w:pPr>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4"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25" w:type="dxa"/>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4050" w:type="dxa"/>
            <w:vAlign w:val="center"/>
          </w:tcPr>
          <w:p>
            <w:pPr>
              <w:pStyle w:val="30"/>
              <w:widowControl w:val="0"/>
              <w:spacing w:before="0" w:beforeAutospacing="0" w:after="0" w:afterAutospacing="0" w:line="360" w:lineRule="auto"/>
              <w:jc w:val="both"/>
              <w:rPr>
                <w:rFonts w:asciiTheme="minorEastAsia" w:hAnsiTheme="minorEastAsia" w:eastAsiaTheme="minorEastAsia"/>
                <w:color w:val="auto"/>
                <w:sz w:val="24"/>
                <w:highlight w:val="none"/>
              </w:rPr>
            </w:pPr>
            <w:r>
              <w:rPr>
                <w:rFonts w:hint="eastAsia" w:ascii="宋体" w:hAnsi="宋体" w:eastAsia="宋体"/>
                <w:b w:val="0"/>
                <w:color w:val="auto"/>
                <w:sz w:val="24"/>
                <w:highlight w:val="none"/>
              </w:rPr>
              <w:t>验收合格之日起12个月</w:t>
            </w:r>
          </w:p>
        </w:tc>
        <w:tc>
          <w:tcPr>
            <w:tcW w:w="1713" w:type="dxa"/>
            <w:vAlign w:val="center"/>
          </w:tcPr>
          <w:p>
            <w:pPr>
              <w:jc w:val="center"/>
              <w:rPr>
                <w:rFonts w:asciiTheme="minorEastAsia" w:hAnsiTheme="minorEastAsia" w:eastAsiaTheme="minorEastAsia"/>
                <w:color w:val="auto"/>
                <w:sz w:val="24"/>
                <w:highlight w:val="none"/>
              </w:rPr>
            </w:pPr>
          </w:p>
        </w:tc>
        <w:tc>
          <w:tcPr>
            <w:tcW w:w="810" w:type="dxa"/>
            <w:vAlign w:val="center"/>
          </w:tcPr>
          <w:p>
            <w:pPr>
              <w:jc w:val="center"/>
              <w:rPr>
                <w:rFonts w:asciiTheme="minorEastAsia" w:hAnsiTheme="minorEastAsia" w:eastAsiaTheme="minorEastAsia"/>
                <w:color w:val="auto"/>
                <w:sz w:val="24"/>
                <w:highlight w:val="none"/>
              </w:rPr>
            </w:pPr>
          </w:p>
        </w:tc>
      </w:tr>
    </w:tbl>
    <w:p>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3"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856" w:type="dxa"/>
            <w:vAlign w:val="center"/>
          </w:tcPr>
          <w:p>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pPr>
              <w:jc w:val="center"/>
              <w:rPr>
                <w:rFonts w:asciiTheme="minorEastAsia" w:hAnsiTheme="minorEastAsia" w:eastAsiaTheme="minorEastAsia"/>
                <w:color w:val="auto"/>
                <w:sz w:val="24"/>
                <w:highlight w:val="none"/>
              </w:rPr>
            </w:pPr>
          </w:p>
        </w:tc>
        <w:tc>
          <w:tcPr>
            <w:tcW w:w="2863" w:type="dxa"/>
            <w:vAlign w:val="center"/>
          </w:tcPr>
          <w:p>
            <w:pPr>
              <w:jc w:val="center"/>
              <w:rPr>
                <w:rFonts w:asciiTheme="minorEastAsia" w:hAnsiTheme="minorEastAsia" w:eastAsiaTheme="minorEastAsia"/>
                <w:color w:val="auto"/>
                <w:sz w:val="24"/>
                <w:highlight w:val="none"/>
              </w:rPr>
            </w:pPr>
          </w:p>
        </w:tc>
        <w:tc>
          <w:tcPr>
            <w:tcW w:w="2482" w:type="dxa"/>
            <w:vAlign w:val="center"/>
          </w:tcPr>
          <w:p>
            <w:pPr>
              <w:jc w:val="center"/>
              <w:rPr>
                <w:rFonts w:asciiTheme="minorEastAsia" w:hAnsiTheme="minorEastAsia" w:eastAsiaTheme="minorEastAsia"/>
                <w:color w:val="auto"/>
                <w:sz w:val="24"/>
                <w:highlight w:val="none"/>
              </w:rPr>
            </w:pPr>
          </w:p>
        </w:tc>
        <w:tc>
          <w:tcPr>
            <w:tcW w:w="856" w:type="dxa"/>
            <w:vAlign w:val="center"/>
          </w:tcPr>
          <w:p>
            <w:pPr>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pPr>
              <w:jc w:val="center"/>
              <w:rPr>
                <w:rFonts w:asciiTheme="minorEastAsia" w:hAnsiTheme="minorEastAsia" w:eastAsiaTheme="minorEastAsia"/>
                <w:color w:val="auto"/>
                <w:sz w:val="24"/>
                <w:highlight w:val="none"/>
              </w:rPr>
            </w:pPr>
          </w:p>
        </w:tc>
        <w:tc>
          <w:tcPr>
            <w:tcW w:w="2863" w:type="dxa"/>
            <w:vAlign w:val="center"/>
          </w:tcPr>
          <w:p>
            <w:pPr>
              <w:jc w:val="center"/>
              <w:rPr>
                <w:rFonts w:asciiTheme="minorEastAsia" w:hAnsiTheme="minorEastAsia" w:eastAsiaTheme="minorEastAsia"/>
                <w:color w:val="auto"/>
                <w:sz w:val="24"/>
                <w:highlight w:val="none"/>
              </w:rPr>
            </w:pPr>
          </w:p>
        </w:tc>
        <w:tc>
          <w:tcPr>
            <w:tcW w:w="2482" w:type="dxa"/>
            <w:vAlign w:val="center"/>
          </w:tcPr>
          <w:p>
            <w:pPr>
              <w:jc w:val="center"/>
              <w:rPr>
                <w:rFonts w:asciiTheme="minorEastAsia" w:hAnsiTheme="minorEastAsia" w:eastAsiaTheme="minorEastAsia"/>
                <w:color w:val="auto"/>
                <w:sz w:val="24"/>
                <w:highlight w:val="none"/>
              </w:rPr>
            </w:pPr>
          </w:p>
        </w:tc>
        <w:tc>
          <w:tcPr>
            <w:tcW w:w="856" w:type="dxa"/>
            <w:vAlign w:val="center"/>
          </w:tcPr>
          <w:p>
            <w:pPr>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pPr>
              <w:jc w:val="center"/>
              <w:rPr>
                <w:rFonts w:asciiTheme="minorEastAsia" w:hAnsiTheme="minorEastAsia" w:eastAsiaTheme="minorEastAsia"/>
                <w:color w:val="auto"/>
                <w:sz w:val="24"/>
                <w:highlight w:val="none"/>
              </w:rPr>
            </w:pPr>
          </w:p>
        </w:tc>
        <w:tc>
          <w:tcPr>
            <w:tcW w:w="2863" w:type="dxa"/>
            <w:vAlign w:val="center"/>
          </w:tcPr>
          <w:p>
            <w:pPr>
              <w:jc w:val="center"/>
              <w:rPr>
                <w:rFonts w:asciiTheme="minorEastAsia" w:hAnsiTheme="minorEastAsia" w:eastAsiaTheme="minorEastAsia"/>
                <w:color w:val="auto"/>
                <w:sz w:val="24"/>
                <w:highlight w:val="none"/>
              </w:rPr>
            </w:pPr>
          </w:p>
        </w:tc>
        <w:tc>
          <w:tcPr>
            <w:tcW w:w="2482" w:type="dxa"/>
            <w:vAlign w:val="center"/>
          </w:tcPr>
          <w:p>
            <w:pPr>
              <w:pStyle w:val="38"/>
              <w:jc w:val="center"/>
              <w:rPr>
                <w:rFonts w:asciiTheme="minorEastAsia" w:hAnsiTheme="minorEastAsia" w:eastAsiaTheme="minorEastAsia"/>
                <w:color w:val="auto"/>
                <w:highlight w:val="none"/>
              </w:rPr>
            </w:pPr>
          </w:p>
        </w:tc>
        <w:tc>
          <w:tcPr>
            <w:tcW w:w="856" w:type="dxa"/>
            <w:vAlign w:val="center"/>
          </w:tcPr>
          <w:p>
            <w:pPr>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pPr>
              <w:jc w:val="center"/>
              <w:rPr>
                <w:rFonts w:asciiTheme="minorEastAsia" w:hAnsiTheme="minorEastAsia" w:eastAsiaTheme="minorEastAsia"/>
                <w:color w:val="auto"/>
                <w:sz w:val="24"/>
                <w:highlight w:val="none"/>
              </w:rPr>
            </w:pPr>
          </w:p>
        </w:tc>
        <w:tc>
          <w:tcPr>
            <w:tcW w:w="2863" w:type="dxa"/>
            <w:vAlign w:val="center"/>
          </w:tcPr>
          <w:p>
            <w:pPr>
              <w:jc w:val="center"/>
              <w:rPr>
                <w:rFonts w:asciiTheme="minorEastAsia" w:hAnsiTheme="minorEastAsia" w:eastAsiaTheme="minorEastAsia"/>
                <w:color w:val="auto"/>
                <w:sz w:val="24"/>
                <w:highlight w:val="none"/>
              </w:rPr>
            </w:pPr>
          </w:p>
        </w:tc>
        <w:tc>
          <w:tcPr>
            <w:tcW w:w="2482" w:type="dxa"/>
            <w:vAlign w:val="center"/>
          </w:tcPr>
          <w:p>
            <w:pPr>
              <w:pStyle w:val="38"/>
              <w:jc w:val="center"/>
              <w:rPr>
                <w:rFonts w:asciiTheme="minorEastAsia" w:hAnsiTheme="minorEastAsia" w:eastAsiaTheme="minorEastAsia"/>
                <w:color w:val="auto"/>
                <w:highlight w:val="none"/>
              </w:rPr>
            </w:pPr>
          </w:p>
        </w:tc>
        <w:tc>
          <w:tcPr>
            <w:tcW w:w="856" w:type="dxa"/>
            <w:vAlign w:val="center"/>
          </w:tcPr>
          <w:p>
            <w:pPr>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pPr>
              <w:jc w:val="center"/>
              <w:rPr>
                <w:rFonts w:asciiTheme="minorEastAsia" w:hAnsiTheme="minorEastAsia" w:eastAsiaTheme="minorEastAsia"/>
                <w:color w:val="auto"/>
                <w:sz w:val="24"/>
                <w:highlight w:val="none"/>
              </w:rPr>
            </w:pPr>
          </w:p>
        </w:tc>
        <w:tc>
          <w:tcPr>
            <w:tcW w:w="2863" w:type="dxa"/>
            <w:vAlign w:val="center"/>
          </w:tcPr>
          <w:p>
            <w:pPr>
              <w:jc w:val="center"/>
              <w:rPr>
                <w:rFonts w:asciiTheme="minorEastAsia" w:hAnsiTheme="minorEastAsia" w:eastAsiaTheme="minorEastAsia"/>
                <w:color w:val="auto"/>
                <w:sz w:val="24"/>
                <w:highlight w:val="none"/>
              </w:rPr>
            </w:pPr>
          </w:p>
        </w:tc>
        <w:tc>
          <w:tcPr>
            <w:tcW w:w="2482" w:type="dxa"/>
            <w:vAlign w:val="center"/>
          </w:tcPr>
          <w:p>
            <w:pPr>
              <w:jc w:val="center"/>
              <w:rPr>
                <w:rFonts w:asciiTheme="minorEastAsia" w:hAnsiTheme="minorEastAsia" w:eastAsiaTheme="minorEastAsia"/>
                <w:color w:val="auto"/>
                <w:sz w:val="24"/>
                <w:highlight w:val="none"/>
              </w:rPr>
            </w:pPr>
          </w:p>
        </w:tc>
        <w:tc>
          <w:tcPr>
            <w:tcW w:w="856" w:type="dxa"/>
            <w:vAlign w:val="center"/>
          </w:tcPr>
          <w:p>
            <w:pPr>
              <w:jc w:val="center"/>
              <w:rPr>
                <w:rFonts w:asciiTheme="minorEastAsia" w:hAnsiTheme="minorEastAsia" w:eastAsiaTheme="minorEastAsia"/>
                <w:color w:val="auto"/>
                <w:sz w:val="24"/>
                <w:highlight w:val="none"/>
              </w:rPr>
            </w:pPr>
          </w:p>
        </w:tc>
      </w:tr>
    </w:tbl>
    <w:p>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rPr>
        <w:t>货物说明一览表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1"/>
        <w:gridCol w:w="1420"/>
        <w:gridCol w:w="142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20" w:type="dxa"/>
            <w:vAlign w:val="center"/>
          </w:tcPr>
          <w:p>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420" w:type="dxa"/>
            <w:vAlign w:val="center"/>
          </w:tcPr>
          <w:p>
            <w:pPr>
              <w:pStyle w:val="11"/>
              <w:jc w:val="center"/>
              <w:rPr>
                <w:rFonts w:cs="Wingdings" w:asciiTheme="minorEastAsia" w:hAnsiTheme="minorEastAsia"/>
                <w:b/>
                <w:color w:val="auto"/>
                <w:sz w:val="24"/>
                <w:highlight w:val="none"/>
              </w:rPr>
            </w:pPr>
          </w:p>
        </w:tc>
        <w:tc>
          <w:tcPr>
            <w:tcW w:w="1421" w:type="dxa"/>
            <w:vAlign w:val="center"/>
          </w:tcPr>
          <w:p>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品牌型号</w:t>
            </w:r>
          </w:p>
        </w:tc>
        <w:tc>
          <w:tcPr>
            <w:tcW w:w="1420" w:type="dxa"/>
            <w:vAlign w:val="center"/>
          </w:tcPr>
          <w:p>
            <w:pPr>
              <w:pStyle w:val="11"/>
              <w:jc w:val="center"/>
              <w:rPr>
                <w:rFonts w:cs="Wingdings" w:asciiTheme="minorEastAsia" w:hAnsiTheme="minorEastAsia"/>
                <w:b/>
                <w:color w:val="auto"/>
                <w:sz w:val="24"/>
                <w:highlight w:val="none"/>
              </w:rPr>
            </w:pPr>
          </w:p>
        </w:tc>
        <w:tc>
          <w:tcPr>
            <w:tcW w:w="1420" w:type="dxa"/>
            <w:vAlign w:val="center"/>
          </w:tcPr>
          <w:p>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数量</w:t>
            </w:r>
          </w:p>
        </w:tc>
        <w:tc>
          <w:tcPr>
            <w:tcW w:w="1421" w:type="dxa"/>
            <w:vAlign w:val="center"/>
          </w:tcPr>
          <w:p>
            <w:pPr>
              <w:pStyle w:val="11"/>
              <w:jc w:val="center"/>
              <w:rPr>
                <w:rFonts w:cs="Wingdings" w:asciiTheme="minorEastAsia" w:hAnsiTheme="minorEastAsia"/>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3" w:hRule="atLeast"/>
          <w:jc w:val="center"/>
        </w:trPr>
        <w:tc>
          <w:tcPr>
            <w:tcW w:w="8522" w:type="dxa"/>
            <w:gridSpan w:val="6"/>
          </w:tcPr>
          <w:p>
            <w:pP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所投产品的技术参数及性能说明：</w:t>
            </w:r>
          </w:p>
        </w:tc>
      </w:tr>
    </w:tbl>
    <w:p>
      <w:pPr>
        <w:pStyle w:val="12"/>
        <w:spacing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投标人电子签章：</w:t>
      </w:r>
      <w:r>
        <w:rPr>
          <w:rFonts w:asciiTheme="minorEastAsia" w:hAnsiTheme="minorEastAsia" w:eastAsiaTheme="minorEastAsia"/>
          <w:b w:val="0"/>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七、供货安装（调试）方案</w:t>
      </w:r>
    </w:p>
    <w:p>
      <w:pPr>
        <w:spacing w:line="360" w:lineRule="auto"/>
        <w:jc w:val="center"/>
        <w:rPr>
          <w:rFonts w:asciiTheme="minorEastAsia" w:hAnsiTheme="minorEastAsia" w:eastAsiaTheme="minorEastAsia"/>
          <w:i/>
          <w:color w:val="auto"/>
          <w:sz w:val="24"/>
          <w:highlight w:val="none"/>
        </w:rPr>
      </w:pPr>
      <w:r>
        <w:rPr>
          <w:rFonts w:asciiTheme="minorEastAsia" w:hAnsiTheme="minorEastAsia" w:eastAsiaTheme="minorEastAsia"/>
          <w:i/>
          <w:color w:val="auto"/>
          <w:sz w:val="24"/>
          <w:highlight w:val="none"/>
        </w:rPr>
        <w:t>(投标人可自行制作格式)</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八、售后服务与维保方案</w:t>
      </w:r>
    </w:p>
    <w:p>
      <w:pPr>
        <w:spacing w:line="360" w:lineRule="auto"/>
        <w:jc w:val="center"/>
        <w:rPr>
          <w:rFonts w:asciiTheme="minorEastAsia" w:hAnsiTheme="minorEastAsia" w:eastAsiaTheme="minorEastAsia"/>
          <w:i/>
          <w:color w:val="auto"/>
          <w:sz w:val="24"/>
          <w:highlight w:val="none"/>
        </w:rPr>
      </w:pPr>
      <w:r>
        <w:rPr>
          <w:rFonts w:asciiTheme="minorEastAsia" w:hAnsiTheme="minorEastAsia" w:eastAsiaTheme="minorEastAsia"/>
          <w:i/>
          <w:color w:val="auto"/>
          <w:sz w:val="24"/>
          <w:highlight w:val="none"/>
        </w:rPr>
        <w:t>(投标人可自行制作格式)</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九、投标业绩承诺函</w:t>
      </w:r>
    </w:p>
    <w:p>
      <w:pPr>
        <w:spacing w:line="360" w:lineRule="auto"/>
        <w:ind w:firstLine="435"/>
        <w:jc w:val="center"/>
        <w:rPr>
          <w:rFonts w:asciiTheme="minorEastAsia" w:hAnsiTheme="minorEastAsia" w:eastAsiaTheme="minorEastAsia"/>
          <w:color w:val="auto"/>
          <w:sz w:val="24"/>
          <w:highlight w:val="none"/>
        </w:rPr>
      </w:pP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我单位同意中标结果公告中公示以下业绩并承诺：投标文件中所提供的业绩均真实有效，若被发现存在任何虚假、隐瞒情况，我单位承担由此产生的一切后果。</w:t>
      </w:r>
    </w:p>
    <w:p>
      <w:pPr>
        <w:spacing w:line="360" w:lineRule="auto"/>
        <w:ind w:firstLine="435"/>
        <w:rPr>
          <w:rFonts w:asciiTheme="minorEastAsia" w:hAnsiTheme="minorEastAsia" w:eastAsiaTheme="minorEastAsia"/>
          <w:color w:val="auto"/>
          <w:sz w:val="24"/>
          <w:highlight w:val="none"/>
        </w:rPr>
      </w:pPr>
    </w:p>
    <w:p>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投标人电子签章：</w:t>
      </w:r>
      <w:r>
        <w:rPr>
          <w:rFonts w:hint="eastAsia" w:asciiTheme="minorEastAsia" w:hAnsiTheme="minorEastAsia" w:eastAsiaTheme="minorEastAsia"/>
          <w:color w:val="auto"/>
          <w:sz w:val="24"/>
          <w:highlight w:val="none"/>
          <w:u w:val="single"/>
        </w:rPr>
        <w:t xml:space="preserve">              </w:t>
      </w:r>
    </w:p>
    <w:p>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 xml:space="preserve">日    </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 xml:space="preserve"> </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 xml:space="preserve">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pPr>
        <w:tabs>
          <w:tab w:val="left" w:pos="630"/>
        </w:tabs>
        <w:spacing w:line="360" w:lineRule="auto"/>
        <w:ind w:firstLine="3700" w:firstLineChars="1762"/>
        <w:rPr>
          <w:rFonts w:asciiTheme="minorEastAsia" w:hAnsiTheme="minorEastAsia" w:eastAsiaTheme="minorEastAsia"/>
          <w:color w:val="auto"/>
          <w:highlight w:val="none"/>
        </w:rPr>
      </w:pPr>
    </w:p>
    <w:tbl>
      <w:tblPr>
        <w:tblStyle w:val="22"/>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1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4106"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项目名称</w:t>
            </w:r>
          </w:p>
        </w:tc>
        <w:tc>
          <w:tcPr>
            <w:tcW w:w="2528"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供货范围</w:t>
            </w:r>
          </w:p>
        </w:tc>
        <w:tc>
          <w:tcPr>
            <w:tcW w:w="1873"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4106" w:type="dxa"/>
            <w:vAlign w:val="center"/>
          </w:tcPr>
          <w:p>
            <w:pPr>
              <w:spacing w:line="360" w:lineRule="auto"/>
              <w:rPr>
                <w:rFonts w:asciiTheme="minorEastAsia" w:hAnsiTheme="minorEastAsia" w:eastAsiaTheme="minorEastAsia"/>
                <w:color w:val="auto"/>
                <w:sz w:val="24"/>
                <w:szCs w:val="24"/>
                <w:highlight w:val="none"/>
              </w:rPr>
            </w:pPr>
          </w:p>
        </w:tc>
        <w:tc>
          <w:tcPr>
            <w:tcW w:w="2528" w:type="dxa"/>
            <w:vAlign w:val="center"/>
          </w:tcPr>
          <w:p>
            <w:pPr>
              <w:spacing w:line="360" w:lineRule="auto"/>
              <w:rPr>
                <w:rFonts w:asciiTheme="minorEastAsia" w:hAnsiTheme="minorEastAsia" w:eastAsiaTheme="minorEastAsia"/>
                <w:color w:val="auto"/>
                <w:sz w:val="24"/>
                <w:szCs w:val="24"/>
                <w:highlight w:val="none"/>
              </w:rPr>
            </w:pPr>
          </w:p>
        </w:tc>
        <w:tc>
          <w:tcPr>
            <w:tcW w:w="1873"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4106" w:type="dxa"/>
            <w:vAlign w:val="center"/>
          </w:tcPr>
          <w:p>
            <w:pPr>
              <w:spacing w:line="360" w:lineRule="auto"/>
              <w:rPr>
                <w:rFonts w:asciiTheme="minorEastAsia" w:hAnsiTheme="minorEastAsia" w:eastAsiaTheme="minorEastAsia"/>
                <w:color w:val="auto"/>
                <w:sz w:val="24"/>
                <w:szCs w:val="24"/>
                <w:highlight w:val="none"/>
              </w:rPr>
            </w:pPr>
          </w:p>
        </w:tc>
        <w:tc>
          <w:tcPr>
            <w:tcW w:w="2528" w:type="dxa"/>
            <w:vAlign w:val="center"/>
          </w:tcPr>
          <w:p>
            <w:pPr>
              <w:spacing w:line="360" w:lineRule="auto"/>
              <w:rPr>
                <w:rFonts w:asciiTheme="minorEastAsia" w:hAnsiTheme="minorEastAsia" w:eastAsiaTheme="minorEastAsia"/>
                <w:color w:val="auto"/>
                <w:sz w:val="24"/>
                <w:szCs w:val="24"/>
                <w:highlight w:val="none"/>
              </w:rPr>
            </w:pPr>
          </w:p>
        </w:tc>
        <w:tc>
          <w:tcPr>
            <w:tcW w:w="1873"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w:t>
            </w:r>
          </w:p>
        </w:tc>
        <w:tc>
          <w:tcPr>
            <w:tcW w:w="4106" w:type="dxa"/>
            <w:vAlign w:val="center"/>
          </w:tcPr>
          <w:p>
            <w:pPr>
              <w:spacing w:line="360" w:lineRule="auto"/>
              <w:rPr>
                <w:rFonts w:asciiTheme="minorEastAsia" w:hAnsiTheme="minorEastAsia" w:eastAsiaTheme="minorEastAsia"/>
                <w:color w:val="auto"/>
                <w:sz w:val="24"/>
                <w:szCs w:val="24"/>
                <w:highlight w:val="none"/>
              </w:rPr>
            </w:pPr>
          </w:p>
        </w:tc>
        <w:tc>
          <w:tcPr>
            <w:tcW w:w="2528" w:type="dxa"/>
            <w:vAlign w:val="center"/>
          </w:tcPr>
          <w:p>
            <w:pPr>
              <w:spacing w:line="360" w:lineRule="auto"/>
              <w:rPr>
                <w:rFonts w:asciiTheme="minorEastAsia" w:hAnsiTheme="minorEastAsia" w:eastAsiaTheme="minorEastAsia"/>
                <w:color w:val="auto"/>
                <w:sz w:val="24"/>
                <w:szCs w:val="24"/>
                <w:highlight w:val="none"/>
              </w:rPr>
            </w:pPr>
          </w:p>
        </w:tc>
        <w:tc>
          <w:tcPr>
            <w:tcW w:w="1873"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p>
        </w:tc>
        <w:tc>
          <w:tcPr>
            <w:tcW w:w="4106" w:type="dxa"/>
            <w:vAlign w:val="center"/>
          </w:tcPr>
          <w:p>
            <w:pPr>
              <w:spacing w:line="360" w:lineRule="auto"/>
              <w:rPr>
                <w:rFonts w:asciiTheme="minorEastAsia" w:hAnsiTheme="minorEastAsia" w:eastAsiaTheme="minorEastAsia"/>
                <w:color w:val="auto"/>
                <w:sz w:val="24"/>
                <w:szCs w:val="24"/>
                <w:highlight w:val="none"/>
              </w:rPr>
            </w:pPr>
          </w:p>
        </w:tc>
        <w:tc>
          <w:tcPr>
            <w:tcW w:w="2528" w:type="dxa"/>
            <w:vAlign w:val="center"/>
          </w:tcPr>
          <w:p>
            <w:pPr>
              <w:spacing w:line="360" w:lineRule="auto"/>
              <w:rPr>
                <w:rFonts w:asciiTheme="minorEastAsia" w:hAnsiTheme="minorEastAsia" w:eastAsiaTheme="minorEastAsia"/>
                <w:color w:val="auto"/>
                <w:sz w:val="24"/>
                <w:szCs w:val="24"/>
                <w:highlight w:val="none"/>
              </w:rPr>
            </w:pPr>
          </w:p>
        </w:tc>
        <w:tc>
          <w:tcPr>
            <w:tcW w:w="1873"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p>
        </w:tc>
        <w:tc>
          <w:tcPr>
            <w:tcW w:w="4106" w:type="dxa"/>
            <w:vAlign w:val="center"/>
          </w:tcPr>
          <w:p>
            <w:pPr>
              <w:spacing w:line="360" w:lineRule="auto"/>
              <w:rPr>
                <w:rFonts w:asciiTheme="minorEastAsia" w:hAnsiTheme="minorEastAsia" w:eastAsiaTheme="minorEastAsia"/>
                <w:color w:val="auto"/>
                <w:sz w:val="24"/>
                <w:szCs w:val="24"/>
                <w:highlight w:val="none"/>
              </w:rPr>
            </w:pPr>
          </w:p>
        </w:tc>
        <w:tc>
          <w:tcPr>
            <w:tcW w:w="2528" w:type="dxa"/>
            <w:vAlign w:val="center"/>
          </w:tcPr>
          <w:p>
            <w:pPr>
              <w:spacing w:line="360" w:lineRule="auto"/>
              <w:rPr>
                <w:rFonts w:asciiTheme="minorEastAsia" w:hAnsiTheme="minorEastAsia" w:eastAsiaTheme="minorEastAsia"/>
                <w:color w:val="auto"/>
                <w:sz w:val="24"/>
                <w:szCs w:val="24"/>
                <w:highlight w:val="none"/>
              </w:rPr>
            </w:pPr>
          </w:p>
        </w:tc>
        <w:tc>
          <w:tcPr>
            <w:tcW w:w="1873"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p>
        </w:tc>
        <w:tc>
          <w:tcPr>
            <w:tcW w:w="4106" w:type="dxa"/>
            <w:vAlign w:val="center"/>
          </w:tcPr>
          <w:p>
            <w:pPr>
              <w:spacing w:line="360" w:lineRule="auto"/>
              <w:rPr>
                <w:rFonts w:asciiTheme="minorEastAsia" w:hAnsiTheme="minorEastAsia" w:eastAsiaTheme="minorEastAsia"/>
                <w:color w:val="auto"/>
                <w:sz w:val="24"/>
                <w:szCs w:val="24"/>
                <w:highlight w:val="none"/>
              </w:rPr>
            </w:pPr>
          </w:p>
        </w:tc>
        <w:tc>
          <w:tcPr>
            <w:tcW w:w="2528" w:type="dxa"/>
            <w:vAlign w:val="center"/>
          </w:tcPr>
          <w:p>
            <w:pPr>
              <w:spacing w:line="360" w:lineRule="auto"/>
              <w:rPr>
                <w:rFonts w:asciiTheme="minorEastAsia" w:hAnsiTheme="minorEastAsia" w:eastAsiaTheme="minorEastAsia"/>
                <w:color w:val="auto"/>
                <w:sz w:val="24"/>
                <w:szCs w:val="24"/>
                <w:highlight w:val="none"/>
              </w:rPr>
            </w:pPr>
          </w:p>
        </w:tc>
        <w:tc>
          <w:tcPr>
            <w:tcW w:w="1873" w:type="dxa"/>
            <w:vAlign w:val="center"/>
          </w:tcPr>
          <w:p>
            <w:pPr>
              <w:spacing w:line="360" w:lineRule="auto"/>
              <w:rPr>
                <w:rFonts w:asciiTheme="minorEastAsia" w:hAnsiTheme="minorEastAsia" w:eastAsiaTheme="minorEastAsia"/>
                <w:color w:val="auto"/>
                <w:sz w:val="24"/>
                <w:szCs w:val="24"/>
                <w:highlight w:val="none"/>
              </w:rPr>
            </w:pPr>
          </w:p>
        </w:tc>
      </w:tr>
    </w:tbl>
    <w:p>
      <w:pPr>
        <w:adjustRightInd w:val="0"/>
        <w:snapToGrid w:val="0"/>
        <w:spacing w:line="360" w:lineRule="auto"/>
        <w:rPr>
          <w:rFonts w:asciiTheme="minorEastAsia" w:hAnsiTheme="minorEastAsia" w:eastAsiaTheme="minorEastAsia"/>
          <w:b/>
          <w:bCs/>
          <w:color w:val="auto"/>
          <w:sz w:val="24"/>
          <w:szCs w:val="28"/>
          <w:highlight w:val="none"/>
        </w:rPr>
      </w:pPr>
    </w:p>
    <w:p>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备注：</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1.表中所列业绩应为投标人满足招标文件要求的业绩；</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2.中标人提供的以上业绩情况，如招标文件《投标人须知前附表》有约定的，将按约定随中标结果公告同时公告。</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十、联合协议</w:t>
      </w:r>
    </w:p>
    <w:p>
      <w:pPr>
        <w:pStyle w:val="18"/>
        <w:spacing w:line="360" w:lineRule="auto"/>
        <w:rPr>
          <w:rFonts w:ascii="宋体" w:hAnsi="宋体" w:eastAsia="宋体"/>
          <w:b w:val="0"/>
          <w:i/>
          <w:color w:val="auto"/>
          <w:sz w:val="24"/>
          <w:highlight w:val="none"/>
        </w:rPr>
      </w:pPr>
      <w:r>
        <w:rPr>
          <w:rFonts w:hint="eastAsia" w:ascii="宋体" w:hAnsi="宋体" w:eastAsia="宋体"/>
          <w:b w:val="0"/>
          <w:i/>
          <w:color w:val="auto"/>
          <w:sz w:val="24"/>
          <w:highlight w:val="none"/>
        </w:rPr>
        <w:t>（本项目不需此件）</w:t>
      </w:r>
    </w:p>
    <w:p>
      <w:pPr>
        <w:spacing w:line="360" w:lineRule="auto"/>
        <w:ind w:firstLine="435"/>
        <w:rPr>
          <w:rFonts w:asciiTheme="minorEastAsia" w:hAnsiTheme="minorEastAsia" w:eastAsiaTheme="minorEastAsia"/>
          <w:color w:val="auto"/>
          <w:sz w:val="24"/>
          <w:highlight w:val="none"/>
        </w:rPr>
      </w:pPr>
    </w:p>
    <w:p>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本项目的投标，</w:t>
      </w:r>
      <w:r>
        <w:rPr>
          <w:rFonts w:asciiTheme="minorEastAsia" w:hAnsiTheme="minorEastAsia" w:eastAsiaTheme="minorEastAsia"/>
          <w:color w:val="auto"/>
          <w:sz w:val="24"/>
          <w:highlight w:val="none"/>
        </w:rPr>
        <w:t>现就联合体投标事宜订立如下协议：</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（某成员单位名称）为联合体牵头人。</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4．投标工作和联合体在中标后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5．联合体中标后，本联合协议是合同的附件，对联合体各成员单位有合同约束力。</w:t>
      </w:r>
    </w:p>
    <w:p>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6．本协议书自签署之日起生效，联合体未中标或者合同履行完毕后自动失效。</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pPr>
        <w:pStyle w:val="18"/>
        <w:spacing w:line="360" w:lineRule="auto"/>
        <w:rPr>
          <w:rFonts w:asciiTheme="minorEastAsia" w:hAnsiTheme="minorEastAsia" w:eastAsiaTheme="minorEastAsia"/>
          <w:color w:val="auto"/>
          <w:sz w:val="24"/>
          <w:highlight w:val="none"/>
        </w:rPr>
      </w:pPr>
    </w:p>
    <w:p>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pPr>
        <w:spacing w:line="360" w:lineRule="auto"/>
        <w:ind w:right="480" w:firstLine="4680" w:firstLineChars="1950"/>
        <w:rPr>
          <w:rFonts w:asciiTheme="minorEastAsia" w:hAnsiTheme="minorEastAsia" w:eastAsiaTheme="minorEastAsia"/>
          <w:color w:val="auto"/>
          <w:sz w:val="24"/>
          <w:highlight w:val="none"/>
        </w:rPr>
      </w:pPr>
    </w:p>
    <w:p>
      <w:pPr>
        <w:spacing w:line="360" w:lineRule="auto"/>
        <w:ind w:right="480" w:firstLine="5460" w:firstLineChars="1950"/>
        <w:rPr>
          <w:rFonts w:asciiTheme="minorEastAsia" w:hAnsiTheme="minorEastAsia" w:eastAsiaTheme="minorEastAsia"/>
          <w:color w:val="auto"/>
          <w:sz w:val="28"/>
          <w:highlight w:val="none"/>
        </w:rPr>
      </w:pP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bookmarkStart w:id="167" w:name="_Hlk11531103"/>
      <w:r>
        <w:rPr>
          <w:rFonts w:hint="eastAsia" w:asciiTheme="minorEastAsia" w:hAnsiTheme="minorEastAsia" w:eastAsiaTheme="minorEastAsia"/>
          <w:b/>
          <w:color w:val="auto"/>
          <w:sz w:val="24"/>
          <w:highlight w:val="none"/>
        </w:rPr>
        <w:t>十一、主要中标标的承诺函</w:t>
      </w:r>
    </w:p>
    <w:p>
      <w:pPr>
        <w:spacing w:line="360" w:lineRule="auto"/>
        <w:ind w:firstLine="435"/>
        <w:rPr>
          <w:rFonts w:asciiTheme="minorEastAsia" w:hAnsiTheme="minorEastAsia" w:eastAsiaTheme="minorEastAsia"/>
          <w:color w:val="auto"/>
          <w:sz w:val="24"/>
          <w:szCs w:val="24"/>
          <w:highlight w:val="none"/>
        </w:rPr>
      </w:pPr>
    </w:p>
    <w:p>
      <w:pPr>
        <w:spacing w:line="360" w:lineRule="auto"/>
        <w:ind w:firstLine="43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我单位</w:t>
      </w:r>
      <w:r>
        <w:rPr>
          <w:rFonts w:hint="eastAsia" w:asciiTheme="minorEastAsia" w:hAnsiTheme="minorEastAsia" w:eastAsiaTheme="minorEastAsia"/>
          <w:color w:val="auto"/>
          <w:sz w:val="24"/>
          <w:highlight w:val="none"/>
        </w:rPr>
        <w:t>同意中标结果</w:t>
      </w:r>
      <w:r>
        <w:rPr>
          <w:rFonts w:hint="eastAsia" w:asciiTheme="minorEastAsia" w:hAnsiTheme="minorEastAsia" w:eastAsiaTheme="minorEastAsia"/>
          <w:color w:val="auto"/>
          <w:sz w:val="24"/>
          <w:szCs w:val="24"/>
          <w:highlight w:val="none"/>
        </w:rPr>
        <w:t>公告中公示以下主要中标标的信息并承诺：投标文件中所提供的主要中标标的信息均真实有效。若被发现存在任何虚假、隐瞒情况，我单位承担由此产生的一切后果。</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368"/>
        <w:gridCol w:w="919"/>
        <w:gridCol w:w="1423"/>
        <w:gridCol w:w="1635"/>
        <w:gridCol w:w="1565"/>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44"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1368"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货物名称</w:t>
            </w:r>
          </w:p>
        </w:tc>
        <w:tc>
          <w:tcPr>
            <w:tcW w:w="919"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品牌</w:t>
            </w:r>
          </w:p>
        </w:tc>
        <w:tc>
          <w:tcPr>
            <w:tcW w:w="1423"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规格型号</w:t>
            </w:r>
          </w:p>
        </w:tc>
        <w:tc>
          <w:tcPr>
            <w:tcW w:w="1635"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1565"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单价</w:t>
            </w:r>
          </w:p>
        </w:tc>
        <w:tc>
          <w:tcPr>
            <w:tcW w:w="868" w:type="dxa"/>
            <w:vAlign w:val="center"/>
          </w:tcPr>
          <w:p>
            <w:pPr>
              <w:widowControl/>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1368" w:type="dxa"/>
            <w:vAlign w:val="center"/>
          </w:tcPr>
          <w:p>
            <w:pPr>
              <w:spacing w:line="360" w:lineRule="auto"/>
              <w:rPr>
                <w:rFonts w:asciiTheme="minorEastAsia" w:hAnsiTheme="minorEastAsia" w:eastAsiaTheme="minorEastAsia"/>
                <w:color w:val="auto"/>
                <w:sz w:val="24"/>
                <w:szCs w:val="24"/>
                <w:highlight w:val="none"/>
              </w:rPr>
            </w:pPr>
          </w:p>
        </w:tc>
        <w:tc>
          <w:tcPr>
            <w:tcW w:w="919" w:type="dxa"/>
            <w:vAlign w:val="center"/>
          </w:tcPr>
          <w:p>
            <w:pPr>
              <w:spacing w:line="360" w:lineRule="auto"/>
              <w:rPr>
                <w:rFonts w:asciiTheme="minorEastAsia" w:hAnsiTheme="minorEastAsia" w:eastAsiaTheme="minorEastAsia"/>
                <w:color w:val="auto"/>
                <w:sz w:val="24"/>
                <w:szCs w:val="24"/>
                <w:highlight w:val="none"/>
              </w:rPr>
            </w:pPr>
          </w:p>
        </w:tc>
        <w:tc>
          <w:tcPr>
            <w:tcW w:w="1423" w:type="dxa"/>
            <w:vAlign w:val="center"/>
          </w:tcPr>
          <w:p>
            <w:pPr>
              <w:spacing w:line="360" w:lineRule="auto"/>
              <w:rPr>
                <w:rFonts w:asciiTheme="minorEastAsia" w:hAnsiTheme="minorEastAsia" w:eastAsiaTheme="minorEastAsia"/>
                <w:color w:val="auto"/>
                <w:sz w:val="24"/>
                <w:szCs w:val="24"/>
                <w:highlight w:val="none"/>
              </w:rPr>
            </w:pPr>
          </w:p>
        </w:tc>
        <w:tc>
          <w:tcPr>
            <w:tcW w:w="1635" w:type="dxa"/>
            <w:vAlign w:val="center"/>
          </w:tcPr>
          <w:p>
            <w:pPr>
              <w:spacing w:line="360" w:lineRule="auto"/>
              <w:rPr>
                <w:rFonts w:asciiTheme="minorEastAsia" w:hAnsiTheme="minorEastAsia" w:eastAsiaTheme="minorEastAsia"/>
                <w:color w:val="auto"/>
                <w:sz w:val="24"/>
                <w:szCs w:val="24"/>
                <w:highlight w:val="none"/>
              </w:rPr>
            </w:pPr>
          </w:p>
        </w:tc>
        <w:tc>
          <w:tcPr>
            <w:tcW w:w="1565" w:type="dxa"/>
            <w:vAlign w:val="center"/>
          </w:tcPr>
          <w:p>
            <w:pPr>
              <w:spacing w:line="360" w:lineRule="auto"/>
              <w:rPr>
                <w:rFonts w:asciiTheme="minorEastAsia" w:hAnsiTheme="minorEastAsia" w:eastAsiaTheme="minorEastAsia"/>
                <w:color w:val="auto"/>
                <w:sz w:val="24"/>
                <w:szCs w:val="24"/>
                <w:highlight w:val="none"/>
              </w:rPr>
            </w:pPr>
          </w:p>
        </w:tc>
        <w:tc>
          <w:tcPr>
            <w:tcW w:w="868"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1368" w:type="dxa"/>
            <w:vAlign w:val="center"/>
          </w:tcPr>
          <w:p>
            <w:pPr>
              <w:spacing w:line="360" w:lineRule="auto"/>
              <w:rPr>
                <w:rFonts w:asciiTheme="minorEastAsia" w:hAnsiTheme="minorEastAsia" w:eastAsiaTheme="minorEastAsia"/>
                <w:color w:val="auto"/>
                <w:sz w:val="24"/>
                <w:szCs w:val="24"/>
                <w:highlight w:val="none"/>
              </w:rPr>
            </w:pPr>
          </w:p>
        </w:tc>
        <w:tc>
          <w:tcPr>
            <w:tcW w:w="919" w:type="dxa"/>
            <w:vAlign w:val="center"/>
          </w:tcPr>
          <w:p>
            <w:pPr>
              <w:spacing w:line="360" w:lineRule="auto"/>
              <w:rPr>
                <w:rFonts w:asciiTheme="minorEastAsia" w:hAnsiTheme="minorEastAsia" w:eastAsiaTheme="minorEastAsia"/>
                <w:color w:val="auto"/>
                <w:sz w:val="24"/>
                <w:szCs w:val="24"/>
                <w:highlight w:val="none"/>
              </w:rPr>
            </w:pPr>
          </w:p>
        </w:tc>
        <w:tc>
          <w:tcPr>
            <w:tcW w:w="1423" w:type="dxa"/>
            <w:vAlign w:val="center"/>
          </w:tcPr>
          <w:p>
            <w:pPr>
              <w:spacing w:line="360" w:lineRule="auto"/>
              <w:rPr>
                <w:rFonts w:asciiTheme="minorEastAsia" w:hAnsiTheme="minorEastAsia" w:eastAsiaTheme="minorEastAsia"/>
                <w:color w:val="auto"/>
                <w:sz w:val="24"/>
                <w:szCs w:val="24"/>
                <w:highlight w:val="none"/>
              </w:rPr>
            </w:pPr>
          </w:p>
        </w:tc>
        <w:tc>
          <w:tcPr>
            <w:tcW w:w="1635" w:type="dxa"/>
            <w:vAlign w:val="center"/>
          </w:tcPr>
          <w:p>
            <w:pPr>
              <w:spacing w:line="360" w:lineRule="auto"/>
              <w:rPr>
                <w:rFonts w:asciiTheme="minorEastAsia" w:hAnsiTheme="minorEastAsia" w:eastAsiaTheme="minorEastAsia"/>
                <w:color w:val="auto"/>
                <w:sz w:val="24"/>
                <w:szCs w:val="24"/>
                <w:highlight w:val="none"/>
              </w:rPr>
            </w:pPr>
          </w:p>
        </w:tc>
        <w:tc>
          <w:tcPr>
            <w:tcW w:w="1565" w:type="dxa"/>
            <w:vAlign w:val="center"/>
          </w:tcPr>
          <w:p>
            <w:pPr>
              <w:spacing w:line="360" w:lineRule="auto"/>
              <w:rPr>
                <w:rFonts w:asciiTheme="minorEastAsia" w:hAnsiTheme="minorEastAsia" w:eastAsiaTheme="minorEastAsia"/>
                <w:color w:val="auto"/>
                <w:sz w:val="24"/>
                <w:szCs w:val="24"/>
                <w:highlight w:val="none"/>
              </w:rPr>
            </w:pPr>
          </w:p>
        </w:tc>
        <w:tc>
          <w:tcPr>
            <w:tcW w:w="868"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w:t>
            </w:r>
          </w:p>
        </w:tc>
        <w:tc>
          <w:tcPr>
            <w:tcW w:w="1368" w:type="dxa"/>
            <w:vAlign w:val="center"/>
          </w:tcPr>
          <w:p>
            <w:pPr>
              <w:spacing w:line="360" w:lineRule="auto"/>
              <w:rPr>
                <w:rFonts w:asciiTheme="minorEastAsia" w:hAnsiTheme="minorEastAsia" w:eastAsiaTheme="minorEastAsia"/>
                <w:color w:val="auto"/>
                <w:sz w:val="24"/>
                <w:szCs w:val="24"/>
                <w:highlight w:val="none"/>
              </w:rPr>
            </w:pPr>
          </w:p>
        </w:tc>
        <w:tc>
          <w:tcPr>
            <w:tcW w:w="919" w:type="dxa"/>
            <w:vAlign w:val="center"/>
          </w:tcPr>
          <w:p>
            <w:pPr>
              <w:spacing w:line="360" w:lineRule="auto"/>
              <w:rPr>
                <w:rFonts w:asciiTheme="minorEastAsia" w:hAnsiTheme="minorEastAsia" w:eastAsiaTheme="minorEastAsia"/>
                <w:color w:val="auto"/>
                <w:sz w:val="24"/>
                <w:szCs w:val="24"/>
                <w:highlight w:val="none"/>
              </w:rPr>
            </w:pPr>
          </w:p>
        </w:tc>
        <w:tc>
          <w:tcPr>
            <w:tcW w:w="1423" w:type="dxa"/>
            <w:vAlign w:val="center"/>
          </w:tcPr>
          <w:p>
            <w:pPr>
              <w:spacing w:line="360" w:lineRule="auto"/>
              <w:rPr>
                <w:rFonts w:asciiTheme="minorEastAsia" w:hAnsiTheme="minorEastAsia" w:eastAsiaTheme="minorEastAsia"/>
                <w:color w:val="auto"/>
                <w:sz w:val="24"/>
                <w:szCs w:val="24"/>
                <w:highlight w:val="none"/>
              </w:rPr>
            </w:pPr>
          </w:p>
        </w:tc>
        <w:tc>
          <w:tcPr>
            <w:tcW w:w="1635" w:type="dxa"/>
            <w:vAlign w:val="center"/>
          </w:tcPr>
          <w:p>
            <w:pPr>
              <w:spacing w:line="360" w:lineRule="auto"/>
              <w:rPr>
                <w:rFonts w:asciiTheme="minorEastAsia" w:hAnsiTheme="minorEastAsia" w:eastAsiaTheme="minorEastAsia"/>
                <w:color w:val="auto"/>
                <w:sz w:val="24"/>
                <w:szCs w:val="24"/>
                <w:highlight w:val="none"/>
              </w:rPr>
            </w:pPr>
          </w:p>
        </w:tc>
        <w:tc>
          <w:tcPr>
            <w:tcW w:w="1565" w:type="dxa"/>
            <w:vAlign w:val="center"/>
          </w:tcPr>
          <w:p>
            <w:pPr>
              <w:spacing w:line="360" w:lineRule="auto"/>
              <w:rPr>
                <w:rFonts w:asciiTheme="minorEastAsia" w:hAnsiTheme="minorEastAsia" w:eastAsiaTheme="minorEastAsia"/>
                <w:color w:val="auto"/>
                <w:sz w:val="24"/>
                <w:szCs w:val="24"/>
                <w:highlight w:val="none"/>
              </w:rPr>
            </w:pPr>
          </w:p>
        </w:tc>
        <w:tc>
          <w:tcPr>
            <w:tcW w:w="868"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p>
        </w:tc>
        <w:tc>
          <w:tcPr>
            <w:tcW w:w="1368" w:type="dxa"/>
            <w:vAlign w:val="center"/>
          </w:tcPr>
          <w:p>
            <w:pPr>
              <w:spacing w:line="360" w:lineRule="auto"/>
              <w:rPr>
                <w:rFonts w:asciiTheme="minorEastAsia" w:hAnsiTheme="minorEastAsia" w:eastAsiaTheme="minorEastAsia"/>
                <w:color w:val="auto"/>
                <w:sz w:val="24"/>
                <w:szCs w:val="24"/>
                <w:highlight w:val="none"/>
              </w:rPr>
            </w:pPr>
          </w:p>
        </w:tc>
        <w:tc>
          <w:tcPr>
            <w:tcW w:w="919" w:type="dxa"/>
            <w:vAlign w:val="center"/>
          </w:tcPr>
          <w:p>
            <w:pPr>
              <w:spacing w:line="360" w:lineRule="auto"/>
              <w:rPr>
                <w:rFonts w:asciiTheme="minorEastAsia" w:hAnsiTheme="minorEastAsia" w:eastAsiaTheme="minorEastAsia"/>
                <w:color w:val="auto"/>
                <w:sz w:val="24"/>
                <w:szCs w:val="24"/>
                <w:highlight w:val="none"/>
              </w:rPr>
            </w:pPr>
          </w:p>
        </w:tc>
        <w:tc>
          <w:tcPr>
            <w:tcW w:w="1423" w:type="dxa"/>
            <w:vAlign w:val="center"/>
          </w:tcPr>
          <w:p>
            <w:pPr>
              <w:spacing w:line="360" w:lineRule="auto"/>
              <w:rPr>
                <w:rFonts w:asciiTheme="minorEastAsia" w:hAnsiTheme="minorEastAsia" w:eastAsiaTheme="minorEastAsia"/>
                <w:color w:val="auto"/>
                <w:sz w:val="24"/>
                <w:szCs w:val="24"/>
                <w:highlight w:val="none"/>
              </w:rPr>
            </w:pPr>
          </w:p>
        </w:tc>
        <w:tc>
          <w:tcPr>
            <w:tcW w:w="1635" w:type="dxa"/>
            <w:vAlign w:val="center"/>
          </w:tcPr>
          <w:p>
            <w:pPr>
              <w:spacing w:line="360" w:lineRule="auto"/>
              <w:rPr>
                <w:rFonts w:asciiTheme="minorEastAsia" w:hAnsiTheme="minorEastAsia" w:eastAsiaTheme="minorEastAsia"/>
                <w:color w:val="auto"/>
                <w:sz w:val="24"/>
                <w:szCs w:val="24"/>
                <w:highlight w:val="none"/>
              </w:rPr>
            </w:pPr>
          </w:p>
        </w:tc>
        <w:tc>
          <w:tcPr>
            <w:tcW w:w="1565" w:type="dxa"/>
            <w:vAlign w:val="center"/>
          </w:tcPr>
          <w:p>
            <w:pPr>
              <w:spacing w:line="360" w:lineRule="auto"/>
              <w:rPr>
                <w:rFonts w:asciiTheme="minorEastAsia" w:hAnsiTheme="minorEastAsia" w:eastAsiaTheme="minorEastAsia"/>
                <w:color w:val="auto"/>
                <w:sz w:val="24"/>
                <w:szCs w:val="24"/>
                <w:highlight w:val="none"/>
              </w:rPr>
            </w:pPr>
          </w:p>
        </w:tc>
        <w:tc>
          <w:tcPr>
            <w:tcW w:w="868"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p>
        </w:tc>
        <w:tc>
          <w:tcPr>
            <w:tcW w:w="1368" w:type="dxa"/>
            <w:vAlign w:val="center"/>
          </w:tcPr>
          <w:p>
            <w:pPr>
              <w:spacing w:line="360" w:lineRule="auto"/>
              <w:rPr>
                <w:rFonts w:asciiTheme="minorEastAsia" w:hAnsiTheme="minorEastAsia" w:eastAsiaTheme="minorEastAsia"/>
                <w:color w:val="auto"/>
                <w:sz w:val="24"/>
                <w:szCs w:val="24"/>
                <w:highlight w:val="none"/>
              </w:rPr>
            </w:pPr>
          </w:p>
        </w:tc>
        <w:tc>
          <w:tcPr>
            <w:tcW w:w="919" w:type="dxa"/>
            <w:vAlign w:val="center"/>
          </w:tcPr>
          <w:p>
            <w:pPr>
              <w:spacing w:line="360" w:lineRule="auto"/>
              <w:rPr>
                <w:rFonts w:asciiTheme="minorEastAsia" w:hAnsiTheme="minorEastAsia" w:eastAsiaTheme="minorEastAsia"/>
                <w:color w:val="auto"/>
                <w:sz w:val="24"/>
                <w:szCs w:val="24"/>
                <w:highlight w:val="none"/>
              </w:rPr>
            </w:pPr>
          </w:p>
        </w:tc>
        <w:tc>
          <w:tcPr>
            <w:tcW w:w="1423" w:type="dxa"/>
            <w:vAlign w:val="center"/>
          </w:tcPr>
          <w:p>
            <w:pPr>
              <w:spacing w:line="360" w:lineRule="auto"/>
              <w:rPr>
                <w:rFonts w:asciiTheme="minorEastAsia" w:hAnsiTheme="minorEastAsia" w:eastAsiaTheme="minorEastAsia"/>
                <w:color w:val="auto"/>
                <w:sz w:val="24"/>
                <w:szCs w:val="24"/>
                <w:highlight w:val="none"/>
              </w:rPr>
            </w:pPr>
          </w:p>
        </w:tc>
        <w:tc>
          <w:tcPr>
            <w:tcW w:w="1635" w:type="dxa"/>
            <w:vAlign w:val="center"/>
          </w:tcPr>
          <w:p>
            <w:pPr>
              <w:spacing w:line="360" w:lineRule="auto"/>
              <w:rPr>
                <w:rFonts w:asciiTheme="minorEastAsia" w:hAnsiTheme="minorEastAsia" w:eastAsiaTheme="minorEastAsia"/>
                <w:color w:val="auto"/>
                <w:sz w:val="24"/>
                <w:szCs w:val="24"/>
                <w:highlight w:val="none"/>
              </w:rPr>
            </w:pPr>
          </w:p>
        </w:tc>
        <w:tc>
          <w:tcPr>
            <w:tcW w:w="1565" w:type="dxa"/>
            <w:vAlign w:val="center"/>
          </w:tcPr>
          <w:p>
            <w:pPr>
              <w:spacing w:line="360" w:lineRule="auto"/>
              <w:rPr>
                <w:rFonts w:asciiTheme="minorEastAsia" w:hAnsiTheme="minorEastAsia" w:eastAsiaTheme="minorEastAsia"/>
                <w:color w:val="auto"/>
                <w:sz w:val="24"/>
                <w:szCs w:val="24"/>
                <w:highlight w:val="none"/>
              </w:rPr>
            </w:pPr>
          </w:p>
        </w:tc>
        <w:tc>
          <w:tcPr>
            <w:tcW w:w="868" w:type="dxa"/>
            <w:vAlign w:val="center"/>
          </w:tcPr>
          <w:p>
            <w:pPr>
              <w:spacing w:line="360" w:lineRule="auto"/>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p>
        </w:tc>
        <w:tc>
          <w:tcPr>
            <w:tcW w:w="1368" w:type="dxa"/>
            <w:vAlign w:val="center"/>
          </w:tcPr>
          <w:p>
            <w:pPr>
              <w:spacing w:line="360" w:lineRule="auto"/>
              <w:rPr>
                <w:rFonts w:asciiTheme="minorEastAsia" w:hAnsiTheme="minorEastAsia" w:eastAsiaTheme="minorEastAsia"/>
                <w:color w:val="auto"/>
                <w:sz w:val="24"/>
                <w:szCs w:val="24"/>
                <w:highlight w:val="none"/>
              </w:rPr>
            </w:pPr>
          </w:p>
        </w:tc>
        <w:tc>
          <w:tcPr>
            <w:tcW w:w="919" w:type="dxa"/>
            <w:vAlign w:val="center"/>
          </w:tcPr>
          <w:p>
            <w:pPr>
              <w:spacing w:line="360" w:lineRule="auto"/>
              <w:rPr>
                <w:rFonts w:asciiTheme="minorEastAsia" w:hAnsiTheme="minorEastAsia" w:eastAsiaTheme="minorEastAsia"/>
                <w:color w:val="auto"/>
                <w:sz w:val="24"/>
                <w:szCs w:val="24"/>
                <w:highlight w:val="none"/>
              </w:rPr>
            </w:pPr>
          </w:p>
        </w:tc>
        <w:tc>
          <w:tcPr>
            <w:tcW w:w="1423" w:type="dxa"/>
            <w:vAlign w:val="center"/>
          </w:tcPr>
          <w:p>
            <w:pPr>
              <w:spacing w:line="360" w:lineRule="auto"/>
              <w:rPr>
                <w:rFonts w:asciiTheme="minorEastAsia" w:hAnsiTheme="minorEastAsia" w:eastAsiaTheme="minorEastAsia"/>
                <w:color w:val="auto"/>
                <w:sz w:val="24"/>
                <w:szCs w:val="24"/>
                <w:highlight w:val="none"/>
              </w:rPr>
            </w:pPr>
          </w:p>
        </w:tc>
        <w:tc>
          <w:tcPr>
            <w:tcW w:w="1635" w:type="dxa"/>
            <w:vAlign w:val="center"/>
          </w:tcPr>
          <w:p>
            <w:pPr>
              <w:spacing w:line="360" w:lineRule="auto"/>
              <w:rPr>
                <w:rFonts w:asciiTheme="minorEastAsia" w:hAnsiTheme="minorEastAsia" w:eastAsiaTheme="minorEastAsia"/>
                <w:color w:val="auto"/>
                <w:sz w:val="24"/>
                <w:szCs w:val="24"/>
                <w:highlight w:val="none"/>
              </w:rPr>
            </w:pPr>
          </w:p>
        </w:tc>
        <w:tc>
          <w:tcPr>
            <w:tcW w:w="1565" w:type="dxa"/>
            <w:vAlign w:val="center"/>
          </w:tcPr>
          <w:p>
            <w:pPr>
              <w:spacing w:line="360" w:lineRule="auto"/>
              <w:rPr>
                <w:rFonts w:asciiTheme="minorEastAsia" w:hAnsiTheme="minorEastAsia" w:eastAsiaTheme="minorEastAsia"/>
                <w:color w:val="auto"/>
                <w:sz w:val="24"/>
                <w:szCs w:val="24"/>
                <w:highlight w:val="none"/>
              </w:rPr>
            </w:pPr>
          </w:p>
        </w:tc>
        <w:tc>
          <w:tcPr>
            <w:tcW w:w="868" w:type="dxa"/>
            <w:vAlign w:val="center"/>
          </w:tcPr>
          <w:p>
            <w:pPr>
              <w:spacing w:line="360" w:lineRule="auto"/>
              <w:rPr>
                <w:rFonts w:asciiTheme="minorEastAsia" w:hAnsiTheme="minorEastAsia" w:eastAsiaTheme="minorEastAsia"/>
                <w:color w:val="auto"/>
                <w:sz w:val="24"/>
                <w:szCs w:val="24"/>
                <w:highlight w:val="none"/>
              </w:rPr>
            </w:pPr>
          </w:p>
        </w:tc>
      </w:tr>
    </w:tbl>
    <w:p>
      <w:pPr>
        <w:spacing w:line="360" w:lineRule="auto"/>
        <w:ind w:firstLine="4245" w:firstLineChars="1762"/>
        <w:rPr>
          <w:rFonts w:asciiTheme="minorEastAsia" w:hAnsiTheme="minorEastAsia" w:eastAsiaTheme="minorEastAsia"/>
          <w:b/>
          <w:color w:val="auto"/>
          <w:sz w:val="24"/>
          <w:highlight w:val="none"/>
        </w:rPr>
      </w:pPr>
    </w:p>
    <w:p>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投标人电子签章：</w:t>
      </w:r>
      <w:r>
        <w:rPr>
          <w:rFonts w:hint="eastAsia" w:asciiTheme="minorEastAsia" w:hAnsiTheme="minorEastAsia" w:eastAsiaTheme="minorEastAsia"/>
          <w:color w:val="auto"/>
          <w:sz w:val="24"/>
          <w:highlight w:val="none"/>
          <w:u w:val="single"/>
        </w:rPr>
        <w:t xml:space="preserve">              </w:t>
      </w:r>
    </w:p>
    <w:p>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 xml:space="preserve">日    </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 xml:space="preserve"> </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 xml:space="preserve">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pPr>
        <w:adjustRightInd w:val="0"/>
        <w:snapToGrid w:val="0"/>
        <w:spacing w:line="360" w:lineRule="auto"/>
        <w:rPr>
          <w:rFonts w:asciiTheme="minorEastAsia" w:hAnsiTheme="minorEastAsia" w:eastAsiaTheme="minorEastAsia"/>
          <w:b/>
          <w:bCs/>
          <w:color w:val="auto"/>
          <w:sz w:val="24"/>
          <w:szCs w:val="24"/>
          <w:highlight w:val="none"/>
        </w:rPr>
      </w:pPr>
    </w:p>
    <w:p>
      <w:pPr>
        <w:adjustRightInd w:val="0"/>
        <w:snapToGrid w:val="0"/>
        <w:spacing w:line="360" w:lineRule="auto"/>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备注：</w:t>
      </w:r>
    </w:p>
    <w:p>
      <w:pPr>
        <w:spacing w:line="360" w:lineRule="auto"/>
        <w:ind w:firstLine="435"/>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hint="eastAsia" w:asciiTheme="minorEastAsia" w:hAnsiTheme="minorEastAsia" w:eastAsiaTheme="minorEastAsia"/>
          <w:color w:val="auto"/>
          <w:sz w:val="24"/>
          <w:szCs w:val="24"/>
          <w:highlight w:val="none"/>
        </w:rPr>
        <w:t>表中所列内容为满足本项目要求的</w:t>
      </w:r>
      <w:r>
        <w:rPr>
          <w:rFonts w:hint="eastAsia" w:asciiTheme="minorEastAsia" w:hAnsiTheme="minorEastAsia" w:eastAsiaTheme="minorEastAsia"/>
          <w:bCs/>
          <w:color w:val="auto"/>
          <w:sz w:val="24"/>
          <w:szCs w:val="24"/>
          <w:highlight w:val="none"/>
        </w:rPr>
        <w:t>主要中标标的信息；</w:t>
      </w:r>
    </w:p>
    <w:p>
      <w:pPr>
        <w:spacing w:line="360" w:lineRule="auto"/>
        <w:ind w:firstLine="435"/>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2.</w:t>
      </w:r>
      <w:r>
        <w:rPr>
          <w:rFonts w:hint="eastAsia" w:asciiTheme="minorEastAsia" w:hAnsiTheme="minorEastAsia" w:eastAsiaTheme="minorEastAsia"/>
          <w:color w:val="auto"/>
          <w:sz w:val="24"/>
          <w:szCs w:val="24"/>
          <w:highlight w:val="none"/>
        </w:rPr>
        <w:t>中标人提供的以上承诺情况（含货物名称、品牌、规格型号、数量、单价），将按约定随</w:t>
      </w:r>
      <w:r>
        <w:rPr>
          <w:rFonts w:hint="eastAsia" w:asciiTheme="minorEastAsia" w:hAnsiTheme="minorEastAsia" w:eastAsiaTheme="minorEastAsia"/>
          <w:color w:val="auto"/>
          <w:sz w:val="24"/>
          <w:highlight w:val="none"/>
        </w:rPr>
        <w:t>中标结果公告</w:t>
      </w:r>
      <w:r>
        <w:rPr>
          <w:rFonts w:hint="eastAsia" w:asciiTheme="minorEastAsia" w:hAnsiTheme="minorEastAsia" w:eastAsiaTheme="minorEastAsia"/>
          <w:color w:val="auto"/>
          <w:sz w:val="24"/>
          <w:szCs w:val="24"/>
          <w:highlight w:val="none"/>
        </w:rPr>
        <w:t>同时公告。</w:t>
      </w:r>
    </w:p>
    <w:p>
      <w:pPr>
        <w:spacing w:line="360" w:lineRule="auto"/>
        <w:ind w:firstLine="435"/>
        <w:rPr>
          <w:rFonts w:asciiTheme="minorEastAsia" w:hAnsiTheme="minorEastAsia" w:eastAsiaTheme="minorEastAsia"/>
          <w:bCs/>
          <w:color w:val="auto"/>
          <w:sz w:val="24"/>
          <w:szCs w:val="24"/>
          <w:highlight w:val="none"/>
        </w:rPr>
      </w:pPr>
      <w:r>
        <w:rPr>
          <w:rFonts w:hint="eastAsia" w:asciiTheme="minorEastAsia" w:hAnsiTheme="minorEastAsia" w:eastAsiaTheme="minorEastAsia"/>
          <w:color w:val="auto"/>
          <w:sz w:val="24"/>
          <w:szCs w:val="24"/>
          <w:highlight w:val="none"/>
        </w:rPr>
        <w:t>3.</w:t>
      </w:r>
      <w:r>
        <w:rPr>
          <w:rFonts w:hint="eastAsia" w:asciiTheme="minorEastAsia" w:hAnsiTheme="minorEastAsia" w:eastAsiaTheme="minorEastAsia"/>
          <w:bCs/>
          <w:color w:val="auto"/>
          <w:sz w:val="24"/>
          <w:szCs w:val="24"/>
          <w:highlight w:val="none"/>
        </w:rPr>
        <w:t>本页</w:t>
      </w:r>
      <w:r>
        <w:rPr>
          <w:rFonts w:hint="eastAsia" w:asciiTheme="minorEastAsia" w:hAnsiTheme="minorEastAsia" w:eastAsiaTheme="minorEastAsia"/>
          <w:color w:val="auto"/>
          <w:sz w:val="24"/>
          <w:highlight w:val="none"/>
        </w:rPr>
        <w:t>《主要中标标的承诺函》</w:t>
      </w:r>
      <w:r>
        <w:rPr>
          <w:rFonts w:hint="eastAsia" w:asciiTheme="minorEastAsia" w:hAnsiTheme="minorEastAsia" w:eastAsiaTheme="minorEastAsia"/>
          <w:bCs/>
          <w:color w:val="auto"/>
          <w:sz w:val="24"/>
          <w:szCs w:val="24"/>
          <w:highlight w:val="none"/>
        </w:rPr>
        <w:t>由投标人准确填写。</w:t>
      </w:r>
    </w:p>
    <w:bookmarkEnd w:id="167"/>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十二、中小企业声明函</w:t>
      </w:r>
    </w:p>
    <w:p>
      <w:pPr>
        <w:spacing w:line="360" w:lineRule="auto"/>
        <w:jc w:val="center"/>
        <w:rPr>
          <w:rFonts w:asciiTheme="minorEastAsia" w:hAnsiTheme="minorEastAsia" w:eastAsiaTheme="minorEastAsia"/>
          <w:i/>
          <w:color w:val="auto"/>
          <w:sz w:val="24"/>
          <w:szCs w:val="24"/>
          <w:highlight w:val="none"/>
          <w:lang w:val="zh-CN"/>
        </w:rPr>
      </w:pPr>
      <w:r>
        <w:rPr>
          <w:rFonts w:hint="eastAsia" w:asciiTheme="minorEastAsia" w:hAnsiTheme="minorEastAsia" w:eastAsiaTheme="minorEastAsia"/>
          <w:i/>
          <w:color w:val="auto"/>
          <w:sz w:val="24"/>
          <w:szCs w:val="24"/>
          <w:highlight w:val="none"/>
          <w:lang w:val="zh-CN"/>
        </w:rPr>
        <w:t>（非中小企业投标，不需此件）</w:t>
      </w:r>
    </w:p>
    <w:p>
      <w:pPr>
        <w:rPr>
          <w:rFonts w:asciiTheme="minorEastAsia" w:hAnsiTheme="minorEastAsia" w:eastAsiaTheme="minorEastAsia"/>
          <w:color w:val="auto"/>
          <w:sz w:val="24"/>
          <w:szCs w:val="24"/>
          <w:highlight w:val="none"/>
        </w:rPr>
      </w:pPr>
    </w:p>
    <w:p>
      <w:pPr>
        <w:spacing w:line="360" w:lineRule="auto"/>
        <w:ind w:firstLine="435"/>
        <w:rPr>
          <w:rFonts w:ascii="宋体" w:hAnsi="宋体" w:eastAsia="宋体"/>
          <w:color w:val="auto"/>
          <w:sz w:val="24"/>
          <w:szCs w:val="24"/>
          <w:highlight w:val="none"/>
          <w:lang w:val="zh-CN"/>
        </w:rPr>
      </w:pPr>
      <w:bookmarkStart w:id="168" w:name="OLE_LINK13"/>
      <w:bookmarkStart w:id="169" w:name="OLE_LINK14"/>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（安徽大学）</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（安徽大学2022年“强光磁试验装置”直线加速器及配套设备采购项目）</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pPr>
        <w:spacing w:line="360" w:lineRule="auto"/>
        <w:ind w:firstLine="435"/>
        <w:rPr>
          <w:rFonts w:asciiTheme="minorEastAsia" w:hAnsiTheme="minorEastAsia" w:eastAsiaTheme="minorEastAsia"/>
          <w:color w:val="auto"/>
          <w:sz w:val="24"/>
          <w:szCs w:val="24"/>
          <w:highlight w:val="none"/>
        </w:rPr>
      </w:pPr>
    </w:p>
    <w:p>
      <w:pPr>
        <w:spacing w:line="360" w:lineRule="auto"/>
        <w:ind w:firstLine="435"/>
        <w:rPr>
          <w:rFonts w:asciiTheme="minorEastAsia" w:hAnsiTheme="minorEastAsia" w:eastAsiaTheme="minorEastAsia"/>
          <w:color w:val="auto"/>
          <w:sz w:val="24"/>
          <w:szCs w:val="24"/>
          <w:highlight w:val="none"/>
        </w:rPr>
      </w:pPr>
    </w:p>
    <w:p>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pPr>
        <w:tabs>
          <w:tab w:val="left" w:pos="4620"/>
        </w:tabs>
        <w:spacing w:line="360" w:lineRule="auto"/>
        <w:jc w:val="left"/>
        <w:rPr>
          <w:rFonts w:asciiTheme="minorEastAsia" w:hAnsiTheme="minorEastAsia" w:eastAsiaTheme="minorEastAsia"/>
          <w:color w:val="auto"/>
          <w:sz w:val="24"/>
          <w:szCs w:val="24"/>
          <w:highlight w:val="none"/>
        </w:rPr>
      </w:pPr>
    </w:p>
    <w:p>
      <w:pPr>
        <w:tabs>
          <w:tab w:val="left" w:pos="4620"/>
        </w:tabs>
        <w:spacing w:line="360" w:lineRule="auto"/>
        <w:jc w:val="left"/>
        <w:rPr>
          <w:rFonts w:asciiTheme="minorEastAsia" w:hAnsiTheme="minorEastAsia" w:eastAsiaTheme="minorEastAsia"/>
          <w:color w:val="auto"/>
          <w:sz w:val="24"/>
          <w:szCs w:val="24"/>
          <w:highlight w:val="none"/>
        </w:rPr>
      </w:pPr>
    </w:p>
    <w:p>
      <w:pPr>
        <w:tabs>
          <w:tab w:val="left" w:pos="4620"/>
        </w:tabs>
        <w:spacing w:line="360" w:lineRule="auto"/>
        <w:jc w:val="left"/>
        <w:rPr>
          <w:rFonts w:asciiTheme="minorEastAsia" w:hAnsiTheme="minorEastAsia" w:eastAsiaTheme="minorEastAsia"/>
          <w:color w:val="auto"/>
          <w:sz w:val="24"/>
          <w:szCs w:val="24"/>
          <w:highlight w:val="none"/>
        </w:rPr>
      </w:pPr>
    </w:p>
    <w:bookmarkEnd w:id="168"/>
    <w:bookmarkEnd w:id="169"/>
    <w:p>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备注：</w:t>
      </w:r>
    </w:p>
    <w:p>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2.企业划型标准按照《中小企业划型标准规定》（工信部联企业〔2011〕300号）执行。</w:t>
      </w:r>
    </w:p>
    <w:p>
      <w:pPr>
        <w:tabs>
          <w:tab w:val="left" w:pos="4620"/>
        </w:tabs>
        <w:spacing w:line="360" w:lineRule="auto"/>
        <w:jc w:val="left"/>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t>3</w:t>
      </w:r>
      <w:r>
        <w:rPr>
          <w:rFonts w:asciiTheme="minorEastAsia" w:hAnsiTheme="minorEastAsia" w:eastAsiaTheme="minorEastAsia"/>
          <w:b/>
          <w:bCs/>
          <w:color w:val="auto"/>
          <w:szCs w:val="24"/>
          <w:highlight w:val="none"/>
        </w:rPr>
        <w:t>.</w:t>
      </w:r>
      <w:r>
        <w:rPr>
          <w:rFonts w:hint="eastAsia" w:asciiTheme="minorEastAsia" w:hAnsiTheme="minorEastAsia" w:eastAsiaTheme="minorEastAsia"/>
          <w:b/>
          <w:bCs/>
          <w:color w:val="auto"/>
          <w:szCs w:val="24"/>
          <w:highlight w:val="none"/>
        </w:rPr>
        <w:t>上述“</w:t>
      </w:r>
      <w:r>
        <w:rPr>
          <w:rFonts w:hint="eastAsia" w:asciiTheme="minorEastAsia" w:hAnsiTheme="minorEastAsia" w:eastAsiaTheme="minorEastAsia"/>
          <w:b/>
          <w:bCs/>
          <w:color w:val="auto"/>
          <w:szCs w:val="24"/>
          <w:highlight w:val="none"/>
          <w:u w:val="single"/>
        </w:rPr>
        <w:t>采购文件中明确的所属行业</w:t>
      </w:r>
      <w:r>
        <w:rPr>
          <w:rFonts w:hint="eastAsia" w:asciiTheme="minorEastAsia" w:hAnsiTheme="minorEastAsia" w:eastAsiaTheme="minorEastAsia"/>
          <w:b/>
          <w:bCs/>
          <w:color w:val="auto"/>
          <w:szCs w:val="24"/>
          <w:highlight w:val="none"/>
        </w:rPr>
        <w:t>”，详见第三章采购需求中明确的所属行业。</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十三、残疾人福利性单位声明函</w:t>
      </w:r>
    </w:p>
    <w:p>
      <w:pPr>
        <w:spacing w:line="360" w:lineRule="auto"/>
        <w:ind w:firstLine="461"/>
        <w:jc w:val="left"/>
        <w:rPr>
          <w:rFonts w:cs="Arial" w:asciiTheme="minorEastAsia" w:hAnsiTheme="minorEastAsia" w:eastAsiaTheme="minorEastAsia"/>
          <w:b/>
          <w:i/>
          <w:color w:val="auto"/>
          <w:sz w:val="24"/>
          <w:szCs w:val="24"/>
          <w:highlight w:val="none"/>
        </w:rPr>
      </w:pPr>
      <w:r>
        <w:rPr>
          <w:rFonts w:hint="eastAsia" w:cs="Arial" w:asciiTheme="minorEastAsia" w:hAnsiTheme="minorEastAsia" w:eastAsiaTheme="minorEastAsia"/>
          <w:b/>
          <w:i/>
          <w:color w:val="auto"/>
          <w:sz w:val="24"/>
          <w:szCs w:val="24"/>
          <w:highlight w:val="none"/>
        </w:rPr>
        <w:t>（请完整填写声明函内容，否则不予认可；非残疾人福利性单位投标，不需此件）</w:t>
      </w:r>
    </w:p>
    <w:p>
      <w:pPr>
        <w:spacing w:line="360" w:lineRule="auto"/>
        <w:ind w:firstLine="435"/>
        <w:rPr>
          <w:rFonts w:asciiTheme="minorEastAsia" w:hAnsiTheme="minorEastAsia" w:eastAsiaTheme="minorEastAsia"/>
          <w:color w:val="auto"/>
          <w:spacing w:val="6"/>
          <w:sz w:val="24"/>
          <w:szCs w:val="24"/>
          <w:highlight w:val="none"/>
        </w:rPr>
      </w:pPr>
    </w:p>
    <w:p>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项目采购活动提供本单位制造的货物，或者提供其他残疾人福利性单位制造的货物（不包括使用非残疾人福利性单位注册商标的货物）。</w:t>
      </w:r>
    </w:p>
    <w:p>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pPr>
        <w:spacing w:line="360" w:lineRule="auto"/>
        <w:ind w:firstLine="4228" w:firstLineChars="1762"/>
        <w:rPr>
          <w:rFonts w:asciiTheme="minorEastAsia" w:hAnsiTheme="minorEastAsia" w:eastAsiaTheme="minorEastAsia"/>
          <w:color w:val="auto"/>
          <w:sz w:val="24"/>
          <w:szCs w:val="24"/>
          <w:highlight w:val="none"/>
        </w:rPr>
      </w:pPr>
    </w:p>
    <w:p>
      <w:pPr>
        <w:spacing w:line="360" w:lineRule="auto"/>
        <w:ind w:firstLine="4228" w:firstLineChars="1762"/>
        <w:rPr>
          <w:rFonts w:asciiTheme="minorEastAsia" w:hAnsiTheme="minorEastAsia" w:eastAsiaTheme="minorEastAsia"/>
          <w:color w:val="auto"/>
          <w:sz w:val="24"/>
          <w:szCs w:val="24"/>
          <w:highlight w:val="none"/>
        </w:rPr>
      </w:pPr>
    </w:p>
    <w:p>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1"/>
        <w:rPr>
          <w:rFonts w:asciiTheme="minorEastAsia" w:hAnsiTheme="minorEastAsia" w:eastAsiaTheme="minorEastAsia"/>
          <w:b/>
          <w:color w:val="auto"/>
          <w:sz w:val="24"/>
          <w:highlight w:val="none"/>
        </w:rPr>
      </w:pPr>
      <w:bookmarkStart w:id="170" w:name="_Toc300210382"/>
      <w:bookmarkStart w:id="171" w:name="_Toc457768004"/>
      <w:bookmarkStart w:id="172" w:name="_Toc520299348"/>
      <w:bookmarkStart w:id="173" w:name="_Hlk11701496"/>
      <w:r>
        <w:rPr>
          <w:rFonts w:hint="eastAsia" w:asciiTheme="minorEastAsia" w:hAnsiTheme="minorEastAsia" w:eastAsiaTheme="minorEastAsia"/>
          <w:b/>
          <w:color w:val="auto"/>
          <w:sz w:val="24"/>
          <w:highlight w:val="none"/>
        </w:rPr>
        <w:t>十四、</w:t>
      </w:r>
      <w:bookmarkEnd w:id="170"/>
      <w:bookmarkEnd w:id="171"/>
      <w:bookmarkEnd w:id="172"/>
      <w:r>
        <w:rPr>
          <w:rFonts w:hint="eastAsia" w:asciiTheme="minorEastAsia" w:hAnsiTheme="minorEastAsia" w:eastAsiaTheme="minorEastAsia"/>
          <w:b/>
          <w:color w:val="auto"/>
          <w:sz w:val="24"/>
          <w:highlight w:val="none"/>
        </w:rPr>
        <w:t>诚信履约承诺函</w:t>
      </w:r>
    </w:p>
    <w:p>
      <w:pPr>
        <w:spacing w:line="360" w:lineRule="auto"/>
        <w:rPr>
          <w:rFonts w:asciiTheme="minorEastAsia" w:hAnsiTheme="minorEastAsia" w:eastAsiaTheme="minorEastAsia"/>
          <w:b/>
          <w:bCs/>
          <w:color w:val="auto"/>
          <w:sz w:val="24"/>
          <w:highlight w:val="none"/>
        </w:rPr>
      </w:pPr>
    </w:p>
    <w:p>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rPr>
        <w:t>安徽大学</w:t>
      </w:r>
    </w:p>
    <w:p>
      <w:pPr>
        <w:spacing w:line="360" w:lineRule="auto"/>
        <w:ind w:firstLine="482" w:firstLineChars="200"/>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u w:val="single"/>
        </w:rPr>
        <w:t>安徽公共资源交易集团项目管理有限公司</w:t>
      </w:r>
    </w:p>
    <w:p>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spacing w:line="360" w:lineRule="auto"/>
        <w:rPr>
          <w:rFonts w:asciiTheme="minorEastAsia" w:hAnsiTheme="minorEastAsia" w:eastAsiaTheme="minorEastAsia"/>
          <w:bCs/>
          <w:color w:val="auto"/>
          <w:sz w:val="24"/>
          <w:highlight w:val="none"/>
        </w:rPr>
      </w:pPr>
    </w:p>
    <w:p>
      <w:pPr>
        <w:spacing w:line="360" w:lineRule="auto"/>
        <w:rPr>
          <w:rFonts w:asciiTheme="minorEastAsia" w:hAnsiTheme="minorEastAsia" w:eastAsiaTheme="minorEastAsia"/>
          <w:bCs/>
          <w:color w:val="auto"/>
          <w:sz w:val="24"/>
          <w:highlight w:val="none"/>
        </w:rPr>
      </w:pPr>
    </w:p>
    <w:p>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173"/>
    <w:p>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十五、其他相关证明材料</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pPr>
        <w:spacing w:line="360" w:lineRule="auto"/>
        <w:ind w:firstLine="480" w:firstLineChars="200"/>
        <w:rPr>
          <w:rFonts w:asciiTheme="minorEastAsia" w:hAnsiTheme="minorEastAsia" w:eastAsiaTheme="minorEastAsia"/>
          <w:color w:val="auto"/>
          <w:sz w:val="24"/>
          <w:highlight w:val="none"/>
        </w:rPr>
      </w:pPr>
    </w:p>
    <w:p>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，如营业执照、税务登记证、产品彩页、证书、</w:t>
      </w:r>
      <w:r>
        <w:rPr>
          <w:rFonts w:asciiTheme="minorEastAsia" w:hAnsiTheme="minorEastAsia" w:eastAsiaTheme="minorEastAsia"/>
          <w:color w:val="auto"/>
          <w:sz w:val="24"/>
          <w:highlight w:val="none"/>
        </w:rPr>
        <w:t>检测报告</w:t>
      </w:r>
      <w:r>
        <w:rPr>
          <w:rFonts w:hint="eastAsia" w:asciiTheme="minorEastAsia" w:hAnsiTheme="minorEastAsia" w:eastAsiaTheme="minorEastAsia"/>
          <w:color w:val="auto"/>
          <w:sz w:val="24"/>
          <w:highlight w:val="none"/>
        </w:rPr>
        <w:t>、产品图片</w:t>
      </w:r>
      <w:r>
        <w:rPr>
          <w:rFonts w:asciiTheme="minorEastAsia" w:hAnsiTheme="minorEastAsia" w:eastAsiaTheme="minorEastAsia"/>
          <w:color w:val="auto"/>
          <w:sz w:val="24"/>
          <w:highlight w:val="none"/>
        </w:rPr>
        <w:t>等，应将上述证明材料制作成扫描件上传。</w:t>
      </w:r>
    </w:p>
    <w:p>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0"/>
        <w:rPr>
          <w:rFonts w:asciiTheme="minorEastAsia" w:hAnsiTheme="minorEastAsia" w:eastAsiaTheme="minorEastAsia"/>
          <w:b/>
          <w:color w:val="auto"/>
          <w:sz w:val="52"/>
          <w:highlight w:val="none"/>
        </w:rPr>
      </w:pPr>
      <w:bookmarkStart w:id="174" w:name="_Toc60602970"/>
      <w:r>
        <w:rPr>
          <w:rFonts w:hint="eastAsia" w:ascii="宋体" w:hAnsi="宋体" w:eastAsia="宋体"/>
          <w:b/>
          <w:bCs/>
          <w:color w:val="auto"/>
          <w:sz w:val="28"/>
          <w:highlight w:val="none"/>
        </w:rPr>
        <w:t>第七章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商质疑函范本</w:t>
      </w:r>
      <w:bookmarkEnd w:id="174"/>
    </w:p>
    <w:p>
      <w:pPr>
        <w:jc w:val="center"/>
        <w:outlineLvl w:val="1"/>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t>质疑函范本</w:t>
      </w:r>
    </w:p>
    <w:p>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一、质疑供应商基本信息</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outlineLvl w:val="1"/>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二、质疑项目基本情况</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outlineLvl w:val="1"/>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三、质疑事项具体内容</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pPr>
        <w:adjustRightInd w:val="0"/>
        <w:snapToGrid w:val="0"/>
        <w:spacing w:line="360" w:lineRule="auto"/>
        <w:outlineLvl w:val="1"/>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四、与质疑事项相关的质疑请求</w:t>
      </w:r>
    </w:p>
    <w:p>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pPr>
        <w:outlineLvl w:val="0"/>
        <w:rPr>
          <w:rFonts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质疑函制作说明：</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5" w:type="default"/>
      <w:pgSz w:w="11906" w:h="16838"/>
      <w:pgMar w:top="1440" w:right="1800" w:bottom="1440" w:left="1519"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rFonts w:asciiTheme="minorEastAsia" w:hAnsiTheme="minorEastAsia" w:eastAsiaTheme="minorEastAsia"/>
        <w:sz w:val="21"/>
        <w:szCs w:val="21"/>
      </w:rPr>
      <w:t>第</w:t>
    </w:r>
    <w:sdt>
      <w:sdtPr>
        <w:rPr>
          <w:rFonts w:asciiTheme="minorEastAsia" w:hAnsiTheme="minorEastAsia" w:eastAsiaTheme="minorEastAsia"/>
          <w:sz w:val="21"/>
          <w:szCs w:val="21"/>
        </w:rPr>
        <w:id w:val="747232144"/>
      </w:sdtPr>
      <w:sdtEndPr>
        <w:rPr>
          <w:rFonts w:ascii="@仿宋_GB2312" w:hAnsi="@仿宋_GB2312" w:eastAsia="@仿宋_GB2312"/>
          <w:sz w:val="18"/>
          <w:szCs w:val="18"/>
        </w:rPr>
      </w:sdtEndPr>
      <w:sdtContent>
        <w:sdt>
          <w:sdtPr>
            <w:rPr>
              <w:rFonts w:asciiTheme="minorEastAsia" w:hAnsiTheme="minorEastAsia" w:eastAsiaTheme="minorEastAsia"/>
              <w:sz w:val="21"/>
              <w:szCs w:val="21"/>
            </w:rPr>
            <w:id w:val="-1669238322"/>
          </w:sdtPr>
          <w:sdtEndPr>
            <w:rPr>
              <w:rFonts w:ascii="@仿宋_GB2312" w:hAnsi="@仿宋_GB2312" w:eastAsia="@仿宋_GB2312"/>
              <w:sz w:val="18"/>
              <w:szCs w:val="18"/>
            </w:rPr>
          </w:sdtEndPr>
          <w:sdtContent>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35</w:t>
            </w:r>
            <w:r>
              <w:rPr>
                <w:rFonts w:asciiTheme="minorEastAsia" w:hAnsiTheme="minorEastAsia" w:eastAsiaTheme="minorEastAsia"/>
                <w:b/>
                <w:bCs/>
                <w:sz w:val="21"/>
                <w:szCs w:val="21"/>
              </w:rPr>
              <w:fldChar w:fldCharType="end"/>
            </w:r>
            <w:r>
              <w:rPr>
                <w:rFonts w:asciiTheme="minorEastAsia" w:hAnsiTheme="minorEastAsia" w:eastAsiaTheme="minorEastAsia"/>
                <w:sz w:val="21"/>
                <w:szCs w:val="21"/>
                <w:lang w:val="zh-CN"/>
              </w:rPr>
              <w:t xml:space="preserve"> 页/</w:t>
            </w:r>
            <w:r>
              <w:rPr>
                <w:rFonts w:asciiTheme="minorEastAsia" w:hAnsiTheme="minorEastAsia" w:eastAsiaTheme="minorEastAsia"/>
                <w:sz w:val="21"/>
                <w:szCs w:val="21"/>
              </w:rPr>
              <w:t xml:space="preserve">共 </w:t>
            </w:r>
            <w:r>
              <w:rPr>
                <w:rFonts w:asciiTheme="minorEastAsia" w:hAnsiTheme="minorEastAsia" w:eastAsiaTheme="minorEastAsia"/>
                <w:b/>
                <w:sz w:val="21"/>
                <w:szCs w:val="21"/>
              </w:rPr>
              <w:fldChar w:fldCharType="begin"/>
            </w:r>
            <w:r>
              <w:rPr>
                <w:rFonts w:asciiTheme="minorEastAsia" w:hAnsiTheme="minorEastAsia" w:eastAsiaTheme="minorEastAsia"/>
                <w:b/>
                <w:sz w:val="21"/>
                <w:szCs w:val="21"/>
              </w:rPr>
              <w:instrText xml:space="preserve"> </w:instrText>
            </w:r>
            <w:r>
              <w:rPr>
                <w:rFonts w:hint="eastAsia" w:asciiTheme="minorEastAsia" w:hAnsiTheme="minorEastAsia" w:eastAsiaTheme="minorEastAsia"/>
                <w:b/>
                <w:sz w:val="21"/>
                <w:szCs w:val="21"/>
              </w:rPr>
              <w:instrText xml:space="preserve">=</w:instrText>
            </w:r>
            <w:r>
              <w:rPr>
                <w:rFonts w:asciiTheme="minorEastAsia" w:hAnsiTheme="minorEastAsia" w:eastAsiaTheme="minorEastAsia"/>
                <w:b/>
                <w:sz w:val="21"/>
                <w:szCs w:val="21"/>
              </w:rPr>
              <w:fldChar w:fldCharType="begin"/>
            </w:r>
            <w:r>
              <w:rPr>
                <w:rFonts w:asciiTheme="minorEastAsia" w:hAnsiTheme="minorEastAsia" w:eastAsiaTheme="minorEastAsia"/>
                <w:b/>
                <w:sz w:val="21"/>
                <w:szCs w:val="21"/>
              </w:rPr>
              <w:instrText xml:space="preserve">NUMPAGES</w:instrText>
            </w:r>
            <w:r>
              <w:rPr>
                <w:rFonts w:asciiTheme="minorEastAsia" w:hAnsiTheme="minorEastAsia" w:eastAsiaTheme="minorEastAsia"/>
                <w:b/>
                <w:sz w:val="21"/>
                <w:szCs w:val="21"/>
              </w:rPr>
              <w:fldChar w:fldCharType="separate"/>
            </w:r>
            <w:r>
              <w:rPr>
                <w:rFonts w:asciiTheme="minorEastAsia" w:hAnsiTheme="minorEastAsia" w:eastAsiaTheme="minorEastAsia"/>
                <w:b/>
                <w:sz w:val="21"/>
                <w:szCs w:val="21"/>
              </w:rPr>
              <w:instrText xml:space="preserve">67</w:instrText>
            </w:r>
            <w:r>
              <w:rPr>
                <w:rFonts w:asciiTheme="minorEastAsia" w:hAnsiTheme="minorEastAsia" w:eastAsiaTheme="minorEastAsia"/>
                <w:b/>
                <w:sz w:val="21"/>
                <w:szCs w:val="21"/>
              </w:rPr>
              <w:fldChar w:fldCharType="end"/>
            </w:r>
            <w:r>
              <w:rPr>
                <w:rFonts w:hint="eastAsia" w:asciiTheme="minorEastAsia" w:hAnsiTheme="minorEastAsia" w:eastAsiaTheme="minorEastAsia"/>
                <w:b/>
                <w:sz w:val="21"/>
                <w:szCs w:val="21"/>
              </w:rPr>
              <w:instrText xml:space="preserve">-2</w:instrText>
            </w:r>
            <w:r>
              <w:rPr>
                <w:rFonts w:asciiTheme="minorEastAsia" w:hAnsiTheme="minorEastAsia" w:eastAsiaTheme="minorEastAsia"/>
                <w:b/>
                <w:sz w:val="21"/>
                <w:szCs w:val="21"/>
              </w:rPr>
              <w:instrText xml:space="preserve"> </w:instrText>
            </w:r>
            <w:r>
              <w:rPr>
                <w:rFonts w:asciiTheme="minorEastAsia" w:hAnsiTheme="minorEastAsia" w:eastAsiaTheme="minorEastAsia"/>
                <w:b/>
                <w:sz w:val="21"/>
                <w:szCs w:val="21"/>
              </w:rPr>
              <w:fldChar w:fldCharType="separate"/>
            </w:r>
            <w:r>
              <w:rPr>
                <w:rFonts w:asciiTheme="minorEastAsia" w:hAnsiTheme="minorEastAsia" w:eastAsiaTheme="minorEastAsia"/>
                <w:b/>
                <w:sz w:val="21"/>
                <w:szCs w:val="21"/>
              </w:rPr>
              <w:t>65</w:t>
            </w:r>
            <w:r>
              <w:rPr>
                <w:rFonts w:asciiTheme="minorEastAsia" w:hAnsiTheme="minorEastAsia" w:eastAsiaTheme="minorEastAsia"/>
                <w:b/>
                <w:sz w:val="21"/>
                <w:szCs w:val="21"/>
              </w:rPr>
              <w:fldChar w:fldCharType="end"/>
            </w:r>
            <w:r>
              <w:rPr>
                <w:rFonts w:hint="eastAsia" w:asciiTheme="minorEastAsia" w:hAnsiTheme="minorEastAsia" w:eastAsiaTheme="minorEastAsia"/>
                <w:sz w:val="21"/>
                <w:szCs w:val="21"/>
              </w:rPr>
              <w:t xml:space="preserve"> 页</w:t>
            </w:r>
          </w:sdtContent>
        </w:sdt>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rPr>
        <w:rFonts w:asciiTheme="minorEastAsia" w:hAnsiTheme="minorEastAsia" w:eastAsiaTheme="minorEastAsia"/>
      </w:rPr>
    </w:pPr>
    <w:r>
      <w:rPr>
        <w:rFonts w:hint="eastAsia" w:asciiTheme="minorEastAsia" w:hAnsiTheme="minorEastAsia" w:eastAsiaTheme="minorEastAsia"/>
      </w:rPr>
      <w:t>政府采购招标文件范本——货物类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D1DBC"/>
    <w:multiLevelType w:val="singleLevel"/>
    <w:tmpl w:val="8DBD1DBC"/>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2OWNmNDZiMmM4NWUyMWI5OGFhNGIxZjUyMGVlZmUifQ=="/>
  </w:docVars>
  <w:rsids>
    <w:rsidRoot w:val="00276BA1"/>
    <w:rsid w:val="0000043F"/>
    <w:rsid w:val="000049DA"/>
    <w:rsid w:val="000056B7"/>
    <w:rsid w:val="00012A13"/>
    <w:rsid w:val="000131F7"/>
    <w:rsid w:val="00016B6C"/>
    <w:rsid w:val="00020B57"/>
    <w:rsid w:val="00033B5B"/>
    <w:rsid w:val="00037DBE"/>
    <w:rsid w:val="00040ABF"/>
    <w:rsid w:val="00042139"/>
    <w:rsid w:val="00042B14"/>
    <w:rsid w:val="00044F49"/>
    <w:rsid w:val="000450C3"/>
    <w:rsid w:val="00050A3F"/>
    <w:rsid w:val="000530EC"/>
    <w:rsid w:val="0005406D"/>
    <w:rsid w:val="000544DE"/>
    <w:rsid w:val="000548CB"/>
    <w:rsid w:val="00063277"/>
    <w:rsid w:val="000648D2"/>
    <w:rsid w:val="00070E0E"/>
    <w:rsid w:val="00076DB7"/>
    <w:rsid w:val="00080FEB"/>
    <w:rsid w:val="00081B81"/>
    <w:rsid w:val="000868D6"/>
    <w:rsid w:val="0009275D"/>
    <w:rsid w:val="00094D41"/>
    <w:rsid w:val="00097CB9"/>
    <w:rsid w:val="000A3569"/>
    <w:rsid w:val="000A4640"/>
    <w:rsid w:val="000A6345"/>
    <w:rsid w:val="000A6693"/>
    <w:rsid w:val="000A6B73"/>
    <w:rsid w:val="000A7D94"/>
    <w:rsid w:val="000B1511"/>
    <w:rsid w:val="000B54F4"/>
    <w:rsid w:val="000C1DB1"/>
    <w:rsid w:val="000D3F37"/>
    <w:rsid w:val="000D431F"/>
    <w:rsid w:val="000E1CD2"/>
    <w:rsid w:val="000E3C74"/>
    <w:rsid w:val="000E3F9B"/>
    <w:rsid w:val="000E6689"/>
    <w:rsid w:val="000F014C"/>
    <w:rsid w:val="000F172B"/>
    <w:rsid w:val="000F1C24"/>
    <w:rsid w:val="000F2198"/>
    <w:rsid w:val="000F39B6"/>
    <w:rsid w:val="000F5394"/>
    <w:rsid w:val="000F6B7B"/>
    <w:rsid w:val="00100B0F"/>
    <w:rsid w:val="0010187C"/>
    <w:rsid w:val="00102D43"/>
    <w:rsid w:val="001037E3"/>
    <w:rsid w:val="001069DD"/>
    <w:rsid w:val="00110911"/>
    <w:rsid w:val="00116A70"/>
    <w:rsid w:val="0012143A"/>
    <w:rsid w:val="001222C6"/>
    <w:rsid w:val="00123612"/>
    <w:rsid w:val="0013158A"/>
    <w:rsid w:val="00136D80"/>
    <w:rsid w:val="001373D6"/>
    <w:rsid w:val="00137C7C"/>
    <w:rsid w:val="00140687"/>
    <w:rsid w:val="00141707"/>
    <w:rsid w:val="00146421"/>
    <w:rsid w:val="001479CF"/>
    <w:rsid w:val="00155F64"/>
    <w:rsid w:val="00157856"/>
    <w:rsid w:val="00160729"/>
    <w:rsid w:val="00160D83"/>
    <w:rsid w:val="001644D1"/>
    <w:rsid w:val="00166ED8"/>
    <w:rsid w:val="001714C9"/>
    <w:rsid w:val="001754E2"/>
    <w:rsid w:val="00180101"/>
    <w:rsid w:val="0018119B"/>
    <w:rsid w:val="001826D0"/>
    <w:rsid w:val="00183344"/>
    <w:rsid w:val="00183897"/>
    <w:rsid w:val="001844AB"/>
    <w:rsid w:val="00190F1F"/>
    <w:rsid w:val="001944B8"/>
    <w:rsid w:val="00195C89"/>
    <w:rsid w:val="00196DA3"/>
    <w:rsid w:val="00197AC4"/>
    <w:rsid w:val="001A0DCD"/>
    <w:rsid w:val="001A5D34"/>
    <w:rsid w:val="001A68E5"/>
    <w:rsid w:val="001B21DF"/>
    <w:rsid w:val="001B2A54"/>
    <w:rsid w:val="001B5014"/>
    <w:rsid w:val="001B7327"/>
    <w:rsid w:val="001C17A9"/>
    <w:rsid w:val="001C67F2"/>
    <w:rsid w:val="001D53B4"/>
    <w:rsid w:val="001F28D2"/>
    <w:rsid w:val="001F2F45"/>
    <w:rsid w:val="001F3023"/>
    <w:rsid w:val="001F35F6"/>
    <w:rsid w:val="001F58C4"/>
    <w:rsid w:val="001F74CA"/>
    <w:rsid w:val="002003B6"/>
    <w:rsid w:val="002049B4"/>
    <w:rsid w:val="0020520B"/>
    <w:rsid w:val="00213C55"/>
    <w:rsid w:val="00215CE6"/>
    <w:rsid w:val="002163CF"/>
    <w:rsid w:val="002168C4"/>
    <w:rsid w:val="002178B1"/>
    <w:rsid w:val="00217B8E"/>
    <w:rsid w:val="00223CF4"/>
    <w:rsid w:val="00224C4A"/>
    <w:rsid w:val="0022614A"/>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38B9"/>
    <w:rsid w:val="002A1A1D"/>
    <w:rsid w:val="002A28AD"/>
    <w:rsid w:val="002A3AEE"/>
    <w:rsid w:val="002A5CF1"/>
    <w:rsid w:val="002B5318"/>
    <w:rsid w:val="002B5373"/>
    <w:rsid w:val="002B6D27"/>
    <w:rsid w:val="002C4BA9"/>
    <w:rsid w:val="002D1258"/>
    <w:rsid w:val="002D2965"/>
    <w:rsid w:val="002D3D02"/>
    <w:rsid w:val="002D4CB5"/>
    <w:rsid w:val="002D684B"/>
    <w:rsid w:val="002E3B26"/>
    <w:rsid w:val="002E4AB8"/>
    <w:rsid w:val="002E77F7"/>
    <w:rsid w:val="002F092B"/>
    <w:rsid w:val="002F5653"/>
    <w:rsid w:val="002F5981"/>
    <w:rsid w:val="00310070"/>
    <w:rsid w:val="003110EC"/>
    <w:rsid w:val="00313029"/>
    <w:rsid w:val="00327C92"/>
    <w:rsid w:val="0033245B"/>
    <w:rsid w:val="003331B5"/>
    <w:rsid w:val="00333292"/>
    <w:rsid w:val="003344E7"/>
    <w:rsid w:val="00334590"/>
    <w:rsid w:val="0033580B"/>
    <w:rsid w:val="0033628B"/>
    <w:rsid w:val="003365E7"/>
    <w:rsid w:val="003378D5"/>
    <w:rsid w:val="003419E9"/>
    <w:rsid w:val="003447AE"/>
    <w:rsid w:val="003473D7"/>
    <w:rsid w:val="00351AC8"/>
    <w:rsid w:val="00353075"/>
    <w:rsid w:val="00363E02"/>
    <w:rsid w:val="00373A96"/>
    <w:rsid w:val="00376FAB"/>
    <w:rsid w:val="003826C2"/>
    <w:rsid w:val="00383728"/>
    <w:rsid w:val="00391586"/>
    <w:rsid w:val="003929FF"/>
    <w:rsid w:val="00394128"/>
    <w:rsid w:val="003947A4"/>
    <w:rsid w:val="00395235"/>
    <w:rsid w:val="0039561A"/>
    <w:rsid w:val="00397C7D"/>
    <w:rsid w:val="003A004F"/>
    <w:rsid w:val="003B4130"/>
    <w:rsid w:val="003B67D3"/>
    <w:rsid w:val="003B715B"/>
    <w:rsid w:val="003C4630"/>
    <w:rsid w:val="003D1D14"/>
    <w:rsid w:val="003D6C7C"/>
    <w:rsid w:val="003D6EFB"/>
    <w:rsid w:val="003D7E52"/>
    <w:rsid w:val="003E25C6"/>
    <w:rsid w:val="003F145B"/>
    <w:rsid w:val="003F1BBC"/>
    <w:rsid w:val="003F326A"/>
    <w:rsid w:val="004011AA"/>
    <w:rsid w:val="00401A64"/>
    <w:rsid w:val="0040202C"/>
    <w:rsid w:val="00406508"/>
    <w:rsid w:val="0041456E"/>
    <w:rsid w:val="00414F7E"/>
    <w:rsid w:val="004164F8"/>
    <w:rsid w:val="00417FD0"/>
    <w:rsid w:val="00420B7F"/>
    <w:rsid w:val="00423F77"/>
    <w:rsid w:val="0042488B"/>
    <w:rsid w:val="004427B7"/>
    <w:rsid w:val="0044349F"/>
    <w:rsid w:val="00445F1F"/>
    <w:rsid w:val="00451F60"/>
    <w:rsid w:val="00452BB2"/>
    <w:rsid w:val="00455276"/>
    <w:rsid w:val="0045656D"/>
    <w:rsid w:val="00462D98"/>
    <w:rsid w:val="00472A44"/>
    <w:rsid w:val="00473A89"/>
    <w:rsid w:val="00474D3B"/>
    <w:rsid w:val="00475899"/>
    <w:rsid w:val="00475B62"/>
    <w:rsid w:val="004802A8"/>
    <w:rsid w:val="00482C78"/>
    <w:rsid w:val="004874AE"/>
    <w:rsid w:val="00492E2B"/>
    <w:rsid w:val="00494D24"/>
    <w:rsid w:val="004951D1"/>
    <w:rsid w:val="004A27D0"/>
    <w:rsid w:val="004A4D67"/>
    <w:rsid w:val="004B2D4C"/>
    <w:rsid w:val="004C5C4F"/>
    <w:rsid w:val="004C7378"/>
    <w:rsid w:val="004D3D4B"/>
    <w:rsid w:val="004D5498"/>
    <w:rsid w:val="004D66A5"/>
    <w:rsid w:val="004D6B00"/>
    <w:rsid w:val="004E1D50"/>
    <w:rsid w:val="004F0396"/>
    <w:rsid w:val="00501382"/>
    <w:rsid w:val="005054B9"/>
    <w:rsid w:val="00506E4F"/>
    <w:rsid w:val="00510798"/>
    <w:rsid w:val="00514ED8"/>
    <w:rsid w:val="00515F12"/>
    <w:rsid w:val="00524A11"/>
    <w:rsid w:val="00527768"/>
    <w:rsid w:val="005327FB"/>
    <w:rsid w:val="00533FCA"/>
    <w:rsid w:val="00535B4E"/>
    <w:rsid w:val="0054317E"/>
    <w:rsid w:val="00546D49"/>
    <w:rsid w:val="005578EB"/>
    <w:rsid w:val="005616B5"/>
    <w:rsid w:val="0056770E"/>
    <w:rsid w:val="00571315"/>
    <w:rsid w:val="005720D8"/>
    <w:rsid w:val="00573AE1"/>
    <w:rsid w:val="00575F9A"/>
    <w:rsid w:val="00582075"/>
    <w:rsid w:val="00583571"/>
    <w:rsid w:val="00585EB3"/>
    <w:rsid w:val="00592509"/>
    <w:rsid w:val="00597B15"/>
    <w:rsid w:val="005A044C"/>
    <w:rsid w:val="005B0B8F"/>
    <w:rsid w:val="005B5C95"/>
    <w:rsid w:val="005B6740"/>
    <w:rsid w:val="005D0200"/>
    <w:rsid w:val="005D44EF"/>
    <w:rsid w:val="005D4814"/>
    <w:rsid w:val="005D5112"/>
    <w:rsid w:val="005E6FCF"/>
    <w:rsid w:val="005F01BE"/>
    <w:rsid w:val="005F3914"/>
    <w:rsid w:val="005F3B5A"/>
    <w:rsid w:val="005F6AB4"/>
    <w:rsid w:val="006033CB"/>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906"/>
    <w:rsid w:val="00640E1E"/>
    <w:rsid w:val="0064389A"/>
    <w:rsid w:val="00645442"/>
    <w:rsid w:val="006525CD"/>
    <w:rsid w:val="00653F7F"/>
    <w:rsid w:val="00662EE8"/>
    <w:rsid w:val="00663813"/>
    <w:rsid w:val="00663C3B"/>
    <w:rsid w:val="00664AFD"/>
    <w:rsid w:val="00667567"/>
    <w:rsid w:val="006714E6"/>
    <w:rsid w:val="0067391A"/>
    <w:rsid w:val="00674173"/>
    <w:rsid w:val="00674602"/>
    <w:rsid w:val="0067535A"/>
    <w:rsid w:val="006833B5"/>
    <w:rsid w:val="00683CA0"/>
    <w:rsid w:val="00690DB1"/>
    <w:rsid w:val="00693404"/>
    <w:rsid w:val="006953D9"/>
    <w:rsid w:val="00697FE9"/>
    <w:rsid w:val="006A57C2"/>
    <w:rsid w:val="006A5FEE"/>
    <w:rsid w:val="006A79E7"/>
    <w:rsid w:val="006B1242"/>
    <w:rsid w:val="006B1DBC"/>
    <w:rsid w:val="006B5FE4"/>
    <w:rsid w:val="006B63B7"/>
    <w:rsid w:val="006B7D9A"/>
    <w:rsid w:val="006C06D9"/>
    <w:rsid w:val="006C464F"/>
    <w:rsid w:val="006C5716"/>
    <w:rsid w:val="006C70E1"/>
    <w:rsid w:val="006C74A9"/>
    <w:rsid w:val="006D07DE"/>
    <w:rsid w:val="006D394E"/>
    <w:rsid w:val="006E06D9"/>
    <w:rsid w:val="006E1D40"/>
    <w:rsid w:val="006E2E1F"/>
    <w:rsid w:val="006E4BE8"/>
    <w:rsid w:val="006F5FFF"/>
    <w:rsid w:val="006F6E33"/>
    <w:rsid w:val="006F7AF3"/>
    <w:rsid w:val="00703635"/>
    <w:rsid w:val="007054AA"/>
    <w:rsid w:val="00706D4B"/>
    <w:rsid w:val="00707B8C"/>
    <w:rsid w:val="00710804"/>
    <w:rsid w:val="00710EC1"/>
    <w:rsid w:val="00711FC6"/>
    <w:rsid w:val="007130B1"/>
    <w:rsid w:val="00715071"/>
    <w:rsid w:val="007224C2"/>
    <w:rsid w:val="007231E9"/>
    <w:rsid w:val="00724CC9"/>
    <w:rsid w:val="00727C59"/>
    <w:rsid w:val="00734E5D"/>
    <w:rsid w:val="00735AF1"/>
    <w:rsid w:val="00736013"/>
    <w:rsid w:val="00737661"/>
    <w:rsid w:val="00753EAD"/>
    <w:rsid w:val="00755D75"/>
    <w:rsid w:val="00756245"/>
    <w:rsid w:val="00761662"/>
    <w:rsid w:val="00764043"/>
    <w:rsid w:val="007757CF"/>
    <w:rsid w:val="00776FFC"/>
    <w:rsid w:val="0078128F"/>
    <w:rsid w:val="00783408"/>
    <w:rsid w:val="0078683C"/>
    <w:rsid w:val="00790EDB"/>
    <w:rsid w:val="00791538"/>
    <w:rsid w:val="0079326E"/>
    <w:rsid w:val="00796EDE"/>
    <w:rsid w:val="007A27A9"/>
    <w:rsid w:val="007A5A58"/>
    <w:rsid w:val="007A6740"/>
    <w:rsid w:val="007A7A1D"/>
    <w:rsid w:val="007B1C56"/>
    <w:rsid w:val="007B4996"/>
    <w:rsid w:val="007C3CD5"/>
    <w:rsid w:val="007C61EF"/>
    <w:rsid w:val="007D1C0D"/>
    <w:rsid w:val="007D2D23"/>
    <w:rsid w:val="007E27D6"/>
    <w:rsid w:val="007E3921"/>
    <w:rsid w:val="007E550D"/>
    <w:rsid w:val="007E5DDE"/>
    <w:rsid w:val="00801028"/>
    <w:rsid w:val="00803793"/>
    <w:rsid w:val="0080643F"/>
    <w:rsid w:val="00814052"/>
    <w:rsid w:val="008149FD"/>
    <w:rsid w:val="00817A01"/>
    <w:rsid w:val="00821BEF"/>
    <w:rsid w:val="00824F21"/>
    <w:rsid w:val="00825E35"/>
    <w:rsid w:val="008334F8"/>
    <w:rsid w:val="008341AA"/>
    <w:rsid w:val="00835D8E"/>
    <w:rsid w:val="008376EB"/>
    <w:rsid w:val="00844D03"/>
    <w:rsid w:val="00847B0F"/>
    <w:rsid w:val="00850138"/>
    <w:rsid w:val="008630D1"/>
    <w:rsid w:val="0086600A"/>
    <w:rsid w:val="00876659"/>
    <w:rsid w:val="00876677"/>
    <w:rsid w:val="008772C9"/>
    <w:rsid w:val="0087734C"/>
    <w:rsid w:val="00882141"/>
    <w:rsid w:val="008922A8"/>
    <w:rsid w:val="00895728"/>
    <w:rsid w:val="00895BD5"/>
    <w:rsid w:val="0089742B"/>
    <w:rsid w:val="008975C8"/>
    <w:rsid w:val="008A16C4"/>
    <w:rsid w:val="008A6533"/>
    <w:rsid w:val="008A6FED"/>
    <w:rsid w:val="008B39C5"/>
    <w:rsid w:val="008B51AA"/>
    <w:rsid w:val="008B6B7F"/>
    <w:rsid w:val="008B7932"/>
    <w:rsid w:val="008C67F2"/>
    <w:rsid w:val="008D064A"/>
    <w:rsid w:val="008D2B0F"/>
    <w:rsid w:val="008E081C"/>
    <w:rsid w:val="008E2925"/>
    <w:rsid w:val="008E449E"/>
    <w:rsid w:val="008E5D23"/>
    <w:rsid w:val="008E5F56"/>
    <w:rsid w:val="008E7062"/>
    <w:rsid w:val="008F187F"/>
    <w:rsid w:val="008F402F"/>
    <w:rsid w:val="008F55FA"/>
    <w:rsid w:val="008F76E8"/>
    <w:rsid w:val="008F7CD0"/>
    <w:rsid w:val="00902902"/>
    <w:rsid w:val="00902A4B"/>
    <w:rsid w:val="00906144"/>
    <w:rsid w:val="009078A1"/>
    <w:rsid w:val="00911E9C"/>
    <w:rsid w:val="00915083"/>
    <w:rsid w:val="00917405"/>
    <w:rsid w:val="00920035"/>
    <w:rsid w:val="009204C3"/>
    <w:rsid w:val="00920F7C"/>
    <w:rsid w:val="0092582C"/>
    <w:rsid w:val="00930E02"/>
    <w:rsid w:val="00934CAE"/>
    <w:rsid w:val="0094257D"/>
    <w:rsid w:val="00942F60"/>
    <w:rsid w:val="00945885"/>
    <w:rsid w:val="00946795"/>
    <w:rsid w:val="0095211B"/>
    <w:rsid w:val="0095467C"/>
    <w:rsid w:val="00954A61"/>
    <w:rsid w:val="00955C6F"/>
    <w:rsid w:val="00966C7B"/>
    <w:rsid w:val="009701DC"/>
    <w:rsid w:val="009715D8"/>
    <w:rsid w:val="00973DF1"/>
    <w:rsid w:val="00985C4B"/>
    <w:rsid w:val="00987920"/>
    <w:rsid w:val="00995BF9"/>
    <w:rsid w:val="009969F5"/>
    <w:rsid w:val="00997C3C"/>
    <w:rsid w:val="009A0CAF"/>
    <w:rsid w:val="009A1474"/>
    <w:rsid w:val="009A2207"/>
    <w:rsid w:val="009A5147"/>
    <w:rsid w:val="009A5B62"/>
    <w:rsid w:val="009A74C4"/>
    <w:rsid w:val="009B0B92"/>
    <w:rsid w:val="009B6C42"/>
    <w:rsid w:val="009C3277"/>
    <w:rsid w:val="009C78D3"/>
    <w:rsid w:val="009C7D9F"/>
    <w:rsid w:val="009D0529"/>
    <w:rsid w:val="009D31F7"/>
    <w:rsid w:val="009D32C2"/>
    <w:rsid w:val="009D50DB"/>
    <w:rsid w:val="009D56C5"/>
    <w:rsid w:val="009E3A0A"/>
    <w:rsid w:val="009F3E91"/>
    <w:rsid w:val="009F6CE7"/>
    <w:rsid w:val="00A01670"/>
    <w:rsid w:val="00A04827"/>
    <w:rsid w:val="00A1499B"/>
    <w:rsid w:val="00A20879"/>
    <w:rsid w:val="00A20AFC"/>
    <w:rsid w:val="00A314C2"/>
    <w:rsid w:val="00A43B9C"/>
    <w:rsid w:val="00A53155"/>
    <w:rsid w:val="00A60082"/>
    <w:rsid w:val="00A63E86"/>
    <w:rsid w:val="00A65A1C"/>
    <w:rsid w:val="00A757C3"/>
    <w:rsid w:val="00A75E5B"/>
    <w:rsid w:val="00A7684A"/>
    <w:rsid w:val="00A80AE6"/>
    <w:rsid w:val="00A8266D"/>
    <w:rsid w:val="00A82AED"/>
    <w:rsid w:val="00A83B69"/>
    <w:rsid w:val="00A84D64"/>
    <w:rsid w:val="00A86533"/>
    <w:rsid w:val="00A9176A"/>
    <w:rsid w:val="00A91CA2"/>
    <w:rsid w:val="00A92FB8"/>
    <w:rsid w:val="00A948F1"/>
    <w:rsid w:val="00AA1D7D"/>
    <w:rsid w:val="00AA7525"/>
    <w:rsid w:val="00AB0EA9"/>
    <w:rsid w:val="00AB139D"/>
    <w:rsid w:val="00AB2C46"/>
    <w:rsid w:val="00AB3EFB"/>
    <w:rsid w:val="00AC0B05"/>
    <w:rsid w:val="00AD079A"/>
    <w:rsid w:val="00AD1890"/>
    <w:rsid w:val="00AE03A9"/>
    <w:rsid w:val="00AE2149"/>
    <w:rsid w:val="00AE33AE"/>
    <w:rsid w:val="00AE3785"/>
    <w:rsid w:val="00AE3F91"/>
    <w:rsid w:val="00AE452F"/>
    <w:rsid w:val="00AE76E6"/>
    <w:rsid w:val="00B00ACC"/>
    <w:rsid w:val="00B039E3"/>
    <w:rsid w:val="00B043C1"/>
    <w:rsid w:val="00B100C0"/>
    <w:rsid w:val="00B22838"/>
    <w:rsid w:val="00B32BC1"/>
    <w:rsid w:val="00B33E95"/>
    <w:rsid w:val="00B35B5E"/>
    <w:rsid w:val="00B3720B"/>
    <w:rsid w:val="00B40EE3"/>
    <w:rsid w:val="00B5140E"/>
    <w:rsid w:val="00B51F77"/>
    <w:rsid w:val="00B55271"/>
    <w:rsid w:val="00B5558A"/>
    <w:rsid w:val="00B56513"/>
    <w:rsid w:val="00B56B2E"/>
    <w:rsid w:val="00B64376"/>
    <w:rsid w:val="00B71533"/>
    <w:rsid w:val="00B7401F"/>
    <w:rsid w:val="00B806C3"/>
    <w:rsid w:val="00B83FAF"/>
    <w:rsid w:val="00B84841"/>
    <w:rsid w:val="00B84FCA"/>
    <w:rsid w:val="00B87914"/>
    <w:rsid w:val="00B9089F"/>
    <w:rsid w:val="00B91AEE"/>
    <w:rsid w:val="00B94F71"/>
    <w:rsid w:val="00B95F5A"/>
    <w:rsid w:val="00B96EAD"/>
    <w:rsid w:val="00BA4B42"/>
    <w:rsid w:val="00BA79F5"/>
    <w:rsid w:val="00BB02E8"/>
    <w:rsid w:val="00BB3AB6"/>
    <w:rsid w:val="00BB766D"/>
    <w:rsid w:val="00BC007B"/>
    <w:rsid w:val="00BC15AD"/>
    <w:rsid w:val="00BC15E7"/>
    <w:rsid w:val="00BC26BA"/>
    <w:rsid w:val="00BC35F8"/>
    <w:rsid w:val="00BC7140"/>
    <w:rsid w:val="00BD3944"/>
    <w:rsid w:val="00BF376F"/>
    <w:rsid w:val="00BF46A6"/>
    <w:rsid w:val="00BF62CF"/>
    <w:rsid w:val="00BF73D6"/>
    <w:rsid w:val="00C06545"/>
    <w:rsid w:val="00C1161C"/>
    <w:rsid w:val="00C220FC"/>
    <w:rsid w:val="00C24DFA"/>
    <w:rsid w:val="00C27381"/>
    <w:rsid w:val="00C4002C"/>
    <w:rsid w:val="00C4202A"/>
    <w:rsid w:val="00C4211F"/>
    <w:rsid w:val="00C45804"/>
    <w:rsid w:val="00C46A36"/>
    <w:rsid w:val="00C47037"/>
    <w:rsid w:val="00C53625"/>
    <w:rsid w:val="00C602C1"/>
    <w:rsid w:val="00C618FA"/>
    <w:rsid w:val="00C63FC0"/>
    <w:rsid w:val="00C64B84"/>
    <w:rsid w:val="00C66392"/>
    <w:rsid w:val="00C71B59"/>
    <w:rsid w:val="00C74C5E"/>
    <w:rsid w:val="00C827A2"/>
    <w:rsid w:val="00C82B69"/>
    <w:rsid w:val="00C85394"/>
    <w:rsid w:val="00C8657D"/>
    <w:rsid w:val="00C91B28"/>
    <w:rsid w:val="00C91F3A"/>
    <w:rsid w:val="00C94A6F"/>
    <w:rsid w:val="00CA06E3"/>
    <w:rsid w:val="00CB5797"/>
    <w:rsid w:val="00CC1202"/>
    <w:rsid w:val="00CC4099"/>
    <w:rsid w:val="00CC45C1"/>
    <w:rsid w:val="00CD09E1"/>
    <w:rsid w:val="00CD6202"/>
    <w:rsid w:val="00CE079B"/>
    <w:rsid w:val="00CE2486"/>
    <w:rsid w:val="00CE4913"/>
    <w:rsid w:val="00CE66BD"/>
    <w:rsid w:val="00CE69E8"/>
    <w:rsid w:val="00CF0671"/>
    <w:rsid w:val="00CF44AD"/>
    <w:rsid w:val="00CF4FC0"/>
    <w:rsid w:val="00D1072F"/>
    <w:rsid w:val="00D108A5"/>
    <w:rsid w:val="00D1453D"/>
    <w:rsid w:val="00D14585"/>
    <w:rsid w:val="00D20EFF"/>
    <w:rsid w:val="00D22542"/>
    <w:rsid w:val="00D30F1B"/>
    <w:rsid w:val="00D30FC0"/>
    <w:rsid w:val="00D34F0D"/>
    <w:rsid w:val="00D3516E"/>
    <w:rsid w:val="00D4064C"/>
    <w:rsid w:val="00D53ED8"/>
    <w:rsid w:val="00D56A47"/>
    <w:rsid w:val="00D64857"/>
    <w:rsid w:val="00D6493A"/>
    <w:rsid w:val="00D64EE2"/>
    <w:rsid w:val="00D67875"/>
    <w:rsid w:val="00D715E0"/>
    <w:rsid w:val="00D71CBD"/>
    <w:rsid w:val="00D71E86"/>
    <w:rsid w:val="00D731C6"/>
    <w:rsid w:val="00D745C5"/>
    <w:rsid w:val="00D75327"/>
    <w:rsid w:val="00D76473"/>
    <w:rsid w:val="00D80C36"/>
    <w:rsid w:val="00D86779"/>
    <w:rsid w:val="00D86EE1"/>
    <w:rsid w:val="00D9120E"/>
    <w:rsid w:val="00D96126"/>
    <w:rsid w:val="00DA0ECF"/>
    <w:rsid w:val="00DA63AA"/>
    <w:rsid w:val="00DB4B1C"/>
    <w:rsid w:val="00DB5085"/>
    <w:rsid w:val="00DB7706"/>
    <w:rsid w:val="00DC1062"/>
    <w:rsid w:val="00DC132C"/>
    <w:rsid w:val="00DD43F0"/>
    <w:rsid w:val="00DD44DE"/>
    <w:rsid w:val="00DE09AB"/>
    <w:rsid w:val="00DE4A3F"/>
    <w:rsid w:val="00DE7AE9"/>
    <w:rsid w:val="00DF4367"/>
    <w:rsid w:val="00DF5E1E"/>
    <w:rsid w:val="00E0574A"/>
    <w:rsid w:val="00E1243D"/>
    <w:rsid w:val="00E12742"/>
    <w:rsid w:val="00E146D4"/>
    <w:rsid w:val="00E1563B"/>
    <w:rsid w:val="00E1726C"/>
    <w:rsid w:val="00E20976"/>
    <w:rsid w:val="00E22079"/>
    <w:rsid w:val="00E22B44"/>
    <w:rsid w:val="00E236D8"/>
    <w:rsid w:val="00E30ACD"/>
    <w:rsid w:val="00E32735"/>
    <w:rsid w:val="00E5391D"/>
    <w:rsid w:val="00E66E36"/>
    <w:rsid w:val="00E6781E"/>
    <w:rsid w:val="00E702ED"/>
    <w:rsid w:val="00E709A4"/>
    <w:rsid w:val="00E72B81"/>
    <w:rsid w:val="00E73822"/>
    <w:rsid w:val="00E772DB"/>
    <w:rsid w:val="00E86012"/>
    <w:rsid w:val="00E86BAB"/>
    <w:rsid w:val="00E871D6"/>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3E89"/>
    <w:rsid w:val="00EE6E9A"/>
    <w:rsid w:val="00EF0BF1"/>
    <w:rsid w:val="00EF2AC4"/>
    <w:rsid w:val="00EF372B"/>
    <w:rsid w:val="00EF397E"/>
    <w:rsid w:val="00F06F68"/>
    <w:rsid w:val="00F1713B"/>
    <w:rsid w:val="00F212CB"/>
    <w:rsid w:val="00F23C7D"/>
    <w:rsid w:val="00F243DB"/>
    <w:rsid w:val="00F24C2D"/>
    <w:rsid w:val="00F24F1B"/>
    <w:rsid w:val="00F27356"/>
    <w:rsid w:val="00F32A81"/>
    <w:rsid w:val="00F367A1"/>
    <w:rsid w:val="00F46998"/>
    <w:rsid w:val="00F47100"/>
    <w:rsid w:val="00F5382D"/>
    <w:rsid w:val="00F53D9C"/>
    <w:rsid w:val="00F540F6"/>
    <w:rsid w:val="00F5462B"/>
    <w:rsid w:val="00F55B24"/>
    <w:rsid w:val="00F634AD"/>
    <w:rsid w:val="00F63677"/>
    <w:rsid w:val="00F63F90"/>
    <w:rsid w:val="00F75B81"/>
    <w:rsid w:val="00F804C4"/>
    <w:rsid w:val="00F82F83"/>
    <w:rsid w:val="00F832E5"/>
    <w:rsid w:val="00F90F40"/>
    <w:rsid w:val="00F90F87"/>
    <w:rsid w:val="00F92B30"/>
    <w:rsid w:val="00F933B9"/>
    <w:rsid w:val="00F94674"/>
    <w:rsid w:val="00F94919"/>
    <w:rsid w:val="00F94A59"/>
    <w:rsid w:val="00FA25B6"/>
    <w:rsid w:val="00FA2FAF"/>
    <w:rsid w:val="00FA5CCF"/>
    <w:rsid w:val="00FA64B1"/>
    <w:rsid w:val="00FA70F3"/>
    <w:rsid w:val="00FA71CD"/>
    <w:rsid w:val="00FA7CDF"/>
    <w:rsid w:val="00FB0453"/>
    <w:rsid w:val="00FB0C07"/>
    <w:rsid w:val="00FB298D"/>
    <w:rsid w:val="00FC1439"/>
    <w:rsid w:val="00FC58BE"/>
    <w:rsid w:val="00FC724B"/>
    <w:rsid w:val="00FC7910"/>
    <w:rsid w:val="00FE13AD"/>
    <w:rsid w:val="00FE654F"/>
    <w:rsid w:val="00FE72A6"/>
    <w:rsid w:val="00FF0DA7"/>
    <w:rsid w:val="00FF44E0"/>
    <w:rsid w:val="00FF4CB6"/>
    <w:rsid w:val="00FF6C72"/>
    <w:rsid w:val="010B75FB"/>
    <w:rsid w:val="014B1A44"/>
    <w:rsid w:val="01513980"/>
    <w:rsid w:val="0167656A"/>
    <w:rsid w:val="02171298"/>
    <w:rsid w:val="024E06C5"/>
    <w:rsid w:val="02850853"/>
    <w:rsid w:val="0285542C"/>
    <w:rsid w:val="02A8197F"/>
    <w:rsid w:val="02B25656"/>
    <w:rsid w:val="02B73467"/>
    <w:rsid w:val="02C358D2"/>
    <w:rsid w:val="04300866"/>
    <w:rsid w:val="048B7146"/>
    <w:rsid w:val="04BD3131"/>
    <w:rsid w:val="055B7E8A"/>
    <w:rsid w:val="05660891"/>
    <w:rsid w:val="05E00D97"/>
    <w:rsid w:val="06323B80"/>
    <w:rsid w:val="06DB564D"/>
    <w:rsid w:val="06DB5D3A"/>
    <w:rsid w:val="070B5FA6"/>
    <w:rsid w:val="071E3DDB"/>
    <w:rsid w:val="07254271"/>
    <w:rsid w:val="0727157D"/>
    <w:rsid w:val="07415E09"/>
    <w:rsid w:val="078D3E8D"/>
    <w:rsid w:val="080A1101"/>
    <w:rsid w:val="08607B63"/>
    <w:rsid w:val="08737AB2"/>
    <w:rsid w:val="08765298"/>
    <w:rsid w:val="087850AF"/>
    <w:rsid w:val="08EE13F7"/>
    <w:rsid w:val="08F42D95"/>
    <w:rsid w:val="09195D51"/>
    <w:rsid w:val="09526D5E"/>
    <w:rsid w:val="096A427E"/>
    <w:rsid w:val="09962A2F"/>
    <w:rsid w:val="09DD0BED"/>
    <w:rsid w:val="0A3A6478"/>
    <w:rsid w:val="0ADC7FF0"/>
    <w:rsid w:val="0B1C11B2"/>
    <w:rsid w:val="0B6E34FB"/>
    <w:rsid w:val="0B7A7A89"/>
    <w:rsid w:val="0BA66D91"/>
    <w:rsid w:val="0BB22140"/>
    <w:rsid w:val="0BF85C05"/>
    <w:rsid w:val="0C280B9F"/>
    <w:rsid w:val="0C381F56"/>
    <w:rsid w:val="0CD645C5"/>
    <w:rsid w:val="0D302112"/>
    <w:rsid w:val="0D4C5575"/>
    <w:rsid w:val="0D5458D4"/>
    <w:rsid w:val="0D9917F6"/>
    <w:rsid w:val="0DA70271"/>
    <w:rsid w:val="0E0A51A7"/>
    <w:rsid w:val="0E1E6298"/>
    <w:rsid w:val="0E781E82"/>
    <w:rsid w:val="0E933213"/>
    <w:rsid w:val="0F6E49CF"/>
    <w:rsid w:val="0F7D6AE0"/>
    <w:rsid w:val="0F7E3FAD"/>
    <w:rsid w:val="0F8162A1"/>
    <w:rsid w:val="0FDD33A8"/>
    <w:rsid w:val="0FDE33C6"/>
    <w:rsid w:val="0FF811B8"/>
    <w:rsid w:val="10946BD6"/>
    <w:rsid w:val="10BC74FF"/>
    <w:rsid w:val="10CE0541"/>
    <w:rsid w:val="11293A08"/>
    <w:rsid w:val="11461F1A"/>
    <w:rsid w:val="116D2718"/>
    <w:rsid w:val="11C57383"/>
    <w:rsid w:val="11D02516"/>
    <w:rsid w:val="11D307FC"/>
    <w:rsid w:val="11D910A6"/>
    <w:rsid w:val="1254371D"/>
    <w:rsid w:val="126068AC"/>
    <w:rsid w:val="128426B0"/>
    <w:rsid w:val="12BB7A63"/>
    <w:rsid w:val="12BF45DE"/>
    <w:rsid w:val="12F97BDD"/>
    <w:rsid w:val="130F21C0"/>
    <w:rsid w:val="131549CC"/>
    <w:rsid w:val="13540778"/>
    <w:rsid w:val="13820202"/>
    <w:rsid w:val="140A4F6B"/>
    <w:rsid w:val="143744A9"/>
    <w:rsid w:val="143834A9"/>
    <w:rsid w:val="14D814AD"/>
    <w:rsid w:val="14EF19BE"/>
    <w:rsid w:val="1506651E"/>
    <w:rsid w:val="15243CE7"/>
    <w:rsid w:val="159333D6"/>
    <w:rsid w:val="15C50314"/>
    <w:rsid w:val="160C56EC"/>
    <w:rsid w:val="160D2D0B"/>
    <w:rsid w:val="161926C2"/>
    <w:rsid w:val="165D3280"/>
    <w:rsid w:val="16A939D4"/>
    <w:rsid w:val="17567AFD"/>
    <w:rsid w:val="17A4409D"/>
    <w:rsid w:val="18065288"/>
    <w:rsid w:val="182E0E29"/>
    <w:rsid w:val="18427AA8"/>
    <w:rsid w:val="18847178"/>
    <w:rsid w:val="18A10D83"/>
    <w:rsid w:val="18C21AF0"/>
    <w:rsid w:val="191B2C0B"/>
    <w:rsid w:val="195A65FA"/>
    <w:rsid w:val="195F3D41"/>
    <w:rsid w:val="199B613F"/>
    <w:rsid w:val="19C701FF"/>
    <w:rsid w:val="1A0B5224"/>
    <w:rsid w:val="1A541610"/>
    <w:rsid w:val="1BCB3080"/>
    <w:rsid w:val="1BEF3F10"/>
    <w:rsid w:val="1BF05166"/>
    <w:rsid w:val="1C7A7D2D"/>
    <w:rsid w:val="1C975228"/>
    <w:rsid w:val="1CA51916"/>
    <w:rsid w:val="1CD204EB"/>
    <w:rsid w:val="1CD270B7"/>
    <w:rsid w:val="1CFB7DAE"/>
    <w:rsid w:val="1D4560ED"/>
    <w:rsid w:val="1D4622ED"/>
    <w:rsid w:val="1D8E0033"/>
    <w:rsid w:val="1E1635CA"/>
    <w:rsid w:val="1E697BD1"/>
    <w:rsid w:val="1E871A17"/>
    <w:rsid w:val="1E971BC1"/>
    <w:rsid w:val="20207C0B"/>
    <w:rsid w:val="20421761"/>
    <w:rsid w:val="208F1DD6"/>
    <w:rsid w:val="20A142C8"/>
    <w:rsid w:val="20A54E4F"/>
    <w:rsid w:val="20BD0A8D"/>
    <w:rsid w:val="20DC6F10"/>
    <w:rsid w:val="2108724C"/>
    <w:rsid w:val="211D1605"/>
    <w:rsid w:val="22A668A5"/>
    <w:rsid w:val="22AB3EB7"/>
    <w:rsid w:val="234E0BFE"/>
    <w:rsid w:val="238B6062"/>
    <w:rsid w:val="238F04F9"/>
    <w:rsid w:val="239F491E"/>
    <w:rsid w:val="2400243E"/>
    <w:rsid w:val="24887EEC"/>
    <w:rsid w:val="24B53D93"/>
    <w:rsid w:val="250F2542"/>
    <w:rsid w:val="259E6DEF"/>
    <w:rsid w:val="26236B49"/>
    <w:rsid w:val="26256E6E"/>
    <w:rsid w:val="263065DC"/>
    <w:rsid w:val="26BA2959"/>
    <w:rsid w:val="26DF530B"/>
    <w:rsid w:val="272E74D9"/>
    <w:rsid w:val="27FB2E4D"/>
    <w:rsid w:val="280136C4"/>
    <w:rsid w:val="286A53AE"/>
    <w:rsid w:val="293C50E0"/>
    <w:rsid w:val="298B7234"/>
    <w:rsid w:val="29B852D0"/>
    <w:rsid w:val="29C630D0"/>
    <w:rsid w:val="29C93A7E"/>
    <w:rsid w:val="2A591EAB"/>
    <w:rsid w:val="2AFE782E"/>
    <w:rsid w:val="2B937AB3"/>
    <w:rsid w:val="2BBA00D7"/>
    <w:rsid w:val="2BBF0EE7"/>
    <w:rsid w:val="2BE13312"/>
    <w:rsid w:val="2C6073CE"/>
    <w:rsid w:val="2CD428F3"/>
    <w:rsid w:val="2CE01721"/>
    <w:rsid w:val="2CE37AC1"/>
    <w:rsid w:val="2CEB4EE3"/>
    <w:rsid w:val="2D0D4463"/>
    <w:rsid w:val="2D3E6F3D"/>
    <w:rsid w:val="2DB27950"/>
    <w:rsid w:val="2DB75585"/>
    <w:rsid w:val="2E3D16B8"/>
    <w:rsid w:val="2E8A10F9"/>
    <w:rsid w:val="2E9B7A1C"/>
    <w:rsid w:val="2EF63988"/>
    <w:rsid w:val="2F0F4969"/>
    <w:rsid w:val="2F1F608A"/>
    <w:rsid w:val="2F6B4E14"/>
    <w:rsid w:val="2FB81061"/>
    <w:rsid w:val="30026891"/>
    <w:rsid w:val="301756A6"/>
    <w:rsid w:val="3036643E"/>
    <w:rsid w:val="30455695"/>
    <w:rsid w:val="307D6284"/>
    <w:rsid w:val="30844214"/>
    <w:rsid w:val="308647ED"/>
    <w:rsid w:val="3136475A"/>
    <w:rsid w:val="315A239C"/>
    <w:rsid w:val="317C282D"/>
    <w:rsid w:val="31F665AF"/>
    <w:rsid w:val="31F9453A"/>
    <w:rsid w:val="321B399E"/>
    <w:rsid w:val="32733F89"/>
    <w:rsid w:val="32CE4B02"/>
    <w:rsid w:val="32D06615"/>
    <w:rsid w:val="333438B9"/>
    <w:rsid w:val="333D03C7"/>
    <w:rsid w:val="335E67B3"/>
    <w:rsid w:val="33954E54"/>
    <w:rsid w:val="34180E8E"/>
    <w:rsid w:val="348421A9"/>
    <w:rsid w:val="349433F1"/>
    <w:rsid w:val="34B05FCA"/>
    <w:rsid w:val="3537101D"/>
    <w:rsid w:val="35383A6B"/>
    <w:rsid w:val="35901B73"/>
    <w:rsid w:val="359C15A9"/>
    <w:rsid w:val="35C45BD0"/>
    <w:rsid w:val="363E02B8"/>
    <w:rsid w:val="36434270"/>
    <w:rsid w:val="364E24FC"/>
    <w:rsid w:val="3772448A"/>
    <w:rsid w:val="37880B10"/>
    <w:rsid w:val="37A76222"/>
    <w:rsid w:val="37E9620F"/>
    <w:rsid w:val="380F6B6F"/>
    <w:rsid w:val="38120905"/>
    <w:rsid w:val="387A4FC4"/>
    <w:rsid w:val="387B6253"/>
    <w:rsid w:val="398D13EB"/>
    <w:rsid w:val="39B00B9B"/>
    <w:rsid w:val="39BE26FE"/>
    <w:rsid w:val="39C3440C"/>
    <w:rsid w:val="39F14ACF"/>
    <w:rsid w:val="39FC1305"/>
    <w:rsid w:val="3A365340"/>
    <w:rsid w:val="3B0E1EDE"/>
    <w:rsid w:val="3B1945BC"/>
    <w:rsid w:val="3B1A2D79"/>
    <w:rsid w:val="3B6E0301"/>
    <w:rsid w:val="3BCF5947"/>
    <w:rsid w:val="3BDD4BAD"/>
    <w:rsid w:val="3BE02BE3"/>
    <w:rsid w:val="3BE54674"/>
    <w:rsid w:val="3C18477F"/>
    <w:rsid w:val="3C38726A"/>
    <w:rsid w:val="3CD579C2"/>
    <w:rsid w:val="3CF96672"/>
    <w:rsid w:val="3D223C50"/>
    <w:rsid w:val="3D596130"/>
    <w:rsid w:val="3D5F3A49"/>
    <w:rsid w:val="3DB341AA"/>
    <w:rsid w:val="3DCC5DE6"/>
    <w:rsid w:val="3DD27E0A"/>
    <w:rsid w:val="3DD51B39"/>
    <w:rsid w:val="3DF65403"/>
    <w:rsid w:val="3E08321D"/>
    <w:rsid w:val="3E4D5F0C"/>
    <w:rsid w:val="3E7D05F5"/>
    <w:rsid w:val="3ED17D07"/>
    <w:rsid w:val="3ED76381"/>
    <w:rsid w:val="3F7A7CFF"/>
    <w:rsid w:val="3FDE46EE"/>
    <w:rsid w:val="3FE818CE"/>
    <w:rsid w:val="40030826"/>
    <w:rsid w:val="40380E11"/>
    <w:rsid w:val="40942EDA"/>
    <w:rsid w:val="40A118DA"/>
    <w:rsid w:val="40AF2F79"/>
    <w:rsid w:val="41B3430B"/>
    <w:rsid w:val="42302997"/>
    <w:rsid w:val="423C06E7"/>
    <w:rsid w:val="42764ADD"/>
    <w:rsid w:val="42933432"/>
    <w:rsid w:val="42A13CC5"/>
    <w:rsid w:val="42A7685A"/>
    <w:rsid w:val="42DC61A5"/>
    <w:rsid w:val="42DE2379"/>
    <w:rsid w:val="430A4950"/>
    <w:rsid w:val="43143081"/>
    <w:rsid w:val="431E336E"/>
    <w:rsid w:val="437D163E"/>
    <w:rsid w:val="43AC07ED"/>
    <w:rsid w:val="44823B6D"/>
    <w:rsid w:val="449664F6"/>
    <w:rsid w:val="44C42243"/>
    <w:rsid w:val="44F47DDF"/>
    <w:rsid w:val="45251E99"/>
    <w:rsid w:val="455F6009"/>
    <w:rsid w:val="456C4138"/>
    <w:rsid w:val="4623339A"/>
    <w:rsid w:val="46A331A5"/>
    <w:rsid w:val="47027940"/>
    <w:rsid w:val="4710099A"/>
    <w:rsid w:val="476453F1"/>
    <w:rsid w:val="476E3FAC"/>
    <w:rsid w:val="47AE6EBE"/>
    <w:rsid w:val="480812BD"/>
    <w:rsid w:val="482D6E78"/>
    <w:rsid w:val="48BD2B73"/>
    <w:rsid w:val="48F53BD9"/>
    <w:rsid w:val="48F672A7"/>
    <w:rsid w:val="49512407"/>
    <w:rsid w:val="49704A19"/>
    <w:rsid w:val="49776CF0"/>
    <w:rsid w:val="49826B49"/>
    <w:rsid w:val="49D64977"/>
    <w:rsid w:val="4A1E090B"/>
    <w:rsid w:val="4A2315C7"/>
    <w:rsid w:val="4A417C05"/>
    <w:rsid w:val="4A692E25"/>
    <w:rsid w:val="4ABB0417"/>
    <w:rsid w:val="4B392CDE"/>
    <w:rsid w:val="4B5B189B"/>
    <w:rsid w:val="4BA8381A"/>
    <w:rsid w:val="4BB00D91"/>
    <w:rsid w:val="4BB8449C"/>
    <w:rsid w:val="4C4E1614"/>
    <w:rsid w:val="4D076B56"/>
    <w:rsid w:val="4D1F75A6"/>
    <w:rsid w:val="4DE905F5"/>
    <w:rsid w:val="4DFD2CEC"/>
    <w:rsid w:val="4E104B25"/>
    <w:rsid w:val="4ED20572"/>
    <w:rsid w:val="4F465031"/>
    <w:rsid w:val="4F54112E"/>
    <w:rsid w:val="4F7E08F3"/>
    <w:rsid w:val="4F924AE0"/>
    <w:rsid w:val="4FC56610"/>
    <w:rsid w:val="504434E8"/>
    <w:rsid w:val="505C16BD"/>
    <w:rsid w:val="5080670C"/>
    <w:rsid w:val="50D76697"/>
    <w:rsid w:val="50F000A0"/>
    <w:rsid w:val="5115432B"/>
    <w:rsid w:val="511A6385"/>
    <w:rsid w:val="512037D5"/>
    <w:rsid w:val="516C50EC"/>
    <w:rsid w:val="51BD15B4"/>
    <w:rsid w:val="51E71A13"/>
    <w:rsid w:val="52A61012"/>
    <w:rsid w:val="52E36693"/>
    <w:rsid w:val="52F91ED5"/>
    <w:rsid w:val="53134ED9"/>
    <w:rsid w:val="535358B0"/>
    <w:rsid w:val="53650BBA"/>
    <w:rsid w:val="53673F86"/>
    <w:rsid w:val="536D122D"/>
    <w:rsid w:val="53BB7A8C"/>
    <w:rsid w:val="53D871BD"/>
    <w:rsid w:val="53FF6E94"/>
    <w:rsid w:val="5467120A"/>
    <w:rsid w:val="54846FA9"/>
    <w:rsid w:val="54D9425F"/>
    <w:rsid w:val="55593312"/>
    <w:rsid w:val="56A45F1D"/>
    <w:rsid w:val="56C4456A"/>
    <w:rsid w:val="575572BB"/>
    <w:rsid w:val="57A61BCF"/>
    <w:rsid w:val="58240CC5"/>
    <w:rsid w:val="5856751C"/>
    <w:rsid w:val="585E22CA"/>
    <w:rsid w:val="587259D8"/>
    <w:rsid w:val="588F74E8"/>
    <w:rsid w:val="58BE4CC6"/>
    <w:rsid w:val="58D20570"/>
    <w:rsid w:val="591E184D"/>
    <w:rsid w:val="595E1844"/>
    <w:rsid w:val="595E65BF"/>
    <w:rsid w:val="59AB0898"/>
    <w:rsid w:val="59C14CFB"/>
    <w:rsid w:val="5A321BF9"/>
    <w:rsid w:val="5A3B358A"/>
    <w:rsid w:val="5A3D437B"/>
    <w:rsid w:val="5A7140A7"/>
    <w:rsid w:val="5A984F28"/>
    <w:rsid w:val="5AF11B73"/>
    <w:rsid w:val="5B0977F0"/>
    <w:rsid w:val="5B2618D0"/>
    <w:rsid w:val="5B9A52E3"/>
    <w:rsid w:val="5CD4041E"/>
    <w:rsid w:val="5D667DE3"/>
    <w:rsid w:val="5D695B48"/>
    <w:rsid w:val="5D98312B"/>
    <w:rsid w:val="5DA83C39"/>
    <w:rsid w:val="5E1941E9"/>
    <w:rsid w:val="5E9C0F6E"/>
    <w:rsid w:val="5EA253FE"/>
    <w:rsid w:val="5ED41F2C"/>
    <w:rsid w:val="5EDF3467"/>
    <w:rsid w:val="5EF52575"/>
    <w:rsid w:val="5F0327D2"/>
    <w:rsid w:val="5F0B3FEC"/>
    <w:rsid w:val="5F405E44"/>
    <w:rsid w:val="5F5829A3"/>
    <w:rsid w:val="5F81124F"/>
    <w:rsid w:val="5FEB3AAA"/>
    <w:rsid w:val="6087566B"/>
    <w:rsid w:val="60906ED1"/>
    <w:rsid w:val="61365EE1"/>
    <w:rsid w:val="61377398"/>
    <w:rsid w:val="62081F8C"/>
    <w:rsid w:val="629348AE"/>
    <w:rsid w:val="62A34045"/>
    <w:rsid w:val="6317654D"/>
    <w:rsid w:val="635B4312"/>
    <w:rsid w:val="636937E3"/>
    <w:rsid w:val="63AD3EF9"/>
    <w:rsid w:val="63DE240A"/>
    <w:rsid w:val="644D6415"/>
    <w:rsid w:val="645452D7"/>
    <w:rsid w:val="64791487"/>
    <w:rsid w:val="64A36202"/>
    <w:rsid w:val="64B93188"/>
    <w:rsid w:val="64CF4A3C"/>
    <w:rsid w:val="64D9603B"/>
    <w:rsid w:val="65014591"/>
    <w:rsid w:val="65167B0D"/>
    <w:rsid w:val="65743D40"/>
    <w:rsid w:val="66490B3C"/>
    <w:rsid w:val="66C90528"/>
    <w:rsid w:val="67FC24F4"/>
    <w:rsid w:val="682823CF"/>
    <w:rsid w:val="682D6727"/>
    <w:rsid w:val="68411CCD"/>
    <w:rsid w:val="698D24B3"/>
    <w:rsid w:val="69C223F9"/>
    <w:rsid w:val="6A09559D"/>
    <w:rsid w:val="6ABB56BD"/>
    <w:rsid w:val="6AD9070A"/>
    <w:rsid w:val="6AF83456"/>
    <w:rsid w:val="6B0B06C8"/>
    <w:rsid w:val="6B2863A4"/>
    <w:rsid w:val="6B6F3D7C"/>
    <w:rsid w:val="6B836B63"/>
    <w:rsid w:val="6BA64137"/>
    <w:rsid w:val="6C051D39"/>
    <w:rsid w:val="6C261FDE"/>
    <w:rsid w:val="6C541306"/>
    <w:rsid w:val="6C5A6932"/>
    <w:rsid w:val="6C8414F6"/>
    <w:rsid w:val="6C9A2AC2"/>
    <w:rsid w:val="6CB06B3B"/>
    <w:rsid w:val="6CC87047"/>
    <w:rsid w:val="6D305BAB"/>
    <w:rsid w:val="6D3B3990"/>
    <w:rsid w:val="6D3C04EA"/>
    <w:rsid w:val="6D45065B"/>
    <w:rsid w:val="6DB47E97"/>
    <w:rsid w:val="6E8E2CF2"/>
    <w:rsid w:val="6F262FED"/>
    <w:rsid w:val="6FBE3D64"/>
    <w:rsid w:val="6FDA2FD6"/>
    <w:rsid w:val="6FEA52B0"/>
    <w:rsid w:val="6FEF299B"/>
    <w:rsid w:val="6FF815B8"/>
    <w:rsid w:val="70466EF0"/>
    <w:rsid w:val="70605E20"/>
    <w:rsid w:val="70C20F5B"/>
    <w:rsid w:val="70D86159"/>
    <w:rsid w:val="71154AB1"/>
    <w:rsid w:val="7143203D"/>
    <w:rsid w:val="71552B72"/>
    <w:rsid w:val="71A14BFD"/>
    <w:rsid w:val="720D7E0D"/>
    <w:rsid w:val="72312CC9"/>
    <w:rsid w:val="72487EC4"/>
    <w:rsid w:val="72491B3E"/>
    <w:rsid w:val="724E01EB"/>
    <w:rsid w:val="72B25F6E"/>
    <w:rsid w:val="73E6005D"/>
    <w:rsid w:val="74997088"/>
    <w:rsid w:val="75043037"/>
    <w:rsid w:val="75A7262A"/>
    <w:rsid w:val="764017C7"/>
    <w:rsid w:val="76811ADC"/>
    <w:rsid w:val="76941336"/>
    <w:rsid w:val="76D14783"/>
    <w:rsid w:val="771D45AB"/>
    <w:rsid w:val="775A4D0F"/>
    <w:rsid w:val="77ED79DF"/>
    <w:rsid w:val="78AB1B53"/>
    <w:rsid w:val="78F4705A"/>
    <w:rsid w:val="79016295"/>
    <w:rsid w:val="791C0081"/>
    <w:rsid w:val="79225B3E"/>
    <w:rsid w:val="794A1F6E"/>
    <w:rsid w:val="79E26E9B"/>
    <w:rsid w:val="79EF4D32"/>
    <w:rsid w:val="7A1E737E"/>
    <w:rsid w:val="7A1F35E2"/>
    <w:rsid w:val="7A420C7E"/>
    <w:rsid w:val="7A615BB0"/>
    <w:rsid w:val="7A87648E"/>
    <w:rsid w:val="7AB300FA"/>
    <w:rsid w:val="7AC34603"/>
    <w:rsid w:val="7B1C0138"/>
    <w:rsid w:val="7B3D7718"/>
    <w:rsid w:val="7B61111A"/>
    <w:rsid w:val="7BBF761E"/>
    <w:rsid w:val="7BFB35D1"/>
    <w:rsid w:val="7C092126"/>
    <w:rsid w:val="7C207D03"/>
    <w:rsid w:val="7C651ADF"/>
    <w:rsid w:val="7C662694"/>
    <w:rsid w:val="7C937A9C"/>
    <w:rsid w:val="7CAA62A4"/>
    <w:rsid w:val="7CAD04F3"/>
    <w:rsid w:val="7D6C09F0"/>
    <w:rsid w:val="7E127862"/>
    <w:rsid w:val="7E552367"/>
    <w:rsid w:val="7F022C0B"/>
    <w:rsid w:val="7F163E78"/>
    <w:rsid w:val="7FD52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link w:val="47"/>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2"/>
    <w:qFormat/>
    <w:uiPriority w:val="0"/>
    <w:pPr>
      <w:keepNext/>
      <w:keepLines/>
      <w:spacing w:before="280" w:after="290" w:line="376" w:lineRule="auto"/>
      <w:outlineLvl w:val="3"/>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4"/>
    <w:qFormat/>
    <w:uiPriority w:val="0"/>
    <w:pPr>
      <w:jc w:val="left"/>
    </w:pPr>
    <w:rPr>
      <w:rFonts w:ascii="Arial" w:hAnsi="Arial" w:eastAsia="黑体" w:cs="Arial"/>
    </w:rPr>
  </w:style>
  <w:style w:type="paragraph" w:styleId="8">
    <w:name w:val="Body Text"/>
    <w:basedOn w:val="1"/>
    <w:unhideWhenUsed/>
    <w:qFormat/>
    <w:uiPriority w:val="99"/>
    <w:rPr>
      <w:b/>
      <w:sz w:val="28"/>
    </w:r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4"/>
    <w:qFormat/>
    <w:uiPriority w:val="99"/>
    <w:rPr>
      <w:rFonts w:ascii="宋体" w:hAnsi="Courier New" w:eastAsiaTheme="minorEastAsia" w:cstheme="minorBidi"/>
      <w:szCs w:val="22"/>
    </w:rPr>
  </w:style>
  <w:style w:type="paragraph" w:styleId="12">
    <w:name w:val="Date"/>
    <w:basedOn w:val="1"/>
    <w:next w:val="1"/>
    <w:link w:val="41"/>
    <w:qFormat/>
    <w:uiPriority w:val="0"/>
    <w:rPr>
      <w:rFonts w:ascii="Arial" w:hAnsi="Arial" w:eastAsia="宋体" w:cs="Arial"/>
      <w:b/>
      <w:sz w:val="28"/>
    </w:rPr>
  </w:style>
  <w:style w:type="paragraph" w:styleId="13">
    <w:name w:val="Balloon Text"/>
    <w:basedOn w:val="1"/>
    <w:link w:val="28"/>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index 1"/>
    <w:basedOn w:val="1"/>
    <w:next w:val="1"/>
    <w:qFormat/>
    <w:uiPriority w:val="0"/>
    <w:pPr>
      <w:jc w:val="center"/>
    </w:pPr>
    <w:rPr>
      <w:rFonts w:ascii="Arial" w:hAnsi="Arial" w:eastAsia="Arial" w:cs="Arial"/>
      <w:b/>
      <w:bCs/>
      <w:sz w:val="28"/>
    </w:rPr>
  </w:style>
  <w:style w:type="paragraph" w:styleId="19">
    <w:name w:val="annotation subject"/>
    <w:basedOn w:val="7"/>
    <w:next w:val="7"/>
    <w:link w:val="55"/>
    <w:semiHidden/>
    <w:unhideWhenUsed/>
    <w:qFormat/>
    <w:uiPriority w:val="99"/>
    <w:rPr>
      <w:rFonts w:ascii="@仿宋_GB2312" w:hAnsi="@仿宋_GB2312" w:eastAsia="@仿宋_GB2312" w:cs="@仿宋_GB2312"/>
      <w:b/>
      <w:bCs/>
    </w:rPr>
  </w:style>
  <w:style w:type="paragraph" w:styleId="20">
    <w:name w:val="Body Text First Indent"/>
    <w:basedOn w:val="8"/>
    <w:qFormat/>
    <w:uiPriority w:val="0"/>
    <w:rPr>
      <w:rFonts w:hAnsi="宋体"/>
      <w:sz w:val="18"/>
      <w:szCs w:val="18"/>
    </w:rPr>
  </w:style>
  <w:style w:type="paragraph" w:styleId="21">
    <w:name w:val="Body Text First Indent 2"/>
    <w:basedOn w:val="9"/>
    <w:qFormat/>
    <w:uiPriority w:val="0"/>
    <w:pPr>
      <w:ind w:firstLine="420" w:firstLineChars="200"/>
    </w:pPr>
  </w:style>
  <w:style w:type="table" w:styleId="23">
    <w:name w:val="Table Grid"/>
    <w:basedOn w:val="22"/>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批注框文本 字符"/>
    <w:basedOn w:val="24"/>
    <w:link w:val="13"/>
    <w:semiHidden/>
    <w:qFormat/>
    <w:uiPriority w:val="99"/>
    <w:rPr>
      <w:rFonts w:ascii="@仿宋_GB2312" w:hAnsi="@仿宋_GB2312" w:eastAsia="@仿宋_GB2312" w:cs="@仿宋_GB2312"/>
      <w:sz w:val="18"/>
      <w:szCs w:val="18"/>
    </w:rPr>
  </w:style>
  <w:style w:type="paragraph" w:customStyle="1" w:styleId="29">
    <w:name w:val="正文（缩进）"/>
    <w:basedOn w:val="1"/>
    <w:qFormat/>
    <w:uiPriority w:val="0"/>
    <w:pPr>
      <w:widowControl/>
      <w:spacing w:before="156" w:after="156"/>
      <w:ind w:firstLine="480" w:firstLineChars="200"/>
      <w:jc w:val="left"/>
    </w:pPr>
    <w:rPr>
      <w:kern w:val="0"/>
      <w:sz w:val="24"/>
      <w:szCs w:val="24"/>
    </w:rPr>
  </w:style>
  <w:style w:type="paragraph" w:customStyle="1" w:styleId="30">
    <w:name w:val="xl31"/>
    <w:basedOn w:val="1"/>
    <w:qFormat/>
    <w:uiPriority w:val="0"/>
    <w:pPr>
      <w:widowControl/>
      <w:spacing w:before="100" w:beforeAutospacing="1" w:after="100" w:afterAutospacing="1"/>
      <w:jc w:val="center"/>
    </w:pPr>
    <w:rPr>
      <w:b/>
      <w:bCs/>
      <w:kern w:val="0"/>
      <w:sz w:val="28"/>
      <w:szCs w:val="28"/>
    </w:rPr>
  </w:style>
  <w:style w:type="paragraph" w:customStyle="1" w:styleId="31">
    <w:name w:val="D&amp;L"/>
    <w:basedOn w:val="15"/>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2">
    <w:name w:val="页眉 字符"/>
    <w:basedOn w:val="24"/>
    <w:link w:val="15"/>
    <w:qFormat/>
    <w:uiPriority w:val="99"/>
    <w:rPr>
      <w:rFonts w:ascii="@仿宋_GB2312" w:hAnsi="@仿宋_GB2312" w:eastAsia="@仿宋_GB2312" w:cs="@仿宋_GB2312"/>
      <w:sz w:val="18"/>
      <w:szCs w:val="18"/>
    </w:rPr>
  </w:style>
  <w:style w:type="character" w:customStyle="1" w:styleId="33">
    <w:name w:val="页脚 字符"/>
    <w:basedOn w:val="24"/>
    <w:link w:val="14"/>
    <w:qFormat/>
    <w:uiPriority w:val="99"/>
    <w:rPr>
      <w:rFonts w:ascii="@仿宋_GB2312" w:hAnsi="@仿宋_GB2312" w:eastAsia="@仿宋_GB2312" w:cs="@仿宋_GB2312"/>
      <w:sz w:val="18"/>
      <w:szCs w:val="18"/>
    </w:rPr>
  </w:style>
  <w:style w:type="character" w:customStyle="1" w:styleId="34">
    <w:name w:val="纯文本 字符"/>
    <w:link w:val="11"/>
    <w:qFormat/>
    <w:uiPriority w:val="0"/>
    <w:rPr>
      <w:rFonts w:ascii="宋体" w:hAnsi="Courier New"/>
    </w:rPr>
  </w:style>
  <w:style w:type="character" w:customStyle="1" w:styleId="35">
    <w:name w:val="纯文本 字符1"/>
    <w:basedOn w:val="24"/>
    <w:semiHidden/>
    <w:qFormat/>
    <w:uiPriority w:val="99"/>
    <w:rPr>
      <w:rFonts w:hAnsi="Courier New" w:cs="Courier New" w:asciiTheme="minorEastAsia"/>
      <w:szCs w:val="20"/>
    </w:rPr>
  </w:style>
  <w:style w:type="character" w:customStyle="1" w:styleId="36">
    <w:name w:val="未处理的提及1"/>
    <w:basedOn w:val="24"/>
    <w:semiHidden/>
    <w:unhideWhenUsed/>
    <w:qFormat/>
    <w:uiPriority w:val="99"/>
    <w:rPr>
      <w:color w:val="605E5C"/>
      <w:shd w:val="clear" w:color="auto" w:fill="E1DFDD"/>
    </w:rPr>
  </w:style>
  <w:style w:type="paragraph" w:styleId="37">
    <w:name w:val="List Paragraph"/>
    <w:basedOn w:val="1"/>
    <w:qFormat/>
    <w:uiPriority w:val="34"/>
    <w:pPr>
      <w:ind w:firstLine="420" w:firstLineChars="200"/>
    </w:pPr>
  </w:style>
  <w:style w:type="paragraph" w:customStyle="1" w:styleId="38">
    <w:name w:val="Char Char Char Char Char Char Char1 Char"/>
    <w:basedOn w:val="1"/>
    <w:qFormat/>
    <w:uiPriority w:val="0"/>
    <w:rPr>
      <w:rFonts w:ascii="Arial" w:hAnsi="Arial" w:eastAsia="宋体" w:cs="Arial"/>
      <w:sz w:val="24"/>
    </w:rPr>
  </w:style>
  <w:style w:type="table" w:customStyle="1" w:styleId="39">
    <w:name w:val="网格表 1 浅色1"/>
    <w:basedOn w:val="22"/>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0">
    <w:name w:val="日期 字符"/>
    <w:basedOn w:val="24"/>
    <w:semiHidden/>
    <w:qFormat/>
    <w:uiPriority w:val="99"/>
    <w:rPr>
      <w:rFonts w:ascii="@仿宋_GB2312" w:hAnsi="@仿宋_GB2312" w:eastAsia="@仿宋_GB2312" w:cs="@仿宋_GB2312"/>
      <w:szCs w:val="20"/>
    </w:rPr>
  </w:style>
  <w:style w:type="character" w:customStyle="1" w:styleId="41">
    <w:name w:val="日期 字符1"/>
    <w:link w:val="12"/>
    <w:qFormat/>
    <w:uiPriority w:val="0"/>
    <w:rPr>
      <w:rFonts w:ascii="Arial" w:hAnsi="Arial" w:eastAsia="宋体" w:cs="Arial"/>
      <w:b/>
      <w:sz w:val="28"/>
      <w:szCs w:val="20"/>
    </w:rPr>
  </w:style>
  <w:style w:type="character" w:customStyle="1" w:styleId="42">
    <w:name w:val="纯文本 Char1"/>
    <w:qFormat/>
    <w:locked/>
    <w:uiPriority w:val="99"/>
    <w:rPr>
      <w:rFonts w:ascii="Arial" w:hAnsi="Arial" w:eastAsia="Arial"/>
      <w:kern w:val="2"/>
      <w:sz w:val="21"/>
      <w:lang w:val="en-US" w:eastAsia="zh-CN" w:bidi="ar-SA"/>
    </w:rPr>
  </w:style>
  <w:style w:type="character" w:customStyle="1" w:styleId="43">
    <w:name w:val="批注文字 Char"/>
    <w:basedOn w:val="24"/>
    <w:semiHidden/>
    <w:qFormat/>
    <w:uiPriority w:val="99"/>
    <w:rPr>
      <w:rFonts w:ascii="@仿宋_GB2312" w:hAnsi="@仿宋_GB2312" w:eastAsia="@仿宋_GB2312" w:cs="@仿宋_GB2312"/>
      <w:szCs w:val="20"/>
    </w:rPr>
  </w:style>
  <w:style w:type="character" w:customStyle="1" w:styleId="44">
    <w:name w:val="批注文字 字符"/>
    <w:link w:val="7"/>
    <w:qFormat/>
    <w:uiPriority w:val="0"/>
    <w:rPr>
      <w:rFonts w:ascii="Arial" w:hAnsi="Arial" w:eastAsia="黑体" w:cs="Arial"/>
      <w:szCs w:val="20"/>
    </w:rPr>
  </w:style>
  <w:style w:type="character" w:customStyle="1" w:styleId="45">
    <w:name w:val="标题 1 字符"/>
    <w:basedOn w:val="24"/>
    <w:link w:val="3"/>
    <w:qFormat/>
    <w:uiPriority w:val="9"/>
    <w:rPr>
      <w:rFonts w:ascii="@仿宋_GB2312" w:hAnsi="@仿宋_GB2312" w:eastAsia="@仿宋_GB2312" w:cs="@仿宋_GB2312"/>
      <w:b/>
      <w:bCs/>
      <w:kern w:val="44"/>
      <w:sz w:val="44"/>
      <w:szCs w:val="44"/>
    </w:rPr>
  </w:style>
  <w:style w:type="paragraph" w:customStyle="1" w:styleId="46">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7">
    <w:name w:val="标题 3 字符"/>
    <w:basedOn w:val="24"/>
    <w:link w:val="4"/>
    <w:semiHidden/>
    <w:qFormat/>
    <w:uiPriority w:val="9"/>
    <w:rPr>
      <w:rFonts w:ascii="@仿宋_GB2312" w:hAnsi="@仿宋_GB2312" w:eastAsia="@仿宋_GB2312" w:cs="@仿宋_GB2312"/>
      <w:b/>
      <w:bCs/>
      <w:sz w:val="32"/>
      <w:szCs w:val="32"/>
    </w:rPr>
  </w:style>
  <w:style w:type="character" w:customStyle="1" w:styleId="48">
    <w:name w:val="fontstyle01"/>
    <w:basedOn w:val="24"/>
    <w:qFormat/>
    <w:uiPriority w:val="0"/>
    <w:rPr>
      <w:rFonts w:hint="eastAsia" w:ascii="宋体" w:hAnsi="宋体" w:eastAsia="宋体"/>
      <w:color w:val="000000"/>
      <w:sz w:val="22"/>
      <w:szCs w:val="22"/>
    </w:rPr>
  </w:style>
  <w:style w:type="character" w:customStyle="1" w:styleId="49">
    <w:name w:val="fontstyle21"/>
    <w:basedOn w:val="24"/>
    <w:qFormat/>
    <w:uiPriority w:val="0"/>
    <w:rPr>
      <w:rFonts w:hint="default" w:ascii="TimesNewRomanPSMT" w:hAnsi="TimesNewRomanPSMT"/>
      <w:color w:val="000000"/>
      <w:sz w:val="22"/>
      <w:szCs w:val="22"/>
    </w:rPr>
  </w:style>
  <w:style w:type="character" w:customStyle="1" w:styleId="50">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1">
    <w:name w:val="标题 4 字符"/>
    <w:basedOn w:val="24"/>
    <w:semiHidden/>
    <w:qFormat/>
    <w:uiPriority w:val="9"/>
    <w:rPr>
      <w:rFonts w:asciiTheme="majorHAnsi" w:hAnsiTheme="majorHAnsi" w:eastAsiaTheme="majorEastAsia" w:cstheme="majorBidi"/>
      <w:b/>
      <w:bCs/>
      <w:sz w:val="28"/>
      <w:szCs w:val="28"/>
    </w:rPr>
  </w:style>
  <w:style w:type="character" w:customStyle="1" w:styleId="52">
    <w:name w:val="标题 4 字符1"/>
    <w:link w:val="5"/>
    <w:qFormat/>
    <w:uiPriority w:val="0"/>
    <w:rPr>
      <w:rFonts w:ascii="@仿宋_GB2312" w:hAnsi="@仿宋_GB2312" w:eastAsia="@仿宋_GB2312" w:cs="@仿宋_GB2312"/>
      <w:b/>
      <w:bCs/>
      <w:sz w:val="28"/>
      <w:szCs w:val="28"/>
    </w:rPr>
  </w:style>
  <w:style w:type="character" w:customStyle="1" w:styleId="53">
    <w:name w:val="标题 4 Char"/>
    <w:qFormat/>
    <w:uiPriority w:val="0"/>
    <w:rPr>
      <w:rFonts w:ascii="Arial" w:hAnsi="Arial" w:eastAsia="Arial"/>
      <w:b/>
      <w:bCs/>
      <w:kern w:val="2"/>
      <w:sz w:val="28"/>
      <w:szCs w:val="28"/>
      <w:lang w:val="en-US" w:eastAsia="zh-CN" w:bidi="ar-SA"/>
    </w:rPr>
  </w:style>
  <w:style w:type="table" w:customStyle="1" w:styleId="54">
    <w:name w:val="网格型1"/>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
    <w:name w:val="批注主题 字符"/>
    <w:basedOn w:val="44"/>
    <w:link w:val="19"/>
    <w:semiHidden/>
    <w:qFormat/>
    <w:uiPriority w:val="99"/>
    <w:rPr>
      <w:rFonts w:ascii="@仿宋_GB2312" w:hAnsi="@仿宋_GB2312" w:eastAsia="@仿宋_GB2312" w:cs="@仿宋_GB2312"/>
      <w:b/>
      <w:bCs/>
      <w:szCs w:val="20"/>
    </w:rPr>
  </w:style>
  <w:style w:type="paragraph" w:customStyle="1" w:styleId="56">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5C3CC-FF2F-4C08-865B-98F6DB595A4D}">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68</Pages>
  <Words>29841</Words>
  <Characters>31492</Characters>
  <Lines>250</Lines>
  <Paragraphs>70</Paragraphs>
  <TotalTime>28</TotalTime>
  <ScaleCrop>false</ScaleCrop>
  <LinksUpToDate>false</LinksUpToDate>
  <CharactersWithSpaces>33866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2023-03-27T04:55:00Z</dcterms:created>
  <dc:creator>Anakin</dc:creator>
  <cp:lastModifiedBy>Administrator</cp:lastModifiedBy>
  <cp:lastPrinted>2023-05-11T02:08:00Z</cp:lastPrinted>
  <dcterms:modified xsi:type="dcterms:W3CDTF">2023-05-19T09:57:54Z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8CE42AD9A67647718E5A929A1A743CF7_12</vt:lpwstr>
  </property>
</Properties>
</file>