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after="0" w:line="360" w:lineRule="auto"/>
        <w:jc w:val="center"/>
        <w:rPr>
          <w:rFonts w:hint="eastAsia" w:ascii="宋体" w:hAnsi="宋体"/>
          <w:color w:val="000000"/>
        </w:rPr>
      </w:pPr>
      <w:r>
        <w:rPr>
          <w:rFonts w:hint="eastAsia" w:ascii="宋体" w:hAnsi="宋体"/>
          <w:color w:val="000000"/>
        </w:rPr>
        <w:t>采购需求</w:t>
      </w:r>
    </w:p>
    <w:p>
      <w:pPr>
        <w:pStyle w:val="3"/>
        <w:spacing w:before="0" w:after="0" w:line="360" w:lineRule="auto"/>
        <w:rPr>
          <w:rFonts w:hint="eastAsia" w:ascii="仿宋" w:hAnsi="仿宋" w:eastAsia="仿宋" w:cs="仿宋"/>
          <w:b w:val="0"/>
          <w:color w:val="000000"/>
          <w:sz w:val="24"/>
          <w:szCs w:val="24"/>
        </w:rPr>
      </w:pPr>
      <w:bookmarkStart w:id="0" w:name="_Toc455587089"/>
      <w:bookmarkStart w:id="1" w:name="_Toc466024556"/>
      <w:bookmarkStart w:id="2" w:name="_Toc455587273"/>
      <w:bookmarkStart w:id="3" w:name="_Toc445554747"/>
      <w:r>
        <w:rPr>
          <w:rFonts w:hint="eastAsia" w:ascii="仿宋" w:hAnsi="仿宋" w:eastAsia="仿宋" w:cs="仿宋"/>
          <w:b w:val="0"/>
          <w:color w:val="000000"/>
          <w:sz w:val="24"/>
          <w:szCs w:val="24"/>
        </w:rPr>
        <w:t xml:space="preserve"> 总则</w:t>
      </w:r>
      <w:bookmarkEnd w:id="0"/>
      <w:bookmarkEnd w:id="1"/>
      <w:bookmarkEnd w:id="2"/>
    </w:p>
    <w:p>
      <w:pPr>
        <w:widowControl/>
        <w:tabs>
          <w:tab w:val="left" w:pos="1406"/>
        </w:tabs>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本技术规格所提出的要求是对本次采购货物及伴随服务的基本技术要求，并未涉及所有技术细节，也未充分引述有关标准、规范的全部条款。供应商应保证其提供的货物及伴随服务除了满足本技术规格的要求外，还应符合中国国家、行业、地方或设备制造商所在国的有关标准、规范（尤其是必须符合中国国家标准的有关强制性规定)。</w:t>
      </w:r>
    </w:p>
    <w:p>
      <w:pPr>
        <w:widowControl/>
        <w:tabs>
          <w:tab w:val="left" w:pos="1406"/>
        </w:tabs>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2、</w:t>
      </w:r>
      <w:bookmarkEnd w:id="3"/>
      <w:r>
        <w:rPr>
          <w:rFonts w:hint="eastAsia" w:ascii="仿宋" w:hAnsi="仿宋" w:eastAsia="仿宋"/>
          <w:sz w:val="24"/>
        </w:rPr>
        <w:t>成交的主要产品的名称、品牌、规格、型号、数量、单价等将予以公布。</w:t>
      </w:r>
    </w:p>
    <w:p>
      <w:pPr>
        <w:pStyle w:val="8"/>
        <w:spacing w:line="360" w:lineRule="auto"/>
        <w:jc w:val="center"/>
        <w:rPr>
          <w:rFonts w:hint="eastAsia" w:ascii="仿宋" w:hAnsi="仿宋" w:eastAsia="仿宋" w:cs="仿宋"/>
          <w:color w:val="000000"/>
          <w:sz w:val="24"/>
          <w:szCs w:val="24"/>
        </w:rPr>
      </w:pPr>
    </w:p>
    <w:p>
      <w:pPr>
        <w:pStyle w:val="4"/>
        <w:numPr>
          <w:ilvl w:val="0"/>
          <w:numId w:val="1"/>
        </w:numPr>
        <w:spacing w:line="360" w:lineRule="auto"/>
        <w:rPr>
          <w:rFonts w:ascii="仿宋" w:hAnsi="仿宋" w:eastAsia="仿宋" w:cs="仿宋"/>
          <w:b/>
          <w:sz w:val="24"/>
        </w:rPr>
      </w:pPr>
      <w:r>
        <w:rPr>
          <w:rFonts w:hint="eastAsia" w:ascii="仿宋" w:hAnsi="仿宋" w:eastAsia="仿宋" w:cs="仿宋"/>
          <w:b/>
          <w:sz w:val="24"/>
        </w:rPr>
        <w:t>技术参数：</w:t>
      </w:r>
    </w:p>
    <w:p>
      <w:pPr>
        <w:numPr>
          <w:ilvl w:val="0"/>
          <w:numId w:val="0"/>
        </w:numPr>
        <w:spacing w:line="360" w:lineRule="auto"/>
        <w:jc w:val="left"/>
        <w:rPr>
          <w:rFonts w:hint="eastAsia" w:ascii="仿宋" w:hAnsi="仿宋" w:eastAsia="仿宋" w:cs="仿宋"/>
          <w:sz w:val="24"/>
        </w:rPr>
      </w:pPr>
      <w:r>
        <w:rPr>
          <w:rFonts w:hint="eastAsia" w:ascii="仿宋" w:hAnsi="仿宋" w:eastAsia="仿宋" w:cs="仿宋"/>
          <w:sz w:val="24"/>
        </w:rPr>
        <w:t>1．设备用途：颅内及脊柱切骨、磨骨等微创外科治疗。</w:t>
      </w:r>
    </w:p>
    <w:p>
      <w:pPr>
        <w:spacing w:line="360" w:lineRule="auto"/>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．功能：利用超声完成骨组织的切割和破碎，同时具备冲洗的功能。</w:t>
      </w:r>
    </w:p>
    <w:p>
      <w:pPr>
        <w:spacing w:line="360" w:lineRule="auto"/>
        <w:jc w:val="left"/>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．电气安全特性：设备防电击类型和防电击程度为I类BF型或I类CF型。</w:t>
      </w:r>
    </w:p>
    <w:p>
      <w:pPr>
        <w:spacing w:line="360" w:lineRule="auto"/>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．输出功率：输出最大电功率≤150W，功率可调节。</w:t>
      </w:r>
    </w:p>
    <w:p>
      <w:pPr>
        <w:spacing w:line="360" w:lineRule="auto"/>
        <w:jc w:val="left"/>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．工作频率：27KHz～39KHz。低噪音。</w:t>
      </w:r>
    </w:p>
    <w:p>
      <w:pPr>
        <w:spacing w:line="360" w:lineRule="auto"/>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．工作模式：具有连续工作和脉冲工作（50%—100%调节）两种方式；</w:t>
      </w:r>
    </w:p>
    <w:p>
      <w:pPr>
        <w:spacing w:line="360" w:lineRule="auto"/>
        <w:jc w:val="left"/>
        <w:rPr>
          <w:rFonts w:hint="eastAsia" w:ascii="仿宋" w:hAnsi="仿宋" w:eastAsia="仿宋" w:cs="仿宋"/>
          <w:sz w:val="24"/>
        </w:rPr>
      </w:pPr>
      <w:r>
        <w:rPr>
          <w:rFonts w:ascii="仿宋" w:hAnsi="仿宋" w:eastAsia="仿宋" w:cs="仿宋"/>
          <w:sz w:val="24"/>
        </w:rPr>
        <w:t>7</w:t>
      </w:r>
      <w:r>
        <w:rPr>
          <w:rFonts w:hint="eastAsia" w:ascii="仿宋" w:hAnsi="仿宋" w:eastAsia="仿宋" w:cs="仿宋"/>
          <w:sz w:val="24"/>
        </w:rPr>
        <w:t>．工作振幅：最大振幅≤125μm。</w:t>
      </w:r>
    </w:p>
    <w:p>
      <w:pPr>
        <w:spacing w:line="360" w:lineRule="auto"/>
        <w:jc w:val="left"/>
        <w:rPr>
          <w:rFonts w:hint="eastAsia" w:ascii="仿宋" w:hAnsi="仿宋" w:eastAsia="仿宋" w:cs="仿宋"/>
          <w:sz w:val="24"/>
        </w:rPr>
      </w:pPr>
      <w:r>
        <w:rPr>
          <w:rFonts w:ascii="仿宋" w:hAnsi="仿宋" w:eastAsia="仿宋" w:cs="仿宋"/>
          <w:sz w:val="24"/>
        </w:rPr>
        <w:t>8</w:t>
      </w:r>
      <w:r>
        <w:rPr>
          <w:rFonts w:hint="eastAsia" w:ascii="仿宋" w:hAnsi="仿宋" w:eastAsia="仿宋" w:cs="仿宋"/>
          <w:sz w:val="24"/>
        </w:rPr>
        <w:t>．自由选择注水量：最大注水量≥100 ml/分钟。</w:t>
      </w:r>
    </w:p>
    <w:p>
      <w:pPr>
        <w:spacing w:line="360" w:lineRule="auto"/>
        <w:jc w:val="left"/>
        <w:rPr>
          <w:rFonts w:hint="eastAsia" w:ascii="仿宋" w:hAnsi="仿宋" w:eastAsia="仿宋" w:cs="仿宋"/>
          <w:sz w:val="24"/>
        </w:rPr>
      </w:pPr>
      <w:r>
        <w:rPr>
          <w:rFonts w:ascii="仿宋" w:hAnsi="仿宋" w:eastAsia="仿宋" w:cs="仿宋"/>
          <w:sz w:val="24"/>
        </w:rPr>
        <w:t>9</w:t>
      </w:r>
      <w:r>
        <w:rPr>
          <w:rFonts w:hint="eastAsia" w:ascii="仿宋" w:hAnsi="仿宋" w:eastAsia="仿宋" w:cs="仿宋"/>
          <w:sz w:val="24"/>
        </w:rPr>
        <w:t>．故障自检系统，通过故障代码显示故障原因。</w:t>
      </w:r>
    </w:p>
    <w:p>
      <w:pPr>
        <w:spacing w:line="360" w:lineRule="auto"/>
        <w:jc w:val="left"/>
        <w:rPr>
          <w:rFonts w:hint="eastAsia" w:ascii="仿宋" w:hAnsi="仿宋" w:eastAsia="仿宋" w:cs="仿宋"/>
          <w:sz w:val="24"/>
        </w:rPr>
      </w:pPr>
      <w:r>
        <w:rPr>
          <w:rFonts w:ascii="仿宋" w:hAnsi="仿宋" w:eastAsia="仿宋" w:cs="仿宋"/>
          <w:sz w:val="24"/>
        </w:rPr>
        <w:t>10</w:t>
      </w:r>
      <w:r>
        <w:rPr>
          <w:rFonts w:hint="eastAsia" w:ascii="仿宋" w:hAnsi="仿宋" w:eastAsia="仿宋" w:cs="仿宋"/>
          <w:sz w:val="24"/>
        </w:rPr>
        <w:t>．刀头安全性设计：钝性刀头设计，非圆弧形锐性设计，刀尖最薄处≥0.5mm，防止锐性划伤软组织。</w:t>
      </w:r>
    </w:p>
    <w:p>
      <w:pPr>
        <w:spacing w:line="360" w:lineRule="auto"/>
        <w:jc w:val="left"/>
        <w:rPr>
          <w:rFonts w:hint="eastAsia" w:ascii="仿宋" w:hAnsi="仿宋" w:eastAsia="仿宋" w:cs="仿宋"/>
          <w:color w:val="FF0000"/>
          <w:sz w:val="24"/>
        </w:rPr>
      </w:pPr>
      <w:r>
        <w:rPr>
          <w:rFonts w:ascii="仿宋" w:hAnsi="仿宋" w:eastAsia="仿宋" w:cs="仿宋"/>
          <w:sz w:val="24"/>
        </w:rPr>
        <w:t>11</w:t>
      </w:r>
      <w:r>
        <w:rPr>
          <w:rFonts w:hint="eastAsia" w:ascii="仿宋" w:hAnsi="仿宋" w:eastAsia="仿宋" w:cs="仿宋"/>
          <w:sz w:val="24"/>
        </w:rPr>
        <w:t>．切骨刀头种类：支持多种用于切割骨组织的刀头形状。具体配置以满足临床科室需求为准。</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．切骨方式：切骨和磨骨使用同一手柄完成，术中更换刀头时无需更换手柄。</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．手柄装卸：手柄和刀头分离式设计，刀头能够快速拆卸安装，可在术中迅速更换刀头；</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．手柄及附件灭菌方式：所有手柄均需支持压力蒸汽、环氧乙烷和低温等离子等方式灭菌</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．冲洗方式：具有自动冲洗系统，在手术中能够持续冲洗，降低温度，润滑切割表面。冲洗流量可调节。</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．显示和控制方式：通过触摸屏调节所有参数；通过液晶屏显示，具有自动记录手术时间功能。</w:t>
      </w:r>
    </w:p>
    <w:p>
      <w:pPr>
        <w:spacing w:line="360" w:lineRule="auto"/>
        <w:jc w:val="left"/>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7</w:t>
      </w:r>
      <w:r>
        <w:rPr>
          <w:rFonts w:hint="eastAsia" w:ascii="仿宋" w:hAnsi="仿宋" w:eastAsia="仿宋" w:cs="仿宋"/>
          <w:sz w:val="24"/>
        </w:rPr>
        <w:t>．输出控制方式：采用脚踏式控制方式，控制能量输出.</w:t>
      </w:r>
    </w:p>
    <w:p>
      <w:pPr>
        <w:spacing w:line="360" w:lineRule="auto"/>
        <w:jc w:val="left"/>
        <w:rPr>
          <w:rFonts w:hint="eastAsia" w:ascii="仿宋" w:hAnsi="仿宋" w:eastAsia="仿宋" w:cs="仿宋"/>
          <w:sz w:val="24"/>
        </w:rPr>
      </w:pPr>
      <w:r>
        <w:rPr>
          <w:rFonts w:hint="eastAsia" w:ascii="仿宋" w:hAnsi="仿宋" w:eastAsia="仿宋" w:cs="仿宋"/>
          <w:sz w:val="24"/>
        </w:rPr>
        <w:t>二、配置清单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02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序号</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名称</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超声骨刀主机</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2</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脚踏开关</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手柄A(用于脑外科颅内手术）</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4</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手柄B(用于脊柱脊髓手术）</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5</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液流管套</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5</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液流管道</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6</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刀头扳手</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7</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切骨刀头70mm（适配手柄A）</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8</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磨骨刀头70mm(适配手柄A）</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9</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加长切骨刀头（适配手柄A）</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10</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加长磨骨刀头（适配手柄A）</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3</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11</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切骨刀头80mm（适配手柄B）</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12</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磨骨刀头80mm(适配手柄B）</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13</w:t>
            </w:r>
          </w:p>
        </w:tc>
        <w:tc>
          <w:tcPr>
            <w:tcW w:w="4123"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消毒盒</w:t>
            </w:r>
          </w:p>
        </w:tc>
        <w:tc>
          <w:tcPr>
            <w:tcW w:w="438" w:type="pct"/>
            <w:noWrap w:val="0"/>
            <w:vAlign w:val="top"/>
          </w:tcPr>
          <w:p>
            <w:pPr>
              <w:spacing w:line="360" w:lineRule="auto"/>
              <w:jc w:val="left"/>
              <w:rPr>
                <w:rFonts w:hint="eastAsia" w:ascii="仿宋" w:hAnsi="仿宋" w:eastAsia="仿宋" w:cs="仿宋"/>
                <w:sz w:val="24"/>
              </w:rPr>
            </w:pPr>
            <w:r>
              <w:rPr>
                <w:rFonts w:hint="eastAsia" w:ascii="仿宋" w:hAnsi="仿宋" w:eastAsia="仿宋" w:cs="仿宋"/>
                <w:sz w:val="24"/>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820D3"/>
    <w:multiLevelType w:val="multilevel"/>
    <w:tmpl w:val="4B5820D3"/>
    <w:lvl w:ilvl="0" w:tentative="0">
      <w:start w:val="1"/>
      <w:numFmt w:val="japaneseCounting"/>
      <w:lvlText w:val="%1、"/>
      <w:lvlJc w:val="left"/>
      <w:pPr>
        <w:ind w:left="497" w:hanging="49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70B2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rPr>
      <w:rFonts w:eastAsia="黑体"/>
      <w:sz w:val="36"/>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2022-09-18T13:12:25Z</dcterms:created>
  <dc:creator>anli</dc:creator>
  <cp:lastModifiedBy>anli</cp:lastModifiedBy>
  <dcterms:modified xsi:type="dcterms:W3CDTF">2022-09-18T13:13:49Z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374FF423FD034FBD93352F6A3F76FEE6</vt:lpwstr>
  </property>
</Properties>
</file>