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09" w:rsidRPr="00E46209" w:rsidRDefault="00E46209" w:rsidP="00E46209">
      <w:pPr>
        <w:spacing w:before="240" w:after="60"/>
        <w:jc w:val="center"/>
        <w:outlineLvl w:val="0"/>
        <w:rPr>
          <w:rFonts w:ascii="Times New Roman" w:eastAsia="宋体" w:hAnsi="Times New Roman" w:cs="Times New Roman"/>
          <w:b/>
          <w:sz w:val="24"/>
          <w:szCs w:val="24"/>
          <w:lang/>
        </w:rPr>
      </w:pPr>
      <w:r w:rsidRPr="00E46209">
        <w:rPr>
          <w:rFonts w:ascii="Times New Roman" w:eastAsia="宋体" w:hAnsi="宋体" w:cs="Times New Roman"/>
          <w:b/>
          <w:sz w:val="32"/>
          <w:szCs w:val="24"/>
          <w:lang/>
        </w:rPr>
        <w:t>采购需求</w:t>
      </w:r>
    </w:p>
    <w:p w:rsidR="00E46209" w:rsidRPr="00E46209" w:rsidRDefault="00E46209" w:rsidP="00E46209">
      <w:pPr>
        <w:widowControl/>
        <w:spacing w:line="360" w:lineRule="auto"/>
        <w:rPr>
          <w:rFonts w:ascii="Times New Roman" w:eastAsia="宋体" w:hAnsi="Times New Roman" w:cs="Times New Roman" w:hint="eastAsia"/>
          <w:b/>
          <w:color w:val="000000"/>
          <w:kern w:val="0"/>
          <w:sz w:val="24"/>
          <w:szCs w:val="21"/>
        </w:rPr>
      </w:pPr>
      <w:r w:rsidRPr="00E46209">
        <w:rPr>
          <w:rFonts w:ascii="Times New Roman" w:eastAsia="宋体" w:hAnsi="Times New Roman" w:cs="Times New Roman"/>
          <w:b/>
          <w:color w:val="000000"/>
          <w:kern w:val="0"/>
          <w:sz w:val="24"/>
          <w:szCs w:val="21"/>
        </w:rPr>
        <w:t>一、项目概况</w:t>
      </w:r>
    </w:p>
    <w:p w:rsidR="00E46209" w:rsidRPr="00E46209" w:rsidRDefault="00E46209" w:rsidP="00E46209">
      <w:pPr>
        <w:spacing w:line="360" w:lineRule="auto"/>
        <w:ind w:firstLineChars="200" w:firstLine="420"/>
        <w:rPr>
          <w:rFonts w:ascii="宋体" w:eastAsia="宋体" w:hAnsi="宋体" w:cs="Times New Roman" w:hint="eastAsia"/>
          <w:color w:val="000000"/>
          <w:szCs w:val="24"/>
        </w:rPr>
      </w:pPr>
      <w:r w:rsidRPr="00E46209">
        <w:rPr>
          <w:rFonts w:ascii="宋体" w:eastAsia="宋体" w:hAnsi="宋体" w:cs="Times New Roman" w:hint="eastAsia"/>
          <w:color w:val="000000"/>
          <w:szCs w:val="21"/>
        </w:rPr>
        <w:t>安徽省审计厅高压配电设备扩容改造</w:t>
      </w:r>
      <w:r w:rsidRPr="00E46209">
        <w:rPr>
          <w:rFonts w:ascii="宋体" w:eastAsia="宋体" w:hAnsi="宋体" w:cs="Calibri" w:hint="eastAsia"/>
          <w:color w:val="000000"/>
          <w:szCs w:val="21"/>
        </w:rPr>
        <w:t>，具体详见</w:t>
      </w:r>
      <w:r w:rsidRPr="00E46209">
        <w:rPr>
          <w:rFonts w:ascii="宋体" w:eastAsia="宋体" w:hAnsi="宋体" w:cs="Times New Roman" w:hint="eastAsia"/>
          <w:color w:val="000000"/>
          <w:szCs w:val="21"/>
        </w:rPr>
        <w:t>图纸、</w:t>
      </w:r>
      <w:r w:rsidRPr="00E46209">
        <w:rPr>
          <w:rFonts w:ascii="宋体" w:eastAsia="宋体" w:hAnsi="宋体" w:cs="Calibri" w:hint="eastAsia"/>
          <w:color w:val="000000"/>
          <w:szCs w:val="21"/>
        </w:rPr>
        <w:t>工程量清单</w:t>
      </w:r>
      <w:r w:rsidRPr="00E46209">
        <w:rPr>
          <w:rFonts w:ascii="宋体" w:eastAsia="宋体" w:hAnsi="宋体" w:cs="Times New Roman" w:hint="eastAsia"/>
          <w:color w:val="000000"/>
          <w:szCs w:val="24"/>
        </w:rPr>
        <w:t>。</w:t>
      </w:r>
    </w:p>
    <w:p w:rsidR="00E46209" w:rsidRPr="00E46209" w:rsidRDefault="00E46209" w:rsidP="00E46209">
      <w:pPr>
        <w:spacing w:line="360" w:lineRule="auto"/>
        <w:ind w:firstLineChars="200" w:firstLine="420"/>
        <w:rPr>
          <w:rFonts w:ascii="宋体" w:eastAsia="宋体" w:hAnsi="宋体" w:cs="Times New Roman" w:hint="eastAsia"/>
          <w:szCs w:val="24"/>
        </w:rPr>
      </w:pPr>
    </w:p>
    <w:p w:rsidR="00E46209" w:rsidRPr="00E46209" w:rsidRDefault="00E46209" w:rsidP="00E46209">
      <w:pPr>
        <w:widowControl/>
        <w:spacing w:line="360" w:lineRule="auto"/>
        <w:rPr>
          <w:rFonts w:ascii="Times New Roman" w:eastAsia="宋体" w:hAnsi="Times New Roman" w:cs="Times New Roman" w:hint="eastAsia"/>
          <w:b/>
          <w:color w:val="000000"/>
          <w:kern w:val="0"/>
          <w:sz w:val="24"/>
          <w:szCs w:val="21"/>
        </w:rPr>
      </w:pPr>
      <w:r w:rsidRPr="00E46209">
        <w:rPr>
          <w:rFonts w:ascii="Times New Roman" w:eastAsia="宋体" w:hAnsi="Times New Roman" w:cs="Times New Roman" w:hint="eastAsia"/>
          <w:b/>
          <w:color w:val="000000"/>
          <w:kern w:val="0"/>
          <w:sz w:val="24"/>
          <w:szCs w:val="21"/>
        </w:rPr>
        <w:t>二</w:t>
      </w:r>
      <w:r w:rsidRPr="00E46209">
        <w:rPr>
          <w:rFonts w:ascii="Times New Roman" w:eastAsia="宋体" w:hAnsi="Times New Roman" w:cs="Times New Roman"/>
          <w:b/>
          <w:color w:val="000000"/>
          <w:kern w:val="0"/>
          <w:sz w:val="24"/>
          <w:szCs w:val="21"/>
        </w:rPr>
        <w:t>、</w:t>
      </w:r>
      <w:r w:rsidRPr="00E46209">
        <w:rPr>
          <w:rFonts w:ascii="Times New Roman" w:eastAsia="宋体" w:hAnsi="Times New Roman" w:cs="Times New Roman" w:hint="eastAsia"/>
          <w:b/>
          <w:color w:val="000000"/>
          <w:kern w:val="0"/>
          <w:sz w:val="24"/>
          <w:szCs w:val="21"/>
        </w:rPr>
        <w:t>工程建设标准及依据</w:t>
      </w:r>
    </w:p>
    <w:p w:rsidR="00E46209" w:rsidRPr="00E46209" w:rsidRDefault="00E46209" w:rsidP="00E46209">
      <w:pPr>
        <w:spacing w:line="360" w:lineRule="auto"/>
        <w:ind w:firstLineChars="200" w:firstLine="420"/>
        <w:rPr>
          <w:rFonts w:ascii="宋体" w:eastAsia="宋体" w:hAnsi="宋体" w:cs="Times New Roman" w:hint="eastAsia"/>
          <w:szCs w:val="24"/>
        </w:rPr>
      </w:pPr>
      <w:r w:rsidRPr="00E46209">
        <w:rPr>
          <w:rFonts w:ascii="宋体" w:eastAsia="宋体" w:hAnsi="宋体" w:cs="Times New Roman"/>
          <w:szCs w:val="24"/>
        </w:rPr>
        <w:t>按照图纸、工程量清单要求及最新国家相关标准、规范要求执行。</w:t>
      </w:r>
    </w:p>
    <w:p w:rsidR="00E46209" w:rsidRPr="00E46209" w:rsidRDefault="00E46209" w:rsidP="00E46209">
      <w:pPr>
        <w:widowControl/>
        <w:spacing w:line="360" w:lineRule="auto"/>
        <w:rPr>
          <w:rFonts w:ascii="Times New Roman" w:eastAsia="宋体" w:hAnsi="Times New Roman" w:cs="Times New Roman" w:hint="eastAsia"/>
          <w:b/>
          <w:color w:val="000000"/>
          <w:kern w:val="0"/>
          <w:sz w:val="24"/>
          <w:szCs w:val="21"/>
        </w:rPr>
      </w:pPr>
    </w:p>
    <w:p w:rsidR="00E46209" w:rsidRPr="00E46209" w:rsidRDefault="00E46209" w:rsidP="00E46209">
      <w:pPr>
        <w:widowControl/>
        <w:spacing w:line="360" w:lineRule="auto"/>
        <w:rPr>
          <w:rFonts w:ascii="Times New Roman" w:eastAsia="宋体" w:hAnsi="Times New Roman" w:cs="Times New Roman" w:hint="eastAsia"/>
          <w:b/>
          <w:color w:val="000000"/>
          <w:kern w:val="0"/>
          <w:sz w:val="24"/>
          <w:szCs w:val="21"/>
        </w:rPr>
      </w:pPr>
      <w:r w:rsidRPr="00E46209">
        <w:rPr>
          <w:rFonts w:ascii="Times New Roman" w:eastAsia="宋体" w:hAnsi="Times New Roman" w:cs="Times New Roman" w:hint="eastAsia"/>
          <w:b/>
          <w:color w:val="000000"/>
          <w:kern w:val="0"/>
          <w:sz w:val="24"/>
          <w:szCs w:val="21"/>
        </w:rPr>
        <w:t>三</w:t>
      </w:r>
      <w:r w:rsidRPr="00E46209">
        <w:rPr>
          <w:rFonts w:ascii="Times New Roman" w:eastAsia="宋体" w:hAnsi="Times New Roman" w:cs="Times New Roman"/>
          <w:b/>
          <w:color w:val="000000"/>
          <w:kern w:val="0"/>
          <w:sz w:val="24"/>
          <w:szCs w:val="21"/>
        </w:rPr>
        <w:t>、</w:t>
      </w:r>
      <w:r w:rsidRPr="00E46209">
        <w:rPr>
          <w:rFonts w:ascii="Times New Roman" w:eastAsia="宋体" w:hAnsi="Times New Roman" w:cs="Times New Roman" w:hint="eastAsia"/>
          <w:b/>
          <w:color w:val="000000"/>
          <w:kern w:val="0"/>
          <w:sz w:val="24"/>
          <w:szCs w:val="21"/>
        </w:rPr>
        <w:t>材料要求</w:t>
      </w:r>
    </w:p>
    <w:p w:rsidR="00E46209" w:rsidRPr="00E46209" w:rsidRDefault="00E46209" w:rsidP="00E46209">
      <w:pPr>
        <w:spacing w:line="360" w:lineRule="auto"/>
        <w:ind w:firstLineChars="200" w:firstLine="420"/>
        <w:rPr>
          <w:rFonts w:ascii="宋体" w:eastAsia="宋体" w:hAnsi="宋体" w:cs="Times New Roman"/>
          <w:szCs w:val="24"/>
        </w:rPr>
      </w:pPr>
      <w:r w:rsidRPr="00E46209">
        <w:rPr>
          <w:rFonts w:ascii="宋体" w:eastAsia="宋体" w:hAnsi="宋体" w:cs="Times New Roman"/>
          <w:szCs w:val="24"/>
        </w:rPr>
        <w:t>1、本工程所需的所有材料，成交供应商除应按国家相关规定报相关部门送检合格外（费用自理），还需无条件接受采购人对本工程任何材料、在施工过程中任何时间提出的检验要求，若该材料经权威检验部门鉴定确有质量问题，由此而发生的一切费用和损失由供应商承担。采购人保留施工时根据实际需要调整部分材料的权利。</w:t>
      </w:r>
    </w:p>
    <w:p w:rsidR="00E46209" w:rsidRPr="00E46209" w:rsidRDefault="00E46209" w:rsidP="00E46209">
      <w:pPr>
        <w:spacing w:line="360" w:lineRule="auto"/>
        <w:ind w:firstLineChars="200" w:firstLine="420"/>
        <w:rPr>
          <w:rFonts w:ascii="宋体" w:eastAsia="宋体" w:hAnsi="宋体" w:cs="Times New Roman" w:hint="eastAsia"/>
          <w:szCs w:val="24"/>
        </w:rPr>
      </w:pPr>
      <w:r w:rsidRPr="00E46209">
        <w:rPr>
          <w:rFonts w:ascii="宋体" w:eastAsia="宋体" w:hAnsi="宋体" w:cs="Times New Roman"/>
          <w:szCs w:val="24"/>
        </w:rPr>
        <w:t>2、对于采购人推荐品牌的材料，供应商可选用推荐品牌或不低于推荐品牌质量标准的其它品牌；采用其它品牌的应在《</w:t>
      </w:r>
      <w:r w:rsidRPr="00E46209">
        <w:rPr>
          <w:rFonts w:ascii="宋体" w:eastAsia="宋体" w:hAnsi="宋体" w:cs="Times New Roman" w:hint="eastAsia"/>
          <w:szCs w:val="24"/>
        </w:rPr>
        <w:t>材料品牌选择表</w:t>
      </w:r>
      <w:r w:rsidRPr="00E46209">
        <w:rPr>
          <w:rFonts w:ascii="宋体" w:eastAsia="宋体" w:hAnsi="宋体" w:cs="Times New Roman"/>
          <w:szCs w:val="24"/>
        </w:rPr>
        <w:t>》中注明并提供</w:t>
      </w:r>
      <w:r w:rsidRPr="00E46209">
        <w:rPr>
          <w:rFonts w:ascii="Times New Roman" w:eastAsia="宋体" w:hAnsi="Times New Roman" w:cs="Times New Roman"/>
          <w:szCs w:val="24"/>
        </w:rPr>
        <w:t>相关技术性能指标、业绩等供磋商小组评审</w:t>
      </w:r>
      <w:r w:rsidRPr="00E46209">
        <w:rPr>
          <w:rFonts w:ascii="宋体" w:eastAsia="宋体" w:hAnsi="宋体" w:cs="Times New Roman"/>
          <w:szCs w:val="24"/>
        </w:rPr>
        <w:t>；未在《</w:t>
      </w:r>
      <w:r w:rsidRPr="00E46209">
        <w:rPr>
          <w:rFonts w:ascii="宋体" w:eastAsia="宋体" w:hAnsi="宋体" w:cs="Times New Roman" w:hint="eastAsia"/>
          <w:szCs w:val="24"/>
        </w:rPr>
        <w:t>材料品牌选择表</w:t>
      </w:r>
      <w:r w:rsidRPr="00E46209">
        <w:rPr>
          <w:rFonts w:ascii="宋体" w:eastAsia="宋体" w:hAnsi="宋体" w:cs="Times New Roman"/>
          <w:szCs w:val="24"/>
        </w:rPr>
        <w:t>》</w:t>
      </w:r>
      <w:r w:rsidRPr="00E46209">
        <w:rPr>
          <w:rFonts w:ascii="Times New Roman" w:eastAsia="宋体" w:hAnsi="Times New Roman" w:cs="Times New Roman"/>
          <w:szCs w:val="24"/>
        </w:rPr>
        <w:t>中注明且未提供相关技术性能指标、业绩，或经磋商小组评审未通过，成交后只能从采购人推荐品牌中进行选择，合同价格不予调整</w:t>
      </w:r>
      <w:r w:rsidRPr="00E46209">
        <w:rPr>
          <w:rFonts w:ascii="宋体" w:eastAsia="宋体" w:hAnsi="宋体" w:cs="Times New Roman"/>
          <w:szCs w:val="24"/>
        </w:rPr>
        <w:t>。</w:t>
      </w:r>
    </w:p>
    <w:p w:rsidR="00E46209" w:rsidRPr="00E46209" w:rsidRDefault="00E46209" w:rsidP="00E46209">
      <w:pPr>
        <w:spacing w:line="360" w:lineRule="auto"/>
        <w:ind w:firstLineChars="200" w:firstLine="420"/>
        <w:rPr>
          <w:rFonts w:ascii="Times New Roman" w:eastAsia="宋体" w:hAnsi="Times New Roman" w:cs="宋体"/>
          <w:b/>
          <w:sz w:val="32"/>
          <w:szCs w:val="32"/>
        </w:rPr>
      </w:pPr>
      <w:r w:rsidRPr="00E46209">
        <w:rPr>
          <w:rFonts w:ascii="宋体" w:eastAsia="宋体" w:hAnsi="宋体" w:cs="Times New Roman" w:hint="eastAsia"/>
          <w:szCs w:val="24"/>
        </w:rPr>
        <w:t>3、材料品牌推荐表：</w:t>
      </w:r>
      <w:r w:rsidRPr="00E46209">
        <w:rPr>
          <w:rFonts w:ascii="Times New Roman" w:eastAsia="宋体" w:hAnsi="Times New Roman" w:cs="宋体"/>
          <w:b/>
          <w:sz w:val="32"/>
          <w:szCs w:val="32"/>
        </w:rPr>
        <w:t xml:space="preserve"> </w:t>
      </w:r>
    </w:p>
    <w:tbl>
      <w:tblPr>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2405"/>
        <w:gridCol w:w="5103"/>
        <w:gridCol w:w="1839"/>
      </w:tblGrid>
      <w:tr w:rsidR="00E46209" w:rsidRPr="00E46209" w:rsidTr="0012630F">
        <w:trPr>
          <w:trHeight w:val="468"/>
          <w:jc w:val="center"/>
        </w:trPr>
        <w:tc>
          <w:tcPr>
            <w:tcW w:w="709" w:type="dxa"/>
            <w:vMerge w:val="restart"/>
            <w:shd w:val="clear" w:color="auto" w:fill="FFFFFF"/>
            <w:vAlign w:val="center"/>
          </w:tcPr>
          <w:p w:rsidR="00E46209" w:rsidRPr="00E46209" w:rsidRDefault="00E46209" w:rsidP="00E46209">
            <w:pPr>
              <w:spacing w:line="360" w:lineRule="auto"/>
              <w:jc w:val="center"/>
              <w:rPr>
                <w:rFonts w:ascii="宋体" w:eastAsia="宋体" w:hAnsi="宋体" w:cs="宋体"/>
                <w:b/>
                <w:bCs/>
                <w:szCs w:val="21"/>
              </w:rPr>
            </w:pPr>
            <w:r w:rsidRPr="00E46209">
              <w:rPr>
                <w:rFonts w:ascii="宋体" w:eastAsia="宋体" w:hAnsi="宋体" w:cs="宋体" w:hint="eastAsia"/>
                <w:b/>
                <w:bCs/>
                <w:szCs w:val="21"/>
              </w:rPr>
              <w:t>序号</w:t>
            </w:r>
          </w:p>
        </w:tc>
        <w:tc>
          <w:tcPr>
            <w:tcW w:w="2405" w:type="dxa"/>
            <w:vMerge w:val="restart"/>
            <w:shd w:val="clear" w:color="auto" w:fill="FFFFFF"/>
            <w:vAlign w:val="center"/>
          </w:tcPr>
          <w:p w:rsidR="00E46209" w:rsidRPr="00E46209" w:rsidRDefault="00E46209" w:rsidP="00E46209">
            <w:pPr>
              <w:spacing w:line="360" w:lineRule="auto"/>
              <w:jc w:val="center"/>
              <w:rPr>
                <w:rFonts w:ascii="宋体" w:eastAsia="宋体" w:hAnsi="宋体" w:cs="宋体"/>
                <w:b/>
                <w:bCs/>
                <w:szCs w:val="21"/>
              </w:rPr>
            </w:pPr>
            <w:r w:rsidRPr="00E46209">
              <w:rPr>
                <w:rFonts w:ascii="宋体" w:eastAsia="宋体" w:hAnsi="宋体" w:cs="宋体" w:hint="eastAsia"/>
                <w:b/>
                <w:bCs/>
                <w:szCs w:val="21"/>
              </w:rPr>
              <w:t>材料、设备名称</w:t>
            </w:r>
          </w:p>
        </w:tc>
        <w:tc>
          <w:tcPr>
            <w:tcW w:w="5103" w:type="dxa"/>
            <w:vMerge w:val="restart"/>
            <w:shd w:val="clear" w:color="auto" w:fill="FFFFFF"/>
            <w:vAlign w:val="center"/>
          </w:tcPr>
          <w:p w:rsidR="00E46209" w:rsidRPr="00E46209" w:rsidRDefault="00E46209" w:rsidP="00E46209">
            <w:pPr>
              <w:spacing w:line="360" w:lineRule="auto"/>
              <w:jc w:val="center"/>
              <w:rPr>
                <w:rFonts w:ascii="宋体" w:eastAsia="宋体" w:hAnsi="宋体" w:cs="宋体"/>
                <w:b/>
                <w:bCs/>
                <w:szCs w:val="21"/>
              </w:rPr>
            </w:pPr>
            <w:r w:rsidRPr="00E46209">
              <w:rPr>
                <w:rFonts w:ascii="宋体" w:eastAsia="宋体" w:hAnsi="宋体" w:cs="宋体" w:hint="eastAsia"/>
                <w:b/>
                <w:bCs/>
                <w:szCs w:val="21"/>
              </w:rPr>
              <w:t>推荐品牌、厂家</w:t>
            </w:r>
          </w:p>
        </w:tc>
        <w:tc>
          <w:tcPr>
            <w:tcW w:w="1839" w:type="dxa"/>
            <w:vMerge w:val="restart"/>
            <w:shd w:val="clear" w:color="auto" w:fill="FFFFFF"/>
            <w:vAlign w:val="center"/>
          </w:tcPr>
          <w:p w:rsidR="00E46209" w:rsidRPr="00E46209" w:rsidRDefault="00E46209" w:rsidP="00E46209">
            <w:pPr>
              <w:spacing w:line="360" w:lineRule="auto"/>
              <w:jc w:val="center"/>
              <w:rPr>
                <w:rFonts w:ascii="宋体" w:eastAsia="宋体" w:hAnsi="宋体" w:cs="宋体"/>
                <w:b/>
                <w:bCs/>
                <w:szCs w:val="21"/>
              </w:rPr>
            </w:pPr>
            <w:r w:rsidRPr="00E46209">
              <w:rPr>
                <w:rFonts w:ascii="宋体" w:eastAsia="宋体" w:hAnsi="宋体" w:cs="宋体" w:hint="eastAsia"/>
                <w:b/>
                <w:bCs/>
                <w:szCs w:val="21"/>
              </w:rPr>
              <w:t>备 注</w:t>
            </w:r>
          </w:p>
        </w:tc>
      </w:tr>
      <w:tr w:rsidR="00E46209" w:rsidRPr="00E46209" w:rsidTr="0012630F">
        <w:trPr>
          <w:trHeight w:val="409"/>
          <w:jc w:val="center"/>
        </w:trPr>
        <w:tc>
          <w:tcPr>
            <w:tcW w:w="709" w:type="dxa"/>
            <w:vMerge/>
            <w:vAlign w:val="center"/>
          </w:tcPr>
          <w:p w:rsidR="00E46209" w:rsidRPr="00E46209" w:rsidRDefault="00E46209" w:rsidP="00E46209">
            <w:pPr>
              <w:snapToGrid w:val="0"/>
              <w:spacing w:line="360" w:lineRule="auto"/>
              <w:jc w:val="center"/>
              <w:rPr>
                <w:rFonts w:ascii="宋体" w:eastAsia="宋体" w:hAnsi="宋体" w:cs="宋体"/>
                <w:szCs w:val="21"/>
              </w:rPr>
            </w:pPr>
          </w:p>
        </w:tc>
        <w:tc>
          <w:tcPr>
            <w:tcW w:w="2405" w:type="dxa"/>
            <w:vMerge/>
            <w:vAlign w:val="center"/>
          </w:tcPr>
          <w:p w:rsidR="00E46209" w:rsidRPr="00E46209" w:rsidRDefault="00E46209" w:rsidP="00E46209">
            <w:pPr>
              <w:snapToGrid w:val="0"/>
              <w:spacing w:line="360" w:lineRule="auto"/>
              <w:rPr>
                <w:rFonts w:ascii="宋体" w:eastAsia="宋体" w:hAnsi="宋体" w:cs="宋体"/>
                <w:szCs w:val="21"/>
              </w:rPr>
            </w:pPr>
          </w:p>
        </w:tc>
        <w:tc>
          <w:tcPr>
            <w:tcW w:w="5103" w:type="dxa"/>
            <w:vMerge/>
            <w:vAlign w:val="center"/>
          </w:tcPr>
          <w:p w:rsidR="00E46209" w:rsidRPr="00E46209" w:rsidRDefault="00E46209" w:rsidP="00E46209">
            <w:pPr>
              <w:snapToGrid w:val="0"/>
              <w:spacing w:line="360" w:lineRule="auto"/>
              <w:rPr>
                <w:rFonts w:ascii="宋体" w:eastAsia="宋体" w:hAnsi="宋体" w:cs="宋体"/>
                <w:szCs w:val="21"/>
              </w:rPr>
            </w:pPr>
          </w:p>
        </w:tc>
        <w:tc>
          <w:tcPr>
            <w:tcW w:w="1839" w:type="dxa"/>
            <w:vMerge/>
            <w:vAlign w:val="center"/>
          </w:tcPr>
          <w:p w:rsidR="00E46209" w:rsidRPr="00E46209" w:rsidRDefault="00E46209" w:rsidP="00E46209">
            <w:pPr>
              <w:snapToGrid w:val="0"/>
              <w:spacing w:line="360" w:lineRule="auto"/>
              <w:rPr>
                <w:rFonts w:ascii="宋体" w:eastAsia="宋体" w:hAnsi="宋体" w:cs="宋体"/>
                <w:szCs w:val="21"/>
              </w:rPr>
            </w:pPr>
          </w:p>
        </w:tc>
      </w:tr>
      <w:tr w:rsidR="00E46209" w:rsidRPr="00E46209" w:rsidTr="0012630F">
        <w:trPr>
          <w:trHeight w:val="340"/>
          <w:jc w:val="center"/>
        </w:trPr>
        <w:tc>
          <w:tcPr>
            <w:tcW w:w="10056" w:type="dxa"/>
            <w:gridSpan w:val="4"/>
            <w:shd w:val="clear" w:color="auto" w:fill="FFFFFF"/>
            <w:vAlign w:val="center"/>
          </w:tcPr>
          <w:p w:rsidR="00E46209" w:rsidRPr="00E46209" w:rsidRDefault="00E46209" w:rsidP="00E46209">
            <w:pPr>
              <w:spacing w:line="360" w:lineRule="auto"/>
              <w:jc w:val="center"/>
              <w:rPr>
                <w:rFonts w:ascii="宋体" w:eastAsia="宋体" w:hAnsi="宋体" w:cs="宋体"/>
                <w:b/>
                <w:bCs/>
                <w:szCs w:val="21"/>
              </w:rPr>
            </w:pPr>
            <w:r w:rsidRPr="00E46209">
              <w:rPr>
                <w:rFonts w:ascii="宋体" w:eastAsia="宋体" w:hAnsi="宋体" w:cs="宋体" w:hint="eastAsia"/>
                <w:b/>
                <w:bCs/>
                <w:szCs w:val="21"/>
              </w:rPr>
              <w:t>高压开关柜</w:t>
            </w: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1</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2"/>
              </w:rPr>
            </w:pPr>
            <w:r w:rsidRPr="00E46209">
              <w:rPr>
                <w:rFonts w:ascii="宋体" w:eastAsia="宋体" w:hAnsi="宋体" w:cs="宋体" w:hint="eastAsia"/>
                <w:kern w:val="0"/>
                <w:sz w:val="22"/>
              </w:rPr>
              <w:t>高压柜（原厂柜）</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 w:val="22"/>
                <w:szCs w:val="24"/>
              </w:rPr>
            </w:pPr>
            <w:r w:rsidRPr="00E46209">
              <w:rPr>
                <w:rFonts w:ascii="宋体" w:eastAsia="宋体" w:hAnsi="宋体" w:cs="宋体"/>
                <w:sz w:val="22"/>
                <w:szCs w:val="24"/>
              </w:rPr>
              <w:t xml:space="preserve"> ABB</w:t>
            </w:r>
            <w:r w:rsidRPr="00E46209">
              <w:rPr>
                <w:rFonts w:ascii="宋体" w:eastAsia="宋体" w:hAnsi="宋体" w:cs="宋体" w:hint="eastAsia"/>
                <w:sz w:val="22"/>
                <w:szCs w:val="24"/>
              </w:rPr>
              <w:t>：</w:t>
            </w:r>
            <w:r w:rsidRPr="00E46209">
              <w:rPr>
                <w:rFonts w:ascii="宋体" w:eastAsia="宋体" w:hAnsi="宋体" w:cs="宋体"/>
                <w:sz w:val="22"/>
                <w:szCs w:val="24"/>
              </w:rPr>
              <w:t>ZS-SG</w:t>
            </w:r>
            <w:r w:rsidRPr="00E46209">
              <w:rPr>
                <w:rFonts w:ascii="宋体" w:eastAsia="宋体" w:hAnsi="宋体" w:cs="宋体" w:hint="eastAsia"/>
                <w:sz w:val="22"/>
                <w:szCs w:val="24"/>
              </w:rPr>
              <w:t>、施耐德：</w:t>
            </w:r>
            <w:r w:rsidRPr="00E46209">
              <w:rPr>
                <w:rFonts w:ascii="宋体" w:eastAsia="宋体" w:hAnsi="宋体" w:cs="宋体"/>
                <w:sz w:val="22"/>
                <w:szCs w:val="24"/>
              </w:rPr>
              <w:t>PIX-12</w:t>
            </w:r>
            <w:r w:rsidRPr="00E46209">
              <w:rPr>
                <w:rFonts w:ascii="宋体" w:eastAsia="宋体" w:hAnsi="宋体" w:cs="宋体" w:hint="eastAsia"/>
                <w:sz w:val="22"/>
                <w:szCs w:val="24"/>
              </w:rPr>
              <w:t>、西门子</w:t>
            </w:r>
            <w:r w:rsidRPr="00E46209">
              <w:rPr>
                <w:rFonts w:ascii="宋体" w:eastAsia="宋体" w:hAnsi="宋体" w:cs="宋体"/>
                <w:sz w:val="22"/>
                <w:szCs w:val="24"/>
              </w:rPr>
              <w:t>NxairS</w:t>
            </w:r>
            <w:r w:rsidRPr="00E46209">
              <w:rPr>
                <w:rFonts w:ascii="宋体" w:eastAsia="宋体" w:hAnsi="宋体" w:cs="宋体" w:hint="eastAsia"/>
                <w:sz w:val="22"/>
                <w:szCs w:val="24"/>
              </w:rPr>
              <w:t>、</w:t>
            </w:r>
          </w:p>
        </w:tc>
        <w:tc>
          <w:tcPr>
            <w:tcW w:w="1839" w:type="dxa"/>
            <w:shd w:val="clear" w:color="auto" w:fill="FFFFFF"/>
            <w:vAlign w:val="center"/>
          </w:tcPr>
          <w:p w:rsidR="00E46209" w:rsidRPr="00E46209" w:rsidRDefault="00E46209" w:rsidP="00E46209">
            <w:pPr>
              <w:spacing w:line="360" w:lineRule="auto"/>
              <w:jc w:val="left"/>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2</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4"/>
                <w:szCs w:val="21"/>
              </w:rPr>
            </w:pPr>
            <w:r w:rsidRPr="00E46209">
              <w:rPr>
                <w:rFonts w:ascii="宋体" w:eastAsia="宋体" w:hAnsi="宋体" w:cs="宋体" w:hint="eastAsia"/>
                <w:kern w:val="0"/>
                <w:sz w:val="22"/>
              </w:rPr>
              <w:t>10kV</w:t>
            </w:r>
            <w:r w:rsidRPr="00E46209">
              <w:rPr>
                <w:rFonts w:ascii="宋体" w:eastAsia="宋体" w:hAnsi="宋体" w:cs="宋体"/>
                <w:kern w:val="0"/>
                <w:sz w:val="22"/>
              </w:rPr>
              <w:t>真空断路器</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 w:val="22"/>
                <w:szCs w:val="24"/>
              </w:rPr>
              <w:t>施耐德 HVX系列、西门子3AE系列、ABB VD4系列</w:t>
            </w:r>
          </w:p>
        </w:tc>
        <w:tc>
          <w:tcPr>
            <w:tcW w:w="183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3</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4"/>
                <w:szCs w:val="21"/>
              </w:rPr>
            </w:pPr>
            <w:r w:rsidRPr="00E46209">
              <w:rPr>
                <w:rFonts w:ascii="宋体" w:eastAsia="宋体" w:hAnsi="宋体" w:cs="宋体"/>
                <w:kern w:val="0"/>
                <w:sz w:val="22"/>
              </w:rPr>
              <w:t>微机测控保护装置</w:t>
            </w:r>
          </w:p>
        </w:tc>
        <w:tc>
          <w:tcPr>
            <w:tcW w:w="5103" w:type="dxa"/>
            <w:shd w:val="clear" w:color="auto" w:fill="FFFFFF"/>
            <w:vAlign w:val="center"/>
          </w:tcPr>
          <w:p w:rsidR="00E46209" w:rsidRPr="00E46209" w:rsidRDefault="00E46209" w:rsidP="00E46209">
            <w:pPr>
              <w:spacing w:line="360" w:lineRule="auto"/>
              <w:ind w:right="1287"/>
              <w:rPr>
                <w:rFonts w:ascii="宋体" w:eastAsia="宋体" w:hAnsi="宋体" w:cs="宋体"/>
                <w:szCs w:val="21"/>
              </w:rPr>
            </w:pPr>
            <w:r w:rsidRPr="00E46209">
              <w:rPr>
                <w:rFonts w:ascii="宋体" w:eastAsia="宋体" w:hAnsi="宋体" w:cs="宋体" w:hint="eastAsia"/>
                <w:sz w:val="22"/>
                <w:szCs w:val="24"/>
              </w:rPr>
              <w:t>深圳中电、南京天溯、北京德威特</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L</w:t>
            </w:r>
            <w:r w:rsidRPr="00E46209">
              <w:rPr>
                <w:rFonts w:ascii="宋体" w:eastAsia="宋体" w:hAnsi="宋体" w:cs="宋体"/>
                <w:szCs w:val="21"/>
              </w:rPr>
              <w:t>CD</w:t>
            </w:r>
            <w:r w:rsidRPr="00E46209">
              <w:rPr>
                <w:rFonts w:ascii="宋体" w:eastAsia="宋体" w:hAnsi="宋体" w:cs="宋体" w:hint="eastAsia"/>
                <w:szCs w:val="21"/>
              </w:rPr>
              <w:t>大屏显示，带故障指示灯</w:t>
            </w: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4</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弧光保护装置</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保定市华异特电气有限公司、北京华电恒瑞电气有限公司、保定市新海电气有限公司</w:t>
            </w:r>
          </w:p>
        </w:tc>
        <w:tc>
          <w:tcPr>
            <w:tcW w:w="183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5</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过电压保护器、智能操控</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hint="eastAsia"/>
                <w:szCs w:val="21"/>
              </w:rPr>
            </w:pPr>
            <w:r w:rsidRPr="00E46209">
              <w:rPr>
                <w:rFonts w:ascii="宋体" w:eastAsia="宋体" w:hAnsi="宋体" w:cs="宋体" w:hint="eastAsia"/>
                <w:szCs w:val="21"/>
              </w:rPr>
              <w:t>安徽天庆、安徽同想、安徽力欧</w:t>
            </w:r>
          </w:p>
        </w:tc>
        <w:tc>
          <w:tcPr>
            <w:tcW w:w="183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lastRenderedPageBreak/>
              <w:t>6</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消弧消谐柜</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hint="eastAsia"/>
                <w:szCs w:val="21"/>
              </w:rPr>
            </w:pPr>
            <w:r w:rsidRPr="00E46209">
              <w:rPr>
                <w:rFonts w:ascii="宋体" w:eastAsia="宋体" w:hAnsi="宋体" w:cs="宋体" w:hint="eastAsia"/>
                <w:szCs w:val="21"/>
              </w:rPr>
              <w:t>安徽天庆、安徽同想、安徽力欧、徽开电力</w:t>
            </w:r>
          </w:p>
        </w:tc>
        <w:tc>
          <w:tcPr>
            <w:tcW w:w="183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7</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直流屏</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许继电气、国电南瑞、北京四方</w:t>
            </w:r>
          </w:p>
        </w:tc>
        <w:tc>
          <w:tcPr>
            <w:tcW w:w="183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p>
        </w:tc>
      </w:tr>
      <w:tr w:rsidR="00E46209" w:rsidRPr="00E46209" w:rsidTr="0012630F">
        <w:trPr>
          <w:trHeight w:val="340"/>
          <w:jc w:val="center"/>
        </w:trPr>
        <w:tc>
          <w:tcPr>
            <w:tcW w:w="10056" w:type="dxa"/>
            <w:gridSpan w:val="4"/>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hint="eastAsia"/>
                <w:b/>
                <w:bCs/>
                <w:szCs w:val="21"/>
              </w:rPr>
              <w:t>低压开关柜</w:t>
            </w: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1</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 w:val="22"/>
              </w:rPr>
              <w:t>低压柜（授权柜）</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sz w:val="22"/>
                <w:szCs w:val="24"/>
              </w:rPr>
              <w:t xml:space="preserve"> ABB</w:t>
            </w:r>
            <w:r w:rsidRPr="00E46209">
              <w:rPr>
                <w:rFonts w:ascii="宋体" w:eastAsia="宋体" w:hAnsi="宋体" w:cs="宋体" w:hint="eastAsia"/>
                <w:sz w:val="22"/>
                <w:szCs w:val="24"/>
              </w:rPr>
              <w:t xml:space="preserve"> </w:t>
            </w:r>
            <w:r w:rsidRPr="00E46209">
              <w:rPr>
                <w:rFonts w:ascii="宋体" w:eastAsia="宋体" w:hAnsi="宋体" w:cs="宋体"/>
                <w:sz w:val="22"/>
                <w:szCs w:val="24"/>
              </w:rPr>
              <w:t>MDmax</w:t>
            </w:r>
            <w:r w:rsidRPr="00E46209">
              <w:rPr>
                <w:rFonts w:ascii="宋体" w:eastAsia="宋体" w:hAnsi="宋体" w:cs="宋体" w:hint="eastAsia"/>
                <w:sz w:val="22"/>
                <w:szCs w:val="24"/>
              </w:rPr>
              <w:t>、施耐德：</w:t>
            </w:r>
            <w:r w:rsidRPr="00E46209">
              <w:rPr>
                <w:rFonts w:ascii="宋体" w:eastAsia="宋体" w:hAnsi="宋体" w:cs="宋体"/>
                <w:sz w:val="22"/>
                <w:szCs w:val="24"/>
              </w:rPr>
              <w:t>Blok</w:t>
            </w:r>
            <w:bookmarkStart w:id="0" w:name="_GoBack"/>
            <w:bookmarkEnd w:id="0"/>
            <w:r w:rsidRPr="00E46209">
              <w:rPr>
                <w:rFonts w:ascii="宋体" w:eastAsia="宋体" w:hAnsi="宋体" w:cs="宋体"/>
                <w:sz w:val="22"/>
                <w:szCs w:val="24"/>
              </w:rPr>
              <w:t>set</w:t>
            </w:r>
            <w:r w:rsidRPr="00E46209">
              <w:rPr>
                <w:rFonts w:ascii="宋体" w:eastAsia="宋体" w:hAnsi="宋体" w:cs="宋体" w:hint="eastAsia"/>
                <w:sz w:val="22"/>
                <w:szCs w:val="24"/>
              </w:rPr>
              <w:t>、西门子</w:t>
            </w:r>
            <w:r w:rsidRPr="00E46209">
              <w:rPr>
                <w:rFonts w:ascii="宋体" w:eastAsia="宋体" w:hAnsi="宋体" w:cs="宋体"/>
                <w:sz w:val="22"/>
                <w:szCs w:val="24"/>
              </w:rPr>
              <w:t>8PT</w:t>
            </w:r>
          </w:p>
        </w:tc>
        <w:tc>
          <w:tcPr>
            <w:tcW w:w="1839" w:type="dxa"/>
            <w:shd w:val="clear" w:color="auto" w:fill="FFFFFF"/>
            <w:vAlign w:val="center"/>
          </w:tcPr>
          <w:p w:rsidR="00E46209" w:rsidRPr="00E46209" w:rsidRDefault="00E46209" w:rsidP="00E46209">
            <w:pPr>
              <w:spacing w:line="360" w:lineRule="auto"/>
              <w:jc w:val="left"/>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2</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无功补偿</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hint="eastAsia"/>
                <w:szCs w:val="21"/>
              </w:rPr>
            </w:pPr>
            <w:r w:rsidRPr="00E46209">
              <w:rPr>
                <w:rFonts w:ascii="宋体" w:eastAsia="宋体" w:hAnsi="宋体" w:cs="宋体" w:hint="eastAsia"/>
                <w:szCs w:val="21"/>
              </w:rPr>
              <w:t>阿珂法(ISKRA)、开能达电气（KAHNUSA）、博瑞尼电气（Brilliant）、爱斯坦AST</w:t>
            </w:r>
          </w:p>
        </w:tc>
        <w:tc>
          <w:tcPr>
            <w:tcW w:w="183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3</w:t>
            </w:r>
          </w:p>
        </w:tc>
        <w:tc>
          <w:tcPr>
            <w:tcW w:w="2405"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kern w:val="0"/>
                <w:sz w:val="22"/>
                <w:lang/>
              </w:rPr>
              <w:t>高低压多功能仪表</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hint="eastAsia"/>
                <w:szCs w:val="21"/>
              </w:rPr>
            </w:pPr>
            <w:r w:rsidRPr="00E46209">
              <w:rPr>
                <w:rFonts w:ascii="宋体" w:eastAsia="宋体" w:hAnsi="宋体" w:cs="宋体" w:hint="eastAsia"/>
                <w:szCs w:val="21"/>
              </w:rPr>
              <w:t>珠海派诺PMAC770系列、上海艾临科QP系列、江苏斯菲尔LNF96EY-C系列、合肥双禾KB3E系列</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4</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4"/>
                <w:szCs w:val="21"/>
              </w:rPr>
            </w:pPr>
            <w:r w:rsidRPr="00E46209">
              <w:rPr>
                <w:rFonts w:ascii="宋体" w:eastAsia="宋体" w:hAnsi="宋体" w:cs="宋体" w:hint="eastAsia"/>
                <w:kern w:val="0"/>
                <w:sz w:val="22"/>
              </w:rPr>
              <w:t>0.4kV</w:t>
            </w:r>
            <w:r w:rsidRPr="00E46209">
              <w:rPr>
                <w:rFonts w:ascii="宋体" w:eastAsia="宋体" w:hAnsi="宋体" w:cs="宋体"/>
                <w:kern w:val="0"/>
                <w:sz w:val="22"/>
              </w:rPr>
              <w:t>智能断路器</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 xml:space="preserve">施耐德MT系列、西门子3WL系列、ABB Emax2系列 </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5</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4"/>
                <w:szCs w:val="21"/>
              </w:rPr>
            </w:pPr>
            <w:r w:rsidRPr="00E46209">
              <w:rPr>
                <w:rFonts w:ascii="宋体" w:eastAsia="宋体" w:hAnsi="宋体" w:cs="宋体"/>
                <w:kern w:val="0"/>
                <w:sz w:val="22"/>
              </w:rPr>
              <w:t>塑壳断路器</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施耐德 NSX系列、西门子 3VA系列、ABB</w:t>
            </w:r>
            <w:r w:rsidRPr="00E46209">
              <w:rPr>
                <w:rFonts w:ascii="宋体" w:eastAsia="宋体" w:hAnsi="宋体" w:cs="宋体"/>
                <w:szCs w:val="21"/>
              </w:rPr>
              <w:t xml:space="preserve"> </w:t>
            </w:r>
            <w:r w:rsidRPr="00E46209">
              <w:rPr>
                <w:rFonts w:ascii="宋体" w:eastAsia="宋体" w:hAnsi="宋体" w:cs="宋体" w:hint="eastAsia"/>
                <w:szCs w:val="21"/>
              </w:rPr>
              <w:t>Tmax系列</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6</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2"/>
              </w:rPr>
            </w:pPr>
            <w:r w:rsidRPr="00E46209">
              <w:rPr>
                <w:rFonts w:ascii="宋体" w:eastAsia="宋体" w:hAnsi="宋体" w:cs="宋体" w:hint="eastAsia"/>
                <w:kern w:val="0"/>
                <w:sz w:val="22"/>
              </w:rPr>
              <w:t>浪涌保护器</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A</w:t>
            </w:r>
            <w:r w:rsidRPr="00E46209">
              <w:rPr>
                <w:rFonts w:ascii="宋体" w:eastAsia="宋体" w:hAnsi="宋体" w:cs="宋体"/>
                <w:szCs w:val="21"/>
              </w:rPr>
              <w:t>BB</w:t>
            </w:r>
            <w:r w:rsidRPr="00E46209">
              <w:rPr>
                <w:rFonts w:ascii="宋体" w:eastAsia="宋体" w:hAnsi="宋体" w:cs="宋体" w:hint="eastAsia"/>
                <w:szCs w:val="21"/>
              </w:rPr>
              <w:t>、施耐德、西门子</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p>
        </w:tc>
      </w:tr>
      <w:tr w:rsidR="00E46209" w:rsidRPr="00E46209" w:rsidTr="0012630F">
        <w:trPr>
          <w:trHeight w:val="340"/>
          <w:jc w:val="center"/>
        </w:trPr>
        <w:tc>
          <w:tcPr>
            <w:tcW w:w="10056" w:type="dxa"/>
            <w:gridSpan w:val="4"/>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hint="eastAsia"/>
                <w:b/>
                <w:bCs/>
                <w:szCs w:val="21"/>
              </w:rPr>
              <w:t>其他电气设备</w:t>
            </w: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1</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2"/>
              </w:rPr>
            </w:pPr>
            <w:r w:rsidRPr="00E46209">
              <w:rPr>
                <w:rFonts w:ascii="宋体" w:eastAsia="宋体" w:hAnsi="宋体" w:cs="宋体" w:hint="eastAsia"/>
                <w:kern w:val="0"/>
                <w:sz w:val="22"/>
              </w:rPr>
              <w:t>变压器</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施耐德、西门子、ABB</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p>
        </w:tc>
      </w:tr>
      <w:tr w:rsidR="00E46209" w:rsidRPr="00E46209" w:rsidTr="0012630F">
        <w:trPr>
          <w:trHeight w:val="340"/>
          <w:jc w:val="center"/>
        </w:trPr>
        <w:tc>
          <w:tcPr>
            <w:tcW w:w="709" w:type="dxa"/>
            <w:shd w:val="clear" w:color="auto" w:fill="FFFFFF"/>
            <w:vAlign w:val="center"/>
          </w:tcPr>
          <w:p w:rsidR="00E46209" w:rsidRPr="00E46209" w:rsidRDefault="00E46209" w:rsidP="00E46209">
            <w:pPr>
              <w:spacing w:line="360" w:lineRule="auto"/>
              <w:jc w:val="center"/>
              <w:rPr>
                <w:rFonts w:ascii="宋体" w:eastAsia="宋体" w:hAnsi="宋体" w:cs="宋体"/>
                <w:szCs w:val="21"/>
              </w:rPr>
            </w:pPr>
            <w:r w:rsidRPr="00E46209">
              <w:rPr>
                <w:rFonts w:ascii="宋体" w:eastAsia="宋体" w:hAnsi="宋体" w:cs="宋体"/>
                <w:szCs w:val="21"/>
              </w:rPr>
              <w:t>2</w:t>
            </w:r>
          </w:p>
        </w:tc>
        <w:tc>
          <w:tcPr>
            <w:tcW w:w="2405" w:type="dxa"/>
            <w:shd w:val="clear" w:color="auto" w:fill="FFFFFF"/>
            <w:vAlign w:val="center"/>
          </w:tcPr>
          <w:p w:rsidR="00E46209" w:rsidRPr="00E46209" w:rsidRDefault="00E46209" w:rsidP="00E46209">
            <w:pPr>
              <w:widowControl/>
              <w:jc w:val="left"/>
              <w:rPr>
                <w:rFonts w:ascii="宋体" w:eastAsia="宋体" w:hAnsi="宋体" w:cs="宋体"/>
                <w:kern w:val="0"/>
                <w:sz w:val="22"/>
              </w:rPr>
            </w:pPr>
            <w:r w:rsidRPr="00E46209">
              <w:rPr>
                <w:rFonts w:ascii="宋体" w:eastAsia="宋体" w:hAnsi="宋体" w:cs="宋体" w:hint="eastAsia"/>
                <w:kern w:val="0"/>
                <w:sz w:val="22"/>
              </w:rPr>
              <w:t>电线电缆</w:t>
            </w:r>
          </w:p>
        </w:tc>
        <w:tc>
          <w:tcPr>
            <w:tcW w:w="5103" w:type="dxa"/>
            <w:shd w:val="clear" w:color="auto" w:fill="FFFFFF"/>
            <w:vAlign w:val="center"/>
          </w:tcPr>
          <w:p w:rsidR="00E46209" w:rsidRPr="00E46209" w:rsidRDefault="00E46209" w:rsidP="00E46209">
            <w:pPr>
              <w:spacing w:line="360" w:lineRule="auto"/>
              <w:rPr>
                <w:rFonts w:ascii="宋体" w:eastAsia="宋体" w:hAnsi="宋体" w:cs="宋体"/>
                <w:szCs w:val="21"/>
              </w:rPr>
            </w:pPr>
            <w:r w:rsidRPr="00E46209">
              <w:rPr>
                <w:rFonts w:ascii="宋体" w:eastAsia="宋体" w:hAnsi="宋体" w:cs="宋体" w:hint="eastAsia"/>
                <w:szCs w:val="21"/>
              </w:rPr>
              <w:t>江苏远东；中航宝胜；江苏上上；绿宝</w:t>
            </w:r>
          </w:p>
        </w:tc>
        <w:tc>
          <w:tcPr>
            <w:tcW w:w="1839" w:type="dxa"/>
            <w:shd w:val="clear" w:color="auto" w:fill="FFFFFF"/>
            <w:vAlign w:val="center"/>
          </w:tcPr>
          <w:p w:rsidR="00E46209" w:rsidRPr="00E46209" w:rsidRDefault="00E46209" w:rsidP="00E46209">
            <w:pPr>
              <w:spacing w:line="360" w:lineRule="auto"/>
              <w:rPr>
                <w:rFonts w:ascii="宋体" w:eastAsia="宋体" w:hAnsi="宋体" w:cs="宋体"/>
                <w:szCs w:val="21"/>
              </w:rPr>
            </w:pPr>
          </w:p>
        </w:tc>
      </w:tr>
    </w:tbl>
    <w:p w:rsidR="00E46209" w:rsidRPr="00E46209" w:rsidRDefault="00E46209" w:rsidP="00E46209">
      <w:pPr>
        <w:widowControl/>
        <w:spacing w:line="360" w:lineRule="auto"/>
        <w:rPr>
          <w:rFonts w:ascii="Times New Roman" w:eastAsia="宋体" w:hAnsi="Times New Roman" w:cs="Times New Roman" w:hint="eastAsia"/>
          <w:b/>
          <w:kern w:val="0"/>
          <w:sz w:val="24"/>
          <w:szCs w:val="21"/>
        </w:rPr>
      </w:pPr>
    </w:p>
    <w:p w:rsidR="00E46209" w:rsidRPr="00E46209" w:rsidRDefault="00E46209" w:rsidP="00E46209">
      <w:pPr>
        <w:widowControl/>
        <w:spacing w:line="360" w:lineRule="auto"/>
        <w:rPr>
          <w:rFonts w:ascii="宋体" w:eastAsia="宋体" w:hAnsi="宋体" w:cs="Times New Roman" w:hint="eastAsia"/>
          <w:szCs w:val="24"/>
        </w:rPr>
      </w:pPr>
      <w:r w:rsidRPr="00E46209">
        <w:rPr>
          <w:rFonts w:ascii="Times New Roman" w:eastAsia="宋体" w:hAnsi="Times New Roman" w:cs="Times New Roman" w:hint="eastAsia"/>
          <w:b/>
          <w:kern w:val="0"/>
          <w:sz w:val="24"/>
          <w:szCs w:val="21"/>
        </w:rPr>
        <w:t>四、人员及履约要求</w:t>
      </w:r>
    </w:p>
    <w:p w:rsidR="00E46209" w:rsidRPr="00E46209" w:rsidRDefault="00E46209" w:rsidP="00E46209">
      <w:pPr>
        <w:spacing w:line="360" w:lineRule="auto"/>
        <w:ind w:firstLineChars="200" w:firstLine="420"/>
        <w:rPr>
          <w:rFonts w:ascii="宋体" w:eastAsia="宋体" w:hAnsi="宋体" w:cs="Times New Roman" w:hint="eastAsia"/>
          <w:szCs w:val="24"/>
        </w:rPr>
      </w:pPr>
      <w:r w:rsidRPr="00E46209">
        <w:rPr>
          <w:rFonts w:ascii="宋体" w:eastAsia="宋体" w:hAnsi="宋体" w:cs="Times New Roman" w:hint="eastAsia"/>
          <w:szCs w:val="24"/>
        </w:rPr>
        <w:t>1</w:t>
      </w:r>
      <w:r w:rsidRPr="00E46209">
        <w:rPr>
          <w:rFonts w:ascii="宋体" w:eastAsia="宋体" w:hAnsi="宋体" w:cs="Times New Roman"/>
          <w:szCs w:val="24"/>
        </w:rPr>
        <w:t>、</w:t>
      </w:r>
      <w:r w:rsidRPr="00E46209">
        <w:rPr>
          <w:rFonts w:ascii="宋体" w:eastAsia="宋体" w:hAnsi="宋体" w:cs="Times New Roman" w:hint="eastAsia"/>
          <w:szCs w:val="24"/>
        </w:rPr>
        <w:t>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rsidR="00E46209" w:rsidRPr="00E46209" w:rsidRDefault="00E46209" w:rsidP="00E46209">
      <w:pPr>
        <w:spacing w:line="360" w:lineRule="auto"/>
        <w:ind w:firstLineChars="200" w:firstLine="420"/>
        <w:rPr>
          <w:rFonts w:ascii="宋体" w:eastAsia="宋体" w:hAnsi="宋体" w:cs="Times New Roman"/>
          <w:szCs w:val="24"/>
        </w:rPr>
      </w:pPr>
      <w:r w:rsidRPr="00E46209">
        <w:rPr>
          <w:rFonts w:ascii="宋体" w:eastAsia="宋体" w:hAnsi="宋体" w:cs="Times New Roman"/>
          <w:szCs w:val="24"/>
        </w:rPr>
        <w:t>2、成交供应商不得擅自更换</w:t>
      </w:r>
      <w:r w:rsidRPr="00E46209">
        <w:rPr>
          <w:rFonts w:ascii="宋体" w:eastAsia="宋体" w:hAnsi="宋体" w:cs="Times New Roman" w:hint="eastAsia"/>
          <w:szCs w:val="24"/>
        </w:rPr>
        <w:t>参加磋商</w:t>
      </w:r>
      <w:r w:rsidRPr="00E46209">
        <w:rPr>
          <w:rFonts w:ascii="宋体" w:eastAsia="宋体" w:hAnsi="宋体" w:cs="Times New Roman"/>
          <w:szCs w:val="24"/>
        </w:rPr>
        <w:t>时所报项目经理及项目部主要管理人员，否则采购人有权终止合同，由此造成的损失，成交供应商自行承担并赔偿全部损失。确需更换时，须报经采购人同意，更换后人员不得低于成交供应商</w:t>
      </w:r>
      <w:r w:rsidRPr="00E46209">
        <w:rPr>
          <w:rFonts w:ascii="宋体" w:eastAsia="宋体" w:hAnsi="宋体" w:cs="Times New Roman" w:hint="eastAsia"/>
          <w:szCs w:val="24"/>
        </w:rPr>
        <w:t>参加磋商</w:t>
      </w:r>
      <w:r w:rsidRPr="00E46209">
        <w:rPr>
          <w:rFonts w:ascii="宋体" w:eastAsia="宋体" w:hAnsi="宋体" w:cs="Times New Roman"/>
          <w:szCs w:val="24"/>
        </w:rPr>
        <w:t>时所报人员资质和技术水平。采购人如认为有必要，可要求对上述人员中的部分人员作出更好的调整。</w:t>
      </w:r>
    </w:p>
    <w:p w:rsidR="00E46209" w:rsidRPr="00E46209" w:rsidRDefault="00E46209" w:rsidP="00E46209">
      <w:pPr>
        <w:spacing w:line="360" w:lineRule="auto"/>
        <w:ind w:firstLineChars="200" w:firstLine="420"/>
        <w:rPr>
          <w:rFonts w:ascii="宋体" w:eastAsia="宋体" w:hAnsi="宋体" w:cs="Times New Roman" w:hint="eastAsia"/>
          <w:szCs w:val="24"/>
        </w:rPr>
      </w:pPr>
      <w:r w:rsidRPr="00E46209">
        <w:rPr>
          <w:rFonts w:ascii="宋体" w:eastAsia="宋体" w:hAnsi="宋体" w:cs="Times New Roman"/>
          <w:szCs w:val="24"/>
        </w:rPr>
        <w:t>3、成交供应商未能按照承诺到岗尽职的，采购人将视情况严重程度对其作出相应处理，给予警告并发出整改通知。如仍未及时整改，采购人有权责令其停工整改、直至终止合同，引进新的承包商。采购人还将停止支付工程款项，扣留任何未付的工程进度款项补偿采购人的有关损失或工期延误的损失，并就此向成交供应商索赔。</w:t>
      </w:r>
    </w:p>
    <w:p w:rsidR="00E46209" w:rsidRPr="00E46209" w:rsidRDefault="00E46209" w:rsidP="00E46209">
      <w:pPr>
        <w:spacing w:line="360" w:lineRule="auto"/>
        <w:ind w:firstLineChars="200" w:firstLine="420"/>
        <w:rPr>
          <w:rFonts w:ascii="宋体" w:eastAsia="宋体" w:hAnsi="宋体" w:cs="Times New Roman"/>
          <w:szCs w:val="24"/>
        </w:rPr>
      </w:pPr>
    </w:p>
    <w:p w:rsidR="00E46209" w:rsidRPr="00E46209" w:rsidRDefault="00E46209" w:rsidP="00E46209">
      <w:pPr>
        <w:keepNext/>
        <w:keepLines/>
        <w:adjustRightInd w:val="0"/>
        <w:snapToGrid w:val="0"/>
        <w:spacing w:line="360" w:lineRule="auto"/>
        <w:outlineLvl w:val="1"/>
        <w:rPr>
          <w:rFonts w:ascii="宋体" w:eastAsia="宋体" w:hAnsi="宋体" w:cs="仿宋" w:hint="eastAsia"/>
          <w:b/>
          <w:bCs/>
          <w:sz w:val="24"/>
          <w:szCs w:val="21"/>
        </w:rPr>
      </w:pPr>
      <w:r w:rsidRPr="00E46209">
        <w:rPr>
          <w:rFonts w:ascii="宋体" w:eastAsia="宋体" w:hAnsi="宋体" w:cs="仿宋" w:hint="eastAsia"/>
          <w:b/>
          <w:bCs/>
          <w:sz w:val="24"/>
          <w:szCs w:val="21"/>
        </w:rPr>
        <w:lastRenderedPageBreak/>
        <w:t>五、现场条件及安全文明施工要求</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szCs w:val="21"/>
        </w:rPr>
      </w:pPr>
      <w:r w:rsidRPr="00E46209">
        <w:rPr>
          <w:rFonts w:ascii="宋体" w:eastAsia="宋体" w:hAnsi="宋体" w:cs="Times New Roman"/>
          <w:szCs w:val="21"/>
        </w:rPr>
        <w:t xml:space="preserve">1、现场具备开工条件，施工水电已接入施工现场周围，临时水电接入点由采购人配合成交供应商确定，确定临时水电接入点及由临时水电接入点内接入施工场地所需产生的一切费用增加和工期延误等风险均由成交供应商承担并包含在报价中。所有水电费用自理，并考虑进报价中。 </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szCs w:val="21"/>
        </w:rPr>
      </w:pPr>
      <w:r w:rsidRPr="00E46209">
        <w:rPr>
          <w:rFonts w:ascii="宋体" w:eastAsia="宋体" w:hAnsi="宋体" w:cs="Times New Roman"/>
          <w:szCs w:val="21"/>
        </w:rPr>
        <w:t xml:space="preserve">2、施工现场涉及各类管网管线的开挖及保护，需成交供应商自行与自来水、电力、电信、煤气等主管单位协调，采购人予以配合，并由成交供应商在施工过程中做好保护工作。由此产生的一切费用增加和工期延误等风险均由成交供应商自行考虑并包含在报价中。  </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szCs w:val="21"/>
        </w:rPr>
      </w:pPr>
      <w:r w:rsidRPr="00E46209">
        <w:rPr>
          <w:rFonts w:ascii="宋体" w:eastAsia="宋体" w:hAnsi="宋体" w:cs="Times New Roman"/>
          <w:szCs w:val="21"/>
        </w:rPr>
        <w:t xml:space="preserve">3、成交供应商的临时设施必须在采购人指定的区域内自行搭设，所有费用自理，并考虑在报价中。如需要另外寻找场地解决临时住宿、材料及设备堆放，由此所产生的费用应包含在报价范围内，采购人不再承担该费用。 </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szCs w:val="21"/>
        </w:rPr>
      </w:pPr>
      <w:r w:rsidRPr="00E46209">
        <w:rPr>
          <w:rFonts w:ascii="宋体" w:eastAsia="宋体" w:hAnsi="宋体" w:cs="Times New Roman"/>
          <w:szCs w:val="21"/>
        </w:rPr>
        <w:t>4、成交供应商必须确保安全文明施工，必须严格执行《合肥市创建文明城市责任考评办法（试行）》、《合肥市建设系统创文明城市工作实施细则》和采购人针对本工程所作出的安全、文明措施和规定，确保符合合肥市创建文明卫生城市要求。</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hint="eastAsia"/>
          <w:szCs w:val="21"/>
        </w:rPr>
      </w:pPr>
      <w:r w:rsidRPr="00E46209">
        <w:rPr>
          <w:rFonts w:ascii="宋体" w:eastAsia="宋体" w:hAnsi="宋体" w:cs="Times New Roman"/>
          <w:szCs w:val="21"/>
        </w:rPr>
        <w:t>5、施工期间必须重视环境污染、噪声控制及对原建筑物的保护工作，并有相应控制措施及切实可行的施工组织设计方案，工程完毕后应做到场清。</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hint="eastAsia"/>
          <w:szCs w:val="21"/>
        </w:rPr>
      </w:pPr>
    </w:p>
    <w:p w:rsidR="00E46209" w:rsidRPr="00E46209" w:rsidRDefault="00E46209" w:rsidP="00E46209">
      <w:pPr>
        <w:keepNext/>
        <w:keepLines/>
        <w:adjustRightInd w:val="0"/>
        <w:snapToGrid w:val="0"/>
        <w:spacing w:line="360" w:lineRule="auto"/>
        <w:outlineLvl w:val="1"/>
        <w:rPr>
          <w:rFonts w:ascii="宋体" w:eastAsia="宋体" w:hAnsi="宋体" w:cs="仿宋" w:hint="eastAsia"/>
          <w:b/>
          <w:bCs/>
          <w:color w:val="000000"/>
          <w:sz w:val="24"/>
          <w:szCs w:val="21"/>
        </w:rPr>
      </w:pPr>
      <w:r w:rsidRPr="00E46209">
        <w:rPr>
          <w:rFonts w:ascii="宋体" w:eastAsia="宋体" w:hAnsi="宋体" w:cs="仿宋" w:hint="eastAsia"/>
          <w:b/>
          <w:bCs/>
          <w:color w:val="000000"/>
          <w:sz w:val="24"/>
          <w:szCs w:val="21"/>
        </w:rPr>
        <w:t>六、合同形式和报价要求</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hint="eastAsia"/>
          <w:color w:val="000000"/>
          <w:szCs w:val="21"/>
        </w:rPr>
      </w:pPr>
      <w:r w:rsidRPr="00E46209">
        <w:rPr>
          <w:rFonts w:ascii="宋体" w:eastAsia="宋体" w:hAnsi="宋体" w:cs="Times New Roman" w:hint="eastAsia"/>
          <w:color w:val="000000"/>
          <w:szCs w:val="21"/>
        </w:rPr>
        <w:t>1、合同形式</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hint="eastAsia"/>
          <w:color w:val="000000"/>
          <w:szCs w:val="21"/>
        </w:rPr>
      </w:pPr>
      <w:r w:rsidRPr="00E46209">
        <w:rPr>
          <w:rFonts w:ascii="宋体" w:eastAsia="宋体" w:hAnsi="宋体" w:cs="Times New Roman" w:hint="eastAsia"/>
          <w:color w:val="000000"/>
          <w:szCs w:val="21"/>
        </w:rPr>
        <w:t>本项目为固定总价合同。本项目招标文件（含图纸、工程量清单、答疑文件）中所列明的工程量为完成本项目所有工作内容，投标人对以上工程量有异议（或疑义）的，须在招标文件规定的时间内向招标代理机构提出，否则漏项部分视为投标人的优惠。如招标文件（含图纸、工程量清单、答疑文件）中所列工程量未发生，将根据结算审计审定工程量据实扣减。</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hint="eastAsia"/>
          <w:color w:val="000000"/>
          <w:szCs w:val="21"/>
        </w:rPr>
      </w:pPr>
      <w:r w:rsidRPr="00E46209">
        <w:rPr>
          <w:rFonts w:ascii="宋体" w:eastAsia="宋体" w:hAnsi="宋体" w:cs="Times New Roman" w:hint="eastAsia"/>
          <w:color w:val="000000"/>
          <w:szCs w:val="21"/>
        </w:rPr>
        <w:t>2、报价要求</w:t>
      </w:r>
    </w:p>
    <w:p w:rsidR="00E46209" w:rsidRPr="00E46209" w:rsidRDefault="00E46209" w:rsidP="00E46209">
      <w:pPr>
        <w:adjustRightInd w:val="0"/>
        <w:snapToGrid w:val="0"/>
        <w:spacing w:line="360" w:lineRule="auto"/>
        <w:ind w:firstLineChars="200" w:firstLine="420"/>
        <w:jc w:val="left"/>
        <w:rPr>
          <w:rFonts w:ascii="宋体" w:eastAsia="宋体" w:hAnsi="宋体" w:cs="Times New Roman" w:hint="eastAsia"/>
          <w:szCs w:val="21"/>
        </w:rPr>
      </w:pPr>
      <w:r w:rsidRPr="00E46209">
        <w:rPr>
          <w:rFonts w:ascii="宋体" w:eastAsia="宋体" w:hAnsi="宋体" w:cs="Times New Roman" w:hint="eastAsia"/>
          <w:color w:val="000000"/>
          <w:szCs w:val="21"/>
        </w:rPr>
        <w:t>（1）本项目供应商报总价，供应商须根据采购需求、工程量清单及图纸（如有）要求，自行踏勘现场，综合考虑所有因素，满足采购人及图纸、工程量清单和采购文件要求，最终结算费用不超过成交价。任何因成交供应商忽视或误解项目基本情况，而使采购人在项目实施过程中蒙受</w:t>
      </w:r>
      <w:r w:rsidRPr="00E46209">
        <w:rPr>
          <w:rFonts w:ascii="宋体" w:eastAsia="宋体" w:hAnsi="宋体" w:cs="Times New Roman" w:hint="eastAsia"/>
          <w:szCs w:val="21"/>
        </w:rPr>
        <w:t>的损失，将由成交供应商按一定比例对采购人进行赔偿。</w:t>
      </w:r>
    </w:p>
    <w:p w:rsidR="00F7696B" w:rsidRDefault="00E46209" w:rsidP="00E46209">
      <w:r w:rsidRPr="00E46209">
        <w:rPr>
          <w:rFonts w:ascii="宋体" w:eastAsia="宋体" w:hAnsi="宋体" w:cs="Times New Roman" w:hint="eastAsia"/>
          <w:szCs w:val="21"/>
        </w:rPr>
        <w:t>（2）旧设备设施的拆除、新旧设备设施的搬运、临时供电等所涉及的一切费用，均由供应商充分考虑在投标总报价中，后期成交供应商在合同履行过程中一律不得要求采购人追加任何费用。</w:t>
      </w:r>
    </w:p>
    <w:sectPr w:rsidR="00F769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96B" w:rsidRDefault="00F7696B" w:rsidP="00E46209">
      <w:r>
        <w:separator/>
      </w:r>
    </w:p>
  </w:endnote>
  <w:endnote w:type="continuationSeparator" w:id="1">
    <w:p w:rsidR="00F7696B" w:rsidRDefault="00F7696B" w:rsidP="00E46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96B" w:rsidRDefault="00F7696B" w:rsidP="00E46209">
      <w:r>
        <w:separator/>
      </w:r>
    </w:p>
  </w:footnote>
  <w:footnote w:type="continuationSeparator" w:id="1">
    <w:p w:rsidR="00F7696B" w:rsidRDefault="00F7696B" w:rsidP="00E462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6209"/>
    <w:rsid w:val="00E46209"/>
    <w:rsid w:val="00F76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6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6209"/>
    <w:rPr>
      <w:sz w:val="18"/>
      <w:szCs w:val="18"/>
    </w:rPr>
  </w:style>
  <w:style w:type="paragraph" w:styleId="a4">
    <w:name w:val="footer"/>
    <w:basedOn w:val="a"/>
    <w:link w:val="Char0"/>
    <w:uiPriority w:val="99"/>
    <w:semiHidden/>
    <w:unhideWhenUsed/>
    <w:rsid w:val="00E462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620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2062</Characters>
  <Application>Microsoft Office Word</Application>
  <DocSecurity>0</DocSecurity>
  <Lines>17</Lines>
  <Paragraphs>4</Paragraphs>
  <ScaleCrop>false</ScaleCrop>
  <Company>Microsoft</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初审-秦帅</dc:creator>
  <cp:keywords/>
  <dc:description/>
  <cp:lastModifiedBy>初审-秦帅</cp:lastModifiedBy>
  <cp:revision>2</cp:revision>
  <dcterms:created xsi:type="dcterms:W3CDTF">2022-07-21T11:29:00Z</dcterms:created>
  <dcterms:modified xsi:type="dcterms:W3CDTF">2022-07-21T11:29:00Z</dcterms:modified>
</cp:coreProperties>
</file>