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2E" w:rsidRPr="000D762E" w:rsidRDefault="000D762E" w:rsidP="000D762E">
      <w:pPr>
        <w:keepNext/>
        <w:keepLines/>
        <w:adjustRightInd w:val="0"/>
        <w:snapToGrid w:val="0"/>
        <w:spacing w:line="360" w:lineRule="auto"/>
        <w:outlineLvl w:val="1"/>
        <w:rPr>
          <w:rFonts w:ascii="宋体" w:eastAsia="宋体" w:hAnsi="宋体" w:cs="宋体"/>
          <w:b/>
          <w:bCs/>
          <w:szCs w:val="21"/>
        </w:rPr>
      </w:pPr>
      <w:bookmarkStart w:id="0" w:name="_Toc493440797"/>
      <w:bookmarkStart w:id="1" w:name="_Toc493440965"/>
      <w:bookmarkStart w:id="2" w:name="_Toc512544429"/>
      <w:bookmarkStart w:id="3" w:name="_Toc493432654"/>
      <w:bookmarkStart w:id="4" w:name="_Toc525819962"/>
      <w:bookmarkStart w:id="5" w:name="_Toc527541655"/>
      <w:r w:rsidRPr="000D762E">
        <w:rPr>
          <w:rFonts w:ascii="宋体" w:eastAsia="宋体" w:hAnsi="宋体" w:cs="宋体" w:hint="eastAsia"/>
          <w:b/>
          <w:bCs/>
          <w:szCs w:val="21"/>
        </w:rPr>
        <w:t>一、项目概况</w:t>
      </w:r>
      <w:bookmarkEnd w:id="0"/>
      <w:bookmarkEnd w:id="1"/>
      <w:bookmarkEnd w:id="2"/>
      <w:bookmarkEnd w:id="3"/>
      <w:bookmarkEnd w:id="4"/>
      <w:bookmarkEnd w:id="5"/>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zCs w:val="21"/>
        </w:rPr>
      </w:pPr>
      <w:bookmarkStart w:id="6" w:name="_Toc527541656"/>
      <w:bookmarkStart w:id="7" w:name="_Toc469331957"/>
      <w:bookmarkStart w:id="8" w:name="_Toc387647289"/>
      <w:bookmarkStart w:id="9" w:name="_Toc226969354"/>
      <w:bookmarkStart w:id="10" w:name="_Toc512544430"/>
      <w:bookmarkStart w:id="11" w:name="_Toc493432655"/>
      <w:bookmarkStart w:id="12" w:name="_Toc525819963"/>
      <w:bookmarkStart w:id="13" w:name="_Toc107822571"/>
      <w:bookmarkStart w:id="14" w:name="_Toc469332112"/>
      <w:bookmarkStart w:id="15" w:name="_Toc493440966"/>
      <w:bookmarkStart w:id="16" w:name="_Toc466808788"/>
      <w:bookmarkStart w:id="17" w:name="_Toc493440798"/>
      <w:r w:rsidRPr="000D762E">
        <w:rPr>
          <w:rFonts w:ascii="宋体" w:eastAsia="宋体" w:hAnsi="宋体" w:cs="宋体" w:hint="eastAsia"/>
          <w:szCs w:val="21"/>
        </w:rPr>
        <w:t>本项目位于安徽建筑大学北校区内</w:t>
      </w:r>
      <w:r w:rsidRPr="000D762E">
        <w:rPr>
          <w:rFonts w:ascii="宋体" w:eastAsia="宋体" w:hAnsi="宋体" w:cs="宋体"/>
          <w:szCs w:val="21"/>
        </w:rPr>
        <w:t>(</w:t>
      </w:r>
      <w:r w:rsidRPr="000D762E">
        <w:rPr>
          <w:rFonts w:ascii="宋体" w:eastAsia="宋体" w:hAnsi="宋体" w:cs="宋体" w:hint="eastAsia"/>
          <w:szCs w:val="21"/>
        </w:rPr>
        <w:t>合肥市金寨南路856号</w:t>
      </w:r>
      <w:r w:rsidRPr="000D762E">
        <w:rPr>
          <w:rFonts w:ascii="宋体" w:eastAsia="宋体" w:hAnsi="宋体" w:cs="宋体"/>
          <w:szCs w:val="21"/>
        </w:rPr>
        <w:t>)</w:t>
      </w:r>
      <w:r w:rsidRPr="000D762E">
        <w:rPr>
          <w:rFonts w:ascii="宋体" w:eastAsia="宋体" w:hAnsi="宋体" w:cs="宋体" w:hint="eastAsia"/>
          <w:szCs w:val="21"/>
        </w:rPr>
        <w:t>。北校区使用年代较远，</w:t>
      </w:r>
      <w:r w:rsidRPr="000D762E">
        <w:rPr>
          <w:rFonts w:ascii="宋体" w:eastAsia="宋体" w:hAnsi="宋体" w:cs="宋体"/>
          <w:szCs w:val="21"/>
        </w:rPr>
        <w:t>由于</w:t>
      </w:r>
      <w:r w:rsidRPr="000D762E">
        <w:rPr>
          <w:rFonts w:ascii="宋体" w:eastAsia="宋体" w:hAnsi="宋体" w:cs="宋体" w:hint="eastAsia"/>
          <w:szCs w:val="21"/>
        </w:rPr>
        <w:t>校园学生公寓、家属区等建筑楼宇、道路、景观</w:t>
      </w:r>
      <w:r w:rsidRPr="000D762E">
        <w:rPr>
          <w:rFonts w:ascii="宋体" w:eastAsia="宋体" w:hAnsi="宋体" w:cs="宋体"/>
          <w:szCs w:val="21"/>
        </w:rPr>
        <w:t>等</w:t>
      </w:r>
      <w:r w:rsidRPr="000D762E">
        <w:rPr>
          <w:rFonts w:ascii="宋体" w:eastAsia="宋体" w:hAnsi="宋体" w:cs="宋体" w:hint="eastAsia"/>
          <w:szCs w:val="21"/>
        </w:rPr>
        <w:t>老旧</w:t>
      </w:r>
      <w:r w:rsidRPr="000D762E">
        <w:rPr>
          <w:rFonts w:ascii="宋体" w:eastAsia="宋体" w:hAnsi="宋体" w:cs="宋体"/>
          <w:szCs w:val="21"/>
        </w:rPr>
        <w:t>原因，部分管</w:t>
      </w:r>
      <w:r w:rsidRPr="000D762E">
        <w:rPr>
          <w:rFonts w:ascii="宋体" w:eastAsia="宋体" w:hAnsi="宋体" w:cs="宋体" w:hint="eastAsia"/>
          <w:szCs w:val="21"/>
        </w:rPr>
        <w:t>网需要重新更换</w:t>
      </w:r>
      <w:r w:rsidRPr="000D762E">
        <w:rPr>
          <w:rFonts w:ascii="宋体" w:eastAsia="宋体" w:hAnsi="宋体" w:cs="宋体"/>
          <w:szCs w:val="21"/>
        </w:rPr>
        <w:t>，</w:t>
      </w:r>
      <w:r w:rsidRPr="000D762E">
        <w:rPr>
          <w:rFonts w:ascii="宋体" w:eastAsia="宋体" w:hAnsi="宋体" w:cs="宋体" w:hint="eastAsia"/>
          <w:szCs w:val="21"/>
        </w:rPr>
        <w:t>部分</w:t>
      </w:r>
      <w:r w:rsidRPr="000D762E">
        <w:rPr>
          <w:rFonts w:ascii="宋体" w:eastAsia="宋体" w:hAnsi="宋体" w:cs="宋体"/>
          <w:szCs w:val="21"/>
        </w:rPr>
        <w:t>雨污混</w:t>
      </w:r>
      <w:r w:rsidRPr="000D762E">
        <w:rPr>
          <w:rFonts w:ascii="宋体" w:eastAsia="宋体" w:hAnsi="宋体" w:cs="宋体" w:hint="eastAsia"/>
          <w:szCs w:val="21"/>
        </w:rPr>
        <w:t>接等</w:t>
      </w:r>
      <w:r w:rsidRPr="000D762E">
        <w:rPr>
          <w:rFonts w:ascii="宋体" w:eastAsia="宋体" w:hAnsi="宋体" w:cs="宋体"/>
          <w:szCs w:val="21"/>
        </w:rPr>
        <w:t>现象</w:t>
      </w:r>
      <w:r w:rsidRPr="000D762E">
        <w:rPr>
          <w:rFonts w:ascii="宋体" w:eastAsia="宋体" w:hAnsi="宋体" w:cs="宋体" w:hint="eastAsia"/>
          <w:szCs w:val="21"/>
        </w:rPr>
        <w:t>需要整改；</w:t>
      </w:r>
      <w:r w:rsidRPr="000D762E">
        <w:rPr>
          <w:rFonts w:ascii="宋体" w:eastAsia="宋体" w:hAnsi="宋体" w:cs="宋体"/>
          <w:szCs w:val="21"/>
        </w:rPr>
        <w:t>化粪池需要清淤</w:t>
      </w:r>
      <w:r w:rsidRPr="000D762E">
        <w:rPr>
          <w:rFonts w:ascii="宋体" w:eastAsia="宋体" w:hAnsi="宋体" w:cs="宋体" w:hint="eastAsia"/>
          <w:szCs w:val="21"/>
        </w:rPr>
        <w:t>改造</w:t>
      </w:r>
      <w:r w:rsidRPr="000D762E">
        <w:rPr>
          <w:rFonts w:ascii="宋体" w:eastAsia="宋体" w:hAnsi="宋体" w:cs="宋体"/>
          <w:szCs w:val="21"/>
        </w:rPr>
        <w:t>，破损的</w:t>
      </w:r>
      <w:r w:rsidRPr="000D762E">
        <w:rPr>
          <w:rFonts w:ascii="宋体" w:eastAsia="宋体" w:hAnsi="宋体" w:cs="宋体" w:hint="eastAsia"/>
          <w:szCs w:val="21"/>
        </w:rPr>
        <w:t>道</w:t>
      </w:r>
      <w:r w:rsidRPr="000D762E">
        <w:rPr>
          <w:rFonts w:ascii="宋体" w:eastAsia="宋体" w:hAnsi="宋体" w:cs="宋体"/>
          <w:szCs w:val="21"/>
        </w:rPr>
        <w:t>路需要修复，检查井需要</w:t>
      </w:r>
      <w:r w:rsidRPr="000D762E">
        <w:rPr>
          <w:rFonts w:ascii="宋体" w:eastAsia="宋体" w:hAnsi="宋体" w:cs="宋体" w:hint="eastAsia"/>
          <w:szCs w:val="21"/>
        </w:rPr>
        <w:t>重新彻筑</w:t>
      </w:r>
      <w:r w:rsidRPr="000D762E">
        <w:rPr>
          <w:rFonts w:ascii="宋体" w:eastAsia="宋体" w:hAnsi="宋体" w:cs="宋体"/>
          <w:szCs w:val="21"/>
        </w:rPr>
        <w:t>等</w:t>
      </w:r>
      <w:r w:rsidRPr="000D762E">
        <w:rPr>
          <w:rFonts w:ascii="宋体" w:eastAsia="宋体" w:hAnsi="宋体" w:cs="宋体" w:hint="eastAsia"/>
          <w:szCs w:val="21"/>
        </w:rPr>
        <w:t>。</w:t>
      </w:r>
      <w:r w:rsidRPr="000D762E">
        <w:rPr>
          <w:rFonts w:ascii="宋体" w:eastAsia="宋体" w:hAnsi="宋体" w:cs="宋体" w:hint="eastAsia"/>
          <w:bCs/>
          <w:szCs w:val="21"/>
        </w:rPr>
        <w:t>工作内容</w:t>
      </w:r>
      <w:r w:rsidRPr="000D762E">
        <w:rPr>
          <w:rFonts w:ascii="宋体" w:eastAsia="宋体" w:hAnsi="宋体" w:cs="仿宋"/>
          <w:szCs w:val="21"/>
        </w:rPr>
        <w:t>包括但不限于</w:t>
      </w:r>
      <w:r w:rsidRPr="000D762E">
        <w:rPr>
          <w:rFonts w:ascii="宋体" w:eastAsia="宋体" w:hAnsi="宋体" w:cs="宋体" w:hint="eastAsia"/>
          <w:bCs/>
          <w:szCs w:val="21"/>
        </w:rPr>
        <w:t>雨污水改造、公厕的装饰改造以及零星工程等</w:t>
      </w:r>
      <w:r w:rsidRPr="000D762E">
        <w:rPr>
          <w:rFonts w:ascii="宋体" w:eastAsia="宋体" w:hAnsi="宋体" w:cs="仿宋"/>
          <w:szCs w:val="21"/>
        </w:rPr>
        <w:t>，</w:t>
      </w:r>
      <w:r w:rsidRPr="000D762E">
        <w:rPr>
          <w:rFonts w:ascii="宋体" w:eastAsia="宋体" w:hAnsi="宋体" w:cs="仿宋" w:hint="eastAsia"/>
          <w:szCs w:val="21"/>
        </w:rPr>
        <w:t>详见图纸和工程量清单。</w:t>
      </w:r>
    </w:p>
    <w:p w:rsidR="000D762E" w:rsidRPr="000D762E" w:rsidRDefault="000D762E" w:rsidP="000D762E">
      <w:pPr>
        <w:keepNext/>
        <w:keepLines/>
        <w:adjustRightInd w:val="0"/>
        <w:snapToGrid w:val="0"/>
        <w:spacing w:line="360" w:lineRule="auto"/>
        <w:outlineLvl w:val="1"/>
        <w:rPr>
          <w:rFonts w:ascii="宋体" w:eastAsia="宋体" w:hAnsi="宋体" w:cs="宋体" w:hint="eastAsia"/>
          <w:b/>
          <w:bCs/>
          <w:szCs w:val="21"/>
        </w:rPr>
      </w:pPr>
      <w:r w:rsidRPr="000D762E">
        <w:rPr>
          <w:rFonts w:ascii="宋体" w:eastAsia="宋体" w:hAnsi="宋体" w:cs="宋体" w:hint="eastAsia"/>
          <w:b/>
          <w:bCs/>
          <w:szCs w:val="21"/>
        </w:rPr>
        <w:t>二、 技术规范和要求</w:t>
      </w:r>
    </w:p>
    <w:p w:rsidR="000D762E" w:rsidRPr="000D762E" w:rsidRDefault="000D762E" w:rsidP="000D762E">
      <w:pPr>
        <w:adjustRightInd w:val="0"/>
        <w:snapToGrid w:val="0"/>
        <w:spacing w:line="360" w:lineRule="auto"/>
        <w:ind w:firstLineChars="200" w:firstLine="420"/>
        <w:textAlignment w:val="baseline"/>
        <w:rPr>
          <w:rFonts w:ascii="宋体" w:eastAsia="宋体" w:hAnsi="宋体" w:cs="Times New Roman" w:hint="eastAsia"/>
          <w:szCs w:val="21"/>
          <w:lang w:val="en-US" w:eastAsia="zh-CN"/>
        </w:rPr>
      </w:pPr>
      <w:r w:rsidRPr="000D762E">
        <w:rPr>
          <w:rFonts w:ascii="宋体" w:eastAsia="宋体" w:hAnsi="宋体" w:cs="Times New Roman"/>
          <w:szCs w:val="21"/>
          <w:lang w:val="en-US" w:eastAsia="zh-CN"/>
        </w:rPr>
        <w:t>按照图纸、工程量清单要求及最新国家相关标准、规范要求执行。</w:t>
      </w:r>
    </w:p>
    <w:bookmarkEnd w:id="6"/>
    <w:bookmarkEnd w:id="7"/>
    <w:bookmarkEnd w:id="8"/>
    <w:bookmarkEnd w:id="9"/>
    <w:bookmarkEnd w:id="10"/>
    <w:bookmarkEnd w:id="11"/>
    <w:bookmarkEnd w:id="12"/>
    <w:bookmarkEnd w:id="13"/>
    <w:bookmarkEnd w:id="14"/>
    <w:bookmarkEnd w:id="15"/>
    <w:bookmarkEnd w:id="16"/>
    <w:bookmarkEnd w:id="17"/>
    <w:p w:rsidR="000D762E" w:rsidRPr="000D762E" w:rsidRDefault="000D762E" w:rsidP="000D762E">
      <w:pPr>
        <w:keepNext/>
        <w:keepLines/>
        <w:adjustRightInd w:val="0"/>
        <w:snapToGrid w:val="0"/>
        <w:spacing w:line="360" w:lineRule="auto"/>
        <w:outlineLvl w:val="1"/>
        <w:rPr>
          <w:rFonts w:ascii="宋体" w:eastAsia="宋体" w:hAnsi="宋体" w:cs="宋体" w:hint="eastAsia"/>
          <w:b/>
          <w:bCs/>
          <w:szCs w:val="21"/>
        </w:rPr>
      </w:pPr>
      <w:r w:rsidRPr="000D762E">
        <w:rPr>
          <w:rFonts w:ascii="宋体" w:eastAsia="宋体" w:hAnsi="宋体" w:cs="宋体" w:hint="eastAsia"/>
          <w:b/>
          <w:bCs/>
          <w:szCs w:val="21"/>
        </w:rPr>
        <w:t>三、报价要求</w:t>
      </w:r>
    </w:p>
    <w:p w:rsidR="000D762E" w:rsidRPr="000D762E" w:rsidRDefault="000D762E" w:rsidP="000D762E">
      <w:pPr>
        <w:adjustRightInd w:val="0"/>
        <w:snapToGrid w:val="0"/>
        <w:spacing w:line="360" w:lineRule="auto"/>
        <w:ind w:firstLineChars="200" w:firstLine="422"/>
        <w:rPr>
          <w:rFonts w:ascii="宋体" w:eastAsia="宋体" w:hAnsi="宋体" w:cs="宋体"/>
          <w:b/>
          <w:szCs w:val="21"/>
        </w:rPr>
      </w:pPr>
      <w:r w:rsidRPr="000D762E">
        <w:rPr>
          <w:rFonts w:ascii="宋体" w:eastAsia="宋体" w:hAnsi="宋体" w:cs="宋体" w:hint="eastAsia"/>
          <w:b/>
          <w:szCs w:val="21"/>
        </w:rPr>
        <w:t>（一）工程量清单和最高限价的编制依据和说明</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1、工程量清单编制的主要依据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zCs w:val="21"/>
        </w:rPr>
        <w:t>（1）现行的计价规范：</w:t>
      </w:r>
      <w:r w:rsidRPr="000D762E">
        <w:rPr>
          <w:rFonts w:ascii="宋体" w:eastAsia="宋体" w:hAnsi="宋体" w:cs="宋体" w:hint="eastAsia"/>
          <w:snapToGrid w:val="0"/>
          <w:kern w:val="0"/>
          <w:szCs w:val="21"/>
        </w:rPr>
        <w:t>《建设工程工程量清单计价规范》（</w:t>
      </w:r>
      <w:r w:rsidRPr="000D762E">
        <w:rPr>
          <w:rFonts w:ascii="宋体" w:eastAsia="宋体" w:hAnsi="宋体" w:cs="宋体"/>
          <w:snapToGrid w:val="0"/>
          <w:kern w:val="0"/>
          <w:szCs w:val="21"/>
        </w:rPr>
        <w:t>GB50500-2013</w:t>
      </w:r>
      <w:r w:rsidRPr="000D762E">
        <w:rPr>
          <w:rFonts w:ascii="宋体" w:eastAsia="宋体" w:hAnsi="宋体" w:cs="宋体" w:hint="eastAsia"/>
          <w:snapToGrid w:val="0"/>
          <w:kern w:val="0"/>
          <w:szCs w:val="21"/>
        </w:rPr>
        <w:t>）；</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（2）现行计价依据：《2018版安徽省设计工程计价依据》；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（3）建设工程设计文件及相关资料；</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（4）与建设工程有关的标准、规范、技术资料；</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（5）项目的采购文件；</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（6）施工现场情况、地勘水文资料、工程特点及常规施工方案；</w:t>
      </w:r>
    </w:p>
    <w:p w:rsidR="000D762E" w:rsidRPr="000D762E" w:rsidRDefault="000D762E" w:rsidP="000D762E">
      <w:pPr>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2、最高限价编制的主要依据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（1）现行的计价规范：《建设工程工程量清单计价规范》（</w:t>
      </w:r>
      <w:r w:rsidRPr="000D762E">
        <w:rPr>
          <w:rFonts w:ascii="宋体" w:eastAsia="宋体" w:hAnsi="宋体" w:cs="宋体"/>
          <w:snapToGrid w:val="0"/>
          <w:kern w:val="0"/>
          <w:szCs w:val="21"/>
        </w:rPr>
        <w:t>GB50500-2013</w:t>
      </w:r>
      <w:r w:rsidRPr="000D762E">
        <w:rPr>
          <w:rFonts w:ascii="宋体" w:eastAsia="宋体" w:hAnsi="宋体" w:cs="宋体" w:hint="eastAsia"/>
          <w:snapToGrid w:val="0"/>
          <w:kern w:val="0"/>
          <w:szCs w:val="21"/>
        </w:rPr>
        <w:t>）；</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（2）现行计价依据：《2018版安徽省设计工程计价依据》；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（3）建设工程设计文件及相关资料；</w:t>
      </w:r>
    </w:p>
    <w:p w:rsidR="000D762E" w:rsidRPr="000D762E" w:rsidRDefault="000D762E" w:rsidP="000D762E">
      <w:pPr>
        <w:autoSpaceDE w:val="0"/>
        <w:autoSpaceDN w:val="0"/>
        <w:adjustRightInd w:val="0"/>
        <w:snapToGrid w:val="0"/>
        <w:spacing w:line="360" w:lineRule="auto"/>
        <w:ind w:left="420"/>
        <w:rPr>
          <w:rFonts w:ascii="宋体" w:eastAsia="宋体" w:hAnsi="宋体" w:cs="宋体"/>
          <w:szCs w:val="21"/>
        </w:rPr>
      </w:pPr>
      <w:r w:rsidRPr="000D762E">
        <w:rPr>
          <w:rFonts w:ascii="宋体" w:eastAsia="宋体" w:hAnsi="宋体" w:cs="宋体" w:hint="eastAsia"/>
          <w:snapToGrid w:val="0"/>
          <w:kern w:val="0"/>
          <w:szCs w:val="21"/>
        </w:rPr>
        <w:t>（4）</w:t>
      </w:r>
      <w:r w:rsidRPr="000D762E">
        <w:rPr>
          <w:rFonts w:ascii="宋体" w:eastAsia="宋体" w:hAnsi="宋体" w:cs="宋体" w:hint="eastAsia"/>
          <w:szCs w:val="21"/>
        </w:rPr>
        <w:t>项目的采购文件及工程量清单及其答疑、澄清、修改；</w:t>
      </w:r>
    </w:p>
    <w:p w:rsidR="000D762E" w:rsidRPr="000D762E" w:rsidRDefault="000D762E" w:rsidP="000D762E">
      <w:pPr>
        <w:autoSpaceDE w:val="0"/>
        <w:autoSpaceDN w:val="0"/>
        <w:adjustRightInd w:val="0"/>
        <w:snapToGrid w:val="0"/>
        <w:spacing w:line="360" w:lineRule="auto"/>
        <w:ind w:left="420"/>
        <w:rPr>
          <w:rFonts w:ascii="宋体" w:eastAsia="宋体" w:hAnsi="宋体" w:cs="宋体"/>
          <w:szCs w:val="21"/>
        </w:rPr>
      </w:pPr>
      <w:r w:rsidRPr="000D762E">
        <w:rPr>
          <w:rFonts w:ascii="宋体" w:eastAsia="宋体" w:hAnsi="宋体" w:cs="宋体" w:hint="eastAsia"/>
          <w:snapToGrid w:val="0"/>
          <w:kern w:val="0"/>
          <w:szCs w:val="21"/>
        </w:rPr>
        <w:t>（5）</w:t>
      </w:r>
      <w:r w:rsidRPr="000D762E">
        <w:rPr>
          <w:rFonts w:ascii="宋体" w:eastAsia="宋体" w:hAnsi="宋体" w:cs="宋体" w:hint="eastAsia"/>
          <w:szCs w:val="21"/>
        </w:rPr>
        <w:t>与建设工程有关的标准、规范、技术资料；</w:t>
      </w:r>
    </w:p>
    <w:p w:rsidR="000D762E" w:rsidRPr="000D762E" w:rsidRDefault="000D762E" w:rsidP="000D762E">
      <w:pPr>
        <w:autoSpaceDE w:val="0"/>
        <w:autoSpaceDN w:val="0"/>
        <w:adjustRightInd w:val="0"/>
        <w:snapToGrid w:val="0"/>
        <w:spacing w:line="360" w:lineRule="auto"/>
        <w:ind w:left="420"/>
        <w:rPr>
          <w:rFonts w:ascii="宋体" w:eastAsia="宋体" w:hAnsi="宋体" w:cs="宋体"/>
          <w:szCs w:val="21"/>
        </w:rPr>
      </w:pPr>
      <w:r w:rsidRPr="000D762E">
        <w:rPr>
          <w:rFonts w:ascii="宋体" w:eastAsia="宋体" w:hAnsi="宋体" w:cs="宋体" w:hint="eastAsia"/>
          <w:snapToGrid w:val="0"/>
          <w:kern w:val="0"/>
          <w:szCs w:val="21"/>
        </w:rPr>
        <w:t>（6）</w:t>
      </w:r>
      <w:r w:rsidRPr="000D762E">
        <w:rPr>
          <w:rFonts w:ascii="宋体" w:eastAsia="宋体" w:hAnsi="宋体" w:cs="宋体" w:hint="eastAsia"/>
          <w:szCs w:val="21"/>
        </w:rPr>
        <w:t>施工现场情况、工程特点及常规施工方案；</w:t>
      </w:r>
    </w:p>
    <w:p w:rsidR="000D762E" w:rsidRPr="000D762E" w:rsidRDefault="000D762E" w:rsidP="000D762E">
      <w:pPr>
        <w:autoSpaceDE w:val="0"/>
        <w:autoSpaceDN w:val="0"/>
        <w:adjustRightInd w:val="0"/>
        <w:snapToGrid w:val="0"/>
        <w:spacing w:line="360" w:lineRule="auto"/>
        <w:ind w:left="420"/>
        <w:rPr>
          <w:rFonts w:ascii="宋体" w:eastAsia="宋体" w:hAnsi="宋体" w:cs="宋体" w:hint="eastAsia"/>
          <w:szCs w:val="21"/>
        </w:rPr>
      </w:pPr>
      <w:r w:rsidRPr="000D762E">
        <w:rPr>
          <w:rFonts w:ascii="宋体" w:eastAsia="宋体" w:hAnsi="宋体" w:cs="宋体" w:hint="eastAsia"/>
          <w:snapToGrid w:val="0"/>
          <w:kern w:val="0"/>
          <w:szCs w:val="21"/>
        </w:rPr>
        <w:t>（7）</w:t>
      </w:r>
      <w:r w:rsidRPr="000D762E">
        <w:rPr>
          <w:rFonts w:ascii="宋体" w:eastAsia="宋体" w:hAnsi="宋体" w:cs="宋体" w:hint="eastAsia"/>
          <w:szCs w:val="21"/>
        </w:rPr>
        <w:t>工程造价管理机构发布的工程造价信息。</w:t>
      </w:r>
    </w:p>
    <w:p w:rsidR="000D762E" w:rsidRPr="000D762E" w:rsidRDefault="000D762E" w:rsidP="000D762E">
      <w:pPr>
        <w:autoSpaceDE w:val="0"/>
        <w:autoSpaceDN w:val="0"/>
        <w:adjustRightInd w:val="0"/>
        <w:snapToGrid w:val="0"/>
        <w:spacing w:line="360" w:lineRule="auto"/>
        <w:ind w:left="420"/>
        <w:rPr>
          <w:rFonts w:ascii="宋体" w:eastAsia="宋体" w:hAnsi="宋体" w:cs="宋体" w:hint="eastAsia"/>
          <w:szCs w:val="21"/>
        </w:rPr>
      </w:pPr>
      <w:r w:rsidRPr="000D762E">
        <w:rPr>
          <w:rFonts w:ascii="宋体" w:eastAsia="宋体" w:hAnsi="宋体" w:cs="宋体" w:hint="eastAsia"/>
          <w:snapToGrid w:val="0"/>
          <w:kern w:val="0"/>
          <w:szCs w:val="21"/>
        </w:rPr>
        <w:t>（8）</w:t>
      </w:r>
      <w:r w:rsidRPr="000D762E">
        <w:rPr>
          <w:rFonts w:ascii="宋体" w:eastAsia="宋体" w:hAnsi="宋体" w:cs="宋体" w:hint="eastAsia"/>
          <w:szCs w:val="21"/>
        </w:rPr>
        <w:t>其他相关材料。</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3、分部分项工程量清单费按本采购文件的分部分项工程量清单的特征描述及有关要求，结合上述第2项编制依据确定。</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（1）综合单价中人工和施工机械台班单价按省级工程造价管理机构公布的单价计算。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（2）综合单价中材料单价按省级和工程所在地的市级工程造价管理机构发布的当期市场信息以及本采购文件规定的暂定价、市场调查价格计算。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（3）本采购文件中列有材料、</w:t>
      </w:r>
      <w:r w:rsidRPr="000D762E">
        <w:rPr>
          <w:rFonts w:ascii="宋体" w:eastAsia="宋体" w:hAnsi="宋体" w:cs="宋体"/>
          <w:szCs w:val="21"/>
        </w:rPr>
        <w:t>设备</w:t>
      </w:r>
      <w:r w:rsidRPr="000D762E">
        <w:rPr>
          <w:rFonts w:ascii="宋体" w:eastAsia="宋体" w:hAnsi="宋体" w:cs="宋体" w:hint="eastAsia"/>
          <w:szCs w:val="21"/>
        </w:rPr>
        <w:t>暂估价的，按暂估价综合单价。</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（4）综合单价中人工、材料和施工机械台班消耗量均按国家和省的定额消耗量计算。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（5）综合单价中管理费、利润为可竞争性费用，其费率按国家和省、市的定额规定标</w:t>
      </w:r>
      <w:r w:rsidRPr="000D762E">
        <w:rPr>
          <w:rFonts w:ascii="宋体" w:eastAsia="宋体" w:hAnsi="宋体" w:cs="宋体" w:hint="eastAsia"/>
          <w:szCs w:val="21"/>
        </w:rPr>
        <w:lastRenderedPageBreak/>
        <w:t>准计取。</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（6）综合单价中应包括采购文件约定的应由供应商承担的风险范围及其费用，风险按本采购文件约定计算。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措施项目清单费按本采购文件中的措施项目清单，应根据拟定的采购文件和常规施工方案以及计价规范的规定确定。对于施工机械设备的选型根据工程特点和施工条件，本着经济实用、先进高效的原则确定。其中不可竞争性的措施费用严格按照国家和省的有关规定计算。竞争性的措施费用依据项目具体情况进行合理确定。</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5、其他项目费用应按照下列规定计价：</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（1）暂列金额、专业工程暂估价应按工程量清单中列出的金额填写；</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（2）暂估价中的材料、工程设备单价应按工程量清单列出的单价计入工程单价。</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 xml:space="preserve">（3）零星工作项目按采购人在零星工作项目表中列出的人工、材料、机械数量，结合上述第2条编制依据的要求确定综合单价并计算人工、材料、机械费用； </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（4）总包服务费应根据采购文件列出的内容和要求估算。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6、规费、税金按本采购文件中的规费、税金项目清单，结合上述第2条编制依据的要求编制。不可竞争性费用应严格按国家、省、市的有关规定及工程量清单、采购文件规定计取，不得降低标准。</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7、工程量清单的核实与调整</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1）本工程在发放工程量清单、最高限价后，供应商应对工程量清单和最高限价等数据进行复核。如供应商认为数据有误，可在提交首次响应文件截止时间前按疑问提交时限要求书面提出。如在规定时间内未提出书面异议的，工程量清单和最高限价将作为判定响应报价是否低于成本价的依据之一（工程量清单或最高限价出现重大错误除外）。</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若供应商未按规定的时间前对清单和最高限价未提出相关书面异议，视同认可工程量清单和最高限价编制合理。成交后后，供应商应按其报价完成采购范围和图纸内的全部内容，不得以工程量清单和最高限价编制存在数量偏差、缺漏项或者不合理提出各种形式的索赔。</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（2）供应商成交后，合同价为固定总价，除经批准的设计变更、经济签证外，其它工程造价增减均不予调整合同价格。</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3）提交首次响应文件截止时间前，供应商应认真对照设计图纸等文件核对采购人提供的工程量清单，发现工程量存在项目划分误差、计量单位误差、数量误差、缺漏项的，必须在采购文件规定的时间内向采购人提出异议或修正要求，否则采购人可不予答复。</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采购人对异议或修正要求应进行核实，确认工程量单项子目误差在±3%（含±3%）以内的，采购人可不予调整工程量，供应商应将其误差考虑在综合单价内；若有单项子目工程量误差超过±3%的，采购人应进行修正并重新公布工程量清单和最高限价（如需）；</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（5）供应商在前规定时间内未对工程量清单和最高限价提出异议的，将被视为已对照图纸等资料复核过工程量清单和最高限价，并对其中存在的误差已全部考虑在报价中，成交</w:t>
      </w:r>
      <w:r w:rsidRPr="000D762E">
        <w:rPr>
          <w:rFonts w:ascii="宋体" w:eastAsia="宋体" w:hAnsi="宋体" w:cs="宋体" w:hint="eastAsia"/>
          <w:szCs w:val="21"/>
        </w:rPr>
        <w:lastRenderedPageBreak/>
        <w:t>后，采购人不再对工程量清单的项目和数量进行调整。供应商必须按其报价完成采购文件规定范围内的设计图纸规定的所有工程项目。</w:t>
      </w:r>
    </w:p>
    <w:p w:rsidR="000D762E" w:rsidRPr="000D762E" w:rsidRDefault="000D762E" w:rsidP="000D762E">
      <w:pPr>
        <w:adjustRightInd w:val="0"/>
        <w:snapToGrid w:val="0"/>
        <w:spacing w:line="360" w:lineRule="auto"/>
        <w:ind w:firstLineChars="200" w:firstLine="422"/>
        <w:rPr>
          <w:rFonts w:ascii="宋体" w:eastAsia="宋体" w:hAnsi="宋体" w:cs="宋体" w:hint="eastAsia"/>
          <w:b/>
          <w:szCs w:val="21"/>
        </w:rPr>
      </w:pPr>
      <w:r w:rsidRPr="000D762E">
        <w:rPr>
          <w:rFonts w:ascii="宋体" w:eastAsia="宋体" w:hAnsi="宋体" w:cs="宋体" w:hint="eastAsia"/>
          <w:b/>
          <w:szCs w:val="21"/>
        </w:rPr>
        <w:t>（二） 响应报价的编制依据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（1）现行的计价规范：《建设工程工程量清单计价规范》（</w:t>
      </w:r>
      <w:r w:rsidRPr="000D762E">
        <w:rPr>
          <w:rFonts w:ascii="宋体" w:eastAsia="宋体" w:hAnsi="宋体" w:cs="宋体"/>
          <w:snapToGrid w:val="0"/>
          <w:kern w:val="0"/>
          <w:szCs w:val="21"/>
        </w:rPr>
        <w:t>GB50500-2013</w:t>
      </w:r>
      <w:r w:rsidRPr="000D762E">
        <w:rPr>
          <w:rFonts w:ascii="宋体" w:eastAsia="宋体" w:hAnsi="宋体" w:cs="宋体" w:hint="eastAsia"/>
          <w:snapToGrid w:val="0"/>
          <w:kern w:val="0"/>
          <w:szCs w:val="21"/>
        </w:rPr>
        <w:t>）；</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snapToGrid w:val="0"/>
          <w:kern w:val="0"/>
          <w:szCs w:val="21"/>
        </w:rPr>
      </w:pPr>
      <w:r w:rsidRPr="000D762E">
        <w:rPr>
          <w:rFonts w:ascii="宋体" w:eastAsia="宋体" w:hAnsi="宋体" w:cs="宋体" w:hint="eastAsia"/>
          <w:snapToGrid w:val="0"/>
          <w:kern w:val="0"/>
          <w:szCs w:val="21"/>
        </w:rPr>
        <w:t>（2）现行计价依据：《2018版安徽省设计工程计价依据》；</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（3）建设工程设计文件及相关资料；</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（4）采购文件及工程量清单及其答疑、澄清、修改；</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（5）与建设工程有关的标准、规范、技术资料；</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（6）施工现场情况、工程特点及响应文件中拟定的施工组织设计。</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（7）市场价格信息，或参照工程造价管理机构发布的工程造价信息。</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（8）合同执行期间由供应商承担的风险因素。</w:t>
      </w:r>
    </w:p>
    <w:p w:rsidR="000D762E" w:rsidRPr="000D762E" w:rsidRDefault="000D762E" w:rsidP="000D762E">
      <w:pPr>
        <w:autoSpaceDE w:val="0"/>
        <w:autoSpaceDN w:val="0"/>
        <w:adjustRightInd w:val="0"/>
        <w:snapToGrid w:val="0"/>
        <w:spacing w:line="360" w:lineRule="auto"/>
        <w:ind w:firstLineChars="200" w:firstLine="420"/>
        <w:rPr>
          <w:rFonts w:ascii="宋体" w:eastAsia="宋体" w:hAnsi="宋体" w:cs="宋体" w:hint="eastAsia"/>
          <w:snapToGrid w:val="0"/>
          <w:kern w:val="0"/>
          <w:szCs w:val="21"/>
        </w:rPr>
      </w:pPr>
      <w:r w:rsidRPr="000D762E">
        <w:rPr>
          <w:rFonts w:ascii="宋体" w:eastAsia="宋体" w:hAnsi="宋体" w:cs="宋体" w:hint="eastAsia"/>
          <w:snapToGrid w:val="0"/>
          <w:kern w:val="0"/>
          <w:szCs w:val="21"/>
        </w:rPr>
        <w:t>（9）其他相关资料。</w:t>
      </w:r>
    </w:p>
    <w:p w:rsidR="000D762E" w:rsidRPr="000D762E" w:rsidRDefault="000D762E" w:rsidP="000D762E">
      <w:pPr>
        <w:adjustRightInd w:val="0"/>
        <w:snapToGrid w:val="0"/>
        <w:spacing w:line="360" w:lineRule="auto"/>
        <w:ind w:firstLine="480"/>
        <w:rPr>
          <w:rFonts w:ascii="宋体" w:eastAsia="宋体" w:hAnsi="宋体" w:cs="宋体" w:hint="eastAsia"/>
          <w:b/>
          <w:szCs w:val="21"/>
        </w:rPr>
      </w:pPr>
      <w:r w:rsidRPr="000D762E">
        <w:rPr>
          <w:rFonts w:ascii="宋体" w:eastAsia="宋体" w:hAnsi="宋体" w:cs="宋体" w:hint="eastAsia"/>
          <w:b/>
          <w:szCs w:val="21"/>
        </w:rPr>
        <w:t>（三） 响应报价的编制要求</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1、供应商应仔细阅读采购文件，了解采购项目的全部工程内容。供应商的响应报价应是采购文件所确定的采购范围内全部工程内容的价格体现，但其响应报价不得低于供应商个别成本价。供应商不得以自有机械闲置、自有材料为由等不计成本地进行报价。</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t>2、除非采购人对采购文件予以澄清、修改，否则供应商应按采购人提供的工程量清单中列出的工程项目和工程量逐项填报综合单价和合价。供应商不得在工程量清单中任意增删、修改清单项目与工程量及项目排列顺序。</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bCs/>
          <w:szCs w:val="21"/>
        </w:rPr>
        <w:t>3、为满足工程建设标准和技术规范要求所发生的费用应包括在响应报价中。响应报价为供应商在响应文件中提出的各项支付金额的总和。</w:t>
      </w:r>
      <w:r w:rsidRPr="000D762E">
        <w:rPr>
          <w:rFonts w:ascii="宋体" w:eastAsia="宋体" w:hAnsi="宋体" w:cs="宋体" w:hint="eastAsia"/>
          <w:szCs w:val="21"/>
        </w:rPr>
        <w:t>除不可竞争费用外，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4、关于工程所需的材料和设备的供应方式和报价等要求：</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szCs w:val="21"/>
        </w:rPr>
        <w:t>（1）本工程使用的设备材料，除图纸、采购文件及补充答疑文件明确注明甲供或甲定乙供外，均由承包方采购供应；</w:t>
      </w:r>
      <w:r w:rsidRPr="000D762E">
        <w:rPr>
          <w:rFonts w:ascii="宋体" w:eastAsia="宋体" w:hAnsi="宋体" w:cs="宋体" w:hint="eastAsia"/>
          <w:bCs/>
          <w:szCs w:val="21"/>
        </w:rPr>
        <w:t>设备材料采购前，其厂家、规格、型号、质量须报采购人、监理单位认可及批准方可采购，同时设备材料进场也须经采购人、监理方认可后方可使用。如果供应商采购的设备、材料不符合设计图纸、技术规范、标准、参考品牌及采购人的要求，采购人将有权同监理单位等共同确定设备材料的品牌、厂家、规格、型号、质量，并交由施工单位采购，若采购人确定的设备材料品牌及产品的价格超过响应报价中的价格，则按响应文件中的报价进行结算，若采购人确定的设备材料品牌及产品的价格低于响应报价中的价格，则按采购人确定的品牌价格进行结算，供应商一旦递交响应文件，视为无条件的同意及执行此项条款的要求。施工过程中违反规定的，视为违约，因此影响工期的总工期不顺延，同时</w:t>
      </w:r>
      <w:r w:rsidRPr="000D762E">
        <w:rPr>
          <w:rFonts w:ascii="宋体" w:eastAsia="宋体" w:hAnsi="宋体" w:cs="宋体" w:hint="eastAsia"/>
          <w:bCs/>
          <w:szCs w:val="21"/>
        </w:rPr>
        <w:lastRenderedPageBreak/>
        <w:t>由此造成的其他一切损失由承包人自行承担。</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t>（2）除甲供材、实行暂定价的材料和合同约定价格可调的材料（如有）以外，由供应商自行采购的材料确定报价时应充分考虑材料价格上涨等市场风险因素，成交后不作调整。综合单价中的材料费应包括材料运杂费、运输损耗费、采购及保管费，材料的试验检验费由供应商在考虑在综合费中。</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bCs/>
          <w:szCs w:val="21"/>
        </w:rPr>
        <w:t>（3）结算时实行暂定价的材料和设备的价差仅计取税金，不再计取其他费用。</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szCs w:val="21"/>
        </w:rPr>
        <w:t>5、本项目施工所需的水、电的接入点由供应商自行踏勘现场并充分考虑确定，供应商报价时须充分考虑此部分费用及风险并含在报价中。供应商成交后，采购人不再为此承担任何费用及责任。</w:t>
      </w:r>
      <w:r w:rsidRPr="000D762E">
        <w:rPr>
          <w:rFonts w:ascii="宋体" w:eastAsia="宋体" w:hAnsi="宋体" w:cs="宋体" w:hint="eastAsia"/>
          <w:bCs/>
          <w:szCs w:val="21"/>
        </w:rPr>
        <w:t>供应商在开工前将水、电接至施工场地范围内，场内临时管线及装表等其它工作费用也由供应商自行承担。</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6、分部分项工程量清单费根据采购文件中的工程量清单项目及项目特征描述等确定综合单价。其中综合单价是指完成一个规定清单项目所需的人工费、材料和工程设备费、施工机具使用费和企业管理费、利润以及合同规定的供应商承担的风险费用。</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7、措施项目清单费根据采购文件中的工程量清单措施项目，结合本采购文件第3.1条编制依据确定。供应商对采购人所列的措施项目可根据工程实际情况结合施工组织设计进行增补，其中不可竞争性的措施费用严格按照采购文件规定计算，不得降低标准。</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8、其他项目清单费应按照采购文件规定报价。其中暂列金额（预留金）、暂估价、暂定价、材料购置费用等均为估算金额。编制响应报价时计入总价，工程竣工后应按供应商实际完成的工程内容结算。</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9、总承包管理及配合服务费：按专业分包工程结算价款的</w:t>
      </w:r>
      <w:r w:rsidRPr="000D762E">
        <w:rPr>
          <w:rFonts w:ascii="宋体" w:eastAsia="宋体" w:hAnsi="宋体" w:cs="宋体" w:hint="eastAsia"/>
          <w:szCs w:val="21"/>
          <w:u w:val="single"/>
        </w:rPr>
        <w:t xml:space="preserve"> / </w:t>
      </w:r>
      <w:r w:rsidRPr="000D762E">
        <w:rPr>
          <w:rFonts w:ascii="宋体" w:eastAsia="宋体" w:hAnsi="宋体" w:cs="宋体" w:hint="eastAsia"/>
          <w:szCs w:val="21"/>
        </w:rPr>
        <w:t>由</w:t>
      </w:r>
      <w:r w:rsidRPr="000D762E">
        <w:rPr>
          <w:rFonts w:ascii="宋体" w:eastAsia="宋体" w:hAnsi="宋体" w:cs="宋体" w:hint="eastAsia"/>
          <w:szCs w:val="21"/>
          <w:u w:val="single"/>
        </w:rPr>
        <w:t xml:space="preserve">  专业工程承包人  </w:t>
      </w:r>
      <w:r w:rsidRPr="000D762E">
        <w:rPr>
          <w:rFonts w:ascii="宋体" w:eastAsia="宋体" w:hAnsi="宋体" w:cs="宋体" w:hint="eastAsia"/>
          <w:szCs w:val="21"/>
        </w:rPr>
        <w:t>向总包单位支付。成交后，供应商不得就上述费用提出更高要求及异议，也不得以其他任何因素为由，拒绝向专业工程承包人提供总承包管理及配合服务，否则视为承包人违约。</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10、税金应采用增值税模式，供应商依据现行文件要求计取增值税，不得降低标准。</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11、供应商的响应报价由不可竞争费用和可竞争费用构成。不可竞争费用（规费）不得低于已发布工程量清单中的有关费用标准，报价时不得降低标准。</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（1）措施费中的不可竞争费用：见已发布工程量清单。</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（2）工程税金税率：采用一般计税方法计算增值税，根据安徽省建设工程造价管理总站《</w:t>
      </w:r>
      <w:r w:rsidRPr="000D762E">
        <w:rPr>
          <w:rFonts w:ascii="宋体" w:eastAsia="宋体" w:hAnsi="宋体" w:cs="宋体"/>
          <w:szCs w:val="21"/>
        </w:rPr>
        <w:t>关于调整我省现行建设工程计价依据增值税税率的通知</w:t>
      </w:r>
      <w:r w:rsidRPr="000D762E">
        <w:rPr>
          <w:rFonts w:ascii="宋体" w:eastAsia="宋体" w:hAnsi="宋体" w:cs="宋体" w:hint="eastAsia"/>
          <w:szCs w:val="21"/>
        </w:rPr>
        <w:t>》（</w:t>
      </w:r>
      <w:r w:rsidRPr="000D762E">
        <w:rPr>
          <w:rFonts w:ascii="宋体" w:eastAsia="宋体" w:hAnsi="宋体" w:cs="宋体"/>
          <w:szCs w:val="21"/>
        </w:rPr>
        <w:t>造价〔201</w:t>
      </w:r>
      <w:r w:rsidRPr="000D762E">
        <w:rPr>
          <w:rFonts w:ascii="宋体" w:eastAsia="宋体" w:hAnsi="宋体" w:cs="宋体" w:hint="eastAsia"/>
          <w:szCs w:val="21"/>
        </w:rPr>
        <w:t>9</w:t>
      </w:r>
      <w:r w:rsidRPr="000D762E">
        <w:rPr>
          <w:rFonts w:ascii="宋体" w:eastAsia="宋体" w:hAnsi="宋体" w:cs="宋体"/>
          <w:szCs w:val="21"/>
        </w:rPr>
        <w:t>〕</w:t>
      </w:r>
      <w:r w:rsidRPr="000D762E">
        <w:rPr>
          <w:rFonts w:ascii="宋体" w:eastAsia="宋体" w:hAnsi="宋体" w:cs="宋体" w:hint="eastAsia"/>
          <w:szCs w:val="21"/>
        </w:rPr>
        <w:t>7</w:t>
      </w:r>
      <w:r w:rsidRPr="000D762E">
        <w:rPr>
          <w:rFonts w:ascii="宋体" w:eastAsia="宋体" w:hAnsi="宋体" w:cs="宋体"/>
          <w:szCs w:val="21"/>
        </w:rPr>
        <w:t>号</w:t>
      </w:r>
      <w:r w:rsidRPr="000D762E">
        <w:rPr>
          <w:rFonts w:ascii="宋体" w:eastAsia="宋体" w:hAnsi="宋体" w:cs="宋体" w:hint="eastAsia"/>
          <w:szCs w:val="21"/>
        </w:rPr>
        <w:t>）规定，税金税率为9%。</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（3）采购文件中明确的由采购人自行采购的材料、设备费用。</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（4）暂列金额（预留金）、暂定价、暂估价：</w:t>
      </w:r>
      <w:r w:rsidRPr="000D762E">
        <w:rPr>
          <w:rFonts w:ascii="宋体" w:eastAsia="宋体" w:hAnsi="宋体" w:cs="宋体"/>
          <w:b/>
          <w:szCs w:val="21"/>
        </w:rPr>
        <w:t>100000元整，</w:t>
      </w:r>
      <w:r w:rsidRPr="000D762E">
        <w:rPr>
          <w:rFonts w:ascii="宋体" w:eastAsia="宋体" w:hAnsi="宋体" w:cs="宋体" w:hint="eastAsia"/>
          <w:b/>
          <w:szCs w:val="21"/>
        </w:rPr>
        <w:t>不计规费和税金</w:t>
      </w:r>
      <w:r w:rsidRPr="000D762E">
        <w:rPr>
          <w:rFonts w:ascii="宋体" w:eastAsia="宋体" w:hAnsi="宋体" w:cs="宋体" w:hint="eastAsia"/>
          <w:szCs w:val="21"/>
        </w:rPr>
        <w:t>。</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szCs w:val="21"/>
        </w:rPr>
        <w:t>（5）法规规章、上级文件规定的其他不可竞争费用。</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t>12、可竞争费用包括：</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t>（1）人工费、材料费、机械费用；</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lastRenderedPageBreak/>
        <w:t>（2）管理费；</w:t>
      </w:r>
    </w:p>
    <w:p w:rsidR="000D762E" w:rsidRPr="000D762E" w:rsidRDefault="000D762E" w:rsidP="000D762E">
      <w:pPr>
        <w:adjustRightInd w:val="0"/>
        <w:snapToGrid w:val="0"/>
        <w:spacing w:line="360" w:lineRule="auto"/>
        <w:ind w:firstLineChars="200" w:firstLine="420"/>
        <w:rPr>
          <w:rFonts w:ascii="宋体" w:eastAsia="宋体" w:hAnsi="宋体" w:cs="宋体" w:hint="eastAsia"/>
          <w:bCs/>
          <w:szCs w:val="21"/>
        </w:rPr>
      </w:pPr>
      <w:r w:rsidRPr="000D762E">
        <w:rPr>
          <w:rFonts w:ascii="宋体" w:eastAsia="宋体" w:hAnsi="宋体" w:cs="宋体" w:hint="eastAsia"/>
          <w:bCs/>
          <w:szCs w:val="21"/>
        </w:rPr>
        <w:t>（3）利润；</w:t>
      </w:r>
    </w:p>
    <w:p w:rsidR="000D762E" w:rsidRPr="000D762E" w:rsidRDefault="000D762E" w:rsidP="000D762E">
      <w:pPr>
        <w:adjustRightInd w:val="0"/>
        <w:snapToGrid w:val="0"/>
        <w:spacing w:line="360" w:lineRule="auto"/>
        <w:ind w:firstLineChars="200" w:firstLine="420"/>
        <w:rPr>
          <w:rFonts w:ascii="宋体" w:eastAsia="宋体" w:hAnsi="宋体" w:cs="宋体" w:hint="eastAsia"/>
          <w:szCs w:val="21"/>
        </w:rPr>
      </w:pPr>
      <w:r w:rsidRPr="000D762E">
        <w:rPr>
          <w:rFonts w:ascii="宋体" w:eastAsia="宋体" w:hAnsi="宋体" w:cs="宋体" w:hint="eastAsia"/>
          <w:bCs/>
          <w:szCs w:val="21"/>
        </w:rPr>
        <w:t>（4）措施费（规定的不可竞争费用除外）。</w:t>
      </w:r>
    </w:p>
    <w:p w:rsidR="000D762E" w:rsidRPr="000D762E" w:rsidRDefault="000D762E" w:rsidP="000D762E">
      <w:pPr>
        <w:adjustRightInd w:val="0"/>
        <w:snapToGrid w:val="0"/>
        <w:spacing w:line="360" w:lineRule="auto"/>
        <w:ind w:firstLine="480"/>
        <w:rPr>
          <w:rFonts w:ascii="宋体" w:eastAsia="宋体" w:hAnsi="宋体" w:cs="宋体" w:hint="eastAsia"/>
          <w:b/>
          <w:szCs w:val="21"/>
        </w:rPr>
      </w:pPr>
      <w:r w:rsidRPr="000D762E">
        <w:rPr>
          <w:rFonts w:ascii="宋体" w:eastAsia="宋体" w:hAnsi="宋体" w:cs="宋体" w:hint="eastAsia"/>
          <w:b/>
          <w:szCs w:val="21"/>
        </w:rPr>
        <w:t>（四）决算依据</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1、增减项目工程量确认：依据现场工程量签证单，增减项目单价执行响应文件中的商务标预算书中的单价。</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 xml:space="preserve"> 2、招标范围外的工程单价确认：响应文件中商务标预算书所采用的定额（或谈判文件约定的定额），主材单价依据当月的合肥市《价格信息表》中的材料信息价，信息价未有的材料价格依据询价、签证单上双方约定的方式确定。</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 xml:space="preserve"> 3、优惠百分比：决算时，增减项目按响应报价同比例优惠（优惠比例：1-成交价/预算价）。</w:t>
      </w:r>
    </w:p>
    <w:p w:rsidR="000D762E" w:rsidRPr="000D762E" w:rsidRDefault="000D762E" w:rsidP="000D762E">
      <w:pPr>
        <w:keepNext/>
        <w:keepLines/>
        <w:adjustRightInd w:val="0"/>
        <w:snapToGrid w:val="0"/>
        <w:spacing w:line="360" w:lineRule="auto"/>
        <w:outlineLvl w:val="1"/>
        <w:rPr>
          <w:rFonts w:ascii="宋体" w:eastAsia="宋体" w:hAnsi="宋体" w:cs="宋体" w:hint="eastAsia"/>
          <w:b/>
          <w:bCs/>
          <w:szCs w:val="21"/>
        </w:rPr>
      </w:pPr>
      <w:bookmarkStart w:id="18" w:name="_Toc527541657"/>
      <w:r w:rsidRPr="000D762E">
        <w:rPr>
          <w:rFonts w:ascii="宋体" w:eastAsia="宋体" w:hAnsi="宋体" w:cs="宋体" w:hint="eastAsia"/>
          <w:b/>
          <w:bCs/>
          <w:szCs w:val="21"/>
        </w:rPr>
        <w:t>四、材料要求</w:t>
      </w:r>
    </w:p>
    <w:p w:rsidR="000D762E" w:rsidRPr="000D762E" w:rsidRDefault="000D762E" w:rsidP="000D762E">
      <w:pPr>
        <w:adjustRightInd w:val="0"/>
        <w:snapToGrid w:val="0"/>
        <w:spacing w:line="360" w:lineRule="auto"/>
        <w:ind w:firstLineChars="200" w:firstLine="420"/>
        <w:textAlignment w:val="baseline"/>
        <w:rPr>
          <w:rFonts w:ascii="宋体" w:eastAsia="Times New Roman" w:hAnsi="宋体" w:cs="Times New Roman"/>
          <w:szCs w:val="21"/>
          <w:lang w:val="en-US" w:eastAsia="zh-CN"/>
        </w:rPr>
      </w:pPr>
      <w:r w:rsidRPr="000D762E">
        <w:rPr>
          <w:rFonts w:ascii="宋体" w:eastAsia="Times New Roman" w:hAnsi="宋体" w:cs="Times New Roman"/>
          <w:szCs w:val="21"/>
          <w:lang w:val="en-US" w:eastAsia="zh-CN"/>
        </w:rPr>
        <w:t>1、本工程所需的所有材料，成交供应商除应按国家相关规定报相关部门送检合格外（费用自理），还需无条件接受采购人对本工程任何材料、在施工过程中任何时间提出的检验要求，若该材料经权威检验部门鉴定确有质量问题，由此而发生的一切费用和损失由供应商承担。采购人保留施工时根据实际需要调整部分材料的权利。</w:t>
      </w:r>
    </w:p>
    <w:p w:rsidR="000D762E" w:rsidRPr="000D762E" w:rsidRDefault="000D762E" w:rsidP="000D762E">
      <w:pPr>
        <w:wordWrap w:val="0"/>
        <w:adjustRightInd w:val="0"/>
        <w:snapToGrid w:val="0"/>
        <w:spacing w:line="360" w:lineRule="auto"/>
        <w:ind w:firstLineChars="200" w:firstLine="420"/>
        <w:textAlignment w:val="baseline"/>
        <w:rPr>
          <w:rFonts w:ascii="宋体" w:eastAsia="宋体" w:hAnsi="宋体" w:cs="Times New Roman" w:hint="eastAsia"/>
          <w:szCs w:val="21"/>
          <w:lang w:val="en-US" w:eastAsia="zh-CN"/>
        </w:rPr>
      </w:pPr>
      <w:r w:rsidRPr="000D762E">
        <w:rPr>
          <w:rFonts w:ascii="宋体" w:eastAsia="Times New Roman" w:hAnsi="宋体" w:cs="Times New Roman"/>
          <w:szCs w:val="21"/>
          <w:lang w:val="en-US" w:eastAsia="zh-CN"/>
        </w:rPr>
        <w:t>2、对于采购人推荐品牌的材料，供应商可选用推荐品牌或不低于推荐品牌质量标准的其它品牌；采用其它品牌的应在《</w:t>
      </w:r>
      <w:r w:rsidRPr="000D762E">
        <w:rPr>
          <w:rFonts w:ascii="宋体" w:eastAsia="Times New Roman" w:hAnsi="宋体" w:cs="Times New Roman" w:hint="eastAsia"/>
          <w:szCs w:val="21"/>
          <w:lang w:val="en-US" w:eastAsia="zh-CN"/>
        </w:rPr>
        <w:t>材料品牌选择表</w:t>
      </w:r>
      <w:r w:rsidRPr="000D762E">
        <w:rPr>
          <w:rFonts w:ascii="宋体" w:eastAsia="Times New Roman" w:hAnsi="宋体" w:cs="Times New Roman"/>
          <w:szCs w:val="21"/>
          <w:lang w:val="en-US" w:eastAsia="zh-CN"/>
        </w:rPr>
        <w:t>》中注明并提供</w:t>
      </w:r>
      <w:r w:rsidRPr="000D762E">
        <w:rPr>
          <w:rFonts w:ascii="宋体" w:eastAsia="宋体" w:hAnsi="宋体" w:cs="宋体" w:hint="eastAsia"/>
          <w:szCs w:val="21"/>
          <w:lang w:val="en-US" w:eastAsia="zh-CN"/>
        </w:rPr>
        <w:t>相关技术性能指标、业绩等供谈判小组评审</w:t>
      </w:r>
      <w:r w:rsidRPr="000D762E">
        <w:rPr>
          <w:rFonts w:ascii="宋体" w:eastAsia="Times New Roman" w:hAnsi="宋体" w:cs="Times New Roman"/>
          <w:szCs w:val="21"/>
          <w:lang w:val="en-US" w:eastAsia="zh-CN"/>
        </w:rPr>
        <w:t>；未在《</w:t>
      </w:r>
      <w:r w:rsidRPr="000D762E">
        <w:rPr>
          <w:rFonts w:ascii="宋体" w:eastAsia="Times New Roman" w:hAnsi="宋体" w:cs="Times New Roman" w:hint="eastAsia"/>
          <w:szCs w:val="21"/>
          <w:lang w:val="en-US" w:eastAsia="zh-CN"/>
        </w:rPr>
        <w:t>材料品牌选择表</w:t>
      </w:r>
      <w:r w:rsidRPr="000D762E">
        <w:rPr>
          <w:rFonts w:ascii="宋体" w:eastAsia="Times New Roman" w:hAnsi="宋体" w:cs="Times New Roman"/>
          <w:szCs w:val="21"/>
          <w:lang w:val="en-US" w:eastAsia="zh-CN"/>
        </w:rPr>
        <w:t>》</w:t>
      </w:r>
      <w:r w:rsidRPr="000D762E">
        <w:rPr>
          <w:rFonts w:ascii="宋体" w:eastAsia="宋体" w:hAnsi="宋体" w:cs="宋体" w:hint="eastAsia"/>
          <w:szCs w:val="21"/>
          <w:lang w:val="en-US" w:eastAsia="zh-CN"/>
        </w:rPr>
        <w:t>中注明且未提供相关技术性能指标、业绩，或经谈判小组评审未通过，成交后只能从采购人推荐品牌中进行选择，合同价格不予调整</w:t>
      </w:r>
      <w:r w:rsidRPr="000D762E">
        <w:rPr>
          <w:rFonts w:ascii="宋体" w:eastAsia="Times New Roman" w:hAnsi="宋体" w:cs="Times New Roman"/>
          <w:szCs w:val="21"/>
          <w:lang w:val="en-US" w:eastAsia="zh-CN"/>
        </w:rPr>
        <w:t>。</w:t>
      </w:r>
    </w:p>
    <w:p w:rsidR="000D762E" w:rsidRPr="000D762E" w:rsidRDefault="000D762E" w:rsidP="000D762E">
      <w:pPr>
        <w:adjustRightInd w:val="0"/>
        <w:snapToGrid w:val="0"/>
        <w:spacing w:line="360" w:lineRule="auto"/>
        <w:ind w:firstLineChars="200" w:firstLine="420"/>
        <w:textAlignment w:val="baseline"/>
        <w:rPr>
          <w:rFonts w:ascii="宋体" w:eastAsia="宋体" w:hAnsi="宋体" w:cs="Times New Roman" w:hint="eastAsia"/>
          <w:szCs w:val="21"/>
          <w:lang w:val="en-US" w:eastAsia="zh-CN"/>
        </w:rPr>
      </w:pPr>
      <w:r w:rsidRPr="000D762E">
        <w:rPr>
          <w:rFonts w:ascii="宋体" w:eastAsia="宋体" w:hAnsi="宋体" w:cs="Times New Roman" w:hint="eastAsia"/>
          <w:szCs w:val="21"/>
          <w:lang w:val="en-US" w:eastAsia="zh-CN"/>
        </w:rPr>
        <w:t>3、材料要求：</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134"/>
        <w:gridCol w:w="1560"/>
        <w:gridCol w:w="5527"/>
      </w:tblGrid>
      <w:tr w:rsidR="000D762E" w:rsidRPr="000D762E" w:rsidTr="00207D37">
        <w:trPr>
          <w:trHeight w:val="340"/>
          <w:jc w:val="center"/>
        </w:trPr>
        <w:tc>
          <w:tcPr>
            <w:tcW w:w="852" w:type="dxa"/>
            <w:vAlign w:val="center"/>
          </w:tcPr>
          <w:p w:rsidR="000D762E" w:rsidRPr="000D762E" w:rsidRDefault="000D762E" w:rsidP="000D762E">
            <w:pPr>
              <w:adjustRightInd w:val="0"/>
              <w:snapToGrid w:val="0"/>
              <w:spacing w:line="300" w:lineRule="auto"/>
              <w:jc w:val="center"/>
              <w:rPr>
                <w:rFonts w:ascii="宋体" w:eastAsia="宋体" w:hAnsi="宋体" w:cs="Times New Roman"/>
                <w:b/>
                <w:bCs/>
                <w:szCs w:val="21"/>
              </w:rPr>
            </w:pPr>
            <w:r w:rsidRPr="000D762E">
              <w:rPr>
                <w:rFonts w:ascii="宋体" w:eastAsia="宋体" w:hAnsi="宋体" w:cs="Times New Roman" w:hint="eastAsia"/>
                <w:b/>
                <w:bCs/>
                <w:szCs w:val="21"/>
              </w:rPr>
              <w:t>序号</w:t>
            </w:r>
          </w:p>
        </w:tc>
        <w:tc>
          <w:tcPr>
            <w:tcW w:w="1134" w:type="dxa"/>
            <w:vAlign w:val="center"/>
          </w:tcPr>
          <w:p w:rsidR="000D762E" w:rsidRPr="000D762E" w:rsidRDefault="000D762E" w:rsidP="000D762E">
            <w:pPr>
              <w:adjustRightInd w:val="0"/>
              <w:snapToGrid w:val="0"/>
              <w:spacing w:line="300" w:lineRule="auto"/>
              <w:jc w:val="center"/>
              <w:rPr>
                <w:rFonts w:ascii="宋体" w:eastAsia="宋体" w:hAnsi="宋体" w:cs="Times New Roman"/>
                <w:b/>
                <w:bCs/>
                <w:szCs w:val="21"/>
              </w:rPr>
            </w:pPr>
            <w:r w:rsidRPr="000D762E">
              <w:rPr>
                <w:rFonts w:ascii="宋体" w:eastAsia="宋体" w:hAnsi="宋体" w:cs="Times New Roman" w:hint="eastAsia"/>
                <w:b/>
                <w:bCs/>
                <w:szCs w:val="21"/>
              </w:rPr>
              <w:t>货物名称</w:t>
            </w:r>
          </w:p>
        </w:tc>
        <w:tc>
          <w:tcPr>
            <w:tcW w:w="1560" w:type="dxa"/>
            <w:vAlign w:val="center"/>
          </w:tcPr>
          <w:p w:rsidR="000D762E" w:rsidRPr="000D762E" w:rsidRDefault="000D762E" w:rsidP="000D762E">
            <w:pPr>
              <w:adjustRightInd w:val="0"/>
              <w:snapToGrid w:val="0"/>
              <w:spacing w:line="300" w:lineRule="auto"/>
              <w:jc w:val="center"/>
              <w:rPr>
                <w:rFonts w:ascii="宋体" w:eastAsia="宋体" w:hAnsi="宋体" w:cs="Times New Roman" w:hint="eastAsia"/>
                <w:b/>
                <w:szCs w:val="21"/>
              </w:rPr>
            </w:pPr>
            <w:r w:rsidRPr="000D762E">
              <w:rPr>
                <w:rFonts w:ascii="宋体" w:eastAsia="宋体" w:hAnsi="宋体" w:cs="Times New Roman" w:hint="eastAsia"/>
                <w:b/>
                <w:szCs w:val="21"/>
              </w:rPr>
              <w:t>参考品牌</w:t>
            </w:r>
          </w:p>
        </w:tc>
        <w:tc>
          <w:tcPr>
            <w:tcW w:w="5527" w:type="dxa"/>
            <w:vAlign w:val="center"/>
          </w:tcPr>
          <w:p w:rsidR="000D762E" w:rsidRPr="000D762E" w:rsidRDefault="000D762E" w:rsidP="000D762E">
            <w:pPr>
              <w:adjustRightInd w:val="0"/>
              <w:snapToGrid w:val="0"/>
              <w:spacing w:line="300" w:lineRule="auto"/>
              <w:jc w:val="center"/>
              <w:rPr>
                <w:rFonts w:ascii="宋体" w:eastAsia="宋体" w:hAnsi="宋体" w:cs="Times New Roman"/>
                <w:b/>
                <w:bCs/>
                <w:szCs w:val="21"/>
              </w:rPr>
            </w:pPr>
            <w:r w:rsidRPr="000D762E">
              <w:rPr>
                <w:rFonts w:ascii="宋体" w:eastAsia="宋体" w:hAnsi="宋体" w:cs="Times New Roman" w:hint="eastAsia"/>
                <w:b/>
                <w:szCs w:val="21"/>
              </w:rPr>
              <w:t>备注</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混凝土</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szCs w:val="21"/>
              </w:rPr>
            </w:pPr>
            <w:r w:rsidRPr="000D762E">
              <w:rPr>
                <w:rFonts w:ascii="宋体" w:eastAsia="宋体" w:hAnsi="宋体" w:cs="Times New Roman" w:hint="eastAsia"/>
                <w:szCs w:val="21"/>
              </w:rPr>
              <w:t>采用商品混凝土，标号不低于C25</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水泥</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巢湖、东关、海螺等</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szCs w:val="21"/>
              </w:rPr>
            </w:pPr>
            <w:r w:rsidRPr="000D762E">
              <w:rPr>
                <w:rFonts w:ascii="宋体" w:eastAsia="宋体" w:hAnsi="宋体" w:cs="Times New Roman" w:hint="eastAsia"/>
                <w:szCs w:val="21"/>
              </w:rPr>
              <w:t>标号不低于425号</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color w:val="000000"/>
                <w:szCs w:val="21"/>
              </w:rPr>
            </w:pPr>
            <w:r w:rsidRPr="000D762E">
              <w:rPr>
                <w:rFonts w:ascii="宋体" w:eastAsia="宋体" w:hAnsi="宋体" w:cs="Times New Roman" w:hint="eastAsia"/>
                <w:color w:val="000000"/>
                <w:szCs w:val="21"/>
              </w:rPr>
              <w:t>DN500水泥管</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color w:val="000000"/>
                <w:szCs w:val="21"/>
              </w:rPr>
            </w:pPr>
            <w:r w:rsidRPr="000D762E">
              <w:rPr>
                <w:rFonts w:ascii="宋体" w:eastAsia="宋体" w:hAnsi="宋体" w:cs="Times New Roman" w:hint="eastAsia"/>
                <w:color w:val="000000"/>
                <w:szCs w:val="21"/>
              </w:rPr>
              <w:t>内径500</w:t>
            </w:r>
            <w:r w:rsidRPr="000D762E">
              <w:rPr>
                <w:rFonts w:ascii="宋体" w:eastAsia="宋体" w:hAnsi="宋体" w:cs="宋体" w:hint="eastAsia"/>
                <w:color w:val="000000"/>
                <w:szCs w:val="21"/>
              </w:rPr>
              <w:t>㎜</w:t>
            </w:r>
            <w:r w:rsidRPr="000D762E">
              <w:rPr>
                <w:rFonts w:ascii="宋体" w:eastAsia="宋体" w:hAnsi="宋体" w:cs="Times New Roman" w:hint="eastAsia"/>
                <w:color w:val="000000"/>
                <w:szCs w:val="21"/>
              </w:rPr>
              <w:t>、外径：600</w:t>
            </w:r>
            <w:r w:rsidRPr="000D762E">
              <w:rPr>
                <w:rFonts w:ascii="宋体" w:eastAsia="宋体" w:hAnsi="宋体" w:cs="宋体" w:hint="eastAsia"/>
                <w:color w:val="000000"/>
                <w:szCs w:val="21"/>
              </w:rPr>
              <w:t>㎜（平口外径）7</w:t>
            </w:r>
            <w:r w:rsidRPr="000D762E">
              <w:rPr>
                <w:rFonts w:ascii="宋体" w:eastAsia="宋体" w:hAnsi="宋体" w:cs="Times New Roman" w:hint="eastAsia"/>
                <w:color w:val="000000"/>
                <w:szCs w:val="21"/>
              </w:rPr>
              <w:t>00</w:t>
            </w:r>
            <w:r w:rsidRPr="000D762E">
              <w:rPr>
                <w:rFonts w:ascii="宋体" w:eastAsia="宋体" w:hAnsi="宋体" w:cs="宋体" w:hint="eastAsia"/>
                <w:color w:val="000000"/>
                <w:szCs w:val="21"/>
              </w:rPr>
              <w:t>㎜（承插口外径）、壁厚：50㎜，密度不小于3.15，外观光滑、颜色：灰白，采用标准：《混凝土和钢筋混凝土排水管》GBT11836-2009</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hint="eastAsia"/>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DN800水泥管</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color w:val="000000"/>
                <w:szCs w:val="21"/>
              </w:rPr>
            </w:pPr>
            <w:r w:rsidRPr="000D762E">
              <w:rPr>
                <w:rFonts w:ascii="宋体" w:eastAsia="宋体" w:hAnsi="宋体" w:cs="Times New Roman" w:hint="eastAsia"/>
                <w:color w:val="000000"/>
                <w:szCs w:val="21"/>
              </w:rPr>
              <w:t>内径800</w:t>
            </w:r>
            <w:r w:rsidRPr="000D762E">
              <w:rPr>
                <w:rFonts w:ascii="宋体" w:eastAsia="宋体" w:hAnsi="宋体" w:cs="宋体" w:hint="eastAsia"/>
                <w:color w:val="000000"/>
                <w:szCs w:val="21"/>
              </w:rPr>
              <w:t>㎜</w:t>
            </w:r>
            <w:r w:rsidRPr="000D762E">
              <w:rPr>
                <w:rFonts w:ascii="宋体" w:eastAsia="宋体" w:hAnsi="宋体" w:cs="Times New Roman" w:hint="eastAsia"/>
                <w:color w:val="000000"/>
                <w:szCs w:val="21"/>
              </w:rPr>
              <w:t>、外径：960</w:t>
            </w:r>
            <w:r w:rsidRPr="000D762E">
              <w:rPr>
                <w:rFonts w:ascii="宋体" w:eastAsia="宋体" w:hAnsi="宋体" w:cs="宋体" w:hint="eastAsia"/>
                <w:color w:val="000000"/>
                <w:szCs w:val="21"/>
              </w:rPr>
              <w:t>㎜（平口外径）1080㎜（承插口外径）、壁厚：80㎜，密度不小于3.15，外观光滑、颜色：灰白，采用标准：《混凝土和钢筋混凝土排水管》GBT11836-2009</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hint="eastAsia"/>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color w:val="000000"/>
                <w:szCs w:val="21"/>
              </w:rPr>
            </w:pPr>
            <w:r w:rsidRPr="000D762E">
              <w:rPr>
                <w:rFonts w:ascii="宋体" w:eastAsia="宋体" w:hAnsi="宋体" w:cs="Times New Roman" w:hint="eastAsia"/>
                <w:color w:val="000000"/>
                <w:szCs w:val="21"/>
              </w:rPr>
              <w:t>球墨铸铁管</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color w:val="000000"/>
                <w:szCs w:val="21"/>
              </w:rPr>
            </w:pPr>
            <w:r w:rsidRPr="000D762E">
              <w:rPr>
                <w:rFonts w:ascii="宋体" w:eastAsia="宋体" w:hAnsi="宋体" w:cs="Times New Roman" w:hint="eastAsia"/>
                <w:color w:val="000000"/>
                <w:szCs w:val="21"/>
              </w:rPr>
              <w:t>为K9等级管，DN200 管壁厚不小于6.4</w:t>
            </w:r>
            <w:r w:rsidRPr="000D762E">
              <w:rPr>
                <w:rFonts w:ascii="宋体" w:eastAsia="宋体" w:hAnsi="宋体" w:cs="宋体" w:hint="eastAsia"/>
                <w:color w:val="000000"/>
                <w:szCs w:val="21"/>
              </w:rPr>
              <w:t>㎜、</w:t>
            </w:r>
            <w:r w:rsidRPr="000D762E">
              <w:rPr>
                <w:rFonts w:ascii="宋体" w:eastAsia="宋体" w:hAnsi="宋体" w:cs="Times New Roman" w:hint="eastAsia"/>
                <w:color w:val="000000"/>
                <w:szCs w:val="21"/>
              </w:rPr>
              <w:t xml:space="preserve"> DN300 管壁厚不小于7.2</w:t>
            </w:r>
            <w:r w:rsidRPr="000D762E">
              <w:rPr>
                <w:rFonts w:ascii="宋体" w:eastAsia="宋体" w:hAnsi="宋体" w:cs="宋体" w:hint="eastAsia"/>
                <w:color w:val="000000"/>
                <w:szCs w:val="21"/>
              </w:rPr>
              <w:t>㎜、</w:t>
            </w:r>
            <w:r w:rsidRPr="000D762E">
              <w:rPr>
                <w:rFonts w:ascii="宋体" w:eastAsia="宋体" w:hAnsi="宋体" w:cs="Times New Roman" w:hint="eastAsia"/>
                <w:color w:val="000000"/>
                <w:szCs w:val="21"/>
              </w:rPr>
              <w:t xml:space="preserve"> DN400 管壁厚不小于8.1</w:t>
            </w:r>
            <w:r w:rsidRPr="000D762E">
              <w:rPr>
                <w:rFonts w:ascii="宋体" w:eastAsia="宋体" w:hAnsi="宋体" w:cs="宋体" w:hint="eastAsia"/>
                <w:color w:val="000000"/>
                <w:szCs w:val="21"/>
              </w:rPr>
              <w:t>㎜</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玻璃钢夹</w:t>
            </w:r>
            <w:r w:rsidRPr="000D762E">
              <w:rPr>
                <w:rFonts w:ascii="宋体" w:eastAsia="宋体" w:hAnsi="宋体" w:cs="Times New Roman" w:hint="eastAsia"/>
                <w:color w:val="000000"/>
                <w:szCs w:val="21"/>
              </w:rPr>
              <w:lastRenderedPageBreak/>
              <w:t>砂管</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color w:val="000000"/>
                <w:szCs w:val="21"/>
              </w:rPr>
              <w:lastRenderedPageBreak/>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szCs w:val="21"/>
              </w:rPr>
            </w:pPr>
            <w:r w:rsidRPr="000D762E">
              <w:rPr>
                <w:rFonts w:ascii="宋体" w:eastAsia="宋体" w:hAnsi="宋体" w:cs="Times New Roman" w:hint="eastAsia"/>
                <w:szCs w:val="21"/>
              </w:rPr>
              <w:t>玻璃钢夹砂管的执行标准可以参照国家建材行业标准JC/T</w:t>
            </w:r>
            <w:r w:rsidRPr="000D762E">
              <w:rPr>
                <w:rFonts w:ascii="宋体" w:eastAsia="宋体" w:hAnsi="宋体" w:cs="Times New Roman" w:hint="eastAsia"/>
                <w:szCs w:val="21"/>
              </w:rPr>
              <w:lastRenderedPageBreak/>
              <w:t>838-1998《玻璃纤维缠绕增强热固性树脂夹砂压力管》。DN500/PN0.1/680KN管壁厚不小于7.2㎜、不小于27.44kg/m</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color w:val="000000"/>
                <w:szCs w:val="21"/>
              </w:rPr>
            </w:pPr>
            <w:r w:rsidRPr="000D762E">
              <w:rPr>
                <w:rFonts w:ascii="宋体" w:eastAsia="宋体" w:hAnsi="宋体" w:cs="Times New Roman" w:hint="eastAsia"/>
                <w:color w:val="000000"/>
                <w:szCs w:val="21"/>
              </w:rPr>
              <w:t>雨水篦</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color w:val="000000"/>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szCs w:val="21"/>
              </w:rPr>
            </w:pPr>
            <w:r w:rsidRPr="000D762E">
              <w:rPr>
                <w:rFonts w:ascii="宋体" w:eastAsia="宋体" w:hAnsi="宋体" w:cs="Times New Roman" w:hint="eastAsia"/>
                <w:szCs w:val="21"/>
              </w:rPr>
              <w:t>采用钢镀锌钢格板（内带钢丝网）</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hint="eastAsia"/>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下水管材</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安诺、金德、伟星、中财、联塑、水博士</w:t>
            </w:r>
          </w:p>
        </w:tc>
        <w:tc>
          <w:tcPr>
            <w:tcW w:w="5527" w:type="dxa"/>
            <w:vAlign w:val="center"/>
          </w:tcPr>
          <w:p w:rsidR="000D762E" w:rsidRPr="000D762E" w:rsidRDefault="000D762E" w:rsidP="000D762E">
            <w:pPr>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hint="eastAsia"/>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上水管材</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安诺、伟星、日丰</w:t>
            </w:r>
          </w:p>
        </w:tc>
        <w:tc>
          <w:tcPr>
            <w:tcW w:w="5527"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w:t>
            </w:r>
          </w:p>
        </w:tc>
      </w:tr>
      <w:tr w:rsidR="000D762E" w:rsidRPr="000D762E" w:rsidTr="00207D37">
        <w:trPr>
          <w:trHeight w:val="340"/>
          <w:jc w:val="center"/>
        </w:trPr>
        <w:tc>
          <w:tcPr>
            <w:tcW w:w="852" w:type="dxa"/>
            <w:vAlign w:val="center"/>
          </w:tcPr>
          <w:p w:rsidR="000D762E" w:rsidRPr="000D762E" w:rsidRDefault="000D762E" w:rsidP="000D762E">
            <w:pPr>
              <w:numPr>
                <w:ilvl w:val="0"/>
                <w:numId w:val="1"/>
              </w:numPr>
              <w:wordWrap w:val="0"/>
              <w:adjustRightInd w:val="0"/>
              <w:snapToGrid w:val="0"/>
              <w:spacing w:line="300" w:lineRule="auto"/>
              <w:jc w:val="center"/>
              <w:rPr>
                <w:rFonts w:ascii="宋体" w:eastAsia="宋体" w:hAnsi="宋体" w:cs="Times New Roman" w:hint="eastAsia"/>
                <w:szCs w:val="21"/>
              </w:rPr>
            </w:pPr>
          </w:p>
        </w:tc>
        <w:tc>
          <w:tcPr>
            <w:tcW w:w="1134"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color w:val="000000"/>
                <w:szCs w:val="21"/>
              </w:rPr>
            </w:pPr>
            <w:r w:rsidRPr="000D762E">
              <w:rPr>
                <w:rFonts w:ascii="宋体" w:eastAsia="宋体" w:hAnsi="宋体" w:cs="Times New Roman" w:hint="eastAsia"/>
                <w:color w:val="000000"/>
                <w:szCs w:val="21"/>
              </w:rPr>
              <w:t>其他主材</w:t>
            </w:r>
          </w:p>
        </w:tc>
        <w:tc>
          <w:tcPr>
            <w:tcW w:w="1560" w:type="dxa"/>
            <w:vAlign w:val="center"/>
          </w:tcPr>
          <w:p w:rsidR="000D762E" w:rsidRPr="000D762E" w:rsidRDefault="000D762E" w:rsidP="000D762E">
            <w:pPr>
              <w:wordWrap w:val="0"/>
              <w:adjustRightInd w:val="0"/>
              <w:snapToGrid w:val="0"/>
              <w:spacing w:line="300" w:lineRule="auto"/>
              <w:jc w:val="center"/>
              <w:rPr>
                <w:rFonts w:ascii="宋体" w:eastAsia="宋体" w:hAnsi="宋体" w:cs="Times New Roman" w:hint="eastAsia"/>
                <w:szCs w:val="21"/>
              </w:rPr>
            </w:pPr>
            <w:r w:rsidRPr="000D762E">
              <w:rPr>
                <w:rFonts w:ascii="宋体" w:eastAsia="宋体" w:hAnsi="宋体" w:cs="Times New Roman" w:hint="eastAsia"/>
                <w:szCs w:val="21"/>
              </w:rPr>
              <w:t>/</w:t>
            </w:r>
          </w:p>
        </w:tc>
        <w:tc>
          <w:tcPr>
            <w:tcW w:w="5527" w:type="dxa"/>
            <w:vAlign w:val="center"/>
          </w:tcPr>
          <w:p w:rsidR="000D762E" w:rsidRPr="000D762E" w:rsidRDefault="000D762E" w:rsidP="000D762E">
            <w:pPr>
              <w:wordWrap w:val="0"/>
              <w:adjustRightInd w:val="0"/>
              <w:snapToGrid w:val="0"/>
              <w:spacing w:line="300" w:lineRule="auto"/>
              <w:rPr>
                <w:rFonts w:ascii="宋体" w:eastAsia="宋体" w:hAnsi="宋体" w:cs="Times New Roman" w:hint="eastAsia"/>
                <w:szCs w:val="21"/>
              </w:rPr>
            </w:pPr>
            <w:r w:rsidRPr="000D762E">
              <w:rPr>
                <w:rFonts w:ascii="宋体" w:eastAsia="宋体" w:hAnsi="宋体" w:cs="Times New Roman" w:hint="eastAsia"/>
                <w:szCs w:val="21"/>
              </w:rPr>
              <w:t>清单中注明的以清单为准，其它主材均选用市场中挡价位合格产品。具体技术要求及参数，详见工程报价清单。</w:t>
            </w:r>
          </w:p>
        </w:tc>
      </w:tr>
    </w:tbl>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备注</w:t>
      </w:r>
      <w:r w:rsidRPr="000D762E">
        <w:rPr>
          <w:rFonts w:ascii="宋体" w:eastAsia="宋体" w:hAnsi="宋体" w:cs="宋体"/>
          <w:szCs w:val="21"/>
        </w:rPr>
        <w:t>：</w:t>
      </w:r>
      <w:r w:rsidRPr="000D762E">
        <w:rPr>
          <w:rFonts w:ascii="宋体" w:eastAsia="宋体" w:hAnsi="宋体" w:cs="宋体" w:hint="eastAsia"/>
          <w:szCs w:val="21"/>
        </w:rPr>
        <w:t>产品必须符合国家现行标准，成交供应商合同签订、进场施工前，采购人有权要求成交供应商提供拟投任意材料的生产许可证、质量管理体系认证书、CCC认证证书、产品检测合格报告等材料，成交供应商拒绝提供的，采购人有权拒绝签订合同。</w:t>
      </w:r>
    </w:p>
    <w:p w:rsidR="000D762E" w:rsidRPr="000D762E" w:rsidRDefault="000D762E" w:rsidP="000D762E">
      <w:pPr>
        <w:keepNext/>
        <w:keepLines/>
        <w:adjustRightInd w:val="0"/>
        <w:snapToGrid w:val="0"/>
        <w:spacing w:line="360" w:lineRule="auto"/>
        <w:outlineLvl w:val="1"/>
        <w:rPr>
          <w:rFonts w:ascii="宋体" w:eastAsia="宋体" w:hAnsi="宋体" w:cs="宋体" w:hint="eastAsia"/>
          <w:b/>
          <w:bCs/>
          <w:szCs w:val="21"/>
        </w:rPr>
      </w:pPr>
      <w:r w:rsidRPr="000D762E">
        <w:rPr>
          <w:rFonts w:ascii="宋体" w:eastAsia="宋体" w:hAnsi="宋体" w:cs="宋体" w:hint="eastAsia"/>
          <w:b/>
          <w:bCs/>
          <w:szCs w:val="21"/>
        </w:rPr>
        <w:t>五、工程量清单</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另行发放。</w:t>
      </w:r>
    </w:p>
    <w:p w:rsidR="000D762E" w:rsidRPr="000D762E" w:rsidRDefault="000D762E" w:rsidP="000D762E">
      <w:pPr>
        <w:keepNext/>
        <w:keepLines/>
        <w:adjustRightInd w:val="0"/>
        <w:snapToGrid w:val="0"/>
        <w:spacing w:line="360" w:lineRule="auto"/>
        <w:outlineLvl w:val="1"/>
        <w:rPr>
          <w:rFonts w:ascii="宋体" w:eastAsia="宋体" w:hAnsi="宋体" w:cs="宋体"/>
          <w:b/>
          <w:bCs/>
          <w:szCs w:val="21"/>
        </w:rPr>
      </w:pPr>
      <w:bookmarkStart w:id="19" w:name="_Toc527541659"/>
      <w:bookmarkEnd w:id="18"/>
      <w:r w:rsidRPr="000D762E">
        <w:rPr>
          <w:rFonts w:ascii="宋体" w:eastAsia="宋体" w:hAnsi="宋体" w:cs="宋体" w:hint="eastAsia"/>
          <w:b/>
          <w:bCs/>
          <w:szCs w:val="21"/>
        </w:rPr>
        <w:t>六、图纸</w:t>
      </w:r>
      <w:bookmarkEnd w:id="19"/>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hint="eastAsia"/>
          <w:szCs w:val="21"/>
        </w:rPr>
        <w:t>另行发放。</w:t>
      </w:r>
    </w:p>
    <w:p w:rsidR="000D762E" w:rsidRPr="000D762E" w:rsidRDefault="000D762E" w:rsidP="000D762E">
      <w:pPr>
        <w:keepNext/>
        <w:keepLines/>
        <w:adjustRightInd w:val="0"/>
        <w:snapToGrid w:val="0"/>
        <w:spacing w:line="360" w:lineRule="auto"/>
        <w:outlineLvl w:val="1"/>
        <w:rPr>
          <w:rFonts w:ascii="宋体" w:eastAsia="宋体" w:hAnsi="宋体" w:cs="宋体"/>
          <w:b/>
          <w:bCs/>
          <w:szCs w:val="21"/>
        </w:rPr>
      </w:pPr>
      <w:r w:rsidRPr="000D762E">
        <w:rPr>
          <w:rFonts w:ascii="宋体" w:eastAsia="宋体" w:hAnsi="宋体" w:cs="宋体" w:hint="eastAsia"/>
          <w:b/>
          <w:bCs/>
          <w:szCs w:val="21"/>
        </w:rPr>
        <w:t>七</w:t>
      </w:r>
      <w:r w:rsidRPr="000D762E">
        <w:rPr>
          <w:rFonts w:ascii="宋体" w:eastAsia="宋体" w:hAnsi="宋体" w:cs="宋体"/>
          <w:b/>
          <w:bCs/>
          <w:szCs w:val="21"/>
        </w:rPr>
        <w:t>、其他要求</w:t>
      </w:r>
    </w:p>
    <w:p w:rsidR="000D762E" w:rsidRPr="000D762E" w:rsidRDefault="000D762E" w:rsidP="000D762E">
      <w:pPr>
        <w:adjustRightInd w:val="0"/>
        <w:snapToGrid w:val="0"/>
        <w:spacing w:line="360" w:lineRule="auto"/>
        <w:ind w:firstLine="480"/>
        <w:rPr>
          <w:rFonts w:ascii="宋体" w:eastAsia="宋体" w:hAnsi="宋体" w:cs="宋体"/>
          <w:szCs w:val="21"/>
        </w:rPr>
      </w:pPr>
      <w:r w:rsidRPr="000D762E">
        <w:rPr>
          <w:rFonts w:ascii="宋体" w:eastAsia="宋体" w:hAnsi="宋体" w:cs="宋体" w:hint="eastAsia"/>
          <w:szCs w:val="21"/>
        </w:rPr>
        <w:t>供应商须具有本地化服务能力，本地化服务的能力是指具有以下条件：</w:t>
      </w:r>
    </w:p>
    <w:p w:rsidR="000D762E" w:rsidRPr="000D762E" w:rsidRDefault="000D762E" w:rsidP="000D762E">
      <w:pPr>
        <w:adjustRightInd w:val="0"/>
        <w:snapToGrid w:val="0"/>
        <w:spacing w:line="360" w:lineRule="auto"/>
        <w:ind w:firstLine="480"/>
        <w:rPr>
          <w:rFonts w:ascii="宋体" w:eastAsia="宋体" w:hAnsi="宋体" w:cs="宋体"/>
          <w:szCs w:val="21"/>
        </w:rPr>
      </w:pPr>
      <w:r w:rsidRPr="000D762E">
        <w:rPr>
          <w:rFonts w:ascii="宋体" w:eastAsia="宋体" w:hAnsi="宋体" w:cs="宋体"/>
          <w:szCs w:val="21"/>
        </w:rPr>
        <w:t>1、在本地具有固定的办公场所及人员；</w:t>
      </w:r>
    </w:p>
    <w:p w:rsidR="000D762E" w:rsidRPr="000D762E" w:rsidRDefault="000D762E" w:rsidP="000D762E">
      <w:pPr>
        <w:adjustRightInd w:val="0"/>
        <w:snapToGrid w:val="0"/>
        <w:spacing w:line="360" w:lineRule="auto"/>
        <w:ind w:firstLine="480"/>
        <w:rPr>
          <w:rFonts w:ascii="宋体" w:eastAsia="宋体" w:hAnsi="宋体" w:cs="宋体"/>
          <w:szCs w:val="21"/>
        </w:rPr>
      </w:pPr>
      <w:r w:rsidRPr="000D762E">
        <w:rPr>
          <w:rFonts w:ascii="宋体" w:eastAsia="宋体" w:hAnsi="宋体" w:cs="宋体"/>
          <w:szCs w:val="21"/>
        </w:rPr>
        <w:t>2、在本地具有固定的合作伙伴；</w:t>
      </w:r>
    </w:p>
    <w:p w:rsidR="000D762E" w:rsidRPr="000D762E" w:rsidRDefault="000D762E" w:rsidP="000D762E">
      <w:pPr>
        <w:adjustRightInd w:val="0"/>
        <w:snapToGrid w:val="0"/>
        <w:spacing w:line="360" w:lineRule="auto"/>
        <w:ind w:firstLine="480"/>
        <w:rPr>
          <w:rFonts w:ascii="宋体" w:eastAsia="宋体" w:hAnsi="宋体" w:cs="宋体"/>
          <w:szCs w:val="21"/>
        </w:rPr>
      </w:pPr>
      <w:r w:rsidRPr="000D762E">
        <w:rPr>
          <w:rFonts w:ascii="宋体" w:eastAsia="宋体" w:hAnsi="宋体" w:cs="宋体"/>
          <w:szCs w:val="21"/>
        </w:rPr>
        <w:t>3、供应商在本地注册成立的；</w:t>
      </w:r>
    </w:p>
    <w:p w:rsidR="000D762E" w:rsidRPr="000D762E" w:rsidRDefault="000D762E" w:rsidP="000D762E">
      <w:pPr>
        <w:adjustRightInd w:val="0"/>
        <w:snapToGrid w:val="0"/>
        <w:spacing w:line="360" w:lineRule="auto"/>
        <w:ind w:firstLine="480"/>
        <w:rPr>
          <w:rFonts w:ascii="宋体" w:eastAsia="宋体" w:hAnsi="宋体" w:cs="宋体" w:hint="eastAsia"/>
          <w:szCs w:val="21"/>
        </w:rPr>
      </w:pPr>
      <w:r w:rsidRPr="000D762E">
        <w:rPr>
          <w:rFonts w:ascii="宋体" w:eastAsia="宋体" w:hAnsi="宋体" w:cs="宋体"/>
          <w:szCs w:val="21"/>
        </w:rPr>
        <w:t>4、承诺成交即设立本地化服务机构。</w:t>
      </w:r>
    </w:p>
    <w:p w:rsidR="00C91FCD" w:rsidRDefault="000D762E" w:rsidP="000D762E">
      <w:r w:rsidRPr="000D762E">
        <w:rPr>
          <w:rFonts w:ascii="宋体" w:eastAsia="宋体" w:hAnsi="宋体" w:cs="宋体" w:hint="eastAsia"/>
          <w:szCs w:val="21"/>
        </w:rPr>
        <w:t>备注：“本地”系指：项目所在地。</w:t>
      </w:r>
    </w:p>
    <w:sectPr w:rsidR="00C91F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FCD" w:rsidRDefault="00C91FCD" w:rsidP="000D762E">
      <w:r>
        <w:separator/>
      </w:r>
    </w:p>
  </w:endnote>
  <w:endnote w:type="continuationSeparator" w:id="1">
    <w:p w:rsidR="00C91FCD" w:rsidRDefault="00C91FCD" w:rsidP="000D7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157"/>
      <w:docPartObj>
        <w:docPartGallery w:val="Page Numbers (Bottom of Page)"/>
        <w:docPartUnique/>
      </w:docPartObj>
    </w:sdtPr>
    <w:sdtContent>
      <w:p w:rsidR="000D762E" w:rsidRDefault="000D762E">
        <w:pPr>
          <w:pStyle w:val="a4"/>
          <w:jc w:val="center"/>
        </w:pPr>
        <w:fldSimple w:instr=" PAGE   \* MERGEFORMAT ">
          <w:r w:rsidRPr="000D762E">
            <w:rPr>
              <w:noProof/>
              <w:lang w:val="zh-CN"/>
            </w:rPr>
            <w:t>1</w:t>
          </w:r>
        </w:fldSimple>
      </w:p>
    </w:sdtContent>
  </w:sdt>
  <w:p w:rsidR="000D762E" w:rsidRDefault="000D76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FCD" w:rsidRDefault="00C91FCD" w:rsidP="000D762E">
      <w:r>
        <w:separator/>
      </w:r>
    </w:p>
  </w:footnote>
  <w:footnote w:type="continuationSeparator" w:id="1">
    <w:p w:rsidR="00C91FCD" w:rsidRDefault="00C91FCD" w:rsidP="000D76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B16A7"/>
    <w:multiLevelType w:val="multilevel"/>
    <w:tmpl w:val="2FDB16A7"/>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62E"/>
    <w:rsid w:val="000D762E"/>
    <w:rsid w:val="00C91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76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762E"/>
    <w:rPr>
      <w:sz w:val="18"/>
      <w:szCs w:val="18"/>
    </w:rPr>
  </w:style>
  <w:style w:type="paragraph" w:styleId="a4">
    <w:name w:val="footer"/>
    <w:basedOn w:val="a"/>
    <w:link w:val="Char0"/>
    <w:uiPriority w:val="99"/>
    <w:unhideWhenUsed/>
    <w:rsid w:val="000D762E"/>
    <w:pPr>
      <w:tabs>
        <w:tab w:val="center" w:pos="4153"/>
        <w:tab w:val="right" w:pos="8306"/>
      </w:tabs>
      <w:snapToGrid w:val="0"/>
      <w:jc w:val="left"/>
    </w:pPr>
    <w:rPr>
      <w:sz w:val="18"/>
      <w:szCs w:val="18"/>
    </w:rPr>
  </w:style>
  <w:style w:type="character" w:customStyle="1" w:styleId="Char0">
    <w:name w:val="页脚 Char"/>
    <w:basedOn w:val="a0"/>
    <w:link w:val="a4"/>
    <w:uiPriority w:val="99"/>
    <w:rsid w:val="000D76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3145</Characters>
  <Application>Microsoft Office Word</Application>
  <DocSecurity>0</DocSecurity>
  <Lines>131</Lines>
  <Paragraphs>161</Paragraphs>
  <ScaleCrop>false</ScaleCrop>
  <Company>Microsoft</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初审-Lezzy</dc:creator>
  <cp:keywords/>
  <dc:description/>
  <cp:lastModifiedBy>初审-Lezzy</cp:lastModifiedBy>
  <cp:revision>2</cp:revision>
  <dcterms:created xsi:type="dcterms:W3CDTF">2022-09-23T04:31:00Z</dcterms:created>
  <dcterms:modified xsi:type="dcterms:W3CDTF">2022-09-23T04:31:00Z</dcterms:modified>
</cp:coreProperties>
</file>