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54" w:rsidRDefault="00FE7354" w:rsidP="00FE7354">
      <w:pPr>
        <w:pStyle w:val="1"/>
        <w:adjustRightInd w:val="0"/>
        <w:snapToGrid w:val="0"/>
        <w:spacing w:before="0" w:after="0" w:line="360" w:lineRule="auto"/>
        <w:jc w:val="center"/>
        <w:rPr>
          <w:rFonts w:ascii="仿宋" w:eastAsia="仿宋" w:hAnsi="仿宋" w:hint="eastAsia"/>
        </w:rPr>
      </w:pPr>
      <w:r>
        <w:rPr>
          <w:rFonts w:ascii="仿宋" w:eastAsia="仿宋" w:hAnsi="仿宋"/>
        </w:rPr>
        <w:t>采购需求</w:t>
      </w:r>
    </w:p>
    <w:p w:rsidR="00FE7354" w:rsidRDefault="00FE7354" w:rsidP="00FE7354">
      <w:pPr>
        <w:keepNext/>
        <w:keepLines/>
        <w:adjustRightInd w:val="0"/>
        <w:snapToGrid w:val="0"/>
        <w:spacing w:line="560" w:lineRule="exact"/>
        <w:jc w:val="center"/>
        <w:outlineLvl w:val="0"/>
        <w:rPr>
          <w:rFonts w:eastAsia="仿宋"/>
          <w:b/>
          <w:kern w:val="44"/>
          <w:sz w:val="40"/>
          <w:szCs w:val="44"/>
        </w:rPr>
      </w:pPr>
      <w:r>
        <w:rPr>
          <w:rFonts w:eastAsia="仿宋" w:hAnsi="仿宋"/>
          <w:b/>
          <w:kern w:val="44"/>
          <w:sz w:val="40"/>
          <w:szCs w:val="44"/>
          <w:lang/>
        </w:rPr>
        <w:t>第一部分</w:t>
      </w:r>
      <w:r>
        <w:rPr>
          <w:rFonts w:eastAsia="仿宋"/>
          <w:b/>
          <w:kern w:val="44"/>
          <w:sz w:val="40"/>
          <w:szCs w:val="44"/>
          <w:lang/>
        </w:rPr>
        <w:t xml:space="preserve">  </w:t>
      </w:r>
      <w:r>
        <w:rPr>
          <w:rFonts w:eastAsia="仿宋" w:hAnsi="仿宋"/>
          <w:b/>
          <w:kern w:val="44"/>
          <w:sz w:val="40"/>
          <w:szCs w:val="44"/>
          <w:lang/>
        </w:rPr>
        <w:t>项目概况</w:t>
      </w:r>
    </w:p>
    <w:p w:rsidR="00FE7354" w:rsidRDefault="00FE7354" w:rsidP="00FE7354">
      <w:pPr>
        <w:rPr>
          <w:rFonts w:eastAsia="仿宋"/>
          <w:sz w:val="20"/>
        </w:rPr>
      </w:pPr>
    </w:p>
    <w:p w:rsidR="00FE7354" w:rsidRDefault="00FE7354" w:rsidP="00FE7354">
      <w:pPr>
        <w:adjustRightInd w:val="0"/>
        <w:snapToGrid w:val="0"/>
        <w:spacing w:line="560" w:lineRule="exact"/>
        <w:ind w:firstLineChars="200" w:firstLine="560"/>
        <w:rPr>
          <w:rFonts w:eastAsia="仿宋"/>
          <w:sz w:val="28"/>
          <w:szCs w:val="32"/>
        </w:rPr>
      </w:pPr>
      <w:r>
        <w:rPr>
          <w:rFonts w:eastAsia="仿宋" w:hAnsi="仿宋"/>
          <w:sz w:val="28"/>
          <w:szCs w:val="32"/>
        </w:rPr>
        <w:t>安徽省科技馆项目位于合肥市</w:t>
      </w:r>
      <w:proofErr w:type="gramStart"/>
      <w:r>
        <w:rPr>
          <w:rFonts w:eastAsia="仿宋" w:hAnsi="仿宋"/>
          <w:sz w:val="28"/>
          <w:szCs w:val="32"/>
        </w:rPr>
        <w:t>滨湖新区</w:t>
      </w:r>
      <w:proofErr w:type="gramEnd"/>
      <w:r>
        <w:rPr>
          <w:rFonts w:eastAsia="仿宋" w:hAnsi="仿宋"/>
          <w:sz w:val="28"/>
          <w:szCs w:val="32"/>
        </w:rPr>
        <w:t>环湖北路与香港路交口东北角，总用地面积</w:t>
      </w:r>
      <w:r>
        <w:rPr>
          <w:rFonts w:eastAsia="仿宋"/>
          <w:sz w:val="28"/>
          <w:szCs w:val="32"/>
        </w:rPr>
        <w:t>75</w:t>
      </w:r>
      <w:r>
        <w:rPr>
          <w:rFonts w:eastAsia="仿宋" w:hAnsi="仿宋"/>
          <w:sz w:val="28"/>
          <w:szCs w:val="32"/>
        </w:rPr>
        <w:t>亩，总建筑面积</w:t>
      </w:r>
      <w:r>
        <w:rPr>
          <w:rFonts w:eastAsia="仿宋"/>
          <w:sz w:val="28"/>
          <w:szCs w:val="32"/>
        </w:rPr>
        <w:t>6</w:t>
      </w:r>
      <w:r>
        <w:rPr>
          <w:rFonts w:eastAsia="仿宋" w:hAnsi="仿宋"/>
          <w:sz w:val="28"/>
          <w:szCs w:val="32"/>
        </w:rPr>
        <w:t>万平方米，其中省科技馆部分</w:t>
      </w:r>
      <w:r>
        <w:rPr>
          <w:rFonts w:eastAsia="仿宋"/>
          <w:sz w:val="28"/>
          <w:szCs w:val="32"/>
        </w:rPr>
        <w:t>5</w:t>
      </w:r>
      <w:r>
        <w:rPr>
          <w:rFonts w:eastAsia="仿宋" w:hAnsi="仿宋"/>
          <w:sz w:val="28"/>
          <w:szCs w:val="32"/>
        </w:rPr>
        <w:t>万平方米；省青少年科技活动中心部分</w:t>
      </w:r>
      <w:r>
        <w:rPr>
          <w:rFonts w:eastAsia="仿宋"/>
          <w:sz w:val="28"/>
          <w:szCs w:val="32"/>
        </w:rPr>
        <w:t>1</w:t>
      </w:r>
      <w:r>
        <w:rPr>
          <w:rFonts w:eastAsia="仿宋" w:hAnsi="仿宋"/>
          <w:sz w:val="28"/>
          <w:szCs w:val="32"/>
        </w:rPr>
        <w:t>万平方米。省青少年</w:t>
      </w:r>
      <w:r w:rsidRPr="002F1062">
        <w:rPr>
          <w:rFonts w:eastAsia="仿宋" w:hAnsi="仿宋"/>
          <w:sz w:val="28"/>
          <w:szCs w:val="32"/>
        </w:rPr>
        <w:t>科技活动</w:t>
      </w:r>
      <w:r>
        <w:rPr>
          <w:rFonts w:eastAsia="仿宋" w:hAnsi="仿宋"/>
          <w:sz w:val="28"/>
          <w:szCs w:val="32"/>
        </w:rPr>
        <w:t>中心位于安徽省科技馆项目主体建筑内的四层和五层部分区域，总面积</w:t>
      </w:r>
      <w:r>
        <w:rPr>
          <w:rFonts w:eastAsia="仿宋"/>
          <w:sz w:val="28"/>
          <w:szCs w:val="32"/>
        </w:rPr>
        <w:t>7640</w:t>
      </w:r>
      <w:r>
        <w:rPr>
          <w:rFonts w:eastAsia="仿宋" w:hAnsi="仿宋"/>
          <w:sz w:val="28"/>
          <w:szCs w:val="32"/>
        </w:rPr>
        <w:t>平方米。四层为</w:t>
      </w:r>
      <w:r>
        <w:rPr>
          <w:rFonts w:eastAsia="仿宋"/>
          <w:sz w:val="28"/>
          <w:szCs w:val="32"/>
        </w:rPr>
        <w:t>“</w:t>
      </w:r>
      <w:r>
        <w:rPr>
          <w:rFonts w:eastAsia="仿宋" w:hAnsi="仿宋"/>
          <w:sz w:val="28"/>
          <w:szCs w:val="32"/>
        </w:rPr>
        <w:t>协同</w:t>
      </w:r>
      <w:r>
        <w:rPr>
          <w:rFonts w:eastAsia="仿宋"/>
          <w:sz w:val="28"/>
          <w:szCs w:val="32"/>
        </w:rPr>
        <w:t>·</w:t>
      </w:r>
      <w:r>
        <w:rPr>
          <w:rFonts w:eastAsia="仿宋" w:hAnsi="仿宋"/>
          <w:sz w:val="28"/>
          <w:szCs w:val="32"/>
        </w:rPr>
        <w:t>启智</w:t>
      </w:r>
      <w:r>
        <w:rPr>
          <w:rFonts w:eastAsia="仿宋"/>
          <w:sz w:val="28"/>
          <w:szCs w:val="32"/>
        </w:rPr>
        <w:t>”</w:t>
      </w:r>
      <w:r>
        <w:rPr>
          <w:rFonts w:eastAsia="仿宋" w:hAnsi="仿宋"/>
          <w:sz w:val="28"/>
          <w:szCs w:val="32"/>
        </w:rPr>
        <w:t>主题，设置《科普强基》《科创引路》《科教共育》《开放式教育活动空间》四大科技教育活动区；五层设置</w:t>
      </w:r>
      <w:r>
        <w:rPr>
          <w:rFonts w:eastAsia="仿宋"/>
          <w:sz w:val="28"/>
          <w:szCs w:val="32"/>
        </w:rPr>
        <w:t>“</w:t>
      </w:r>
      <w:r>
        <w:rPr>
          <w:rFonts w:eastAsia="仿宋" w:hAnsi="仿宋"/>
          <w:sz w:val="28"/>
          <w:szCs w:val="32"/>
        </w:rPr>
        <w:t>前行</w:t>
      </w:r>
      <w:r>
        <w:rPr>
          <w:rFonts w:eastAsia="仿宋"/>
          <w:sz w:val="28"/>
          <w:szCs w:val="32"/>
        </w:rPr>
        <w:t>·</w:t>
      </w:r>
      <w:r>
        <w:rPr>
          <w:rFonts w:eastAsia="仿宋" w:hAnsi="仿宋"/>
          <w:sz w:val="28"/>
          <w:szCs w:val="32"/>
        </w:rPr>
        <w:t>问天</w:t>
      </w:r>
      <w:r>
        <w:rPr>
          <w:rFonts w:eastAsia="仿宋"/>
          <w:sz w:val="28"/>
          <w:szCs w:val="32"/>
        </w:rPr>
        <w:t>”</w:t>
      </w:r>
      <w:r>
        <w:rPr>
          <w:rFonts w:eastAsia="仿宋" w:hAnsi="仿宋"/>
          <w:sz w:val="28"/>
          <w:szCs w:val="32"/>
        </w:rPr>
        <w:t>主题教育活动区。</w:t>
      </w:r>
    </w:p>
    <w:p w:rsidR="00FE7354" w:rsidRDefault="00FE7354" w:rsidP="00FE7354">
      <w:pPr>
        <w:adjustRightInd w:val="0"/>
        <w:snapToGrid w:val="0"/>
        <w:spacing w:line="560" w:lineRule="exact"/>
        <w:ind w:firstLineChars="200" w:firstLine="560"/>
        <w:rPr>
          <w:rFonts w:eastAsia="仿宋"/>
          <w:sz w:val="28"/>
          <w:szCs w:val="32"/>
        </w:rPr>
      </w:pPr>
      <w:r>
        <w:rPr>
          <w:rFonts w:eastAsia="仿宋" w:hAnsi="仿宋"/>
          <w:sz w:val="28"/>
          <w:szCs w:val="32"/>
        </w:rPr>
        <w:t>按照功能合理划分为四个标段满足五个教育活动区的设计需求，如下表：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"/>
        <w:gridCol w:w="5994"/>
        <w:gridCol w:w="2136"/>
      </w:tblGrid>
      <w:tr w:rsidR="00FE7354" w:rsidTr="000774DF">
        <w:trPr>
          <w:trHeight w:val="597"/>
          <w:jc w:val="center"/>
        </w:trPr>
        <w:tc>
          <w:tcPr>
            <w:tcW w:w="760" w:type="dxa"/>
            <w:vAlign w:val="center"/>
          </w:tcPr>
          <w:p w:rsidR="00FE7354" w:rsidRDefault="00FE7354" w:rsidP="000774DF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标段</w:t>
            </w:r>
          </w:p>
        </w:tc>
        <w:tc>
          <w:tcPr>
            <w:tcW w:w="5994" w:type="dxa"/>
            <w:vAlign w:val="center"/>
          </w:tcPr>
          <w:p w:rsidR="00FE7354" w:rsidRDefault="00FE7354" w:rsidP="000774DF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标段名称</w:t>
            </w:r>
          </w:p>
        </w:tc>
        <w:tc>
          <w:tcPr>
            <w:tcW w:w="2136" w:type="dxa"/>
            <w:vAlign w:val="center"/>
          </w:tcPr>
          <w:p w:rsidR="00FE7354" w:rsidRDefault="00FE7354" w:rsidP="000774DF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最高限价（元）</w:t>
            </w:r>
          </w:p>
        </w:tc>
      </w:tr>
      <w:tr w:rsidR="00FE7354" w:rsidTr="000774DF">
        <w:trPr>
          <w:trHeight w:val="597"/>
          <w:jc w:val="center"/>
        </w:trPr>
        <w:tc>
          <w:tcPr>
            <w:tcW w:w="760" w:type="dxa"/>
            <w:vAlign w:val="center"/>
          </w:tcPr>
          <w:p w:rsidR="00FE7354" w:rsidRDefault="00FE7354" w:rsidP="000774DF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11</w:t>
            </w:r>
          </w:p>
        </w:tc>
        <w:tc>
          <w:tcPr>
            <w:tcW w:w="5994" w:type="dxa"/>
            <w:vAlign w:val="center"/>
          </w:tcPr>
          <w:p w:rsidR="00FE7354" w:rsidRDefault="00FE7354" w:rsidP="000774DF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内容资源深化设计、研发、推广一体化服务</w:t>
            </w:r>
          </w:p>
        </w:tc>
        <w:tc>
          <w:tcPr>
            <w:tcW w:w="2136" w:type="dxa"/>
            <w:vAlign w:val="center"/>
          </w:tcPr>
          <w:p w:rsidR="00FE7354" w:rsidRDefault="00FE7354" w:rsidP="000774DF">
            <w:pPr>
              <w:spacing w:line="360" w:lineRule="auto"/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14823500</w:t>
            </w:r>
          </w:p>
        </w:tc>
      </w:tr>
      <w:tr w:rsidR="00FE7354" w:rsidTr="000774DF">
        <w:trPr>
          <w:trHeight w:val="597"/>
          <w:jc w:val="center"/>
        </w:trPr>
        <w:tc>
          <w:tcPr>
            <w:tcW w:w="760" w:type="dxa"/>
            <w:vAlign w:val="center"/>
          </w:tcPr>
          <w:p w:rsidR="00FE7354" w:rsidRDefault="00FE7354" w:rsidP="000774DF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12</w:t>
            </w:r>
          </w:p>
        </w:tc>
        <w:tc>
          <w:tcPr>
            <w:tcW w:w="5994" w:type="dxa"/>
            <w:vAlign w:val="center"/>
          </w:tcPr>
          <w:p w:rsidR="00FE7354" w:rsidRDefault="00FE7354" w:rsidP="000774DF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定制设备研制安装一体化服务</w:t>
            </w:r>
          </w:p>
        </w:tc>
        <w:tc>
          <w:tcPr>
            <w:tcW w:w="2136" w:type="dxa"/>
            <w:vAlign w:val="center"/>
          </w:tcPr>
          <w:p w:rsidR="00FE7354" w:rsidRDefault="00FE7354" w:rsidP="000774DF">
            <w:pPr>
              <w:spacing w:line="360" w:lineRule="auto"/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16963855</w:t>
            </w:r>
          </w:p>
        </w:tc>
      </w:tr>
      <w:tr w:rsidR="00FE7354" w:rsidTr="000774DF">
        <w:trPr>
          <w:trHeight w:val="597"/>
          <w:jc w:val="center"/>
        </w:trPr>
        <w:tc>
          <w:tcPr>
            <w:tcW w:w="760" w:type="dxa"/>
            <w:vAlign w:val="center"/>
          </w:tcPr>
          <w:p w:rsidR="00FE7354" w:rsidRDefault="00FE7354" w:rsidP="000774DF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</w:t>
            </w:r>
          </w:p>
        </w:tc>
        <w:tc>
          <w:tcPr>
            <w:tcW w:w="5994" w:type="dxa"/>
            <w:vAlign w:val="center"/>
          </w:tcPr>
          <w:p w:rsidR="00FE7354" w:rsidRDefault="00FE7354" w:rsidP="000774DF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实验类、通用类及辅助类设备深化设计采购安装一体化</w:t>
            </w:r>
            <w:r>
              <w:rPr>
                <w:rFonts w:eastAsia="仿宋" w:hAnsi="仿宋"/>
                <w:color w:val="FF0000"/>
                <w:sz w:val="24"/>
              </w:rPr>
              <w:t>（另行招标）</w:t>
            </w:r>
          </w:p>
        </w:tc>
        <w:tc>
          <w:tcPr>
            <w:tcW w:w="2136" w:type="dxa"/>
            <w:vAlign w:val="center"/>
          </w:tcPr>
          <w:p w:rsidR="00FE7354" w:rsidRDefault="00FE7354" w:rsidP="000774DF">
            <w:pPr>
              <w:spacing w:line="360" w:lineRule="auto"/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28785031</w:t>
            </w:r>
          </w:p>
        </w:tc>
      </w:tr>
      <w:tr w:rsidR="00FE7354" w:rsidTr="000774DF">
        <w:trPr>
          <w:trHeight w:val="597"/>
          <w:jc w:val="center"/>
        </w:trPr>
        <w:tc>
          <w:tcPr>
            <w:tcW w:w="760" w:type="dxa"/>
            <w:vAlign w:val="center"/>
          </w:tcPr>
          <w:p w:rsidR="00FE7354" w:rsidRDefault="00FE7354" w:rsidP="000774DF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</w:t>
            </w:r>
          </w:p>
        </w:tc>
        <w:tc>
          <w:tcPr>
            <w:tcW w:w="5994" w:type="dxa"/>
            <w:vAlign w:val="center"/>
          </w:tcPr>
          <w:p w:rsidR="00FE7354" w:rsidRDefault="00FE7354" w:rsidP="000774DF">
            <w:pPr>
              <w:keepNext/>
              <w:keepLines/>
              <w:spacing w:line="360" w:lineRule="auto"/>
              <w:jc w:val="center"/>
              <w:outlineLvl w:val="1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辅助设备和环境文化深化设计、采购安装及服务一体化</w:t>
            </w:r>
          </w:p>
          <w:p w:rsidR="00FE7354" w:rsidRDefault="00FE7354" w:rsidP="000774DF">
            <w:pPr>
              <w:pStyle w:val="2"/>
              <w:numPr>
                <w:ilvl w:val="0"/>
                <w:numId w:val="0"/>
              </w:numPr>
              <w:tabs>
                <w:tab w:val="left" w:pos="780"/>
              </w:tabs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color w:val="FF0000"/>
                <w:sz w:val="24"/>
              </w:rPr>
              <w:t>（另行招标）</w:t>
            </w:r>
          </w:p>
        </w:tc>
        <w:tc>
          <w:tcPr>
            <w:tcW w:w="2136" w:type="dxa"/>
            <w:vAlign w:val="center"/>
          </w:tcPr>
          <w:p w:rsidR="00FE7354" w:rsidRDefault="00FE7354" w:rsidP="000774DF">
            <w:pPr>
              <w:spacing w:line="360" w:lineRule="auto"/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22142364</w:t>
            </w:r>
          </w:p>
        </w:tc>
      </w:tr>
    </w:tbl>
    <w:p w:rsidR="00C26C8F" w:rsidRDefault="00C26C8F"/>
    <w:sectPr w:rsidR="00C26C8F" w:rsidSect="00C26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659FEF"/>
    <w:multiLevelType w:val="singleLevel"/>
    <w:tmpl w:val="F3659FEF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354"/>
    <w:rsid w:val="0015569D"/>
    <w:rsid w:val="0017513B"/>
    <w:rsid w:val="001E6082"/>
    <w:rsid w:val="002841F6"/>
    <w:rsid w:val="0029107E"/>
    <w:rsid w:val="00651B93"/>
    <w:rsid w:val="00793BC4"/>
    <w:rsid w:val="008D7A80"/>
    <w:rsid w:val="009479A1"/>
    <w:rsid w:val="00BD650B"/>
    <w:rsid w:val="00C26C8F"/>
    <w:rsid w:val="00E40EB8"/>
    <w:rsid w:val="00EB698F"/>
    <w:rsid w:val="00EE001E"/>
    <w:rsid w:val="00F35CBC"/>
    <w:rsid w:val="00FE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E73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E73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E735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List Bullet 2"/>
    <w:basedOn w:val="a"/>
    <w:rsid w:val="00FE7354"/>
    <w:pPr>
      <w:numPr>
        <w:numId w:val="1"/>
      </w:numPr>
      <w:tabs>
        <w:tab w:val="left" w:pos="78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初审-秦帅</dc:creator>
  <cp:lastModifiedBy>初审-秦帅</cp:lastModifiedBy>
  <cp:revision>1</cp:revision>
  <dcterms:created xsi:type="dcterms:W3CDTF">2022-11-29T12:24:00Z</dcterms:created>
  <dcterms:modified xsi:type="dcterms:W3CDTF">2022-11-29T12:24:00Z</dcterms:modified>
</cp:coreProperties>
</file>