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156" w:beforeLines="50" w:after="156" w:afterLines="50"/>
        <w:ind w:right="265" w:rightChars="126"/>
        <w:jc w:val="center"/>
        <w:rPr>
          <w:rFonts w:hint="eastAsia" w:ascii="Arial" w:hAnsi="Arial" w:cs="Arial"/>
          <w:b/>
          <w:bCs/>
          <w:sz w:val="80"/>
          <w:szCs w:val="80"/>
        </w:rPr>
      </w:pPr>
      <w:bookmarkStart w:id="0" w:name="_Hlk9544796"/>
    </w:p>
    <w:p>
      <w:pPr>
        <w:tabs>
          <w:tab w:val="left" w:pos="315"/>
          <w:tab w:val="left" w:pos="8820"/>
        </w:tabs>
        <w:spacing w:before="156" w:beforeLines="50" w:after="156" w:afterLines="50"/>
        <w:ind w:right="265" w:rightChars="126"/>
        <w:jc w:val="center"/>
        <w:rPr>
          <w:rFonts w:ascii="Arial" w:hAnsi="Arial" w:cs="Arial"/>
          <w:b/>
          <w:bCs/>
          <w:sz w:val="96"/>
          <w:szCs w:val="96"/>
        </w:rPr>
      </w:pPr>
      <w:r>
        <w:rPr>
          <w:rFonts w:hint="eastAsia" w:ascii="Arial" w:hAnsi="Arial" w:cs="Arial"/>
          <w:b/>
          <w:bCs/>
          <w:sz w:val="96"/>
          <w:szCs w:val="96"/>
        </w:rPr>
        <w:t>招</w:t>
      </w:r>
      <w:r>
        <w:rPr>
          <w:rFonts w:ascii="Arial" w:hAnsi="Arial" w:cs="Arial"/>
          <w:b/>
          <w:bCs/>
          <w:sz w:val="96"/>
          <w:szCs w:val="96"/>
        </w:rPr>
        <w:t xml:space="preserve"> </w:t>
      </w:r>
      <w:r>
        <w:rPr>
          <w:rFonts w:hint="eastAsia" w:ascii="Arial" w:hAnsi="Arial" w:cs="Arial"/>
          <w:b/>
          <w:bCs/>
          <w:sz w:val="96"/>
          <w:szCs w:val="96"/>
        </w:rPr>
        <w:t>标</w:t>
      </w:r>
      <w:r>
        <w:rPr>
          <w:rFonts w:ascii="Arial" w:hAnsi="Arial" w:cs="Arial"/>
          <w:b/>
          <w:bCs/>
          <w:sz w:val="96"/>
          <w:szCs w:val="96"/>
        </w:rPr>
        <w:t xml:space="preserve"> </w:t>
      </w:r>
      <w:r>
        <w:rPr>
          <w:rFonts w:hint="eastAsia" w:ascii="Arial" w:hAnsi="Arial" w:cs="Arial"/>
          <w:b/>
          <w:bCs/>
          <w:sz w:val="96"/>
          <w:szCs w:val="96"/>
        </w:rPr>
        <w:t>文</w:t>
      </w:r>
      <w:r>
        <w:rPr>
          <w:rFonts w:ascii="Arial" w:hAnsi="Arial" w:cs="Arial"/>
          <w:b/>
          <w:bCs/>
          <w:sz w:val="96"/>
          <w:szCs w:val="96"/>
        </w:rPr>
        <w:t xml:space="preserve"> </w:t>
      </w:r>
      <w:r>
        <w:rPr>
          <w:rFonts w:hint="eastAsia" w:ascii="Arial" w:hAnsi="Arial" w:cs="Arial"/>
          <w:b/>
          <w:bCs/>
          <w:sz w:val="96"/>
          <w:szCs w:val="96"/>
        </w:rPr>
        <w:t>件</w:t>
      </w:r>
    </w:p>
    <w:p>
      <w:pPr>
        <w:tabs>
          <w:tab w:val="left" w:pos="315"/>
          <w:tab w:val="left" w:pos="8820"/>
        </w:tabs>
        <w:spacing w:before="312" w:beforeLines="100" w:after="156" w:afterLines="50" w:line="500" w:lineRule="exact"/>
        <w:ind w:right="267" w:rightChars="127"/>
        <w:jc w:val="center"/>
        <w:rPr>
          <w:rFonts w:ascii="Arial" w:hAnsi="Arial" w:cs="Arial"/>
          <w:b/>
          <w:bCs/>
          <w:sz w:val="52"/>
          <w:szCs w:val="52"/>
        </w:rPr>
      </w:pPr>
      <w:r>
        <w:rPr>
          <w:rFonts w:hint="eastAsia" w:ascii="Arial" w:hAnsi="Arial" w:cs="Arial"/>
          <w:b/>
          <w:bCs/>
          <w:sz w:val="52"/>
          <w:szCs w:val="52"/>
        </w:rPr>
        <w:t>（货物类）</w:t>
      </w:r>
    </w:p>
    <w:p>
      <w:pPr>
        <w:tabs>
          <w:tab w:val="left" w:pos="315"/>
          <w:tab w:val="left" w:pos="8820"/>
        </w:tabs>
        <w:spacing w:before="312" w:beforeLines="100" w:after="156" w:afterLines="50" w:line="360" w:lineRule="auto"/>
        <w:ind w:right="267" w:rightChars="127"/>
        <w:jc w:val="center"/>
        <w:rPr>
          <w:rFonts w:ascii="Arial" w:hAnsi="Arial" w:cs="Arial"/>
          <w:b/>
          <w:bCs/>
          <w:sz w:val="24"/>
          <w:szCs w:val="24"/>
        </w:rPr>
      </w:pPr>
    </w:p>
    <w:p>
      <w:pPr>
        <w:pStyle w:val="2"/>
        <w:rPr>
          <w:rFonts w:ascii="Arial" w:hAnsi="Arial" w:eastAsia="宋体" w:cs="Arial"/>
          <w:b/>
          <w:bCs/>
          <w:sz w:val="24"/>
          <w:szCs w:val="24"/>
        </w:rPr>
      </w:pPr>
    </w:p>
    <w:p>
      <w:pPr>
        <w:pStyle w:val="2"/>
        <w:rPr>
          <w:rFonts w:ascii="Arial" w:hAnsi="Arial" w:eastAsia="宋体" w:cs="Arial"/>
          <w:b/>
          <w:bCs/>
          <w:sz w:val="24"/>
          <w:szCs w:val="24"/>
        </w:rPr>
      </w:pPr>
    </w:p>
    <w:p>
      <w:pPr>
        <w:pStyle w:val="2"/>
        <w:rPr>
          <w:rFonts w:ascii="Arial" w:hAnsi="Arial" w:eastAsia="宋体" w:cs="Arial"/>
          <w:b/>
          <w:bCs/>
          <w:sz w:val="24"/>
          <w:szCs w:val="24"/>
        </w:rPr>
      </w:pPr>
    </w:p>
    <w:p>
      <w:pPr>
        <w:tabs>
          <w:tab w:val="left" w:pos="2410"/>
        </w:tabs>
        <w:autoSpaceDE w:val="0"/>
        <w:autoSpaceDN w:val="0"/>
        <w:adjustRightInd w:val="0"/>
        <w:snapToGrid w:val="0"/>
        <w:spacing w:line="360" w:lineRule="auto"/>
        <w:jc w:val="left"/>
        <w:rPr>
          <w:rFonts w:ascii="Arial" w:hAnsi="Arial" w:cs="Arial"/>
          <w:b/>
          <w:spacing w:val="20"/>
          <w:kern w:val="0"/>
          <w:sz w:val="32"/>
          <w:szCs w:val="32"/>
        </w:rPr>
      </w:pPr>
    </w:p>
    <w:p>
      <w:pPr>
        <w:tabs>
          <w:tab w:val="left" w:pos="2410"/>
        </w:tabs>
        <w:autoSpaceDE w:val="0"/>
        <w:autoSpaceDN w:val="0"/>
        <w:adjustRightInd w:val="0"/>
        <w:snapToGrid w:val="0"/>
        <w:spacing w:line="360" w:lineRule="auto"/>
        <w:jc w:val="left"/>
        <w:rPr>
          <w:rFonts w:ascii="Arial" w:hAnsi="Arial" w:cs="Arial"/>
          <w:b/>
          <w:spacing w:val="20"/>
          <w:kern w:val="0"/>
          <w:sz w:val="32"/>
          <w:szCs w:val="32"/>
        </w:rPr>
      </w:pPr>
    </w:p>
    <w:p>
      <w:pPr>
        <w:pStyle w:val="2"/>
      </w:pPr>
    </w:p>
    <w:p>
      <w:pPr>
        <w:tabs>
          <w:tab w:val="left" w:pos="2410"/>
        </w:tabs>
        <w:autoSpaceDE w:val="0"/>
        <w:autoSpaceDN w:val="0"/>
        <w:adjustRightInd w:val="0"/>
        <w:snapToGrid w:val="0"/>
        <w:spacing w:line="360" w:lineRule="auto"/>
        <w:jc w:val="left"/>
        <w:rPr>
          <w:rFonts w:ascii="Arial" w:hAnsi="Arial" w:cs="Arial"/>
          <w:b/>
          <w:spacing w:val="20"/>
          <w:kern w:val="0"/>
          <w:sz w:val="32"/>
          <w:szCs w:val="32"/>
        </w:rPr>
      </w:pPr>
    </w:p>
    <w:p>
      <w:pPr>
        <w:tabs>
          <w:tab w:val="left" w:pos="2410"/>
        </w:tabs>
        <w:autoSpaceDE w:val="0"/>
        <w:autoSpaceDN w:val="0"/>
        <w:adjustRightInd w:val="0"/>
        <w:snapToGrid w:val="0"/>
        <w:spacing w:line="360" w:lineRule="auto"/>
        <w:jc w:val="left"/>
        <w:rPr>
          <w:rFonts w:hint="eastAsia" w:ascii="Arial" w:hAnsi="Arial" w:eastAsia="宋体" w:cs="Arial"/>
          <w:b/>
          <w:kern w:val="0"/>
          <w:sz w:val="32"/>
          <w:szCs w:val="32"/>
          <w:lang w:eastAsia="zh-CN"/>
        </w:rPr>
      </w:pPr>
      <w:r>
        <w:rPr>
          <w:rFonts w:hint="eastAsia" w:ascii="Arial" w:hAnsi="Arial" w:cs="Arial"/>
          <w:b/>
          <w:spacing w:val="20"/>
          <w:kern w:val="0"/>
          <w:sz w:val="32"/>
          <w:szCs w:val="32"/>
        </w:rPr>
        <w:t xml:space="preserve">    项目名称：</w:t>
      </w:r>
      <w:r>
        <w:rPr>
          <w:rFonts w:hint="eastAsia" w:ascii="Arial" w:hAnsi="Arial" w:cs="Arial"/>
          <w:b/>
          <w:spacing w:val="-20"/>
          <w:kern w:val="0"/>
          <w:sz w:val="32"/>
          <w:szCs w:val="32"/>
          <w:lang w:eastAsia="zh-CN"/>
        </w:rPr>
        <w:t>安徽理工大学2023年高峰学科仪器设备购置项目（六）</w:t>
      </w:r>
    </w:p>
    <w:p>
      <w:pPr>
        <w:tabs>
          <w:tab w:val="left" w:pos="2410"/>
        </w:tabs>
        <w:autoSpaceDE w:val="0"/>
        <w:autoSpaceDN w:val="0"/>
        <w:adjustRightInd w:val="0"/>
        <w:snapToGrid w:val="0"/>
        <w:spacing w:line="360" w:lineRule="auto"/>
        <w:ind w:firstLine="800"/>
        <w:rPr>
          <w:rFonts w:hint="eastAsia" w:ascii="Arial" w:hAnsi="Arial" w:cs="Arial"/>
          <w:sz w:val="24"/>
          <w:szCs w:val="24"/>
        </w:rPr>
      </w:pPr>
      <w:r>
        <w:rPr>
          <w:rFonts w:hint="eastAsia" w:ascii="Arial" w:hAnsi="Arial" w:cs="Arial"/>
          <w:b/>
          <w:spacing w:val="20"/>
          <w:kern w:val="0"/>
          <w:sz w:val="32"/>
          <w:szCs w:val="32"/>
        </w:rPr>
        <w:t>项目编号：</w:t>
      </w:r>
      <w:r>
        <w:rPr>
          <w:rFonts w:hint="eastAsia" w:ascii="Arial" w:hAnsi="Arial" w:cs="Arial"/>
          <w:b/>
          <w:spacing w:val="20"/>
          <w:kern w:val="0"/>
          <w:sz w:val="32"/>
          <w:szCs w:val="32"/>
          <w:lang w:eastAsia="zh-CN"/>
        </w:rPr>
        <w:t>FSKY34000120236027</w:t>
      </w:r>
      <w:r>
        <w:rPr>
          <w:rFonts w:hint="eastAsia" w:ascii="Arial" w:hAnsi="Arial" w:cs="Arial"/>
          <w:b/>
          <w:spacing w:val="20"/>
          <w:kern w:val="0"/>
          <w:sz w:val="32"/>
          <w:szCs w:val="32"/>
        </w:rPr>
        <w:t>号</w:t>
      </w:r>
    </w:p>
    <w:p>
      <w:pPr>
        <w:tabs>
          <w:tab w:val="left" w:pos="2410"/>
        </w:tabs>
        <w:autoSpaceDE w:val="0"/>
        <w:autoSpaceDN w:val="0"/>
        <w:adjustRightInd w:val="0"/>
        <w:snapToGrid w:val="0"/>
        <w:spacing w:line="360" w:lineRule="auto"/>
        <w:ind w:firstLine="800"/>
        <w:rPr>
          <w:rFonts w:ascii="Arial" w:hAnsi="Arial" w:cs="Arial"/>
          <w:b/>
          <w:spacing w:val="20"/>
          <w:kern w:val="0"/>
          <w:sz w:val="32"/>
          <w:szCs w:val="32"/>
        </w:rPr>
      </w:pPr>
      <w:r>
        <w:rPr>
          <w:rFonts w:hint="eastAsia" w:ascii="Arial" w:hAnsi="Arial" w:cs="Arial"/>
          <w:b/>
          <w:spacing w:val="20"/>
          <w:kern w:val="0"/>
          <w:sz w:val="32"/>
          <w:szCs w:val="32"/>
        </w:rPr>
        <w:t>采</w:t>
      </w:r>
      <w:r>
        <w:rPr>
          <w:rFonts w:ascii="Arial" w:hAnsi="Arial" w:cs="Arial"/>
          <w:b/>
          <w:spacing w:val="20"/>
          <w:kern w:val="0"/>
          <w:sz w:val="32"/>
          <w:szCs w:val="32"/>
        </w:rPr>
        <w:t xml:space="preserve"> </w:t>
      </w:r>
      <w:r>
        <w:rPr>
          <w:rFonts w:hint="eastAsia" w:ascii="Arial" w:hAnsi="Arial" w:cs="Arial"/>
          <w:b/>
          <w:spacing w:val="20"/>
          <w:kern w:val="0"/>
          <w:sz w:val="32"/>
          <w:szCs w:val="32"/>
        </w:rPr>
        <w:t>购</w:t>
      </w:r>
      <w:r>
        <w:rPr>
          <w:rFonts w:ascii="Arial" w:hAnsi="Arial" w:cs="Arial"/>
          <w:b/>
          <w:spacing w:val="20"/>
          <w:kern w:val="0"/>
          <w:sz w:val="32"/>
          <w:szCs w:val="32"/>
        </w:rPr>
        <w:t xml:space="preserve"> </w:t>
      </w:r>
      <w:r>
        <w:rPr>
          <w:rFonts w:hint="eastAsia" w:ascii="Arial" w:hAnsi="Arial" w:cs="Arial"/>
          <w:b/>
          <w:spacing w:val="20"/>
          <w:kern w:val="0"/>
          <w:sz w:val="32"/>
          <w:szCs w:val="32"/>
        </w:rPr>
        <w:t>人：安徽理工大学</w:t>
      </w:r>
    </w:p>
    <w:p>
      <w:pPr>
        <w:tabs>
          <w:tab w:val="left" w:pos="2410"/>
        </w:tabs>
        <w:autoSpaceDE w:val="0"/>
        <w:autoSpaceDN w:val="0"/>
        <w:adjustRightInd w:val="0"/>
        <w:snapToGrid w:val="0"/>
        <w:spacing w:line="360" w:lineRule="auto"/>
        <w:jc w:val="center"/>
        <w:rPr>
          <w:rFonts w:hint="eastAsia" w:ascii="Arial" w:hAnsi="Arial" w:cs="Arial"/>
          <w:b/>
          <w:spacing w:val="20"/>
          <w:kern w:val="0"/>
          <w:sz w:val="32"/>
          <w:szCs w:val="32"/>
        </w:rPr>
      </w:pPr>
      <w:r>
        <w:rPr>
          <w:rFonts w:hint="eastAsia" w:ascii="Arial" w:hAnsi="Arial" w:cs="Arial"/>
          <w:b/>
          <w:spacing w:val="20"/>
          <w:kern w:val="0"/>
          <w:sz w:val="32"/>
          <w:szCs w:val="32"/>
        </w:rPr>
        <w:t>采购代理机构：淮南众信政府采购代理服务有限公司</w:t>
      </w:r>
    </w:p>
    <w:p>
      <w:pPr>
        <w:tabs>
          <w:tab w:val="left" w:pos="315"/>
          <w:tab w:val="left" w:pos="8820"/>
        </w:tabs>
        <w:spacing w:before="312" w:beforeLines="100" w:after="156" w:afterLines="50" w:line="500" w:lineRule="exact"/>
        <w:ind w:right="267" w:rightChars="127"/>
        <w:jc w:val="center"/>
        <w:rPr>
          <w:rFonts w:ascii="Arial" w:hAnsi="Arial" w:cs="Arial"/>
          <w:b/>
          <w:sz w:val="36"/>
        </w:rPr>
      </w:pPr>
      <w:r>
        <w:rPr>
          <w:rFonts w:ascii="Arial" w:hAnsi="Arial" w:cs="Arial"/>
          <w:b/>
          <w:sz w:val="36"/>
          <w:u w:val="single"/>
        </w:rPr>
        <w:t xml:space="preserve"> 202</w:t>
      </w:r>
      <w:r>
        <w:rPr>
          <w:rFonts w:hint="eastAsia" w:ascii="Arial" w:hAnsi="Arial" w:cs="Arial"/>
          <w:b/>
          <w:sz w:val="36"/>
          <w:u w:val="single"/>
        </w:rPr>
        <w:t xml:space="preserve">3 </w:t>
      </w:r>
      <w:r>
        <w:rPr>
          <w:rFonts w:hint="eastAsia" w:ascii="Arial" w:hAnsi="Arial" w:cs="Arial"/>
          <w:b/>
          <w:sz w:val="36"/>
        </w:rPr>
        <w:t>年</w:t>
      </w:r>
      <w:r>
        <w:rPr>
          <w:rFonts w:ascii="Arial" w:hAnsi="Arial" w:cs="Arial"/>
          <w:b/>
          <w:sz w:val="36"/>
          <w:u w:val="single"/>
        </w:rPr>
        <w:t xml:space="preserve"> </w:t>
      </w:r>
      <w:r>
        <w:rPr>
          <w:rFonts w:hint="eastAsia" w:ascii="Arial" w:hAnsi="Arial" w:cs="Arial"/>
          <w:b/>
          <w:sz w:val="36"/>
          <w:u w:val="single"/>
        </w:rPr>
        <w:t>07</w:t>
      </w:r>
      <w:r>
        <w:rPr>
          <w:rFonts w:ascii="Arial" w:hAnsi="Arial" w:cs="Arial"/>
          <w:b/>
          <w:sz w:val="36"/>
          <w:u w:val="single"/>
        </w:rPr>
        <w:t xml:space="preserve"> </w:t>
      </w:r>
      <w:r>
        <w:rPr>
          <w:rFonts w:hint="eastAsia" w:ascii="Arial" w:hAnsi="Arial" w:cs="Arial"/>
          <w:b/>
          <w:sz w:val="36"/>
        </w:rPr>
        <w:t>月</w:t>
      </w:r>
    </w:p>
    <w:bookmarkEnd w:id="0"/>
    <w:p>
      <w:pPr>
        <w:tabs>
          <w:tab w:val="left" w:pos="315"/>
          <w:tab w:val="left" w:pos="8820"/>
        </w:tabs>
        <w:spacing w:before="312" w:beforeLines="100" w:after="156" w:afterLines="50" w:line="500" w:lineRule="exact"/>
        <w:ind w:right="267" w:rightChars="127"/>
        <w:rPr>
          <w:rFonts w:ascii="Arial" w:hAnsi="Arial" w:cs="Arial"/>
          <w:b/>
          <w:sz w:val="28"/>
        </w:rPr>
        <w:sectPr>
          <w:headerReference r:id="rId3" w:type="default"/>
          <w:footerReference r:id="rId4" w:type="default"/>
          <w:pgSz w:w="11906" w:h="16838"/>
          <w:pgMar w:top="1417" w:right="1417" w:bottom="1417" w:left="1417" w:header="851" w:footer="992" w:gutter="0"/>
          <w:cols w:space="720" w:num="1"/>
          <w:docGrid w:type="lines" w:linePitch="312" w:charSpace="0"/>
        </w:sectPr>
      </w:pPr>
    </w:p>
    <w:p>
      <w:pPr>
        <w:tabs>
          <w:tab w:val="left" w:pos="2410"/>
        </w:tabs>
        <w:autoSpaceDE w:val="0"/>
        <w:autoSpaceDN w:val="0"/>
        <w:adjustRightInd w:val="0"/>
        <w:snapToGrid w:val="0"/>
        <w:spacing w:line="360" w:lineRule="auto"/>
        <w:jc w:val="center"/>
        <w:rPr>
          <w:rFonts w:hint="eastAsia" w:ascii="Arial" w:hAnsi="Arial" w:cs="Arial"/>
          <w:b/>
          <w:sz w:val="32"/>
          <w:szCs w:val="32"/>
        </w:rPr>
      </w:pPr>
    </w:p>
    <w:p>
      <w:pPr>
        <w:tabs>
          <w:tab w:val="left" w:pos="2410"/>
        </w:tabs>
        <w:autoSpaceDE w:val="0"/>
        <w:autoSpaceDN w:val="0"/>
        <w:adjustRightInd w:val="0"/>
        <w:snapToGrid w:val="0"/>
        <w:spacing w:line="360" w:lineRule="auto"/>
        <w:jc w:val="center"/>
        <w:rPr>
          <w:rFonts w:ascii="Arial" w:hAnsi="Arial" w:cs="Arial"/>
          <w:b/>
          <w:sz w:val="32"/>
          <w:szCs w:val="32"/>
        </w:rPr>
      </w:pPr>
      <w:r>
        <w:rPr>
          <w:rFonts w:hint="eastAsia" w:ascii="Arial" w:hAnsi="Arial" w:cs="Arial"/>
          <w:b/>
          <w:sz w:val="32"/>
          <w:szCs w:val="32"/>
        </w:rPr>
        <w:t>目</w:t>
      </w:r>
      <w:r>
        <w:rPr>
          <w:rFonts w:ascii="Arial" w:hAnsi="Arial" w:cs="Arial"/>
          <w:b/>
          <w:sz w:val="32"/>
          <w:szCs w:val="32"/>
        </w:rPr>
        <w:t xml:space="preserve">  </w:t>
      </w:r>
      <w:r>
        <w:rPr>
          <w:rFonts w:hint="eastAsia" w:ascii="Arial" w:hAnsi="Arial" w:cs="Arial"/>
          <w:b/>
          <w:sz w:val="32"/>
          <w:szCs w:val="32"/>
        </w:rPr>
        <w:t>录</w:t>
      </w:r>
    </w:p>
    <w:p>
      <w:pPr>
        <w:pStyle w:val="19"/>
        <w:tabs>
          <w:tab w:val="right" w:leader="dot" w:pos="9072"/>
        </w:tabs>
        <w:rPr>
          <w:sz w:val="28"/>
          <w:szCs w:val="28"/>
        </w:rPr>
      </w:pPr>
      <w:r>
        <w:rPr>
          <w:rFonts w:ascii="Arial" w:hAnsi="Arial" w:cs="Arial"/>
          <w:b/>
          <w:sz w:val="32"/>
          <w:szCs w:val="32"/>
        </w:rPr>
        <w:fldChar w:fldCharType="begin"/>
      </w:r>
      <w:r>
        <w:rPr>
          <w:rFonts w:ascii="Arial" w:hAnsi="Arial" w:cs="Arial"/>
          <w:b/>
          <w:sz w:val="32"/>
          <w:szCs w:val="32"/>
        </w:rPr>
        <w:instrText xml:space="preserve"> TOC \o "1-2" \h \z \u </w:instrText>
      </w:r>
      <w:r>
        <w:rPr>
          <w:rFonts w:ascii="Arial" w:hAnsi="Arial" w:cs="Arial"/>
          <w:b/>
          <w:sz w:val="32"/>
          <w:szCs w:val="32"/>
        </w:rPr>
        <w:fldChar w:fldCharType="separate"/>
      </w:r>
      <w:r>
        <w:rPr>
          <w:rFonts w:ascii="Arial" w:hAnsi="Arial" w:cs="Arial"/>
          <w:sz w:val="28"/>
          <w:szCs w:val="32"/>
        </w:rPr>
        <w:fldChar w:fldCharType="begin"/>
      </w:r>
      <w:r>
        <w:rPr>
          <w:rFonts w:ascii="Arial" w:hAnsi="Arial" w:cs="Arial"/>
          <w:sz w:val="28"/>
          <w:szCs w:val="32"/>
        </w:rPr>
        <w:instrText xml:space="preserve"> HYPERLINK \l _Toc9380 </w:instrText>
      </w:r>
      <w:r>
        <w:rPr>
          <w:rFonts w:ascii="Arial" w:hAnsi="Arial" w:cs="Arial"/>
          <w:sz w:val="28"/>
          <w:szCs w:val="32"/>
        </w:rPr>
        <w:fldChar w:fldCharType="separate"/>
      </w:r>
      <w:r>
        <w:rPr>
          <w:rFonts w:hint="eastAsia" w:ascii="宋体" w:hAnsi="宋体" w:cs="宋体"/>
          <w:sz w:val="28"/>
          <w:szCs w:val="28"/>
        </w:rPr>
        <w:t xml:space="preserve">第一章  </w:t>
      </w:r>
      <w:r>
        <w:rPr>
          <w:rFonts w:ascii="宋体" w:hAnsi="宋体"/>
          <w:sz w:val="28"/>
          <w:szCs w:val="28"/>
        </w:rPr>
        <w:t>投标邀请</w:t>
      </w:r>
      <w:r>
        <w:rPr>
          <w:rFonts w:hint="eastAsia" w:ascii="宋体" w:hAnsi="宋体"/>
          <w:sz w:val="28"/>
          <w:szCs w:val="28"/>
        </w:rPr>
        <w:t>（招标公告）</w:t>
      </w:r>
      <w:r>
        <w:rPr>
          <w:sz w:val="28"/>
          <w:szCs w:val="28"/>
        </w:rPr>
        <w:tab/>
      </w:r>
      <w:r>
        <w:rPr>
          <w:sz w:val="28"/>
          <w:szCs w:val="28"/>
        </w:rPr>
        <w:fldChar w:fldCharType="begin"/>
      </w:r>
      <w:r>
        <w:rPr>
          <w:sz w:val="28"/>
          <w:szCs w:val="28"/>
        </w:rPr>
        <w:instrText xml:space="preserve"> PAGEREF _Toc9380 \h </w:instrText>
      </w:r>
      <w:r>
        <w:rPr>
          <w:sz w:val="28"/>
          <w:szCs w:val="28"/>
        </w:rPr>
        <w:fldChar w:fldCharType="separate"/>
      </w:r>
      <w:r>
        <w:rPr>
          <w:sz w:val="28"/>
          <w:szCs w:val="28"/>
        </w:rPr>
        <w:t>1</w:t>
      </w:r>
      <w:r>
        <w:rPr>
          <w:sz w:val="28"/>
          <w:szCs w:val="28"/>
        </w:rPr>
        <w:fldChar w:fldCharType="end"/>
      </w:r>
      <w:r>
        <w:rPr>
          <w:rFonts w:ascii="Arial" w:hAnsi="Arial" w:cs="Arial"/>
          <w:sz w:val="28"/>
          <w:szCs w:val="32"/>
        </w:rPr>
        <w:fldChar w:fldCharType="end"/>
      </w:r>
    </w:p>
    <w:p>
      <w:pPr>
        <w:pStyle w:val="19"/>
        <w:tabs>
          <w:tab w:val="right" w:leader="dot" w:pos="9072"/>
        </w:tabs>
        <w:rPr>
          <w:sz w:val="28"/>
          <w:szCs w:val="28"/>
        </w:rPr>
      </w:pPr>
      <w:r>
        <w:rPr>
          <w:rFonts w:ascii="Arial" w:hAnsi="Arial" w:cs="Arial"/>
          <w:kern w:val="2"/>
          <w:sz w:val="28"/>
          <w:szCs w:val="32"/>
        </w:rPr>
        <w:fldChar w:fldCharType="begin"/>
      </w:r>
      <w:r>
        <w:rPr>
          <w:rFonts w:ascii="Arial" w:hAnsi="Arial" w:cs="Arial"/>
          <w:kern w:val="2"/>
          <w:sz w:val="28"/>
          <w:szCs w:val="32"/>
        </w:rPr>
        <w:instrText xml:space="preserve"> HYPERLINK \l _Toc31689 </w:instrText>
      </w:r>
      <w:r>
        <w:rPr>
          <w:rFonts w:ascii="Arial" w:hAnsi="Arial" w:cs="Arial"/>
          <w:kern w:val="2"/>
          <w:sz w:val="28"/>
          <w:szCs w:val="32"/>
        </w:rPr>
        <w:fldChar w:fldCharType="separate"/>
      </w:r>
      <w:r>
        <w:rPr>
          <w:rFonts w:hint="eastAsia" w:ascii="Arial" w:hAnsi="Arial" w:cs="Arial"/>
          <w:sz w:val="28"/>
          <w:szCs w:val="28"/>
        </w:rPr>
        <w:t>第二章</w:t>
      </w:r>
      <w:r>
        <w:rPr>
          <w:rFonts w:ascii="Arial" w:hAnsi="Arial" w:cs="Arial"/>
          <w:sz w:val="28"/>
          <w:szCs w:val="28"/>
        </w:rPr>
        <w:t xml:space="preserve">  </w:t>
      </w:r>
      <w:r>
        <w:rPr>
          <w:rFonts w:hint="eastAsia" w:ascii="Arial" w:hAnsi="Arial" w:cs="Arial"/>
          <w:sz w:val="28"/>
          <w:szCs w:val="28"/>
        </w:rPr>
        <w:t>投标人须知</w:t>
      </w:r>
      <w:r>
        <w:rPr>
          <w:sz w:val="28"/>
          <w:szCs w:val="28"/>
        </w:rPr>
        <w:tab/>
      </w:r>
      <w:r>
        <w:rPr>
          <w:rFonts w:hint="eastAsia"/>
          <w:sz w:val="28"/>
          <w:szCs w:val="28"/>
          <w:lang w:val="en-US" w:eastAsia="zh-CN"/>
        </w:rPr>
        <w:t>5</w:t>
      </w:r>
      <w:r>
        <w:rPr>
          <w:rFonts w:ascii="Arial" w:hAnsi="Arial" w:cs="Arial"/>
          <w:kern w:val="2"/>
          <w:sz w:val="28"/>
          <w:szCs w:val="32"/>
        </w:rPr>
        <w:fldChar w:fldCharType="end"/>
      </w:r>
    </w:p>
    <w:p>
      <w:pPr>
        <w:pStyle w:val="19"/>
        <w:tabs>
          <w:tab w:val="right" w:leader="dot" w:pos="9072"/>
        </w:tabs>
        <w:rPr>
          <w:rFonts w:hint="eastAsia" w:eastAsia="宋体"/>
          <w:sz w:val="28"/>
          <w:szCs w:val="28"/>
          <w:lang w:val="en-US" w:eastAsia="zh-CN"/>
        </w:rPr>
      </w:pPr>
      <w:r>
        <w:rPr>
          <w:rFonts w:ascii="Arial" w:hAnsi="Arial" w:cs="Arial"/>
          <w:kern w:val="2"/>
          <w:sz w:val="28"/>
          <w:szCs w:val="32"/>
        </w:rPr>
        <w:fldChar w:fldCharType="begin"/>
      </w:r>
      <w:r>
        <w:rPr>
          <w:rFonts w:ascii="Arial" w:hAnsi="Arial" w:cs="Arial"/>
          <w:kern w:val="2"/>
          <w:sz w:val="28"/>
          <w:szCs w:val="32"/>
        </w:rPr>
        <w:instrText xml:space="preserve"> HYPERLINK \l _Toc6956 </w:instrText>
      </w:r>
      <w:r>
        <w:rPr>
          <w:rFonts w:ascii="Arial" w:hAnsi="Arial" w:cs="Arial"/>
          <w:kern w:val="2"/>
          <w:sz w:val="28"/>
          <w:szCs w:val="32"/>
        </w:rPr>
        <w:fldChar w:fldCharType="separate"/>
      </w:r>
      <w:r>
        <w:rPr>
          <w:rFonts w:hint="eastAsia" w:ascii="Arial" w:hAnsi="Arial" w:cs="Arial"/>
          <w:sz w:val="28"/>
          <w:szCs w:val="28"/>
        </w:rPr>
        <w:t>第三章</w:t>
      </w:r>
      <w:r>
        <w:rPr>
          <w:rFonts w:ascii="Arial" w:hAnsi="Arial" w:cs="Arial"/>
          <w:sz w:val="28"/>
          <w:szCs w:val="28"/>
        </w:rPr>
        <w:t xml:space="preserve">  </w:t>
      </w:r>
      <w:r>
        <w:rPr>
          <w:rFonts w:hint="eastAsia" w:ascii="Arial" w:hAnsi="Arial" w:cs="Arial"/>
          <w:sz w:val="28"/>
          <w:szCs w:val="28"/>
        </w:rPr>
        <w:t>采购需求</w:t>
      </w:r>
      <w:r>
        <w:rPr>
          <w:sz w:val="28"/>
          <w:szCs w:val="28"/>
        </w:rPr>
        <w:tab/>
      </w:r>
      <w:r>
        <w:rPr>
          <w:rFonts w:hint="eastAsia"/>
          <w:sz w:val="28"/>
          <w:szCs w:val="28"/>
          <w:lang w:val="en-US" w:eastAsia="zh-CN"/>
        </w:rPr>
        <w:t>2</w:t>
      </w:r>
      <w:r>
        <w:rPr>
          <w:rFonts w:ascii="Arial" w:hAnsi="Arial" w:cs="Arial"/>
          <w:kern w:val="2"/>
          <w:sz w:val="28"/>
          <w:szCs w:val="32"/>
        </w:rPr>
        <w:fldChar w:fldCharType="end"/>
      </w:r>
      <w:r>
        <w:rPr>
          <w:rFonts w:hint="default" w:ascii="Calibri" w:hAnsi="Calibri" w:cs="Calibri"/>
          <w:kern w:val="2"/>
          <w:sz w:val="28"/>
          <w:szCs w:val="32"/>
          <w:lang w:val="en-US" w:eastAsia="zh-CN"/>
        </w:rPr>
        <w:t>5</w:t>
      </w:r>
    </w:p>
    <w:p>
      <w:pPr>
        <w:pStyle w:val="19"/>
        <w:tabs>
          <w:tab w:val="right" w:leader="dot" w:pos="9072"/>
        </w:tabs>
        <w:rPr>
          <w:rFonts w:hint="eastAsia" w:eastAsia="宋体"/>
          <w:sz w:val="28"/>
          <w:szCs w:val="28"/>
          <w:lang w:val="en-US" w:eastAsia="zh-CN"/>
        </w:rPr>
      </w:pPr>
      <w:r>
        <w:rPr>
          <w:rFonts w:ascii="Arial" w:hAnsi="Arial" w:cs="Arial"/>
          <w:kern w:val="2"/>
          <w:sz w:val="28"/>
          <w:szCs w:val="32"/>
        </w:rPr>
        <w:fldChar w:fldCharType="begin"/>
      </w:r>
      <w:r>
        <w:rPr>
          <w:rFonts w:ascii="Arial" w:hAnsi="Arial" w:cs="Arial"/>
          <w:kern w:val="2"/>
          <w:sz w:val="28"/>
          <w:szCs w:val="32"/>
        </w:rPr>
        <w:instrText xml:space="preserve"> HYPERLINK \l _Toc25240 </w:instrText>
      </w:r>
      <w:r>
        <w:rPr>
          <w:rFonts w:ascii="Arial" w:hAnsi="Arial" w:cs="Arial"/>
          <w:kern w:val="2"/>
          <w:sz w:val="28"/>
          <w:szCs w:val="32"/>
        </w:rPr>
        <w:fldChar w:fldCharType="separate"/>
      </w:r>
      <w:r>
        <w:rPr>
          <w:rFonts w:hint="eastAsia" w:ascii="Arial" w:hAnsi="Arial" w:cs="Arial"/>
          <w:sz w:val="28"/>
          <w:szCs w:val="28"/>
        </w:rPr>
        <w:t>第四章</w:t>
      </w:r>
      <w:r>
        <w:rPr>
          <w:rFonts w:ascii="Arial" w:hAnsi="Arial" w:cs="Arial"/>
          <w:sz w:val="28"/>
          <w:szCs w:val="28"/>
        </w:rPr>
        <w:t xml:space="preserve">  </w:t>
      </w:r>
      <w:r>
        <w:rPr>
          <w:rFonts w:hint="eastAsia" w:ascii="Arial" w:hAnsi="Arial" w:cs="Arial"/>
          <w:sz w:val="28"/>
          <w:szCs w:val="28"/>
        </w:rPr>
        <w:t>评标方法和标准</w:t>
      </w:r>
      <w:r>
        <w:rPr>
          <w:sz w:val="28"/>
          <w:szCs w:val="28"/>
        </w:rPr>
        <w:tab/>
      </w:r>
      <w:r>
        <w:rPr>
          <w:rFonts w:hint="eastAsia"/>
          <w:sz w:val="28"/>
          <w:szCs w:val="28"/>
          <w:lang w:val="en-US" w:eastAsia="zh-CN"/>
        </w:rPr>
        <w:t>4</w:t>
      </w:r>
      <w:r>
        <w:rPr>
          <w:rFonts w:ascii="Arial" w:hAnsi="Arial" w:cs="Arial"/>
          <w:kern w:val="2"/>
          <w:sz w:val="28"/>
          <w:szCs w:val="32"/>
        </w:rPr>
        <w:fldChar w:fldCharType="end"/>
      </w:r>
      <w:r>
        <w:rPr>
          <w:rFonts w:hint="eastAsia" w:cs="Arial" w:asciiTheme="minorAscii" w:hAnsiTheme="minorAscii"/>
          <w:kern w:val="2"/>
          <w:sz w:val="28"/>
          <w:szCs w:val="32"/>
          <w:lang w:val="en-US" w:eastAsia="zh-CN"/>
        </w:rPr>
        <w:t>1</w:t>
      </w:r>
    </w:p>
    <w:p>
      <w:pPr>
        <w:pStyle w:val="19"/>
        <w:tabs>
          <w:tab w:val="right" w:leader="dot" w:pos="9072"/>
        </w:tabs>
        <w:rPr>
          <w:rFonts w:hint="eastAsia" w:eastAsia="宋体"/>
          <w:sz w:val="28"/>
          <w:szCs w:val="28"/>
          <w:lang w:val="en-US" w:eastAsia="zh-CN"/>
        </w:rPr>
      </w:pPr>
      <w:r>
        <w:rPr>
          <w:rFonts w:ascii="Arial" w:hAnsi="Arial" w:cs="Arial"/>
          <w:kern w:val="2"/>
          <w:sz w:val="28"/>
          <w:szCs w:val="32"/>
        </w:rPr>
        <w:fldChar w:fldCharType="begin"/>
      </w:r>
      <w:r>
        <w:rPr>
          <w:rFonts w:ascii="Arial" w:hAnsi="Arial" w:cs="Arial"/>
          <w:kern w:val="2"/>
          <w:sz w:val="28"/>
          <w:szCs w:val="32"/>
        </w:rPr>
        <w:instrText xml:space="preserve"> HYPERLINK \l _Toc19511 </w:instrText>
      </w:r>
      <w:r>
        <w:rPr>
          <w:rFonts w:ascii="Arial" w:hAnsi="Arial" w:cs="Arial"/>
          <w:kern w:val="2"/>
          <w:sz w:val="28"/>
          <w:szCs w:val="32"/>
        </w:rPr>
        <w:fldChar w:fldCharType="separate"/>
      </w:r>
      <w:r>
        <w:rPr>
          <w:rFonts w:hint="eastAsia" w:ascii="Arial" w:hAnsi="Arial" w:cs="Arial"/>
          <w:sz w:val="28"/>
          <w:szCs w:val="28"/>
        </w:rPr>
        <w:t>第五章</w:t>
      </w:r>
      <w:r>
        <w:rPr>
          <w:rFonts w:ascii="Arial" w:hAnsi="Arial" w:cs="Arial"/>
          <w:sz w:val="28"/>
          <w:szCs w:val="28"/>
        </w:rPr>
        <w:t xml:space="preserve">  政府采购合同</w:t>
      </w:r>
      <w:r>
        <w:rPr>
          <w:sz w:val="28"/>
          <w:szCs w:val="28"/>
        </w:rPr>
        <w:tab/>
      </w:r>
      <w:r>
        <w:rPr>
          <w:rFonts w:hint="eastAsia"/>
          <w:sz w:val="28"/>
          <w:szCs w:val="28"/>
          <w:lang w:val="en-US" w:eastAsia="zh-CN"/>
        </w:rPr>
        <w:t>4</w:t>
      </w:r>
      <w:r>
        <w:rPr>
          <w:rFonts w:ascii="Arial" w:hAnsi="Arial" w:cs="Arial"/>
          <w:kern w:val="2"/>
          <w:sz w:val="28"/>
          <w:szCs w:val="32"/>
        </w:rPr>
        <w:fldChar w:fldCharType="end"/>
      </w:r>
      <w:r>
        <w:rPr>
          <w:rFonts w:hint="eastAsia" w:cs="Arial" w:asciiTheme="minorAscii" w:hAnsiTheme="minorAscii"/>
          <w:kern w:val="2"/>
          <w:sz w:val="28"/>
          <w:szCs w:val="32"/>
          <w:lang w:val="en-US" w:eastAsia="zh-CN"/>
        </w:rPr>
        <w:t>7</w:t>
      </w:r>
    </w:p>
    <w:p>
      <w:pPr>
        <w:pStyle w:val="19"/>
        <w:tabs>
          <w:tab w:val="right" w:leader="dot" w:pos="9072"/>
        </w:tabs>
        <w:rPr>
          <w:rFonts w:hint="eastAsia" w:eastAsia="宋体"/>
          <w:sz w:val="28"/>
          <w:szCs w:val="28"/>
          <w:lang w:val="en-US" w:eastAsia="zh-CN"/>
        </w:rPr>
      </w:pPr>
      <w:r>
        <w:rPr>
          <w:rFonts w:ascii="Arial" w:hAnsi="Arial" w:cs="Arial"/>
          <w:kern w:val="2"/>
          <w:sz w:val="28"/>
          <w:szCs w:val="32"/>
        </w:rPr>
        <w:fldChar w:fldCharType="begin"/>
      </w:r>
      <w:r>
        <w:rPr>
          <w:rFonts w:ascii="Arial" w:hAnsi="Arial" w:cs="Arial"/>
          <w:kern w:val="2"/>
          <w:sz w:val="28"/>
          <w:szCs w:val="32"/>
        </w:rPr>
        <w:instrText xml:space="preserve"> HYPERLINK \l _Toc12697 </w:instrText>
      </w:r>
      <w:r>
        <w:rPr>
          <w:rFonts w:ascii="Arial" w:hAnsi="Arial" w:cs="Arial"/>
          <w:kern w:val="2"/>
          <w:sz w:val="28"/>
          <w:szCs w:val="32"/>
        </w:rPr>
        <w:fldChar w:fldCharType="separate"/>
      </w:r>
      <w:r>
        <w:rPr>
          <w:rFonts w:hint="eastAsia" w:ascii="Arial" w:hAnsi="Arial" w:cs="Arial"/>
          <w:sz w:val="28"/>
          <w:szCs w:val="28"/>
        </w:rPr>
        <w:t>第六章</w:t>
      </w:r>
      <w:r>
        <w:rPr>
          <w:rFonts w:ascii="Arial" w:hAnsi="Arial" w:cs="Arial"/>
          <w:sz w:val="28"/>
          <w:szCs w:val="28"/>
        </w:rPr>
        <w:t xml:space="preserve">  </w:t>
      </w:r>
      <w:r>
        <w:rPr>
          <w:rFonts w:hint="eastAsia" w:ascii="Arial" w:hAnsi="Arial" w:cs="Arial"/>
          <w:sz w:val="28"/>
          <w:szCs w:val="28"/>
        </w:rPr>
        <w:t>投标文件格式</w:t>
      </w:r>
      <w:r>
        <w:rPr>
          <w:sz w:val="28"/>
          <w:szCs w:val="28"/>
        </w:rPr>
        <w:tab/>
      </w:r>
      <w:r>
        <w:rPr>
          <w:rFonts w:hint="eastAsia"/>
          <w:sz w:val="28"/>
          <w:szCs w:val="28"/>
          <w:lang w:val="en-US" w:eastAsia="zh-CN"/>
        </w:rPr>
        <w:t>5</w:t>
      </w:r>
      <w:r>
        <w:rPr>
          <w:rFonts w:ascii="Arial" w:hAnsi="Arial" w:cs="Arial"/>
          <w:kern w:val="2"/>
          <w:sz w:val="28"/>
          <w:szCs w:val="32"/>
        </w:rPr>
        <w:fldChar w:fldCharType="end"/>
      </w:r>
      <w:r>
        <w:rPr>
          <w:rFonts w:hint="eastAsia" w:cs="Arial" w:asciiTheme="minorAscii" w:hAnsiTheme="minorAscii"/>
          <w:kern w:val="2"/>
          <w:sz w:val="28"/>
          <w:szCs w:val="32"/>
          <w:lang w:val="en-US" w:eastAsia="zh-CN"/>
        </w:rPr>
        <w:t>2</w:t>
      </w:r>
    </w:p>
    <w:p>
      <w:pPr>
        <w:pStyle w:val="19"/>
        <w:tabs>
          <w:tab w:val="right" w:leader="dot" w:pos="9072"/>
        </w:tabs>
        <w:rPr>
          <w:rFonts w:hint="eastAsia" w:eastAsia="宋体"/>
          <w:sz w:val="28"/>
          <w:szCs w:val="28"/>
          <w:lang w:val="en-US" w:eastAsia="zh-CN"/>
        </w:rPr>
      </w:pPr>
      <w:r>
        <w:rPr>
          <w:rFonts w:ascii="Arial" w:hAnsi="Arial" w:cs="Arial"/>
          <w:kern w:val="2"/>
          <w:sz w:val="28"/>
          <w:szCs w:val="32"/>
        </w:rPr>
        <w:fldChar w:fldCharType="begin"/>
      </w:r>
      <w:r>
        <w:rPr>
          <w:rFonts w:ascii="Arial" w:hAnsi="Arial" w:cs="Arial"/>
          <w:kern w:val="2"/>
          <w:sz w:val="28"/>
          <w:szCs w:val="32"/>
        </w:rPr>
        <w:instrText xml:space="preserve"> HYPERLINK \l _Toc3953 </w:instrText>
      </w:r>
      <w:r>
        <w:rPr>
          <w:rFonts w:ascii="Arial" w:hAnsi="Arial" w:cs="Arial"/>
          <w:kern w:val="2"/>
          <w:sz w:val="28"/>
          <w:szCs w:val="32"/>
        </w:rPr>
        <w:fldChar w:fldCharType="separate"/>
      </w:r>
      <w:r>
        <w:rPr>
          <w:rFonts w:hint="eastAsia" w:ascii="Arial" w:hAnsi="Arial" w:cs="Arial"/>
          <w:bCs/>
          <w:sz w:val="28"/>
          <w:szCs w:val="28"/>
        </w:rPr>
        <w:t>第七章</w:t>
      </w:r>
      <w:r>
        <w:rPr>
          <w:rFonts w:ascii="Arial" w:hAnsi="Arial" w:cs="Arial"/>
          <w:bCs/>
          <w:sz w:val="28"/>
          <w:szCs w:val="28"/>
        </w:rPr>
        <w:t xml:space="preserve">  </w:t>
      </w:r>
      <w:r>
        <w:rPr>
          <w:rFonts w:hint="eastAsia" w:ascii="Arial" w:hAnsi="Arial" w:cs="Arial"/>
          <w:bCs/>
          <w:sz w:val="28"/>
          <w:szCs w:val="28"/>
        </w:rPr>
        <w:t>政府采购</w:t>
      </w:r>
      <w:r>
        <w:rPr>
          <w:rFonts w:hint="eastAsia" w:ascii="Arial" w:hAnsi="Arial" w:cs="Arial"/>
          <w:sz w:val="28"/>
          <w:szCs w:val="28"/>
        </w:rPr>
        <w:t>投标人</w:t>
      </w:r>
      <w:r>
        <w:rPr>
          <w:rFonts w:hint="eastAsia" w:ascii="Arial" w:hAnsi="Arial" w:cs="Arial"/>
          <w:bCs/>
          <w:sz w:val="28"/>
          <w:szCs w:val="28"/>
        </w:rPr>
        <w:t>质疑函范本</w:t>
      </w:r>
      <w:r>
        <w:rPr>
          <w:sz w:val="28"/>
          <w:szCs w:val="28"/>
        </w:rPr>
        <w:tab/>
      </w:r>
      <w:r>
        <w:rPr>
          <w:rFonts w:hint="eastAsia"/>
          <w:sz w:val="28"/>
          <w:szCs w:val="28"/>
          <w:lang w:val="en-US" w:eastAsia="zh-CN"/>
        </w:rPr>
        <w:t>6</w:t>
      </w:r>
      <w:r>
        <w:rPr>
          <w:rFonts w:ascii="Arial" w:hAnsi="Arial" w:cs="Arial"/>
          <w:kern w:val="2"/>
          <w:sz w:val="28"/>
          <w:szCs w:val="32"/>
        </w:rPr>
        <w:fldChar w:fldCharType="end"/>
      </w:r>
      <w:r>
        <w:rPr>
          <w:rFonts w:hint="eastAsia" w:cs="Arial" w:asciiTheme="minorAscii" w:hAnsiTheme="minorAscii"/>
          <w:kern w:val="2"/>
          <w:sz w:val="28"/>
          <w:szCs w:val="32"/>
          <w:lang w:val="en-US" w:eastAsia="zh-CN"/>
        </w:rPr>
        <w:t>8</w:t>
      </w:r>
    </w:p>
    <w:p>
      <w:pPr>
        <w:tabs>
          <w:tab w:val="left" w:pos="2410"/>
        </w:tabs>
        <w:autoSpaceDE w:val="0"/>
        <w:autoSpaceDN w:val="0"/>
        <w:adjustRightInd w:val="0"/>
        <w:snapToGrid w:val="0"/>
        <w:spacing w:line="360" w:lineRule="auto"/>
        <w:jc w:val="center"/>
        <w:rPr>
          <w:rFonts w:ascii="Arial" w:hAnsi="Arial" w:cs="Arial"/>
          <w:b/>
          <w:sz w:val="32"/>
          <w:szCs w:val="32"/>
        </w:rPr>
        <w:sectPr>
          <w:headerReference r:id="rId5" w:type="default"/>
          <w:footerReference r:id="rId6" w:type="default"/>
          <w:pgSz w:w="11906" w:h="16838"/>
          <w:pgMar w:top="1417" w:right="1417" w:bottom="1417" w:left="1417" w:header="851" w:footer="992" w:gutter="0"/>
          <w:pgNumType w:start="1"/>
          <w:cols w:space="720" w:num="1"/>
          <w:docGrid w:type="lines" w:linePitch="312" w:charSpace="0"/>
        </w:sectPr>
      </w:pPr>
      <w:r>
        <w:rPr>
          <w:rFonts w:ascii="Arial" w:hAnsi="Arial" w:cs="Arial"/>
          <w:sz w:val="24"/>
          <w:szCs w:val="32"/>
        </w:rPr>
        <w:fldChar w:fldCharType="end"/>
      </w:r>
    </w:p>
    <w:p>
      <w:pPr>
        <w:tabs>
          <w:tab w:val="left" w:pos="3621"/>
        </w:tabs>
        <w:jc w:val="center"/>
        <w:outlineLvl w:val="1"/>
        <w:rPr>
          <w:rFonts w:ascii="Arial" w:hAnsi="Arial" w:cs="Arial"/>
          <w:b/>
          <w:bCs/>
          <w:sz w:val="24"/>
          <w:szCs w:val="24"/>
        </w:rPr>
      </w:pPr>
      <w:bookmarkStart w:id="1" w:name="_Toc14443"/>
      <w:bookmarkStart w:id="2" w:name="_Toc9380"/>
      <w:r>
        <w:rPr>
          <w:rFonts w:hint="eastAsia" w:ascii="宋体" w:hAnsi="宋体" w:cs="宋体"/>
          <w:b/>
          <w:sz w:val="28"/>
        </w:rPr>
        <w:t xml:space="preserve">第一章  </w:t>
      </w:r>
      <w:r>
        <w:rPr>
          <w:rFonts w:ascii="宋体" w:hAnsi="宋体"/>
          <w:b/>
          <w:sz w:val="28"/>
        </w:rPr>
        <w:t>投标邀请</w:t>
      </w:r>
      <w:r>
        <w:rPr>
          <w:rFonts w:hint="eastAsia" w:ascii="宋体" w:hAnsi="宋体"/>
          <w:b/>
          <w:sz w:val="28"/>
        </w:rPr>
        <w:t>（招标公告）</w:t>
      </w:r>
      <w:bookmarkEnd w:id="1"/>
      <w:bookmarkEnd w:id="2"/>
      <w:bookmarkStart w:id="3" w:name="_Toc28359002"/>
      <w:bookmarkStart w:id="4" w:name="_Toc35393790"/>
      <w:bookmarkStart w:id="5" w:name="_Toc35393621"/>
      <w:bookmarkStart w:id="6" w:name="_Hlk24379207"/>
      <w:bookmarkStart w:id="7" w:name="_Toc28359079"/>
    </w:p>
    <w:bookmarkEnd w:id="3"/>
    <w:bookmarkEnd w:id="4"/>
    <w:bookmarkEnd w:id="5"/>
    <w:bookmarkEnd w:id="6"/>
    <w:bookmarkEnd w:id="7"/>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noWrap w:val="0"/>
            <w:vAlign w:val="top"/>
          </w:tcPr>
          <w:p>
            <w:pPr>
              <w:pStyle w:val="20"/>
              <w:spacing w:before="0" w:beforeAutospacing="0" w:after="0" w:afterAutospacing="0"/>
              <w:ind w:firstLine="480" w:firstLineChars="200"/>
              <w:rPr>
                <w:rFonts w:hint="eastAsia"/>
                <w:szCs w:val="24"/>
              </w:rPr>
            </w:pPr>
            <w:r>
              <w:rPr>
                <w:rFonts w:hint="eastAsia"/>
                <w:szCs w:val="24"/>
              </w:rPr>
              <w:t>项目概况</w:t>
            </w:r>
          </w:p>
          <w:p>
            <w:pPr>
              <w:pStyle w:val="20"/>
              <w:spacing w:before="0" w:beforeAutospacing="0" w:after="0" w:afterAutospacing="0"/>
              <w:ind w:firstLine="480" w:firstLineChars="200"/>
              <w:rPr>
                <w:rFonts w:ascii="仿宋" w:hAnsi="仿宋" w:eastAsia="仿宋" w:cs="仿宋"/>
                <w:szCs w:val="24"/>
              </w:rPr>
            </w:pPr>
            <w:r>
              <w:rPr>
                <w:rFonts w:hint="eastAsia"/>
                <w:szCs w:val="24"/>
                <w:lang w:eastAsia="zh-CN"/>
              </w:rPr>
              <w:t>安徽理工大学2023年高峰学科仪器设备购置项目（六）</w:t>
            </w:r>
            <w:r>
              <w:rPr>
                <w:rFonts w:hint="eastAsia"/>
                <w:szCs w:val="24"/>
              </w:rPr>
              <w:t>招标项目的潜在投标人应在安徽省政府采购网(www.ccgp-anhui.gov.cn)获取招标文件，并于2023年08月</w:t>
            </w:r>
            <w:r>
              <w:rPr>
                <w:rFonts w:hint="eastAsia"/>
                <w:szCs w:val="24"/>
                <w:lang w:val="en-US" w:eastAsia="zh-CN"/>
              </w:rPr>
              <w:t>11</w:t>
            </w:r>
            <w:r>
              <w:rPr>
                <w:rFonts w:hint="eastAsia"/>
                <w:szCs w:val="24"/>
              </w:rPr>
              <w:t>日 09:00(北京时间)前递交投标文件。</w:t>
            </w:r>
          </w:p>
        </w:tc>
      </w:tr>
    </w:tbl>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一、项目基本情况</w:t>
      </w:r>
    </w:p>
    <w:p>
      <w:pPr>
        <w:pStyle w:val="20"/>
        <w:spacing w:before="0" w:beforeAutospacing="0" w:after="0" w:afterAutospacing="0" w:line="360" w:lineRule="auto"/>
        <w:ind w:firstLine="480" w:firstLineChars="200"/>
        <w:rPr>
          <w:rFonts w:hint="eastAsia"/>
          <w:szCs w:val="24"/>
        </w:rPr>
      </w:pPr>
      <w:r>
        <w:rPr>
          <w:rFonts w:hint="eastAsia"/>
          <w:szCs w:val="24"/>
        </w:rPr>
        <w:t>项目编号：</w:t>
      </w:r>
      <w:r>
        <w:rPr>
          <w:rFonts w:hint="eastAsia"/>
          <w:szCs w:val="24"/>
          <w:lang w:eastAsia="zh-CN"/>
        </w:rPr>
        <w:t>FSKY34000120236027</w:t>
      </w:r>
      <w:r>
        <w:rPr>
          <w:rFonts w:hint="eastAsia"/>
          <w:szCs w:val="24"/>
        </w:rPr>
        <w:t>号</w:t>
      </w:r>
    </w:p>
    <w:p>
      <w:pPr>
        <w:pStyle w:val="20"/>
        <w:spacing w:before="0" w:beforeAutospacing="0" w:after="0" w:afterAutospacing="0" w:line="360" w:lineRule="auto"/>
        <w:ind w:firstLine="480" w:firstLineChars="200"/>
        <w:rPr>
          <w:rFonts w:hint="eastAsia" w:eastAsia="宋体"/>
          <w:szCs w:val="24"/>
          <w:lang w:eastAsia="zh-CN"/>
        </w:rPr>
      </w:pPr>
      <w:r>
        <w:rPr>
          <w:rFonts w:hint="eastAsia"/>
          <w:szCs w:val="24"/>
        </w:rPr>
        <w:t>项目名称：</w:t>
      </w:r>
      <w:r>
        <w:rPr>
          <w:rFonts w:hint="eastAsia"/>
          <w:szCs w:val="24"/>
          <w:lang w:eastAsia="zh-CN"/>
        </w:rPr>
        <w:t>安徽理工大学2023年高峰学科仪器设备购置项目（六）</w:t>
      </w:r>
    </w:p>
    <w:p>
      <w:pPr>
        <w:pStyle w:val="20"/>
        <w:spacing w:before="0" w:beforeAutospacing="0" w:after="0" w:afterAutospacing="0" w:line="360" w:lineRule="auto"/>
        <w:ind w:firstLine="480" w:firstLineChars="200"/>
        <w:rPr>
          <w:rFonts w:hint="eastAsia"/>
          <w:szCs w:val="24"/>
        </w:rPr>
      </w:pPr>
      <w:r>
        <w:rPr>
          <w:rFonts w:hint="eastAsia"/>
          <w:szCs w:val="24"/>
        </w:rPr>
        <w:t>预算金额(元)：</w:t>
      </w:r>
      <w:r>
        <w:rPr>
          <w:rFonts w:hint="eastAsia"/>
          <w:szCs w:val="24"/>
          <w:lang w:val="en-US" w:eastAsia="zh-CN"/>
        </w:rPr>
        <w:t>8830000</w:t>
      </w:r>
      <w:r>
        <w:rPr>
          <w:rFonts w:hint="eastAsia"/>
          <w:szCs w:val="24"/>
        </w:rPr>
        <w:t>元</w:t>
      </w:r>
    </w:p>
    <w:p>
      <w:pPr>
        <w:pStyle w:val="20"/>
        <w:spacing w:before="0" w:beforeAutospacing="0" w:after="0" w:afterAutospacing="0" w:line="360" w:lineRule="auto"/>
        <w:ind w:firstLine="480" w:firstLineChars="200"/>
        <w:rPr>
          <w:rFonts w:hint="eastAsia" w:eastAsia="宋体"/>
          <w:szCs w:val="24"/>
          <w:lang w:eastAsia="zh-CN"/>
        </w:rPr>
      </w:pPr>
      <w:r>
        <w:rPr>
          <w:rFonts w:hint="eastAsia"/>
          <w:szCs w:val="24"/>
        </w:rPr>
        <w:t>最高限价(元)(如有)：</w:t>
      </w:r>
      <w:r>
        <w:rPr>
          <w:rFonts w:hint="eastAsia"/>
          <w:szCs w:val="24"/>
          <w:lang w:val="en-US" w:eastAsia="zh-CN"/>
        </w:rPr>
        <w:t>1700000元、5500000元、1630000元</w:t>
      </w:r>
    </w:p>
    <w:p>
      <w:pPr>
        <w:pStyle w:val="20"/>
        <w:spacing w:before="0" w:beforeAutospacing="0" w:after="0" w:afterAutospacing="0" w:line="360" w:lineRule="auto"/>
        <w:ind w:firstLine="480" w:firstLineChars="200"/>
        <w:rPr>
          <w:rFonts w:hint="eastAsia"/>
          <w:szCs w:val="24"/>
        </w:rPr>
      </w:pPr>
      <w:r>
        <w:rPr>
          <w:rFonts w:hint="eastAsia"/>
          <w:szCs w:val="24"/>
        </w:rPr>
        <w:t>采购需求：本项目为</w:t>
      </w:r>
      <w:r>
        <w:rPr>
          <w:rFonts w:hint="eastAsia"/>
          <w:szCs w:val="24"/>
          <w:lang w:eastAsia="zh-CN"/>
        </w:rPr>
        <w:t>安徽理工大学2023年高峰学科仪器设备购置项目（六）</w:t>
      </w:r>
      <w:r>
        <w:rPr>
          <w:rFonts w:hint="eastAsia"/>
          <w:szCs w:val="24"/>
        </w:rPr>
        <w:t>，本项目共分</w:t>
      </w:r>
      <w:r>
        <w:rPr>
          <w:rFonts w:hint="eastAsia"/>
          <w:szCs w:val="24"/>
          <w:lang w:val="en-US" w:eastAsia="zh-CN"/>
        </w:rPr>
        <w:t>3</w:t>
      </w:r>
      <w:r>
        <w:rPr>
          <w:rFonts w:hint="eastAsia"/>
          <w:szCs w:val="24"/>
        </w:rPr>
        <w:t>个包，本次采购</w:t>
      </w:r>
      <w:r>
        <w:rPr>
          <w:rFonts w:hint="eastAsia"/>
          <w:szCs w:val="24"/>
          <w:lang w:val="en-US" w:eastAsia="zh-CN"/>
        </w:rPr>
        <w:t>1-3</w:t>
      </w:r>
      <w:r>
        <w:rPr>
          <w:rFonts w:hint="eastAsia"/>
          <w:szCs w:val="24"/>
        </w:rPr>
        <w:t>包，采购内容为：</w:t>
      </w:r>
    </w:p>
    <w:tbl>
      <w:tblPr>
        <w:tblStyle w:val="25"/>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743"/>
        <w:gridCol w:w="824"/>
        <w:gridCol w:w="81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0" w:type="dxa"/>
            <w:noWrap/>
            <w:vAlign w:val="center"/>
          </w:tcPr>
          <w:p>
            <w:pPr>
              <w:pStyle w:val="20"/>
              <w:spacing w:before="0" w:beforeAutospacing="0" w:after="0" w:afterAutospacing="0"/>
              <w:jc w:val="center"/>
              <w:rPr>
                <w:rFonts w:hint="eastAsia"/>
                <w:szCs w:val="24"/>
              </w:rPr>
            </w:pPr>
            <w:r>
              <w:rPr>
                <w:rFonts w:hint="eastAsia"/>
                <w:szCs w:val="24"/>
              </w:rPr>
              <w:t>序号</w:t>
            </w:r>
          </w:p>
        </w:tc>
        <w:tc>
          <w:tcPr>
            <w:tcW w:w="4743" w:type="dxa"/>
            <w:noWrap w:val="0"/>
            <w:vAlign w:val="center"/>
          </w:tcPr>
          <w:p>
            <w:pPr>
              <w:pStyle w:val="20"/>
              <w:spacing w:before="0" w:beforeAutospacing="0" w:after="0" w:afterAutospacing="0"/>
              <w:jc w:val="center"/>
              <w:rPr>
                <w:rFonts w:hint="eastAsia"/>
                <w:szCs w:val="24"/>
              </w:rPr>
            </w:pPr>
            <w:r>
              <w:rPr>
                <w:rFonts w:hint="eastAsia"/>
                <w:szCs w:val="24"/>
              </w:rPr>
              <w:t>设备名称</w:t>
            </w:r>
          </w:p>
        </w:tc>
        <w:tc>
          <w:tcPr>
            <w:tcW w:w="824" w:type="dxa"/>
            <w:noWrap w:val="0"/>
            <w:vAlign w:val="center"/>
          </w:tcPr>
          <w:p>
            <w:pPr>
              <w:pStyle w:val="20"/>
              <w:spacing w:before="0" w:beforeAutospacing="0" w:after="0" w:afterAutospacing="0"/>
              <w:jc w:val="center"/>
              <w:rPr>
                <w:rFonts w:hint="eastAsia"/>
                <w:szCs w:val="24"/>
              </w:rPr>
            </w:pPr>
            <w:r>
              <w:rPr>
                <w:rFonts w:hint="eastAsia"/>
                <w:szCs w:val="24"/>
              </w:rPr>
              <w:t>单位</w:t>
            </w:r>
          </w:p>
        </w:tc>
        <w:tc>
          <w:tcPr>
            <w:tcW w:w="816" w:type="dxa"/>
            <w:noWrap w:val="0"/>
            <w:vAlign w:val="center"/>
          </w:tcPr>
          <w:p>
            <w:pPr>
              <w:pStyle w:val="20"/>
              <w:spacing w:before="0" w:beforeAutospacing="0" w:after="0" w:afterAutospacing="0"/>
              <w:jc w:val="center"/>
              <w:rPr>
                <w:rFonts w:hint="eastAsia"/>
                <w:szCs w:val="24"/>
              </w:rPr>
            </w:pPr>
            <w:r>
              <w:rPr>
                <w:rFonts w:hint="eastAsia"/>
                <w:szCs w:val="24"/>
              </w:rPr>
              <w:t>数量</w:t>
            </w:r>
          </w:p>
        </w:tc>
        <w:tc>
          <w:tcPr>
            <w:tcW w:w="1339" w:type="dxa"/>
            <w:noWrap w:val="0"/>
            <w:vAlign w:val="center"/>
          </w:tcPr>
          <w:p>
            <w:pPr>
              <w:pStyle w:val="20"/>
              <w:spacing w:before="0" w:beforeAutospacing="0" w:after="0" w:afterAutospacing="0"/>
              <w:jc w:val="center"/>
              <w:rPr>
                <w:rFonts w:hint="eastAsia"/>
                <w:szCs w:val="24"/>
              </w:rPr>
            </w:pPr>
            <w:r>
              <w:rPr>
                <w:rFonts w:hint="eastAsia"/>
                <w:szCs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0" w:type="dxa"/>
            <w:noWrap/>
            <w:vAlign w:val="center"/>
          </w:tcPr>
          <w:p>
            <w:pPr>
              <w:pStyle w:val="20"/>
              <w:spacing w:before="0" w:beforeAutospacing="0" w:after="0" w:afterAutospacing="0"/>
              <w:jc w:val="center"/>
              <w:rPr>
                <w:rFonts w:hint="eastAsia"/>
                <w:szCs w:val="24"/>
              </w:rPr>
            </w:pPr>
            <w:r>
              <w:rPr>
                <w:rFonts w:hint="eastAsia"/>
                <w:szCs w:val="24"/>
              </w:rPr>
              <w:t>1</w:t>
            </w:r>
          </w:p>
        </w:tc>
        <w:tc>
          <w:tcPr>
            <w:tcW w:w="4743" w:type="dxa"/>
            <w:noWrap/>
            <w:vAlign w:val="center"/>
          </w:tcPr>
          <w:p>
            <w:pPr>
              <w:widowControl/>
              <w:jc w:val="center"/>
              <w:rPr>
                <w:rFonts w:hint="eastAsia" w:ascii="宋体" w:hAnsi="宋体" w:cs="宋体"/>
                <w:sz w:val="24"/>
                <w:szCs w:val="24"/>
              </w:rPr>
            </w:pPr>
            <w:r>
              <w:rPr>
                <w:rFonts w:hint="eastAsia" w:ascii="宋体" w:hAnsi="宋体" w:cs="宋体"/>
                <w:b w:val="0"/>
                <w:bCs w:val="0"/>
                <w:sz w:val="24"/>
              </w:rPr>
              <w:t>▲</w:t>
            </w:r>
            <w:r>
              <w:rPr>
                <w:rFonts w:hint="eastAsia" w:ascii="宋体" w:hAnsi="宋体" w:cs="宋体"/>
                <w:sz w:val="24"/>
                <w:szCs w:val="24"/>
              </w:rPr>
              <w:t>粉尘颗粒物探测器实验系统</w:t>
            </w:r>
          </w:p>
        </w:tc>
        <w:tc>
          <w:tcPr>
            <w:tcW w:w="824" w:type="dxa"/>
            <w:noWrap w:val="0"/>
            <w:vAlign w:val="center"/>
          </w:tcPr>
          <w:p>
            <w:pPr>
              <w:widowControl/>
              <w:jc w:val="center"/>
              <w:rPr>
                <w:rFonts w:hint="eastAsia" w:ascii="宋体" w:hAnsi="宋体" w:cs="宋体"/>
                <w:sz w:val="24"/>
                <w:szCs w:val="24"/>
              </w:rPr>
            </w:pPr>
            <w:r>
              <w:rPr>
                <w:rFonts w:hint="eastAsia" w:ascii="Times New Roman" w:hAnsi="Times New Roman" w:cs="宋体"/>
                <w:kern w:val="0"/>
                <w:sz w:val="24"/>
                <w:szCs w:val="24"/>
              </w:rPr>
              <w:t>套</w:t>
            </w:r>
          </w:p>
        </w:tc>
        <w:tc>
          <w:tcPr>
            <w:tcW w:w="816" w:type="dxa"/>
            <w:noWrap/>
            <w:vAlign w:val="center"/>
          </w:tcPr>
          <w:p>
            <w:pPr>
              <w:widowControl/>
              <w:jc w:val="center"/>
              <w:rPr>
                <w:rFonts w:hint="eastAsia" w:ascii="宋体" w:hAnsi="宋体" w:cs="宋体"/>
                <w:sz w:val="24"/>
                <w:szCs w:val="24"/>
              </w:rPr>
            </w:pPr>
            <w:r>
              <w:rPr>
                <w:rFonts w:hint="eastAsia" w:ascii="Times New Roman" w:hAnsi="Times New Roman" w:cs="宋体"/>
                <w:kern w:val="0"/>
                <w:sz w:val="24"/>
                <w:szCs w:val="24"/>
              </w:rPr>
              <w:t>1</w:t>
            </w:r>
          </w:p>
        </w:tc>
        <w:tc>
          <w:tcPr>
            <w:tcW w:w="1339" w:type="dxa"/>
            <w:noWrap/>
            <w:vAlign w:val="center"/>
          </w:tcPr>
          <w:p>
            <w:pPr>
              <w:pStyle w:val="20"/>
              <w:spacing w:before="0" w:beforeAutospacing="0" w:after="0" w:afterAutospacing="0"/>
              <w:jc w:val="center"/>
              <w:rPr>
                <w:rFonts w:hint="default" w:eastAsia="宋体"/>
                <w:szCs w:val="24"/>
                <w:lang w:val="en-US" w:eastAsia="zh-CN"/>
              </w:rPr>
            </w:pPr>
            <w:r>
              <w:rPr>
                <w:rFonts w:hint="eastAsia"/>
                <w:szCs w:val="24"/>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0" w:type="dxa"/>
            <w:noWrap/>
            <w:vAlign w:val="center"/>
          </w:tcPr>
          <w:p>
            <w:pPr>
              <w:pStyle w:val="20"/>
              <w:spacing w:before="0" w:beforeAutospacing="0" w:after="0" w:afterAutospacing="0"/>
              <w:jc w:val="center"/>
              <w:rPr>
                <w:rFonts w:hint="eastAsia"/>
                <w:szCs w:val="24"/>
              </w:rPr>
            </w:pPr>
            <w:r>
              <w:rPr>
                <w:rFonts w:hint="eastAsia"/>
                <w:szCs w:val="24"/>
              </w:rPr>
              <w:t>2</w:t>
            </w:r>
          </w:p>
        </w:tc>
        <w:tc>
          <w:tcPr>
            <w:tcW w:w="4743" w:type="dxa"/>
            <w:noWrap/>
            <w:vAlign w:val="center"/>
          </w:tcPr>
          <w:p>
            <w:pPr>
              <w:widowControl/>
              <w:jc w:val="center"/>
              <w:rPr>
                <w:rFonts w:hint="eastAsia" w:ascii="宋体" w:hAnsi="宋体" w:cs="宋体"/>
                <w:sz w:val="24"/>
                <w:szCs w:val="24"/>
              </w:rPr>
            </w:pPr>
            <w:r>
              <w:rPr>
                <w:rFonts w:hint="eastAsia" w:ascii="宋体" w:hAnsi="宋体" w:cs="宋体"/>
                <w:b w:val="0"/>
                <w:bCs w:val="0"/>
                <w:sz w:val="24"/>
              </w:rPr>
              <w:t>▲</w:t>
            </w:r>
            <w:r>
              <w:rPr>
                <w:rFonts w:hint="eastAsia" w:ascii="宋体" w:hAnsi="宋体" w:cs="宋体"/>
                <w:sz w:val="24"/>
                <w:szCs w:val="24"/>
              </w:rPr>
              <w:t>深部岩体应力路径可控动静组合三维加载试验装置</w:t>
            </w:r>
          </w:p>
        </w:tc>
        <w:tc>
          <w:tcPr>
            <w:tcW w:w="824" w:type="dxa"/>
            <w:noWrap w:val="0"/>
            <w:vAlign w:val="center"/>
          </w:tcPr>
          <w:p>
            <w:pPr>
              <w:widowControl/>
              <w:jc w:val="center"/>
              <w:rPr>
                <w:rFonts w:hint="eastAsia" w:ascii="宋体" w:hAnsi="宋体" w:cs="宋体"/>
                <w:sz w:val="24"/>
                <w:szCs w:val="24"/>
              </w:rPr>
            </w:pPr>
            <w:r>
              <w:rPr>
                <w:rFonts w:hint="eastAsia" w:ascii="Times New Roman" w:hAnsi="Times New Roman" w:cs="宋体"/>
                <w:kern w:val="0"/>
                <w:sz w:val="24"/>
                <w:szCs w:val="24"/>
              </w:rPr>
              <w:t>套</w:t>
            </w:r>
          </w:p>
        </w:tc>
        <w:tc>
          <w:tcPr>
            <w:tcW w:w="816" w:type="dxa"/>
            <w:noWrap/>
            <w:vAlign w:val="center"/>
          </w:tcPr>
          <w:p>
            <w:pPr>
              <w:widowControl/>
              <w:jc w:val="center"/>
              <w:rPr>
                <w:rFonts w:hint="eastAsia" w:ascii="宋体" w:hAnsi="宋体" w:cs="宋体"/>
                <w:sz w:val="24"/>
                <w:szCs w:val="24"/>
              </w:rPr>
            </w:pPr>
            <w:r>
              <w:rPr>
                <w:rFonts w:hint="eastAsia" w:ascii="Times New Roman" w:hAnsi="Times New Roman" w:cs="宋体"/>
                <w:kern w:val="0"/>
                <w:sz w:val="24"/>
                <w:szCs w:val="24"/>
              </w:rPr>
              <w:t>1</w:t>
            </w:r>
          </w:p>
        </w:tc>
        <w:tc>
          <w:tcPr>
            <w:tcW w:w="1339" w:type="dxa"/>
            <w:noWrap/>
            <w:vAlign w:val="center"/>
          </w:tcPr>
          <w:p>
            <w:pPr>
              <w:pStyle w:val="20"/>
              <w:spacing w:before="0" w:beforeAutospacing="0" w:after="0" w:afterAutospacing="0"/>
              <w:jc w:val="center"/>
              <w:rPr>
                <w:rFonts w:hint="default" w:eastAsia="宋体"/>
                <w:szCs w:val="24"/>
                <w:lang w:val="en-US" w:eastAsia="zh-CN"/>
              </w:rPr>
            </w:pPr>
            <w:r>
              <w:rPr>
                <w:rFonts w:hint="eastAsia"/>
                <w:szCs w:val="24"/>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0" w:type="dxa"/>
            <w:noWrap/>
            <w:vAlign w:val="center"/>
          </w:tcPr>
          <w:p>
            <w:pPr>
              <w:pStyle w:val="20"/>
              <w:spacing w:before="0" w:beforeAutospacing="0" w:after="0" w:afterAutospacing="0"/>
              <w:jc w:val="center"/>
              <w:rPr>
                <w:rFonts w:hint="eastAsia"/>
                <w:szCs w:val="24"/>
              </w:rPr>
            </w:pPr>
            <w:r>
              <w:rPr>
                <w:rFonts w:hint="eastAsia"/>
                <w:szCs w:val="24"/>
              </w:rPr>
              <w:t>3</w:t>
            </w:r>
          </w:p>
        </w:tc>
        <w:tc>
          <w:tcPr>
            <w:tcW w:w="4743" w:type="dxa"/>
            <w:noWrap/>
            <w:vAlign w:val="center"/>
          </w:tcPr>
          <w:p>
            <w:pPr>
              <w:widowControl/>
              <w:jc w:val="center"/>
              <w:textAlignment w:val="center"/>
              <w:rPr>
                <w:rFonts w:hint="eastAsia" w:ascii="宋体" w:hAnsi="宋体" w:cs="宋体"/>
                <w:sz w:val="24"/>
                <w:szCs w:val="24"/>
              </w:rPr>
            </w:pPr>
            <w:r>
              <w:rPr>
                <w:rFonts w:hint="eastAsia" w:ascii="宋体" w:hAnsi="宋体" w:cs="宋体"/>
                <w:b w:val="0"/>
                <w:bCs w:val="0"/>
                <w:sz w:val="24"/>
              </w:rPr>
              <w:t>▲</w:t>
            </w:r>
            <w:r>
              <w:rPr>
                <w:rFonts w:hint="eastAsia" w:ascii="宋体" w:hAnsi="宋体" w:cs="宋体"/>
                <w:sz w:val="24"/>
                <w:szCs w:val="24"/>
              </w:rPr>
              <w:t>分子动力学研究平台</w:t>
            </w:r>
          </w:p>
        </w:tc>
        <w:tc>
          <w:tcPr>
            <w:tcW w:w="824" w:type="dxa"/>
            <w:noWrap w:val="0"/>
            <w:vAlign w:val="center"/>
          </w:tcPr>
          <w:p>
            <w:pPr>
              <w:widowControl/>
              <w:jc w:val="center"/>
              <w:textAlignment w:val="center"/>
              <w:rPr>
                <w:rFonts w:hint="eastAsia" w:ascii="宋体" w:hAnsi="宋体" w:cs="宋体"/>
                <w:sz w:val="24"/>
                <w:szCs w:val="24"/>
              </w:rPr>
            </w:pPr>
            <w:r>
              <w:rPr>
                <w:rFonts w:hint="eastAsia" w:ascii="Times New Roman" w:hAnsi="Times New Roman" w:cs="宋体"/>
                <w:kern w:val="0"/>
                <w:sz w:val="24"/>
                <w:szCs w:val="24"/>
              </w:rPr>
              <w:t>套</w:t>
            </w:r>
          </w:p>
        </w:tc>
        <w:tc>
          <w:tcPr>
            <w:tcW w:w="816" w:type="dxa"/>
            <w:noWrap/>
            <w:vAlign w:val="center"/>
          </w:tcPr>
          <w:p>
            <w:pPr>
              <w:widowControl/>
              <w:jc w:val="center"/>
              <w:textAlignment w:val="center"/>
              <w:rPr>
                <w:rFonts w:hint="eastAsia" w:ascii="宋体" w:hAnsi="宋体" w:cs="宋体"/>
                <w:sz w:val="24"/>
                <w:szCs w:val="24"/>
              </w:rPr>
            </w:pPr>
            <w:r>
              <w:rPr>
                <w:rFonts w:hint="eastAsia" w:ascii="Times New Roman" w:hAnsi="Times New Roman" w:cs="宋体"/>
                <w:kern w:val="0"/>
                <w:sz w:val="24"/>
                <w:szCs w:val="24"/>
              </w:rPr>
              <w:t>1</w:t>
            </w:r>
          </w:p>
        </w:tc>
        <w:tc>
          <w:tcPr>
            <w:tcW w:w="1339" w:type="dxa"/>
            <w:noWrap/>
            <w:vAlign w:val="center"/>
          </w:tcPr>
          <w:p>
            <w:pPr>
              <w:pStyle w:val="20"/>
              <w:spacing w:before="0" w:beforeAutospacing="0" w:after="0" w:afterAutospacing="0"/>
              <w:jc w:val="center"/>
              <w:rPr>
                <w:rFonts w:hint="default" w:eastAsia="宋体"/>
                <w:szCs w:val="24"/>
                <w:lang w:val="en-US" w:eastAsia="zh-CN"/>
              </w:rPr>
            </w:pPr>
            <w:r>
              <w:rPr>
                <w:rFonts w:hint="eastAsia"/>
                <w:szCs w:val="24"/>
                <w:lang w:val="en-US" w:eastAsia="zh-CN"/>
              </w:rPr>
              <w:t>163</w:t>
            </w:r>
          </w:p>
        </w:tc>
      </w:tr>
    </w:tbl>
    <w:p>
      <w:pPr>
        <w:pStyle w:val="20"/>
        <w:spacing w:before="0" w:beforeAutospacing="0" w:after="0" w:afterAutospacing="0" w:line="360" w:lineRule="auto"/>
        <w:ind w:firstLine="480" w:firstLineChars="200"/>
        <w:rPr>
          <w:rFonts w:hint="eastAsia"/>
          <w:szCs w:val="24"/>
        </w:rPr>
      </w:pPr>
      <w:r>
        <w:rPr>
          <w:rFonts w:hint="eastAsia"/>
          <w:szCs w:val="24"/>
        </w:rPr>
        <w:t>各货物产品的具体采购需求详见本招标文件“第三章 采购需求”</w:t>
      </w:r>
    </w:p>
    <w:p>
      <w:pPr>
        <w:pStyle w:val="20"/>
        <w:spacing w:before="0" w:beforeAutospacing="0" w:after="0" w:afterAutospacing="0" w:line="360" w:lineRule="auto"/>
        <w:ind w:firstLine="480" w:firstLineChars="200"/>
        <w:rPr>
          <w:rFonts w:hint="eastAsia"/>
          <w:szCs w:val="24"/>
        </w:rPr>
      </w:pPr>
      <w:r>
        <w:rPr>
          <w:rFonts w:hint="eastAsia"/>
          <w:szCs w:val="24"/>
        </w:rPr>
        <w:t>合同履约期限：包别 1</w:t>
      </w:r>
      <w:r>
        <w:rPr>
          <w:rFonts w:hint="eastAsia"/>
          <w:szCs w:val="24"/>
          <w:lang w:eastAsia="zh-CN"/>
        </w:rPr>
        <w:t>、</w:t>
      </w:r>
      <w:r>
        <w:rPr>
          <w:rFonts w:hint="eastAsia"/>
          <w:szCs w:val="24"/>
          <w:lang w:val="en-US" w:eastAsia="zh-CN"/>
        </w:rPr>
        <w:t>2、3</w:t>
      </w:r>
      <w:r>
        <w:rPr>
          <w:rFonts w:hint="eastAsia"/>
          <w:szCs w:val="24"/>
        </w:rPr>
        <w:t>，合同签订生效后30日内完成供货安装及调试并经验收合格，采购需求中各设备中有特殊要求的，按要求执行        </w:t>
      </w:r>
    </w:p>
    <w:p>
      <w:pPr>
        <w:pStyle w:val="20"/>
        <w:spacing w:before="0" w:beforeAutospacing="0" w:after="0" w:afterAutospacing="0" w:line="360" w:lineRule="auto"/>
        <w:ind w:firstLine="480" w:firstLineChars="200"/>
        <w:rPr>
          <w:szCs w:val="24"/>
        </w:rPr>
      </w:pPr>
      <w:r>
        <w:rPr>
          <w:rFonts w:hint="eastAsia"/>
          <w:szCs w:val="24"/>
        </w:rPr>
        <w:t>本项目(否)接受联合体。       </w:t>
      </w:r>
      <w:r>
        <w:rPr>
          <w:rFonts w:hint="eastAsia" w:ascii="仿宋" w:hAnsi="仿宋" w:eastAsia="仿宋" w:cs="仿宋"/>
          <w:szCs w:val="24"/>
        </w:rPr>
        <w:t xml:space="preserve">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二、申请人的资格要求：</w:t>
      </w:r>
      <w:r>
        <w:rPr>
          <w:rFonts w:ascii="黑体" w:eastAsia="黑体" w:cs="黑体"/>
          <w:szCs w:val="24"/>
        </w:rPr>
        <w:t> </w:t>
      </w:r>
    </w:p>
    <w:p>
      <w:pPr>
        <w:pStyle w:val="20"/>
        <w:spacing w:before="0" w:beforeAutospacing="0" w:after="0" w:afterAutospacing="0" w:line="360" w:lineRule="auto"/>
        <w:ind w:firstLine="480" w:firstLineChars="200"/>
        <w:rPr>
          <w:rFonts w:hint="eastAsia"/>
          <w:szCs w:val="24"/>
        </w:rPr>
      </w:pPr>
      <w:r>
        <w:rPr>
          <w:rFonts w:hint="eastAsia"/>
          <w:szCs w:val="24"/>
        </w:rPr>
        <w:t>1.满足《中华人民共和国政府采购法》第二十二条规定；         </w:t>
      </w:r>
    </w:p>
    <w:p>
      <w:pPr>
        <w:pStyle w:val="20"/>
        <w:spacing w:before="0" w:beforeAutospacing="0" w:after="0" w:afterAutospacing="0" w:line="360" w:lineRule="auto"/>
        <w:ind w:firstLine="480" w:firstLineChars="200"/>
        <w:rPr>
          <w:rFonts w:hint="eastAsia"/>
          <w:szCs w:val="24"/>
        </w:rPr>
      </w:pPr>
      <w:r>
        <w:rPr>
          <w:rFonts w:hint="eastAsia"/>
          <w:szCs w:val="24"/>
        </w:rPr>
        <w:t>2.落实政府采购政策需满足的资格要求：无         </w:t>
      </w:r>
    </w:p>
    <w:p>
      <w:pPr>
        <w:pStyle w:val="20"/>
        <w:spacing w:before="0" w:beforeAutospacing="0" w:after="0" w:afterAutospacing="0" w:line="360" w:lineRule="auto"/>
        <w:ind w:firstLine="480" w:firstLineChars="200"/>
        <w:rPr>
          <w:rFonts w:hint="default" w:eastAsia="宋体"/>
          <w:szCs w:val="24"/>
          <w:lang w:val="en-US" w:eastAsia="zh-CN"/>
        </w:rPr>
      </w:pPr>
      <w:r>
        <w:rPr>
          <w:rFonts w:hint="eastAsia"/>
          <w:szCs w:val="24"/>
        </w:rPr>
        <w:t>3.本项目的特定资格要求：</w:t>
      </w:r>
      <w:r>
        <w:rPr>
          <w:rFonts w:hint="eastAsia"/>
          <w:szCs w:val="24"/>
          <w:lang w:val="en-US" w:eastAsia="zh-CN"/>
        </w:rPr>
        <w:t>包别1、2、3</w:t>
      </w:r>
    </w:p>
    <w:p>
      <w:pPr>
        <w:pStyle w:val="20"/>
        <w:spacing w:before="0" w:beforeAutospacing="0" w:after="0" w:afterAutospacing="0" w:line="360" w:lineRule="auto"/>
        <w:ind w:firstLine="480" w:firstLineChars="200"/>
        <w:rPr>
          <w:rFonts w:hint="eastAsia"/>
          <w:szCs w:val="24"/>
        </w:rPr>
      </w:pPr>
      <w:r>
        <w:rPr>
          <w:rFonts w:hint="eastAsia"/>
          <w:szCs w:val="24"/>
        </w:rPr>
        <w:t>投标人不得存在以下不良信用记录情形：</w:t>
      </w:r>
    </w:p>
    <w:p>
      <w:pPr>
        <w:pStyle w:val="20"/>
        <w:spacing w:before="0" w:beforeAutospacing="0" w:after="0" w:afterAutospacing="0" w:line="360" w:lineRule="auto"/>
        <w:ind w:firstLine="480" w:firstLineChars="200"/>
        <w:rPr>
          <w:rFonts w:hint="eastAsia"/>
          <w:szCs w:val="24"/>
        </w:rPr>
      </w:pPr>
      <w:r>
        <w:rPr>
          <w:rFonts w:hint="eastAsia"/>
          <w:szCs w:val="24"/>
        </w:rPr>
        <w:t>（1）被人民法院列入失信被执行人；</w:t>
      </w:r>
    </w:p>
    <w:p>
      <w:pPr>
        <w:pStyle w:val="20"/>
        <w:spacing w:before="0" w:beforeAutospacing="0" w:after="0" w:afterAutospacing="0" w:line="360" w:lineRule="auto"/>
        <w:ind w:firstLine="480" w:firstLineChars="200"/>
        <w:rPr>
          <w:rFonts w:hint="eastAsia"/>
          <w:szCs w:val="24"/>
        </w:rPr>
      </w:pPr>
      <w:r>
        <w:rPr>
          <w:rFonts w:hint="eastAsia"/>
          <w:szCs w:val="24"/>
        </w:rPr>
        <w:t>（2）被税务部门列入重大税收违法案件当事人名单；</w:t>
      </w:r>
    </w:p>
    <w:p>
      <w:pPr>
        <w:pStyle w:val="20"/>
        <w:spacing w:before="0" w:beforeAutospacing="0" w:after="0" w:afterAutospacing="0" w:line="360" w:lineRule="auto"/>
        <w:ind w:firstLine="480" w:firstLineChars="200"/>
        <w:rPr>
          <w:szCs w:val="24"/>
        </w:rPr>
      </w:pPr>
      <w:r>
        <w:rPr>
          <w:rFonts w:hint="eastAsia"/>
          <w:szCs w:val="24"/>
        </w:rPr>
        <w:t>（3）被政府采购监管部门列入政府采购严重违法失信行为记录名单。 </w:t>
      </w:r>
      <w:r>
        <w:rPr>
          <w:rFonts w:hint="eastAsia" w:ascii="仿宋" w:hAnsi="仿宋" w:eastAsia="仿宋" w:cs="仿宋"/>
          <w:szCs w:val="24"/>
        </w:rPr>
        <w:t xml:space="preserve">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三、获取招标文件</w:t>
      </w:r>
      <w:r>
        <w:rPr>
          <w:rFonts w:ascii="黑体" w:eastAsia="黑体" w:cs="黑体"/>
          <w:szCs w:val="24"/>
        </w:rPr>
        <w:t> </w:t>
      </w:r>
    </w:p>
    <w:p>
      <w:pPr>
        <w:pStyle w:val="20"/>
        <w:spacing w:before="0" w:beforeAutospacing="0" w:after="0" w:afterAutospacing="0" w:line="360" w:lineRule="auto"/>
        <w:ind w:firstLine="480" w:firstLineChars="200"/>
        <w:rPr>
          <w:rFonts w:hint="eastAsia"/>
          <w:szCs w:val="24"/>
        </w:rPr>
      </w:pPr>
      <w:r>
        <w:rPr>
          <w:rFonts w:hint="eastAsia"/>
          <w:szCs w:val="24"/>
        </w:rPr>
        <w:t>时间：2023年07月</w:t>
      </w:r>
      <w:r>
        <w:rPr>
          <w:rFonts w:hint="eastAsia"/>
          <w:szCs w:val="24"/>
          <w:highlight w:val="none"/>
          <w:lang w:val="en-US" w:eastAsia="zh-CN"/>
        </w:rPr>
        <w:t>21</w:t>
      </w:r>
      <w:r>
        <w:rPr>
          <w:rFonts w:hint="eastAsia"/>
          <w:szCs w:val="24"/>
        </w:rPr>
        <w:t>日至2023年07月</w:t>
      </w:r>
      <w:r>
        <w:rPr>
          <w:rFonts w:hint="eastAsia"/>
          <w:szCs w:val="24"/>
          <w:highlight w:val="none"/>
          <w:lang w:val="en-US" w:eastAsia="zh-CN"/>
        </w:rPr>
        <w:t>28</w:t>
      </w:r>
      <w:r>
        <w:rPr>
          <w:rFonts w:hint="eastAsia"/>
          <w:szCs w:val="24"/>
        </w:rPr>
        <w:t>日，每天上午08:00至11:30，下午14:30至17:30(北京时间，法定节假日除外) </w:t>
      </w:r>
    </w:p>
    <w:p>
      <w:pPr>
        <w:pStyle w:val="20"/>
        <w:spacing w:before="0" w:beforeAutospacing="0" w:after="0" w:afterAutospacing="0" w:line="360" w:lineRule="auto"/>
        <w:ind w:firstLine="480" w:firstLineChars="200"/>
        <w:rPr>
          <w:rFonts w:hint="eastAsia"/>
          <w:szCs w:val="24"/>
        </w:rPr>
      </w:pPr>
      <w:r>
        <w:rPr>
          <w:rFonts w:hint="eastAsia"/>
          <w:szCs w:val="24"/>
        </w:rPr>
        <w:t>地点：安徽省政府采购网(www.ccgp-anhui.gov.cn)</w:t>
      </w:r>
    </w:p>
    <w:p>
      <w:pPr>
        <w:pStyle w:val="20"/>
        <w:spacing w:before="0" w:beforeAutospacing="0" w:after="0" w:afterAutospacing="0" w:line="360" w:lineRule="auto"/>
        <w:ind w:firstLine="480" w:firstLineChars="200"/>
        <w:rPr>
          <w:rFonts w:hint="eastAsia"/>
          <w:szCs w:val="24"/>
        </w:rPr>
      </w:pPr>
      <w:r>
        <w:rPr>
          <w:rFonts w:hint="eastAsia"/>
          <w:szCs w:val="24"/>
        </w:rPr>
        <w:t>方式：登陆安徽省政府采购网(www.ccgp-anhui.gov.cn)上网站并下载招标文件及相关附件，并向邮箱（317396152@qq.com）发送招标文件领取确认表（附后）</w:t>
      </w:r>
    </w:p>
    <w:p>
      <w:pPr>
        <w:pStyle w:val="20"/>
        <w:spacing w:before="0" w:beforeAutospacing="0" w:after="0" w:afterAutospacing="0" w:line="360" w:lineRule="auto"/>
        <w:ind w:firstLine="480" w:firstLineChars="200"/>
        <w:rPr>
          <w:rFonts w:hint="eastAsia"/>
          <w:szCs w:val="24"/>
        </w:rPr>
      </w:pPr>
      <w:r>
        <w:rPr>
          <w:rFonts w:hint="eastAsia"/>
          <w:szCs w:val="24"/>
        </w:rPr>
        <w:t>售价(元)：0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四、提交投标文件截止时间、开标时间和地点</w:t>
      </w:r>
      <w:r>
        <w:rPr>
          <w:rFonts w:ascii="黑体" w:eastAsia="黑体" w:cs="黑体"/>
          <w:szCs w:val="24"/>
        </w:rPr>
        <w:t>    </w:t>
      </w:r>
    </w:p>
    <w:p>
      <w:pPr>
        <w:pStyle w:val="20"/>
        <w:spacing w:before="0" w:beforeAutospacing="0" w:after="0" w:afterAutospacing="0" w:line="360" w:lineRule="auto"/>
        <w:ind w:firstLine="480" w:firstLineChars="200"/>
        <w:rPr>
          <w:rFonts w:hint="eastAsia"/>
          <w:szCs w:val="24"/>
        </w:rPr>
      </w:pPr>
      <w:r>
        <w:rPr>
          <w:rFonts w:hint="eastAsia"/>
          <w:szCs w:val="24"/>
        </w:rPr>
        <w:t>2023年08月</w:t>
      </w:r>
      <w:r>
        <w:rPr>
          <w:rFonts w:hint="eastAsia"/>
          <w:szCs w:val="24"/>
          <w:highlight w:val="none"/>
          <w:lang w:val="en-US" w:eastAsia="zh-CN"/>
        </w:rPr>
        <w:t>11</w:t>
      </w:r>
      <w:r>
        <w:rPr>
          <w:rFonts w:hint="eastAsia"/>
          <w:szCs w:val="24"/>
        </w:rPr>
        <w:t>日 09:00 (北京时间)</w:t>
      </w:r>
    </w:p>
    <w:p>
      <w:pPr>
        <w:pStyle w:val="20"/>
        <w:spacing w:before="0" w:beforeAutospacing="0" w:after="0" w:afterAutospacing="0" w:line="360" w:lineRule="auto"/>
        <w:ind w:firstLine="480" w:firstLineChars="200"/>
        <w:rPr>
          <w:rFonts w:hint="eastAsia"/>
          <w:szCs w:val="24"/>
        </w:rPr>
      </w:pPr>
      <w:r>
        <w:rPr>
          <w:rFonts w:hint="eastAsia"/>
          <w:szCs w:val="24"/>
        </w:rPr>
        <w:t>地点：淮南众信政府采购代理服务有限公司开标会议室（安徽省淮南市田家庵区淮舜南路华茂大厦4F）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五、公告期限</w:t>
      </w:r>
      <w:r>
        <w:rPr>
          <w:rFonts w:ascii="黑体" w:eastAsia="黑体" w:cs="黑体"/>
          <w:szCs w:val="24"/>
        </w:rPr>
        <w:t> </w:t>
      </w:r>
    </w:p>
    <w:p>
      <w:pPr>
        <w:pStyle w:val="20"/>
        <w:spacing w:before="0" w:beforeAutospacing="0" w:after="0" w:afterAutospacing="0" w:line="360" w:lineRule="auto"/>
        <w:ind w:firstLine="480" w:firstLineChars="200"/>
        <w:rPr>
          <w:rFonts w:ascii="sans-serif" w:hAnsi="sans-serif" w:eastAsia="sans-serif" w:cs="sans-serif"/>
          <w:szCs w:val="24"/>
        </w:rPr>
      </w:pPr>
      <w:r>
        <w:rPr>
          <w:rFonts w:hint="eastAsia"/>
          <w:szCs w:val="24"/>
        </w:rPr>
        <w:t>自本公告发布之日起5个工作日。</w:t>
      </w:r>
      <w:r>
        <w:rPr>
          <w:szCs w:val="24"/>
        </w:rPr>
        <w:t>  </w:t>
      </w:r>
      <w:r>
        <w:rPr>
          <w:rFonts w:ascii="sans-serif" w:hAnsi="sans-serif" w:eastAsia="sans-serif" w:cs="sans-serif"/>
          <w:szCs w:val="24"/>
        </w:rPr>
        <w:t xml:space="preserve">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六、其他补充事宜</w:t>
      </w:r>
      <w:r>
        <w:rPr>
          <w:rFonts w:ascii="黑体" w:eastAsia="黑体" w:cs="黑体"/>
          <w:szCs w:val="24"/>
        </w:rPr>
        <w:t>    </w:t>
      </w:r>
    </w:p>
    <w:p>
      <w:pPr>
        <w:pStyle w:val="20"/>
        <w:spacing w:before="0" w:beforeAutospacing="0" w:after="0" w:afterAutospacing="0" w:line="360" w:lineRule="auto"/>
        <w:ind w:firstLine="480" w:firstLineChars="200"/>
        <w:rPr>
          <w:rFonts w:hint="eastAsia"/>
          <w:szCs w:val="24"/>
        </w:rPr>
      </w:pPr>
      <w:r>
        <w:rPr>
          <w:rFonts w:hint="eastAsia"/>
          <w:szCs w:val="24"/>
        </w:rPr>
        <w:t>1.本项目落实节能环保、中小微企业扶持等相关政府采购政策；</w:t>
      </w:r>
    </w:p>
    <w:p>
      <w:pPr>
        <w:pStyle w:val="20"/>
        <w:spacing w:before="0" w:beforeAutospacing="0" w:after="0" w:afterAutospacing="0" w:line="360" w:lineRule="auto"/>
        <w:ind w:firstLine="480" w:firstLineChars="200"/>
        <w:rPr>
          <w:rFonts w:hint="eastAsia"/>
          <w:szCs w:val="24"/>
        </w:rPr>
      </w:pPr>
      <w:r>
        <w:rPr>
          <w:rFonts w:hint="eastAsia"/>
          <w:szCs w:val="24"/>
        </w:rPr>
        <w:t>2.本次招标公告在安徽省政府采购网(www.ccgp-anhui.gov.cn)上发布；</w:t>
      </w:r>
    </w:p>
    <w:p>
      <w:pPr>
        <w:pStyle w:val="20"/>
        <w:spacing w:before="0" w:beforeAutospacing="0" w:after="0" w:afterAutospacing="0" w:line="360" w:lineRule="auto"/>
        <w:ind w:firstLine="480" w:firstLineChars="200"/>
        <w:rPr>
          <w:rFonts w:hint="eastAsia"/>
          <w:szCs w:val="24"/>
        </w:rPr>
      </w:pPr>
      <w:r>
        <w:rPr>
          <w:rFonts w:hint="eastAsia"/>
          <w:szCs w:val="24"/>
        </w:rPr>
        <w:t>3.投标人应合理安排招标文件获取时间，特别是网络速度慢的地区防止在系统关闭前网络拥堵无法操作。如果因计算机及网络故障造成无法完成招标文件获取，责任自负。</w:t>
      </w:r>
    </w:p>
    <w:p>
      <w:pPr>
        <w:pStyle w:val="20"/>
        <w:spacing w:before="0" w:beforeAutospacing="0" w:after="0" w:afterAutospacing="0" w:line="360" w:lineRule="auto"/>
        <w:ind w:firstLine="480" w:firstLineChars="200"/>
        <w:rPr>
          <w:szCs w:val="24"/>
        </w:rPr>
      </w:pPr>
      <w:r>
        <w:rPr>
          <w:rFonts w:hint="eastAsia"/>
          <w:szCs w:val="24"/>
        </w:rPr>
        <w:t>4.本项目符合财政部、工业和信息化部制定的《政府采购促进中小企业发展管理办法》第六条第3款之规定，为非专门面向中小微企业采购，其理由为：按照《政府采购促进中小企业发展管理办法》（财库〔2020〕46号）规定预留采购份额无法确保充分供应、充分竞争，或者存在可能影响政府采购目标实现的情形。各潜在投标供应商对此有疑问，可以通过书面形式提交质疑。  </w:t>
      </w:r>
      <w:r>
        <w:rPr>
          <w:szCs w:val="24"/>
        </w:rPr>
        <w:t>    </w:t>
      </w:r>
    </w:p>
    <w:p>
      <w:pPr>
        <w:pStyle w:val="20"/>
        <w:spacing w:before="0" w:beforeAutospacing="0" w:after="0" w:afterAutospacing="0" w:line="360" w:lineRule="auto"/>
        <w:jc w:val="both"/>
        <w:rPr>
          <w:rFonts w:ascii="黑体" w:eastAsia="黑体" w:cs="黑体"/>
          <w:szCs w:val="24"/>
        </w:rPr>
      </w:pPr>
      <w:r>
        <w:rPr>
          <w:rStyle w:val="28"/>
          <w:rFonts w:ascii="黑体" w:eastAsia="黑体" w:cs="黑体"/>
          <w:szCs w:val="24"/>
        </w:rPr>
        <w:t>七、对本次招标提出询问，请按以下方式联系。</w:t>
      </w:r>
      <w:r>
        <w:rPr>
          <w:rFonts w:ascii="黑体" w:eastAsia="黑体" w:cs="黑体"/>
          <w:szCs w:val="24"/>
        </w:rPr>
        <w:t>    </w:t>
      </w:r>
    </w:p>
    <w:p>
      <w:pPr>
        <w:pStyle w:val="20"/>
        <w:spacing w:before="0" w:beforeAutospacing="0" w:after="0" w:afterAutospacing="0" w:line="360" w:lineRule="auto"/>
        <w:ind w:firstLine="480" w:firstLineChars="200"/>
        <w:rPr>
          <w:rFonts w:hint="eastAsia"/>
          <w:szCs w:val="24"/>
        </w:rPr>
      </w:pPr>
      <w:r>
        <w:rPr>
          <w:rFonts w:hint="eastAsia"/>
          <w:szCs w:val="24"/>
        </w:rPr>
        <w:t>1.采购人信息        </w:t>
      </w:r>
    </w:p>
    <w:p>
      <w:pPr>
        <w:pStyle w:val="20"/>
        <w:spacing w:before="0" w:beforeAutospacing="0" w:after="0" w:afterAutospacing="0" w:line="360" w:lineRule="auto"/>
        <w:ind w:firstLine="480" w:firstLineChars="200"/>
        <w:rPr>
          <w:rFonts w:hint="eastAsia"/>
          <w:szCs w:val="24"/>
        </w:rPr>
      </w:pPr>
      <w:r>
        <w:rPr>
          <w:rFonts w:hint="eastAsia"/>
          <w:szCs w:val="24"/>
        </w:rPr>
        <w:t>名称：安徽理工大学         </w:t>
      </w:r>
    </w:p>
    <w:p>
      <w:pPr>
        <w:pStyle w:val="20"/>
        <w:spacing w:before="0" w:beforeAutospacing="0" w:after="0" w:afterAutospacing="0" w:line="360" w:lineRule="auto"/>
        <w:ind w:firstLine="480" w:firstLineChars="200"/>
        <w:rPr>
          <w:rFonts w:hint="eastAsia"/>
          <w:szCs w:val="24"/>
        </w:rPr>
      </w:pPr>
      <w:r>
        <w:rPr>
          <w:rFonts w:hint="eastAsia"/>
          <w:szCs w:val="24"/>
        </w:rPr>
        <w:t>地址：淮南市泰丰大街168号         </w:t>
      </w:r>
    </w:p>
    <w:p>
      <w:pPr>
        <w:pStyle w:val="20"/>
        <w:spacing w:before="0" w:beforeAutospacing="0" w:after="0" w:afterAutospacing="0" w:line="360" w:lineRule="auto"/>
        <w:ind w:firstLine="480" w:firstLineChars="200"/>
        <w:rPr>
          <w:rFonts w:hint="eastAsia"/>
          <w:szCs w:val="24"/>
        </w:rPr>
      </w:pPr>
      <w:r>
        <w:rPr>
          <w:rFonts w:hint="eastAsia"/>
          <w:szCs w:val="24"/>
        </w:rPr>
        <w:t>联系方式：0554-6634216          </w:t>
      </w:r>
    </w:p>
    <w:p>
      <w:pPr>
        <w:pStyle w:val="20"/>
        <w:spacing w:before="0" w:beforeAutospacing="0" w:after="0" w:afterAutospacing="0" w:line="360" w:lineRule="auto"/>
        <w:ind w:firstLine="480" w:firstLineChars="200"/>
        <w:rPr>
          <w:rFonts w:hint="eastAsia"/>
          <w:szCs w:val="24"/>
        </w:rPr>
      </w:pPr>
      <w:r>
        <w:rPr>
          <w:rFonts w:hint="eastAsia"/>
          <w:szCs w:val="24"/>
        </w:rPr>
        <w:t>2.采购代理机构信息(如有)</w:t>
      </w:r>
    </w:p>
    <w:p>
      <w:pPr>
        <w:pStyle w:val="20"/>
        <w:spacing w:before="0" w:beforeAutospacing="0" w:after="0" w:afterAutospacing="0" w:line="360" w:lineRule="auto"/>
        <w:ind w:firstLine="480" w:firstLineChars="200"/>
        <w:rPr>
          <w:rFonts w:hint="eastAsia"/>
          <w:szCs w:val="24"/>
        </w:rPr>
      </w:pPr>
      <w:r>
        <w:rPr>
          <w:rFonts w:hint="eastAsia"/>
          <w:szCs w:val="24"/>
        </w:rPr>
        <w:t>名称：淮南众信政府采购代理服务有限公司</w:t>
      </w:r>
    </w:p>
    <w:p>
      <w:pPr>
        <w:pStyle w:val="20"/>
        <w:spacing w:before="0" w:beforeAutospacing="0" w:after="0" w:afterAutospacing="0" w:line="360" w:lineRule="auto"/>
        <w:ind w:firstLine="480" w:firstLineChars="200"/>
        <w:rPr>
          <w:szCs w:val="24"/>
        </w:rPr>
      </w:pPr>
      <w:r>
        <w:rPr>
          <w:rFonts w:hint="eastAsia"/>
          <w:szCs w:val="24"/>
        </w:rPr>
        <w:t>地址：安徽省淮南市田家庵区淮舜南路华茂大厦407</w:t>
      </w:r>
    </w:p>
    <w:p>
      <w:pPr>
        <w:pStyle w:val="20"/>
        <w:spacing w:before="0" w:beforeAutospacing="0" w:after="0" w:afterAutospacing="0" w:line="360" w:lineRule="auto"/>
        <w:ind w:firstLine="480" w:firstLineChars="200"/>
        <w:rPr>
          <w:rFonts w:hint="eastAsia"/>
          <w:szCs w:val="24"/>
        </w:rPr>
      </w:pPr>
      <w:r>
        <w:rPr>
          <w:rFonts w:hint="eastAsia"/>
          <w:szCs w:val="24"/>
        </w:rPr>
        <w:t>联系方式：0554-2687798 </w:t>
      </w:r>
    </w:p>
    <w:p>
      <w:pPr>
        <w:pStyle w:val="20"/>
        <w:spacing w:before="0" w:beforeAutospacing="0" w:after="0" w:afterAutospacing="0" w:line="360" w:lineRule="auto"/>
        <w:ind w:firstLine="480" w:firstLineChars="200"/>
        <w:rPr>
          <w:rFonts w:hint="eastAsia"/>
          <w:szCs w:val="24"/>
        </w:rPr>
      </w:pPr>
      <w:r>
        <w:rPr>
          <w:rFonts w:hint="eastAsia"/>
          <w:szCs w:val="24"/>
        </w:rPr>
        <w:t>3.项目联系方式</w:t>
      </w:r>
    </w:p>
    <w:p>
      <w:pPr>
        <w:pStyle w:val="20"/>
        <w:spacing w:before="0" w:beforeAutospacing="0" w:after="0" w:afterAutospacing="0" w:line="360" w:lineRule="auto"/>
        <w:ind w:firstLine="480" w:firstLineChars="200"/>
        <w:rPr>
          <w:rFonts w:hint="eastAsia"/>
          <w:szCs w:val="24"/>
        </w:rPr>
      </w:pPr>
      <w:r>
        <w:rPr>
          <w:rFonts w:hint="eastAsia"/>
          <w:szCs w:val="24"/>
        </w:rPr>
        <w:t>项目联系人：柯博竞</w:t>
      </w:r>
    </w:p>
    <w:p>
      <w:pPr>
        <w:pStyle w:val="20"/>
        <w:spacing w:before="0" w:beforeAutospacing="0" w:after="0" w:afterAutospacing="0" w:line="360" w:lineRule="auto"/>
        <w:ind w:firstLine="480" w:firstLineChars="200"/>
        <w:rPr>
          <w:szCs w:val="24"/>
        </w:rPr>
      </w:pPr>
      <w:r>
        <w:rPr>
          <w:rFonts w:hint="eastAsia"/>
          <w:szCs w:val="24"/>
        </w:rPr>
        <w:t>电    话：13355549319</w:t>
      </w:r>
    </w:p>
    <w:p>
      <w:pPr>
        <w:widowControl/>
        <w:jc w:val="left"/>
        <w:rPr>
          <w:rFonts w:ascii="Arial" w:hAnsi="Arial" w:cs="Arial"/>
          <w:bCs/>
          <w:sz w:val="24"/>
          <w:szCs w:val="24"/>
        </w:rPr>
      </w:pPr>
    </w:p>
    <w:p>
      <w:pPr>
        <w:spacing w:line="360" w:lineRule="auto"/>
        <w:jc w:val="left"/>
        <w:outlineLvl w:val="1"/>
        <w:rPr>
          <w:rFonts w:hint="eastAsia" w:ascii="Arial" w:hAnsi="Arial" w:cs="宋体"/>
          <w:sz w:val="24"/>
          <w:szCs w:val="24"/>
        </w:rPr>
      </w:pPr>
      <w:bookmarkStart w:id="8" w:name="_Toc152"/>
      <w:r>
        <w:rPr>
          <w:rFonts w:hint="eastAsia" w:ascii="Arial" w:hAnsi="Arial" w:cs="Arial"/>
          <w:b/>
          <w:sz w:val="28"/>
        </w:rPr>
        <w:br w:type="page"/>
      </w:r>
      <w:bookmarkStart w:id="9" w:name="_Toc11486"/>
      <w:r>
        <w:rPr>
          <w:rFonts w:hint="eastAsia" w:ascii="Arial" w:hAnsi="Arial" w:cs="宋体"/>
          <w:sz w:val="24"/>
          <w:szCs w:val="24"/>
        </w:rPr>
        <w:t>附：招标文件领取确认表</w:t>
      </w:r>
      <w:bookmarkEnd w:id="9"/>
    </w:p>
    <w:p>
      <w:pPr>
        <w:spacing w:line="360" w:lineRule="auto"/>
        <w:jc w:val="center"/>
        <w:outlineLvl w:val="1"/>
        <w:rPr>
          <w:rFonts w:hint="eastAsia" w:ascii="Arial" w:hAnsi="Arial" w:cs="宋体"/>
          <w:b/>
          <w:bCs/>
          <w:sz w:val="24"/>
          <w:szCs w:val="24"/>
        </w:rPr>
      </w:pPr>
      <w:bookmarkStart w:id="10" w:name="_Toc20534"/>
      <w:r>
        <w:rPr>
          <w:rFonts w:hint="eastAsia" w:ascii="Arial" w:hAnsi="Arial" w:cs="宋体"/>
          <w:b/>
          <w:bCs/>
          <w:sz w:val="24"/>
          <w:szCs w:val="24"/>
        </w:rPr>
        <w:t>招标文件领取确认表</w:t>
      </w:r>
      <w:bookmarkEnd w:id="10"/>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3150"/>
        <w:gridCol w:w="1738"/>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1487" w:type="dxa"/>
            <w:noWrap w:val="0"/>
            <w:vAlign w:val="center"/>
          </w:tcPr>
          <w:p>
            <w:pPr>
              <w:jc w:val="center"/>
            </w:pPr>
            <w:r>
              <w:rPr>
                <w:rFonts w:hint="eastAsia"/>
              </w:rPr>
              <w:t>投标项目名称</w:t>
            </w:r>
          </w:p>
        </w:tc>
        <w:tc>
          <w:tcPr>
            <w:tcW w:w="7035" w:type="dxa"/>
            <w:gridSpan w:val="3"/>
            <w:noWrap w:val="0"/>
            <w:vAlign w:val="center"/>
          </w:tcPr>
          <w:p>
            <w:pPr>
              <w:jc w:val="center"/>
              <w:rPr>
                <w:rFonts w:hint="eastAsia" w:eastAsia="宋体"/>
                <w:lang w:eastAsia="zh-CN"/>
              </w:rPr>
            </w:pPr>
            <w:r>
              <w:rPr>
                <w:rFonts w:hint="eastAsia" w:ascii="Arial" w:hAnsi="Arial" w:cs="Arial"/>
                <w:sz w:val="24"/>
                <w:szCs w:val="24"/>
                <w:lang w:eastAsia="zh-CN"/>
              </w:rPr>
              <w:t>安徽理工大学2023年高峰学科仪器设备购置项目（六）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87" w:type="dxa"/>
            <w:noWrap w:val="0"/>
            <w:vAlign w:val="center"/>
          </w:tcPr>
          <w:p>
            <w:pPr>
              <w:jc w:val="center"/>
            </w:pPr>
            <w:r>
              <w:rPr>
                <w:rFonts w:hint="eastAsia"/>
              </w:rPr>
              <w:t>投标项目编号</w:t>
            </w:r>
          </w:p>
        </w:tc>
        <w:tc>
          <w:tcPr>
            <w:tcW w:w="7035" w:type="dxa"/>
            <w:gridSpan w:val="3"/>
            <w:noWrap w:val="0"/>
            <w:vAlign w:val="center"/>
          </w:tcPr>
          <w:p>
            <w:pPr>
              <w:jc w:val="center"/>
            </w:pPr>
            <w:r>
              <w:rPr>
                <w:rFonts w:hint="eastAsia" w:ascii="Arial" w:hAnsi="Arial" w:cs="Arial"/>
                <w:sz w:val="24"/>
                <w:szCs w:val="24"/>
                <w:lang w:eastAsia="zh-CN"/>
              </w:rPr>
              <w:t>FSKY34000120236027</w:t>
            </w:r>
            <w:r>
              <w:rPr>
                <w:rFonts w:hint="eastAsia" w:ascii="Arial" w:hAnsi="Arial" w:cs="Arial"/>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87" w:type="dxa"/>
            <w:noWrap w:val="0"/>
            <w:vAlign w:val="center"/>
          </w:tcPr>
          <w:p>
            <w:pPr>
              <w:jc w:val="center"/>
            </w:pPr>
            <w:r>
              <w:rPr>
                <w:rFonts w:hint="eastAsia"/>
              </w:rPr>
              <w:t>投标包号</w:t>
            </w:r>
          </w:p>
        </w:tc>
        <w:tc>
          <w:tcPr>
            <w:tcW w:w="7035" w:type="dxa"/>
            <w:gridSpan w:val="3"/>
            <w:noWrap w:val="0"/>
            <w:vAlign w:val="center"/>
          </w:tcPr>
          <w:p>
            <w:pPr>
              <w:jc w:val="center"/>
              <w:rPr>
                <w:rFonts w:hint="default" w:eastAsia="宋体"/>
                <w:lang w:val="en-US" w:eastAsia="zh-CN"/>
              </w:rPr>
            </w:pPr>
            <w:r>
              <w:rPr>
                <w:rFonts w:hint="default" w:eastAsia="宋体"/>
                <w:lang w:val="en-US" w:eastAsia="zh-CN"/>
              </w:rPr>
              <w:t>可以填写多个包号，请用“、”分割（例如1、2……）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87" w:type="dxa"/>
            <w:noWrap w:val="0"/>
            <w:vAlign w:val="center"/>
          </w:tcPr>
          <w:p>
            <w:pPr>
              <w:jc w:val="center"/>
              <w:rPr>
                <w:rFonts w:hint="eastAsia"/>
              </w:rPr>
            </w:pPr>
            <w:r>
              <w:rPr>
                <w:rFonts w:hint="eastAsia"/>
              </w:rPr>
              <w:t>投标人名称</w:t>
            </w:r>
          </w:p>
        </w:tc>
        <w:tc>
          <w:tcPr>
            <w:tcW w:w="703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87" w:type="dxa"/>
            <w:noWrap w:val="0"/>
            <w:vAlign w:val="center"/>
          </w:tcPr>
          <w:p>
            <w:pPr>
              <w:jc w:val="center"/>
            </w:pPr>
            <w:r>
              <w:rPr>
                <w:rFonts w:hint="eastAsia"/>
              </w:rPr>
              <w:t>下载招标文件时间</w:t>
            </w:r>
          </w:p>
        </w:tc>
        <w:tc>
          <w:tcPr>
            <w:tcW w:w="7035" w:type="dxa"/>
            <w:gridSpan w:val="3"/>
            <w:noWrap w:val="0"/>
            <w:vAlign w:val="center"/>
          </w:tcPr>
          <w:p>
            <w:pPr>
              <w:jc w:val="center"/>
            </w:pPr>
            <w:r>
              <w:rPr>
                <w:rFonts w:hint="eastAsia"/>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87" w:type="dxa"/>
            <w:noWrap w:val="0"/>
            <w:vAlign w:val="center"/>
          </w:tcPr>
          <w:p>
            <w:pPr>
              <w:jc w:val="center"/>
            </w:pPr>
            <w:r>
              <w:rPr>
                <w:rFonts w:hint="eastAsia"/>
              </w:rPr>
              <w:t>联系电话</w:t>
            </w:r>
          </w:p>
        </w:tc>
        <w:tc>
          <w:tcPr>
            <w:tcW w:w="3150" w:type="dxa"/>
            <w:noWrap w:val="0"/>
            <w:vAlign w:val="center"/>
          </w:tcPr>
          <w:p>
            <w:pPr>
              <w:jc w:val="center"/>
            </w:pPr>
          </w:p>
        </w:tc>
        <w:tc>
          <w:tcPr>
            <w:tcW w:w="1738" w:type="dxa"/>
            <w:noWrap w:val="0"/>
            <w:vAlign w:val="center"/>
          </w:tcPr>
          <w:p>
            <w:pPr>
              <w:jc w:val="center"/>
            </w:pPr>
            <w:r>
              <w:rPr>
                <w:rFonts w:hint="eastAsia"/>
              </w:rPr>
              <w:t>邮箱</w:t>
            </w:r>
          </w:p>
        </w:tc>
        <w:tc>
          <w:tcPr>
            <w:tcW w:w="214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jc w:val="center"/>
        </w:trPr>
        <w:tc>
          <w:tcPr>
            <w:tcW w:w="1487" w:type="dxa"/>
            <w:noWrap w:val="0"/>
            <w:vAlign w:val="center"/>
          </w:tcPr>
          <w:p>
            <w:pPr>
              <w:jc w:val="center"/>
            </w:pPr>
            <w:r>
              <w:rPr>
                <w:rFonts w:hint="eastAsia"/>
              </w:rPr>
              <w:t>其他需要</w:t>
            </w:r>
          </w:p>
          <w:p>
            <w:pPr>
              <w:jc w:val="center"/>
            </w:pPr>
            <w:r>
              <w:rPr>
                <w:rFonts w:hint="eastAsia"/>
              </w:rPr>
              <w:t>说明的</w:t>
            </w:r>
          </w:p>
        </w:tc>
        <w:tc>
          <w:tcPr>
            <w:tcW w:w="7035" w:type="dxa"/>
            <w:gridSpan w:val="3"/>
            <w:noWrap w:val="0"/>
            <w:vAlign w:val="center"/>
          </w:tcPr>
          <w:p>
            <w:pPr>
              <w:jc w:val="center"/>
            </w:pPr>
          </w:p>
        </w:tc>
      </w:tr>
    </w:tbl>
    <w:p>
      <w:pPr>
        <w:spacing w:line="360" w:lineRule="auto"/>
        <w:jc w:val="center"/>
        <w:outlineLvl w:val="1"/>
        <w:rPr>
          <w:rFonts w:ascii="Arial" w:hAnsi="Arial" w:cs="Arial"/>
          <w:b/>
          <w:sz w:val="28"/>
        </w:rPr>
      </w:pPr>
      <w:r>
        <w:rPr>
          <w:rFonts w:hint="eastAsia" w:ascii="Arial" w:hAnsi="Arial" w:cs="Arial"/>
          <w:b/>
          <w:sz w:val="28"/>
        </w:rPr>
        <w:br w:type="page"/>
      </w:r>
      <w:bookmarkStart w:id="11" w:name="_Toc31689"/>
      <w:r>
        <w:rPr>
          <w:rFonts w:hint="eastAsia" w:ascii="Arial" w:hAnsi="Arial" w:cs="Arial"/>
          <w:b/>
          <w:sz w:val="28"/>
        </w:rPr>
        <w:t>第二章</w:t>
      </w:r>
      <w:r>
        <w:rPr>
          <w:rFonts w:ascii="Arial" w:hAnsi="Arial" w:cs="Arial"/>
          <w:b/>
          <w:sz w:val="28"/>
        </w:rPr>
        <w:t xml:space="preserve">  </w:t>
      </w:r>
      <w:r>
        <w:rPr>
          <w:rFonts w:hint="eastAsia" w:ascii="Arial" w:hAnsi="Arial" w:cs="Arial"/>
          <w:b/>
          <w:sz w:val="28"/>
        </w:rPr>
        <w:t>投标人须知</w:t>
      </w:r>
      <w:bookmarkEnd w:id="8"/>
      <w:bookmarkEnd w:id="11"/>
    </w:p>
    <w:p>
      <w:pPr>
        <w:spacing w:line="360" w:lineRule="auto"/>
        <w:jc w:val="center"/>
        <w:outlineLvl w:val="2"/>
        <w:rPr>
          <w:rFonts w:ascii="Arial" w:hAnsi="Arial" w:cs="Arial"/>
          <w:b/>
          <w:sz w:val="24"/>
        </w:rPr>
      </w:pPr>
      <w:r>
        <w:rPr>
          <w:rFonts w:hint="eastAsia" w:ascii="Arial" w:hAnsi="Arial" w:cs="Arial"/>
          <w:b/>
          <w:sz w:val="24"/>
        </w:rPr>
        <w:t>一、投标人须知前附表</w:t>
      </w:r>
    </w:p>
    <w:p>
      <w:pPr>
        <w:spacing w:line="360" w:lineRule="auto"/>
        <w:ind w:firstLine="435"/>
        <w:rPr>
          <w:rFonts w:ascii="Arial" w:hAnsi="Arial" w:cs="Arial"/>
          <w:sz w:val="24"/>
          <w:szCs w:val="18"/>
        </w:rPr>
      </w:pPr>
      <w:r>
        <w:rPr>
          <w:rFonts w:hint="eastAsia" w:ascii="Arial" w:hAnsi="Arial" w:cs="Arial"/>
          <w:b/>
          <w:bCs/>
          <w:sz w:val="24"/>
          <w:szCs w:val="18"/>
        </w:rPr>
        <w:t>注：</w:t>
      </w:r>
      <w:r>
        <w:rPr>
          <w:rFonts w:hint="eastAsia" w:ascii="Arial" w:hAnsi="Arial" w:cs="Arial"/>
          <w:sz w:val="24"/>
          <w:szCs w:val="18"/>
        </w:rPr>
        <w:t>本表是本项目的具体要求，是对投标人须知的具体补充和修改，如有不一致，以本表为准。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190"/>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7"/>
              <w:widowControl w:val="0"/>
              <w:spacing w:before="0" w:beforeAutospacing="0" w:after="0" w:afterAutospacing="0" w:line="0" w:lineRule="atLeast"/>
              <w:rPr>
                <w:rFonts w:ascii="Arial" w:hAnsi="Arial" w:cs="Arial"/>
                <w:bCs w:val="0"/>
                <w:kern w:val="2"/>
                <w:sz w:val="24"/>
                <w:szCs w:val="20"/>
              </w:rPr>
            </w:pPr>
            <w:r>
              <w:rPr>
                <w:rFonts w:hint="eastAsia" w:ascii="Arial" w:hAnsi="Arial" w:cs="Arial"/>
                <w:bCs w:val="0"/>
                <w:kern w:val="2"/>
                <w:sz w:val="24"/>
                <w:szCs w:val="20"/>
              </w:rPr>
              <w:t>序号</w:t>
            </w:r>
          </w:p>
        </w:tc>
        <w:tc>
          <w:tcPr>
            <w:tcW w:w="2190" w:type="dxa"/>
            <w:noWrap w:val="0"/>
            <w:vAlign w:val="center"/>
          </w:tcPr>
          <w:p>
            <w:pPr>
              <w:pStyle w:val="77"/>
              <w:widowControl w:val="0"/>
              <w:spacing w:before="0" w:beforeAutospacing="0" w:after="0" w:afterAutospacing="0" w:line="0" w:lineRule="atLeast"/>
              <w:rPr>
                <w:rFonts w:ascii="Arial" w:hAnsi="Arial" w:cs="Arial"/>
                <w:bCs w:val="0"/>
                <w:kern w:val="2"/>
                <w:sz w:val="24"/>
                <w:szCs w:val="20"/>
              </w:rPr>
            </w:pPr>
            <w:r>
              <w:rPr>
                <w:rFonts w:hint="eastAsia" w:ascii="Arial" w:hAnsi="Arial" w:cs="Arial"/>
                <w:bCs w:val="0"/>
                <w:kern w:val="2"/>
                <w:sz w:val="24"/>
                <w:szCs w:val="20"/>
              </w:rPr>
              <w:t>内容</w:t>
            </w:r>
          </w:p>
        </w:tc>
        <w:tc>
          <w:tcPr>
            <w:tcW w:w="5483" w:type="dxa"/>
            <w:noWrap w:val="0"/>
            <w:vAlign w:val="center"/>
          </w:tcPr>
          <w:p>
            <w:pPr>
              <w:pStyle w:val="77"/>
              <w:widowControl w:val="0"/>
              <w:spacing w:before="0" w:beforeAutospacing="0" w:after="0" w:afterAutospacing="0" w:line="0" w:lineRule="atLeast"/>
              <w:rPr>
                <w:rFonts w:ascii="Arial" w:hAnsi="Arial" w:cs="Arial"/>
                <w:bCs w:val="0"/>
                <w:kern w:val="2"/>
                <w:sz w:val="24"/>
                <w:szCs w:val="20"/>
              </w:rPr>
            </w:pPr>
            <w:r>
              <w:rPr>
                <w:rFonts w:hint="eastAsia" w:ascii="Arial" w:hAnsi="Arial" w:cs="Arial"/>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w:t>
            </w:r>
            <w:r>
              <w:rPr>
                <w:rFonts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bCs w:val="0"/>
                <w:sz w:val="24"/>
              </w:rPr>
            </w:pPr>
            <w:r>
              <w:rPr>
                <w:rFonts w:hint="eastAsia" w:ascii="Arial" w:hAnsi="Arial" w:cs="Arial"/>
                <w:b w:val="0"/>
                <w:bCs w:val="0"/>
                <w:sz w:val="24"/>
              </w:rPr>
              <w:t>采购人</w:t>
            </w:r>
          </w:p>
        </w:tc>
        <w:tc>
          <w:tcPr>
            <w:tcW w:w="5483" w:type="dxa"/>
            <w:noWrap w:val="0"/>
            <w:vAlign w:val="center"/>
          </w:tcPr>
          <w:p>
            <w:pPr>
              <w:pStyle w:val="77"/>
              <w:widowControl w:val="0"/>
              <w:spacing w:before="0" w:beforeAutospacing="0" w:after="0" w:afterAutospacing="0" w:line="0" w:lineRule="atLeast"/>
              <w:jc w:val="both"/>
              <w:rPr>
                <w:rFonts w:hint="eastAsia" w:ascii="Arial" w:hAnsi="Arial" w:cs="Arial"/>
                <w:b w:val="0"/>
                <w:bCs w:val="0"/>
                <w:kern w:val="2"/>
                <w:sz w:val="24"/>
                <w:szCs w:val="20"/>
              </w:rPr>
            </w:pPr>
            <w:r>
              <w:rPr>
                <w:rFonts w:hint="eastAsia" w:ascii="Arial" w:hAnsi="Arial" w:cs="Arial"/>
                <w:b w:val="0"/>
                <w:bCs w:val="0"/>
                <w:sz w:val="24"/>
                <w:szCs w:val="18"/>
              </w:rPr>
              <w:t>安徽理工大学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w:t>
            </w:r>
            <w:r>
              <w:rPr>
                <w:rFonts w:ascii="Arial" w:hAnsi="Arial" w:eastAsia="宋体" w:cs="@仿宋_GB2312"/>
                <w:bCs/>
                <w:kern w:val="2"/>
                <w:lang w:val="en-US" w:eastAsia="zh-CN"/>
              </w:rPr>
              <w:t>.2</w:t>
            </w:r>
          </w:p>
        </w:tc>
        <w:tc>
          <w:tcPr>
            <w:tcW w:w="2190" w:type="dxa"/>
            <w:noWrap w:val="0"/>
            <w:vAlign w:val="center"/>
          </w:tcPr>
          <w:p>
            <w:pPr>
              <w:pStyle w:val="77"/>
              <w:widowControl w:val="0"/>
              <w:spacing w:before="0" w:beforeAutospacing="0" w:after="0" w:afterAutospacing="0" w:line="0" w:lineRule="atLeast"/>
              <w:rPr>
                <w:rFonts w:ascii="Arial" w:hAnsi="Arial" w:cs="Arial"/>
                <w:b w:val="0"/>
                <w:bCs w:val="0"/>
                <w:sz w:val="24"/>
              </w:rPr>
            </w:pPr>
            <w:r>
              <w:rPr>
                <w:rFonts w:hint="eastAsia" w:ascii="Arial" w:hAnsi="Arial" w:cs="Arial"/>
                <w:b w:val="0"/>
                <w:bCs w:val="0"/>
                <w:sz w:val="24"/>
              </w:rPr>
              <w:t>采购代理机构</w:t>
            </w:r>
          </w:p>
        </w:tc>
        <w:tc>
          <w:tcPr>
            <w:tcW w:w="5483" w:type="dxa"/>
            <w:noWrap w:val="0"/>
            <w:vAlign w:val="center"/>
          </w:tcPr>
          <w:p>
            <w:pPr>
              <w:pStyle w:val="77"/>
              <w:widowControl w:val="0"/>
              <w:spacing w:before="0" w:beforeAutospacing="0" w:after="0" w:afterAutospacing="0" w:line="0" w:lineRule="atLeast"/>
              <w:jc w:val="both"/>
              <w:rPr>
                <w:rFonts w:hint="eastAsia" w:ascii="Arial" w:hAnsi="Arial" w:cs="Arial"/>
                <w:b w:val="0"/>
                <w:bCs w:val="0"/>
                <w:sz w:val="24"/>
                <w:szCs w:val="18"/>
              </w:rPr>
            </w:pPr>
            <w:r>
              <w:rPr>
                <w:rFonts w:hint="eastAsia" w:ascii="Arial" w:hAnsi="Arial" w:cs="Arial"/>
                <w:b w:val="0"/>
                <w:bCs w:val="0"/>
                <w:sz w:val="24"/>
                <w:szCs w:val="18"/>
              </w:rPr>
              <w:t>淮南众信政府采购代理服务有限公司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w:t>
            </w:r>
            <w:r>
              <w:rPr>
                <w:rFonts w:ascii="Arial" w:hAnsi="Arial" w:eastAsia="宋体" w:cs="@仿宋_GB2312"/>
                <w:bCs/>
                <w:kern w:val="2"/>
                <w:lang w:val="en-US" w:eastAsia="zh-CN"/>
              </w:rPr>
              <w:t>.3</w:t>
            </w:r>
          </w:p>
        </w:tc>
        <w:tc>
          <w:tcPr>
            <w:tcW w:w="2190" w:type="dxa"/>
            <w:noWrap w:val="0"/>
            <w:vAlign w:val="center"/>
          </w:tcPr>
          <w:p>
            <w:pPr>
              <w:pStyle w:val="77"/>
              <w:widowControl w:val="0"/>
              <w:spacing w:before="0" w:beforeAutospacing="0" w:after="0" w:afterAutospacing="0" w:line="0" w:lineRule="atLeast"/>
              <w:rPr>
                <w:rFonts w:ascii="Arial" w:hAnsi="Arial" w:cs="Arial"/>
                <w:b w:val="0"/>
                <w:bCs w:val="0"/>
                <w:sz w:val="24"/>
              </w:rPr>
            </w:pPr>
            <w:r>
              <w:rPr>
                <w:rFonts w:hint="eastAsia" w:ascii="Arial" w:hAnsi="Arial" w:cs="Arial"/>
                <w:b w:val="0"/>
                <w:bCs w:val="0"/>
                <w:sz w:val="24"/>
              </w:rPr>
              <w:t>政府采购监督管理部门</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bCs w:val="0"/>
                <w:sz w:val="24"/>
              </w:rPr>
            </w:pPr>
            <w:r>
              <w:rPr>
                <w:rFonts w:hint="eastAsia" w:ascii="Arial" w:hAnsi="Arial" w:cs="Arial"/>
                <w:b w:val="0"/>
                <w:bCs w:val="0"/>
                <w:sz w:val="24"/>
                <w:szCs w:val="18"/>
              </w:rPr>
              <w:t>安徽省财政厅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w:t>
            </w:r>
            <w:r>
              <w:rPr>
                <w:rFonts w:ascii="Arial" w:hAnsi="Arial" w:eastAsia="宋体" w:cs="@仿宋_GB2312"/>
                <w:bCs/>
                <w:kern w:val="2"/>
                <w:lang w:val="en-US" w:eastAsia="zh-CN"/>
              </w:rPr>
              <w:t>.4.</w:t>
            </w:r>
            <w:r>
              <w:rPr>
                <w:rFonts w:hint="eastAsia" w:ascii="Arial" w:hAnsi="Arial" w:eastAsia="宋体" w:cs="@仿宋_GB2312"/>
                <w:bCs/>
                <w:kern w:val="2"/>
                <w:lang w:val="en-US" w:eastAsia="zh-CN"/>
              </w:rPr>
              <w:t>4</w:t>
            </w:r>
          </w:p>
        </w:tc>
        <w:tc>
          <w:tcPr>
            <w:tcW w:w="2190" w:type="dxa"/>
            <w:noWrap w:val="0"/>
            <w:vAlign w:val="center"/>
          </w:tcPr>
          <w:p>
            <w:pPr>
              <w:pStyle w:val="77"/>
              <w:widowControl w:val="0"/>
              <w:spacing w:before="0" w:beforeAutospacing="0" w:after="0" w:afterAutospacing="0" w:line="0" w:lineRule="atLeast"/>
              <w:rPr>
                <w:rFonts w:ascii="Arial" w:hAnsi="Arial" w:cs="Arial"/>
                <w:b w:val="0"/>
                <w:bCs w:val="0"/>
                <w:sz w:val="24"/>
              </w:rPr>
            </w:pPr>
            <w:r>
              <w:rPr>
                <w:rFonts w:hint="eastAsia" w:ascii="Arial" w:hAnsi="Arial" w:cs="Arial"/>
                <w:b w:val="0"/>
                <w:bCs w:val="0"/>
                <w:sz w:val="24"/>
              </w:rPr>
              <w:t>是否允许采购进口产品</w:t>
            </w:r>
          </w:p>
        </w:tc>
        <w:tc>
          <w:tcPr>
            <w:tcW w:w="5483" w:type="dxa"/>
            <w:noWrap w:val="0"/>
            <w:vAlign w:val="center"/>
          </w:tcPr>
          <w:p>
            <w:pPr>
              <w:pStyle w:val="77"/>
              <w:widowControl w:val="0"/>
              <w:spacing w:before="0" w:beforeAutospacing="0" w:after="0" w:afterAutospacing="0" w:line="0" w:lineRule="atLeast"/>
              <w:jc w:val="both"/>
              <w:rPr>
                <w:rFonts w:hint="eastAsia" w:ascii="Arial" w:hAnsi="Arial" w:cs="Arial"/>
                <w:b w:val="0"/>
                <w:bCs w:val="0"/>
                <w:sz w:val="24"/>
              </w:rPr>
            </w:pPr>
            <w:r>
              <w:rPr>
                <w:rFonts w:hint="eastAsia" w:ascii="Arial" w:hAnsi="Arial" w:cs="Arial"/>
                <w:b w:val="0"/>
                <w:sz w:val="24"/>
              </w:rPr>
              <w:t>详</w:t>
            </w:r>
            <w:r>
              <w:rPr>
                <w:rFonts w:hint="eastAsia" w:ascii="Arial" w:hAnsi="Arial" w:cs="Arial"/>
                <w:b w:val="0"/>
                <w:bCs w:val="0"/>
                <w:sz w:val="24"/>
              </w:rPr>
              <w:t>见投标人须知正文及采购需求等内容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w:t>
            </w:r>
            <w:r>
              <w:rPr>
                <w:rFonts w:ascii="Arial" w:hAnsi="Arial" w:eastAsia="宋体" w:cs="@仿宋_GB2312"/>
                <w:bCs/>
                <w:kern w:val="2"/>
                <w:lang w:val="en-US" w:eastAsia="zh-CN"/>
              </w:rPr>
              <w:t>.4.</w:t>
            </w:r>
            <w:r>
              <w:rPr>
                <w:rFonts w:hint="eastAsia" w:ascii="Arial" w:hAnsi="Arial" w:eastAsia="宋体" w:cs="@仿宋_GB2312"/>
                <w:bCs/>
                <w:kern w:val="2"/>
                <w:lang w:val="en-US" w:eastAsia="zh-CN"/>
              </w:rPr>
              <w:t>5</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是否为专门面向中小企业采购</w:t>
            </w:r>
          </w:p>
        </w:tc>
        <w:tc>
          <w:tcPr>
            <w:tcW w:w="5483" w:type="dxa"/>
            <w:noWrap w:val="0"/>
            <w:vAlign w:val="center"/>
          </w:tcPr>
          <w:p>
            <w:pPr>
              <w:pStyle w:val="77"/>
              <w:widowControl w:val="0"/>
              <w:spacing w:before="0" w:beforeAutospacing="0" w:after="0" w:afterAutospacing="0" w:line="0" w:lineRule="atLeast"/>
              <w:jc w:val="both"/>
              <w:rPr>
                <w:rFonts w:hint="eastAsia" w:ascii="Arial" w:hAnsi="Arial" w:cs="Arial"/>
                <w:b w:val="0"/>
                <w:bCs w:val="0"/>
                <w:sz w:val="24"/>
                <w:szCs w:val="18"/>
              </w:rPr>
            </w:pPr>
            <w:r>
              <w:rPr>
                <w:rFonts w:hint="eastAsia" w:ascii="宋体" w:hAnsi="宋体" w:cs="宋体"/>
                <w:b w:val="0"/>
                <w:sz w:val="24"/>
              </w:rPr>
              <w:t>□是</w:t>
            </w:r>
            <w:r>
              <w:rPr>
                <w:rFonts w:ascii="宋体" w:hAnsi="宋体" w:cs="宋体"/>
                <w:b w:val="0"/>
                <w:sz w:val="24"/>
              </w:rPr>
              <w:t xml:space="preserve"> </w:t>
            </w:r>
            <w:r>
              <w:rPr>
                <w:rFonts w:ascii="Arial" w:hAnsi="Arial" w:cs="Arial"/>
                <w:b w:val="0"/>
                <w:sz w:val="24"/>
              </w:rPr>
              <w:t xml:space="preserve"> </w:t>
            </w:r>
            <w:r>
              <w:rPr>
                <w:rFonts w:ascii="Arial" w:hAnsi="Arial" w:cs="Arial"/>
              </w:rPr>
              <w:sym w:font="Wingdings" w:char="F0FE"/>
            </w:r>
            <w:r>
              <w:rPr>
                <w:rFonts w:hint="eastAsia" w:ascii="Arial" w:hAnsi="Arial" w:cs="Arial"/>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3.5</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是否允许联合体投标</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宋体" w:hAnsi="宋体" w:cs="宋体"/>
                <w:b w:val="0"/>
                <w:sz w:val="24"/>
              </w:rPr>
              <w:t>□是</w:t>
            </w:r>
            <w:r>
              <w:rPr>
                <w:rFonts w:ascii="宋体" w:hAnsi="宋体" w:cs="宋体"/>
                <w:b w:val="0"/>
                <w:sz w:val="24"/>
              </w:rPr>
              <w:t xml:space="preserve"> </w:t>
            </w:r>
            <w:r>
              <w:rPr>
                <w:rFonts w:ascii="Arial" w:hAnsi="Arial" w:cs="Arial"/>
                <w:b w:val="0"/>
                <w:sz w:val="24"/>
              </w:rPr>
              <w:t xml:space="preserve"> </w:t>
            </w:r>
            <w:r>
              <w:rPr>
                <w:rFonts w:ascii="Arial" w:hAnsi="Arial" w:cs="Arial"/>
              </w:rPr>
              <w:sym w:font="Wingdings" w:char="F0FE"/>
            </w:r>
            <w:r>
              <w:rPr>
                <w:rFonts w:hint="eastAsia" w:ascii="Arial" w:hAnsi="Arial" w:cs="Arial"/>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7</w:t>
            </w:r>
            <w:r>
              <w:rPr>
                <w:rFonts w:ascii="Arial" w:hAnsi="Arial" w:eastAsia="宋体" w:cs="@仿宋_GB2312"/>
                <w:bCs/>
                <w:kern w:val="2"/>
                <w:lang w:val="en-US" w:eastAsia="zh-CN"/>
              </w:rPr>
              <w:t>.3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宋体" w:hAnsi="宋体"/>
                <w:b w:val="0"/>
                <w:sz w:val="24"/>
              </w:rPr>
              <w:t>现场踏勘</w:t>
            </w:r>
          </w:p>
        </w:tc>
        <w:tc>
          <w:tcPr>
            <w:tcW w:w="5483" w:type="dxa"/>
            <w:noWrap w:val="0"/>
            <w:vAlign w:val="center"/>
          </w:tcPr>
          <w:p>
            <w:pPr>
              <w:spacing w:line="500" w:lineRule="exact"/>
              <w:rPr>
                <w:rFonts w:ascii="宋体" w:hAnsi="宋体"/>
                <w:bCs/>
                <w:sz w:val="24"/>
              </w:rPr>
            </w:pPr>
            <w:r>
              <w:rPr>
                <w:rFonts w:hint="eastAsia" w:ascii="宋体" w:hAnsi="宋体" w:cs="宋体"/>
                <w:b/>
                <w:sz w:val="24"/>
                <w:szCs w:val="24"/>
              </w:rPr>
              <w:sym w:font="Wingdings" w:char="F0FE"/>
            </w:r>
            <w:r>
              <w:rPr>
                <w:rFonts w:hint="eastAsia" w:ascii="宋体" w:hAnsi="宋体"/>
                <w:sz w:val="24"/>
              </w:rPr>
              <w:t>不组织，投标人</w:t>
            </w:r>
            <w:r>
              <w:rPr>
                <w:rFonts w:hint="eastAsia" w:ascii="宋体" w:hAnsi="宋体"/>
                <w:bCs/>
                <w:sz w:val="24"/>
              </w:rPr>
              <w:t>自行考察</w:t>
            </w:r>
          </w:p>
          <w:p>
            <w:pPr>
              <w:spacing w:line="500" w:lineRule="exact"/>
              <w:rPr>
                <w:rFonts w:ascii="宋体" w:hAnsi="宋体"/>
                <w:bCs/>
                <w:sz w:val="24"/>
              </w:rPr>
            </w:pPr>
            <w:r>
              <w:rPr>
                <w:rFonts w:hint="eastAsia" w:ascii="宋体" w:hAnsi="宋体"/>
                <w:sz w:val="24"/>
              </w:rPr>
              <w:t>□</w:t>
            </w:r>
            <w:r>
              <w:rPr>
                <w:rFonts w:hint="eastAsia" w:ascii="宋体" w:hAnsi="宋体"/>
                <w:bCs/>
                <w:sz w:val="24"/>
              </w:rPr>
              <w:t>统一组织</w:t>
            </w:r>
          </w:p>
          <w:p>
            <w:pPr>
              <w:spacing w:line="500" w:lineRule="exact"/>
              <w:rPr>
                <w:rFonts w:ascii="宋体" w:hAnsi="宋体"/>
                <w:bCs/>
                <w:sz w:val="24"/>
                <w:u w:val="single"/>
              </w:rPr>
            </w:pPr>
            <w:r>
              <w:rPr>
                <w:rFonts w:hint="eastAsia" w:ascii="宋体" w:hAnsi="宋体"/>
                <w:bCs/>
                <w:sz w:val="24"/>
              </w:rPr>
              <w:t>时间：</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日</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时</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分</w:t>
            </w:r>
          </w:p>
          <w:p>
            <w:pPr>
              <w:spacing w:line="500" w:lineRule="exact"/>
              <w:rPr>
                <w:rFonts w:ascii="宋体" w:hAnsi="宋体"/>
                <w:bCs/>
                <w:sz w:val="24"/>
                <w:u w:val="single"/>
              </w:rPr>
            </w:pPr>
            <w:r>
              <w:rPr>
                <w:rFonts w:hint="eastAsia" w:ascii="宋体" w:hAnsi="宋体"/>
                <w:bCs/>
                <w:sz w:val="24"/>
              </w:rPr>
              <w:t>地点：</w:t>
            </w:r>
            <w:r>
              <w:rPr>
                <w:rFonts w:hint="eastAsia" w:ascii="宋体" w:hAnsi="宋体"/>
                <w:bCs/>
                <w:sz w:val="24"/>
                <w:u w:val="single"/>
              </w:rPr>
              <w:t xml:space="preserve"> </w:t>
            </w:r>
            <w:r>
              <w:rPr>
                <w:rFonts w:ascii="宋体" w:hAnsi="宋体"/>
                <w:bCs/>
                <w:sz w:val="24"/>
                <w:u w:val="single"/>
              </w:rPr>
              <w:t xml:space="preserve">                      </w:t>
            </w:r>
          </w:p>
          <w:p>
            <w:pPr>
              <w:spacing w:line="500" w:lineRule="exact"/>
              <w:rPr>
                <w:rFonts w:ascii="宋体" w:hAnsi="宋体"/>
                <w:bCs/>
                <w:sz w:val="24"/>
                <w:u w:val="single"/>
              </w:rPr>
            </w:pPr>
            <w:r>
              <w:rPr>
                <w:rFonts w:hint="eastAsia" w:ascii="宋体" w:hAnsi="宋体"/>
                <w:bCs/>
                <w:sz w:val="24"/>
              </w:rPr>
              <w:t>现场考察联系人及联系电话：</w:t>
            </w:r>
            <w:r>
              <w:rPr>
                <w:rFonts w:hint="eastAsia" w:ascii="宋体" w:hAnsi="宋体"/>
                <w:bCs/>
                <w:sz w:val="24"/>
                <w:u w:val="single"/>
              </w:rPr>
              <w:t xml:space="preserve"> </w:t>
            </w:r>
            <w:r>
              <w:rPr>
                <w:rFonts w:ascii="宋体" w:hAnsi="宋体"/>
                <w:bCs/>
                <w:sz w:val="24"/>
                <w:u w:val="single"/>
              </w:rPr>
              <w:t xml:space="preserve">          </w:t>
            </w:r>
          </w:p>
          <w:p>
            <w:pPr>
              <w:spacing w:line="0" w:lineRule="atLeast"/>
              <w:rPr>
                <w:rFonts w:hint="eastAsia" w:ascii="Arial" w:hAnsi="Arial" w:cs="Arial"/>
                <w:b/>
                <w:sz w:val="24"/>
              </w:rPr>
            </w:pPr>
            <w:r>
              <w:rPr>
                <w:rFonts w:hint="eastAsia" w:ascii="宋体" w:hAnsi="宋体"/>
                <w:sz w:val="24"/>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仿宋_GB2312"/>
                <w:bCs/>
                <w:kern w:val="2"/>
                <w:lang w:val="en-US" w:eastAsia="zh-CN"/>
              </w:rPr>
            </w:pPr>
            <w:r>
              <w:rPr>
                <w:rFonts w:hint="eastAsia" w:ascii="Arial" w:hAnsi="Arial" w:eastAsia="宋体" w:cs="@仿宋_GB2312"/>
                <w:bCs/>
                <w:kern w:val="2"/>
                <w:lang w:val="en-US" w:eastAsia="zh-CN"/>
              </w:rPr>
              <w:t>8.1</w:t>
            </w:r>
          </w:p>
        </w:tc>
        <w:tc>
          <w:tcPr>
            <w:tcW w:w="2190" w:type="dxa"/>
            <w:noWrap w:val="0"/>
            <w:vAlign w:val="center"/>
          </w:tcPr>
          <w:p>
            <w:pPr>
              <w:pStyle w:val="77"/>
              <w:widowControl w:val="0"/>
              <w:spacing w:before="0" w:beforeAutospacing="0" w:after="0" w:afterAutospacing="0"/>
              <w:jc w:val="left"/>
              <w:rPr>
                <w:rFonts w:hint="eastAsia" w:ascii="宋体" w:hAnsi="宋体"/>
                <w:b w:val="0"/>
                <w:sz w:val="24"/>
              </w:rPr>
            </w:pPr>
            <w:r>
              <w:rPr>
                <w:rFonts w:hint="eastAsia" w:ascii="Arial" w:hAnsi="Arial" w:cs="Arial"/>
                <w:b w:val="0"/>
                <w:bCs w:val="0"/>
                <w:sz w:val="24"/>
              </w:rPr>
              <w:t>询问截止时间</w:t>
            </w:r>
          </w:p>
        </w:tc>
        <w:tc>
          <w:tcPr>
            <w:tcW w:w="5483" w:type="dxa"/>
            <w:noWrap w:val="0"/>
            <w:vAlign w:val="center"/>
          </w:tcPr>
          <w:p>
            <w:pPr>
              <w:pStyle w:val="77"/>
              <w:widowControl w:val="0"/>
              <w:spacing w:before="0" w:beforeAutospacing="0" w:after="0" w:afterAutospacing="0" w:line="360" w:lineRule="auto"/>
              <w:jc w:val="both"/>
              <w:rPr>
                <w:rFonts w:hint="eastAsia" w:ascii="宋体" w:hAnsi="宋体"/>
                <w:bCs w:val="0"/>
                <w:sz w:val="24"/>
              </w:rPr>
            </w:pPr>
            <w:r>
              <w:rPr>
                <w:rFonts w:hint="eastAsia" w:ascii="宋体" w:hAnsi="宋体"/>
                <w:b w:val="0"/>
                <w:sz w:val="24"/>
                <w:u w:val="single"/>
              </w:rPr>
              <w:t>2023</w:t>
            </w:r>
            <w:r>
              <w:rPr>
                <w:rFonts w:hint="eastAsia" w:ascii="宋体" w:hAnsi="宋体"/>
                <w:b w:val="0"/>
                <w:sz w:val="24"/>
              </w:rPr>
              <w:t>年07月</w:t>
            </w:r>
            <w:r>
              <w:rPr>
                <w:rFonts w:hint="eastAsia" w:ascii="宋体" w:hAnsi="宋体"/>
                <w:b w:val="0"/>
                <w:sz w:val="24"/>
                <w:highlight w:val="none"/>
                <w:lang w:val="en-US" w:eastAsia="zh-CN"/>
              </w:rPr>
              <w:t>28</w:t>
            </w:r>
            <w:r>
              <w:rPr>
                <w:rFonts w:hint="eastAsia" w:ascii="宋体" w:hAnsi="宋体"/>
                <w:b w:val="0"/>
                <w:sz w:val="24"/>
              </w:rPr>
              <w:t>日</w:t>
            </w:r>
            <w:r>
              <w:rPr>
                <w:rFonts w:hint="eastAsia" w:ascii="宋体" w:hAnsi="宋体"/>
                <w:b w:val="0"/>
                <w:sz w:val="24"/>
                <w:u w:val="single"/>
              </w:rPr>
              <w:t>17</w:t>
            </w:r>
            <w:r>
              <w:rPr>
                <w:rFonts w:hint="eastAsia" w:ascii="宋体" w:hAnsi="宋体"/>
                <w:b w:val="0"/>
                <w:sz w:val="24"/>
              </w:rPr>
              <w:t>时</w:t>
            </w:r>
            <w:r>
              <w:rPr>
                <w:rFonts w:hint="eastAsia" w:ascii="宋体" w:hAnsi="宋体"/>
                <w:b w:val="0"/>
                <w:sz w:val="24"/>
                <w:u w:val="single"/>
              </w:rPr>
              <w:t>30</w:t>
            </w:r>
            <w:r>
              <w:rPr>
                <w:rFonts w:hint="eastAsia" w:ascii="宋体" w:hAnsi="宋体"/>
                <w:b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9</w:t>
            </w:r>
            <w:r>
              <w:rPr>
                <w:rFonts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包别划分</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u w:val="single"/>
              </w:rPr>
            </w:pPr>
            <w:r>
              <w:rPr>
                <w:rFonts w:hint="eastAsia" w:ascii="宋体" w:hAnsi="宋体" w:cs="宋体"/>
                <w:b w:val="0"/>
                <w:sz w:val="24"/>
              </w:rPr>
              <w:t>☑共分为</w:t>
            </w:r>
            <w:r>
              <w:rPr>
                <w:rFonts w:hint="eastAsia" w:ascii="宋体" w:hAnsi="宋体" w:cs="宋体"/>
                <w:b w:val="0"/>
                <w:sz w:val="24"/>
                <w:lang w:val="en-US" w:eastAsia="zh-CN"/>
              </w:rPr>
              <w:t>3</w:t>
            </w:r>
            <w:r>
              <w:rPr>
                <w:rFonts w:hint="eastAsia" w:ascii="宋体" w:hAnsi="宋体" w:cs="宋体"/>
                <w:b w:val="0"/>
                <w:sz w:val="24"/>
              </w:rPr>
              <w:t>个包，具体详见招标公告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3.1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投标保证金</w:t>
            </w:r>
          </w:p>
        </w:tc>
        <w:tc>
          <w:tcPr>
            <w:tcW w:w="5483" w:type="dxa"/>
            <w:noWrap w:val="0"/>
            <w:vAlign w:val="center"/>
          </w:tcPr>
          <w:p>
            <w:pPr>
              <w:pStyle w:val="77"/>
              <w:widowControl w:val="0"/>
              <w:spacing w:before="0" w:beforeAutospacing="0" w:after="0" w:afterAutospacing="0" w:line="0" w:lineRule="atLeast"/>
              <w:jc w:val="both"/>
              <w:rPr>
                <w:rFonts w:hint="eastAsia" w:ascii="Arial" w:hAnsi="Arial" w:cs="Arial"/>
                <w:b w:val="0"/>
                <w:sz w:val="24"/>
              </w:rPr>
            </w:pPr>
            <w:r>
              <w:rPr>
                <w:rFonts w:hint="eastAsia" w:ascii="宋体" w:hAnsi="宋体" w:cs="宋体"/>
                <w:sz w:val="24"/>
                <w:szCs w:val="24"/>
              </w:rPr>
              <w:t>本项目免收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13.3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其他不予退还投标保证金的情形</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4.1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投标有效期</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5.1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投标文件要求</w:t>
            </w:r>
          </w:p>
        </w:tc>
        <w:tc>
          <w:tcPr>
            <w:tcW w:w="5483" w:type="dxa"/>
            <w:noWrap w:val="0"/>
            <w:vAlign w:val="center"/>
          </w:tcPr>
          <w:p>
            <w:pPr>
              <w:spacing w:line="360" w:lineRule="auto"/>
              <w:rPr>
                <w:rFonts w:ascii="宋体" w:hAnsi="宋体"/>
                <w:bCs/>
                <w:kern w:val="0"/>
                <w:sz w:val="24"/>
                <w:szCs w:val="28"/>
              </w:rPr>
            </w:pPr>
            <w:r>
              <w:rPr>
                <w:rFonts w:hint="eastAsia" w:ascii="宋体" w:hAnsi="宋体"/>
                <w:bCs/>
                <w:kern w:val="0"/>
                <w:sz w:val="24"/>
                <w:szCs w:val="28"/>
              </w:rPr>
              <w:t>本项目投标文件提交要求如下：</w:t>
            </w:r>
          </w:p>
          <w:p>
            <w:pPr>
              <w:spacing w:line="360" w:lineRule="auto"/>
              <w:rPr>
                <w:rFonts w:ascii="宋体" w:hAnsi="宋体"/>
                <w:bCs/>
                <w:kern w:val="0"/>
                <w:sz w:val="24"/>
                <w:szCs w:val="28"/>
              </w:rPr>
            </w:pPr>
            <w:r>
              <w:rPr>
                <w:rFonts w:hint="eastAsia" w:ascii="宋体" w:hAnsi="宋体"/>
                <w:bCs/>
                <w:kern w:val="0"/>
                <w:sz w:val="24"/>
                <w:szCs w:val="28"/>
              </w:rPr>
              <w:t>1.纸质版投标文件（建议胶装成册）：</w:t>
            </w:r>
          </w:p>
          <w:p>
            <w:pPr>
              <w:spacing w:line="360" w:lineRule="auto"/>
              <w:rPr>
                <w:rFonts w:ascii="宋体" w:hAnsi="宋体"/>
                <w:bCs/>
                <w:kern w:val="0"/>
                <w:sz w:val="24"/>
                <w:szCs w:val="28"/>
              </w:rPr>
            </w:pPr>
            <w:r>
              <w:rPr>
                <w:rFonts w:hint="eastAsia" w:ascii="宋体" w:hAnsi="宋体"/>
                <w:bCs/>
                <w:kern w:val="0"/>
                <w:sz w:val="24"/>
                <w:szCs w:val="28"/>
              </w:rPr>
              <w:t>正本</w:t>
            </w:r>
            <w:r>
              <w:rPr>
                <w:rFonts w:hint="eastAsia" w:ascii="宋体" w:hAnsi="宋体"/>
                <w:bCs/>
                <w:kern w:val="0"/>
                <w:sz w:val="24"/>
                <w:szCs w:val="28"/>
                <w:u w:val="single"/>
              </w:rPr>
              <w:t xml:space="preserve"> 1 </w:t>
            </w:r>
            <w:r>
              <w:rPr>
                <w:rFonts w:hint="eastAsia" w:ascii="宋体" w:hAnsi="宋体"/>
                <w:bCs/>
                <w:kern w:val="0"/>
                <w:sz w:val="24"/>
                <w:szCs w:val="28"/>
              </w:rPr>
              <w:t>份，副本</w:t>
            </w:r>
            <w:r>
              <w:rPr>
                <w:rFonts w:hint="eastAsia" w:ascii="宋体" w:hAnsi="宋体"/>
                <w:bCs/>
                <w:kern w:val="0"/>
                <w:sz w:val="24"/>
                <w:szCs w:val="28"/>
                <w:u w:val="single"/>
              </w:rPr>
              <w:t xml:space="preserve"> 6 </w:t>
            </w:r>
            <w:r>
              <w:rPr>
                <w:rFonts w:hint="eastAsia" w:ascii="宋体" w:hAnsi="宋体"/>
                <w:bCs/>
                <w:kern w:val="0"/>
                <w:sz w:val="24"/>
                <w:szCs w:val="28"/>
              </w:rPr>
              <w:t>份；</w:t>
            </w:r>
          </w:p>
          <w:p>
            <w:pPr>
              <w:spacing w:line="360" w:lineRule="auto"/>
              <w:rPr>
                <w:rFonts w:ascii="宋体" w:hAnsi="宋体"/>
                <w:bCs/>
                <w:kern w:val="0"/>
                <w:sz w:val="24"/>
                <w:szCs w:val="28"/>
              </w:rPr>
            </w:pPr>
            <w:r>
              <w:rPr>
                <w:rFonts w:hint="eastAsia" w:ascii="宋体" w:hAnsi="宋体"/>
                <w:bCs/>
                <w:kern w:val="0"/>
                <w:sz w:val="24"/>
                <w:szCs w:val="28"/>
              </w:rPr>
              <w:t>2.电子版投标文件：</w:t>
            </w:r>
            <w:r>
              <w:rPr>
                <w:rFonts w:hint="eastAsia" w:ascii="宋体" w:hAnsi="宋体"/>
                <w:bCs/>
                <w:kern w:val="0"/>
                <w:sz w:val="24"/>
                <w:szCs w:val="28"/>
                <w:u w:val="single"/>
              </w:rPr>
              <w:t xml:space="preserve"> 1 </w:t>
            </w:r>
            <w:r>
              <w:rPr>
                <w:rFonts w:hint="eastAsia" w:ascii="宋体" w:hAnsi="宋体"/>
                <w:bCs/>
                <w:kern w:val="0"/>
                <w:sz w:val="24"/>
                <w:szCs w:val="28"/>
              </w:rPr>
              <w:t>份（U盘或光盘，内容与纸质版投标文件正本一致；电子版投标文件仅作为存档用，不作为否决条款）</w:t>
            </w:r>
          </w:p>
          <w:p>
            <w:pPr>
              <w:pStyle w:val="77"/>
              <w:widowControl w:val="0"/>
              <w:spacing w:before="0" w:beforeAutospacing="0" w:after="0" w:afterAutospacing="0" w:line="0" w:lineRule="atLeast"/>
              <w:jc w:val="both"/>
              <w:rPr>
                <w:rFonts w:hint="eastAsia" w:ascii="宋体" w:hAnsi="宋体" w:cs="宋体"/>
                <w:bCs w:val="0"/>
                <w:sz w:val="24"/>
              </w:rPr>
            </w:pPr>
            <w:r>
              <w:rPr>
                <w:rFonts w:hint="eastAsia" w:ascii="宋体" w:hAnsi="宋体" w:cs="宋体"/>
                <w:bCs w:val="0"/>
                <w:sz w:val="24"/>
              </w:rPr>
              <w:t>以上文件均密封提交（纸质版投标文件正副本可单独封装或合并封装，电子版投标文件可单独封装或与纸质版投标文件正本合并封装）。</w:t>
            </w:r>
          </w:p>
          <w:p>
            <w:pPr>
              <w:pStyle w:val="77"/>
              <w:widowControl w:val="0"/>
              <w:spacing w:before="0" w:beforeAutospacing="0" w:after="0" w:afterAutospacing="0" w:line="0" w:lineRule="atLeast"/>
              <w:jc w:val="both"/>
              <w:rPr>
                <w:rFonts w:hint="eastAsia" w:ascii="Arial" w:hAnsi="Arial" w:cs="Arial"/>
                <w:b w:val="0"/>
                <w:sz w:val="24"/>
              </w:rPr>
            </w:pPr>
            <w:r>
              <w:rPr>
                <w:rFonts w:hint="eastAsia" w:ascii="宋体" w:hAnsi="宋体" w:cs="宋体"/>
                <w:sz w:val="24"/>
                <w:szCs w:val="24"/>
              </w:rPr>
              <w:t>开标现场提交投标文件，</w:t>
            </w:r>
            <w:r>
              <w:rPr>
                <w:rFonts w:hint="eastAsia" w:ascii="宋体" w:hAnsi="宋体" w:cs="宋体"/>
                <w:sz w:val="24"/>
              </w:rPr>
              <w:t>封袋上注明：采购人名称、项目名称及包号、项目编号、供应商名称，供应商地址，并注明“在</w:t>
            </w:r>
            <w:r>
              <w:rPr>
                <w:rFonts w:hint="eastAsia" w:ascii="宋体" w:hAnsi="宋体" w:cs="宋体"/>
                <w:sz w:val="24"/>
                <w:u w:val="single"/>
              </w:rPr>
              <w:t>2023年 月 日上午 时 分</w:t>
            </w:r>
            <w:r>
              <w:rPr>
                <w:rFonts w:hint="eastAsia" w:ascii="宋体" w:hAnsi="宋体" w:cs="宋体"/>
                <w:sz w:val="24"/>
              </w:rPr>
              <w:t>（投标截止时间）之前不得启封”字样。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5.3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开标现场提交的其他材料要求</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bCs w:val="0"/>
                <w:sz w:val="24"/>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6.1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投标截止时间及地点</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投标及投标文件递交截止时间：详见投标邀请</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投标文件递交地点：同开标地点</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投标文件接收时间：自投标截止时间前</w:t>
            </w:r>
            <w:r>
              <w:rPr>
                <w:rFonts w:ascii="Arial" w:hAnsi="Arial" w:cs="Arial"/>
                <w:b w:val="0"/>
                <w:sz w:val="24"/>
              </w:rPr>
              <w:t>60</w:t>
            </w:r>
            <w:r>
              <w:rPr>
                <w:rFonts w:hint="eastAsia" w:ascii="Arial" w:hAnsi="Arial" w:cs="Arial"/>
                <w:b w:val="0"/>
                <w:sz w:val="24"/>
              </w:rPr>
              <w:t>分钟至投标截止时间止。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vMerge w:val="restart"/>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w:t>
            </w:r>
            <w:r>
              <w:rPr>
                <w:rFonts w:ascii="Arial" w:hAnsi="Arial" w:eastAsia="宋体" w:cs="@仿宋_GB2312"/>
                <w:bCs/>
                <w:kern w:val="2"/>
                <w:lang w:val="en-US" w:eastAsia="zh-CN"/>
              </w:rPr>
              <w:t>8.1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开标时间</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vMerge w:val="continue"/>
            <w:noWrap w:val="0"/>
            <w:vAlign w:val="center"/>
          </w:tcPr>
          <w:p>
            <w:pPr>
              <w:pStyle w:val="75"/>
              <w:pBdr>
                <w:bottom w:val="none" w:color="auto" w:sz="0" w:space="0"/>
              </w:pBdr>
              <w:tabs>
                <w:tab w:val="clear" w:pos="4153"/>
                <w:tab w:val="clear" w:pos="8306"/>
              </w:tabs>
              <w:adjustRightInd/>
              <w:spacing w:line="0" w:lineRule="atLeast"/>
              <w:textAlignment w:val="auto"/>
              <w:rPr>
                <w:rFonts w:ascii="Arial" w:hAnsi="Arial" w:eastAsia="宋体" w:cs="Arial"/>
                <w:bCs/>
                <w:kern w:val="2"/>
                <w:lang w:val="en-US" w:eastAsia="zh-CN"/>
              </w:rPr>
            </w:pP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开标地点</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19.1</w:t>
            </w:r>
          </w:p>
        </w:tc>
        <w:tc>
          <w:tcPr>
            <w:tcW w:w="2190" w:type="dxa"/>
            <w:noWrap w:val="0"/>
            <w:vAlign w:val="center"/>
          </w:tcPr>
          <w:p>
            <w:pPr>
              <w:pStyle w:val="77"/>
              <w:widowControl w:val="0"/>
              <w:spacing w:before="0" w:beforeAutospacing="0" w:after="0" w:afterAutospacing="0"/>
              <w:rPr>
                <w:rFonts w:hint="eastAsia" w:ascii="Arial" w:hAnsi="Arial" w:cs="Arial"/>
                <w:b w:val="0"/>
                <w:sz w:val="24"/>
              </w:rPr>
            </w:pPr>
            <w:r>
              <w:rPr>
                <w:rFonts w:hint="eastAsia" w:ascii="宋体" w:hAnsi="宋体"/>
                <w:b w:val="0"/>
                <w:sz w:val="24"/>
              </w:rPr>
              <w:t>资格审查</w:t>
            </w:r>
          </w:p>
        </w:tc>
        <w:tc>
          <w:tcPr>
            <w:tcW w:w="5483" w:type="dxa"/>
            <w:noWrap w:val="0"/>
            <w:vAlign w:val="center"/>
          </w:tcPr>
          <w:p>
            <w:pPr>
              <w:pStyle w:val="77"/>
              <w:widowControl w:val="0"/>
              <w:spacing w:before="0" w:beforeAutospacing="0" w:after="0" w:afterAutospacing="0"/>
              <w:jc w:val="both"/>
              <w:rPr>
                <w:rFonts w:hint="eastAsia" w:ascii="Arial" w:hAnsi="Arial" w:cs="Arial"/>
                <w:b w:val="0"/>
                <w:sz w:val="24"/>
              </w:rPr>
            </w:pPr>
            <w:r>
              <w:rPr>
                <w:rFonts w:hint="eastAsia" w:ascii="宋体" w:hAnsi="宋体"/>
                <w:b w:val="0"/>
                <w:bCs w:val="0"/>
                <w:sz w:val="24"/>
                <w:szCs w:val="24"/>
              </w:rPr>
              <w:t>采购人审查或采购人出具委托函委托</w:t>
            </w:r>
            <w:r>
              <w:rPr>
                <w:rFonts w:hint="eastAsia" w:ascii="宋体" w:hAnsi="宋体"/>
                <w:b w:val="0"/>
                <w:bCs w:val="0"/>
                <w:sz w:val="24"/>
              </w:rPr>
              <w:t>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仿宋_GB2312"/>
                <w:bCs/>
                <w:kern w:val="2"/>
                <w:lang w:val="en-US" w:eastAsia="zh-CN"/>
              </w:rPr>
            </w:pPr>
            <w:r>
              <w:rPr>
                <w:rFonts w:hint="eastAsia" w:ascii="Arial" w:hAnsi="Arial" w:eastAsia="宋体" w:cs="@仿宋_GB2312"/>
                <w:bCs/>
                <w:kern w:val="2"/>
                <w:lang w:val="en-US" w:eastAsia="zh-CN"/>
              </w:rPr>
              <w:t>19.3</w:t>
            </w:r>
          </w:p>
        </w:tc>
        <w:tc>
          <w:tcPr>
            <w:tcW w:w="2190" w:type="dxa"/>
            <w:noWrap w:val="0"/>
            <w:vAlign w:val="center"/>
          </w:tcPr>
          <w:p>
            <w:pPr>
              <w:pStyle w:val="77"/>
              <w:widowControl w:val="0"/>
              <w:spacing w:before="0" w:beforeAutospacing="0" w:after="0" w:afterAutospacing="0"/>
              <w:rPr>
                <w:rFonts w:hint="eastAsia" w:ascii="宋体" w:hAnsi="宋体"/>
                <w:b w:val="0"/>
                <w:bCs w:val="0"/>
                <w:sz w:val="24"/>
              </w:rPr>
            </w:pPr>
            <w:r>
              <w:rPr>
                <w:rFonts w:hint="eastAsia" w:ascii="宋体" w:hAnsi="宋体"/>
                <w:b w:val="0"/>
                <w:bCs w:val="0"/>
                <w:sz w:val="24"/>
              </w:rPr>
              <w:t>评标委员会</w:t>
            </w:r>
          </w:p>
          <w:p>
            <w:pPr>
              <w:pStyle w:val="77"/>
              <w:widowControl w:val="0"/>
              <w:spacing w:before="0" w:beforeAutospacing="0" w:after="0" w:afterAutospacing="0"/>
              <w:rPr>
                <w:rFonts w:hint="eastAsia" w:ascii="宋体" w:hAnsi="宋体"/>
                <w:b w:val="0"/>
                <w:bCs w:val="0"/>
                <w:sz w:val="24"/>
              </w:rPr>
            </w:pPr>
            <w:r>
              <w:rPr>
                <w:rFonts w:hint="eastAsia" w:ascii="宋体" w:hAnsi="宋体"/>
                <w:b w:val="0"/>
                <w:bCs w:val="0"/>
                <w:sz w:val="24"/>
              </w:rPr>
              <w:t>的组建</w:t>
            </w:r>
          </w:p>
        </w:tc>
        <w:tc>
          <w:tcPr>
            <w:tcW w:w="5483" w:type="dxa"/>
            <w:noWrap w:val="0"/>
            <w:vAlign w:val="center"/>
          </w:tcPr>
          <w:p>
            <w:pPr>
              <w:pStyle w:val="77"/>
              <w:widowControl w:val="0"/>
              <w:spacing w:before="0" w:beforeAutospacing="0" w:after="0" w:afterAutospacing="0"/>
              <w:jc w:val="both"/>
              <w:rPr>
                <w:rFonts w:hint="eastAsia" w:ascii="宋体" w:hAnsi="宋体"/>
                <w:b w:val="0"/>
                <w:bCs w:val="0"/>
                <w:sz w:val="24"/>
              </w:rPr>
            </w:pPr>
            <w:r>
              <w:rPr>
                <w:rFonts w:hint="eastAsia" w:ascii="宋体" w:hAnsi="宋体"/>
                <w:b w:val="0"/>
                <w:bCs w:val="0"/>
                <w:sz w:val="24"/>
              </w:rPr>
              <w:t>评标委员会构成：5人或以上单数，其中经济、技术等方面的专家不少于成员总数的三分之二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w:t>
            </w:r>
            <w:r>
              <w:rPr>
                <w:rFonts w:ascii="Arial" w:hAnsi="Arial" w:eastAsia="宋体" w:cs="@仿宋_GB2312"/>
                <w:bCs/>
                <w:kern w:val="2"/>
                <w:lang w:val="en-US" w:eastAsia="zh-CN"/>
              </w:rPr>
              <w:t>0.3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核心产品</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w:t>
            </w:r>
            <w:r>
              <w:rPr>
                <w:rFonts w:ascii="Arial" w:hAnsi="Arial" w:eastAsia="宋体" w:cs="@仿宋_GB2312"/>
                <w:bCs/>
                <w:kern w:val="2"/>
                <w:lang w:val="en-US" w:eastAsia="zh-CN"/>
              </w:rPr>
              <w:t>2.2</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评标方法</w:t>
            </w:r>
          </w:p>
        </w:tc>
        <w:tc>
          <w:tcPr>
            <w:tcW w:w="5483" w:type="dxa"/>
            <w:noWrap w:val="0"/>
            <w:vAlign w:val="center"/>
          </w:tcPr>
          <w:p>
            <w:pPr>
              <w:pStyle w:val="77"/>
              <w:widowControl w:val="0"/>
              <w:spacing w:before="0" w:beforeAutospacing="0" w:after="0" w:afterAutospacing="0" w:line="0" w:lineRule="atLeast"/>
              <w:jc w:val="both"/>
              <w:rPr>
                <w:rFonts w:ascii="宋体" w:hAnsi="宋体" w:cs="宋体"/>
                <w:b w:val="0"/>
                <w:sz w:val="24"/>
              </w:rPr>
            </w:pPr>
            <w:r>
              <w:rPr>
                <w:rFonts w:hint="eastAsia" w:ascii="宋体" w:hAnsi="宋体" w:cs="宋体"/>
                <w:b w:val="0"/>
                <w:bCs w:val="0"/>
                <w:sz w:val="24"/>
                <w:szCs w:val="24"/>
              </w:rPr>
              <w:t>□</w:t>
            </w:r>
            <w:r>
              <w:rPr>
                <w:rFonts w:hint="eastAsia" w:ascii="宋体" w:hAnsi="宋体" w:cs="宋体"/>
                <w:b w:val="0"/>
                <w:sz w:val="24"/>
              </w:rPr>
              <w:t>最低评标价法</w:t>
            </w:r>
          </w:p>
          <w:p>
            <w:pPr>
              <w:pStyle w:val="77"/>
              <w:widowControl w:val="0"/>
              <w:spacing w:before="0" w:beforeAutospacing="0" w:after="0" w:afterAutospacing="0" w:line="0" w:lineRule="atLeast"/>
              <w:jc w:val="both"/>
              <w:rPr>
                <w:rFonts w:ascii="Arial" w:hAnsi="Arial" w:cs="Arial"/>
                <w:b w:val="0"/>
                <w:sz w:val="24"/>
              </w:rPr>
            </w:pPr>
            <w:r>
              <w:rPr>
                <w:rFonts w:ascii="Arial" w:hAnsi="Arial" w:cs="Arial"/>
              </w:rPr>
              <w:sym w:font="Wingdings" w:char="F0FE"/>
            </w:r>
            <w:r>
              <w:rPr>
                <w:rFonts w:hint="eastAsia" w:ascii="Arial" w:hAnsi="Arial" w:cs="Arial"/>
                <w:b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w:t>
            </w:r>
            <w:r>
              <w:rPr>
                <w:rFonts w:ascii="Arial" w:hAnsi="Arial" w:eastAsia="宋体" w:cs="@仿宋_GB2312"/>
                <w:bCs/>
                <w:kern w:val="2"/>
                <w:lang w:val="en-US" w:eastAsia="zh-CN"/>
              </w:rPr>
              <w:t>2.3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投标报价扣除</w:t>
            </w:r>
          </w:p>
        </w:tc>
        <w:tc>
          <w:tcPr>
            <w:tcW w:w="5483" w:type="dxa"/>
            <w:noWrap w:val="0"/>
            <w:vAlign w:val="center"/>
          </w:tcPr>
          <w:p>
            <w:pPr>
              <w:pStyle w:val="77"/>
              <w:widowControl w:val="0"/>
              <w:spacing w:before="0" w:beforeAutospacing="0" w:after="0" w:afterAutospacing="0" w:line="0" w:lineRule="atLeast"/>
              <w:jc w:val="both"/>
              <w:rPr>
                <w:rFonts w:hint="eastAsia" w:ascii="宋体" w:hAnsi="宋体" w:cs="宋体"/>
                <w:b w:val="0"/>
                <w:sz w:val="24"/>
              </w:rPr>
            </w:pPr>
            <w:r>
              <w:rPr>
                <w:rFonts w:hint="eastAsia" w:ascii="宋体" w:hAnsi="宋体" w:cs="宋体"/>
                <w:b w:val="0"/>
                <w:sz w:val="24"/>
              </w:rPr>
              <w:t>（1）小型和微型企业价格扣除：10 %。</w:t>
            </w:r>
          </w:p>
          <w:p>
            <w:pPr>
              <w:pStyle w:val="77"/>
              <w:widowControl w:val="0"/>
              <w:spacing w:before="0" w:beforeAutospacing="0" w:after="0" w:afterAutospacing="0" w:line="0" w:lineRule="atLeast"/>
              <w:jc w:val="both"/>
              <w:rPr>
                <w:rFonts w:hint="eastAsia" w:ascii="宋体" w:hAnsi="宋体" w:cs="宋体"/>
                <w:b w:val="0"/>
                <w:sz w:val="24"/>
              </w:rPr>
            </w:pPr>
            <w:r>
              <w:rPr>
                <w:rFonts w:hint="eastAsia" w:ascii="宋体" w:hAnsi="宋体" w:cs="宋体"/>
                <w:b w:val="0"/>
                <w:sz w:val="24"/>
              </w:rPr>
              <w:t>（2）监狱企业价格扣除：同小型和微型企业。</w:t>
            </w:r>
          </w:p>
          <w:p>
            <w:pPr>
              <w:pStyle w:val="77"/>
              <w:widowControl w:val="0"/>
              <w:spacing w:before="0" w:beforeAutospacing="0" w:after="0" w:afterAutospacing="0" w:line="0" w:lineRule="atLeast"/>
              <w:jc w:val="both"/>
              <w:rPr>
                <w:rFonts w:hint="eastAsia" w:ascii="宋体" w:hAnsi="宋体" w:cs="宋体"/>
                <w:b w:val="0"/>
                <w:sz w:val="24"/>
              </w:rPr>
            </w:pPr>
            <w:r>
              <w:rPr>
                <w:rFonts w:hint="eastAsia" w:ascii="宋体" w:hAnsi="宋体" w:cs="宋体"/>
                <w:b w:val="0"/>
                <w:sz w:val="24"/>
              </w:rPr>
              <w:t>（3）残疾人福利性单位价格扣除：同小型和微型企业。</w:t>
            </w:r>
          </w:p>
          <w:p>
            <w:pPr>
              <w:pStyle w:val="77"/>
              <w:widowControl w:val="0"/>
              <w:spacing w:before="0" w:beforeAutospacing="0" w:after="0" w:afterAutospacing="0" w:line="0" w:lineRule="atLeast"/>
              <w:jc w:val="both"/>
              <w:rPr>
                <w:rFonts w:hint="eastAsia" w:ascii="宋体" w:hAnsi="宋体" w:cs="宋体"/>
                <w:b w:val="0"/>
                <w:bCs w:val="0"/>
                <w:sz w:val="24"/>
              </w:rPr>
            </w:pPr>
            <w:r>
              <w:rPr>
                <w:rFonts w:hint="eastAsia" w:ascii="宋体" w:hAnsi="宋体" w:cs="宋体"/>
                <w:b w:val="0"/>
                <w:sz w:val="24"/>
              </w:rPr>
              <w:t>（4）符合条</w:t>
            </w:r>
            <w:r>
              <w:rPr>
                <w:rFonts w:hint="eastAsia" w:ascii="宋体" w:hAnsi="宋体" w:cs="宋体"/>
                <w:b w:val="0"/>
                <w:bCs w:val="0"/>
                <w:sz w:val="24"/>
              </w:rPr>
              <w:t>件的联合体价格扣除：4 %。（本项目不接受联合体投标）</w:t>
            </w:r>
          </w:p>
          <w:p>
            <w:pPr>
              <w:pStyle w:val="77"/>
              <w:widowControl w:val="0"/>
              <w:spacing w:before="0" w:beforeAutospacing="0" w:after="0" w:afterAutospacing="0" w:line="0" w:lineRule="atLeast"/>
              <w:jc w:val="both"/>
              <w:rPr>
                <w:rFonts w:hint="eastAsia" w:ascii="宋体" w:hAnsi="宋体" w:cs="宋体"/>
                <w:b w:val="0"/>
                <w:sz w:val="24"/>
              </w:rPr>
            </w:pPr>
            <w:r>
              <w:rPr>
                <w:rFonts w:hint="eastAsia" w:ascii="宋体" w:hAnsi="宋体" w:cs="宋体"/>
                <w:b w:val="0"/>
                <w:bCs w:val="0"/>
                <w:sz w:val="24"/>
              </w:rPr>
              <w:t>（5）符合条件的向小微企业分包的大中型企业价格扣除：4 %。（本项目不允许分包）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22.4</w:t>
            </w:r>
          </w:p>
        </w:tc>
        <w:tc>
          <w:tcPr>
            <w:tcW w:w="2190" w:type="dxa"/>
            <w:noWrap w:val="0"/>
            <w:vAlign w:val="center"/>
          </w:tcPr>
          <w:p>
            <w:pPr>
              <w:pStyle w:val="77"/>
              <w:widowControl w:val="0"/>
              <w:spacing w:before="0" w:beforeAutospacing="0" w:after="0" w:afterAutospacing="0"/>
              <w:jc w:val="both"/>
              <w:rPr>
                <w:rFonts w:hint="eastAsia" w:ascii="Arial" w:hAnsi="Arial" w:cs="Arial"/>
                <w:b w:val="0"/>
                <w:sz w:val="24"/>
              </w:rPr>
            </w:pPr>
            <w:r>
              <w:rPr>
                <w:rFonts w:hint="eastAsia" w:ascii="宋体" w:hAnsi="宋体"/>
                <w:b w:val="0"/>
                <w:bCs w:val="0"/>
                <w:iCs/>
                <w:sz w:val="24"/>
                <w:szCs w:val="24"/>
              </w:rPr>
              <w:t>节能、环境标志产品采购</w:t>
            </w:r>
          </w:p>
        </w:tc>
        <w:tc>
          <w:tcPr>
            <w:tcW w:w="5483" w:type="dxa"/>
            <w:noWrap w:val="0"/>
            <w:vAlign w:val="center"/>
          </w:tcPr>
          <w:p>
            <w:pPr>
              <w:pStyle w:val="77"/>
              <w:widowControl w:val="0"/>
              <w:spacing w:before="0" w:beforeAutospacing="0" w:after="0" w:afterAutospacing="0"/>
              <w:jc w:val="both"/>
              <w:rPr>
                <w:rFonts w:hint="eastAsia" w:ascii="宋体" w:hAnsi="宋体" w:cs="宋体"/>
                <w:b w:val="0"/>
                <w:bCs w:val="0"/>
                <w:kern w:val="2"/>
                <w:sz w:val="24"/>
                <w:szCs w:val="20"/>
              </w:rPr>
            </w:pPr>
            <w:r>
              <w:rPr>
                <w:rFonts w:hint="eastAsia" w:ascii="宋体" w:hAnsi="宋体" w:cs="宋体"/>
                <w:b w:val="0"/>
                <w:bCs w:val="0"/>
                <w:kern w:val="2"/>
                <w:sz w:val="24"/>
                <w:szCs w:val="20"/>
              </w:rPr>
              <w:t>强制采购节能产品，必须符合招标文件要求及相关规定；</w:t>
            </w:r>
          </w:p>
          <w:p>
            <w:pPr>
              <w:pStyle w:val="77"/>
              <w:widowControl w:val="0"/>
              <w:spacing w:before="0" w:beforeAutospacing="0" w:after="0" w:afterAutospacing="0"/>
              <w:jc w:val="both"/>
              <w:rPr>
                <w:rFonts w:hint="eastAsia" w:ascii="宋体" w:hAnsi="宋体" w:cs="宋体"/>
                <w:b w:val="0"/>
                <w:sz w:val="24"/>
              </w:rPr>
            </w:pPr>
            <w:r>
              <w:rPr>
                <w:rFonts w:hint="eastAsia" w:ascii="宋体" w:hAnsi="宋体" w:cs="宋体"/>
                <w:b w:val="0"/>
                <w:bCs w:val="0"/>
                <w:kern w:val="2"/>
                <w:sz w:val="24"/>
                <w:szCs w:val="20"/>
              </w:rPr>
              <w:t>其他符合招标文件要求的，给予优先采购。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26</w:t>
            </w:r>
            <w:r>
              <w:rPr>
                <w:rFonts w:ascii="Arial" w:hAnsi="Arial" w:eastAsia="宋体" w:cs="@仿宋_GB2312"/>
                <w:bCs/>
                <w:kern w:val="2"/>
                <w:lang w:val="en-US" w:eastAsia="zh-CN"/>
              </w:rPr>
              <w:t>.</w:t>
            </w:r>
            <w:r>
              <w:rPr>
                <w:rFonts w:hint="eastAsia"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评标委员会推荐中标候选人的数量</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ascii="Arial" w:hAnsi="Arial" w:cs="Arial"/>
                <w:b w:val="0"/>
                <w:sz w:val="24"/>
              </w:rPr>
              <w:t>1-3</w:t>
            </w:r>
            <w:r>
              <w:rPr>
                <w:rFonts w:hint="eastAsia" w:ascii="Arial" w:hAnsi="Arial" w:cs="Arial"/>
                <w:b w:val="0"/>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26</w:t>
            </w:r>
            <w:r>
              <w:rPr>
                <w:rFonts w:ascii="Arial" w:hAnsi="Arial" w:eastAsia="宋体" w:cs="@仿宋_GB2312"/>
                <w:bCs/>
                <w:kern w:val="2"/>
                <w:lang w:val="en-US" w:eastAsia="zh-CN"/>
              </w:rPr>
              <w:t>.</w:t>
            </w:r>
            <w:r>
              <w:rPr>
                <w:rFonts w:hint="eastAsia" w:ascii="Arial" w:hAnsi="Arial" w:eastAsia="宋体" w:cs="@仿宋_GB2312"/>
                <w:bCs/>
                <w:kern w:val="2"/>
                <w:lang w:val="en-US" w:eastAsia="zh-CN"/>
              </w:rPr>
              <w:t>2</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确定中标人</w:t>
            </w:r>
          </w:p>
        </w:tc>
        <w:tc>
          <w:tcPr>
            <w:tcW w:w="5483" w:type="dxa"/>
            <w:noWrap w:val="0"/>
            <w:vAlign w:val="center"/>
          </w:tcPr>
          <w:p>
            <w:pPr>
              <w:pStyle w:val="77"/>
              <w:widowControl w:val="0"/>
              <w:spacing w:before="0" w:beforeAutospacing="0" w:after="0" w:afterAutospacing="0" w:line="0" w:lineRule="atLeast"/>
              <w:jc w:val="both"/>
              <w:rPr>
                <w:rFonts w:ascii="宋体" w:hAnsi="宋体" w:cs="宋体"/>
                <w:b w:val="0"/>
                <w:bCs w:val="0"/>
                <w:sz w:val="24"/>
                <w:szCs w:val="24"/>
              </w:rPr>
            </w:pPr>
            <w:r>
              <w:rPr>
                <w:rFonts w:hint="eastAsia" w:ascii="宋体" w:hAnsi="宋体" w:cs="宋体"/>
                <w:sz w:val="24"/>
                <w:szCs w:val="24"/>
              </w:rPr>
              <w:t>□</w:t>
            </w:r>
            <w:r>
              <w:rPr>
                <w:rFonts w:hint="eastAsia" w:ascii="宋体" w:hAnsi="宋体" w:cs="宋体"/>
                <w:b w:val="0"/>
                <w:bCs w:val="0"/>
                <w:sz w:val="24"/>
                <w:szCs w:val="24"/>
              </w:rPr>
              <w:t>采购人委托由评标委员会确定</w:t>
            </w:r>
          </w:p>
          <w:p>
            <w:pPr>
              <w:pStyle w:val="77"/>
              <w:widowControl w:val="0"/>
              <w:spacing w:before="0" w:beforeAutospacing="0" w:after="0" w:afterAutospacing="0" w:line="0" w:lineRule="atLeast"/>
              <w:jc w:val="both"/>
              <w:rPr>
                <w:rFonts w:ascii="Arial" w:hAnsi="Arial" w:cs="Arial"/>
                <w:b w:val="0"/>
                <w:bCs w:val="0"/>
                <w:sz w:val="24"/>
                <w:szCs w:val="24"/>
              </w:rPr>
            </w:pPr>
            <w:r>
              <w:rPr>
                <w:rFonts w:ascii="Arial" w:hAnsi="Arial" w:cs="Arial"/>
              </w:rPr>
              <w:sym w:font="Wingdings" w:char="00FE"/>
            </w:r>
            <w:r>
              <w:rPr>
                <w:rFonts w:hint="eastAsia" w:ascii="Arial" w:hAnsi="Arial" w:cs="Arial"/>
                <w:b w:val="0"/>
                <w:bCs w:val="0"/>
                <w:sz w:val="24"/>
                <w:szCs w:val="24"/>
              </w:rPr>
              <w:t>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ascii="Arial" w:hAnsi="Arial" w:eastAsia="宋体" w:cs="@仿宋_GB2312"/>
                <w:bCs/>
                <w:kern w:val="2"/>
                <w:lang w:val="en-US" w:eastAsia="zh-CN"/>
              </w:rPr>
              <w:t>2</w:t>
            </w:r>
            <w:r>
              <w:rPr>
                <w:rFonts w:hint="eastAsia" w:ascii="Arial" w:hAnsi="Arial" w:eastAsia="宋体" w:cs="@仿宋_GB2312"/>
                <w:bCs/>
                <w:kern w:val="2"/>
                <w:lang w:val="en-US" w:eastAsia="zh-CN"/>
              </w:rPr>
              <w:t>8</w:t>
            </w:r>
            <w:r>
              <w:rPr>
                <w:rFonts w:ascii="Arial" w:hAnsi="Arial" w:eastAsia="宋体" w:cs="@仿宋_GB2312"/>
                <w:bCs/>
                <w:kern w:val="2"/>
                <w:lang w:val="en-US" w:eastAsia="zh-CN"/>
              </w:rPr>
              <w:t>.3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随中标公告同时公告的中标人的投标文件内容</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bCs w:val="0"/>
                <w:sz w:val="24"/>
                <w:szCs w:val="24"/>
              </w:rPr>
            </w:pPr>
            <w:r>
              <w:rPr>
                <w:rFonts w:hint="eastAsia" w:ascii="Arial" w:hAnsi="Arial" w:cs="Arial"/>
                <w:b w:val="0"/>
                <w:bCs w:val="0"/>
                <w:sz w:val="24"/>
                <w:szCs w:val="24"/>
              </w:rPr>
              <w:t>（1）中小型企业声明函或残疾人福利性单位声明函或监狱企业证明（如有）</w:t>
            </w:r>
          </w:p>
          <w:p>
            <w:pPr>
              <w:pStyle w:val="77"/>
              <w:widowControl w:val="0"/>
              <w:spacing w:before="0" w:beforeAutospacing="0" w:after="0" w:afterAutospacing="0" w:line="0" w:lineRule="atLeast"/>
              <w:jc w:val="both"/>
              <w:rPr>
                <w:rFonts w:ascii="Arial" w:hAnsi="Arial" w:cs="Arial"/>
                <w:b w:val="0"/>
                <w:bCs w:val="0"/>
                <w:sz w:val="24"/>
                <w:szCs w:val="24"/>
              </w:rPr>
            </w:pPr>
            <w:r>
              <w:rPr>
                <w:rFonts w:hint="eastAsia" w:ascii="Arial" w:hAnsi="Arial" w:cs="Arial"/>
                <w:b w:val="0"/>
                <w:bCs w:val="0"/>
                <w:sz w:val="24"/>
                <w:szCs w:val="24"/>
              </w:rPr>
              <w:t>（2）招标文件中规定进行公示的其他内容。（如有）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30</w:t>
            </w:r>
            <w:r>
              <w:rPr>
                <w:rFonts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告知招标结果的形式</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bCs w:val="0"/>
                <w:sz w:val="24"/>
                <w:szCs w:val="24"/>
              </w:rPr>
            </w:pPr>
            <w:r>
              <w:rPr>
                <w:rFonts w:hint="eastAsia" w:ascii="Arial" w:hAnsi="Arial" w:cs="Arial"/>
                <w:b w:val="0"/>
                <w:sz w:val="24"/>
              </w:rPr>
              <w:t>评标现场告知或</w:t>
            </w:r>
            <w:r>
              <w:rPr>
                <w:rFonts w:hint="eastAsia" w:ascii="Arial" w:hAnsi="Arial" w:cs="Arial"/>
                <w:b w:val="0"/>
                <w:bCs w:val="0"/>
                <w:sz w:val="24"/>
                <w:szCs w:val="24"/>
              </w:rPr>
              <w:t>投标人自行上网查看（公告或邮件）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ascii="Arial" w:hAnsi="Arial" w:eastAsia="宋体" w:cs="@仿宋_GB2312"/>
                <w:bCs/>
                <w:kern w:val="2"/>
                <w:lang w:val="en-US" w:eastAsia="zh-CN"/>
              </w:rPr>
              <w:t>3</w:t>
            </w:r>
            <w:r>
              <w:rPr>
                <w:rFonts w:hint="eastAsia" w:ascii="Arial" w:hAnsi="Arial" w:eastAsia="宋体" w:cs="@仿宋_GB2312"/>
                <w:bCs/>
                <w:kern w:val="2"/>
                <w:lang w:val="en-US" w:eastAsia="zh-CN"/>
              </w:rPr>
              <w:t>1</w:t>
            </w:r>
            <w:r>
              <w:rPr>
                <w:rFonts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履约保证金</w:t>
            </w:r>
          </w:p>
        </w:tc>
        <w:tc>
          <w:tcPr>
            <w:tcW w:w="5483" w:type="dxa"/>
            <w:noWrap w:val="0"/>
            <w:vAlign w:val="center"/>
          </w:tcPr>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□不收取</w:t>
            </w:r>
          </w:p>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☑收取</w:t>
            </w:r>
          </w:p>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1.金额：</w:t>
            </w:r>
          </w:p>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☑合同价的</w:t>
            </w:r>
            <w:r>
              <w:rPr>
                <w:rFonts w:hint="eastAsia" w:ascii="宋体" w:hAnsi="宋体"/>
                <w:b w:val="0"/>
                <w:sz w:val="24"/>
                <w:u w:val="single"/>
              </w:rPr>
              <w:t>2.5</w:t>
            </w:r>
            <w:r>
              <w:rPr>
                <w:rFonts w:ascii="宋体" w:hAnsi="宋体"/>
                <w:b w:val="0"/>
                <w:sz w:val="24"/>
              </w:rPr>
              <w:t>%</w:t>
            </w:r>
          </w:p>
          <w:p>
            <w:pPr>
              <w:pStyle w:val="77"/>
              <w:widowControl w:val="0"/>
              <w:spacing w:before="0" w:beforeAutospacing="0" w:after="0" w:afterAutospacing="0" w:line="360" w:lineRule="auto"/>
              <w:jc w:val="both"/>
              <w:rPr>
                <w:rFonts w:ascii="宋体" w:hAnsi="宋体"/>
                <w:b w:val="0"/>
                <w:sz w:val="24"/>
              </w:rPr>
            </w:pPr>
            <w:r>
              <w:rPr>
                <w:rFonts w:ascii="宋体" w:hAnsi="宋体"/>
                <w:b w:val="0"/>
                <w:sz w:val="24"/>
              </w:rPr>
              <w:t>□</w:t>
            </w:r>
            <w:r>
              <w:rPr>
                <w:rFonts w:hint="eastAsia" w:ascii="宋体" w:hAnsi="宋体"/>
                <w:b w:val="0"/>
                <w:sz w:val="24"/>
              </w:rPr>
              <w:t>定额收取：人民币</w:t>
            </w:r>
            <w:r>
              <w:rPr>
                <w:rFonts w:hint="eastAsia" w:ascii="宋体" w:hAnsi="宋体"/>
                <w:b w:val="0"/>
                <w:sz w:val="24"/>
                <w:u w:val="single"/>
              </w:rPr>
              <w:t xml:space="preserve">     </w:t>
            </w:r>
            <w:r>
              <w:rPr>
                <w:rFonts w:hint="eastAsia" w:ascii="宋体" w:hAnsi="宋体"/>
                <w:b w:val="0"/>
                <w:sz w:val="24"/>
              </w:rPr>
              <w:t>元</w:t>
            </w:r>
          </w:p>
          <w:p>
            <w:pPr>
              <w:spacing w:line="360" w:lineRule="auto"/>
              <w:rPr>
                <w:rFonts w:ascii="宋体" w:hAnsi="宋体"/>
                <w:bCs/>
                <w:kern w:val="0"/>
                <w:sz w:val="24"/>
                <w:szCs w:val="28"/>
              </w:rPr>
            </w:pPr>
            <w:r>
              <w:rPr>
                <w:rFonts w:hint="eastAsia" w:ascii="宋体" w:hAnsi="宋体"/>
                <w:bCs/>
                <w:kern w:val="0"/>
                <w:sz w:val="24"/>
                <w:szCs w:val="28"/>
              </w:rPr>
              <w:t>2.支付方式：</w:t>
            </w:r>
          </w:p>
          <w:p>
            <w:pPr>
              <w:spacing w:line="360" w:lineRule="auto"/>
              <w:rPr>
                <w:rFonts w:ascii="宋体" w:hAnsi="宋体"/>
                <w:bCs/>
                <w:kern w:val="0"/>
                <w:sz w:val="24"/>
                <w:szCs w:val="28"/>
              </w:rPr>
            </w:pPr>
            <w:r>
              <w:rPr>
                <w:rFonts w:hint="eastAsia" w:ascii="宋体" w:hAnsi="宋体"/>
                <w:sz w:val="24"/>
              </w:rPr>
              <w:t>☑</w:t>
            </w:r>
            <w:r>
              <w:rPr>
                <w:rFonts w:ascii="宋体" w:hAnsi="宋体"/>
                <w:bCs/>
                <w:kern w:val="0"/>
                <w:sz w:val="24"/>
                <w:szCs w:val="28"/>
              </w:rPr>
              <w:t>转账/电汇</w:t>
            </w:r>
            <w:r>
              <w:rPr>
                <w:rFonts w:hint="eastAsia" w:ascii="宋体" w:hAnsi="宋体"/>
                <w:bCs/>
                <w:kern w:val="0"/>
                <w:sz w:val="24"/>
                <w:szCs w:val="28"/>
              </w:rPr>
              <w:t xml:space="preserve"> </w:t>
            </w:r>
            <w:r>
              <w:rPr>
                <w:rFonts w:hint="eastAsia" w:ascii="宋体" w:hAnsi="宋体"/>
                <w:sz w:val="24"/>
              </w:rPr>
              <w:t>☑</w:t>
            </w:r>
            <w:r>
              <w:rPr>
                <w:rFonts w:ascii="宋体" w:hAnsi="宋体"/>
                <w:bCs/>
                <w:kern w:val="0"/>
                <w:sz w:val="24"/>
                <w:szCs w:val="28"/>
              </w:rPr>
              <w:t xml:space="preserve">支票 </w:t>
            </w:r>
            <w:r>
              <w:rPr>
                <w:rFonts w:hint="eastAsia" w:ascii="宋体" w:hAnsi="宋体"/>
                <w:sz w:val="24"/>
              </w:rPr>
              <w:t>☑</w:t>
            </w:r>
            <w:r>
              <w:rPr>
                <w:rFonts w:ascii="宋体" w:hAnsi="宋体"/>
                <w:bCs/>
                <w:kern w:val="0"/>
                <w:sz w:val="24"/>
                <w:szCs w:val="28"/>
              </w:rPr>
              <w:t>汇票</w:t>
            </w:r>
            <w:r>
              <w:rPr>
                <w:rFonts w:hint="eastAsia" w:ascii="宋体" w:hAnsi="宋体"/>
                <w:sz w:val="24"/>
              </w:rPr>
              <w:t>☑</w:t>
            </w:r>
            <w:r>
              <w:rPr>
                <w:rFonts w:hint="eastAsia" w:ascii="宋体" w:hAnsi="宋体"/>
                <w:bCs/>
                <w:kern w:val="0"/>
                <w:sz w:val="24"/>
                <w:szCs w:val="28"/>
              </w:rPr>
              <w:t>本票</w:t>
            </w:r>
            <w:r>
              <w:rPr>
                <w:rFonts w:hint="eastAsia" w:ascii="宋体" w:hAnsi="宋体"/>
                <w:sz w:val="24"/>
              </w:rPr>
              <w:t>☑</w:t>
            </w:r>
            <w:r>
              <w:rPr>
                <w:rFonts w:hint="eastAsia" w:ascii="宋体" w:hAnsi="宋体"/>
                <w:bCs/>
                <w:kern w:val="0"/>
                <w:sz w:val="24"/>
                <w:szCs w:val="28"/>
              </w:rPr>
              <w:t>保</w:t>
            </w:r>
            <w:r>
              <w:rPr>
                <w:rFonts w:ascii="宋体" w:hAnsi="宋体"/>
                <w:bCs/>
                <w:kern w:val="0"/>
                <w:sz w:val="24"/>
                <w:szCs w:val="28"/>
              </w:rPr>
              <w:t>函</w:t>
            </w:r>
          </w:p>
          <w:p>
            <w:pPr>
              <w:spacing w:line="360" w:lineRule="auto"/>
              <w:rPr>
                <w:rFonts w:hint="eastAsia" w:ascii="宋体" w:hAnsi="宋体"/>
                <w:bCs/>
                <w:kern w:val="0"/>
                <w:sz w:val="24"/>
                <w:szCs w:val="28"/>
              </w:rPr>
            </w:pPr>
            <w:r>
              <w:rPr>
                <w:rFonts w:hint="eastAsia" w:ascii="宋体" w:hAnsi="宋体"/>
                <w:bCs/>
                <w:kern w:val="0"/>
                <w:sz w:val="24"/>
                <w:szCs w:val="28"/>
              </w:rPr>
              <w:t>（1）履约保证金缴纳账户信息如下：</w:t>
            </w:r>
          </w:p>
          <w:p>
            <w:pPr>
              <w:spacing w:line="360" w:lineRule="auto"/>
              <w:rPr>
                <w:rFonts w:hint="eastAsia" w:ascii="宋体" w:hAnsi="宋体"/>
                <w:bCs/>
                <w:kern w:val="0"/>
                <w:sz w:val="24"/>
                <w:szCs w:val="28"/>
              </w:rPr>
            </w:pPr>
            <w:r>
              <w:rPr>
                <w:rFonts w:hint="eastAsia" w:ascii="宋体" w:hAnsi="宋体"/>
                <w:bCs/>
                <w:kern w:val="0"/>
                <w:sz w:val="24"/>
                <w:szCs w:val="28"/>
              </w:rPr>
              <w:t>账户名称：安徽理工大学</w:t>
            </w:r>
          </w:p>
          <w:p>
            <w:pPr>
              <w:spacing w:line="360" w:lineRule="auto"/>
              <w:rPr>
                <w:rFonts w:hint="eastAsia" w:ascii="宋体" w:hAnsi="宋体"/>
                <w:bCs/>
                <w:kern w:val="0"/>
                <w:sz w:val="24"/>
                <w:szCs w:val="28"/>
              </w:rPr>
            </w:pPr>
            <w:r>
              <w:rPr>
                <w:rFonts w:hint="eastAsia" w:ascii="宋体" w:hAnsi="宋体"/>
                <w:bCs/>
                <w:kern w:val="0"/>
                <w:sz w:val="24"/>
                <w:szCs w:val="28"/>
              </w:rPr>
              <w:t>开户银行：工商银行淮南市洞山支行</w:t>
            </w:r>
          </w:p>
          <w:p>
            <w:pPr>
              <w:spacing w:line="360" w:lineRule="auto"/>
              <w:rPr>
                <w:rFonts w:hint="eastAsia" w:ascii="宋体" w:hAnsi="宋体"/>
                <w:bCs/>
                <w:kern w:val="0"/>
                <w:sz w:val="24"/>
                <w:szCs w:val="28"/>
              </w:rPr>
            </w:pPr>
            <w:r>
              <w:rPr>
                <w:rFonts w:hint="eastAsia" w:ascii="宋体" w:hAnsi="宋体"/>
                <w:bCs/>
                <w:kern w:val="0"/>
                <w:sz w:val="24"/>
                <w:szCs w:val="28"/>
              </w:rPr>
              <w:t>账号：1304002709024950996</w:t>
            </w:r>
          </w:p>
          <w:p>
            <w:pPr>
              <w:spacing w:line="360" w:lineRule="auto"/>
              <w:rPr>
                <w:rFonts w:ascii="宋体" w:hAnsi="宋体"/>
                <w:bCs/>
                <w:kern w:val="0"/>
                <w:sz w:val="24"/>
                <w:szCs w:val="28"/>
              </w:rPr>
            </w:pPr>
            <w:r>
              <w:rPr>
                <w:rFonts w:hint="eastAsia" w:ascii="宋体" w:hAnsi="宋体"/>
                <w:bCs/>
                <w:kern w:val="0"/>
                <w:sz w:val="24"/>
                <w:szCs w:val="28"/>
              </w:rPr>
              <w:t>（2）如采用金融机构出具的保函（银行保函），应为银行出具的见索即付无条件保函。</w:t>
            </w:r>
          </w:p>
          <w:p>
            <w:pPr>
              <w:spacing w:line="360" w:lineRule="auto"/>
              <w:rPr>
                <w:rFonts w:ascii="宋体" w:hAnsi="宋体"/>
                <w:bCs/>
                <w:kern w:val="0"/>
                <w:sz w:val="24"/>
                <w:szCs w:val="28"/>
              </w:rPr>
            </w:pPr>
            <w:r>
              <w:rPr>
                <w:rFonts w:hint="eastAsia" w:ascii="宋体" w:hAnsi="宋体"/>
                <w:bCs/>
                <w:kern w:val="0"/>
                <w:sz w:val="24"/>
                <w:szCs w:val="28"/>
              </w:rPr>
              <w:t>（3）如采用担保机构出具的保函（担保机构担保），应为经安徽省地方金融监督管理局审查批准，依法取得融资担保业务经营许可证的融资担保机构出具的无条件保函。</w:t>
            </w:r>
          </w:p>
          <w:p>
            <w:pPr>
              <w:pStyle w:val="77"/>
              <w:widowControl w:val="0"/>
              <w:spacing w:before="0" w:beforeAutospacing="0" w:after="0" w:afterAutospacing="0" w:line="360" w:lineRule="auto"/>
              <w:jc w:val="both"/>
              <w:rPr>
                <w:rFonts w:ascii="宋体" w:hAnsi="宋体"/>
                <w:b w:val="0"/>
                <w:sz w:val="24"/>
                <w:u w:val="single"/>
              </w:rPr>
            </w:pPr>
            <w:r>
              <w:rPr>
                <w:rFonts w:hint="eastAsia" w:ascii="宋体" w:hAnsi="宋体"/>
                <w:b w:val="0"/>
                <w:sz w:val="24"/>
              </w:rPr>
              <w:t>3.收取单位：</w:t>
            </w:r>
            <w:r>
              <w:rPr>
                <w:rFonts w:hint="eastAsia" w:ascii="宋体" w:hAnsi="宋体"/>
                <w:b w:val="0"/>
                <w:sz w:val="24"/>
                <w:u w:val="single"/>
              </w:rPr>
              <w:t>安徽理工大学</w:t>
            </w:r>
          </w:p>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4.缴纳时间：</w:t>
            </w:r>
            <w:r>
              <w:rPr>
                <w:rFonts w:ascii="宋体" w:hAnsi="宋体"/>
                <w:b w:val="0"/>
                <w:sz w:val="24"/>
                <w:u w:val="single"/>
              </w:rPr>
              <w:t>合同签订前</w:t>
            </w:r>
          </w:p>
          <w:p>
            <w:pPr>
              <w:pStyle w:val="77"/>
              <w:widowControl w:val="0"/>
              <w:spacing w:before="0" w:beforeAutospacing="0" w:after="0" w:afterAutospacing="0" w:line="360" w:lineRule="auto"/>
              <w:jc w:val="both"/>
              <w:rPr>
                <w:rFonts w:hint="eastAsia" w:ascii="宋体" w:hAnsi="宋体"/>
                <w:b w:val="0"/>
                <w:sz w:val="24"/>
              </w:rPr>
            </w:pPr>
            <w:r>
              <w:rPr>
                <w:rFonts w:hint="eastAsia" w:ascii="宋体" w:hAnsi="宋体"/>
                <w:b w:val="0"/>
                <w:sz w:val="24"/>
              </w:rPr>
              <w:t>5.退还时间：</w:t>
            </w:r>
            <w:r>
              <w:rPr>
                <w:rFonts w:hint="eastAsia" w:ascii="宋体" w:hAnsi="宋体"/>
                <w:b w:val="0"/>
                <w:sz w:val="24"/>
                <w:u w:val="single"/>
              </w:rPr>
              <w:t>验收合格后退还</w:t>
            </w:r>
          </w:p>
          <w:p>
            <w:pPr>
              <w:spacing w:line="360" w:lineRule="auto"/>
              <w:rPr>
                <w:rFonts w:hint="eastAsia" w:ascii="宋体" w:hAnsi="宋体"/>
                <w:bCs/>
                <w:kern w:val="0"/>
                <w:sz w:val="24"/>
                <w:szCs w:val="28"/>
              </w:rPr>
            </w:pPr>
            <w:r>
              <w:rPr>
                <w:rFonts w:hint="eastAsia" w:ascii="宋体" w:hAnsi="宋体"/>
                <w:bCs/>
                <w:kern w:val="0"/>
                <w:sz w:val="24"/>
                <w:szCs w:val="28"/>
              </w:rPr>
              <w:t xml:space="preserve">注意事项： </w:t>
            </w:r>
          </w:p>
          <w:p>
            <w:pPr>
              <w:spacing w:line="360" w:lineRule="auto"/>
              <w:rPr>
                <w:rFonts w:hint="eastAsia" w:ascii="宋体" w:hAnsi="宋体"/>
                <w:bCs/>
                <w:kern w:val="0"/>
                <w:sz w:val="24"/>
                <w:szCs w:val="28"/>
              </w:rPr>
            </w:pPr>
            <w:r>
              <w:rPr>
                <w:rFonts w:hint="eastAsia" w:ascii="宋体" w:hAnsi="宋体"/>
                <w:bCs/>
                <w:kern w:val="0"/>
                <w:sz w:val="24"/>
                <w:szCs w:val="28"/>
              </w:rPr>
              <w:t xml:space="preserve">（1）以上各类机构出具的以担保函、保证保险承担责任的方式均须满足无条件见索即付条件。 </w:t>
            </w:r>
          </w:p>
          <w:p>
            <w:pPr>
              <w:spacing w:line="360" w:lineRule="auto"/>
              <w:rPr>
                <w:rFonts w:hint="eastAsia" w:ascii="Arial" w:hAnsi="Arial" w:cs="Arial"/>
                <w:sz w:val="24"/>
                <w:szCs w:val="24"/>
              </w:rPr>
            </w:pPr>
            <w:r>
              <w:rPr>
                <w:rFonts w:hint="eastAsia" w:ascii="宋体" w:hAnsi="宋体"/>
                <w:bCs/>
                <w:kern w:val="0"/>
                <w:sz w:val="24"/>
                <w:szCs w:val="28"/>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33</w:t>
            </w:r>
            <w:r>
              <w:rPr>
                <w:rFonts w:ascii="Arial" w:hAnsi="Arial" w:eastAsia="宋体" w:cs="@仿宋_GB2312"/>
                <w:bCs/>
                <w:kern w:val="2"/>
                <w:lang w:val="en-US" w:eastAsia="zh-CN"/>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中标服务费</w:t>
            </w:r>
          </w:p>
        </w:tc>
        <w:tc>
          <w:tcPr>
            <w:tcW w:w="5483" w:type="dxa"/>
            <w:noWrap w:val="0"/>
            <w:vAlign w:val="center"/>
          </w:tcPr>
          <w:p>
            <w:pPr>
              <w:spacing w:line="360" w:lineRule="auto"/>
              <w:rPr>
                <w:rFonts w:hint="eastAsia" w:ascii="宋体" w:hAnsi="宋体"/>
                <w:bCs/>
                <w:kern w:val="0"/>
                <w:sz w:val="24"/>
                <w:szCs w:val="28"/>
              </w:rPr>
            </w:pPr>
            <w:r>
              <w:rPr>
                <w:rFonts w:hint="eastAsia" w:ascii="宋体" w:hAnsi="宋体"/>
                <w:bCs/>
                <w:kern w:val="0"/>
                <w:sz w:val="24"/>
                <w:szCs w:val="28"/>
              </w:rPr>
              <w:t>□不收取</w:t>
            </w:r>
          </w:p>
          <w:p>
            <w:pPr>
              <w:spacing w:line="360" w:lineRule="auto"/>
              <w:rPr>
                <w:rFonts w:hint="eastAsia" w:ascii="宋体" w:hAnsi="宋体"/>
                <w:bCs/>
                <w:kern w:val="0"/>
                <w:sz w:val="24"/>
                <w:szCs w:val="28"/>
              </w:rPr>
            </w:pPr>
            <w:r>
              <w:rPr>
                <w:rFonts w:hint="eastAsia" w:ascii="宋体" w:hAnsi="宋体"/>
                <w:bCs/>
                <w:kern w:val="0"/>
                <w:sz w:val="24"/>
                <w:szCs w:val="28"/>
              </w:rPr>
              <w:t>☑收取</w:t>
            </w:r>
          </w:p>
          <w:p>
            <w:pPr>
              <w:spacing w:line="360" w:lineRule="auto"/>
              <w:rPr>
                <w:rFonts w:hint="eastAsia" w:ascii="宋体" w:hAnsi="宋体"/>
                <w:bCs/>
                <w:kern w:val="0"/>
                <w:sz w:val="24"/>
                <w:szCs w:val="28"/>
              </w:rPr>
            </w:pPr>
            <w:r>
              <w:rPr>
                <w:rFonts w:hint="eastAsia" w:ascii="宋体" w:hAnsi="宋体"/>
                <w:bCs/>
                <w:kern w:val="0"/>
                <w:sz w:val="24"/>
                <w:szCs w:val="28"/>
              </w:rPr>
              <w:t>1.金额：</w:t>
            </w:r>
          </w:p>
          <w:p>
            <w:pPr>
              <w:spacing w:line="360" w:lineRule="auto"/>
              <w:rPr>
                <w:rFonts w:hint="eastAsia" w:ascii="宋体" w:hAnsi="宋体"/>
                <w:bCs/>
                <w:kern w:val="0"/>
                <w:sz w:val="24"/>
                <w:szCs w:val="28"/>
              </w:rPr>
            </w:pPr>
            <w:r>
              <w:rPr>
                <w:rFonts w:hint="eastAsia" w:ascii="宋体" w:hAnsi="宋体"/>
                <w:bCs/>
                <w:kern w:val="0"/>
                <w:sz w:val="24"/>
                <w:szCs w:val="28"/>
              </w:rPr>
              <w:t>□定额收取：人民币</w:t>
            </w:r>
            <w:r>
              <w:rPr>
                <w:rFonts w:hint="eastAsia" w:ascii="宋体" w:hAnsi="宋体"/>
                <w:bCs/>
                <w:kern w:val="0"/>
                <w:sz w:val="24"/>
                <w:szCs w:val="28"/>
                <w:u w:val="single"/>
              </w:rPr>
              <w:t xml:space="preserve">        </w:t>
            </w:r>
            <w:r>
              <w:rPr>
                <w:rFonts w:hint="eastAsia" w:ascii="宋体" w:hAnsi="宋体"/>
                <w:bCs/>
                <w:kern w:val="0"/>
                <w:sz w:val="24"/>
                <w:szCs w:val="28"/>
              </w:rPr>
              <w:t>元</w:t>
            </w:r>
          </w:p>
          <w:p>
            <w:pPr>
              <w:spacing w:line="360" w:lineRule="auto"/>
              <w:rPr>
                <w:rFonts w:hint="eastAsia" w:ascii="宋体" w:hAnsi="宋体"/>
                <w:bCs/>
                <w:kern w:val="0"/>
                <w:sz w:val="24"/>
                <w:szCs w:val="28"/>
              </w:rPr>
            </w:pPr>
            <w:r>
              <w:rPr>
                <w:rFonts w:hint="eastAsia" w:ascii="宋体" w:hAnsi="宋体"/>
                <w:bCs/>
                <w:kern w:val="0"/>
                <w:sz w:val="24"/>
                <w:szCs w:val="28"/>
              </w:rPr>
              <w:t>☑按下列标准收取：</w:t>
            </w:r>
            <w:r>
              <w:rPr>
                <w:rFonts w:hint="eastAsia" w:ascii="宋体" w:hAnsi="宋体"/>
                <w:bCs/>
                <w:kern w:val="0"/>
                <w:sz w:val="24"/>
                <w:szCs w:val="28"/>
                <w:u w:val="single"/>
              </w:rPr>
              <w:t>代理服务费由中标供应商支付，含在供应商的投标报价中，不得单列。按国家计委关于印发《招标代理服务收费管理暂行办法》的通知（计价格[2002]1980号）规定及安徽理工大学2019年度政府采购招标代理协议收取，其中中标额100万元的以上部分下浮40%，中标额在100万元以下部分（含100万元）的下浮20%。</w:t>
            </w:r>
          </w:p>
          <w:p>
            <w:pPr>
              <w:spacing w:line="360" w:lineRule="auto"/>
              <w:rPr>
                <w:rFonts w:hint="eastAsia" w:ascii="宋体" w:hAnsi="宋体"/>
                <w:bCs/>
                <w:kern w:val="0"/>
                <w:sz w:val="24"/>
                <w:szCs w:val="28"/>
              </w:rPr>
            </w:pPr>
            <w:r>
              <w:rPr>
                <w:rFonts w:hint="eastAsia" w:ascii="宋体" w:hAnsi="宋体"/>
                <w:bCs/>
                <w:kern w:val="0"/>
                <w:sz w:val="24"/>
                <w:szCs w:val="28"/>
              </w:rPr>
              <w:t>2.支付方式：转账/电汇</w:t>
            </w:r>
          </w:p>
          <w:p>
            <w:pPr>
              <w:spacing w:line="360" w:lineRule="auto"/>
              <w:rPr>
                <w:rFonts w:ascii="宋体" w:hAnsi="宋体"/>
                <w:bCs/>
                <w:kern w:val="0"/>
                <w:sz w:val="24"/>
                <w:szCs w:val="28"/>
              </w:rPr>
            </w:pPr>
            <w:r>
              <w:rPr>
                <w:rFonts w:hint="eastAsia" w:ascii="宋体" w:hAnsi="宋体"/>
                <w:bCs/>
                <w:kern w:val="0"/>
                <w:sz w:val="24"/>
                <w:szCs w:val="28"/>
              </w:rPr>
              <w:t>3.收取单位：收取账号信息领取中标通知书前招标代理公司提供</w:t>
            </w:r>
          </w:p>
          <w:p>
            <w:pPr>
              <w:pStyle w:val="77"/>
              <w:widowControl w:val="0"/>
              <w:spacing w:before="0" w:beforeAutospacing="0" w:after="0" w:afterAutospacing="0"/>
              <w:jc w:val="both"/>
              <w:rPr>
                <w:rFonts w:ascii="Arial" w:hAnsi="Arial" w:cs="Arial"/>
                <w:b w:val="0"/>
                <w:sz w:val="24"/>
              </w:rPr>
            </w:pPr>
            <w:r>
              <w:rPr>
                <w:rFonts w:hint="eastAsia" w:ascii="宋体" w:hAnsi="宋体"/>
                <w:sz w:val="24"/>
              </w:rPr>
              <w:t>4.缴纳时间：</w:t>
            </w:r>
            <w:r>
              <w:rPr>
                <w:rFonts w:hint="eastAsia" w:ascii="宋体" w:hAnsi="宋体"/>
                <w:sz w:val="24"/>
                <w:u w:val="single"/>
              </w:rPr>
              <w:t>领取中标通知书前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仿宋_GB2312"/>
                <w:bCs/>
                <w:kern w:val="2"/>
                <w:lang w:val="en-US" w:eastAsia="zh-CN"/>
              </w:rPr>
            </w:pPr>
            <w:r>
              <w:rPr>
                <w:rFonts w:hint="eastAsia" w:ascii="Arial" w:hAnsi="Arial" w:eastAsia="宋体" w:cs="@仿宋_GB2312"/>
                <w:bCs/>
                <w:kern w:val="2"/>
                <w:lang w:val="en-US" w:eastAsia="zh-CN"/>
              </w:rPr>
              <w:t>36.2</w:t>
            </w:r>
          </w:p>
        </w:tc>
        <w:tc>
          <w:tcPr>
            <w:tcW w:w="2190" w:type="dxa"/>
            <w:noWrap w:val="0"/>
            <w:vAlign w:val="center"/>
          </w:tcPr>
          <w:p>
            <w:pPr>
              <w:pStyle w:val="77"/>
              <w:widowControl w:val="0"/>
              <w:spacing w:before="0" w:beforeAutospacing="0" w:after="0" w:afterAutospacing="0" w:line="360" w:lineRule="auto"/>
              <w:jc w:val="both"/>
              <w:rPr>
                <w:rFonts w:hint="eastAsia" w:ascii="Arial" w:hAnsi="Arial" w:cs="Arial"/>
                <w:b w:val="0"/>
                <w:sz w:val="24"/>
              </w:rPr>
            </w:pPr>
            <w:r>
              <w:rPr>
                <w:rFonts w:hint="eastAsia" w:ascii="宋体" w:hAnsi="宋体"/>
                <w:b w:val="0"/>
                <w:sz w:val="24"/>
              </w:rPr>
              <w:t>法定质疑期</w:t>
            </w:r>
          </w:p>
        </w:tc>
        <w:tc>
          <w:tcPr>
            <w:tcW w:w="5483" w:type="dxa"/>
            <w:noWrap w:val="0"/>
            <w:vAlign w:val="center"/>
          </w:tcPr>
          <w:p>
            <w:pPr>
              <w:pStyle w:val="77"/>
              <w:widowControl w:val="0"/>
              <w:spacing w:before="0" w:beforeAutospacing="0" w:after="0" w:afterAutospacing="0" w:line="360" w:lineRule="auto"/>
              <w:jc w:val="left"/>
              <w:rPr>
                <w:rFonts w:hint="eastAsia" w:ascii="宋体" w:hAnsi="宋体"/>
                <w:b w:val="0"/>
                <w:sz w:val="24"/>
              </w:rPr>
            </w:pPr>
            <w:r>
              <w:rPr>
                <w:rFonts w:hint="eastAsia" w:ascii="宋体" w:hAnsi="宋体"/>
                <w:b w:val="0"/>
                <w:sz w:val="24"/>
              </w:rPr>
              <w:t>1.对招标文件的质疑：获取招标文件或招标文件公告期限届满之日起7个工作日内；</w:t>
            </w:r>
          </w:p>
          <w:p>
            <w:pPr>
              <w:pStyle w:val="77"/>
              <w:widowControl w:val="0"/>
              <w:spacing w:before="0" w:beforeAutospacing="0" w:after="0" w:afterAutospacing="0" w:line="360" w:lineRule="auto"/>
              <w:jc w:val="left"/>
              <w:rPr>
                <w:rFonts w:ascii="宋体" w:hAnsi="宋体"/>
                <w:b w:val="0"/>
                <w:sz w:val="24"/>
              </w:rPr>
            </w:pPr>
            <w:r>
              <w:rPr>
                <w:rFonts w:hint="eastAsia" w:ascii="宋体" w:hAnsi="宋体"/>
                <w:b w:val="0"/>
                <w:sz w:val="24"/>
              </w:rPr>
              <w:t>2.对开标过程和开标记录的</w:t>
            </w:r>
            <w:r>
              <w:rPr>
                <w:rFonts w:hint="eastAsia" w:ascii="宋体" w:hAnsi="宋体"/>
                <w:b w:val="0"/>
                <w:sz w:val="24"/>
                <w:lang w:val="en-US" w:eastAsia="zh-CN"/>
              </w:rPr>
              <w:t>疑义</w:t>
            </w:r>
            <w:r>
              <w:rPr>
                <w:rFonts w:hint="eastAsia" w:ascii="宋体" w:hAnsi="宋体"/>
                <w:b w:val="0"/>
                <w:sz w:val="24"/>
              </w:rPr>
              <w:t>：开标现场提出询问；</w:t>
            </w:r>
          </w:p>
          <w:p>
            <w:pPr>
              <w:pStyle w:val="77"/>
              <w:widowControl w:val="0"/>
              <w:spacing w:before="0" w:beforeAutospacing="0" w:after="0" w:afterAutospacing="0" w:line="360" w:lineRule="auto"/>
              <w:jc w:val="both"/>
              <w:rPr>
                <w:rFonts w:hint="eastAsia" w:ascii="宋体" w:hAnsi="宋体"/>
                <w:sz w:val="24"/>
              </w:rPr>
            </w:pPr>
            <w:r>
              <w:rPr>
                <w:rFonts w:hint="eastAsia" w:ascii="宋体" w:hAnsi="宋体"/>
                <w:b w:val="0"/>
                <w:sz w:val="24"/>
              </w:rPr>
              <w:t>3.对中标结果的质疑：中标结果公告期限届满之日起7个工作日内。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仿宋_GB2312"/>
                <w:bCs/>
                <w:kern w:val="2"/>
                <w:lang w:val="en-US" w:eastAsia="zh-CN"/>
              </w:rPr>
            </w:pPr>
            <w:r>
              <w:rPr>
                <w:rFonts w:hint="eastAsia" w:ascii="Arial" w:hAnsi="Arial" w:eastAsia="宋体" w:cs="@仿宋_GB2312"/>
                <w:bCs/>
                <w:kern w:val="2"/>
                <w:lang w:val="en-US" w:eastAsia="zh-CN"/>
              </w:rPr>
              <w:t>36.3</w:t>
            </w:r>
          </w:p>
        </w:tc>
        <w:tc>
          <w:tcPr>
            <w:tcW w:w="2190" w:type="dxa"/>
            <w:noWrap w:val="0"/>
            <w:vAlign w:val="center"/>
          </w:tcPr>
          <w:p>
            <w:pPr>
              <w:pStyle w:val="77"/>
              <w:widowControl w:val="0"/>
              <w:spacing w:before="0" w:beforeAutospacing="0" w:after="0" w:afterAutospacing="0" w:line="360" w:lineRule="auto"/>
              <w:jc w:val="both"/>
              <w:rPr>
                <w:rFonts w:hint="eastAsia" w:ascii="宋体" w:hAnsi="宋体"/>
                <w:b w:val="0"/>
                <w:sz w:val="24"/>
              </w:rPr>
            </w:pPr>
            <w:r>
              <w:rPr>
                <w:rFonts w:hint="eastAsia" w:ascii="宋体" w:hAnsi="宋体"/>
                <w:b w:val="0"/>
                <w:sz w:val="24"/>
              </w:rPr>
              <w:t>质疑函提交方式、接收部门、联系电话和通讯地址</w:t>
            </w:r>
          </w:p>
        </w:tc>
        <w:tc>
          <w:tcPr>
            <w:tcW w:w="5483" w:type="dxa"/>
            <w:noWrap w:val="0"/>
            <w:vAlign w:val="center"/>
          </w:tcPr>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提交方式：</w:t>
            </w:r>
            <w:r>
              <w:rPr>
                <w:rFonts w:hint="eastAsia" w:ascii="宋体" w:hAnsi="宋体"/>
                <w:b w:val="0"/>
                <w:sz w:val="24"/>
                <w:u w:val="single"/>
              </w:rPr>
              <w:t>书面形式</w:t>
            </w:r>
          </w:p>
          <w:p>
            <w:pPr>
              <w:pStyle w:val="77"/>
              <w:widowControl w:val="0"/>
              <w:spacing w:before="0" w:beforeAutospacing="0" w:after="0" w:afterAutospacing="0" w:line="0" w:lineRule="atLeast"/>
              <w:jc w:val="both"/>
              <w:rPr>
                <w:rFonts w:hint="eastAsia" w:ascii="Arial" w:hAnsi="Arial" w:cs="Arial"/>
                <w:b w:val="0"/>
                <w:sz w:val="24"/>
              </w:rPr>
            </w:pPr>
            <w:r>
              <w:rPr>
                <w:rFonts w:hint="eastAsia" w:ascii="Arial" w:hAnsi="Arial" w:cs="Arial"/>
                <w:b w:val="0"/>
                <w:sz w:val="24"/>
              </w:rPr>
              <w:t>接收部门：淮南众信政府采购代理服务有限公司</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联系电话：</w:t>
            </w:r>
            <w:r>
              <w:rPr>
                <w:rFonts w:ascii="Arial" w:hAnsi="Arial" w:cs="Arial"/>
                <w:b w:val="0"/>
                <w:sz w:val="24"/>
              </w:rPr>
              <w:t>055</w:t>
            </w:r>
            <w:r>
              <w:rPr>
                <w:rFonts w:hint="eastAsia" w:ascii="Arial" w:hAnsi="Arial" w:cs="Arial"/>
                <w:b w:val="0"/>
                <w:sz w:val="24"/>
              </w:rPr>
              <w:t>4-2687798、13355549319</w:t>
            </w:r>
          </w:p>
          <w:p>
            <w:pPr>
              <w:pStyle w:val="77"/>
              <w:widowControl w:val="0"/>
              <w:spacing w:before="0" w:beforeAutospacing="0" w:after="0" w:afterAutospacing="0" w:line="360" w:lineRule="auto"/>
              <w:jc w:val="both"/>
              <w:rPr>
                <w:rFonts w:ascii="宋体" w:hAnsi="宋体"/>
                <w:b w:val="0"/>
                <w:sz w:val="24"/>
              </w:rPr>
            </w:pPr>
            <w:r>
              <w:rPr>
                <w:rFonts w:hint="eastAsia" w:ascii="Arial" w:hAnsi="Arial" w:cs="Arial"/>
                <w:b w:val="0"/>
                <w:sz w:val="24"/>
              </w:rPr>
              <w:t>通讯地址：</w:t>
            </w:r>
            <w:r>
              <w:rPr>
                <w:rFonts w:hint="eastAsia" w:ascii="Arial" w:hAnsi="Arial" w:cs="Arial"/>
                <w:b w:val="0"/>
                <w:bCs w:val="0"/>
                <w:sz w:val="24"/>
                <w:szCs w:val="24"/>
              </w:rPr>
              <w:t>安徽省淮南市田家庵区淮舜南路华茂大厦4F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仿宋_GB2312"/>
                <w:bCs/>
                <w:kern w:val="2"/>
                <w:lang w:val="en-US" w:eastAsia="zh-CN"/>
              </w:rPr>
            </w:pPr>
            <w:r>
              <w:rPr>
                <w:rFonts w:hint="eastAsia" w:ascii="Arial" w:hAnsi="Arial" w:eastAsia="宋体" w:cs="@仿宋_GB2312"/>
                <w:bCs/>
                <w:kern w:val="2"/>
                <w:lang w:val="en-US" w:eastAsia="zh-CN"/>
              </w:rPr>
              <w:t>37</w:t>
            </w:r>
          </w:p>
        </w:tc>
        <w:tc>
          <w:tcPr>
            <w:tcW w:w="2190" w:type="dxa"/>
            <w:noWrap w:val="0"/>
            <w:vAlign w:val="center"/>
          </w:tcPr>
          <w:p>
            <w:pPr>
              <w:pStyle w:val="77"/>
              <w:widowControl w:val="0"/>
              <w:spacing w:before="0" w:beforeAutospacing="0" w:after="0" w:afterAutospacing="0" w:line="360" w:lineRule="auto"/>
              <w:jc w:val="both"/>
              <w:rPr>
                <w:rFonts w:ascii="宋体" w:hAnsi="宋体"/>
                <w:b w:val="0"/>
                <w:sz w:val="24"/>
              </w:rPr>
            </w:pPr>
            <w:r>
              <w:rPr>
                <w:rFonts w:hint="eastAsia" w:ascii="宋体" w:hAnsi="宋体"/>
                <w:b w:val="0"/>
                <w:sz w:val="24"/>
              </w:rPr>
              <w:t>其他内容</w:t>
            </w:r>
          </w:p>
        </w:tc>
        <w:tc>
          <w:tcPr>
            <w:tcW w:w="5483" w:type="dxa"/>
            <w:noWrap w:val="0"/>
            <w:vAlign w:val="center"/>
          </w:tcPr>
          <w:p>
            <w:pPr>
              <w:pStyle w:val="77"/>
              <w:widowControl w:val="0"/>
              <w:spacing w:before="0" w:beforeAutospacing="0" w:after="0" w:afterAutospacing="0" w:line="360" w:lineRule="auto"/>
              <w:jc w:val="both"/>
              <w:rPr>
                <w:rFonts w:ascii="Arial" w:hAnsi="Arial" w:cs="Arial"/>
                <w:b w:val="0"/>
                <w:sz w:val="24"/>
              </w:rPr>
            </w:pPr>
            <w:r>
              <w:rPr>
                <w:rFonts w:hint="eastAsia" w:ascii="Arial" w:hAnsi="Arial" w:cs="Arial"/>
                <w:b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7"/>
              <w:widowControl w:val="0"/>
              <w:spacing w:before="0" w:beforeAutospacing="0" w:after="0" w:afterAutospacing="0" w:line="360" w:lineRule="auto"/>
              <w:rPr>
                <w:rFonts w:ascii="Arial" w:hAnsi="Arial" w:cs="Arial"/>
                <w:bCs w:val="0"/>
                <w:kern w:val="2"/>
              </w:rPr>
            </w:pPr>
            <w:r>
              <w:rPr>
                <w:rFonts w:ascii="Arial" w:hAnsi="Arial"/>
                <w:b w:val="0"/>
                <w:sz w:val="24"/>
              </w:rPr>
              <w:t>3</w:t>
            </w:r>
            <w:r>
              <w:rPr>
                <w:rFonts w:hint="eastAsia" w:ascii="Arial" w:hAnsi="Arial"/>
                <w:b w:val="0"/>
                <w:sz w:val="24"/>
              </w:rPr>
              <w:t>7</w:t>
            </w:r>
            <w:r>
              <w:rPr>
                <w:rFonts w:ascii="Arial" w:hAnsi="Arial"/>
                <w:b w:val="0"/>
                <w:sz w:val="24"/>
              </w:rPr>
              <w:t>.</w:t>
            </w:r>
            <w:r>
              <w:rPr>
                <w:rFonts w:hint="eastAsia" w:ascii="Arial" w:hAnsi="Arial"/>
                <w:b w:val="0"/>
                <w:sz w:val="24"/>
              </w:rPr>
              <w:t>1</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关于联合体投标的相关约定</w:t>
            </w:r>
          </w:p>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（本项目不适用）</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1</w:t>
            </w:r>
            <w:r>
              <w:rPr>
                <w:rFonts w:hint="eastAsia" w:ascii="Arial" w:hAnsi="Arial" w:cs="Arial"/>
                <w:b w:val="0"/>
                <w:sz w:val="24"/>
              </w:rPr>
              <w:t>）联合体投标的，招标文件获取手续由联合体中任一成员单位办理均可。</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2</w:t>
            </w:r>
            <w:r>
              <w:rPr>
                <w:rFonts w:hint="eastAsia" w:ascii="Arial" w:hAnsi="Arial" w:cs="Arial"/>
                <w:b w:val="0"/>
                <w:sz w:val="24"/>
              </w:rPr>
              <w:t>）联合体投标的须提供联合体协议（见投标文件格式），相关证明材料由投标人根据联合体协议分工情况及招标文件要求提供。</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3</w:t>
            </w:r>
            <w:r>
              <w:rPr>
                <w:rFonts w:hint="eastAsia" w:ascii="Arial" w:hAnsi="Arial" w:cs="Arial"/>
                <w:b w:val="0"/>
                <w:sz w:val="24"/>
              </w:rPr>
              <w:t>）联合体各成员单位均须提供营业执照（或事业单位法人登记证书）、税务登记证。</w:t>
            </w:r>
            <w:r>
              <w:rPr>
                <w:rFonts w:hint="eastAsia" w:ascii="Arial" w:hAnsi="Arial" w:cs="Arial"/>
                <w:bCs w:val="0"/>
                <w:sz w:val="24"/>
              </w:rPr>
              <w:t>注：</w:t>
            </w:r>
            <w:r>
              <w:rPr>
                <w:rFonts w:hint="eastAsia" w:ascii="Arial" w:hAnsi="Arial" w:cs="Arial"/>
                <w:b w:val="0"/>
                <w:sz w:val="24"/>
              </w:rPr>
              <w:t>已办理</w:t>
            </w:r>
            <w:r>
              <w:rPr>
                <w:rFonts w:ascii="Arial" w:hAnsi="Arial" w:cs="Arial"/>
                <w:b w:val="0"/>
                <w:sz w:val="24"/>
              </w:rPr>
              <w:t>“</w:t>
            </w:r>
            <w:r>
              <w:rPr>
                <w:rFonts w:hint="eastAsia" w:ascii="Arial" w:hAnsi="Arial" w:cs="Arial"/>
                <w:b w:val="0"/>
                <w:sz w:val="24"/>
              </w:rPr>
              <w:t>三证合一</w:t>
            </w:r>
            <w:r>
              <w:rPr>
                <w:rFonts w:ascii="Arial" w:hAnsi="Arial" w:cs="Arial"/>
                <w:b w:val="0"/>
                <w:sz w:val="24"/>
              </w:rPr>
              <w:t>”</w:t>
            </w:r>
            <w:r>
              <w:rPr>
                <w:rFonts w:hint="eastAsia" w:ascii="Arial" w:hAnsi="Arial" w:cs="Arial"/>
                <w:b w:val="0"/>
                <w:sz w:val="24"/>
              </w:rPr>
              <w:t>登记的，投标文件中提供营业执照（或事业单位法人登记证书）扫描件即可。</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4</w:t>
            </w:r>
            <w:r>
              <w:rPr>
                <w:rFonts w:hint="eastAsia" w:ascii="Arial" w:hAnsi="Arial" w:cs="Arial"/>
                <w:b w:val="0"/>
                <w:sz w:val="24"/>
              </w:rPr>
              <w:t>）关于联合体缴纳投标保证金（如有）：为简化评标现场投标保证金查询、后期投标保证金退还及合同备案清算手续，投标保证金建议由联合体牵头人足额缴纳至本项目投标保证金账号。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7"/>
              <w:widowControl w:val="0"/>
              <w:spacing w:before="0" w:beforeAutospacing="0" w:after="0" w:afterAutospacing="0" w:line="360" w:lineRule="auto"/>
              <w:rPr>
                <w:rFonts w:ascii="Arial" w:hAnsi="Arial" w:cs="Arial"/>
                <w:bCs w:val="0"/>
                <w:kern w:val="2"/>
              </w:rPr>
            </w:pPr>
            <w:r>
              <w:rPr>
                <w:rFonts w:hint="eastAsia" w:ascii="Arial" w:hAnsi="Arial"/>
                <w:b w:val="0"/>
                <w:sz w:val="24"/>
              </w:rPr>
              <w:t>3</w:t>
            </w:r>
            <w:r>
              <w:rPr>
                <w:rFonts w:ascii="Arial" w:hAnsi="Arial"/>
                <w:b w:val="0"/>
                <w:sz w:val="24"/>
              </w:rPr>
              <w:t>7.</w:t>
            </w:r>
            <w:r>
              <w:rPr>
                <w:rFonts w:hint="eastAsia" w:ascii="Arial" w:hAnsi="Arial"/>
                <w:b w:val="0"/>
                <w:sz w:val="24"/>
              </w:rPr>
              <w:t>2</w:t>
            </w:r>
          </w:p>
        </w:tc>
        <w:tc>
          <w:tcPr>
            <w:tcW w:w="2190" w:type="dxa"/>
            <w:noWrap w:val="0"/>
            <w:vAlign w:val="center"/>
          </w:tcPr>
          <w:p>
            <w:pPr>
              <w:rPr>
                <w:rFonts w:hint="eastAsia" w:ascii="Arial" w:hAnsi="Arial" w:cs="Arial"/>
                <w:kern w:val="0"/>
                <w:sz w:val="24"/>
                <w:szCs w:val="28"/>
              </w:rPr>
            </w:pPr>
            <w:r>
              <w:rPr>
                <w:rFonts w:hint="eastAsia" w:ascii="Arial" w:hAnsi="Arial" w:cs="Arial"/>
                <w:kern w:val="0"/>
                <w:sz w:val="24"/>
                <w:szCs w:val="28"/>
              </w:rPr>
              <w:t>是否允许大中型企业向小微企业分包（非专门面向中小企业采购项目及要求获得采购合同的供应商将采购项目中的一定比例分包给中小企业的项目适用）</w:t>
            </w:r>
          </w:p>
        </w:tc>
        <w:tc>
          <w:tcPr>
            <w:tcW w:w="5483" w:type="dxa"/>
            <w:noWrap w:val="0"/>
            <w:vAlign w:val="center"/>
          </w:tcPr>
          <w:p>
            <w:pPr>
              <w:pStyle w:val="77"/>
              <w:widowControl w:val="0"/>
              <w:spacing w:before="0" w:beforeAutospacing="0" w:after="0" w:afterAutospacing="0"/>
              <w:jc w:val="both"/>
              <w:rPr>
                <w:rFonts w:hint="eastAsia" w:ascii="Arial" w:hAnsi="Arial" w:cs="Arial"/>
                <w:b w:val="0"/>
                <w:bCs w:val="0"/>
                <w:sz w:val="24"/>
              </w:rPr>
            </w:pPr>
            <w:r>
              <w:rPr>
                <w:rFonts w:hint="eastAsia" w:ascii="Arial" w:hAnsi="Arial" w:cs="Arial"/>
                <w:b w:val="0"/>
                <w:bCs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ascii="Arial" w:hAnsi="Arial" w:eastAsia="宋体" w:cs="@仿宋_GB2312"/>
                <w:bCs/>
                <w:kern w:val="2"/>
                <w:lang w:val="en-US" w:eastAsia="zh-CN"/>
              </w:rPr>
              <w:t>3</w:t>
            </w:r>
            <w:r>
              <w:rPr>
                <w:rFonts w:hint="eastAsia" w:ascii="Arial" w:hAnsi="Arial" w:eastAsia="宋体" w:cs="@仿宋_GB2312"/>
                <w:bCs/>
                <w:kern w:val="2"/>
                <w:lang w:val="en-US" w:eastAsia="zh-CN"/>
              </w:rPr>
              <w:t>7</w:t>
            </w:r>
            <w:r>
              <w:rPr>
                <w:rFonts w:ascii="Arial" w:hAnsi="Arial" w:eastAsia="宋体" w:cs="@仿宋_GB2312"/>
                <w:bCs/>
                <w:kern w:val="2"/>
                <w:lang w:val="en-US" w:eastAsia="zh-CN"/>
              </w:rPr>
              <w:t>.</w:t>
            </w:r>
            <w:r>
              <w:rPr>
                <w:rFonts w:hint="eastAsia" w:ascii="Arial" w:hAnsi="Arial" w:eastAsia="宋体" w:cs="@仿宋_GB2312"/>
                <w:bCs/>
                <w:kern w:val="2"/>
                <w:lang w:val="en-US" w:eastAsia="zh-CN"/>
              </w:rPr>
              <w:t>3</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社保证明材料</w:t>
            </w:r>
          </w:p>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（如有要求）</w:t>
            </w:r>
          </w:p>
        </w:tc>
        <w:tc>
          <w:tcPr>
            <w:tcW w:w="5483" w:type="dxa"/>
            <w:noWrap w:val="0"/>
            <w:vAlign w:val="center"/>
          </w:tcPr>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社保证明材料须为下述形式之一（投标文件中提供影印件或复印件或扫描件）：</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1</w:t>
            </w:r>
            <w:r>
              <w:rPr>
                <w:rFonts w:hint="eastAsia" w:ascii="Arial" w:hAnsi="Arial" w:cs="Arial"/>
                <w:b w:val="0"/>
                <w:sz w:val="24"/>
              </w:rPr>
              <w:t>）社保局官方网站查询的缴费记录截图；</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2</w:t>
            </w:r>
            <w:r>
              <w:rPr>
                <w:rFonts w:hint="eastAsia" w:ascii="Arial" w:hAnsi="Arial" w:cs="Arial"/>
                <w:b w:val="0"/>
                <w:sz w:val="24"/>
              </w:rPr>
              <w:t>）社保局的书面证明材料；</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3</w:t>
            </w:r>
            <w:r>
              <w:rPr>
                <w:rFonts w:hint="eastAsia" w:ascii="Arial" w:hAnsi="Arial" w:cs="Arial"/>
                <w:b w:val="0"/>
                <w:sz w:val="24"/>
              </w:rPr>
              <w:t>）经投标人委托的第三方人力资源服务机构或与投标人有直接隶属关系的机构可以代缴社保，但须提供有关证明材料并经评标委员会确认。</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4</w:t>
            </w:r>
            <w:r>
              <w:rPr>
                <w:rFonts w:hint="eastAsia" w:ascii="Arial" w:hAnsi="Arial" w:cs="Arial"/>
                <w:b w:val="0"/>
                <w:sz w:val="24"/>
              </w:rPr>
              <w:t>）参与投标的院校，社保证明可以用以下任意一种：</w:t>
            </w:r>
          </w:p>
          <w:p>
            <w:pPr>
              <w:pStyle w:val="77"/>
              <w:widowControl w:val="0"/>
              <w:spacing w:before="0" w:beforeAutospacing="0" w:after="0" w:afterAutospacing="0" w:line="0" w:lineRule="atLeast"/>
              <w:ind w:firstLine="480" w:firstLineChars="200"/>
              <w:jc w:val="both"/>
              <w:rPr>
                <w:rFonts w:ascii="Arial" w:hAnsi="Arial" w:cs="Arial"/>
                <w:b w:val="0"/>
                <w:sz w:val="24"/>
              </w:rPr>
            </w:pPr>
            <w:r>
              <w:rPr>
                <w:rFonts w:hint="eastAsia" w:ascii="Arial" w:hAnsi="Arial" w:cs="Arial"/>
                <w:b w:val="0"/>
                <w:sz w:val="24"/>
              </w:rPr>
              <w:t>①加盖投标人公章的教师证（须为本单位人员）；</w:t>
            </w:r>
          </w:p>
          <w:p>
            <w:pPr>
              <w:pStyle w:val="77"/>
              <w:widowControl w:val="0"/>
              <w:spacing w:before="0" w:beforeAutospacing="0" w:after="0" w:afterAutospacing="0" w:line="0" w:lineRule="atLeast"/>
              <w:ind w:firstLine="480" w:firstLineChars="200"/>
              <w:jc w:val="both"/>
              <w:rPr>
                <w:rFonts w:ascii="Arial" w:hAnsi="Arial" w:cs="Arial"/>
                <w:b w:val="0"/>
                <w:sz w:val="24"/>
              </w:rPr>
            </w:pPr>
            <w:r>
              <w:rPr>
                <w:rFonts w:hint="eastAsia" w:ascii="Arial" w:hAnsi="Arial" w:cs="Arial"/>
                <w:b w:val="0"/>
                <w:sz w:val="24"/>
              </w:rPr>
              <w:t>②医保证明材料。</w:t>
            </w:r>
          </w:p>
          <w:p>
            <w:pPr>
              <w:pStyle w:val="77"/>
              <w:widowControl w:val="0"/>
              <w:spacing w:before="0" w:beforeAutospacing="0" w:after="0" w:afterAutospacing="0" w:line="0" w:lineRule="atLeast"/>
              <w:jc w:val="both"/>
              <w:rPr>
                <w:rFonts w:ascii="Arial" w:hAnsi="Arial" w:cs="Arial"/>
                <w:b w:val="0"/>
                <w:sz w:val="24"/>
              </w:rPr>
            </w:pPr>
            <w:r>
              <w:rPr>
                <w:rFonts w:hint="eastAsia" w:ascii="Arial" w:hAnsi="Arial" w:cs="Arial"/>
                <w:b w:val="0"/>
                <w:sz w:val="24"/>
              </w:rPr>
              <w:t>（</w:t>
            </w:r>
            <w:r>
              <w:rPr>
                <w:rFonts w:ascii="Arial" w:hAnsi="Arial" w:cs="Arial"/>
                <w:b w:val="0"/>
                <w:sz w:val="24"/>
              </w:rPr>
              <w:t>5</w:t>
            </w:r>
            <w:r>
              <w:rPr>
                <w:rFonts w:hint="eastAsia" w:ascii="Arial" w:hAnsi="Arial" w:cs="Arial"/>
                <w:b w:val="0"/>
                <w:sz w:val="24"/>
              </w:rPr>
              <w:t>）其他经评标委员会认可的证明材料。</w:t>
            </w:r>
          </w:p>
          <w:p>
            <w:pPr>
              <w:pStyle w:val="77"/>
              <w:widowControl w:val="0"/>
              <w:spacing w:before="0" w:beforeAutospacing="0" w:after="0" w:afterAutospacing="0" w:line="0" w:lineRule="atLeast"/>
              <w:jc w:val="both"/>
              <w:rPr>
                <w:rFonts w:ascii="Arial" w:hAnsi="Arial" w:cs="Arial"/>
                <w:b w:val="0"/>
                <w:iCs/>
                <w:sz w:val="24"/>
              </w:rPr>
            </w:pPr>
            <w:r>
              <w:rPr>
                <w:rFonts w:hint="eastAsia" w:ascii="Arial" w:hAnsi="Arial" w:cs="Arial"/>
                <w:b w:val="0"/>
                <w:iCs/>
                <w:sz w:val="24"/>
              </w:rPr>
              <w:t>（</w:t>
            </w:r>
            <w:r>
              <w:rPr>
                <w:rFonts w:ascii="Arial" w:hAnsi="Arial" w:cs="Arial"/>
                <w:b w:val="0"/>
                <w:iCs/>
                <w:sz w:val="24"/>
              </w:rPr>
              <w:t>6</w:t>
            </w:r>
            <w:r>
              <w:rPr>
                <w:rFonts w:hint="eastAsia" w:ascii="Arial" w:hAnsi="Arial" w:cs="Arial"/>
                <w:b w:val="0"/>
                <w:iCs/>
                <w:sz w:val="24"/>
              </w:rPr>
              <w:t>）法定代表人参与项目的，无需提供社保证明材料，提供身份证明材料即可。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ascii="Arial" w:hAnsi="Arial" w:eastAsia="宋体" w:cs="@仿宋_GB2312"/>
                <w:bCs/>
                <w:kern w:val="2"/>
                <w:lang w:val="en-US" w:eastAsia="zh-CN"/>
              </w:rPr>
              <w:t>37.</w:t>
            </w:r>
            <w:r>
              <w:rPr>
                <w:rFonts w:hint="eastAsia" w:ascii="Arial" w:hAnsi="Arial" w:eastAsia="宋体" w:cs="@仿宋_GB2312"/>
                <w:bCs/>
                <w:kern w:val="2"/>
                <w:lang w:val="en-US" w:eastAsia="zh-CN"/>
              </w:rPr>
              <w:t>4</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本项目提供除电子版招标文件以外的其他资料</w:t>
            </w:r>
          </w:p>
        </w:tc>
        <w:tc>
          <w:tcPr>
            <w:tcW w:w="5483" w:type="dxa"/>
            <w:noWrap w:val="0"/>
            <w:vAlign w:val="center"/>
          </w:tcPr>
          <w:p>
            <w:pPr>
              <w:spacing w:line="500" w:lineRule="exact"/>
              <w:rPr>
                <w:rFonts w:ascii="宋体" w:hAnsi="宋体"/>
                <w:sz w:val="24"/>
                <w:u w:val="single"/>
              </w:rPr>
            </w:pPr>
            <w:r>
              <w:rPr>
                <w:rFonts w:hint="eastAsia" w:ascii="宋体" w:hAnsi="宋体"/>
                <w:sz w:val="24"/>
              </w:rPr>
              <w:t xml:space="preserve"> ☑无   □图纸   □光盘   □</w:t>
            </w:r>
            <w:r>
              <w:rPr>
                <w:rFonts w:hint="eastAsia" w:ascii="宋体" w:hAnsi="宋体"/>
                <w:sz w:val="24"/>
                <w:u w:val="single"/>
              </w:rPr>
              <w:t xml:space="preserve">   </w:t>
            </w:r>
          </w:p>
          <w:p>
            <w:pPr>
              <w:spacing w:line="500" w:lineRule="exact"/>
              <w:rPr>
                <w:rFonts w:ascii="宋体" w:hAnsi="宋体"/>
                <w:bCs/>
                <w:sz w:val="24"/>
              </w:rPr>
            </w:pPr>
            <w:r>
              <w:rPr>
                <w:rFonts w:hint="eastAsia" w:ascii="宋体" w:hAnsi="宋体"/>
                <w:bCs/>
                <w:sz w:val="24"/>
              </w:rPr>
              <w:t>获取方式：</w:t>
            </w:r>
          </w:p>
          <w:p>
            <w:pPr>
              <w:spacing w:line="0" w:lineRule="atLeast"/>
              <w:rPr>
                <w:rFonts w:ascii="Arial" w:hAnsi="Arial" w:cs="Arial"/>
                <w:b/>
                <w:sz w:val="24"/>
              </w:rPr>
            </w:pPr>
            <w:r>
              <w:rPr>
                <w:rFonts w:hint="eastAsia" w:ascii="宋体" w:hAnsi="宋体"/>
                <w:bCs/>
                <w:sz w:val="24"/>
              </w:rPr>
              <w:t>上述资料请投标人在获取招标文件的同时下载本项目附件。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ascii="Arial" w:hAnsi="Arial" w:eastAsia="宋体" w:cs="@仿宋_GB2312"/>
                <w:bCs/>
                <w:kern w:val="2"/>
                <w:lang w:val="en-US" w:eastAsia="zh-CN"/>
              </w:rPr>
              <w:t>3</w:t>
            </w:r>
            <w:r>
              <w:rPr>
                <w:rFonts w:hint="eastAsia" w:ascii="Arial" w:hAnsi="Arial" w:eastAsia="宋体" w:cs="@仿宋_GB2312"/>
                <w:bCs/>
                <w:kern w:val="2"/>
                <w:lang w:val="en-US" w:eastAsia="zh-CN"/>
              </w:rPr>
              <w:t>7</w:t>
            </w:r>
            <w:r>
              <w:rPr>
                <w:rFonts w:ascii="Arial" w:hAnsi="Arial" w:eastAsia="宋体" w:cs="@仿宋_GB2312"/>
                <w:bCs/>
                <w:kern w:val="2"/>
                <w:lang w:val="en-US" w:eastAsia="zh-CN"/>
              </w:rPr>
              <w:t>.</w:t>
            </w:r>
            <w:r>
              <w:rPr>
                <w:rFonts w:hint="eastAsia" w:ascii="Arial" w:hAnsi="Arial" w:eastAsia="宋体" w:cs="@仿宋_GB2312"/>
                <w:bCs/>
                <w:kern w:val="2"/>
                <w:lang w:val="en-US" w:eastAsia="zh-CN"/>
              </w:rPr>
              <w:t>5</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重要提示</w:t>
            </w:r>
          </w:p>
        </w:tc>
        <w:tc>
          <w:tcPr>
            <w:tcW w:w="5483" w:type="dxa"/>
            <w:noWrap w:val="0"/>
            <w:vAlign w:val="center"/>
          </w:tcPr>
          <w:p>
            <w:pPr>
              <w:spacing w:line="0" w:lineRule="atLeast"/>
              <w:rPr>
                <w:rFonts w:hint="eastAsia" w:ascii="Arial" w:hAnsi="Arial" w:cs="Arial"/>
                <w:bCs/>
                <w:sz w:val="24"/>
                <w:szCs w:val="24"/>
              </w:rPr>
            </w:pPr>
            <w:r>
              <w:rPr>
                <w:rFonts w:hint="eastAsia" w:ascii="Arial" w:hAnsi="Arial" w:cs="Arial"/>
                <w:bCs/>
                <w:sz w:val="24"/>
                <w:szCs w:val="24"/>
              </w:rPr>
              <w:t>（1）中标人应在规定期限内领取《中标通知书》，若中标人未在规定期限内领取《中标通知书》，采购人有权取消中标人中标资格，并将相关违约行为报送监管部门，实施信用惩戒；</w:t>
            </w:r>
          </w:p>
          <w:p>
            <w:pPr>
              <w:spacing w:line="0" w:lineRule="atLeast"/>
              <w:rPr>
                <w:rFonts w:hint="eastAsia" w:ascii="Arial" w:hAnsi="Arial" w:cs="Arial"/>
                <w:bCs/>
                <w:sz w:val="24"/>
                <w:szCs w:val="24"/>
              </w:rPr>
            </w:pPr>
            <w:r>
              <w:rPr>
                <w:rFonts w:hint="eastAsia" w:ascii="Arial" w:hAnsi="Arial" w:cs="Arial"/>
                <w:bCs/>
                <w:sz w:val="24"/>
                <w:szCs w:val="24"/>
              </w:rPr>
              <w:t>（2）中标人应在规定期限内提交履约担保并与采购人签订合同，若中标人未能在规定期限内提交履约担保或签订合同，采购人有权取消中标人中标资格，并将相关违约行为报送监管部门，实施信用惩戒；</w:t>
            </w:r>
          </w:p>
          <w:p>
            <w:pPr>
              <w:spacing w:line="0" w:lineRule="atLeast"/>
              <w:rPr>
                <w:rFonts w:hint="eastAsia" w:ascii="Arial" w:hAnsi="Arial" w:cs="Arial"/>
                <w:bCs/>
                <w:sz w:val="24"/>
                <w:szCs w:val="24"/>
              </w:rPr>
            </w:pPr>
            <w:r>
              <w:rPr>
                <w:rFonts w:hint="eastAsia" w:ascii="Arial" w:hAnsi="Arial" w:cs="Arial"/>
                <w:bCs/>
                <w:sz w:val="24"/>
                <w:szCs w:val="24"/>
              </w:rPr>
              <w:t>（3）合同签订后，中标人存在规定时间内不组织人员进场开工，不履行供货、安装或服务义务等情况，采购人有权解除合同，并追究违约责任，同时将相关违约行为报送监管部门，记不良行为记录，实施信用惩戒；</w:t>
            </w:r>
          </w:p>
          <w:p>
            <w:pPr>
              <w:spacing w:line="0" w:lineRule="atLeast"/>
              <w:rPr>
                <w:rFonts w:hint="eastAsia" w:ascii="Arial" w:hAnsi="Arial" w:cs="Arial"/>
                <w:bCs/>
                <w:sz w:val="24"/>
                <w:szCs w:val="24"/>
              </w:rPr>
            </w:pPr>
            <w:r>
              <w:rPr>
                <w:rFonts w:hint="eastAsia" w:ascii="Arial" w:hAnsi="Arial" w:cs="Arial"/>
                <w:bCs/>
                <w:sz w:val="24"/>
                <w:szCs w:val="24"/>
              </w:rPr>
              <w:t>（4）中标人中标后被监管部门查实存在违法行为，不满足中标条件的，由采购人取消中标资格，并做好项目后续工作；</w:t>
            </w:r>
          </w:p>
          <w:p>
            <w:pPr>
              <w:spacing w:line="0" w:lineRule="atLeast"/>
            </w:pPr>
            <w:r>
              <w:rPr>
                <w:rFonts w:hint="eastAsia" w:ascii="Arial" w:hAnsi="Arial" w:cs="Arial"/>
                <w:bCs/>
                <w:sz w:val="24"/>
                <w:szCs w:val="24"/>
              </w:rPr>
              <w:t>（5）中标人在中标项目发生投诉、信访举报案件、履约存在争议时，拒绝协助配合执法部门调查案件的，采购人可以取消其中标资格或解除合同，并追究其违约责任。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37.6</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解释权</w:t>
            </w:r>
          </w:p>
        </w:tc>
        <w:tc>
          <w:tcPr>
            <w:tcW w:w="5483" w:type="dxa"/>
            <w:noWrap w:val="0"/>
            <w:vAlign w:val="center"/>
          </w:tcPr>
          <w:p>
            <w:pPr>
              <w:spacing w:line="0" w:lineRule="atLeast"/>
              <w:rPr>
                <w:rFonts w:ascii="Arial" w:hAnsi="Arial" w:cs="Arial"/>
                <w:bCs/>
                <w:sz w:val="24"/>
                <w:szCs w:val="24"/>
              </w:rPr>
            </w:pPr>
            <w:r>
              <w:rPr>
                <w:rFonts w:ascii="Arial" w:hAnsi="Arial" w:cs="Arial"/>
                <w:bCs/>
                <w:sz w:val="24"/>
                <w:szCs w:val="24"/>
              </w:rPr>
              <w:t>(1)</w:t>
            </w:r>
            <w:r>
              <w:rPr>
                <w:rFonts w:hint="eastAsia" w:ascii="Arial" w:hAnsi="Arial" w:cs="Arial"/>
                <w:bCs/>
                <w:sz w:val="24"/>
                <w:szCs w:val="24"/>
              </w:rPr>
              <w:t>构成本招标文件的各个组成文件应互为解释，互为说明；</w:t>
            </w:r>
          </w:p>
          <w:p>
            <w:pPr>
              <w:spacing w:line="0" w:lineRule="atLeast"/>
              <w:rPr>
                <w:rFonts w:ascii="Arial" w:hAnsi="Arial" w:cs="Arial"/>
                <w:bCs/>
                <w:sz w:val="24"/>
                <w:szCs w:val="24"/>
              </w:rPr>
            </w:pPr>
            <w:r>
              <w:rPr>
                <w:rFonts w:ascii="Arial" w:hAnsi="Arial" w:cs="Arial"/>
                <w:bCs/>
                <w:sz w:val="24"/>
                <w:szCs w:val="24"/>
              </w:rPr>
              <w:t>(2)</w:t>
            </w:r>
            <w:r>
              <w:rPr>
                <w:rFonts w:hint="eastAsia" w:ascii="Arial" w:hAnsi="Arial" w:cs="Arial"/>
                <w:bCs/>
                <w:sz w:val="24"/>
                <w:szCs w:val="24"/>
              </w:rPr>
              <w:t>同一组成文件中就同一事项的规定或约定不一致的，以编排顺序在后者为准；</w:t>
            </w:r>
          </w:p>
          <w:p>
            <w:pPr>
              <w:spacing w:line="0" w:lineRule="atLeast"/>
              <w:rPr>
                <w:rFonts w:ascii="Arial" w:hAnsi="Arial" w:cs="Arial"/>
                <w:bCs/>
                <w:sz w:val="24"/>
                <w:szCs w:val="24"/>
              </w:rPr>
            </w:pPr>
            <w:r>
              <w:rPr>
                <w:rFonts w:ascii="Arial" w:hAnsi="Arial" w:cs="Arial"/>
                <w:bCs/>
                <w:sz w:val="24"/>
                <w:szCs w:val="24"/>
              </w:rPr>
              <w:t>(3)</w:t>
            </w:r>
            <w:r>
              <w:rPr>
                <w:rFonts w:hint="eastAsia" w:ascii="Arial" w:hAnsi="Arial" w:cs="Arial"/>
                <w:bCs/>
                <w:sz w:val="24"/>
                <w:szCs w:val="24"/>
              </w:rPr>
              <w:t>如有不明确或不一致，构成合同文件组成内容的，以合同文件约定内容为准，且以专用合同条款约定的合同文件优先顺序解释；</w:t>
            </w:r>
          </w:p>
          <w:p>
            <w:pPr>
              <w:spacing w:line="0" w:lineRule="atLeast"/>
              <w:rPr>
                <w:rFonts w:ascii="Arial" w:hAnsi="Arial" w:cs="Arial"/>
                <w:bCs/>
                <w:sz w:val="24"/>
                <w:szCs w:val="24"/>
              </w:rPr>
            </w:pPr>
            <w:r>
              <w:rPr>
                <w:rFonts w:ascii="Arial" w:hAnsi="Arial" w:cs="Arial"/>
                <w:bCs/>
                <w:sz w:val="24"/>
                <w:szCs w:val="24"/>
              </w:rPr>
              <w:t>(4)</w:t>
            </w:r>
            <w:r>
              <w:rPr>
                <w:rFonts w:hint="eastAsia" w:ascii="Arial" w:hAnsi="Arial" w:cs="Arial"/>
                <w:bCs/>
                <w:sz w:val="24"/>
                <w:szCs w:val="24"/>
              </w:rPr>
              <w:t>除招标文件中有特别规定外，仅适用于招标投标阶段的规定，按招标公告、投标人须知、评标方法和标准、投标文件格式的先后顺序解释；</w:t>
            </w:r>
          </w:p>
          <w:p>
            <w:pPr>
              <w:spacing w:line="0" w:lineRule="atLeast"/>
              <w:rPr>
                <w:rFonts w:ascii="Arial" w:hAnsi="Arial" w:cs="Arial"/>
                <w:bCs/>
                <w:sz w:val="24"/>
                <w:szCs w:val="24"/>
              </w:rPr>
            </w:pPr>
            <w:r>
              <w:rPr>
                <w:rFonts w:ascii="Arial" w:hAnsi="Arial" w:cs="Arial"/>
                <w:bCs/>
                <w:sz w:val="24"/>
                <w:szCs w:val="24"/>
              </w:rPr>
              <w:t>(5)</w:t>
            </w:r>
            <w:r>
              <w:rPr>
                <w:rFonts w:hint="eastAsia" w:ascii="Arial" w:hAnsi="Arial" w:cs="Arial"/>
                <w:bCs/>
                <w:sz w:val="24"/>
                <w:szCs w:val="24"/>
              </w:rPr>
              <w:t>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9" w:type="dxa"/>
            <w:noWrap w:val="0"/>
            <w:vAlign w:val="center"/>
          </w:tcPr>
          <w:p>
            <w:pPr>
              <w:pStyle w:val="75"/>
              <w:pBdr>
                <w:bottom w:val="none" w:color="auto" w:sz="0" w:space="0"/>
              </w:pBdr>
              <w:tabs>
                <w:tab w:val="clear" w:pos="4153"/>
                <w:tab w:val="clear" w:pos="8306"/>
              </w:tabs>
              <w:adjustRightInd/>
              <w:spacing w:line="240" w:lineRule="auto"/>
              <w:textAlignment w:val="auto"/>
              <w:rPr>
                <w:rFonts w:ascii="Arial" w:hAnsi="Arial" w:eastAsia="宋体" w:cs="Arial"/>
                <w:bCs/>
                <w:kern w:val="2"/>
                <w:lang w:val="en-US" w:eastAsia="zh-CN"/>
              </w:rPr>
            </w:pPr>
            <w:r>
              <w:rPr>
                <w:rFonts w:hint="eastAsia" w:ascii="Arial" w:hAnsi="Arial" w:eastAsia="宋体" w:cs="@仿宋_GB2312"/>
                <w:bCs/>
                <w:kern w:val="2"/>
                <w:lang w:val="en-US" w:eastAsia="zh-CN"/>
              </w:rPr>
              <w:t>37.7</w:t>
            </w:r>
          </w:p>
        </w:tc>
        <w:tc>
          <w:tcPr>
            <w:tcW w:w="2190" w:type="dxa"/>
            <w:noWrap w:val="0"/>
            <w:vAlign w:val="center"/>
          </w:tcPr>
          <w:p>
            <w:pPr>
              <w:pStyle w:val="77"/>
              <w:widowControl w:val="0"/>
              <w:spacing w:before="0" w:beforeAutospacing="0" w:after="0" w:afterAutospacing="0" w:line="0" w:lineRule="atLeast"/>
              <w:rPr>
                <w:rFonts w:ascii="Arial" w:hAnsi="Arial" w:cs="Arial"/>
                <w:b w:val="0"/>
                <w:sz w:val="24"/>
              </w:rPr>
            </w:pPr>
            <w:r>
              <w:rPr>
                <w:rFonts w:hint="eastAsia" w:ascii="Arial" w:hAnsi="Arial" w:cs="Arial"/>
                <w:b w:val="0"/>
                <w:sz w:val="24"/>
              </w:rPr>
              <w:t>其他补充说明</w:t>
            </w:r>
          </w:p>
        </w:tc>
        <w:tc>
          <w:tcPr>
            <w:tcW w:w="5483" w:type="dxa"/>
            <w:noWrap w:val="0"/>
            <w:vAlign w:val="center"/>
          </w:tcPr>
          <w:p>
            <w:pPr>
              <w:pStyle w:val="77"/>
              <w:widowControl w:val="0"/>
              <w:spacing w:before="0" w:beforeAutospacing="0" w:after="0" w:afterAutospacing="0"/>
              <w:jc w:val="both"/>
              <w:rPr>
                <w:rFonts w:hint="eastAsia" w:ascii="宋体" w:hAnsi="宋体" w:cs="宋体"/>
                <w:b w:val="0"/>
                <w:bCs w:val="0"/>
                <w:sz w:val="24"/>
              </w:rPr>
            </w:pPr>
            <w:r>
              <w:rPr>
                <w:rFonts w:hint="eastAsia" w:ascii="宋体" w:hAnsi="宋体"/>
                <w:b w:val="0"/>
                <w:bCs w:val="0"/>
                <w:sz w:val="24"/>
              </w:rPr>
              <w:t>1.本项目投标文件要求详见本须知前附表，投标文</w:t>
            </w:r>
            <w:r>
              <w:rPr>
                <w:rFonts w:hint="eastAsia" w:ascii="宋体" w:hAnsi="宋体" w:cs="宋体"/>
                <w:b w:val="0"/>
                <w:bCs w:val="0"/>
                <w:sz w:val="24"/>
              </w:rPr>
              <w:t xml:space="preserve">件现场递交，无需上传电子投标文件。 </w:t>
            </w:r>
          </w:p>
          <w:p>
            <w:pPr>
              <w:pStyle w:val="77"/>
              <w:widowControl w:val="0"/>
              <w:spacing w:before="0" w:beforeAutospacing="0" w:after="0" w:afterAutospacing="0"/>
              <w:jc w:val="both"/>
              <w:rPr>
                <w:rFonts w:hint="eastAsia" w:ascii="宋体" w:hAnsi="宋体" w:cs="宋体"/>
                <w:b w:val="0"/>
                <w:bCs w:val="0"/>
                <w:sz w:val="24"/>
              </w:rPr>
            </w:pPr>
            <w:r>
              <w:rPr>
                <w:rFonts w:hint="eastAsia" w:ascii="宋体" w:hAnsi="宋体" w:cs="宋体"/>
                <w:b w:val="0"/>
                <w:bCs w:val="0"/>
                <w:sz w:val="24"/>
              </w:rPr>
              <w:t>2. 采购代理机构电子邮箱：317396152@qq.com</w:t>
            </w:r>
          </w:p>
          <w:p>
            <w:pPr>
              <w:pStyle w:val="77"/>
              <w:widowControl w:val="0"/>
              <w:spacing w:before="0" w:beforeAutospacing="0" w:after="0" w:afterAutospacing="0"/>
              <w:jc w:val="both"/>
              <w:rPr>
                <w:rFonts w:hint="eastAsia" w:ascii="宋体" w:hAnsi="宋体" w:cs="宋体"/>
                <w:b w:val="0"/>
                <w:bCs w:val="0"/>
                <w:sz w:val="24"/>
              </w:rPr>
            </w:pPr>
            <w:r>
              <w:rPr>
                <w:rFonts w:hint="eastAsia" w:ascii="宋体" w:hAnsi="宋体" w:cs="宋体"/>
                <w:b w:val="0"/>
                <w:bCs w:val="0"/>
                <w:sz w:val="24"/>
              </w:rPr>
              <w:t>3.本次招标、投标、评标和合同授予项目为单位，投标人必须就该项目中所列货物及数量完全响应，不完整的投标将被拒绝。</w:t>
            </w:r>
          </w:p>
          <w:p>
            <w:pPr>
              <w:pStyle w:val="77"/>
              <w:widowControl w:val="0"/>
              <w:spacing w:before="0" w:beforeAutospacing="0" w:after="0" w:afterAutospacing="0"/>
              <w:jc w:val="both"/>
              <w:rPr>
                <w:rFonts w:hint="eastAsia" w:ascii="宋体" w:hAnsi="宋体" w:cs="宋体"/>
                <w:b w:val="0"/>
                <w:bCs w:val="0"/>
                <w:sz w:val="24"/>
              </w:rPr>
            </w:pPr>
            <w:r>
              <w:rPr>
                <w:rFonts w:hint="eastAsia" w:ascii="宋体" w:hAnsi="宋体" w:cs="宋体"/>
                <w:b w:val="0"/>
                <w:bCs w:val="0"/>
                <w:sz w:val="24"/>
              </w:rPr>
              <w:t>4.标注“▲”的产品为主要（核心）产品</w:t>
            </w:r>
          </w:p>
          <w:p>
            <w:pPr>
              <w:pStyle w:val="77"/>
              <w:widowControl w:val="0"/>
              <w:spacing w:before="0" w:beforeAutospacing="0" w:after="0" w:afterAutospacing="0"/>
              <w:jc w:val="both"/>
              <w:rPr>
                <w:rFonts w:hint="default" w:ascii="Arial" w:hAnsi="Arial" w:eastAsia="宋体" w:cs="Arial"/>
                <w:b w:val="0"/>
                <w:bCs w:val="0"/>
                <w:sz w:val="24"/>
                <w:lang w:val="en-US" w:eastAsia="zh-CN"/>
              </w:rPr>
            </w:pPr>
            <w:r>
              <w:rPr>
                <w:rFonts w:hint="eastAsia" w:ascii="宋体" w:hAnsi="宋体" w:cs="宋体"/>
                <w:b w:val="0"/>
                <w:bCs w:val="0"/>
                <w:sz w:val="24"/>
              </w:rPr>
              <w:t>5.</w:t>
            </w:r>
            <w:r>
              <w:rPr>
                <w:rFonts w:hint="eastAsia" w:ascii="Arial" w:hAnsi="Arial" w:cs="Arial"/>
                <w:b w:val="0"/>
                <w:bCs w:val="0"/>
                <w:sz w:val="24"/>
              </w:rPr>
              <w:t>本项</w:t>
            </w:r>
            <w:r>
              <w:rPr>
                <w:rFonts w:hint="eastAsia" w:ascii="Arial" w:hAnsi="Arial" w:cs="Arial"/>
                <w:b w:val="0"/>
                <w:bCs w:val="0"/>
                <w:sz w:val="24"/>
                <w:lang w:val="en-US" w:eastAsia="zh-CN"/>
              </w:rPr>
              <w:t>3</w:t>
            </w:r>
            <w:r>
              <w:rPr>
                <w:rFonts w:hint="eastAsia" w:ascii="Arial" w:hAnsi="Arial" w:cs="Arial"/>
                <w:b w:val="0"/>
                <w:bCs w:val="0"/>
                <w:sz w:val="24"/>
              </w:rPr>
              <w:t>个标包，投标时关于包号包别等部分</w:t>
            </w:r>
            <w:r>
              <w:rPr>
                <w:rFonts w:hint="eastAsia" w:ascii="Arial" w:hAnsi="Arial" w:cs="Arial"/>
                <w:b w:val="0"/>
                <w:bCs w:val="0"/>
                <w:sz w:val="24"/>
                <w:lang w:val="en-US" w:eastAsia="zh-CN"/>
              </w:rPr>
              <w:t>按包别填写</w:t>
            </w:r>
          </w:p>
        </w:tc>
      </w:tr>
    </w:tbl>
    <w:p>
      <w:pPr>
        <w:spacing w:line="360" w:lineRule="auto"/>
        <w:jc w:val="center"/>
        <w:outlineLvl w:val="2"/>
        <w:rPr>
          <w:rFonts w:ascii="Arial" w:hAnsi="Arial" w:cs="Arial"/>
          <w:b/>
          <w:sz w:val="24"/>
        </w:rPr>
      </w:pPr>
      <w:r>
        <w:rPr>
          <w:rFonts w:ascii="Arial" w:hAnsi="Arial" w:cs="Arial"/>
          <w:b/>
          <w:sz w:val="28"/>
        </w:rPr>
        <w:br w:type="page"/>
      </w:r>
      <w:r>
        <w:rPr>
          <w:rFonts w:hint="eastAsia" w:ascii="Arial" w:hAnsi="Arial" w:cs="Arial"/>
          <w:b/>
          <w:sz w:val="24"/>
        </w:rPr>
        <w:t>二、投标人须知正文</w:t>
      </w:r>
    </w:p>
    <w:p>
      <w:pPr>
        <w:spacing w:line="360" w:lineRule="auto"/>
        <w:ind w:firstLine="437"/>
        <w:outlineLvl w:val="3"/>
        <w:rPr>
          <w:rFonts w:ascii="Arial" w:hAnsi="Arial" w:cs="Arial"/>
          <w:b/>
          <w:sz w:val="24"/>
        </w:rPr>
      </w:pPr>
      <w:r>
        <w:rPr>
          <w:rFonts w:ascii="Arial" w:hAnsi="Arial" w:cs="Arial"/>
          <w:b/>
          <w:sz w:val="24"/>
        </w:rPr>
        <w:t>1.适用范围</w:t>
      </w:r>
    </w:p>
    <w:p>
      <w:pPr>
        <w:spacing w:line="360" w:lineRule="auto"/>
        <w:ind w:firstLine="435"/>
        <w:rPr>
          <w:rFonts w:ascii="Arial" w:hAnsi="Arial" w:cs="Arial"/>
          <w:sz w:val="24"/>
        </w:rPr>
      </w:pPr>
      <w:r>
        <w:rPr>
          <w:rFonts w:ascii="Arial" w:hAnsi="Arial" w:cs="Arial"/>
          <w:sz w:val="24"/>
        </w:rPr>
        <w:t>1.1本招标文件仅适用于本次公开招标所述的货物项目采购。</w:t>
      </w:r>
    </w:p>
    <w:p>
      <w:pPr>
        <w:spacing w:line="360" w:lineRule="auto"/>
        <w:ind w:firstLine="437"/>
        <w:outlineLvl w:val="3"/>
        <w:rPr>
          <w:rFonts w:ascii="Arial" w:hAnsi="Arial" w:cs="Arial"/>
          <w:b/>
          <w:sz w:val="24"/>
        </w:rPr>
      </w:pPr>
      <w:r>
        <w:rPr>
          <w:rFonts w:ascii="Arial" w:hAnsi="Arial" w:cs="Arial"/>
          <w:b/>
          <w:sz w:val="24"/>
        </w:rPr>
        <w:t>2.定义</w:t>
      </w:r>
    </w:p>
    <w:p>
      <w:pPr>
        <w:spacing w:line="360" w:lineRule="auto"/>
        <w:ind w:firstLine="435"/>
        <w:rPr>
          <w:rFonts w:ascii="Arial" w:hAnsi="Arial" w:cs="Arial"/>
          <w:sz w:val="24"/>
        </w:rPr>
      </w:pPr>
      <w:r>
        <w:rPr>
          <w:rFonts w:ascii="Arial" w:hAnsi="Arial" w:cs="Arial"/>
          <w:sz w:val="24"/>
        </w:rPr>
        <w:t>2.1货物：是指各种形态和种类的物品，包括原材料、燃料、设备、产品等。</w:t>
      </w:r>
    </w:p>
    <w:p>
      <w:pPr>
        <w:spacing w:line="360" w:lineRule="auto"/>
        <w:ind w:firstLine="435"/>
        <w:rPr>
          <w:rFonts w:ascii="Arial" w:hAnsi="Arial" w:cs="Arial"/>
          <w:sz w:val="24"/>
        </w:rPr>
      </w:pPr>
      <w:r>
        <w:rPr>
          <w:rFonts w:ascii="Arial" w:hAnsi="Arial" w:cs="Arial"/>
          <w:sz w:val="24"/>
        </w:rPr>
        <w:t>2.2时限（年份、月份等）计算：系指从开标之日向前追溯X年/月（“X”为“一”及以后整数）起算。</w:t>
      </w:r>
    </w:p>
    <w:p>
      <w:pPr>
        <w:spacing w:line="360" w:lineRule="auto"/>
        <w:ind w:firstLine="435"/>
        <w:rPr>
          <w:rFonts w:ascii="Arial" w:hAnsi="Arial" w:cs="Arial"/>
          <w:sz w:val="24"/>
        </w:rPr>
      </w:pPr>
      <w:r>
        <w:rPr>
          <w:rFonts w:ascii="Arial" w:hAnsi="Arial" w:cs="Arial"/>
          <w:sz w:val="24"/>
        </w:rPr>
        <w:t>2.3业绩：业绩系指符合本招标文件规定的与最终用户签订的合同</w:t>
      </w:r>
      <w:r>
        <w:rPr>
          <w:rFonts w:hint="eastAsia" w:ascii="Arial" w:hAnsi="Arial" w:cs="Arial"/>
          <w:sz w:val="24"/>
        </w:rPr>
        <w:t>或</w:t>
      </w:r>
      <w:r>
        <w:rPr>
          <w:rFonts w:ascii="Arial" w:hAnsi="Arial" w:cs="Arial"/>
          <w:sz w:val="24"/>
        </w:rPr>
        <w:t>招标文件要求的相关证明。投标人与其关联公司（如母公司、控股公司、分公司、子公司、同一法定代表人的公司等）之间签订的合同，均不予认可。</w:t>
      </w:r>
    </w:p>
    <w:p>
      <w:pPr>
        <w:spacing w:line="360" w:lineRule="auto"/>
        <w:ind w:firstLine="435"/>
        <w:rPr>
          <w:rFonts w:ascii="Arial" w:hAnsi="Arial" w:cs="Arial"/>
          <w:sz w:val="24"/>
        </w:rPr>
      </w:pPr>
      <w:r>
        <w:rPr>
          <w:rFonts w:ascii="Arial" w:hAnsi="Arial" w:cs="Arial"/>
          <w:sz w:val="24"/>
        </w:rPr>
        <w:t>除非本招标文件中另有规定，否则业绩均为已供货（安装）完毕的业绩，业绩时间均以合同签订之日为追溯节点。</w:t>
      </w:r>
    </w:p>
    <w:p>
      <w:pPr>
        <w:spacing w:line="360" w:lineRule="auto"/>
        <w:ind w:firstLine="437"/>
        <w:outlineLvl w:val="3"/>
        <w:rPr>
          <w:rFonts w:ascii="Arial" w:hAnsi="Arial" w:cs="Arial"/>
          <w:b/>
          <w:sz w:val="24"/>
        </w:rPr>
      </w:pPr>
      <w:r>
        <w:rPr>
          <w:rFonts w:ascii="Arial" w:hAnsi="Arial" w:cs="Arial"/>
          <w:b/>
          <w:sz w:val="24"/>
        </w:rPr>
        <w:t>3.采购人、采购代理机构及投标人</w:t>
      </w:r>
    </w:p>
    <w:p>
      <w:pPr>
        <w:spacing w:line="360" w:lineRule="auto"/>
        <w:ind w:firstLine="435"/>
        <w:rPr>
          <w:rFonts w:ascii="Arial" w:hAnsi="Arial" w:cs="Arial"/>
          <w:sz w:val="24"/>
        </w:rPr>
      </w:pPr>
      <w:r>
        <w:rPr>
          <w:rFonts w:ascii="Arial" w:hAnsi="Arial" w:cs="Arial"/>
          <w:sz w:val="24"/>
        </w:rPr>
        <w:t>3.1采购人：是指依法开展政府采购活动的国家机关、事业单位、团体组织。本项目的采购人见</w:t>
      </w:r>
      <w:r>
        <w:rPr>
          <w:rFonts w:ascii="Arial" w:hAnsi="Arial" w:cs="Arial"/>
          <w:sz w:val="24"/>
          <w:u w:val="single"/>
        </w:rPr>
        <w:t>投标人须知前附表</w:t>
      </w:r>
      <w:r>
        <w:rPr>
          <w:rFonts w:ascii="Arial" w:hAnsi="Arial" w:cs="Arial"/>
          <w:sz w:val="24"/>
        </w:rPr>
        <w:t>。</w:t>
      </w:r>
    </w:p>
    <w:p>
      <w:pPr>
        <w:spacing w:line="360" w:lineRule="auto"/>
        <w:ind w:firstLine="435"/>
        <w:rPr>
          <w:rFonts w:ascii="Arial" w:hAnsi="Arial" w:cs="Arial"/>
          <w:sz w:val="24"/>
        </w:rPr>
      </w:pPr>
      <w:r>
        <w:rPr>
          <w:rFonts w:ascii="Arial" w:hAnsi="Arial" w:cs="Arial"/>
          <w:sz w:val="24"/>
        </w:rPr>
        <w:t>3.2采购代理机构：是指从事采购代理业务的社会中介机构。本项目的采购代理机构见</w:t>
      </w:r>
      <w:r>
        <w:rPr>
          <w:rFonts w:ascii="Arial" w:hAnsi="Arial" w:cs="Arial"/>
          <w:sz w:val="24"/>
          <w:u w:val="single"/>
        </w:rPr>
        <w:t>投标人须知前附表</w:t>
      </w:r>
      <w:r>
        <w:rPr>
          <w:rFonts w:ascii="Arial" w:hAnsi="Arial" w:cs="Arial"/>
          <w:sz w:val="24"/>
        </w:rPr>
        <w:t>。</w:t>
      </w:r>
    </w:p>
    <w:p>
      <w:pPr>
        <w:spacing w:line="360" w:lineRule="auto"/>
        <w:ind w:firstLine="435"/>
        <w:rPr>
          <w:rFonts w:ascii="Arial" w:hAnsi="Arial" w:cs="Arial"/>
          <w:sz w:val="24"/>
        </w:rPr>
      </w:pPr>
      <w:r>
        <w:rPr>
          <w:rFonts w:ascii="Arial" w:hAnsi="Arial" w:cs="Arial"/>
          <w:sz w:val="24"/>
        </w:rPr>
        <w:t>3.3政府采购监督管理部门：各级人民政府指定的有关部门依法履行与政府采购活动有关的监督管理职责。本项目的政府采购监督管理部门见</w:t>
      </w:r>
      <w:r>
        <w:rPr>
          <w:rFonts w:ascii="Arial" w:hAnsi="Arial" w:cs="Arial"/>
          <w:sz w:val="24"/>
          <w:u w:val="single"/>
        </w:rPr>
        <w:t>投标人须知前附表</w:t>
      </w:r>
      <w:r>
        <w:rPr>
          <w:rFonts w:ascii="Arial" w:hAnsi="Arial" w:cs="Arial"/>
          <w:sz w:val="24"/>
        </w:rPr>
        <w:t>。</w:t>
      </w:r>
    </w:p>
    <w:p>
      <w:pPr>
        <w:spacing w:line="360" w:lineRule="auto"/>
        <w:ind w:firstLine="435"/>
        <w:rPr>
          <w:rFonts w:ascii="Arial" w:hAnsi="Arial" w:cs="Arial"/>
          <w:sz w:val="24"/>
        </w:rPr>
      </w:pPr>
      <w:r>
        <w:rPr>
          <w:rFonts w:ascii="Arial" w:hAnsi="Arial" w:cs="Arial"/>
          <w:sz w:val="24"/>
        </w:rPr>
        <w:t>3.4投标人：是指向采购人提供货物、工程或者服务的法人、非法人组织或者自然人。分支机构不得参加政府采购活动，但银行、保险、石油石化、电力、电信等特殊行业除外。本项目的投标人及其投标货物须满足以下条件：</w:t>
      </w:r>
    </w:p>
    <w:p>
      <w:pPr>
        <w:spacing w:line="360" w:lineRule="auto"/>
        <w:ind w:firstLine="435"/>
        <w:rPr>
          <w:rFonts w:ascii="Arial" w:hAnsi="Arial" w:cs="Arial"/>
          <w:sz w:val="24"/>
        </w:rPr>
      </w:pPr>
      <w:r>
        <w:rPr>
          <w:rFonts w:ascii="Arial" w:hAnsi="Arial" w:cs="Arial"/>
          <w:sz w:val="24"/>
        </w:rPr>
        <w:t>3.4.1在中华人民共和国境内注册，能够独立承担民事责任，有生产或供应能力的本国</w:t>
      </w:r>
      <w:r>
        <w:rPr>
          <w:rFonts w:hint="eastAsia" w:ascii="Arial" w:hAnsi="Arial" w:cs="Arial"/>
          <w:sz w:val="24"/>
        </w:rPr>
        <w:t>投标人</w:t>
      </w:r>
      <w:r>
        <w:rPr>
          <w:rFonts w:ascii="Arial" w:hAnsi="Arial" w:cs="Arial"/>
          <w:sz w:val="24"/>
        </w:rPr>
        <w:t>。</w:t>
      </w:r>
    </w:p>
    <w:p>
      <w:pPr>
        <w:spacing w:line="360" w:lineRule="auto"/>
        <w:ind w:firstLine="435"/>
        <w:rPr>
          <w:rFonts w:ascii="Arial" w:hAnsi="Arial" w:cs="Arial"/>
          <w:sz w:val="24"/>
        </w:rPr>
      </w:pPr>
      <w:r>
        <w:rPr>
          <w:rFonts w:ascii="Arial" w:hAnsi="Arial" w:cs="Arial"/>
          <w:sz w:val="24"/>
        </w:rPr>
        <w:t>3.4.2具备《中华人民共和国政府采购法》第二十二条关于</w:t>
      </w:r>
      <w:r>
        <w:rPr>
          <w:rFonts w:hint="eastAsia" w:ascii="Arial" w:hAnsi="Arial" w:cs="Arial"/>
          <w:sz w:val="24"/>
        </w:rPr>
        <w:t>投标人</w:t>
      </w:r>
      <w:r>
        <w:rPr>
          <w:rFonts w:ascii="Arial" w:hAnsi="Arial" w:cs="Arial"/>
          <w:sz w:val="24"/>
        </w:rPr>
        <w:t>条件的规定，遵守本项目采购人本级和上级财政部门政府采购的有关规定。</w:t>
      </w:r>
    </w:p>
    <w:p>
      <w:pPr>
        <w:spacing w:line="360" w:lineRule="auto"/>
        <w:ind w:firstLine="435"/>
        <w:rPr>
          <w:rFonts w:ascii="Arial" w:hAnsi="Arial" w:cs="Arial"/>
          <w:sz w:val="24"/>
        </w:rPr>
      </w:pPr>
      <w:r>
        <w:rPr>
          <w:rFonts w:ascii="Arial" w:hAnsi="Arial" w:cs="Arial"/>
          <w:sz w:val="24"/>
        </w:rPr>
        <w:t>3.4.3以采购代理机构认可的方式获得了本项目的招标文件。</w:t>
      </w:r>
    </w:p>
    <w:p>
      <w:pPr>
        <w:spacing w:line="360" w:lineRule="auto"/>
        <w:ind w:firstLine="435"/>
        <w:rPr>
          <w:rFonts w:ascii="Arial" w:hAnsi="Arial" w:cs="Arial"/>
          <w:sz w:val="24"/>
        </w:rPr>
      </w:pPr>
      <w:r>
        <w:rPr>
          <w:rFonts w:ascii="Arial" w:hAnsi="Arial" w:cs="Arial"/>
          <w:sz w:val="24"/>
        </w:rPr>
        <w:t>3.4.4若</w:t>
      </w:r>
      <w:r>
        <w:rPr>
          <w:rFonts w:ascii="Arial" w:hAnsi="Arial" w:cs="Arial"/>
          <w:sz w:val="24"/>
          <w:u w:val="single"/>
        </w:rPr>
        <w:t>投标人须知前附表</w:t>
      </w:r>
      <w:r>
        <w:rPr>
          <w:rFonts w:ascii="Arial" w:hAnsi="Arial" w:cs="Arial"/>
          <w:sz w:val="24"/>
        </w:rPr>
        <w:t>中写明允许采购进口产品，投标人应保证所投产品可履行合法报通关手续进入中国关境内。</w:t>
      </w:r>
    </w:p>
    <w:p>
      <w:pPr>
        <w:spacing w:line="360" w:lineRule="auto"/>
        <w:ind w:firstLine="435"/>
        <w:rPr>
          <w:rFonts w:ascii="Arial" w:hAnsi="Arial" w:cs="Arial"/>
          <w:sz w:val="24"/>
        </w:rPr>
      </w:pPr>
      <w:r>
        <w:rPr>
          <w:rFonts w:ascii="Arial" w:hAnsi="Arial" w:cs="Arial"/>
          <w:sz w:val="24"/>
        </w:rPr>
        <w:t>若</w:t>
      </w:r>
      <w:r>
        <w:rPr>
          <w:rFonts w:ascii="Arial" w:hAnsi="Arial" w:cs="Arial"/>
          <w:sz w:val="24"/>
          <w:u w:val="single"/>
        </w:rPr>
        <w:t>投标人须知前附表</w:t>
      </w:r>
      <w:r>
        <w:rPr>
          <w:rFonts w:ascii="Arial" w:hAnsi="Arial" w:cs="Arial"/>
          <w:sz w:val="24"/>
        </w:rPr>
        <w:t>中未写明允许采购进口产品，如投标人所投产品为进口产品，其投标将被认定为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3.4.5若</w:t>
      </w:r>
      <w:r>
        <w:rPr>
          <w:rFonts w:ascii="Arial" w:hAnsi="Arial" w:cs="Arial"/>
          <w:sz w:val="24"/>
          <w:u w:val="single"/>
        </w:rPr>
        <w:t>投标人须知前附表</w:t>
      </w:r>
      <w:r>
        <w:rPr>
          <w:rFonts w:ascii="Arial" w:hAnsi="Arial" w:cs="Arial"/>
          <w:sz w:val="24"/>
        </w:rPr>
        <w:t>中写明专门面向中小企业采购的，</w:t>
      </w:r>
      <w:r>
        <w:rPr>
          <w:rFonts w:ascii="宋体" w:hAnsi="宋体"/>
          <w:sz w:val="24"/>
        </w:rPr>
        <w:t>如投标人</w:t>
      </w:r>
      <w:r>
        <w:rPr>
          <w:rFonts w:hint="eastAsia" w:ascii="宋体" w:hAnsi="宋体"/>
          <w:sz w:val="24"/>
        </w:rPr>
        <w:t>提供的货物非</w:t>
      </w:r>
      <w:r>
        <w:rPr>
          <w:rFonts w:ascii="宋体" w:hAnsi="宋体"/>
          <w:sz w:val="24"/>
        </w:rPr>
        <w:t>中小企业</w:t>
      </w:r>
      <w:r>
        <w:rPr>
          <w:rFonts w:hint="eastAsia" w:ascii="宋体" w:hAnsi="宋体"/>
          <w:sz w:val="24"/>
        </w:rPr>
        <w:t>制造的</w:t>
      </w:r>
      <w:r>
        <w:rPr>
          <w:rFonts w:ascii="Arial" w:hAnsi="Arial" w:cs="Arial"/>
          <w:sz w:val="24"/>
        </w:rPr>
        <w:t>，其投标将被认定为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3.5若</w:t>
      </w:r>
      <w:r>
        <w:rPr>
          <w:rFonts w:ascii="Arial" w:hAnsi="Arial" w:cs="Arial"/>
          <w:sz w:val="24"/>
          <w:u w:val="single"/>
        </w:rPr>
        <w:t>投标人须知前附表</w:t>
      </w:r>
      <w:r>
        <w:rPr>
          <w:rFonts w:ascii="Arial" w:hAnsi="Arial" w:cs="Arial"/>
          <w:sz w:val="24"/>
        </w:rPr>
        <w:t>中允许联合体投标，对联合体规定如下：</w:t>
      </w:r>
    </w:p>
    <w:p>
      <w:pPr>
        <w:spacing w:line="360" w:lineRule="auto"/>
        <w:ind w:firstLine="435"/>
        <w:rPr>
          <w:rFonts w:ascii="Arial" w:hAnsi="Arial" w:cs="Arial"/>
          <w:sz w:val="24"/>
        </w:rPr>
      </w:pPr>
      <w:r>
        <w:rPr>
          <w:rFonts w:ascii="Arial" w:hAnsi="Arial" w:cs="Arial"/>
          <w:sz w:val="24"/>
        </w:rPr>
        <w:t>3.5.1两个以上</w:t>
      </w:r>
      <w:r>
        <w:rPr>
          <w:rFonts w:hint="eastAsia" w:ascii="Arial" w:hAnsi="Arial" w:cs="Arial"/>
          <w:sz w:val="24"/>
        </w:rPr>
        <w:t>投标人</w:t>
      </w:r>
      <w:r>
        <w:rPr>
          <w:rFonts w:ascii="Arial" w:hAnsi="Arial" w:cs="Arial"/>
          <w:sz w:val="24"/>
        </w:rPr>
        <w:t>可以组成一个投标联合体，以一个投标人的身份投标。</w:t>
      </w:r>
    </w:p>
    <w:p>
      <w:pPr>
        <w:spacing w:line="360" w:lineRule="auto"/>
        <w:ind w:firstLine="435"/>
        <w:rPr>
          <w:rFonts w:ascii="Arial" w:hAnsi="Arial" w:cs="Arial"/>
          <w:sz w:val="24"/>
        </w:rPr>
      </w:pPr>
      <w:r>
        <w:rPr>
          <w:rFonts w:ascii="Arial" w:hAnsi="Arial" w:cs="Arial"/>
          <w:sz w:val="24"/>
        </w:rPr>
        <w:t>3.5.2联合体各方均应符合《中华人民共和国政府采购法》第二十二条规定的条件。</w:t>
      </w:r>
    </w:p>
    <w:p>
      <w:pPr>
        <w:spacing w:line="360" w:lineRule="auto"/>
        <w:ind w:firstLine="435"/>
        <w:rPr>
          <w:rFonts w:ascii="Arial" w:hAnsi="Arial" w:cs="Arial"/>
          <w:sz w:val="24"/>
        </w:rPr>
      </w:pPr>
      <w:r>
        <w:rPr>
          <w:rFonts w:ascii="Arial" w:hAnsi="Arial" w:cs="Arial"/>
          <w:sz w:val="24"/>
        </w:rPr>
        <w:t>3.5.3采购人根据采购项目对投标人的特殊要求，联合体中至少应当有一方符合相关规定。</w:t>
      </w:r>
    </w:p>
    <w:p>
      <w:pPr>
        <w:spacing w:line="360" w:lineRule="auto"/>
        <w:ind w:firstLine="435"/>
        <w:rPr>
          <w:rFonts w:ascii="Arial" w:hAnsi="Arial" w:cs="Arial"/>
          <w:sz w:val="24"/>
        </w:rPr>
      </w:pPr>
      <w:r>
        <w:rPr>
          <w:rFonts w:ascii="Arial" w:hAnsi="Arial" w:cs="Arial"/>
          <w:sz w:val="24"/>
        </w:rPr>
        <w:t>3.5.4联合体各方应签订联合体协议，明确约定联合体各方承担的工作和相应的责任，并将联合体协议作为投标文件的一部分提交。</w:t>
      </w:r>
    </w:p>
    <w:p>
      <w:pPr>
        <w:spacing w:line="360" w:lineRule="auto"/>
        <w:ind w:firstLine="435"/>
        <w:rPr>
          <w:rFonts w:ascii="Arial" w:hAnsi="Arial" w:cs="Arial"/>
          <w:sz w:val="24"/>
        </w:rPr>
      </w:pPr>
      <w:r>
        <w:rPr>
          <w:rFonts w:ascii="Arial" w:hAnsi="Arial" w:cs="Arial"/>
          <w:sz w:val="24"/>
        </w:rPr>
        <w:t>3.5.5大中型企业、其他自然人、法人或者非法人组织与小型、微型企业组成联合体共同参加投标，联合体协议中应写明小型、微型企业的协议合同金额占到联合体协议投标总金额的比例。</w:t>
      </w:r>
    </w:p>
    <w:p>
      <w:pPr>
        <w:spacing w:line="360" w:lineRule="auto"/>
        <w:ind w:firstLine="435"/>
        <w:rPr>
          <w:rFonts w:ascii="Arial" w:hAnsi="Arial" w:cs="Arial"/>
          <w:sz w:val="24"/>
        </w:rPr>
      </w:pPr>
      <w:r>
        <w:rPr>
          <w:rFonts w:ascii="Arial" w:hAnsi="Arial" w:cs="Arial"/>
          <w:sz w:val="24"/>
        </w:rPr>
        <w:t>3.5.6联合体中有同类资质的</w:t>
      </w:r>
      <w:r>
        <w:rPr>
          <w:rFonts w:hint="eastAsia" w:ascii="Arial" w:hAnsi="Arial" w:cs="Arial"/>
          <w:sz w:val="24"/>
        </w:rPr>
        <w:t>投标人</w:t>
      </w:r>
      <w:r>
        <w:rPr>
          <w:rFonts w:ascii="Arial" w:hAnsi="Arial" w:cs="Arial"/>
          <w:sz w:val="24"/>
        </w:rPr>
        <w:t>按照联合体分工承担相同工作的，应当按照资质等级较低的</w:t>
      </w:r>
      <w:r>
        <w:rPr>
          <w:rFonts w:hint="eastAsia" w:ascii="Arial" w:hAnsi="Arial" w:cs="Arial"/>
          <w:sz w:val="24"/>
        </w:rPr>
        <w:t>投标人</w:t>
      </w:r>
      <w:r>
        <w:rPr>
          <w:rFonts w:ascii="Arial" w:hAnsi="Arial" w:cs="Arial"/>
          <w:sz w:val="24"/>
        </w:rPr>
        <w:t>确定资质等级。</w:t>
      </w:r>
    </w:p>
    <w:p>
      <w:pPr>
        <w:spacing w:line="360" w:lineRule="auto"/>
        <w:ind w:firstLine="435"/>
        <w:rPr>
          <w:rFonts w:ascii="Arial" w:hAnsi="Arial" w:cs="Arial"/>
          <w:sz w:val="24"/>
        </w:rPr>
      </w:pPr>
      <w:r>
        <w:rPr>
          <w:rFonts w:ascii="Arial" w:hAnsi="Arial" w:cs="Arial"/>
          <w:sz w:val="24"/>
        </w:rPr>
        <w:t>3.5.7以联合体形式参加政府采购活动的，联合体各方不得再单独参加或者与其他</w:t>
      </w:r>
      <w:r>
        <w:rPr>
          <w:rFonts w:hint="eastAsia" w:ascii="Arial" w:hAnsi="Arial" w:cs="Arial"/>
          <w:sz w:val="24"/>
        </w:rPr>
        <w:t>投标人</w:t>
      </w:r>
      <w:r>
        <w:rPr>
          <w:rFonts w:ascii="Arial" w:hAnsi="Arial" w:cs="Arial"/>
          <w:sz w:val="24"/>
        </w:rPr>
        <w:t>另外组成联合体参加本项目投标，否则相关投标将被认定为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3.5.8对联合体投标的其他资格要求见</w:t>
      </w:r>
      <w:r>
        <w:rPr>
          <w:rFonts w:ascii="Arial" w:hAnsi="Arial" w:cs="Arial"/>
          <w:sz w:val="24"/>
          <w:u w:val="single"/>
        </w:rPr>
        <w:t>投标人资格</w:t>
      </w:r>
      <w:r>
        <w:rPr>
          <w:rFonts w:ascii="Arial" w:hAnsi="Arial" w:cs="Arial"/>
          <w:sz w:val="24"/>
        </w:rPr>
        <w:t>。</w:t>
      </w:r>
    </w:p>
    <w:p>
      <w:pPr>
        <w:spacing w:line="360" w:lineRule="auto"/>
        <w:ind w:firstLine="435"/>
        <w:rPr>
          <w:rFonts w:ascii="Arial" w:hAnsi="Arial" w:cs="Arial"/>
          <w:sz w:val="24"/>
        </w:rPr>
      </w:pPr>
      <w:r>
        <w:rPr>
          <w:rFonts w:ascii="Arial" w:hAnsi="Arial" w:cs="Arial"/>
          <w:sz w:val="24"/>
        </w:rPr>
        <w:t>3.6单位负责人为同一人或者存在直接控股、管理关系的不同</w:t>
      </w:r>
      <w:r>
        <w:rPr>
          <w:rFonts w:hint="eastAsia" w:ascii="Arial" w:hAnsi="Arial" w:cs="Arial"/>
          <w:sz w:val="24"/>
        </w:rPr>
        <w:t>投标人</w:t>
      </w:r>
      <w:r>
        <w:rPr>
          <w:rFonts w:ascii="Arial" w:hAnsi="Arial" w:cs="Arial"/>
          <w:sz w:val="24"/>
        </w:rPr>
        <w:t>，不得参加同一合同项下的政府采购活动。否则其投标将被认定为</w:t>
      </w:r>
      <w:r>
        <w:rPr>
          <w:rFonts w:ascii="Arial" w:hAnsi="Arial" w:cs="Arial"/>
          <w:b/>
          <w:bCs/>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3.7为本项目提供过整体设计、规范编制或者项目管理、监理、检测等服务的</w:t>
      </w:r>
      <w:r>
        <w:rPr>
          <w:rFonts w:hint="eastAsia" w:ascii="Arial" w:hAnsi="Arial" w:cs="Arial"/>
          <w:sz w:val="24"/>
        </w:rPr>
        <w:t>投标人</w:t>
      </w:r>
      <w:r>
        <w:rPr>
          <w:rFonts w:ascii="Arial" w:hAnsi="Arial" w:cs="Arial"/>
          <w:sz w:val="24"/>
        </w:rPr>
        <w:t>，不得再参加本项目上述服务以外的其他采购活动。</w:t>
      </w:r>
      <w:bookmarkStart w:id="12" w:name="_Hlk13431092"/>
      <w:r>
        <w:rPr>
          <w:rFonts w:ascii="Arial" w:hAnsi="Arial" w:cs="Arial"/>
          <w:sz w:val="24"/>
        </w:rPr>
        <w:t>否则其投标将被认定为</w:t>
      </w:r>
      <w:r>
        <w:rPr>
          <w:rFonts w:ascii="Arial" w:hAnsi="Arial" w:cs="Arial"/>
          <w:b/>
          <w:sz w:val="24"/>
        </w:rPr>
        <w:t>投标无效</w:t>
      </w:r>
      <w:r>
        <w:rPr>
          <w:rFonts w:ascii="Arial" w:hAnsi="Arial" w:cs="Arial"/>
          <w:sz w:val="24"/>
        </w:rPr>
        <w:t>。</w:t>
      </w:r>
      <w:bookmarkEnd w:id="12"/>
    </w:p>
    <w:p>
      <w:pPr>
        <w:spacing w:line="360" w:lineRule="auto"/>
        <w:ind w:firstLine="437"/>
        <w:outlineLvl w:val="3"/>
        <w:rPr>
          <w:rFonts w:ascii="Arial" w:hAnsi="Arial" w:cs="Arial"/>
          <w:b/>
          <w:sz w:val="24"/>
        </w:rPr>
      </w:pPr>
      <w:r>
        <w:rPr>
          <w:rFonts w:ascii="Arial" w:hAnsi="Arial" w:cs="Arial"/>
          <w:b/>
          <w:sz w:val="24"/>
        </w:rPr>
        <w:t>4.资金来源</w:t>
      </w:r>
    </w:p>
    <w:p>
      <w:pPr>
        <w:spacing w:line="360" w:lineRule="auto"/>
        <w:ind w:firstLine="435"/>
        <w:rPr>
          <w:rFonts w:ascii="Arial" w:hAnsi="Arial" w:cs="Arial"/>
          <w:sz w:val="24"/>
        </w:rPr>
      </w:pPr>
      <w:r>
        <w:rPr>
          <w:rFonts w:ascii="Arial" w:hAnsi="Arial" w:cs="Arial"/>
          <w:sz w:val="24"/>
        </w:rPr>
        <w:t>4.1本项目的采购人已获得足以支付本次招标后所签订的合同项下的资金。</w:t>
      </w:r>
    </w:p>
    <w:p>
      <w:pPr>
        <w:spacing w:line="360" w:lineRule="auto"/>
        <w:ind w:firstLine="435"/>
        <w:rPr>
          <w:rFonts w:ascii="Arial" w:hAnsi="Arial" w:cs="Arial"/>
          <w:sz w:val="24"/>
        </w:rPr>
      </w:pPr>
      <w:bookmarkStart w:id="13" w:name="_Hlk11702998"/>
      <w:r>
        <w:rPr>
          <w:rFonts w:ascii="Arial" w:hAnsi="Arial" w:cs="Arial"/>
          <w:sz w:val="24"/>
        </w:rPr>
        <w:t>4.2项目预算金额和分项（或分包）最高限价见</w:t>
      </w:r>
      <w:r>
        <w:rPr>
          <w:rFonts w:hint="eastAsia" w:ascii="Arial" w:hAnsi="Arial" w:cs="Arial"/>
          <w:sz w:val="24"/>
          <w:u w:val="single"/>
        </w:rPr>
        <w:t>投标邀请</w:t>
      </w:r>
      <w:r>
        <w:rPr>
          <w:rFonts w:ascii="Arial" w:hAnsi="Arial" w:cs="Arial"/>
          <w:sz w:val="24"/>
        </w:rPr>
        <w:t>。</w:t>
      </w:r>
    </w:p>
    <w:p>
      <w:pPr>
        <w:spacing w:line="360" w:lineRule="auto"/>
        <w:ind w:firstLine="435"/>
        <w:rPr>
          <w:rFonts w:ascii="Arial" w:hAnsi="Arial" w:cs="Arial"/>
          <w:sz w:val="24"/>
        </w:rPr>
      </w:pPr>
      <w:r>
        <w:rPr>
          <w:rFonts w:hint="eastAsia" w:ascii="Arial" w:hAnsi="Arial" w:cs="Arial"/>
          <w:sz w:val="24"/>
        </w:rPr>
        <w:t>4.3资金来源：详见</w:t>
      </w:r>
      <w:r>
        <w:rPr>
          <w:rFonts w:hint="eastAsia" w:ascii="Arial" w:hAnsi="Arial" w:cs="Arial"/>
          <w:sz w:val="24"/>
          <w:u w:val="single"/>
        </w:rPr>
        <w:t>投标人须知前附表</w:t>
      </w:r>
      <w:r>
        <w:rPr>
          <w:rFonts w:hint="eastAsia" w:ascii="Arial" w:hAnsi="Arial" w:cs="Arial"/>
          <w:sz w:val="24"/>
        </w:rPr>
        <w:t>。</w:t>
      </w:r>
    </w:p>
    <w:bookmarkEnd w:id="13"/>
    <w:p>
      <w:pPr>
        <w:spacing w:line="360" w:lineRule="auto"/>
        <w:ind w:firstLine="437"/>
        <w:outlineLvl w:val="3"/>
        <w:rPr>
          <w:rFonts w:ascii="Arial" w:hAnsi="Arial" w:cs="Arial"/>
          <w:b/>
          <w:sz w:val="24"/>
        </w:rPr>
      </w:pPr>
      <w:r>
        <w:rPr>
          <w:rFonts w:ascii="Arial" w:hAnsi="Arial" w:cs="Arial"/>
          <w:b/>
          <w:sz w:val="24"/>
        </w:rPr>
        <w:t>5.投标费用</w:t>
      </w:r>
    </w:p>
    <w:p>
      <w:pPr>
        <w:spacing w:line="360" w:lineRule="auto"/>
        <w:ind w:firstLine="435"/>
        <w:rPr>
          <w:rFonts w:ascii="Arial" w:hAnsi="Arial" w:cs="Arial"/>
          <w:sz w:val="24"/>
        </w:rPr>
      </w:pPr>
      <w:r>
        <w:rPr>
          <w:rFonts w:ascii="Arial" w:hAnsi="Arial" w:cs="Arial"/>
          <w:sz w:val="24"/>
        </w:rPr>
        <w:t>不论投标的结果如何，投标人应承担所有与准备和参加投标有关的费用。</w:t>
      </w:r>
    </w:p>
    <w:p>
      <w:pPr>
        <w:spacing w:line="360" w:lineRule="auto"/>
        <w:ind w:firstLine="437"/>
        <w:outlineLvl w:val="3"/>
        <w:rPr>
          <w:rFonts w:ascii="Arial" w:hAnsi="Arial" w:cs="Arial"/>
          <w:b/>
          <w:sz w:val="24"/>
        </w:rPr>
      </w:pPr>
      <w:r>
        <w:rPr>
          <w:rFonts w:ascii="Arial" w:hAnsi="Arial" w:cs="Arial"/>
          <w:b/>
          <w:sz w:val="24"/>
        </w:rPr>
        <w:t>6.适用法律</w:t>
      </w:r>
    </w:p>
    <w:p>
      <w:pPr>
        <w:spacing w:line="360" w:lineRule="auto"/>
        <w:ind w:firstLine="435"/>
        <w:rPr>
          <w:rFonts w:ascii="Arial" w:hAnsi="Arial" w:cs="Arial"/>
          <w:sz w:val="24"/>
        </w:rPr>
      </w:pPr>
      <w:r>
        <w:rPr>
          <w:rFonts w:ascii="Arial" w:hAnsi="Arial" w:cs="Arial"/>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Arial" w:hAnsi="Arial" w:cs="Arial"/>
          <w:b/>
          <w:sz w:val="24"/>
        </w:rPr>
      </w:pPr>
      <w:r>
        <w:rPr>
          <w:rFonts w:ascii="Arial" w:hAnsi="Arial" w:cs="Arial"/>
          <w:b/>
          <w:sz w:val="24"/>
        </w:rPr>
        <w:t>7.招标文件构成</w:t>
      </w:r>
    </w:p>
    <w:p>
      <w:pPr>
        <w:spacing w:line="360" w:lineRule="auto"/>
        <w:ind w:firstLine="435"/>
        <w:rPr>
          <w:rFonts w:ascii="Arial" w:hAnsi="Arial" w:cs="Arial"/>
          <w:sz w:val="24"/>
        </w:rPr>
      </w:pPr>
      <w:r>
        <w:rPr>
          <w:rFonts w:ascii="Arial" w:hAnsi="Arial" w:cs="Arial"/>
          <w:sz w:val="24"/>
        </w:rPr>
        <w:t>7.1招标文件包括下列内容：</w:t>
      </w:r>
    </w:p>
    <w:p>
      <w:pPr>
        <w:spacing w:line="360" w:lineRule="auto"/>
        <w:ind w:firstLine="840" w:firstLineChars="350"/>
        <w:rPr>
          <w:rFonts w:hint="eastAsia" w:ascii="Arial" w:hAnsi="Arial" w:cs="Arial"/>
          <w:sz w:val="24"/>
        </w:rPr>
      </w:pPr>
      <w:r>
        <w:rPr>
          <w:rFonts w:ascii="Arial" w:hAnsi="Arial" w:cs="Arial"/>
          <w:sz w:val="24"/>
        </w:rPr>
        <w:t xml:space="preserve">第一章  </w:t>
      </w:r>
      <w:r>
        <w:rPr>
          <w:rFonts w:hint="eastAsia" w:ascii="Arial" w:hAnsi="Arial" w:cs="Arial"/>
          <w:sz w:val="24"/>
        </w:rPr>
        <w:t>投标邀请（招标公告）</w:t>
      </w:r>
    </w:p>
    <w:p>
      <w:pPr>
        <w:spacing w:line="360" w:lineRule="auto"/>
        <w:ind w:firstLine="840" w:firstLineChars="350"/>
        <w:rPr>
          <w:rFonts w:ascii="Arial" w:hAnsi="Arial" w:cs="Arial"/>
          <w:sz w:val="24"/>
        </w:rPr>
      </w:pPr>
      <w:r>
        <w:rPr>
          <w:rFonts w:ascii="Arial" w:hAnsi="Arial" w:cs="Arial"/>
          <w:sz w:val="24"/>
        </w:rPr>
        <w:t>第二章  投标人须知</w:t>
      </w:r>
    </w:p>
    <w:p>
      <w:pPr>
        <w:spacing w:line="360" w:lineRule="auto"/>
        <w:ind w:firstLine="840" w:firstLineChars="350"/>
        <w:rPr>
          <w:rFonts w:ascii="Arial" w:hAnsi="Arial" w:cs="Arial"/>
          <w:sz w:val="24"/>
        </w:rPr>
      </w:pPr>
      <w:r>
        <w:rPr>
          <w:rFonts w:ascii="Arial" w:hAnsi="Arial" w:cs="Arial"/>
          <w:sz w:val="24"/>
        </w:rPr>
        <w:t>第三章  采购需求</w:t>
      </w:r>
    </w:p>
    <w:p>
      <w:pPr>
        <w:spacing w:line="360" w:lineRule="auto"/>
        <w:ind w:firstLine="840" w:firstLineChars="350"/>
        <w:rPr>
          <w:rFonts w:ascii="Arial" w:hAnsi="Arial" w:cs="Arial"/>
          <w:sz w:val="24"/>
        </w:rPr>
      </w:pPr>
      <w:r>
        <w:rPr>
          <w:rFonts w:ascii="Arial" w:hAnsi="Arial" w:cs="Arial"/>
          <w:sz w:val="24"/>
        </w:rPr>
        <w:t>第四章  评标方法和标准</w:t>
      </w:r>
    </w:p>
    <w:p>
      <w:pPr>
        <w:spacing w:line="360" w:lineRule="auto"/>
        <w:ind w:firstLine="840" w:firstLineChars="350"/>
        <w:rPr>
          <w:rFonts w:ascii="Arial" w:hAnsi="Arial" w:cs="Arial"/>
          <w:sz w:val="24"/>
        </w:rPr>
      </w:pPr>
      <w:r>
        <w:rPr>
          <w:rFonts w:ascii="Arial" w:hAnsi="Arial" w:cs="Arial"/>
          <w:sz w:val="24"/>
        </w:rPr>
        <w:t>第五章  政府采购合同</w:t>
      </w:r>
    </w:p>
    <w:p>
      <w:pPr>
        <w:spacing w:line="360" w:lineRule="auto"/>
        <w:ind w:firstLine="840" w:firstLineChars="350"/>
        <w:rPr>
          <w:rFonts w:ascii="Arial" w:hAnsi="Arial" w:cs="Arial"/>
          <w:sz w:val="24"/>
        </w:rPr>
      </w:pPr>
      <w:r>
        <w:rPr>
          <w:rFonts w:ascii="Arial" w:hAnsi="Arial" w:cs="Arial"/>
          <w:sz w:val="24"/>
        </w:rPr>
        <w:t>第六章  投标文件格式</w:t>
      </w:r>
    </w:p>
    <w:p>
      <w:pPr>
        <w:spacing w:line="360" w:lineRule="auto"/>
        <w:ind w:firstLine="840" w:firstLineChars="350"/>
        <w:rPr>
          <w:rFonts w:ascii="Arial" w:hAnsi="Arial" w:cs="Arial"/>
          <w:sz w:val="24"/>
        </w:rPr>
      </w:pPr>
      <w:r>
        <w:rPr>
          <w:rFonts w:ascii="Arial" w:hAnsi="Arial" w:cs="Arial"/>
          <w:sz w:val="24"/>
        </w:rPr>
        <w:t>第</w:t>
      </w:r>
      <w:r>
        <w:rPr>
          <w:rFonts w:hint="eastAsia" w:ascii="Arial" w:hAnsi="Arial" w:cs="Arial"/>
          <w:sz w:val="24"/>
        </w:rPr>
        <w:t>七</w:t>
      </w:r>
      <w:r>
        <w:rPr>
          <w:rFonts w:ascii="Arial" w:hAnsi="Arial" w:cs="Arial"/>
          <w:sz w:val="24"/>
        </w:rPr>
        <w:t>章  政府采购</w:t>
      </w:r>
      <w:r>
        <w:rPr>
          <w:rFonts w:hint="eastAsia" w:ascii="Arial" w:hAnsi="Arial" w:cs="Arial"/>
          <w:sz w:val="24"/>
        </w:rPr>
        <w:t>供应商</w:t>
      </w:r>
      <w:r>
        <w:rPr>
          <w:rFonts w:ascii="Arial" w:hAnsi="Arial" w:cs="Arial"/>
          <w:sz w:val="24"/>
        </w:rPr>
        <w:t>质疑函范本</w:t>
      </w:r>
    </w:p>
    <w:p>
      <w:pPr>
        <w:spacing w:line="360" w:lineRule="auto"/>
        <w:ind w:firstLine="435"/>
        <w:rPr>
          <w:rFonts w:ascii="Arial" w:hAnsi="Arial" w:cs="Arial"/>
          <w:sz w:val="24"/>
        </w:rPr>
      </w:pPr>
      <w:r>
        <w:rPr>
          <w:rFonts w:ascii="Arial" w:hAnsi="Arial" w:cs="Arial"/>
          <w:sz w:val="24"/>
        </w:rPr>
        <w:t>7.2招标文件中有不一致的，有澄清的部分以最终的澄清更正内容为准。</w:t>
      </w:r>
    </w:p>
    <w:p>
      <w:pPr>
        <w:spacing w:line="360" w:lineRule="auto"/>
        <w:ind w:firstLine="435"/>
        <w:rPr>
          <w:rFonts w:ascii="Arial" w:hAnsi="Arial" w:cs="Arial"/>
          <w:sz w:val="24"/>
        </w:rPr>
      </w:pPr>
      <w:r>
        <w:rPr>
          <w:rFonts w:ascii="Arial" w:hAnsi="Arial" w:cs="Arial"/>
          <w:sz w:val="24"/>
        </w:rPr>
        <w:t>7.3现场考察及相关事项见</w:t>
      </w:r>
      <w:r>
        <w:rPr>
          <w:rFonts w:ascii="Arial" w:hAnsi="Arial" w:cs="Arial"/>
          <w:sz w:val="24"/>
          <w:u w:val="single"/>
        </w:rPr>
        <w:t>投标人须知前附表</w:t>
      </w:r>
      <w:r>
        <w:rPr>
          <w:rFonts w:ascii="Arial" w:hAnsi="Arial" w:cs="Arial"/>
          <w:sz w:val="24"/>
        </w:rPr>
        <w:t>。</w:t>
      </w:r>
    </w:p>
    <w:p>
      <w:pPr>
        <w:spacing w:line="360" w:lineRule="auto"/>
        <w:ind w:firstLine="435"/>
        <w:rPr>
          <w:rFonts w:ascii="Arial" w:hAnsi="Arial" w:cs="Arial"/>
          <w:sz w:val="24"/>
        </w:rPr>
      </w:pPr>
      <w:r>
        <w:rPr>
          <w:rFonts w:ascii="Arial" w:hAnsi="Arial" w:cs="Arial"/>
          <w:sz w:val="24"/>
        </w:rPr>
        <w:t>7.4原则上采购人、采购代理机构不要求投标人提供样品。除仅凭书面方式不能准确描述采购需求，或者需要对样品进行主观判断以确认是否满足采购需求等特殊情况除外。</w:t>
      </w:r>
    </w:p>
    <w:p>
      <w:pPr>
        <w:spacing w:line="360" w:lineRule="auto"/>
        <w:ind w:firstLine="435"/>
        <w:rPr>
          <w:rFonts w:ascii="Arial" w:hAnsi="Arial" w:cs="Arial"/>
          <w:sz w:val="24"/>
        </w:rPr>
      </w:pPr>
      <w:r>
        <w:rPr>
          <w:rFonts w:ascii="Arial" w:hAnsi="Arial" w:cs="Arial"/>
          <w:sz w:val="24"/>
        </w:rPr>
        <w:t>如需提供样品，对样品相关要求见采购需求，对样品的评审方法及评审标准见招标文件第四章。</w:t>
      </w:r>
    </w:p>
    <w:p>
      <w:pPr>
        <w:spacing w:line="360" w:lineRule="auto"/>
        <w:ind w:firstLine="435"/>
        <w:rPr>
          <w:rFonts w:ascii="Arial" w:hAnsi="Arial" w:cs="Arial"/>
          <w:sz w:val="24"/>
        </w:rPr>
      </w:pPr>
      <w:r>
        <w:rPr>
          <w:rFonts w:ascii="Arial" w:hAnsi="Arial" w:cs="Arial"/>
          <w:sz w:val="24"/>
        </w:rPr>
        <w:t>7.5投标人应认真阅读招标文件所有的事项、格式、条款和技术规范等。</w:t>
      </w:r>
    </w:p>
    <w:p>
      <w:pPr>
        <w:spacing w:line="360" w:lineRule="auto"/>
        <w:ind w:firstLine="437"/>
        <w:outlineLvl w:val="3"/>
        <w:rPr>
          <w:rFonts w:ascii="Arial" w:hAnsi="Arial" w:cs="Arial"/>
          <w:b/>
          <w:sz w:val="24"/>
        </w:rPr>
      </w:pPr>
      <w:r>
        <w:rPr>
          <w:rFonts w:ascii="Arial" w:hAnsi="Arial" w:cs="Arial"/>
          <w:b/>
          <w:sz w:val="24"/>
        </w:rPr>
        <w:t>8.招标文件的澄清与修改</w:t>
      </w:r>
    </w:p>
    <w:p>
      <w:pPr>
        <w:spacing w:line="360" w:lineRule="auto"/>
        <w:ind w:firstLine="435"/>
        <w:rPr>
          <w:rFonts w:ascii="Arial" w:hAnsi="Arial" w:cs="Arial"/>
          <w:sz w:val="24"/>
        </w:rPr>
      </w:pPr>
      <w:r>
        <w:rPr>
          <w:rFonts w:ascii="Arial" w:hAnsi="Arial" w:cs="Arial"/>
          <w:sz w:val="24"/>
        </w:rPr>
        <w:t>8.1</w:t>
      </w:r>
      <w:r>
        <w:rPr>
          <w:rFonts w:hint="eastAsia" w:ascii="Arial" w:hAnsi="Arial" w:cs="Arial"/>
          <w:sz w:val="24"/>
        </w:rPr>
        <w:t>投标人</w:t>
      </w:r>
      <w:r>
        <w:rPr>
          <w:rFonts w:ascii="Arial" w:hAnsi="Arial" w:cs="Arial"/>
          <w:sz w:val="24"/>
        </w:rPr>
        <w:t>如对</w:t>
      </w:r>
      <w:r>
        <w:rPr>
          <w:rFonts w:hint="eastAsia" w:ascii="Arial" w:hAnsi="Arial" w:cs="Arial"/>
          <w:sz w:val="24"/>
        </w:rPr>
        <w:t>招标</w:t>
      </w:r>
      <w:r>
        <w:rPr>
          <w:rFonts w:ascii="Arial" w:hAnsi="Arial" w:cs="Arial"/>
          <w:sz w:val="24"/>
        </w:rPr>
        <w:t>文件内容有疑问，</w:t>
      </w:r>
      <w:r>
        <w:rPr>
          <w:rFonts w:hint="eastAsia" w:ascii="宋体" w:hAnsi="宋体"/>
          <w:sz w:val="24"/>
        </w:rPr>
        <w:t>应</w:t>
      </w:r>
      <w:r>
        <w:rPr>
          <w:rFonts w:ascii="Arial" w:hAnsi="Arial" w:cs="Arial"/>
          <w:sz w:val="24"/>
        </w:rPr>
        <w:t>以书面形式（如传真、邮件等）通知</w:t>
      </w:r>
      <w:r>
        <w:rPr>
          <w:rFonts w:hint="eastAsia" w:ascii="Arial" w:hAnsi="Arial" w:cs="Arial"/>
          <w:sz w:val="24"/>
        </w:rPr>
        <w:t>采购人</w:t>
      </w:r>
      <w:r>
        <w:rPr>
          <w:rFonts w:ascii="Arial" w:hAnsi="Arial" w:cs="Arial"/>
          <w:sz w:val="24"/>
        </w:rPr>
        <w:t>或</w:t>
      </w:r>
      <w:r>
        <w:rPr>
          <w:rFonts w:hint="eastAsia" w:ascii="Arial" w:hAnsi="Arial" w:cs="Arial"/>
          <w:sz w:val="24"/>
        </w:rPr>
        <w:t>采购</w:t>
      </w:r>
      <w:r>
        <w:rPr>
          <w:rFonts w:ascii="Arial" w:hAnsi="Arial" w:cs="Arial"/>
          <w:sz w:val="24"/>
        </w:rPr>
        <w:t>代理机构。</w:t>
      </w:r>
      <w:r>
        <w:rPr>
          <w:rFonts w:hint="eastAsia" w:ascii="Arial" w:hAnsi="Arial" w:cs="Arial"/>
          <w:sz w:val="24"/>
        </w:rPr>
        <w:t>采购人对需要做出澄清的问题，以澄清和修改通知的方式予以答复。</w:t>
      </w:r>
    </w:p>
    <w:p>
      <w:pPr>
        <w:spacing w:line="360" w:lineRule="auto"/>
        <w:ind w:firstLine="435"/>
        <w:rPr>
          <w:rFonts w:ascii="Arial" w:hAnsi="Arial" w:cs="Arial"/>
          <w:sz w:val="24"/>
        </w:rPr>
      </w:pPr>
      <w:r>
        <w:rPr>
          <w:rFonts w:ascii="Arial" w:hAnsi="Arial" w:cs="Arial"/>
          <w:sz w:val="24"/>
        </w:rPr>
        <w:t>8.2采购人可主动或在解答</w:t>
      </w:r>
      <w:r>
        <w:rPr>
          <w:rFonts w:hint="eastAsia" w:ascii="Arial" w:hAnsi="Arial" w:cs="Arial"/>
          <w:sz w:val="24"/>
        </w:rPr>
        <w:t>投标人</w:t>
      </w:r>
      <w:r>
        <w:rPr>
          <w:rFonts w:ascii="Arial" w:hAnsi="Arial" w:cs="Arial"/>
          <w:sz w:val="24"/>
        </w:rPr>
        <w:t>提出的问题时对</w:t>
      </w:r>
      <w:r>
        <w:rPr>
          <w:rFonts w:hint="eastAsia" w:ascii="Arial" w:hAnsi="Arial" w:cs="Arial"/>
          <w:sz w:val="24"/>
        </w:rPr>
        <w:t>招标</w:t>
      </w:r>
      <w:r>
        <w:rPr>
          <w:rFonts w:ascii="Arial" w:hAnsi="Arial" w:cs="Arial"/>
          <w:sz w:val="24"/>
        </w:rPr>
        <w:t>文件进行澄清或者修改。采购代理机构将在安徽省政府采购网以发布</w:t>
      </w:r>
      <w:r>
        <w:rPr>
          <w:rFonts w:hint="eastAsia" w:ascii="Arial" w:hAnsi="Arial" w:cs="Arial"/>
          <w:sz w:val="24"/>
        </w:rPr>
        <w:t>更正</w:t>
      </w:r>
      <w:r>
        <w:rPr>
          <w:rFonts w:ascii="Arial" w:hAnsi="Arial" w:cs="Arial"/>
          <w:sz w:val="24"/>
        </w:rPr>
        <w:t>公告的方式澄清或者修改</w:t>
      </w:r>
      <w:r>
        <w:rPr>
          <w:rFonts w:hint="eastAsia" w:ascii="Arial" w:hAnsi="Arial" w:cs="Arial"/>
          <w:sz w:val="24"/>
        </w:rPr>
        <w:t>招标</w:t>
      </w:r>
      <w:r>
        <w:rPr>
          <w:rFonts w:ascii="Arial" w:hAnsi="Arial" w:cs="Arial"/>
          <w:sz w:val="24"/>
        </w:rPr>
        <w:t>文件，</w:t>
      </w:r>
      <w:r>
        <w:rPr>
          <w:rFonts w:hint="eastAsia" w:ascii="Arial" w:hAnsi="Arial" w:cs="Arial"/>
          <w:sz w:val="24"/>
        </w:rPr>
        <w:t>更正公告</w:t>
      </w:r>
      <w:r>
        <w:rPr>
          <w:rFonts w:ascii="Arial" w:hAnsi="Arial" w:cs="Arial"/>
          <w:sz w:val="24"/>
        </w:rPr>
        <w:t>的内容作为</w:t>
      </w:r>
      <w:r>
        <w:rPr>
          <w:rFonts w:hint="eastAsia" w:ascii="Arial" w:hAnsi="Arial" w:cs="Arial"/>
          <w:sz w:val="24"/>
        </w:rPr>
        <w:t>招标</w:t>
      </w:r>
      <w:r>
        <w:rPr>
          <w:rFonts w:ascii="Arial" w:hAnsi="Arial" w:cs="Arial"/>
          <w:sz w:val="24"/>
        </w:rPr>
        <w:t>文件的组成部分，对</w:t>
      </w:r>
      <w:r>
        <w:rPr>
          <w:rFonts w:hint="eastAsia" w:ascii="Arial" w:hAnsi="Arial" w:cs="Arial"/>
          <w:sz w:val="24"/>
        </w:rPr>
        <w:t>投标人</w:t>
      </w:r>
      <w:r>
        <w:rPr>
          <w:rFonts w:ascii="Arial" w:hAnsi="Arial" w:cs="Arial"/>
          <w:sz w:val="24"/>
        </w:rPr>
        <w:t>起约束作用。</w:t>
      </w:r>
      <w:r>
        <w:rPr>
          <w:rFonts w:hint="eastAsia" w:ascii="Arial" w:hAnsi="Arial" w:cs="Arial"/>
          <w:sz w:val="24"/>
        </w:rPr>
        <w:t>投标人</w:t>
      </w:r>
      <w:r>
        <w:rPr>
          <w:rFonts w:ascii="Arial" w:hAnsi="Arial" w:cs="Arial"/>
          <w:sz w:val="24"/>
        </w:rPr>
        <w:t>应主动上网查询。采购代理机构不承担</w:t>
      </w:r>
      <w:r>
        <w:rPr>
          <w:rFonts w:hint="eastAsia" w:ascii="Arial" w:hAnsi="Arial" w:cs="Arial"/>
          <w:sz w:val="24"/>
        </w:rPr>
        <w:t>投标人</w:t>
      </w:r>
      <w:r>
        <w:rPr>
          <w:rFonts w:ascii="Arial" w:hAnsi="Arial" w:cs="Arial"/>
          <w:sz w:val="24"/>
        </w:rPr>
        <w:t>未及时关注相关信息引发的相关责任。</w:t>
      </w:r>
    </w:p>
    <w:p>
      <w:pPr>
        <w:spacing w:line="360" w:lineRule="auto"/>
        <w:ind w:firstLine="435"/>
        <w:rPr>
          <w:rFonts w:ascii="Arial" w:hAnsi="Arial" w:cs="Arial"/>
          <w:sz w:val="24"/>
        </w:rPr>
      </w:pPr>
      <w:r>
        <w:rPr>
          <w:rFonts w:ascii="Arial" w:hAnsi="Arial" w:cs="Arial"/>
          <w:sz w:val="24"/>
        </w:rPr>
        <w:t>8.3任何人或任何组织向</w:t>
      </w:r>
      <w:r>
        <w:rPr>
          <w:rFonts w:hint="eastAsia" w:ascii="Arial" w:hAnsi="Arial" w:cs="Arial"/>
          <w:sz w:val="24"/>
        </w:rPr>
        <w:t>投标人</w:t>
      </w:r>
      <w:r>
        <w:rPr>
          <w:rFonts w:ascii="Arial" w:hAnsi="Arial" w:cs="Arial"/>
          <w:sz w:val="24"/>
        </w:rPr>
        <w:t>提供的任何书面或口头资料，未经采购代理机构在网上发布或书面通知，均作无效处理，不得作为</w:t>
      </w:r>
      <w:r>
        <w:rPr>
          <w:rFonts w:hint="eastAsia" w:ascii="Arial" w:hAnsi="Arial" w:cs="Arial"/>
          <w:sz w:val="24"/>
        </w:rPr>
        <w:t>招标</w:t>
      </w:r>
      <w:r>
        <w:rPr>
          <w:rFonts w:ascii="Arial" w:hAnsi="Arial" w:cs="Arial"/>
          <w:sz w:val="24"/>
        </w:rPr>
        <w:t>文件的组成部分。采购代理机构对</w:t>
      </w:r>
      <w:r>
        <w:rPr>
          <w:rFonts w:hint="eastAsia" w:ascii="Arial" w:hAnsi="Arial" w:cs="Arial"/>
          <w:sz w:val="24"/>
        </w:rPr>
        <w:t>投标人</w:t>
      </w:r>
      <w:r>
        <w:rPr>
          <w:rFonts w:ascii="Arial" w:hAnsi="Arial" w:cs="Arial"/>
          <w:sz w:val="24"/>
        </w:rPr>
        <w:t>由此而做出的推论、理解和结论概不负责。</w:t>
      </w:r>
    </w:p>
    <w:p>
      <w:pPr>
        <w:spacing w:line="360" w:lineRule="auto"/>
        <w:ind w:firstLine="435"/>
        <w:rPr>
          <w:rFonts w:ascii="Arial" w:hAnsi="Arial" w:cs="Arial"/>
          <w:i/>
          <w:iCs/>
          <w:sz w:val="24"/>
        </w:rPr>
      </w:pPr>
      <w:r>
        <w:rPr>
          <w:rFonts w:ascii="Arial" w:hAnsi="Arial" w:cs="Arial"/>
          <w:sz w:val="24"/>
        </w:rPr>
        <w:t>8.4对于没有提出疑问又参与了本项目投标的投标人将被视为完全认同本招标文件（含</w:t>
      </w:r>
      <w:r>
        <w:rPr>
          <w:rFonts w:hint="eastAsia" w:ascii="Arial" w:hAnsi="Arial" w:cs="Arial"/>
          <w:sz w:val="24"/>
        </w:rPr>
        <w:t>更正公告</w:t>
      </w:r>
      <w:r>
        <w:rPr>
          <w:rFonts w:ascii="Arial" w:hAnsi="Arial" w:cs="Arial"/>
          <w:sz w:val="24"/>
        </w:rPr>
        <w:t>的内容）</w:t>
      </w:r>
      <w:r>
        <w:rPr>
          <w:rFonts w:ascii="Arial" w:hAnsi="Arial" w:cs="Arial"/>
          <w:i/>
          <w:sz w:val="24"/>
        </w:rPr>
        <w:t>。</w:t>
      </w:r>
    </w:p>
    <w:p>
      <w:pPr>
        <w:spacing w:line="360" w:lineRule="auto"/>
        <w:ind w:firstLine="437"/>
        <w:outlineLvl w:val="3"/>
        <w:rPr>
          <w:rFonts w:ascii="Arial" w:hAnsi="Arial" w:cs="Arial"/>
          <w:b/>
          <w:sz w:val="24"/>
        </w:rPr>
      </w:pPr>
      <w:r>
        <w:rPr>
          <w:rFonts w:ascii="Arial" w:hAnsi="Arial" w:cs="Arial"/>
          <w:b/>
          <w:sz w:val="24"/>
        </w:rPr>
        <w:t>9.投标范围及投标文件中标准和计量单位的使用</w:t>
      </w:r>
    </w:p>
    <w:p>
      <w:pPr>
        <w:spacing w:line="360" w:lineRule="auto"/>
        <w:ind w:firstLine="435"/>
        <w:rPr>
          <w:rFonts w:ascii="Arial" w:hAnsi="Arial" w:cs="Arial"/>
          <w:sz w:val="24"/>
        </w:rPr>
      </w:pPr>
      <w:r>
        <w:rPr>
          <w:rFonts w:ascii="Arial" w:hAnsi="Arial" w:cs="Arial"/>
          <w:sz w:val="24"/>
        </w:rPr>
        <w:t>9.1项目有分包的，投标人可对招标文件其中某一个或几个分包货物进行投标，除非在</w:t>
      </w:r>
      <w:r>
        <w:rPr>
          <w:rFonts w:ascii="Arial" w:hAnsi="Arial" w:cs="Arial"/>
          <w:sz w:val="24"/>
          <w:u w:val="single"/>
        </w:rPr>
        <w:t>投标人须知前附表</w:t>
      </w:r>
      <w:r>
        <w:rPr>
          <w:rFonts w:ascii="Arial" w:hAnsi="Arial" w:cs="Arial"/>
          <w:sz w:val="24"/>
        </w:rPr>
        <w:t>中另有规定。</w:t>
      </w:r>
    </w:p>
    <w:p>
      <w:pPr>
        <w:spacing w:line="360" w:lineRule="auto"/>
        <w:ind w:firstLine="435"/>
        <w:rPr>
          <w:rFonts w:ascii="Arial" w:hAnsi="Arial" w:cs="Arial"/>
          <w:sz w:val="24"/>
        </w:rPr>
      </w:pPr>
      <w:r>
        <w:rPr>
          <w:rFonts w:ascii="Arial" w:hAnsi="Arial" w:cs="Arial"/>
          <w:sz w:val="24"/>
        </w:rPr>
        <w:t>9.2投标人应当对所投分包招标文件中“采购需求”所列的所有内容进行投标，如仅响应所投包别中的部分内容，其所投包别的投标将被认定为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bookmarkStart w:id="14" w:name="_Hlk16458980"/>
      <w:r>
        <w:rPr>
          <w:rFonts w:ascii="Arial" w:hAnsi="Arial" w:cs="Arial"/>
          <w:sz w:val="24"/>
        </w:rPr>
        <w:t>9.3无论招标文件中是否要求，投标人所投货物及伴随的服务和工程均应符合国家强制性标准。</w:t>
      </w:r>
    </w:p>
    <w:bookmarkEnd w:id="14"/>
    <w:p>
      <w:pPr>
        <w:spacing w:line="360" w:lineRule="auto"/>
        <w:ind w:firstLine="435"/>
        <w:rPr>
          <w:rFonts w:ascii="Arial" w:hAnsi="Arial" w:cs="Arial"/>
          <w:sz w:val="24"/>
        </w:rPr>
      </w:pPr>
      <w:r>
        <w:rPr>
          <w:rFonts w:ascii="Arial" w:hAnsi="Arial" w:cs="Arial"/>
          <w:sz w:val="24"/>
        </w:rPr>
        <w:t>9.4投标人与采购代理机构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rPr>
          <w:rFonts w:ascii="Arial" w:hAnsi="Arial" w:cs="Arial"/>
          <w:sz w:val="24"/>
        </w:rPr>
      </w:pPr>
      <w:r>
        <w:rPr>
          <w:rFonts w:ascii="Arial" w:hAnsi="Arial" w:cs="Arial"/>
          <w:sz w:val="24"/>
        </w:rPr>
        <w:t>9.5除招标文件中有特殊要求外，投标文件中所使用的计量单位，应采用中华人民共和国法定计量单位。</w:t>
      </w:r>
    </w:p>
    <w:p>
      <w:pPr>
        <w:spacing w:line="360" w:lineRule="auto"/>
        <w:ind w:firstLine="437"/>
        <w:outlineLvl w:val="3"/>
        <w:rPr>
          <w:rFonts w:ascii="Arial" w:hAnsi="Arial" w:cs="Arial"/>
          <w:b/>
          <w:sz w:val="24"/>
        </w:rPr>
      </w:pPr>
      <w:r>
        <w:rPr>
          <w:rFonts w:ascii="Arial" w:hAnsi="Arial" w:cs="Arial"/>
          <w:b/>
          <w:sz w:val="24"/>
        </w:rPr>
        <w:t>10.投标文件构成</w:t>
      </w:r>
    </w:p>
    <w:p>
      <w:pPr>
        <w:spacing w:line="360" w:lineRule="auto"/>
        <w:ind w:firstLine="435"/>
        <w:rPr>
          <w:rFonts w:ascii="Arial" w:hAnsi="Arial" w:cs="Arial"/>
          <w:sz w:val="24"/>
        </w:rPr>
      </w:pPr>
      <w:r>
        <w:rPr>
          <w:rFonts w:ascii="Arial" w:hAnsi="Arial" w:cs="Arial"/>
          <w:sz w:val="24"/>
        </w:rPr>
        <w:t>10.1投标人应完整地按招标文件提供的投标文件格式及要求编写投标文件，具体内容详见本项目第六章投标文件格式的相关内容。</w:t>
      </w:r>
    </w:p>
    <w:p>
      <w:pPr>
        <w:spacing w:line="360" w:lineRule="auto"/>
        <w:ind w:firstLine="435"/>
        <w:rPr>
          <w:rFonts w:ascii="Arial" w:hAnsi="Arial" w:cs="Arial"/>
          <w:sz w:val="24"/>
        </w:rPr>
      </w:pPr>
      <w:r>
        <w:rPr>
          <w:rFonts w:ascii="Arial" w:hAnsi="Arial" w:cs="Arial"/>
          <w:sz w:val="24"/>
        </w:rPr>
        <w:t>10.2上述文件应按照招标文件规定的格式填写、签署和盖章。</w:t>
      </w:r>
    </w:p>
    <w:p>
      <w:pPr>
        <w:spacing w:line="360" w:lineRule="auto"/>
        <w:ind w:firstLine="437"/>
        <w:outlineLvl w:val="3"/>
        <w:rPr>
          <w:rFonts w:ascii="Arial" w:hAnsi="Arial" w:cs="Arial"/>
          <w:b/>
          <w:sz w:val="24"/>
        </w:rPr>
      </w:pPr>
      <w:r>
        <w:rPr>
          <w:rFonts w:ascii="Arial" w:hAnsi="Arial" w:cs="Arial"/>
          <w:b/>
          <w:sz w:val="24"/>
        </w:rPr>
        <w:t>11.证明投标标的的合格性和符合招标文件规定的技术文件</w:t>
      </w:r>
    </w:p>
    <w:p>
      <w:pPr>
        <w:spacing w:line="360" w:lineRule="auto"/>
        <w:ind w:firstLine="435"/>
        <w:rPr>
          <w:rFonts w:ascii="Arial" w:hAnsi="Arial" w:cs="Arial"/>
          <w:sz w:val="24"/>
        </w:rPr>
      </w:pPr>
      <w:r>
        <w:rPr>
          <w:rFonts w:ascii="Arial" w:hAnsi="Arial" w:cs="Arial"/>
          <w:sz w:val="24"/>
        </w:rPr>
        <w:t>11.1投标人应提交证明文件，证明其投标内容符合招标文件规定。该证明文件是投标文件的一部分。</w:t>
      </w:r>
    </w:p>
    <w:p>
      <w:pPr>
        <w:spacing w:line="360" w:lineRule="auto"/>
        <w:ind w:firstLine="435"/>
        <w:rPr>
          <w:rFonts w:ascii="Arial" w:hAnsi="Arial" w:cs="Arial"/>
          <w:sz w:val="24"/>
        </w:rPr>
      </w:pPr>
      <w:r>
        <w:rPr>
          <w:rFonts w:ascii="Arial" w:hAnsi="Arial" w:cs="Arial"/>
          <w:sz w:val="24"/>
        </w:rPr>
        <w:t>11.2上款所述的证明文件，可以是文字资料、图纸和数据</w:t>
      </w:r>
      <w:bookmarkStart w:id="15" w:name="_Hlk11703583"/>
      <w:r>
        <w:rPr>
          <w:rFonts w:ascii="Arial" w:hAnsi="Arial" w:cs="Arial"/>
          <w:sz w:val="24"/>
        </w:rPr>
        <w:t>，它包括：</w:t>
      </w:r>
    </w:p>
    <w:p>
      <w:pPr>
        <w:spacing w:line="360" w:lineRule="auto"/>
        <w:ind w:firstLine="435"/>
        <w:rPr>
          <w:rFonts w:ascii="Arial" w:hAnsi="Arial" w:cs="Arial"/>
          <w:sz w:val="24"/>
        </w:rPr>
      </w:pPr>
      <w:r>
        <w:rPr>
          <w:rFonts w:ascii="Arial" w:hAnsi="Arial" w:cs="Arial"/>
          <w:sz w:val="24"/>
        </w:rPr>
        <w:t>11.2.1货物主要技术指标和性能的详细说明；</w:t>
      </w:r>
    </w:p>
    <w:p>
      <w:pPr>
        <w:spacing w:line="360" w:lineRule="auto"/>
        <w:ind w:firstLine="435"/>
        <w:rPr>
          <w:rFonts w:ascii="Arial" w:hAnsi="Arial" w:cs="Arial"/>
          <w:sz w:val="24"/>
        </w:rPr>
      </w:pPr>
      <w:r>
        <w:rPr>
          <w:rFonts w:ascii="Arial" w:hAnsi="Arial" w:cs="Arial"/>
          <w:sz w:val="24"/>
        </w:rPr>
        <w:t>11.2.2货物从买方开始使用至招标文件规定的保质期内正常、连续地使用所必须的备件和专用工具清单，包括备件和专用工具的货源及现行价格；</w:t>
      </w:r>
    </w:p>
    <w:p>
      <w:pPr>
        <w:spacing w:line="360" w:lineRule="auto"/>
        <w:ind w:firstLine="435"/>
        <w:rPr>
          <w:rFonts w:ascii="Arial" w:hAnsi="Arial" w:cs="Arial"/>
          <w:sz w:val="24"/>
        </w:rPr>
      </w:pPr>
      <w:r>
        <w:rPr>
          <w:rFonts w:ascii="Arial" w:hAnsi="Arial" w:cs="Arial"/>
          <w:sz w:val="24"/>
        </w:rPr>
        <w:t>11.2.3对照招标文件技术规格，逐条说明所提供货物及伴随的工程和服务已对招标文件的技术规格做出了实质性的响应，或申明与技术规格条文的偏差和例外。</w:t>
      </w:r>
    </w:p>
    <w:p>
      <w:pPr>
        <w:spacing w:line="360" w:lineRule="auto"/>
        <w:ind w:firstLine="435"/>
        <w:rPr>
          <w:rFonts w:ascii="Arial" w:hAnsi="Arial" w:cs="Arial"/>
          <w:sz w:val="24"/>
        </w:rPr>
      </w:pPr>
      <w:r>
        <w:rPr>
          <w:rFonts w:ascii="Arial" w:hAnsi="Arial" w:cs="Arial"/>
          <w:sz w:val="24"/>
        </w:rPr>
        <w:t>11.3投标人应注意采购人在采购需求中提供的工艺、材料和设备的参考品牌型号或分类号仅起说明作用，并没有任何限制性。投标人在投标文件中可以选用替代品牌型号或分类号，但这些替代要实质上相当于技术规格的要求，是否满足要求，由评标委员会来评判。</w:t>
      </w:r>
    </w:p>
    <w:bookmarkEnd w:id="15"/>
    <w:p>
      <w:pPr>
        <w:spacing w:line="360" w:lineRule="auto"/>
        <w:ind w:firstLine="435"/>
        <w:rPr>
          <w:rFonts w:ascii="Arial" w:hAnsi="Arial" w:cs="Arial"/>
          <w:sz w:val="24"/>
        </w:rPr>
      </w:pPr>
      <w:r>
        <w:rPr>
          <w:rFonts w:ascii="Arial" w:hAnsi="Arial" w:cs="Arial"/>
          <w:sz w:val="24"/>
        </w:rPr>
        <w:t>11.4本条所指证明文件不包括对招标文件相关部分的文字、图标的复制。</w:t>
      </w:r>
    </w:p>
    <w:p>
      <w:pPr>
        <w:spacing w:line="360" w:lineRule="auto"/>
        <w:ind w:firstLine="435"/>
        <w:rPr>
          <w:rFonts w:ascii="Arial" w:hAnsi="Arial" w:cs="Arial"/>
          <w:sz w:val="24"/>
        </w:rPr>
      </w:pPr>
      <w:r>
        <w:rPr>
          <w:rFonts w:ascii="Arial" w:hAnsi="Arial" w:cs="Arial"/>
          <w:sz w:val="24"/>
        </w:rPr>
        <w:t>11.5为保证公平公正，除非另有规定或说明，投标人对同一项目投标时，不得同时提供备选投标方案。</w:t>
      </w:r>
    </w:p>
    <w:p>
      <w:pPr>
        <w:spacing w:line="360" w:lineRule="auto"/>
        <w:ind w:firstLine="437"/>
        <w:outlineLvl w:val="3"/>
        <w:rPr>
          <w:rFonts w:ascii="Arial" w:hAnsi="Arial" w:cs="Arial"/>
          <w:b/>
          <w:sz w:val="24"/>
        </w:rPr>
      </w:pPr>
      <w:r>
        <w:rPr>
          <w:rFonts w:ascii="Arial" w:hAnsi="Arial" w:cs="Arial"/>
          <w:b/>
          <w:sz w:val="24"/>
        </w:rPr>
        <w:t>12.投标报价</w:t>
      </w:r>
    </w:p>
    <w:p>
      <w:pPr>
        <w:spacing w:line="360" w:lineRule="auto"/>
        <w:ind w:firstLine="435"/>
        <w:rPr>
          <w:rFonts w:ascii="Arial" w:hAnsi="Arial" w:cs="Arial"/>
          <w:sz w:val="24"/>
        </w:rPr>
      </w:pPr>
      <w:r>
        <w:rPr>
          <w:rFonts w:ascii="Arial" w:hAnsi="Arial" w:cs="Arial"/>
          <w:sz w:val="24"/>
        </w:rPr>
        <w:t>12.1投标人的报价应当包括满足本次招标全部采购需求所应提供的货物，以及伴随的服务和工程。所有投标均应以人民币报价。投标人的投标报价应遵守《中华人民共和国价格法》。</w:t>
      </w:r>
    </w:p>
    <w:p>
      <w:pPr>
        <w:spacing w:line="360" w:lineRule="auto"/>
        <w:ind w:firstLine="435"/>
        <w:rPr>
          <w:rFonts w:ascii="Arial" w:hAnsi="Arial" w:cs="Arial"/>
          <w:sz w:val="24"/>
        </w:rPr>
      </w:pPr>
      <w:r>
        <w:rPr>
          <w:rFonts w:ascii="Arial" w:hAnsi="Arial" w:cs="Arial"/>
          <w:sz w:val="24"/>
        </w:rPr>
        <w:t>12.2投标人报价超过招标文件规定的预算金额或者分项、分包最高限价，其投标将被认定为</w:t>
      </w:r>
      <w:r>
        <w:rPr>
          <w:rFonts w:ascii="Arial" w:hAnsi="Arial" w:cs="Arial"/>
          <w:b/>
          <w:bCs/>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12.3投标人应在投标分项报价表上标明投标货物及相关服务的</w:t>
      </w:r>
      <w:r>
        <w:rPr>
          <w:rFonts w:hint="eastAsia" w:ascii="Arial" w:hAnsi="Arial" w:cs="Arial"/>
          <w:sz w:val="24"/>
        </w:rPr>
        <w:t>价格</w:t>
      </w:r>
      <w:r>
        <w:rPr>
          <w:rFonts w:ascii="Arial" w:hAnsi="Arial" w:cs="Arial"/>
          <w:sz w:val="24"/>
        </w:rPr>
        <w:t>（如适用）和总价。未标明的视同包含在投标报价中。</w:t>
      </w:r>
    </w:p>
    <w:p>
      <w:pPr>
        <w:spacing w:line="360" w:lineRule="auto"/>
        <w:ind w:firstLine="435"/>
        <w:rPr>
          <w:rFonts w:ascii="Arial" w:hAnsi="Arial" w:cs="Arial"/>
          <w:sz w:val="24"/>
        </w:rPr>
      </w:pPr>
      <w:r>
        <w:rPr>
          <w:rFonts w:ascii="Arial" w:hAnsi="Arial" w:cs="Arial"/>
          <w:sz w:val="24"/>
        </w:rPr>
        <w:t>12.4投标报价在合同履行过程中是固定不变的，不得以任何理由予以变更。任何包含价格调整要求的投标，其投标将被认定为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12.6采购人不接受具有附加条件的报价。</w:t>
      </w:r>
    </w:p>
    <w:p>
      <w:pPr>
        <w:spacing w:line="360" w:lineRule="auto"/>
        <w:ind w:firstLine="437"/>
        <w:outlineLvl w:val="3"/>
        <w:rPr>
          <w:rFonts w:ascii="Arial" w:hAnsi="Arial" w:cs="Arial"/>
          <w:b/>
          <w:sz w:val="24"/>
        </w:rPr>
      </w:pPr>
      <w:r>
        <w:rPr>
          <w:rFonts w:ascii="Arial" w:hAnsi="Arial" w:cs="Arial"/>
          <w:b/>
          <w:sz w:val="24"/>
        </w:rPr>
        <w:t>13.投标保证金</w:t>
      </w:r>
    </w:p>
    <w:p>
      <w:pPr>
        <w:spacing w:line="360" w:lineRule="auto"/>
        <w:ind w:firstLine="435"/>
        <w:rPr>
          <w:rFonts w:ascii="Arial" w:hAnsi="Arial" w:cs="Arial"/>
          <w:bCs/>
          <w:sz w:val="24"/>
        </w:rPr>
      </w:pPr>
      <w:r>
        <w:rPr>
          <w:rFonts w:hint="eastAsia" w:ascii="宋体" w:hAnsi="宋体"/>
          <w:sz w:val="24"/>
        </w:rPr>
        <w:t>13.1本项目免收。</w:t>
      </w:r>
    </w:p>
    <w:p>
      <w:pPr>
        <w:spacing w:line="360" w:lineRule="auto"/>
        <w:ind w:firstLine="437"/>
        <w:outlineLvl w:val="3"/>
        <w:rPr>
          <w:rFonts w:ascii="Arial" w:hAnsi="Arial" w:cs="Arial"/>
          <w:b/>
          <w:sz w:val="24"/>
        </w:rPr>
      </w:pPr>
      <w:r>
        <w:rPr>
          <w:rFonts w:ascii="Arial" w:hAnsi="Arial" w:cs="Arial"/>
          <w:b/>
          <w:sz w:val="24"/>
        </w:rPr>
        <w:t>14.投标有效期</w:t>
      </w:r>
    </w:p>
    <w:p>
      <w:pPr>
        <w:spacing w:line="360" w:lineRule="auto"/>
        <w:ind w:firstLine="435"/>
        <w:rPr>
          <w:rFonts w:ascii="Arial" w:hAnsi="Arial" w:cs="Arial"/>
          <w:sz w:val="24"/>
        </w:rPr>
      </w:pPr>
      <w:r>
        <w:rPr>
          <w:rFonts w:ascii="Arial" w:hAnsi="Arial" w:cs="Arial"/>
          <w:sz w:val="24"/>
        </w:rPr>
        <w:t>14.1投标有效期为从投标截止之日算起的日历天数，投标有效期详见</w:t>
      </w:r>
      <w:r>
        <w:rPr>
          <w:rFonts w:ascii="Arial" w:hAnsi="Arial" w:cs="Arial"/>
          <w:sz w:val="24"/>
          <w:u w:val="single"/>
        </w:rPr>
        <w:t>投标人须知前附表</w:t>
      </w:r>
      <w:r>
        <w:rPr>
          <w:rFonts w:ascii="Arial" w:hAnsi="Arial" w:cs="Arial"/>
          <w:sz w:val="24"/>
        </w:rPr>
        <w:t>。</w:t>
      </w:r>
    </w:p>
    <w:p>
      <w:pPr>
        <w:spacing w:line="360" w:lineRule="auto"/>
        <w:ind w:firstLine="435"/>
        <w:rPr>
          <w:rFonts w:ascii="Arial" w:hAnsi="Arial" w:cs="Arial"/>
          <w:sz w:val="24"/>
        </w:rPr>
      </w:pPr>
      <w:r>
        <w:rPr>
          <w:rFonts w:ascii="Arial" w:hAnsi="Arial" w:cs="Arial"/>
          <w:sz w:val="24"/>
        </w:rPr>
        <w:t>14.2在投标有效期内，投标人的投标保持有效，投标人不得要求撤销或修改其投标文件。投标有效期不满足要求的投标，其投标将被认定为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14.3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outlineLvl w:val="3"/>
        <w:rPr>
          <w:rFonts w:ascii="Arial" w:hAnsi="Arial" w:cs="Arial"/>
          <w:b/>
          <w:sz w:val="24"/>
        </w:rPr>
      </w:pPr>
      <w:r>
        <w:rPr>
          <w:rFonts w:ascii="Arial" w:hAnsi="Arial" w:cs="Arial"/>
          <w:b/>
          <w:sz w:val="24"/>
        </w:rPr>
        <w:t>15.投标文件的制作</w:t>
      </w:r>
    </w:p>
    <w:p>
      <w:pPr>
        <w:spacing w:line="360" w:lineRule="auto"/>
        <w:ind w:firstLine="435"/>
        <w:rPr>
          <w:rFonts w:ascii="Arial" w:hAnsi="Arial" w:cs="Arial"/>
          <w:sz w:val="24"/>
        </w:rPr>
      </w:pPr>
      <w:r>
        <w:rPr>
          <w:rFonts w:ascii="Arial" w:hAnsi="Arial" w:cs="Arial"/>
          <w:sz w:val="24"/>
        </w:rPr>
        <w:t>15.1投标文件份数</w:t>
      </w:r>
    </w:p>
    <w:p>
      <w:pPr>
        <w:spacing w:line="360" w:lineRule="auto"/>
        <w:ind w:firstLine="435"/>
        <w:rPr>
          <w:rFonts w:ascii="Arial" w:hAnsi="Arial" w:cs="Arial"/>
          <w:sz w:val="24"/>
        </w:rPr>
      </w:pPr>
      <w:r>
        <w:rPr>
          <w:rFonts w:ascii="Arial" w:hAnsi="Arial" w:cs="Arial"/>
          <w:sz w:val="24"/>
        </w:rPr>
        <w:t>15.1.1投标人应按照</w:t>
      </w:r>
      <w:r>
        <w:rPr>
          <w:rFonts w:ascii="Arial" w:hAnsi="Arial" w:cs="Arial"/>
          <w:sz w:val="24"/>
          <w:u w:val="single"/>
        </w:rPr>
        <w:t>投标人须知前附表</w:t>
      </w:r>
      <w:r>
        <w:rPr>
          <w:rFonts w:ascii="Arial" w:hAnsi="Arial" w:cs="Arial"/>
          <w:sz w:val="24"/>
        </w:rPr>
        <w:t>的要求编制投标文件，并在封面上注明“正本”和“副本”字样。投标文件的正本与副本如有不一致之处，以正本为准。</w:t>
      </w:r>
    </w:p>
    <w:p>
      <w:pPr>
        <w:spacing w:line="360" w:lineRule="auto"/>
        <w:ind w:firstLine="435"/>
        <w:rPr>
          <w:rFonts w:ascii="Arial" w:hAnsi="Arial" w:cs="Arial"/>
          <w:sz w:val="24"/>
        </w:rPr>
      </w:pPr>
      <w:r>
        <w:rPr>
          <w:rFonts w:ascii="Arial" w:hAnsi="Arial" w:cs="Arial"/>
          <w:sz w:val="24"/>
        </w:rPr>
        <w:t>15.1.2投标文件应按招标文件要求加盖投标人公章，热敏纸无效。</w:t>
      </w:r>
    </w:p>
    <w:p>
      <w:pPr>
        <w:spacing w:line="360" w:lineRule="auto"/>
        <w:ind w:firstLine="435"/>
        <w:rPr>
          <w:rFonts w:ascii="Arial" w:hAnsi="Arial" w:cs="Arial"/>
          <w:sz w:val="24"/>
        </w:rPr>
      </w:pPr>
      <w:r>
        <w:rPr>
          <w:rFonts w:ascii="Arial" w:hAnsi="Arial" w:cs="Arial"/>
          <w:sz w:val="24"/>
        </w:rPr>
        <w:t>15.1.3采购人保留要求中标人提供其投标文件电子版的权利。</w:t>
      </w:r>
    </w:p>
    <w:p>
      <w:pPr>
        <w:spacing w:line="360" w:lineRule="auto"/>
        <w:ind w:firstLine="435"/>
        <w:rPr>
          <w:rFonts w:ascii="Arial" w:hAnsi="Arial" w:cs="Arial"/>
          <w:sz w:val="24"/>
        </w:rPr>
      </w:pPr>
      <w:r>
        <w:rPr>
          <w:rFonts w:ascii="Arial" w:hAnsi="Arial" w:cs="Arial"/>
          <w:sz w:val="24"/>
        </w:rPr>
        <w:t>15.2投标文件的封装和标记</w:t>
      </w:r>
    </w:p>
    <w:p>
      <w:pPr>
        <w:spacing w:line="360" w:lineRule="auto"/>
        <w:ind w:firstLine="435"/>
        <w:rPr>
          <w:rFonts w:ascii="Arial" w:hAnsi="Arial" w:cs="Arial"/>
          <w:sz w:val="24"/>
        </w:rPr>
      </w:pPr>
      <w:r>
        <w:rPr>
          <w:rFonts w:ascii="Arial" w:hAnsi="Arial" w:cs="Arial"/>
          <w:sz w:val="24"/>
        </w:rPr>
        <w:t>15.2.1投标文件应装订成册并封装，建议在密封袋上标注项目名称、项目编号、</w:t>
      </w:r>
      <w:r>
        <w:rPr>
          <w:rFonts w:hint="eastAsia" w:ascii="Arial" w:hAnsi="Arial" w:cs="Arial"/>
          <w:sz w:val="24"/>
        </w:rPr>
        <w:t>投标人</w:t>
      </w:r>
      <w:r>
        <w:rPr>
          <w:rFonts w:ascii="Arial" w:hAnsi="Arial" w:cs="Arial"/>
          <w:sz w:val="24"/>
        </w:rPr>
        <w:t>名称及包别。</w:t>
      </w:r>
    </w:p>
    <w:p>
      <w:pPr>
        <w:spacing w:line="360" w:lineRule="auto"/>
        <w:ind w:firstLine="435"/>
        <w:rPr>
          <w:rFonts w:ascii="Arial" w:hAnsi="Arial" w:cs="Arial"/>
          <w:sz w:val="24"/>
        </w:rPr>
      </w:pPr>
      <w:r>
        <w:rPr>
          <w:rFonts w:ascii="Arial" w:hAnsi="Arial" w:cs="Arial"/>
          <w:sz w:val="24"/>
        </w:rPr>
        <w:t>15.2.2建议投标人将正本单独封装，全部副本一起封装。</w:t>
      </w:r>
    </w:p>
    <w:p>
      <w:pPr>
        <w:spacing w:line="360" w:lineRule="auto"/>
        <w:ind w:firstLine="435"/>
        <w:rPr>
          <w:rFonts w:ascii="Arial" w:hAnsi="Arial" w:cs="Arial"/>
          <w:sz w:val="24"/>
        </w:rPr>
      </w:pPr>
      <w:r>
        <w:rPr>
          <w:rFonts w:ascii="Arial" w:hAnsi="Arial" w:cs="Arial"/>
          <w:sz w:val="24"/>
        </w:rPr>
        <w:t>15.2.3如果未按规定封装或加写标记，采购代理机构将不承担投标文件错放或提前开封的责任，并可能导致投标无效。</w:t>
      </w:r>
    </w:p>
    <w:p>
      <w:pPr>
        <w:spacing w:line="360" w:lineRule="auto"/>
        <w:ind w:firstLine="435"/>
        <w:rPr>
          <w:rFonts w:ascii="Arial" w:hAnsi="Arial" w:cs="Arial"/>
          <w:sz w:val="24"/>
        </w:rPr>
      </w:pPr>
      <w:r>
        <w:rPr>
          <w:rFonts w:ascii="Arial" w:hAnsi="Arial" w:cs="Arial"/>
          <w:sz w:val="24"/>
        </w:rPr>
        <w:t>15.3开标现场提交的其他材料要求详见</w:t>
      </w:r>
      <w:r>
        <w:rPr>
          <w:rFonts w:ascii="Arial" w:hAnsi="Arial" w:cs="Arial"/>
          <w:sz w:val="24"/>
          <w:u w:val="single"/>
        </w:rPr>
        <w:t>投标人须知前附表</w:t>
      </w:r>
      <w:r>
        <w:rPr>
          <w:rFonts w:ascii="Arial" w:hAnsi="Arial" w:cs="Arial"/>
          <w:sz w:val="24"/>
        </w:rPr>
        <w:t>。</w:t>
      </w:r>
    </w:p>
    <w:p>
      <w:pPr>
        <w:spacing w:line="360" w:lineRule="auto"/>
        <w:ind w:firstLine="437"/>
        <w:outlineLvl w:val="3"/>
        <w:rPr>
          <w:rFonts w:ascii="Arial" w:hAnsi="Arial" w:cs="Arial"/>
          <w:b/>
          <w:sz w:val="24"/>
        </w:rPr>
      </w:pPr>
      <w:r>
        <w:rPr>
          <w:rFonts w:hint="eastAsia" w:ascii="Arial" w:hAnsi="Arial" w:cs="Arial"/>
          <w:b/>
          <w:sz w:val="24"/>
        </w:rPr>
        <w:t>16</w:t>
      </w:r>
      <w:r>
        <w:rPr>
          <w:rFonts w:ascii="Arial" w:hAnsi="Arial" w:cs="Arial"/>
          <w:b/>
          <w:sz w:val="24"/>
        </w:rPr>
        <w:t>.</w:t>
      </w:r>
      <w:r>
        <w:rPr>
          <w:rFonts w:hint="eastAsia" w:ascii="Arial" w:hAnsi="Arial" w:cs="Arial"/>
          <w:b/>
          <w:sz w:val="24"/>
        </w:rPr>
        <w:t>投标截止及投标文件的递交</w:t>
      </w:r>
    </w:p>
    <w:p>
      <w:pPr>
        <w:spacing w:line="360" w:lineRule="auto"/>
        <w:ind w:firstLine="437"/>
        <w:outlineLvl w:val="3"/>
        <w:rPr>
          <w:rFonts w:ascii="Arial" w:hAnsi="Arial" w:cs="Arial"/>
          <w:bCs/>
          <w:sz w:val="24"/>
        </w:rPr>
      </w:pPr>
      <w:r>
        <w:rPr>
          <w:rFonts w:hint="eastAsia" w:ascii="Arial" w:hAnsi="Arial" w:cs="Arial"/>
          <w:bCs/>
          <w:sz w:val="24"/>
        </w:rPr>
        <w:t>16</w:t>
      </w:r>
      <w:r>
        <w:rPr>
          <w:rFonts w:ascii="Arial" w:hAnsi="Arial" w:cs="Arial"/>
          <w:bCs/>
          <w:sz w:val="24"/>
        </w:rPr>
        <w:t>.1投标人应当在</w:t>
      </w:r>
      <w:r>
        <w:rPr>
          <w:rFonts w:hint="eastAsia" w:ascii="宋体" w:hAnsi="宋体"/>
          <w:sz w:val="24"/>
        </w:rPr>
        <w:t>“投标邀请”</w:t>
      </w:r>
      <w:r>
        <w:rPr>
          <w:rFonts w:ascii="Arial" w:hAnsi="Arial" w:cs="Arial"/>
          <w:bCs/>
          <w:sz w:val="24"/>
        </w:rPr>
        <w:t>规定的投标截止时间前，将投标文件密封送达</w:t>
      </w:r>
      <w:r>
        <w:rPr>
          <w:rFonts w:ascii="Arial" w:hAnsi="Arial" w:cs="Arial"/>
          <w:sz w:val="24"/>
          <w:u w:val="single"/>
        </w:rPr>
        <w:t>投标人须知前附表</w:t>
      </w:r>
      <w:r>
        <w:rPr>
          <w:rFonts w:ascii="Arial" w:hAnsi="Arial" w:cs="Arial"/>
          <w:bCs/>
          <w:sz w:val="24"/>
        </w:rPr>
        <w:t>指定的开标地点。</w:t>
      </w:r>
    </w:p>
    <w:p>
      <w:pPr>
        <w:spacing w:line="360" w:lineRule="auto"/>
        <w:ind w:firstLine="437"/>
        <w:outlineLvl w:val="3"/>
        <w:rPr>
          <w:rFonts w:ascii="Arial" w:hAnsi="Arial" w:cs="Arial"/>
          <w:bCs/>
          <w:sz w:val="24"/>
        </w:rPr>
      </w:pPr>
      <w:r>
        <w:rPr>
          <w:rFonts w:hint="eastAsia" w:ascii="Arial" w:hAnsi="Arial" w:cs="Arial"/>
          <w:bCs/>
          <w:sz w:val="24"/>
        </w:rPr>
        <w:t>16</w:t>
      </w:r>
      <w:r>
        <w:rPr>
          <w:rFonts w:ascii="Arial" w:hAnsi="Arial" w:cs="Arial"/>
          <w:bCs/>
          <w:sz w:val="24"/>
        </w:rPr>
        <w:t>.2在投标截止时间之后送达的投标文件将被拒绝。</w:t>
      </w:r>
    </w:p>
    <w:p>
      <w:pPr>
        <w:spacing w:line="360" w:lineRule="auto"/>
        <w:ind w:firstLine="435"/>
        <w:rPr>
          <w:rFonts w:ascii="Arial" w:hAnsi="Arial" w:cs="Arial"/>
          <w:sz w:val="24"/>
        </w:rPr>
      </w:pPr>
      <w:r>
        <w:rPr>
          <w:rFonts w:ascii="Arial" w:hAnsi="Arial" w:cs="Arial"/>
          <w:sz w:val="24"/>
        </w:rPr>
        <w:t>16.3采购人和采购代理机构有权按本招标文件的规定，延迟投标截止时间。在此情况下，采购人、采购代理机构和投标人受投标截止时间制约的所有权利和义务均应延长至新的截止时间。</w:t>
      </w:r>
    </w:p>
    <w:p>
      <w:pPr>
        <w:spacing w:line="360" w:lineRule="auto"/>
        <w:ind w:firstLine="437"/>
        <w:outlineLvl w:val="3"/>
        <w:rPr>
          <w:rFonts w:ascii="Arial" w:hAnsi="Arial" w:cs="Arial"/>
          <w:b/>
          <w:sz w:val="24"/>
        </w:rPr>
      </w:pPr>
      <w:r>
        <w:rPr>
          <w:rFonts w:ascii="Arial" w:hAnsi="Arial" w:cs="Arial"/>
          <w:b/>
          <w:sz w:val="24"/>
        </w:rPr>
        <w:t>17.投标文件的修改</w:t>
      </w:r>
      <w:r>
        <w:rPr>
          <w:rFonts w:hint="eastAsia" w:ascii="Arial" w:hAnsi="Arial" w:cs="Arial"/>
          <w:b/>
          <w:sz w:val="24"/>
        </w:rPr>
        <w:t>、补充</w:t>
      </w:r>
      <w:r>
        <w:rPr>
          <w:rFonts w:ascii="Arial" w:hAnsi="Arial" w:cs="Arial"/>
          <w:b/>
          <w:sz w:val="24"/>
        </w:rPr>
        <w:t>与撤回</w:t>
      </w:r>
    </w:p>
    <w:p>
      <w:pPr>
        <w:spacing w:line="360" w:lineRule="auto"/>
        <w:ind w:firstLine="435"/>
        <w:rPr>
          <w:rFonts w:ascii="Arial" w:hAnsi="Arial" w:cs="Arial"/>
          <w:sz w:val="24"/>
        </w:rPr>
      </w:pPr>
      <w:r>
        <w:rPr>
          <w:rFonts w:ascii="Arial" w:hAnsi="Arial" w:cs="Arial"/>
          <w:sz w:val="24"/>
        </w:rPr>
        <w:t>17.1投标人在投标截止时间前，可以对所递交的投标文件进行补充、修改或者撤回，并书面通知采购代理机构。</w:t>
      </w:r>
    </w:p>
    <w:p>
      <w:pPr>
        <w:spacing w:line="360" w:lineRule="auto"/>
        <w:ind w:firstLine="435"/>
        <w:rPr>
          <w:rFonts w:ascii="Arial" w:hAnsi="Arial" w:cs="Arial"/>
          <w:sz w:val="24"/>
        </w:rPr>
      </w:pPr>
      <w:r>
        <w:rPr>
          <w:rFonts w:ascii="Arial" w:hAnsi="Arial" w:cs="Arial"/>
          <w:sz w:val="24"/>
        </w:rPr>
        <w:t>17.2补充、修改的内容应当按照招标文件要求签署、盖章、密封后，作为投标文件的组成部分。</w:t>
      </w:r>
    </w:p>
    <w:p>
      <w:pPr>
        <w:spacing w:line="360" w:lineRule="auto"/>
        <w:ind w:firstLine="437"/>
        <w:outlineLvl w:val="3"/>
        <w:rPr>
          <w:rFonts w:ascii="Arial" w:hAnsi="Arial" w:cs="Arial"/>
          <w:b/>
          <w:sz w:val="24"/>
        </w:rPr>
      </w:pPr>
      <w:r>
        <w:rPr>
          <w:rFonts w:ascii="Arial" w:hAnsi="Arial" w:cs="Arial"/>
          <w:b/>
          <w:sz w:val="24"/>
        </w:rPr>
        <w:t>18.开标</w:t>
      </w:r>
    </w:p>
    <w:p>
      <w:pPr>
        <w:spacing w:line="360" w:lineRule="auto"/>
        <w:ind w:firstLine="435"/>
        <w:rPr>
          <w:rFonts w:ascii="Arial" w:hAnsi="Arial" w:cs="Arial"/>
          <w:sz w:val="24"/>
        </w:rPr>
      </w:pPr>
      <w:r>
        <w:rPr>
          <w:rFonts w:ascii="Arial" w:hAnsi="Arial" w:cs="Arial"/>
          <w:sz w:val="24"/>
        </w:rPr>
        <w:t>18.1开标将在</w:t>
      </w:r>
      <w:r>
        <w:rPr>
          <w:rFonts w:hint="eastAsia" w:ascii="宋体" w:hAnsi="宋体"/>
          <w:sz w:val="24"/>
          <w:u w:val="single"/>
        </w:rPr>
        <w:t>投标人须知前附表</w:t>
      </w:r>
      <w:r>
        <w:rPr>
          <w:rFonts w:ascii="Arial" w:hAnsi="Arial" w:cs="Arial"/>
          <w:sz w:val="24"/>
        </w:rPr>
        <w:t>规定的时间和地点进行。</w:t>
      </w:r>
    </w:p>
    <w:p>
      <w:pPr>
        <w:spacing w:line="360" w:lineRule="auto"/>
        <w:ind w:firstLine="435"/>
        <w:rPr>
          <w:rFonts w:ascii="Arial" w:hAnsi="Arial" w:cs="Arial"/>
          <w:sz w:val="24"/>
        </w:rPr>
      </w:pPr>
      <w:r>
        <w:rPr>
          <w:rFonts w:ascii="Arial" w:hAnsi="Arial" w:cs="Arial"/>
          <w:sz w:val="24"/>
        </w:rPr>
        <w:t>18.2开标时，投标人或者其推选的代表应检查投标文件的密封情况，经确认无误后，由采购人或采购代理机构工作人员当</w:t>
      </w:r>
      <w:r>
        <w:rPr>
          <w:rFonts w:hint="eastAsia" w:ascii="Arial" w:hAnsi="Arial" w:cs="Arial"/>
          <w:sz w:val="24"/>
        </w:rPr>
        <w:t>众</w:t>
      </w:r>
      <w:r>
        <w:rPr>
          <w:rFonts w:ascii="Arial" w:hAnsi="Arial" w:cs="Arial"/>
          <w:sz w:val="24"/>
        </w:rPr>
        <w:t>拆封，宣布投标名称、投标价格、书面修改和撤回投标的通知，以及招标文件规定的需要宣布的其他内容。只有在开标时唱出的优惠，评标时才予以考虑。</w:t>
      </w:r>
    </w:p>
    <w:p>
      <w:pPr>
        <w:spacing w:line="360" w:lineRule="auto"/>
        <w:ind w:firstLine="435"/>
        <w:rPr>
          <w:rFonts w:ascii="Arial" w:hAnsi="Arial" w:cs="Arial"/>
          <w:sz w:val="24"/>
        </w:rPr>
      </w:pPr>
      <w:r>
        <w:rPr>
          <w:rFonts w:ascii="Arial" w:hAnsi="Arial" w:cs="Arial"/>
          <w:sz w:val="24"/>
        </w:rPr>
        <w:t>18.3开标过程由采购人或者采购代理机构负责记录，并由参加开标的各投标人代表和相关工作人员签字确认。</w:t>
      </w:r>
    </w:p>
    <w:p>
      <w:pPr>
        <w:spacing w:line="360" w:lineRule="auto"/>
        <w:ind w:firstLine="435"/>
        <w:rPr>
          <w:rFonts w:ascii="Arial" w:hAnsi="Arial" w:cs="Arial"/>
          <w:sz w:val="24"/>
        </w:rPr>
      </w:pPr>
      <w:r>
        <w:rPr>
          <w:rFonts w:ascii="Arial" w:hAnsi="Arial" w:cs="Arial"/>
          <w:sz w:val="24"/>
        </w:rPr>
        <w:t>18.4投标人代表对开标过程和开标记录有疑义，以及认为采购人、采购代理机构相关工作人员有需要回避的情形的，应当场提出询问或者回避申请。</w:t>
      </w:r>
    </w:p>
    <w:p>
      <w:pPr>
        <w:spacing w:line="360" w:lineRule="auto"/>
        <w:ind w:firstLine="435"/>
        <w:rPr>
          <w:rFonts w:ascii="Arial" w:hAnsi="Arial" w:cs="Arial"/>
          <w:sz w:val="28"/>
        </w:rPr>
      </w:pPr>
      <w:r>
        <w:rPr>
          <w:rFonts w:ascii="Arial" w:hAnsi="Arial" w:cs="Arial"/>
          <w:sz w:val="24"/>
        </w:rPr>
        <w:t>18.5投标人应参加开标，投标人未参加开标的，视同认可开标结果。</w:t>
      </w:r>
    </w:p>
    <w:p>
      <w:pPr>
        <w:spacing w:line="360" w:lineRule="auto"/>
        <w:ind w:firstLine="437"/>
        <w:outlineLvl w:val="3"/>
        <w:rPr>
          <w:rFonts w:ascii="Arial" w:hAnsi="Arial" w:cs="Arial"/>
          <w:b/>
          <w:sz w:val="24"/>
        </w:rPr>
      </w:pPr>
      <w:r>
        <w:rPr>
          <w:rFonts w:ascii="Arial" w:hAnsi="Arial" w:cs="Arial"/>
          <w:b/>
          <w:sz w:val="24"/>
        </w:rPr>
        <w:t>19.资格审查及组建评标委员会</w:t>
      </w:r>
    </w:p>
    <w:p>
      <w:pPr>
        <w:spacing w:line="360" w:lineRule="auto"/>
        <w:ind w:firstLine="435"/>
        <w:rPr>
          <w:rFonts w:ascii="Arial" w:hAnsi="Arial" w:cs="Arial"/>
          <w:sz w:val="24"/>
        </w:rPr>
      </w:pPr>
      <w:r>
        <w:rPr>
          <w:rFonts w:ascii="Arial" w:hAnsi="Arial" w:cs="Arial"/>
          <w:sz w:val="24"/>
        </w:rPr>
        <w:t>19.1采购人或采购代理机构依据法律法规和招标文件中规定的内容，对投标人资格进行审查，未通过资格审查的投标人不进入评标。</w:t>
      </w:r>
    </w:p>
    <w:p>
      <w:pPr>
        <w:spacing w:line="360" w:lineRule="auto"/>
        <w:ind w:firstLine="435"/>
        <w:rPr>
          <w:rFonts w:ascii="Arial" w:hAnsi="Arial" w:cs="Arial"/>
          <w:sz w:val="24"/>
        </w:rPr>
      </w:pPr>
      <w:r>
        <w:rPr>
          <w:rFonts w:ascii="Arial" w:hAnsi="Arial" w:cs="Arial"/>
          <w:sz w:val="24"/>
        </w:rPr>
        <w:t>19.2采购人或采购代理机构将在投标截止时间后至</w:t>
      </w:r>
      <w:bookmarkStart w:id="16" w:name="_Hlk11535240"/>
      <w:r>
        <w:rPr>
          <w:rFonts w:ascii="Arial" w:hAnsi="Arial" w:cs="Arial"/>
          <w:sz w:val="24"/>
        </w:rPr>
        <w:t>评审结束</w:t>
      </w:r>
      <w:bookmarkEnd w:id="16"/>
      <w:r>
        <w:rPr>
          <w:rFonts w:ascii="Arial" w:hAnsi="Arial" w:cs="Arial"/>
          <w:sz w:val="24"/>
        </w:rPr>
        <w:t>前查询投标人的信用记录。投标人存在不良信用记录的，其投标将被认定为</w:t>
      </w:r>
      <w:r>
        <w:rPr>
          <w:rFonts w:ascii="Arial" w:hAnsi="Arial" w:cs="Arial"/>
          <w:b/>
          <w:sz w:val="24"/>
        </w:rPr>
        <w:t>投标无效</w:t>
      </w:r>
      <w:r>
        <w:rPr>
          <w:rFonts w:ascii="Arial" w:hAnsi="Arial" w:cs="Arial"/>
          <w:sz w:val="24"/>
        </w:rPr>
        <w:t>。</w:t>
      </w:r>
    </w:p>
    <w:p>
      <w:pPr>
        <w:spacing w:line="360" w:lineRule="auto"/>
        <w:ind w:firstLine="435"/>
        <w:rPr>
          <w:rFonts w:ascii="宋体" w:hAnsi="宋体"/>
          <w:sz w:val="24"/>
          <w:szCs w:val="18"/>
        </w:rPr>
      </w:pPr>
      <w:r>
        <w:rPr>
          <w:rFonts w:ascii="Arial" w:hAnsi="Arial" w:cs="Arial"/>
          <w:sz w:val="24"/>
        </w:rPr>
        <w:t>19.2.1不良信用记录是指：</w:t>
      </w:r>
      <w:bookmarkStart w:id="17" w:name="_Hlk24663244"/>
      <w:r>
        <w:rPr>
          <w:rFonts w:hint="eastAsia" w:ascii="宋体" w:hAnsi="宋体"/>
          <w:sz w:val="24"/>
          <w:szCs w:val="18"/>
        </w:rPr>
        <w:t>（1）供应商被人民法院列入失信被执行人；（3）供应商被税务部门列入重大税收违法案件当事人名单；（3）供应商被政府采购监管部门列入政府采购严重违法失信行为记录名单。</w:t>
      </w:r>
    </w:p>
    <w:p>
      <w:pPr>
        <w:spacing w:line="360" w:lineRule="auto"/>
        <w:ind w:firstLine="435"/>
        <w:rPr>
          <w:rFonts w:ascii="宋体" w:hAnsi="宋体"/>
          <w:sz w:val="24"/>
        </w:rPr>
      </w:pPr>
      <w:r>
        <w:rPr>
          <w:rFonts w:hint="eastAsia" w:ascii="宋体" w:hAnsi="宋体"/>
          <w:sz w:val="24"/>
        </w:rPr>
        <w:t>以联合体形式参加投标的，联合体任何成员存在以上不良信用记录的，联合体投标将被认定为</w:t>
      </w:r>
      <w:r>
        <w:rPr>
          <w:rFonts w:hint="eastAsia" w:ascii="宋体" w:hAnsi="宋体"/>
          <w:b/>
          <w:sz w:val="24"/>
        </w:rPr>
        <w:t>投标无效</w:t>
      </w:r>
      <w:r>
        <w:rPr>
          <w:rFonts w:hint="eastAsia" w:ascii="宋体" w:hAnsi="宋体"/>
          <w:sz w:val="24"/>
        </w:rPr>
        <w:t>。</w:t>
      </w:r>
    </w:p>
    <w:p>
      <w:pPr>
        <w:spacing w:line="360" w:lineRule="auto"/>
        <w:ind w:firstLine="435"/>
        <w:rPr>
          <w:rFonts w:ascii="宋体" w:hAnsi="宋体"/>
          <w:sz w:val="24"/>
        </w:rPr>
      </w:pPr>
      <w:r>
        <w:rPr>
          <w:rFonts w:ascii="宋体" w:hAnsi="宋体"/>
          <w:sz w:val="24"/>
        </w:rPr>
        <w:t>19.2</w:t>
      </w:r>
      <w:r>
        <w:rPr>
          <w:rFonts w:hint="eastAsia" w:ascii="宋体" w:hAnsi="宋体"/>
          <w:sz w:val="24"/>
        </w:rPr>
        <w:t>.2</w:t>
      </w:r>
      <w:r>
        <w:rPr>
          <w:rFonts w:hint="eastAsia" w:ascii="Arial" w:hAnsi="Arial" w:cs="Arial"/>
          <w:sz w:val="24"/>
        </w:rPr>
        <w:t>信用信息查询渠道：中国执行信息公开网</w:t>
      </w:r>
      <w:r>
        <w:rPr>
          <w:rFonts w:hint="eastAsia" w:ascii="宋体" w:hAnsi="宋体"/>
          <w:sz w:val="24"/>
        </w:rPr>
        <w:t>（http://zxgk.court.gov.cn/shixin/）、“信用中国”网站（www.creditchina.gov.cn）、中国政府采购网（www.ccgp.gov.cn）。</w:t>
      </w:r>
    </w:p>
    <w:p>
      <w:pPr>
        <w:spacing w:line="360" w:lineRule="auto"/>
        <w:ind w:firstLine="435"/>
        <w:rPr>
          <w:rFonts w:ascii="Arial" w:hAnsi="Arial" w:cs="Arial"/>
          <w:sz w:val="24"/>
        </w:rPr>
      </w:pPr>
      <w:r>
        <w:rPr>
          <w:rFonts w:ascii="Arial" w:hAnsi="Arial" w:cs="Arial"/>
          <w:sz w:val="24"/>
        </w:rPr>
        <w:t>19.2.3信用信息记录方式：采购人或采购代理机构工作人员将查询网页打印、签字并存档备查。投标人不良信用记录以采购人或采购代理机构查询结果为准。</w:t>
      </w:r>
    </w:p>
    <w:p>
      <w:pPr>
        <w:spacing w:line="360" w:lineRule="auto"/>
        <w:ind w:firstLine="435"/>
        <w:rPr>
          <w:rFonts w:ascii="Arial" w:hAnsi="Arial" w:cs="Arial"/>
          <w:sz w:val="24"/>
        </w:rPr>
      </w:pPr>
      <w:bookmarkStart w:id="18" w:name="_Hlk24663338"/>
      <w:r>
        <w:rPr>
          <w:rFonts w:ascii="Arial" w:hAnsi="Arial" w:cs="Arial"/>
          <w:sz w:val="24"/>
        </w:rPr>
        <w:t>在本招标文件规定的查询时间之外，网站信息发生的任何变更均不作为资格审查依据。</w:t>
      </w:r>
    </w:p>
    <w:bookmarkEnd w:id="18"/>
    <w:p>
      <w:pPr>
        <w:spacing w:line="360" w:lineRule="auto"/>
        <w:ind w:firstLine="435"/>
        <w:rPr>
          <w:rFonts w:ascii="Arial" w:hAnsi="Arial" w:cs="Arial"/>
          <w:sz w:val="24"/>
        </w:rPr>
      </w:pPr>
      <w:r>
        <w:rPr>
          <w:rFonts w:ascii="Arial" w:hAnsi="Arial" w:cs="Arial"/>
          <w:sz w:val="24"/>
        </w:rPr>
        <w:t>投标人自行提供的与网站信息不一致的其他证明材料亦不作为资格审查依据。</w:t>
      </w:r>
    </w:p>
    <w:bookmarkEnd w:id="17"/>
    <w:p>
      <w:pPr>
        <w:spacing w:line="360" w:lineRule="auto"/>
        <w:ind w:firstLine="435"/>
        <w:rPr>
          <w:rFonts w:ascii="Arial" w:hAnsi="Arial" w:cs="Arial"/>
          <w:b/>
          <w:sz w:val="24"/>
        </w:rPr>
      </w:pPr>
      <w:r>
        <w:rPr>
          <w:rFonts w:ascii="Arial" w:hAnsi="Arial" w:cs="Arial"/>
          <w:sz w:val="24"/>
        </w:rPr>
        <w:t>19.3按照《中华人民共和国政府采购法》、《中华人民共和国政府采购法实施条例》及本项目本级和上级财政部门、政府采购监督管理部门的有关规定依法组建的评标委员会，负责本项目评标工作。</w:t>
      </w:r>
    </w:p>
    <w:p>
      <w:pPr>
        <w:spacing w:line="360" w:lineRule="auto"/>
        <w:ind w:firstLine="437"/>
        <w:outlineLvl w:val="3"/>
        <w:rPr>
          <w:rFonts w:ascii="Arial" w:hAnsi="Arial" w:cs="Arial"/>
          <w:b/>
          <w:sz w:val="24"/>
        </w:rPr>
      </w:pPr>
      <w:r>
        <w:rPr>
          <w:rFonts w:ascii="Arial" w:hAnsi="Arial" w:cs="Arial"/>
          <w:b/>
          <w:sz w:val="24"/>
        </w:rPr>
        <w:t>20.投标文件符合性审查与澄清</w:t>
      </w:r>
    </w:p>
    <w:p>
      <w:pPr>
        <w:spacing w:line="360" w:lineRule="auto"/>
        <w:ind w:firstLine="435"/>
        <w:rPr>
          <w:rFonts w:ascii="Arial" w:hAnsi="Arial" w:cs="Arial"/>
          <w:sz w:val="24"/>
        </w:rPr>
      </w:pPr>
      <w:r>
        <w:rPr>
          <w:rFonts w:ascii="Arial" w:hAnsi="Arial" w:cs="Arial"/>
          <w:sz w:val="24"/>
        </w:rPr>
        <w:t>20.1符合性审查是指依据招标文件的规定，从投标文件的有效性和完整性对招标文件的响应程度进行审查，以确定是否对招标文件的实质性要求做出响应。</w:t>
      </w:r>
    </w:p>
    <w:p>
      <w:pPr>
        <w:spacing w:line="360" w:lineRule="auto"/>
        <w:ind w:firstLine="435"/>
        <w:rPr>
          <w:rFonts w:ascii="Arial" w:hAnsi="Arial" w:cs="Arial"/>
          <w:sz w:val="24"/>
        </w:rPr>
      </w:pPr>
      <w:r>
        <w:rPr>
          <w:rFonts w:ascii="Arial" w:hAnsi="Arial" w:cs="Arial"/>
          <w:sz w:val="24"/>
        </w:rPr>
        <w:t>20.2如一个分包内只有一种产品，不同投标人所投产品为同一品牌的，按如下方式处理：</w:t>
      </w:r>
    </w:p>
    <w:p>
      <w:pPr>
        <w:spacing w:line="360" w:lineRule="auto"/>
        <w:ind w:firstLine="435"/>
        <w:rPr>
          <w:rFonts w:ascii="Arial" w:hAnsi="Arial" w:cs="Arial"/>
          <w:sz w:val="24"/>
        </w:rPr>
      </w:pPr>
      <w:r>
        <w:rPr>
          <w:rFonts w:ascii="Arial" w:hAnsi="Arial" w:cs="Arial"/>
          <w:sz w:val="24"/>
        </w:rPr>
        <w:t>20.2.1如本项目使用最低评标价法，提供相同品牌产品的不同投标人以其中通过资格审查、符合性审查且报价最低的参加评标；报价相同的，由采购人或者采购人委托评标委员会按照招标文件中评标方法和标准规定的方式确定一个参加评标的投标人；未规定的采取随机抽取方式确定，其他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sz w:val="24"/>
        </w:rPr>
      </w:pPr>
      <w:r>
        <w:rPr>
          <w:rFonts w:ascii="Arial" w:hAnsi="Arial" w:cs="Arial"/>
          <w:sz w:val="24"/>
        </w:rPr>
        <w:t>20.2.2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方法和标准规定的方式确定一个投标人获得中标人推荐资格；未规定的采取随机抽取方式确定，其他同品牌投标人不作为中标候选人。</w:t>
      </w:r>
    </w:p>
    <w:p>
      <w:pPr>
        <w:spacing w:line="360" w:lineRule="auto"/>
        <w:ind w:firstLine="435"/>
        <w:rPr>
          <w:rFonts w:ascii="Arial" w:hAnsi="Arial" w:cs="Arial"/>
          <w:sz w:val="24"/>
        </w:rPr>
      </w:pPr>
      <w:r>
        <w:rPr>
          <w:rFonts w:ascii="Arial" w:hAnsi="Arial" w:cs="Arial"/>
          <w:sz w:val="24"/>
        </w:rPr>
        <w:t>20.3如一个分包内包含多种产品的，采购人或采购代理机构将在投标人须知前附表中载明核心产品</w:t>
      </w:r>
      <w:r>
        <w:rPr>
          <w:rFonts w:hint="eastAsia" w:ascii="Arial" w:hAnsi="Arial" w:cs="Arial"/>
          <w:sz w:val="24"/>
        </w:rPr>
        <w:t>。核心产品超过一种产品的，核心产品中只要有一种产品为相同品牌，即认定为核心产品为相同品牌。</w:t>
      </w:r>
      <w:r>
        <w:rPr>
          <w:rFonts w:ascii="Arial" w:hAnsi="Arial" w:cs="Arial"/>
          <w:sz w:val="24"/>
        </w:rPr>
        <w:t>多家投标人提供的核心产品品牌相同的，按第20.2款规定处理。</w:t>
      </w:r>
    </w:p>
    <w:p>
      <w:pPr>
        <w:spacing w:line="360" w:lineRule="auto"/>
        <w:ind w:firstLine="435"/>
        <w:rPr>
          <w:rFonts w:ascii="Arial" w:hAnsi="Arial" w:cs="Arial"/>
          <w:sz w:val="24"/>
        </w:rPr>
      </w:pPr>
      <w:r>
        <w:rPr>
          <w:rFonts w:ascii="Arial" w:hAnsi="Arial" w:cs="Arial"/>
          <w:sz w:val="24"/>
        </w:rPr>
        <w:t>20.4投标文件的澄清</w:t>
      </w:r>
    </w:p>
    <w:p>
      <w:pPr>
        <w:spacing w:line="360" w:lineRule="auto"/>
        <w:ind w:firstLine="435"/>
        <w:rPr>
          <w:rFonts w:ascii="Arial" w:hAnsi="Arial" w:cs="Arial"/>
          <w:sz w:val="24"/>
        </w:rPr>
      </w:pPr>
      <w:r>
        <w:rPr>
          <w:rFonts w:ascii="Arial" w:hAnsi="Arial" w:cs="Arial"/>
          <w:sz w:val="24"/>
        </w:rPr>
        <w:t>20.4.1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firstLine="435"/>
        <w:rPr>
          <w:rFonts w:ascii="Arial" w:hAnsi="Arial" w:cs="Arial"/>
          <w:sz w:val="24"/>
        </w:rPr>
      </w:pPr>
      <w:r>
        <w:rPr>
          <w:rFonts w:ascii="Arial" w:hAnsi="Arial" w:cs="Arial"/>
          <w:sz w:val="24"/>
        </w:rPr>
        <w:t>如有询标，授权代表（或法定代表人）携带本人有效身份证明原件参加询标。因授权代表联系不上、未到</w:t>
      </w:r>
      <w:r>
        <w:rPr>
          <w:rFonts w:hint="eastAsia" w:ascii="Arial" w:hAnsi="Arial" w:cs="Arial"/>
          <w:sz w:val="24"/>
        </w:rPr>
        <w:t>开标</w:t>
      </w:r>
      <w:r>
        <w:rPr>
          <w:rFonts w:ascii="Arial" w:hAnsi="Arial" w:cs="Arial"/>
          <w:sz w:val="24"/>
        </w:rPr>
        <w:t>现场等情形而无法接受</w:t>
      </w:r>
      <w:r>
        <w:rPr>
          <w:rFonts w:hint="eastAsia" w:ascii="Arial" w:hAnsi="Arial" w:cs="Arial"/>
          <w:sz w:val="24"/>
        </w:rPr>
        <w:t>评审委员会</w:t>
      </w:r>
      <w:r>
        <w:rPr>
          <w:rFonts w:ascii="Arial" w:hAnsi="Arial" w:cs="Arial"/>
          <w:sz w:val="24"/>
        </w:rPr>
        <w:t>询标的，</w:t>
      </w:r>
      <w:r>
        <w:rPr>
          <w:rFonts w:hint="eastAsia" w:ascii="Arial" w:hAnsi="Arial" w:cs="Arial"/>
          <w:sz w:val="24"/>
        </w:rPr>
        <w:t>投标人</w:t>
      </w:r>
      <w:r>
        <w:rPr>
          <w:rFonts w:ascii="Arial" w:hAnsi="Arial" w:cs="Arial"/>
          <w:sz w:val="24"/>
        </w:rPr>
        <w:t>自行承担相关风险。</w:t>
      </w:r>
    </w:p>
    <w:p>
      <w:pPr>
        <w:spacing w:line="360" w:lineRule="auto"/>
        <w:ind w:firstLine="435"/>
        <w:rPr>
          <w:rFonts w:ascii="Arial" w:hAnsi="Arial" w:cs="Arial"/>
          <w:sz w:val="24"/>
        </w:rPr>
      </w:pPr>
      <w:r>
        <w:rPr>
          <w:rFonts w:ascii="Arial" w:hAnsi="Arial" w:cs="Arial"/>
          <w:sz w:val="24"/>
        </w:rPr>
        <w:t>20.4.2投标人的澄清、说明或补正将作为投标文件的一部分。</w:t>
      </w:r>
    </w:p>
    <w:p>
      <w:pPr>
        <w:spacing w:line="360" w:lineRule="auto"/>
        <w:ind w:firstLine="435"/>
        <w:rPr>
          <w:rFonts w:ascii="Arial" w:hAnsi="Arial" w:cs="Arial"/>
          <w:sz w:val="24"/>
        </w:rPr>
      </w:pPr>
      <w:r>
        <w:rPr>
          <w:rFonts w:ascii="Arial" w:hAnsi="Arial" w:cs="Arial"/>
          <w:sz w:val="24"/>
        </w:rPr>
        <w:t>20.4.3评标委员会对投标人提交的澄清、说明或补正有疑问的，可以要求投标人进一步澄清、说明或补正，直至满足评标委员会的要求。</w:t>
      </w:r>
    </w:p>
    <w:p>
      <w:pPr>
        <w:spacing w:line="360" w:lineRule="auto"/>
        <w:ind w:firstLine="435"/>
        <w:rPr>
          <w:rFonts w:ascii="Arial" w:hAnsi="Arial" w:cs="Arial"/>
          <w:sz w:val="24"/>
        </w:rPr>
      </w:pPr>
      <w:r>
        <w:rPr>
          <w:rFonts w:ascii="Arial" w:hAnsi="Arial" w:cs="Arial"/>
          <w:sz w:val="24"/>
        </w:rPr>
        <w:t>20.5投标文件报价出现前后不一致的，按照下列规定修正：</w:t>
      </w:r>
    </w:p>
    <w:p>
      <w:pPr>
        <w:spacing w:line="360" w:lineRule="auto"/>
        <w:ind w:firstLine="435"/>
        <w:rPr>
          <w:rFonts w:ascii="Arial" w:hAnsi="Arial" w:cs="Arial"/>
          <w:sz w:val="24"/>
        </w:rPr>
      </w:pPr>
      <w:r>
        <w:rPr>
          <w:rFonts w:ascii="Arial" w:hAnsi="Arial" w:cs="Arial"/>
          <w:sz w:val="24"/>
        </w:rPr>
        <w:t>（1）投标文件中开标一览表内容与投标文件中相应内容不一致的，以开标一览表为准；</w:t>
      </w:r>
    </w:p>
    <w:p>
      <w:pPr>
        <w:spacing w:line="360" w:lineRule="auto"/>
        <w:ind w:firstLine="435"/>
        <w:rPr>
          <w:rFonts w:ascii="Arial" w:hAnsi="Arial" w:cs="Arial"/>
          <w:sz w:val="24"/>
        </w:rPr>
      </w:pPr>
      <w:r>
        <w:rPr>
          <w:rFonts w:ascii="Arial" w:hAnsi="Arial" w:cs="Arial"/>
          <w:sz w:val="24"/>
        </w:rPr>
        <w:t>（2）大写金额和小写金额不一致的，以大写金额为准；</w:t>
      </w:r>
    </w:p>
    <w:p>
      <w:pPr>
        <w:spacing w:line="360" w:lineRule="auto"/>
        <w:ind w:firstLine="435"/>
        <w:rPr>
          <w:rFonts w:ascii="Arial" w:hAnsi="Arial" w:cs="Arial"/>
          <w:sz w:val="24"/>
        </w:rPr>
      </w:pPr>
      <w:r>
        <w:rPr>
          <w:rFonts w:ascii="Arial" w:hAnsi="Arial" w:cs="Arial"/>
          <w:sz w:val="24"/>
        </w:rPr>
        <w:t>（3）单价金额小数点或者百分比有明显错位的，以开标一览表的总价为准，并修改单价；</w:t>
      </w:r>
    </w:p>
    <w:p>
      <w:pPr>
        <w:spacing w:line="360" w:lineRule="auto"/>
        <w:ind w:firstLine="435"/>
        <w:rPr>
          <w:rFonts w:ascii="Arial" w:hAnsi="Arial" w:cs="Arial"/>
          <w:sz w:val="24"/>
        </w:rPr>
      </w:pPr>
      <w:r>
        <w:rPr>
          <w:rFonts w:ascii="Arial" w:hAnsi="Arial" w:cs="Arial"/>
          <w:sz w:val="24"/>
        </w:rPr>
        <w:t>（4）总价金额与按单价汇总金额不一致的，以单价金额计算结果为准。</w:t>
      </w:r>
    </w:p>
    <w:p>
      <w:pPr>
        <w:spacing w:line="360" w:lineRule="auto"/>
        <w:ind w:firstLine="435"/>
        <w:rPr>
          <w:rFonts w:ascii="Arial" w:hAnsi="Arial" w:cs="Arial"/>
          <w:sz w:val="24"/>
        </w:rPr>
      </w:pPr>
      <w:r>
        <w:rPr>
          <w:rFonts w:ascii="Arial" w:hAnsi="Arial" w:cs="Arial"/>
          <w:sz w:val="24"/>
        </w:rPr>
        <w:t>同时出现两种以上不一致的，按照前款规定的顺序修正。修正后的报价按照第20.4条的规定经投标人确认后产生约束力，投标人不确认的，其投标将被认定为</w:t>
      </w:r>
      <w:r>
        <w:rPr>
          <w:rFonts w:ascii="Arial" w:hAnsi="Arial" w:cs="Arial"/>
          <w:b/>
          <w:sz w:val="24"/>
        </w:rPr>
        <w:t>投标无效</w:t>
      </w:r>
      <w:r>
        <w:rPr>
          <w:rFonts w:ascii="Arial" w:hAnsi="Arial" w:cs="Arial"/>
          <w:sz w:val="24"/>
        </w:rPr>
        <w:t>。</w:t>
      </w:r>
    </w:p>
    <w:p>
      <w:pPr>
        <w:spacing w:line="360" w:lineRule="auto"/>
        <w:ind w:firstLine="435"/>
        <w:rPr>
          <w:rFonts w:ascii="Arial" w:hAnsi="Arial" w:cs="Arial"/>
          <w:b/>
          <w:sz w:val="24"/>
        </w:rPr>
      </w:pPr>
      <w:r>
        <w:rPr>
          <w:rFonts w:ascii="Arial" w:hAnsi="Arial" w:cs="Arial"/>
          <w:sz w:val="24"/>
        </w:rPr>
        <w:t>对不同文字文本投标文件的解释发生异议的，以中文文本为准。</w:t>
      </w:r>
    </w:p>
    <w:p>
      <w:pPr>
        <w:spacing w:line="360" w:lineRule="auto"/>
        <w:ind w:firstLine="437"/>
        <w:outlineLvl w:val="3"/>
        <w:rPr>
          <w:rFonts w:ascii="Arial" w:hAnsi="Arial" w:cs="Arial"/>
          <w:b/>
          <w:sz w:val="24"/>
        </w:rPr>
      </w:pPr>
      <w:r>
        <w:rPr>
          <w:rFonts w:ascii="Arial" w:hAnsi="Arial" w:cs="Arial"/>
          <w:b/>
          <w:sz w:val="24"/>
        </w:rPr>
        <w:t>21.投标无效</w:t>
      </w:r>
    </w:p>
    <w:p>
      <w:pPr>
        <w:spacing w:line="360" w:lineRule="auto"/>
        <w:ind w:firstLine="435"/>
        <w:rPr>
          <w:rFonts w:ascii="Arial" w:hAnsi="Arial" w:cs="Arial"/>
          <w:sz w:val="24"/>
        </w:rPr>
      </w:pPr>
      <w:r>
        <w:rPr>
          <w:rFonts w:ascii="Arial" w:hAnsi="Arial" w:cs="Arial"/>
          <w:sz w:val="24"/>
        </w:rPr>
        <w:t>21.1根据本招标文件的规定，评标委员会要审查每份投标文件是否实质上响应了招标文件的要求。投标人不得通过修正或撤销不符合要求的偏离，从而使其投标成为实质上响应的投标。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ascii="Arial" w:hAnsi="Arial" w:cs="Arial"/>
          <w:sz w:val="24"/>
        </w:rPr>
      </w:pPr>
      <w:r>
        <w:rPr>
          <w:rFonts w:ascii="Arial" w:hAnsi="Arial" w:cs="Arial"/>
          <w:sz w:val="24"/>
        </w:rPr>
        <w:t>评标委员会决定投标的响应性只根据招标文件要求和投标文件内容。</w:t>
      </w:r>
    </w:p>
    <w:p>
      <w:pPr>
        <w:spacing w:line="360" w:lineRule="auto"/>
        <w:ind w:firstLine="435"/>
        <w:rPr>
          <w:rFonts w:ascii="Arial" w:hAnsi="Arial" w:cs="Arial"/>
          <w:sz w:val="24"/>
        </w:rPr>
      </w:pPr>
      <w:r>
        <w:rPr>
          <w:rFonts w:ascii="Arial" w:hAnsi="Arial" w:cs="Arial"/>
          <w:sz w:val="24"/>
        </w:rPr>
        <w:t>无论何种原因，即使投标人投标时携带了证书材料的原件，但投标文件中未提供与之内容完全一致的</w:t>
      </w:r>
      <w:r>
        <w:rPr>
          <w:rFonts w:hint="eastAsia" w:ascii="Arial" w:hAnsi="Arial" w:cs="Arial"/>
          <w:sz w:val="24"/>
        </w:rPr>
        <w:t>影印件或复印件</w:t>
      </w:r>
      <w:r>
        <w:rPr>
          <w:rFonts w:ascii="Arial" w:hAnsi="Arial" w:cs="Arial"/>
          <w:sz w:val="24"/>
        </w:rPr>
        <w:t>的，评标委员会视同其未提供。</w:t>
      </w:r>
    </w:p>
    <w:p>
      <w:pPr>
        <w:spacing w:line="360" w:lineRule="auto"/>
        <w:ind w:firstLine="435"/>
        <w:rPr>
          <w:rFonts w:ascii="Arial" w:hAnsi="Arial" w:cs="Arial"/>
          <w:sz w:val="24"/>
        </w:rPr>
      </w:pPr>
      <w:r>
        <w:rPr>
          <w:rFonts w:ascii="Arial" w:hAnsi="Arial" w:cs="Arial"/>
          <w:sz w:val="24"/>
        </w:rPr>
        <w:t>21.2如发现下列情况之一的，其投标将被认定为</w:t>
      </w:r>
      <w:r>
        <w:rPr>
          <w:rFonts w:ascii="Arial" w:hAnsi="Arial" w:cs="Arial"/>
          <w:b/>
          <w:sz w:val="24"/>
        </w:rPr>
        <w:t>投标无效</w:t>
      </w:r>
      <w:r>
        <w:rPr>
          <w:rFonts w:ascii="Arial" w:hAnsi="Arial" w:cs="Arial"/>
          <w:sz w:val="24"/>
        </w:rPr>
        <w:t>：</w:t>
      </w:r>
    </w:p>
    <w:p>
      <w:pPr>
        <w:spacing w:line="360" w:lineRule="auto"/>
        <w:ind w:firstLine="435"/>
        <w:rPr>
          <w:rFonts w:hint="eastAsia" w:ascii="宋体" w:hAnsi="宋体" w:cs="宋体"/>
          <w:sz w:val="24"/>
          <w:szCs w:val="24"/>
        </w:rPr>
      </w:pPr>
      <w:r>
        <w:rPr>
          <w:rFonts w:ascii="Arial" w:hAnsi="Arial" w:cs="Arial"/>
          <w:sz w:val="24"/>
        </w:rPr>
        <w:t>（1）</w:t>
      </w:r>
      <w:r>
        <w:rPr>
          <w:rFonts w:hint="eastAsia" w:ascii="宋体" w:hAnsi="宋体" w:cs="宋体"/>
          <w:sz w:val="24"/>
          <w:szCs w:val="24"/>
        </w:rPr>
        <w:t>未按招标文件的规定提交投标保证金的（本项目免收）；</w:t>
      </w:r>
    </w:p>
    <w:p>
      <w:pPr>
        <w:spacing w:line="360" w:lineRule="auto"/>
        <w:ind w:firstLine="435"/>
        <w:rPr>
          <w:rFonts w:ascii="Arial" w:hAnsi="Arial" w:cs="Arial"/>
          <w:sz w:val="24"/>
        </w:rPr>
      </w:pPr>
      <w:r>
        <w:rPr>
          <w:rFonts w:ascii="Arial" w:hAnsi="Arial" w:cs="Arial"/>
          <w:sz w:val="24"/>
        </w:rPr>
        <w:t>（2）投标文件未按照招标文件规定要求签署、盖章的；</w:t>
      </w:r>
    </w:p>
    <w:p>
      <w:pPr>
        <w:spacing w:line="360" w:lineRule="auto"/>
        <w:ind w:firstLine="435"/>
        <w:rPr>
          <w:rFonts w:ascii="Arial" w:hAnsi="Arial" w:cs="Arial"/>
          <w:sz w:val="24"/>
        </w:rPr>
      </w:pPr>
      <w:r>
        <w:rPr>
          <w:rFonts w:ascii="Arial" w:hAnsi="Arial" w:cs="Arial"/>
          <w:sz w:val="24"/>
        </w:rPr>
        <w:t>（3）不具备招标文件中规定的资格要求的；</w:t>
      </w:r>
    </w:p>
    <w:p>
      <w:pPr>
        <w:spacing w:line="360" w:lineRule="auto"/>
        <w:ind w:firstLine="435"/>
        <w:rPr>
          <w:rFonts w:ascii="Arial" w:hAnsi="Arial" w:cs="Arial"/>
          <w:sz w:val="24"/>
        </w:rPr>
      </w:pPr>
      <w:r>
        <w:rPr>
          <w:rFonts w:ascii="Arial" w:hAnsi="Arial" w:cs="Arial"/>
          <w:sz w:val="24"/>
        </w:rPr>
        <w:t>（4）报价超过招标文件中规定的预算金额或者最高限价的；</w:t>
      </w:r>
    </w:p>
    <w:p>
      <w:pPr>
        <w:spacing w:line="360" w:lineRule="auto"/>
        <w:ind w:firstLine="435"/>
        <w:rPr>
          <w:rFonts w:ascii="Arial" w:hAnsi="Arial" w:cs="Arial"/>
          <w:sz w:val="24"/>
        </w:rPr>
      </w:pPr>
      <w:r>
        <w:rPr>
          <w:rFonts w:hint="eastAsia" w:ascii="Arial" w:hAnsi="Arial" w:cs="Arial"/>
          <w:sz w:val="24"/>
        </w:rPr>
        <w:t>（5）投标文件不满足招标文件全部实质性要求的；</w:t>
      </w:r>
    </w:p>
    <w:p>
      <w:pPr>
        <w:spacing w:line="360" w:lineRule="auto"/>
        <w:ind w:firstLine="435"/>
        <w:rPr>
          <w:rFonts w:ascii="Arial" w:hAnsi="Arial" w:cs="Arial"/>
          <w:sz w:val="24"/>
        </w:rPr>
      </w:pPr>
      <w:r>
        <w:rPr>
          <w:rFonts w:ascii="Arial" w:hAnsi="Arial" w:cs="Arial"/>
          <w:sz w:val="24"/>
        </w:rPr>
        <w:t>（</w:t>
      </w:r>
      <w:r>
        <w:rPr>
          <w:rFonts w:hint="eastAsia" w:ascii="Arial" w:hAnsi="Arial" w:cs="Arial"/>
          <w:sz w:val="24"/>
        </w:rPr>
        <w:t>6</w:t>
      </w:r>
      <w:r>
        <w:rPr>
          <w:rFonts w:ascii="Arial" w:hAnsi="Arial" w:cs="Arial"/>
          <w:sz w:val="24"/>
        </w:rPr>
        <w:t>）投标文件含有采购人不能接受的附加条件的；</w:t>
      </w:r>
    </w:p>
    <w:p>
      <w:pPr>
        <w:spacing w:line="360" w:lineRule="auto"/>
        <w:ind w:firstLine="435"/>
        <w:rPr>
          <w:rFonts w:ascii="Arial" w:hAnsi="Arial" w:cs="Arial"/>
          <w:sz w:val="24"/>
        </w:rPr>
      </w:pPr>
      <w:r>
        <w:rPr>
          <w:rFonts w:ascii="Arial" w:hAnsi="Arial" w:cs="Arial"/>
          <w:sz w:val="24"/>
        </w:rPr>
        <w:t>（</w:t>
      </w:r>
      <w:r>
        <w:rPr>
          <w:rFonts w:hint="eastAsia" w:ascii="Arial" w:hAnsi="Arial" w:cs="Arial"/>
          <w:sz w:val="24"/>
        </w:rPr>
        <w:t>7</w:t>
      </w:r>
      <w:r>
        <w:rPr>
          <w:rFonts w:ascii="Arial" w:hAnsi="Arial" w:cs="Arial"/>
          <w:sz w:val="24"/>
        </w:rPr>
        <w:t>）法律、法规和招标文件规定的其他无效情形。</w:t>
      </w:r>
    </w:p>
    <w:p>
      <w:pPr>
        <w:spacing w:line="360" w:lineRule="auto"/>
        <w:ind w:firstLine="437"/>
        <w:outlineLvl w:val="3"/>
        <w:rPr>
          <w:rFonts w:ascii="Arial" w:hAnsi="Arial" w:cs="Arial"/>
          <w:b/>
          <w:sz w:val="24"/>
        </w:rPr>
      </w:pPr>
      <w:r>
        <w:rPr>
          <w:rFonts w:ascii="Arial" w:hAnsi="Arial" w:cs="Arial"/>
          <w:b/>
          <w:sz w:val="24"/>
        </w:rPr>
        <w:t>22.比较与评价</w:t>
      </w:r>
    </w:p>
    <w:p>
      <w:pPr>
        <w:spacing w:line="360" w:lineRule="auto"/>
        <w:ind w:firstLine="435"/>
        <w:rPr>
          <w:rFonts w:ascii="Arial" w:hAnsi="Arial" w:cs="Arial"/>
          <w:sz w:val="24"/>
        </w:rPr>
      </w:pPr>
      <w:r>
        <w:rPr>
          <w:rFonts w:ascii="Arial" w:hAnsi="Arial" w:cs="Arial"/>
          <w:sz w:val="24"/>
        </w:rPr>
        <w:t>22.1经符合性审查合格的投标文件，评标委员会将根据招标文件确定的评标方法和标准，对其投标文件作进一步的比较与评价。</w:t>
      </w:r>
    </w:p>
    <w:p>
      <w:pPr>
        <w:spacing w:line="360" w:lineRule="auto"/>
        <w:ind w:firstLine="435"/>
        <w:rPr>
          <w:rFonts w:ascii="Arial" w:hAnsi="Arial" w:cs="Arial"/>
          <w:sz w:val="24"/>
        </w:rPr>
      </w:pPr>
      <w:r>
        <w:rPr>
          <w:rFonts w:ascii="Arial" w:hAnsi="Arial" w:cs="Arial"/>
          <w:sz w:val="24"/>
        </w:rPr>
        <w:t>22.2评标严格按照招标文件的要求和条件进行。根据实际情况，在</w:t>
      </w:r>
      <w:r>
        <w:rPr>
          <w:rFonts w:ascii="Arial" w:hAnsi="Arial" w:cs="Arial"/>
          <w:sz w:val="24"/>
          <w:u w:val="single"/>
        </w:rPr>
        <w:t>投标人须知前附表</w:t>
      </w:r>
      <w:r>
        <w:rPr>
          <w:rFonts w:ascii="Arial" w:hAnsi="Arial" w:cs="Arial"/>
          <w:sz w:val="24"/>
        </w:rPr>
        <w:t>中规定采用下列一种评标方法，详细评标方法和标准见招标文件第四章：</w:t>
      </w:r>
    </w:p>
    <w:p>
      <w:pPr>
        <w:spacing w:line="360" w:lineRule="auto"/>
        <w:ind w:firstLine="435"/>
        <w:rPr>
          <w:rFonts w:ascii="Arial" w:hAnsi="Arial" w:cs="Arial"/>
          <w:sz w:val="24"/>
        </w:rPr>
      </w:pPr>
      <w:r>
        <w:rPr>
          <w:rFonts w:ascii="Arial" w:hAnsi="Arial" w:cs="Arial"/>
          <w:sz w:val="24"/>
        </w:rPr>
        <w:t>（1）最低评标价法，是指投标文件满足招标文件全部实质性要求，且投标报价最低的投标人为中标候选人的评标方法。</w:t>
      </w:r>
    </w:p>
    <w:p>
      <w:pPr>
        <w:spacing w:line="360" w:lineRule="auto"/>
        <w:ind w:firstLine="435"/>
        <w:rPr>
          <w:rFonts w:ascii="Arial" w:hAnsi="Arial" w:cs="Arial"/>
          <w:sz w:val="24"/>
        </w:rPr>
      </w:pPr>
      <w:r>
        <w:rPr>
          <w:rFonts w:ascii="Arial" w:hAnsi="Arial" w:cs="Arial"/>
          <w:sz w:val="24"/>
        </w:rPr>
        <w:t>（2）综合评分法，是指投标文件满足招标文件全部实质性要求，且按照评审因素的量化指标评审得分最高的投标人为中标候选人的评标方法。</w:t>
      </w:r>
    </w:p>
    <w:p>
      <w:pPr>
        <w:spacing w:line="360" w:lineRule="auto"/>
        <w:ind w:firstLine="435"/>
        <w:rPr>
          <w:rFonts w:ascii="宋体" w:hAnsi="宋体"/>
          <w:sz w:val="24"/>
        </w:rPr>
      </w:pPr>
      <w:r>
        <w:rPr>
          <w:rFonts w:ascii="Arial" w:hAnsi="Arial" w:cs="Arial"/>
          <w:sz w:val="24"/>
        </w:rPr>
        <w:t>22.3</w:t>
      </w:r>
      <w:bookmarkStart w:id="19" w:name="_Hlk60581117"/>
      <w:r>
        <w:rPr>
          <w:rFonts w:hint="eastAsia" w:ascii="宋体" w:hAnsi="宋体"/>
          <w:sz w:val="24"/>
        </w:rPr>
        <w:t>根据《政府采购促进中小企业发展管理办法》（财库〔</w:t>
      </w:r>
      <w:r>
        <w:rPr>
          <w:rFonts w:ascii="宋体" w:hAnsi="宋体"/>
          <w:sz w:val="24"/>
        </w:rPr>
        <w:t>2020〕46号</w:t>
      </w:r>
      <w:r>
        <w:rPr>
          <w:rFonts w:hint="eastAsia" w:ascii="宋体" w:hAnsi="宋体"/>
          <w:sz w:val="24"/>
        </w:rPr>
        <w:t>）、《</w:t>
      </w:r>
      <w:r>
        <w:rPr>
          <w:rFonts w:ascii="宋体" w:hAnsi="宋体"/>
          <w:sz w:val="24"/>
        </w:rPr>
        <w:t>财政部 司法部关于政府采购支持监狱企业发展有关问题的通知</w:t>
      </w:r>
      <w:r>
        <w:rPr>
          <w:rFonts w:hint="eastAsia" w:ascii="宋体" w:hAnsi="宋体"/>
          <w:sz w:val="24"/>
        </w:rPr>
        <w:t>》（财库〔2014〕68号）和《三部门联合发布关于促进残疾人就业政府采购政策的通知》（财库〔2017〕141号）的规定，对满足价格扣除条件且在投标文件中提交了</w:t>
      </w:r>
      <w:r>
        <w:rPr>
          <w:rFonts w:ascii="宋体" w:hAnsi="宋体"/>
          <w:sz w:val="24"/>
        </w:rPr>
        <w:t>《中小企业声明函》</w:t>
      </w:r>
      <w:r>
        <w:rPr>
          <w:rFonts w:hint="eastAsia" w:ascii="宋体" w:hAnsi="宋体"/>
          <w:sz w:val="24"/>
        </w:rPr>
        <w:t>、</w:t>
      </w:r>
      <w:r>
        <w:rPr>
          <w:rFonts w:ascii="宋体" w:hAnsi="宋体"/>
          <w:sz w:val="24"/>
        </w:rPr>
        <w:t>《残疾人福利性单位声明函》</w:t>
      </w:r>
      <w:r>
        <w:rPr>
          <w:rFonts w:hint="eastAsia" w:ascii="宋体" w:hAnsi="宋体"/>
          <w:sz w:val="24"/>
        </w:rPr>
        <w:t>或省级以上监狱管理局、戒毒管理局（含新疆生产建设兵团）出具的属于监狱企业的证明文件的投标人，其投标报价按照</w:t>
      </w:r>
      <w:r>
        <w:rPr>
          <w:rFonts w:hint="eastAsia" w:ascii="宋体" w:hAnsi="宋体"/>
          <w:sz w:val="24"/>
          <w:u w:val="single"/>
        </w:rPr>
        <w:t>投标人须知前附表</w:t>
      </w:r>
      <w:r>
        <w:rPr>
          <w:rFonts w:hint="eastAsia" w:ascii="宋体" w:hAnsi="宋体"/>
          <w:sz w:val="24"/>
        </w:rPr>
        <w:t>中规定的标准扣除后的价格参与评审。对于同时属于小微企业、监狱企业或残疾人福利性单位的，不重复进行投标报价扣除。</w:t>
      </w:r>
    </w:p>
    <w:p>
      <w:pPr>
        <w:spacing w:line="360" w:lineRule="auto"/>
        <w:ind w:firstLine="435"/>
        <w:rPr>
          <w:rFonts w:ascii="宋体" w:hAnsi="宋体"/>
          <w:sz w:val="24"/>
        </w:rPr>
      </w:pPr>
      <w:r>
        <w:rPr>
          <w:rFonts w:hint="eastAsia" w:ascii="宋体" w:hAnsi="宋体"/>
          <w:sz w:val="24"/>
        </w:rPr>
        <w:t>接受大中型企业与小微企业组成联合体或者允许大中型企业向一家或者多家小微企业分包的，对于联合协议或者分包意向协议约定小微企业的合同份额占到合同总金额</w:t>
      </w:r>
      <w:r>
        <w:rPr>
          <w:rFonts w:ascii="宋体" w:hAnsi="宋体"/>
          <w:sz w:val="24"/>
        </w:rPr>
        <w:t>30%以上的，可给予联合体或者大中型企业的</w:t>
      </w:r>
      <w:r>
        <w:rPr>
          <w:rFonts w:hint="eastAsia" w:ascii="宋体" w:hAnsi="宋体"/>
          <w:sz w:val="24"/>
        </w:rPr>
        <w:t>投标报价按照</w:t>
      </w:r>
      <w:r>
        <w:rPr>
          <w:rFonts w:hint="eastAsia" w:ascii="宋体" w:hAnsi="宋体"/>
          <w:sz w:val="24"/>
          <w:u w:val="single"/>
        </w:rPr>
        <w:t>投标人须知前附表</w:t>
      </w:r>
      <w:r>
        <w:rPr>
          <w:rFonts w:hint="eastAsia" w:ascii="宋体" w:hAnsi="宋体"/>
          <w:sz w:val="24"/>
        </w:rPr>
        <w:t>中规定的标准扣除后的价格参与评审</w:t>
      </w:r>
      <w:r>
        <w:rPr>
          <w:rFonts w:ascii="宋体" w:hAnsi="宋体"/>
          <w:sz w:val="24"/>
        </w:rPr>
        <w:t>。</w:t>
      </w:r>
      <w:r>
        <w:rPr>
          <w:rFonts w:hint="eastAsia" w:ascii="宋体" w:hAnsi="宋体"/>
          <w:sz w:val="24"/>
        </w:rPr>
        <w:t>组成联合体或者接受分包的小微企业与联合体内其他企业、分包企业之间存在直接控股、管理关系的，不享受价格扣除优惠政策。</w:t>
      </w:r>
    </w:p>
    <w:p>
      <w:pPr>
        <w:spacing w:line="360" w:lineRule="auto"/>
        <w:ind w:firstLine="435"/>
        <w:rPr>
          <w:rFonts w:ascii="宋体" w:hAnsi="宋体"/>
          <w:sz w:val="24"/>
        </w:rPr>
      </w:pPr>
      <w:r>
        <w:rPr>
          <w:rFonts w:hint="eastAsia" w:ascii="宋体" w:hAnsi="宋体"/>
          <w:sz w:val="24"/>
        </w:rPr>
        <w:t>以联合体形式参加政府采购活动，联合体各方均为中小企业的，联合体视同中小企业。其中，联合体各方均为小微企业的，联合体视同小微企业。</w:t>
      </w:r>
      <w:bookmarkEnd w:id="19"/>
    </w:p>
    <w:p>
      <w:pPr>
        <w:spacing w:line="360" w:lineRule="auto"/>
        <w:ind w:firstLine="435"/>
        <w:rPr>
          <w:rFonts w:ascii="Arial" w:hAnsi="Arial" w:cs="Arial"/>
          <w:sz w:val="24"/>
        </w:rPr>
      </w:pPr>
      <w:r>
        <w:rPr>
          <w:rFonts w:hint="eastAsia" w:ascii="Arial" w:hAnsi="Arial" w:cs="Arial"/>
          <w:sz w:val="24"/>
        </w:rPr>
        <w:t>22.4</w:t>
      </w:r>
      <w:r>
        <w:rPr>
          <w:rFonts w:ascii="宋体" w:hAnsi="宋体"/>
          <w:sz w:val="24"/>
        </w:rPr>
        <w:t>按照&lt;财政部 国家发展改革委关于印发《节能产品政府采购实施意见》的通知&gt;（财库〔2004〕185号）、《关于环境标志产品政府采购实施的意见》（财库〔2006〕90号）、《国务院办公厅关于建立政府强制采购节能产品制度的通知》（国办发〔2007〕51号）、《财政部 发展改革委 生态环境部 市场监管总局关于调整优化节能产品 环境标志产品政府采购执行机制的通知》（财库〔2019〕9号）</w:t>
      </w:r>
      <w:r>
        <w:rPr>
          <w:rFonts w:hint="eastAsia" w:ascii="宋体" w:hAnsi="宋体"/>
          <w:sz w:val="24"/>
        </w:rPr>
        <w:t>、《关于印发环境标志产品政府采购品目清单的通知》</w:t>
      </w:r>
      <w:r>
        <w:rPr>
          <w:rFonts w:ascii="宋体" w:hAnsi="宋体"/>
          <w:sz w:val="24"/>
        </w:rPr>
        <w:t>（财库[2019]1</w:t>
      </w:r>
      <w:r>
        <w:rPr>
          <w:rFonts w:hint="eastAsia" w:ascii="宋体" w:hAnsi="宋体"/>
          <w:sz w:val="24"/>
        </w:rPr>
        <w:t>8</w:t>
      </w:r>
      <w:r>
        <w:rPr>
          <w:rFonts w:ascii="宋体" w:hAnsi="宋体"/>
          <w:sz w:val="24"/>
        </w:rPr>
        <w:t>号）</w:t>
      </w:r>
      <w:r>
        <w:rPr>
          <w:rFonts w:hint="eastAsia" w:ascii="宋体" w:hAnsi="宋体"/>
          <w:sz w:val="24"/>
        </w:rPr>
        <w:t>、《关于印发节能产品政府采购品目清单的通知》</w:t>
      </w:r>
      <w:r>
        <w:rPr>
          <w:rFonts w:ascii="宋体" w:hAnsi="宋体"/>
          <w:sz w:val="24"/>
        </w:rPr>
        <w:t>（财库[2019]19号）</w:t>
      </w:r>
      <w:r>
        <w:rPr>
          <w:rFonts w:hint="eastAsia" w:ascii="宋体" w:hAnsi="宋体"/>
          <w:sz w:val="24"/>
        </w:rPr>
        <w:t>等</w:t>
      </w:r>
      <w:r>
        <w:rPr>
          <w:rFonts w:ascii="宋体" w:hAnsi="宋体"/>
          <w:sz w:val="24"/>
        </w:rPr>
        <w:t>规定，</w:t>
      </w:r>
      <w:r>
        <w:rPr>
          <w:rFonts w:hint="eastAsia" w:ascii="宋体" w:hAnsi="宋体"/>
          <w:sz w:val="24"/>
        </w:rPr>
        <w:t>对满足节能、环保条件并提供了相关证明材料的产品，进行优先采购。</w:t>
      </w:r>
    </w:p>
    <w:p>
      <w:pPr>
        <w:spacing w:line="360" w:lineRule="auto"/>
        <w:ind w:firstLine="437"/>
        <w:outlineLvl w:val="3"/>
        <w:rPr>
          <w:rFonts w:ascii="Arial" w:hAnsi="Arial" w:cs="Arial"/>
          <w:b/>
          <w:sz w:val="24"/>
        </w:rPr>
      </w:pPr>
      <w:r>
        <w:rPr>
          <w:rFonts w:ascii="Arial" w:hAnsi="Arial" w:cs="Arial"/>
          <w:b/>
          <w:sz w:val="24"/>
        </w:rPr>
        <w:t>23.废标</w:t>
      </w:r>
    </w:p>
    <w:p>
      <w:pPr>
        <w:spacing w:line="360" w:lineRule="auto"/>
        <w:ind w:firstLine="435"/>
        <w:rPr>
          <w:rFonts w:ascii="Arial" w:hAnsi="Arial" w:cs="Arial"/>
          <w:sz w:val="24"/>
        </w:rPr>
      </w:pPr>
      <w:r>
        <w:rPr>
          <w:rFonts w:ascii="Arial" w:hAnsi="Arial" w:cs="Arial"/>
          <w:sz w:val="24"/>
        </w:rPr>
        <w:t>出现下列情形之一，将导致项目废标：</w:t>
      </w:r>
    </w:p>
    <w:p>
      <w:pPr>
        <w:spacing w:line="360" w:lineRule="auto"/>
        <w:ind w:firstLine="435"/>
        <w:rPr>
          <w:rFonts w:ascii="Arial" w:hAnsi="Arial" w:cs="Arial"/>
          <w:sz w:val="24"/>
        </w:rPr>
      </w:pPr>
      <w:r>
        <w:rPr>
          <w:rFonts w:ascii="Arial" w:hAnsi="Arial" w:cs="Arial"/>
          <w:sz w:val="24"/>
        </w:rPr>
        <w:t>（1）符合专业条件的</w:t>
      </w:r>
      <w:r>
        <w:rPr>
          <w:rFonts w:hint="eastAsia" w:ascii="Arial" w:hAnsi="Arial" w:cs="Arial"/>
          <w:sz w:val="24"/>
        </w:rPr>
        <w:t>投标人</w:t>
      </w:r>
      <w:r>
        <w:rPr>
          <w:rFonts w:ascii="Arial" w:hAnsi="Arial" w:cs="Arial"/>
          <w:sz w:val="24"/>
        </w:rPr>
        <w:t>或者对招标文件做实质性响应的</w:t>
      </w:r>
      <w:r>
        <w:rPr>
          <w:rFonts w:hint="eastAsia" w:ascii="Arial" w:hAnsi="Arial" w:cs="Arial"/>
          <w:sz w:val="24"/>
        </w:rPr>
        <w:t>投标人</w:t>
      </w:r>
      <w:r>
        <w:rPr>
          <w:rFonts w:ascii="Arial" w:hAnsi="Arial" w:cs="Arial"/>
          <w:sz w:val="24"/>
        </w:rPr>
        <w:t>不足规定数量的；</w:t>
      </w:r>
    </w:p>
    <w:p>
      <w:pPr>
        <w:spacing w:line="360" w:lineRule="auto"/>
        <w:ind w:firstLine="435"/>
        <w:rPr>
          <w:rFonts w:ascii="Arial" w:hAnsi="Arial" w:cs="Arial"/>
          <w:sz w:val="24"/>
        </w:rPr>
      </w:pPr>
      <w:r>
        <w:rPr>
          <w:rFonts w:ascii="Arial" w:hAnsi="Arial" w:cs="Arial"/>
          <w:sz w:val="24"/>
        </w:rPr>
        <w:t>（2）出现影响采购公正的违法、违规行为的；</w:t>
      </w:r>
    </w:p>
    <w:p>
      <w:pPr>
        <w:spacing w:line="360" w:lineRule="auto"/>
        <w:ind w:firstLine="435"/>
        <w:rPr>
          <w:rFonts w:ascii="Arial" w:hAnsi="Arial" w:cs="Arial"/>
          <w:sz w:val="24"/>
        </w:rPr>
      </w:pPr>
      <w:r>
        <w:rPr>
          <w:rFonts w:ascii="Arial" w:hAnsi="Arial" w:cs="Arial"/>
          <w:sz w:val="24"/>
        </w:rPr>
        <w:t>（3）投标人的报价均超过了采购预算，采购人不能支付的；</w:t>
      </w:r>
    </w:p>
    <w:p>
      <w:pPr>
        <w:spacing w:line="360" w:lineRule="auto"/>
        <w:ind w:firstLine="435"/>
        <w:rPr>
          <w:rFonts w:ascii="Arial" w:hAnsi="Arial" w:cs="Arial"/>
          <w:sz w:val="24"/>
        </w:rPr>
      </w:pPr>
      <w:r>
        <w:rPr>
          <w:rFonts w:ascii="Arial" w:hAnsi="Arial" w:cs="Arial"/>
          <w:sz w:val="24"/>
        </w:rPr>
        <w:t>（4）因重大变故，采购任务取消的。</w:t>
      </w:r>
    </w:p>
    <w:p>
      <w:pPr>
        <w:spacing w:line="360" w:lineRule="auto"/>
        <w:ind w:firstLine="437"/>
        <w:outlineLvl w:val="3"/>
        <w:rPr>
          <w:rFonts w:ascii="Arial" w:hAnsi="Arial" w:cs="Arial"/>
          <w:b/>
          <w:sz w:val="24"/>
        </w:rPr>
      </w:pPr>
      <w:r>
        <w:rPr>
          <w:rFonts w:ascii="Arial" w:hAnsi="Arial" w:cs="Arial"/>
          <w:b/>
          <w:sz w:val="24"/>
        </w:rPr>
        <w:t>24.保密要求</w:t>
      </w:r>
    </w:p>
    <w:p>
      <w:pPr>
        <w:spacing w:line="360" w:lineRule="auto"/>
        <w:ind w:firstLine="435"/>
        <w:rPr>
          <w:rFonts w:ascii="Arial" w:hAnsi="Arial" w:cs="Arial"/>
          <w:sz w:val="24"/>
        </w:rPr>
      </w:pPr>
      <w:r>
        <w:rPr>
          <w:rFonts w:ascii="Arial" w:hAnsi="Arial" w:cs="Arial"/>
          <w:sz w:val="24"/>
        </w:rPr>
        <w:t>24.1评标将在严格保密的情况下进行。</w:t>
      </w:r>
    </w:p>
    <w:p>
      <w:pPr>
        <w:spacing w:line="360" w:lineRule="auto"/>
        <w:ind w:firstLine="435"/>
        <w:rPr>
          <w:rFonts w:ascii="Arial" w:hAnsi="Arial" w:cs="Arial"/>
          <w:sz w:val="24"/>
        </w:rPr>
      </w:pPr>
      <w:r>
        <w:rPr>
          <w:rFonts w:ascii="Arial" w:hAnsi="Arial" w:cs="Arial"/>
          <w:sz w:val="24"/>
        </w:rPr>
        <w:t>24.2有关人员应当遵守评标工作纪律，不得泄露评标文件、评标情况和评标中获悉的国家秘密、商业秘密。</w:t>
      </w:r>
    </w:p>
    <w:p>
      <w:pPr>
        <w:spacing w:line="360" w:lineRule="auto"/>
        <w:ind w:firstLine="437"/>
        <w:outlineLvl w:val="3"/>
        <w:rPr>
          <w:rFonts w:ascii="Arial" w:hAnsi="Arial" w:cs="Arial"/>
          <w:b/>
          <w:sz w:val="24"/>
        </w:rPr>
      </w:pPr>
      <w:r>
        <w:rPr>
          <w:rFonts w:ascii="Arial" w:hAnsi="Arial" w:cs="Arial"/>
          <w:b/>
          <w:sz w:val="24"/>
        </w:rPr>
        <w:t>25.中标候选人的确定原则及标准</w:t>
      </w:r>
    </w:p>
    <w:p>
      <w:pPr>
        <w:spacing w:line="360" w:lineRule="auto"/>
        <w:ind w:firstLine="435"/>
        <w:rPr>
          <w:rFonts w:ascii="Arial" w:hAnsi="Arial" w:cs="Arial"/>
          <w:sz w:val="24"/>
        </w:rPr>
      </w:pPr>
      <w:r>
        <w:rPr>
          <w:rFonts w:ascii="Arial" w:hAnsi="Arial" w:cs="Arial"/>
          <w:sz w:val="24"/>
        </w:rPr>
        <w:t>25.1评标委员会依据本项目招标文件所约定的评标方法，对实质上响应招标文件的投标人按下列方法进行排序，确定中标候选人：</w:t>
      </w:r>
    </w:p>
    <w:p>
      <w:pPr>
        <w:spacing w:line="360" w:lineRule="auto"/>
        <w:ind w:firstLine="435"/>
        <w:rPr>
          <w:rFonts w:ascii="Arial" w:hAnsi="Arial" w:cs="Arial"/>
          <w:sz w:val="24"/>
        </w:rPr>
      </w:pPr>
      <w:r>
        <w:rPr>
          <w:rFonts w:ascii="Arial" w:hAnsi="Arial" w:cs="Arial"/>
          <w:sz w:val="24"/>
        </w:rPr>
        <w:t>（1）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则所投产品为节能产品、环境标志产品、不发达地区或少数民族地区产品者优先；若报价相同且所投产品同为节能产品、环境标志产品、不发达地区或少数民族地区产品的，则采取评标委员会抽签方式确定中标候选顺序。</w:t>
      </w:r>
    </w:p>
    <w:p>
      <w:pPr>
        <w:spacing w:line="360" w:lineRule="auto"/>
        <w:ind w:firstLine="435"/>
        <w:rPr>
          <w:rFonts w:ascii="Arial" w:hAnsi="Arial" w:cs="Arial"/>
          <w:sz w:val="24"/>
        </w:rPr>
      </w:pPr>
      <w:r>
        <w:rPr>
          <w:rFonts w:ascii="Arial" w:hAnsi="Arial" w:cs="Arial"/>
          <w:sz w:val="24"/>
        </w:rPr>
        <w:t>（2）采用综合评分法的，评标结果按评审后得分由高到低顺序排列。得分相同的，按投标报价由低到高顺序排列。得分与投标报价均相同的，则所投产品为节能产品、环境标志产品、不发达地区或少数民族地区产品者优先；若得分与投标报价均相同且所投产品同为节能产品、环境标志产品、不发达地区或少数民族地区产品的，则采取评标委员会抽签方式确定中标候选顺序。</w:t>
      </w:r>
    </w:p>
    <w:p>
      <w:pPr>
        <w:spacing w:line="360" w:lineRule="auto"/>
        <w:ind w:firstLine="437"/>
        <w:outlineLvl w:val="3"/>
        <w:rPr>
          <w:rFonts w:ascii="Arial" w:hAnsi="Arial" w:cs="Arial"/>
          <w:b/>
          <w:sz w:val="24"/>
        </w:rPr>
      </w:pPr>
      <w:r>
        <w:rPr>
          <w:rFonts w:ascii="Arial" w:hAnsi="Arial" w:cs="Arial"/>
          <w:b/>
          <w:sz w:val="24"/>
        </w:rPr>
        <w:t>26.确定中标候选人和中标人</w:t>
      </w:r>
    </w:p>
    <w:p>
      <w:pPr>
        <w:spacing w:line="360" w:lineRule="auto"/>
        <w:ind w:firstLine="435"/>
        <w:rPr>
          <w:rFonts w:ascii="Arial" w:hAnsi="Arial" w:cs="Arial"/>
          <w:sz w:val="24"/>
        </w:rPr>
      </w:pPr>
      <w:r>
        <w:rPr>
          <w:rFonts w:ascii="Arial" w:hAnsi="Arial" w:cs="Arial"/>
          <w:sz w:val="24"/>
        </w:rPr>
        <w:t>26.1评标委员会将根据评标标准，按</w:t>
      </w:r>
      <w:r>
        <w:rPr>
          <w:rFonts w:ascii="Arial" w:hAnsi="Arial" w:cs="Arial"/>
          <w:sz w:val="24"/>
          <w:u w:val="single"/>
        </w:rPr>
        <w:t>投标人须知前附表</w:t>
      </w:r>
      <w:r>
        <w:rPr>
          <w:rFonts w:ascii="Arial" w:hAnsi="Arial" w:cs="Arial"/>
          <w:sz w:val="24"/>
        </w:rPr>
        <w:t>中规定数量推荐中标候选人。</w:t>
      </w:r>
    </w:p>
    <w:p>
      <w:pPr>
        <w:spacing w:line="360" w:lineRule="auto"/>
        <w:ind w:firstLine="435"/>
        <w:rPr>
          <w:rFonts w:ascii="Arial" w:hAnsi="Arial" w:cs="Arial"/>
          <w:sz w:val="24"/>
        </w:rPr>
      </w:pPr>
      <w:r>
        <w:rPr>
          <w:rFonts w:ascii="Arial" w:hAnsi="Arial" w:cs="Arial"/>
          <w:sz w:val="24"/>
        </w:rPr>
        <w:t>26.2按</w:t>
      </w:r>
      <w:r>
        <w:rPr>
          <w:rFonts w:ascii="Arial" w:hAnsi="Arial" w:cs="Arial"/>
          <w:sz w:val="24"/>
          <w:u w:val="single"/>
        </w:rPr>
        <w:t>投标人须知前附表</w:t>
      </w:r>
      <w:r>
        <w:rPr>
          <w:rFonts w:ascii="Arial" w:hAnsi="Arial" w:cs="Arial"/>
          <w:sz w:val="24"/>
        </w:rPr>
        <w:t>中规定，由评标委员会或采购人确定中标人。</w:t>
      </w:r>
    </w:p>
    <w:p>
      <w:pPr>
        <w:spacing w:line="360" w:lineRule="auto"/>
        <w:ind w:firstLine="435"/>
        <w:rPr>
          <w:rFonts w:ascii="Arial" w:hAnsi="Arial" w:cs="Arial"/>
          <w:sz w:val="24"/>
        </w:rPr>
      </w:pPr>
      <w:r>
        <w:rPr>
          <w:rFonts w:ascii="Arial" w:hAnsi="Arial" w:cs="Arial"/>
          <w:sz w:val="24"/>
        </w:rPr>
        <w:t>26.3因重大变故采购任务取消时，采购人有权拒绝任何投标人中标，且对受影响的投标人不承担任何责任。</w:t>
      </w:r>
    </w:p>
    <w:p>
      <w:pPr>
        <w:spacing w:line="360" w:lineRule="auto"/>
        <w:ind w:firstLine="437"/>
        <w:outlineLvl w:val="3"/>
        <w:rPr>
          <w:rFonts w:ascii="Arial" w:hAnsi="Arial" w:cs="Arial"/>
          <w:b/>
          <w:sz w:val="24"/>
        </w:rPr>
      </w:pPr>
      <w:r>
        <w:rPr>
          <w:rFonts w:ascii="Arial" w:hAnsi="Arial" w:cs="Arial"/>
          <w:b/>
          <w:sz w:val="24"/>
        </w:rPr>
        <w:t>27.编写评标报告</w:t>
      </w:r>
    </w:p>
    <w:p>
      <w:pPr>
        <w:spacing w:line="360" w:lineRule="auto"/>
        <w:ind w:firstLine="435"/>
        <w:rPr>
          <w:rFonts w:ascii="Arial" w:hAnsi="Arial" w:cs="Arial"/>
          <w:sz w:val="24"/>
        </w:rPr>
      </w:pPr>
      <w:r>
        <w:rPr>
          <w:rFonts w:ascii="Arial" w:hAnsi="Arial" w:cs="Arial"/>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7"/>
        <w:outlineLvl w:val="3"/>
        <w:rPr>
          <w:rFonts w:ascii="Arial" w:hAnsi="Arial" w:cs="Arial"/>
          <w:b/>
          <w:sz w:val="24"/>
        </w:rPr>
      </w:pPr>
      <w:r>
        <w:rPr>
          <w:rFonts w:ascii="Arial" w:hAnsi="Arial" w:cs="Arial"/>
          <w:b/>
          <w:sz w:val="24"/>
        </w:rPr>
        <w:t>28.中标</w:t>
      </w:r>
      <w:r>
        <w:rPr>
          <w:rFonts w:hint="eastAsia" w:ascii="Arial" w:hAnsi="Arial" w:cs="Arial"/>
          <w:b/>
          <w:sz w:val="24"/>
        </w:rPr>
        <w:t>结果</w:t>
      </w:r>
      <w:r>
        <w:rPr>
          <w:rFonts w:ascii="Arial" w:hAnsi="Arial" w:cs="Arial"/>
          <w:b/>
          <w:sz w:val="24"/>
        </w:rPr>
        <w:t>公告</w:t>
      </w:r>
    </w:p>
    <w:p>
      <w:pPr>
        <w:spacing w:line="360" w:lineRule="auto"/>
        <w:ind w:firstLine="435"/>
        <w:rPr>
          <w:rFonts w:ascii="Arial" w:hAnsi="Arial" w:cs="Arial"/>
          <w:sz w:val="24"/>
        </w:rPr>
      </w:pPr>
      <w:r>
        <w:rPr>
          <w:rFonts w:ascii="Arial" w:hAnsi="Arial" w:cs="Arial"/>
          <w:sz w:val="24"/>
        </w:rPr>
        <w:t>28.1除</w:t>
      </w:r>
      <w:r>
        <w:rPr>
          <w:rFonts w:ascii="Arial" w:hAnsi="Arial" w:cs="Arial"/>
          <w:sz w:val="24"/>
          <w:u w:val="single"/>
        </w:rPr>
        <w:t>投标人须知前附表</w:t>
      </w:r>
      <w:r>
        <w:rPr>
          <w:rFonts w:ascii="Arial" w:hAnsi="Arial" w:cs="Arial"/>
          <w:sz w:val="24"/>
        </w:rPr>
        <w:t>规定由评标委员会直接确定中标人外，在评标结束后2个工作日内，采购代理机构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35"/>
        <w:rPr>
          <w:rFonts w:ascii="Arial" w:hAnsi="Arial" w:cs="Arial"/>
          <w:sz w:val="24"/>
        </w:rPr>
      </w:pPr>
      <w:r>
        <w:rPr>
          <w:rFonts w:ascii="Arial" w:hAnsi="Arial" w:cs="Arial"/>
          <w:sz w:val="24"/>
        </w:rPr>
        <w:t>28.2自中标人确定之日起2个工作日内，采购代理机构将在安徽省政府采购网（www.ccgp-anhui.gov.cn）上发布中标</w:t>
      </w:r>
      <w:r>
        <w:rPr>
          <w:rFonts w:hint="eastAsia" w:ascii="Arial" w:hAnsi="Arial" w:cs="Arial"/>
          <w:sz w:val="24"/>
        </w:rPr>
        <w:t>结果</w:t>
      </w:r>
      <w:r>
        <w:rPr>
          <w:rFonts w:ascii="Arial" w:hAnsi="Arial" w:cs="Arial"/>
          <w:sz w:val="24"/>
        </w:rPr>
        <w:t>公告。</w:t>
      </w:r>
    </w:p>
    <w:p>
      <w:pPr>
        <w:spacing w:line="360" w:lineRule="auto"/>
        <w:ind w:firstLine="435"/>
        <w:rPr>
          <w:rFonts w:ascii="Arial" w:hAnsi="Arial" w:cs="Arial"/>
          <w:sz w:val="24"/>
        </w:rPr>
      </w:pPr>
      <w:r>
        <w:rPr>
          <w:rFonts w:ascii="Arial" w:hAnsi="Arial" w:cs="Arial"/>
          <w:sz w:val="24"/>
        </w:rPr>
        <w:t>28.3中标</w:t>
      </w:r>
      <w:r>
        <w:rPr>
          <w:rFonts w:hint="eastAsia" w:ascii="Arial" w:hAnsi="Arial" w:cs="Arial"/>
          <w:sz w:val="24"/>
        </w:rPr>
        <w:t>结果</w:t>
      </w:r>
      <w:r>
        <w:rPr>
          <w:rFonts w:ascii="Arial" w:hAnsi="Arial" w:cs="Arial"/>
          <w:sz w:val="24"/>
        </w:rPr>
        <w:t>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ascii="Arial" w:hAnsi="Arial" w:cs="Arial"/>
          <w:sz w:val="24"/>
          <w:u w:val="single"/>
        </w:rPr>
        <w:t>投标人须知前附表</w:t>
      </w:r>
      <w:r>
        <w:rPr>
          <w:rFonts w:ascii="Arial" w:hAnsi="Arial" w:cs="Arial"/>
          <w:sz w:val="24"/>
        </w:rPr>
        <w:t>中约定进行公告的内容。中标公告期限为1个工作日。</w:t>
      </w:r>
    </w:p>
    <w:p>
      <w:pPr>
        <w:spacing w:line="360" w:lineRule="auto"/>
        <w:ind w:firstLine="437"/>
        <w:outlineLvl w:val="3"/>
        <w:rPr>
          <w:rFonts w:ascii="Arial" w:hAnsi="Arial" w:cs="Arial"/>
          <w:b/>
          <w:sz w:val="24"/>
        </w:rPr>
      </w:pPr>
      <w:r>
        <w:rPr>
          <w:rFonts w:ascii="Arial" w:hAnsi="Arial" w:cs="Arial"/>
          <w:b/>
          <w:sz w:val="24"/>
        </w:rPr>
        <w:t>29.中标通知书</w:t>
      </w:r>
    </w:p>
    <w:p>
      <w:pPr>
        <w:spacing w:line="360" w:lineRule="auto"/>
        <w:ind w:firstLine="435"/>
        <w:rPr>
          <w:rFonts w:ascii="Arial" w:hAnsi="Arial" w:cs="Arial"/>
          <w:sz w:val="24"/>
        </w:rPr>
      </w:pPr>
      <w:r>
        <w:rPr>
          <w:rFonts w:ascii="Arial" w:hAnsi="Arial" w:cs="Arial"/>
          <w:sz w:val="24"/>
        </w:rPr>
        <w:t>29.1采购代理机构发布中标公告</w:t>
      </w:r>
      <w:r>
        <w:rPr>
          <w:rFonts w:ascii="Arial" w:hAnsi="Arial" w:cs="Arial"/>
          <w:iCs/>
          <w:sz w:val="24"/>
        </w:rPr>
        <w:t>的</w:t>
      </w:r>
      <w:r>
        <w:rPr>
          <w:rFonts w:ascii="Arial" w:hAnsi="Arial" w:cs="Arial"/>
          <w:sz w:val="24"/>
        </w:rPr>
        <w:t>同时向中标人发出中标通知书。</w:t>
      </w:r>
    </w:p>
    <w:p>
      <w:pPr>
        <w:spacing w:line="360" w:lineRule="auto"/>
        <w:ind w:firstLine="435"/>
        <w:rPr>
          <w:rFonts w:ascii="Arial" w:hAnsi="Arial" w:cs="Arial"/>
          <w:sz w:val="24"/>
        </w:rPr>
      </w:pPr>
      <w:r>
        <w:rPr>
          <w:rFonts w:ascii="Arial" w:hAnsi="Arial" w:cs="Arial"/>
          <w:sz w:val="24"/>
        </w:rPr>
        <w:t>29.2中标通知书对采购人和中标人具有同等法律效力。中标通知书发出以后，采购人改变中标结果或者中标人放弃中标，应当承担相应的法律责任。</w:t>
      </w:r>
    </w:p>
    <w:p>
      <w:pPr>
        <w:spacing w:line="360" w:lineRule="auto"/>
        <w:ind w:firstLine="435"/>
        <w:rPr>
          <w:rFonts w:ascii="Arial" w:hAnsi="Arial" w:cs="Arial"/>
          <w:sz w:val="24"/>
        </w:rPr>
      </w:pPr>
      <w:r>
        <w:rPr>
          <w:rFonts w:ascii="Arial" w:hAnsi="Arial" w:cs="Arial"/>
          <w:sz w:val="24"/>
        </w:rPr>
        <w:t>29.3中标通知书是合同的组成部分。</w:t>
      </w:r>
    </w:p>
    <w:p>
      <w:pPr>
        <w:spacing w:line="360" w:lineRule="auto"/>
        <w:ind w:firstLine="437"/>
        <w:outlineLvl w:val="3"/>
        <w:rPr>
          <w:rFonts w:ascii="Arial" w:hAnsi="Arial" w:cs="Arial"/>
          <w:b/>
          <w:sz w:val="24"/>
        </w:rPr>
      </w:pPr>
      <w:r>
        <w:rPr>
          <w:rFonts w:ascii="Arial" w:hAnsi="Arial" w:cs="Arial"/>
          <w:b/>
          <w:sz w:val="24"/>
        </w:rPr>
        <w:t>30.告知招标结果</w:t>
      </w:r>
    </w:p>
    <w:p>
      <w:pPr>
        <w:spacing w:line="360" w:lineRule="auto"/>
        <w:ind w:firstLine="435"/>
        <w:rPr>
          <w:rFonts w:ascii="Arial" w:hAnsi="Arial" w:cs="Arial"/>
          <w:sz w:val="24"/>
        </w:rPr>
      </w:pPr>
      <w:r>
        <w:rPr>
          <w:rFonts w:ascii="Arial" w:hAnsi="Arial" w:cs="Arial"/>
          <w:sz w:val="24"/>
        </w:rPr>
        <w:t>30.1在公告中标结果的同时，采购代理机构同时以</w:t>
      </w:r>
      <w:r>
        <w:rPr>
          <w:rFonts w:ascii="Arial" w:hAnsi="Arial" w:cs="Arial"/>
          <w:sz w:val="24"/>
          <w:u w:val="single"/>
        </w:rPr>
        <w:t>投标人须知前附表</w:t>
      </w:r>
      <w:r>
        <w:rPr>
          <w:rFonts w:ascii="Arial" w:hAnsi="Arial" w:cs="Arial"/>
          <w:sz w:val="24"/>
        </w:rPr>
        <w:t>规定的形式告知未通过资格审查的投标人未通过的原因；采用综合评分法评审的，还将告知未中标人本人的评审得分和排序。</w:t>
      </w:r>
    </w:p>
    <w:p>
      <w:pPr>
        <w:spacing w:line="360" w:lineRule="auto"/>
        <w:ind w:firstLine="437"/>
        <w:outlineLvl w:val="3"/>
        <w:rPr>
          <w:rFonts w:ascii="Arial" w:hAnsi="Arial" w:cs="Arial"/>
          <w:b/>
          <w:sz w:val="24"/>
        </w:rPr>
      </w:pPr>
      <w:r>
        <w:rPr>
          <w:rFonts w:ascii="Arial" w:hAnsi="Arial" w:cs="Arial"/>
          <w:b/>
          <w:sz w:val="24"/>
        </w:rPr>
        <w:t>31.履约保证金</w:t>
      </w:r>
    </w:p>
    <w:p>
      <w:pPr>
        <w:spacing w:line="360" w:lineRule="auto"/>
        <w:ind w:firstLine="435"/>
        <w:rPr>
          <w:rFonts w:ascii="Arial" w:hAnsi="Arial" w:cs="Arial"/>
          <w:sz w:val="24"/>
        </w:rPr>
      </w:pPr>
      <w:r>
        <w:rPr>
          <w:rFonts w:ascii="Arial" w:hAnsi="Arial" w:cs="Arial"/>
          <w:sz w:val="24"/>
        </w:rPr>
        <w:t>31.1中标人应按照</w:t>
      </w:r>
      <w:r>
        <w:rPr>
          <w:rFonts w:ascii="Arial" w:hAnsi="Arial" w:cs="Arial"/>
          <w:sz w:val="24"/>
          <w:u w:val="single"/>
        </w:rPr>
        <w:t>投标人须知前附表</w:t>
      </w:r>
      <w:r>
        <w:rPr>
          <w:rFonts w:ascii="Arial" w:hAnsi="Arial" w:cs="Arial"/>
          <w:sz w:val="24"/>
        </w:rPr>
        <w:t>规定缴纳履约保证金。</w:t>
      </w:r>
    </w:p>
    <w:p>
      <w:pPr>
        <w:spacing w:line="360" w:lineRule="auto"/>
        <w:ind w:firstLine="435"/>
        <w:rPr>
          <w:rFonts w:ascii="Arial" w:hAnsi="Arial" w:cs="Arial"/>
          <w:b/>
          <w:sz w:val="24"/>
        </w:rPr>
      </w:pPr>
      <w:r>
        <w:rPr>
          <w:rFonts w:ascii="Arial" w:hAnsi="Arial" w:cs="Arial"/>
          <w:sz w:val="24"/>
        </w:rPr>
        <w:t>31.2如果中标人没有按照上述履约保证金的规定执行，将视为放弃中标资格。在此情况下，采购人可确定下一中标候选人为中标人，也可以重新开展采购活动。</w:t>
      </w:r>
    </w:p>
    <w:p>
      <w:pPr>
        <w:spacing w:line="360" w:lineRule="auto"/>
        <w:ind w:firstLine="437"/>
        <w:outlineLvl w:val="3"/>
        <w:rPr>
          <w:rFonts w:ascii="Arial" w:hAnsi="Arial" w:cs="Arial"/>
          <w:b/>
          <w:sz w:val="24"/>
        </w:rPr>
      </w:pPr>
      <w:r>
        <w:rPr>
          <w:rFonts w:ascii="Arial" w:hAnsi="Arial" w:cs="Arial"/>
          <w:b/>
          <w:sz w:val="24"/>
        </w:rPr>
        <w:t>32.签订合同</w:t>
      </w:r>
    </w:p>
    <w:p>
      <w:pPr>
        <w:spacing w:line="360" w:lineRule="auto"/>
        <w:ind w:firstLine="435"/>
        <w:rPr>
          <w:rFonts w:ascii="Arial" w:hAnsi="Arial" w:cs="Arial"/>
          <w:sz w:val="24"/>
        </w:rPr>
      </w:pPr>
      <w:r>
        <w:rPr>
          <w:rFonts w:ascii="Arial" w:hAnsi="Arial" w:cs="Arial"/>
          <w:sz w:val="24"/>
        </w:rPr>
        <w:t>32.1采购人与中标人应当自发出中标通知书之日起</w:t>
      </w:r>
      <w:r>
        <w:rPr>
          <w:rFonts w:hint="eastAsia" w:ascii="Arial" w:hAnsi="Arial" w:cs="Arial"/>
          <w:sz w:val="24"/>
          <w:lang w:val="en-US" w:eastAsia="zh-CN"/>
        </w:rPr>
        <w:t>7</w:t>
      </w:r>
      <w:r>
        <w:rPr>
          <w:rFonts w:hint="eastAsia" w:ascii="Arial" w:hAnsi="Arial" w:cs="Arial"/>
          <w:sz w:val="24"/>
        </w:rPr>
        <w:t>个工作日</w:t>
      </w:r>
      <w:r>
        <w:rPr>
          <w:rFonts w:ascii="Arial" w:hAnsi="Arial" w:cs="Arial"/>
          <w:sz w:val="24"/>
        </w:rPr>
        <w:t>内签订合同。</w:t>
      </w:r>
    </w:p>
    <w:p>
      <w:pPr>
        <w:spacing w:line="360" w:lineRule="auto"/>
        <w:ind w:firstLine="435"/>
        <w:rPr>
          <w:rFonts w:ascii="Arial" w:hAnsi="Arial" w:cs="Arial"/>
          <w:sz w:val="24"/>
        </w:rPr>
      </w:pPr>
      <w:r>
        <w:rPr>
          <w:rFonts w:ascii="Arial" w:hAnsi="Arial" w:cs="Arial"/>
          <w:sz w:val="24"/>
        </w:rPr>
        <w:t>32.2招标文件、中标人的投标文件及其澄清文件等，均为签订合同的依据。</w:t>
      </w:r>
    </w:p>
    <w:p>
      <w:pPr>
        <w:spacing w:line="360" w:lineRule="auto"/>
        <w:ind w:firstLine="435"/>
        <w:rPr>
          <w:rFonts w:ascii="Arial" w:hAnsi="Arial" w:cs="Arial"/>
          <w:sz w:val="24"/>
        </w:rPr>
      </w:pPr>
      <w:r>
        <w:rPr>
          <w:rFonts w:ascii="Arial" w:hAnsi="Arial" w:cs="Arial"/>
          <w:sz w:val="24"/>
        </w:rPr>
        <w:t>32.3中标人拒绝与采购人签订合同的，采购人可以按照评审报告推荐的中标候选人名单排序，确定下一中标候选人为中标人，也可以重新开展政府采购活动。</w:t>
      </w:r>
    </w:p>
    <w:p>
      <w:pPr>
        <w:spacing w:line="360" w:lineRule="auto"/>
        <w:ind w:firstLine="435"/>
        <w:rPr>
          <w:rFonts w:ascii="Arial" w:hAnsi="Arial" w:cs="Arial"/>
          <w:sz w:val="24"/>
        </w:rPr>
      </w:pPr>
      <w:r>
        <w:rPr>
          <w:rFonts w:ascii="Arial" w:hAnsi="Arial" w:cs="Arial"/>
          <w:sz w:val="24"/>
        </w:rPr>
        <w:t>32.4当出现法规规定的中标无效或中标结果无效情形时，采购人可依法与排名下一位的中标候选人另行签订合同，或依法重新开展采购活动。</w:t>
      </w:r>
    </w:p>
    <w:p>
      <w:pPr>
        <w:spacing w:line="360" w:lineRule="auto"/>
        <w:ind w:firstLine="435"/>
        <w:rPr>
          <w:rFonts w:hint="eastAsia" w:ascii="Arial" w:hAnsi="Arial" w:cs="Arial"/>
          <w:sz w:val="24"/>
        </w:rPr>
      </w:pPr>
      <w:r>
        <w:rPr>
          <w:rFonts w:hint="eastAsia" w:ascii="宋体" w:hAnsi="宋体"/>
          <w:b/>
          <w:bCs/>
          <w:sz w:val="24"/>
        </w:rPr>
        <w:t>32.5</w:t>
      </w:r>
      <w:r>
        <w:rPr>
          <w:rFonts w:hint="eastAsia" w:ascii="宋体" w:hAnsi="宋体"/>
          <w:sz w:val="24"/>
        </w:rPr>
        <w:t>依据《政府采购促进中小企业发展管理办法》（财库〔</w:t>
      </w:r>
      <w:r>
        <w:rPr>
          <w:rFonts w:ascii="宋体" w:hAnsi="宋体"/>
          <w:sz w:val="24"/>
        </w:rPr>
        <w:t>2020〕46号</w:t>
      </w:r>
      <w:r>
        <w:rPr>
          <w:rFonts w:hint="eastAsia" w:ascii="宋体" w:hAnsi="宋体"/>
          <w:sz w:val="24"/>
        </w:rPr>
        <w:t>）规定享受扶持政策获得政府采购合同的，小微企业不得将合同分包给大中型企业，中型企业不得将合同分包给大型企业。</w:t>
      </w:r>
    </w:p>
    <w:p>
      <w:pPr>
        <w:spacing w:line="360" w:lineRule="auto"/>
        <w:ind w:firstLine="437"/>
        <w:outlineLvl w:val="3"/>
        <w:rPr>
          <w:rFonts w:ascii="Arial" w:hAnsi="Arial" w:cs="Arial"/>
          <w:b/>
          <w:sz w:val="24"/>
        </w:rPr>
      </w:pPr>
      <w:r>
        <w:rPr>
          <w:rFonts w:ascii="Arial" w:hAnsi="Arial" w:cs="Arial"/>
          <w:b/>
          <w:sz w:val="24"/>
        </w:rPr>
        <w:t>33.中标服务费</w:t>
      </w:r>
    </w:p>
    <w:p>
      <w:pPr>
        <w:spacing w:line="360" w:lineRule="auto"/>
        <w:ind w:firstLine="435"/>
        <w:rPr>
          <w:rFonts w:ascii="Arial" w:hAnsi="Arial" w:cs="Arial"/>
          <w:sz w:val="24"/>
        </w:rPr>
      </w:pPr>
      <w:r>
        <w:rPr>
          <w:rFonts w:ascii="Arial" w:hAnsi="Arial" w:cs="Arial"/>
          <w:sz w:val="24"/>
        </w:rPr>
        <w:t>33.1本项目中标服务费的收取按</w:t>
      </w:r>
      <w:r>
        <w:rPr>
          <w:rFonts w:ascii="Arial" w:hAnsi="Arial" w:cs="Arial"/>
          <w:sz w:val="24"/>
          <w:u w:val="single"/>
        </w:rPr>
        <w:t>投标人须知前附表的</w:t>
      </w:r>
      <w:r>
        <w:rPr>
          <w:rFonts w:ascii="Arial" w:hAnsi="Arial" w:cs="Arial"/>
          <w:sz w:val="24"/>
        </w:rPr>
        <w:t>规定执行。</w:t>
      </w:r>
    </w:p>
    <w:p>
      <w:pPr>
        <w:spacing w:line="360" w:lineRule="auto"/>
        <w:ind w:firstLine="437"/>
        <w:outlineLvl w:val="3"/>
        <w:rPr>
          <w:rFonts w:ascii="Arial" w:hAnsi="Arial" w:cs="Arial"/>
          <w:b/>
          <w:sz w:val="24"/>
        </w:rPr>
      </w:pPr>
      <w:bookmarkStart w:id="20" w:name="_Toc518923100"/>
      <w:bookmarkStart w:id="21" w:name="_Toc2583661"/>
      <w:r>
        <w:rPr>
          <w:rFonts w:ascii="Arial" w:hAnsi="Arial" w:cs="Arial"/>
          <w:b/>
          <w:sz w:val="24"/>
        </w:rPr>
        <w:t>34.廉洁自律规定</w:t>
      </w:r>
      <w:bookmarkEnd w:id="20"/>
      <w:bookmarkEnd w:id="21"/>
    </w:p>
    <w:p>
      <w:pPr>
        <w:spacing w:line="360" w:lineRule="auto"/>
        <w:ind w:firstLine="435"/>
        <w:rPr>
          <w:rFonts w:ascii="Arial" w:hAnsi="Arial" w:cs="Arial"/>
          <w:sz w:val="24"/>
        </w:rPr>
      </w:pPr>
      <w:r>
        <w:rPr>
          <w:rFonts w:ascii="Arial" w:hAnsi="Arial" w:cs="Arial"/>
          <w:sz w:val="24"/>
        </w:rPr>
        <w:t>34.1采购代理机构工作人员不得以不正当手段获取政府采购代理业务，不得与采购人、</w:t>
      </w:r>
      <w:r>
        <w:rPr>
          <w:rFonts w:hint="eastAsia" w:ascii="Arial" w:hAnsi="Arial" w:cs="Arial"/>
          <w:sz w:val="24"/>
        </w:rPr>
        <w:t>投标人</w:t>
      </w:r>
      <w:r>
        <w:rPr>
          <w:rFonts w:ascii="Arial" w:hAnsi="Arial" w:cs="Arial"/>
          <w:sz w:val="24"/>
        </w:rPr>
        <w:t>恶意串通。</w:t>
      </w:r>
    </w:p>
    <w:p>
      <w:pPr>
        <w:spacing w:line="360" w:lineRule="auto"/>
        <w:ind w:firstLine="435"/>
        <w:rPr>
          <w:rFonts w:ascii="Arial" w:hAnsi="Arial" w:cs="Arial"/>
          <w:sz w:val="24"/>
        </w:rPr>
      </w:pPr>
      <w:r>
        <w:rPr>
          <w:rFonts w:ascii="Arial" w:hAnsi="Arial" w:cs="Arial"/>
          <w:sz w:val="24"/>
        </w:rPr>
        <w:t>34.2采购代理机构工作人员不得接受采购人或者</w:t>
      </w:r>
      <w:r>
        <w:rPr>
          <w:rFonts w:hint="eastAsia" w:ascii="Arial" w:hAnsi="Arial" w:cs="Arial"/>
          <w:sz w:val="24"/>
        </w:rPr>
        <w:t>投标人</w:t>
      </w:r>
      <w:r>
        <w:rPr>
          <w:rFonts w:ascii="Arial" w:hAnsi="Arial" w:cs="Arial"/>
          <w:sz w:val="24"/>
        </w:rPr>
        <w:t>组织的宴请、旅游、娱乐，不得收受礼品、现金、有价证券等，不得向采购人或者</w:t>
      </w:r>
      <w:r>
        <w:rPr>
          <w:rFonts w:hint="eastAsia" w:ascii="Arial" w:hAnsi="Arial" w:cs="Arial"/>
          <w:sz w:val="24"/>
        </w:rPr>
        <w:t>投标人</w:t>
      </w:r>
      <w:r>
        <w:rPr>
          <w:rFonts w:ascii="Arial" w:hAnsi="Arial" w:cs="Arial"/>
          <w:sz w:val="24"/>
        </w:rPr>
        <w:t>报销应当由个人承担的费用。</w:t>
      </w:r>
    </w:p>
    <w:p>
      <w:pPr>
        <w:spacing w:line="360" w:lineRule="auto"/>
        <w:ind w:firstLine="437"/>
        <w:outlineLvl w:val="3"/>
        <w:rPr>
          <w:rFonts w:ascii="Arial" w:hAnsi="Arial" w:cs="Arial"/>
          <w:b/>
          <w:sz w:val="24"/>
        </w:rPr>
      </w:pPr>
      <w:bookmarkStart w:id="22" w:name="_Toc2583662"/>
      <w:bookmarkStart w:id="23" w:name="_Toc518923101"/>
      <w:r>
        <w:rPr>
          <w:rFonts w:ascii="Arial" w:hAnsi="Arial" w:cs="Arial"/>
          <w:b/>
          <w:sz w:val="24"/>
        </w:rPr>
        <w:t>35.人员回避</w:t>
      </w:r>
      <w:bookmarkEnd w:id="22"/>
      <w:bookmarkEnd w:id="23"/>
    </w:p>
    <w:p>
      <w:pPr>
        <w:spacing w:line="360" w:lineRule="auto"/>
        <w:ind w:firstLine="435"/>
        <w:rPr>
          <w:rFonts w:ascii="Arial" w:hAnsi="Arial" w:eastAsia="仿宋_GB2312" w:cs="Arial"/>
          <w:sz w:val="24"/>
        </w:rPr>
      </w:pPr>
      <w:r>
        <w:rPr>
          <w:rFonts w:ascii="Arial" w:hAnsi="Arial" w:cs="Arial"/>
          <w:sz w:val="24"/>
        </w:rPr>
        <w:t>投标人认为采购人员及其相关人员有法律法规所列与其他</w:t>
      </w:r>
      <w:r>
        <w:rPr>
          <w:rFonts w:hint="eastAsia" w:ascii="Arial" w:hAnsi="Arial" w:cs="Arial"/>
          <w:sz w:val="24"/>
        </w:rPr>
        <w:t>投标人</w:t>
      </w:r>
      <w:r>
        <w:rPr>
          <w:rFonts w:ascii="Arial" w:hAnsi="Arial" w:cs="Arial"/>
          <w:sz w:val="24"/>
        </w:rPr>
        <w:t>有利害关系的，可以向采购人或采购代理机构书面提出回避申请，并说明理由。</w:t>
      </w:r>
    </w:p>
    <w:p>
      <w:pPr>
        <w:spacing w:line="360" w:lineRule="auto"/>
        <w:ind w:firstLine="437"/>
        <w:outlineLvl w:val="3"/>
        <w:rPr>
          <w:rFonts w:ascii="Arial" w:hAnsi="Arial" w:cs="Arial"/>
          <w:b/>
          <w:sz w:val="24"/>
        </w:rPr>
      </w:pPr>
      <w:r>
        <w:rPr>
          <w:rFonts w:ascii="Arial" w:hAnsi="Arial" w:cs="Arial"/>
          <w:b/>
          <w:sz w:val="24"/>
        </w:rPr>
        <w:t>36.质疑的提出与接收</w:t>
      </w:r>
    </w:p>
    <w:p>
      <w:pPr>
        <w:spacing w:line="360" w:lineRule="auto"/>
        <w:ind w:firstLine="435"/>
        <w:rPr>
          <w:rFonts w:ascii="Arial" w:hAnsi="Arial" w:cs="Arial"/>
          <w:sz w:val="24"/>
        </w:rPr>
      </w:pPr>
      <w:r>
        <w:rPr>
          <w:rFonts w:ascii="Arial" w:hAnsi="Arial" w:cs="Arial"/>
          <w:sz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Arial" w:hAnsi="Arial" w:cs="Arial"/>
          <w:sz w:val="24"/>
        </w:rPr>
      </w:pPr>
      <w:r>
        <w:rPr>
          <w:rFonts w:ascii="Arial" w:hAnsi="Arial" w:cs="Arial"/>
          <w:sz w:val="24"/>
        </w:rPr>
        <w:t>36.2质疑</w:t>
      </w:r>
      <w:r>
        <w:rPr>
          <w:rFonts w:hint="eastAsia" w:ascii="Arial" w:hAnsi="Arial" w:cs="Arial"/>
          <w:sz w:val="24"/>
        </w:rPr>
        <w:t>供应商</w:t>
      </w:r>
      <w:r>
        <w:rPr>
          <w:rFonts w:ascii="Arial" w:hAnsi="Arial" w:cs="Arial"/>
          <w:sz w:val="24"/>
        </w:rPr>
        <w:t>应按照财政部制定的《政府采购</w:t>
      </w:r>
      <w:r>
        <w:rPr>
          <w:rFonts w:hint="eastAsia" w:ascii="Arial" w:hAnsi="Arial" w:cs="Arial"/>
          <w:sz w:val="24"/>
        </w:rPr>
        <w:t>供应商</w:t>
      </w:r>
      <w:r>
        <w:rPr>
          <w:rFonts w:ascii="Arial" w:hAnsi="Arial" w:cs="Arial"/>
          <w:sz w:val="24"/>
        </w:rPr>
        <w:t>质疑函范本》格式（详见招标文件第八章）和《政府采购质疑和投诉办法》的要求，在法定质疑期内以书面形式提出质疑，超出法定质疑期提交的质疑将被拒绝。针对同一采购程序环节的质疑应一次性提出。</w:t>
      </w:r>
    </w:p>
    <w:p>
      <w:pPr>
        <w:spacing w:line="360" w:lineRule="auto"/>
        <w:ind w:firstLine="435"/>
        <w:rPr>
          <w:rFonts w:ascii="Arial" w:hAnsi="Arial" w:cs="Arial"/>
          <w:sz w:val="24"/>
        </w:rPr>
      </w:pPr>
      <w:r>
        <w:rPr>
          <w:rFonts w:ascii="Arial" w:hAnsi="Arial" w:cs="Arial"/>
          <w:sz w:val="24"/>
        </w:rPr>
        <w:t>36.3采购代理机构质疑函接收部门、联系电话和通讯地址，见</w:t>
      </w:r>
      <w:r>
        <w:rPr>
          <w:rFonts w:ascii="Arial" w:hAnsi="Arial" w:cs="Arial"/>
          <w:sz w:val="24"/>
          <w:u w:val="single"/>
        </w:rPr>
        <w:t>投标人须知前附表</w:t>
      </w:r>
      <w:r>
        <w:rPr>
          <w:rFonts w:ascii="Arial" w:hAnsi="Arial" w:cs="Arial"/>
          <w:sz w:val="24"/>
        </w:rPr>
        <w:t>。</w:t>
      </w:r>
    </w:p>
    <w:p>
      <w:pPr>
        <w:spacing w:line="360" w:lineRule="auto"/>
        <w:ind w:firstLine="437"/>
        <w:outlineLvl w:val="3"/>
        <w:rPr>
          <w:rFonts w:ascii="Arial" w:hAnsi="Arial" w:cs="Arial"/>
          <w:b/>
          <w:sz w:val="24"/>
        </w:rPr>
      </w:pPr>
      <w:r>
        <w:rPr>
          <w:rFonts w:ascii="Arial" w:hAnsi="Arial" w:cs="Arial"/>
          <w:b/>
          <w:sz w:val="24"/>
        </w:rPr>
        <w:t>37.需要补充的其他内容</w:t>
      </w:r>
    </w:p>
    <w:p>
      <w:pPr>
        <w:spacing w:line="360" w:lineRule="auto"/>
        <w:ind w:firstLine="435"/>
        <w:rPr>
          <w:rFonts w:ascii="Arial" w:hAnsi="Arial" w:cs="Arial"/>
          <w:sz w:val="24"/>
        </w:rPr>
      </w:pPr>
      <w:r>
        <w:rPr>
          <w:rFonts w:ascii="Arial" w:hAnsi="Arial" w:cs="Arial"/>
          <w:sz w:val="24"/>
        </w:rPr>
        <w:t>需要补充的其他内容，见</w:t>
      </w:r>
      <w:r>
        <w:rPr>
          <w:rFonts w:ascii="Arial" w:hAnsi="Arial" w:cs="Arial"/>
          <w:sz w:val="24"/>
          <w:u w:val="single"/>
        </w:rPr>
        <w:t>投标人须知前附表</w:t>
      </w:r>
      <w:r>
        <w:rPr>
          <w:rFonts w:ascii="Arial" w:hAnsi="Arial" w:cs="Arial"/>
          <w:sz w:val="24"/>
        </w:rPr>
        <w:t>。</w:t>
      </w:r>
    </w:p>
    <w:p>
      <w:pPr>
        <w:widowControl/>
        <w:spacing w:line="400" w:lineRule="exact"/>
        <w:jc w:val="left"/>
        <w:rPr>
          <w:rFonts w:ascii="Arial" w:hAnsi="Arial" w:cs="Arial"/>
          <w:b/>
          <w:sz w:val="28"/>
        </w:rPr>
      </w:pPr>
      <w:r>
        <w:rPr>
          <w:rFonts w:ascii="Arial" w:hAnsi="Arial" w:cs="Arial"/>
          <w:sz w:val="24"/>
        </w:rPr>
        <w:br w:type="page"/>
      </w:r>
    </w:p>
    <w:p>
      <w:pPr>
        <w:spacing w:line="360" w:lineRule="auto"/>
        <w:jc w:val="center"/>
        <w:outlineLvl w:val="1"/>
        <w:rPr>
          <w:rFonts w:ascii="Arial" w:hAnsi="Arial" w:cs="Arial"/>
          <w:b/>
          <w:sz w:val="28"/>
        </w:rPr>
      </w:pPr>
      <w:bookmarkStart w:id="24" w:name="_Toc6956"/>
      <w:bookmarkStart w:id="25" w:name="_Toc32625"/>
      <w:r>
        <w:rPr>
          <w:rFonts w:hint="eastAsia" w:ascii="Arial" w:hAnsi="Arial" w:cs="Arial"/>
          <w:b/>
          <w:sz w:val="28"/>
        </w:rPr>
        <w:t>第三章</w:t>
      </w:r>
      <w:r>
        <w:rPr>
          <w:rFonts w:ascii="Arial" w:hAnsi="Arial" w:cs="Arial"/>
          <w:b/>
          <w:sz w:val="28"/>
        </w:rPr>
        <w:t xml:space="preserve">  </w:t>
      </w:r>
      <w:r>
        <w:rPr>
          <w:rFonts w:hint="eastAsia" w:ascii="Arial" w:hAnsi="Arial" w:cs="Arial"/>
          <w:b/>
          <w:sz w:val="28"/>
        </w:rPr>
        <w:t>采购需求</w:t>
      </w:r>
      <w:bookmarkEnd w:id="24"/>
      <w:bookmarkEnd w:id="25"/>
    </w:p>
    <w:p>
      <w:pPr>
        <w:spacing w:line="360" w:lineRule="auto"/>
        <w:rPr>
          <w:rFonts w:ascii="Arial" w:hAnsi="Arial" w:cs="Arial"/>
          <w:b/>
          <w:sz w:val="24"/>
        </w:rPr>
      </w:pPr>
      <w:r>
        <w:rPr>
          <w:rFonts w:hint="eastAsia" w:ascii="Arial" w:hAnsi="Arial" w:cs="Arial"/>
          <w:b/>
          <w:sz w:val="24"/>
        </w:rPr>
        <w:t>前注：</w:t>
      </w:r>
    </w:p>
    <w:p>
      <w:pPr>
        <w:spacing w:line="360" w:lineRule="auto"/>
        <w:ind w:firstLine="435"/>
        <w:rPr>
          <w:rFonts w:ascii="Arial" w:hAnsi="Arial" w:cs="Arial"/>
          <w:sz w:val="24"/>
          <w:szCs w:val="18"/>
        </w:rPr>
      </w:pPr>
      <w:r>
        <w:rPr>
          <w:rFonts w:ascii="Arial" w:hAnsi="Arial" w:cs="Arial"/>
          <w:sz w:val="24"/>
        </w:rPr>
        <w:t>1.</w:t>
      </w:r>
      <w:r>
        <w:rPr>
          <w:rFonts w:hint="eastAsia" w:ascii="Arial" w:hAnsi="Arial" w:cs="Arial"/>
          <w:sz w:val="24"/>
          <w:szCs w:val="18"/>
        </w:rPr>
        <w:t>中标人有义务保证采购单位系统设备的完整性、系统集成性，需自行考虑招标文件中可能未明示但为保证项目正常运行需要的辅助设备和配件，并考虑在投标报价内。</w:t>
      </w:r>
    </w:p>
    <w:p>
      <w:pPr>
        <w:spacing w:line="360" w:lineRule="auto"/>
        <w:ind w:firstLine="435"/>
        <w:rPr>
          <w:rFonts w:ascii="Arial" w:hAnsi="Arial" w:cs="Arial"/>
          <w:sz w:val="24"/>
          <w:szCs w:val="18"/>
        </w:rPr>
      </w:pPr>
      <w:r>
        <w:rPr>
          <w:rFonts w:ascii="Arial" w:hAnsi="Arial" w:cs="Arial"/>
          <w:sz w:val="24"/>
          <w:szCs w:val="18"/>
        </w:rPr>
        <w:t>2.</w:t>
      </w:r>
      <w:r>
        <w:rPr>
          <w:rFonts w:hint="eastAsia" w:ascii="Arial" w:hAnsi="Arial" w:cs="Arial"/>
          <w:sz w:val="24"/>
          <w:szCs w:val="18"/>
        </w:rPr>
        <w:t>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435"/>
        <w:rPr>
          <w:rFonts w:hint="eastAsia" w:ascii="Arial" w:hAnsi="Arial" w:cs="Arial"/>
          <w:sz w:val="24"/>
          <w:szCs w:val="18"/>
        </w:rPr>
      </w:pPr>
      <w:r>
        <w:rPr>
          <w:rFonts w:ascii="Arial" w:hAnsi="Arial" w:cs="Arial"/>
          <w:sz w:val="24"/>
          <w:szCs w:val="18"/>
        </w:rPr>
        <w:t>3.</w:t>
      </w:r>
      <w:r>
        <w:rPr>
          <w:rFonts w:hint="eastAsia" w:ascii="Arial" w:hAnsi="Arial" w:cs="Arial"/>
          <w:sz w:val="24"/>
          <w:szCs w:val="18"/>
        </w:rPr>
        <w:t>下列采购需求中：标注</w:t>
      </w:r>
      <w:r>
        <w:rPr>
          <w:rFonts w:ascii="Arial" w:hAnsi="Arial" w:cs="Arial"/>
          <w:sz w:val="24"/>
          <w:szCs w:val="18"/>
        </w:rPr>
        <w:t>▲</w:t>
      </w:r>
      <w:r>
        <w:rPr>
          <w:rFonts w:hint="eastAsia" w:ascii="Arial" w:hAnsi="Arial" w:cs="Arial"/>
          <w:sz w:val="24"/>
          <w:szCs w:val="18"/>
        </w:rPr>
        <w:t>的产品（核心产品），投标人在投标文件《主要中标标的承诺函》中填写名称、品牌、规格、型号、数量、单价等信息。</w:t>
      </w:r>
    </w:p>
    <w:p>
      <w:pPr>
        <w:spacing w:line="360" w:lineRule="auto"/>
        <w:ind w:firstLine="435"/>
        <w:rPr>
          <w:rFonts w:hint="eastAsia" w:ascii="Arial" w:hAnsi="Arial" w:cs="Arial"/>
          <w:sz w:val="24"/>
          <w:szCs w:val="18"/>
        </w:rPr>
      </w:pPr>
      <w:r>
        <w:rPr>
          <w:rFonts w:hint="eastAsia" w:ascii="Arial" w:hAnsi="Arial" w:cs="Arial"/>
          <w:sz w:val="24"/>
          <w:szCs w:val="18"/>
        </w:rPr>
        <w:t>4.以下如要求提供的检测报告、彩页、证书等均为影印件（扫描件）加盖投标人公章，作为投标文件的组成部分；但在签订合同前采购人有权对中标候选人提供资料真实性进行核验，如不能提供的，视同虚假应标。</w:t>
      </w:r>
    </w:p>
    <w:p>
      <w:pPr>
        <w:spacing w:line="360" w:lineRule="auto"/>
        <w:ind w:firstLine="435"/>
        <w:rPr>
          <w:rFonts w:hint="eastAsia" w:ascii="Arial" w:hAnsi="Arial" w:cs="Arial"/>
          <w:sz w:val="24"/>
          <w:szCs w:val="18"/>
        </w:rPr>
      </w:pPr>
      <w:r>
        <w:rPr>
          <w:rFonts w:hint="eastAsia" w:ascii="Arial" w:hAnsi="Arial" w:cs="Arial"/>
          <w:sz w:val="24"/>
          <w:szCs w:val="18"/>
        </w:rPr>
        <w:t>5.以下如有要求产品演示的均不需要在开标现场演示,采购人会在签订合同前根据需要通知第一中标候选人到校演示,必须为真实的软件或产品演示，演示不符合要求的,将取消其中标资格,并按顺次通知第二、三中标候选人到校进行相同要求的演示。</w:t>
      </w:r>
    </w:p>
    <w:p>
      <w:pPr>
        <w:spacing w:line="360" w:lineRule="auto"/>
        <w:ind w:firstLine="435"/>
        <w:rPr>
          <w:rFonts w:hint="eastAsia" w:ascii="Arial" w:hAnsi="Arial" w:cs="Arial"/>
          <w:sz w:val="24"/>
          <w:szCs w:val="18"/>
        </w:rPr>
      </w:pPr>
      <w:r>
        <w:rPr>
          <w:rFonts w:hint="eastAsia" w:ascii="Arial" w:hAnsi="Arial" w:cs="Arial"/>
          <w:sz w:val="24"/>
          <w:szCs w:val="18"/>
        </w:rPr>
        <w:t>6.本需求中提出的技术方案仅为参考，如无明确限制，投标人可以进行优化，提供满足用户实际需要的更优（或者性能实质上不低于的）技术方案或者设备配置，且此方案或配置须经评委会审核认可；</w:t>
      </w:r>
    </w:p>
    <w:p>
      <w:pPr>
        <w:spacing w:line="360" w:lineRule="auto"/>
        <w:ind w:firstLine="435"/>
        <w:rPr>
          <w:rFonts w:hint="default" w:ascii="Arial" w:hAnsi="Arial" w:eastAsia="宋体" w:cs="Arial"/>
          <w:color w:val="auto"/>
          <w:sz w:val="24"/>
          <w:szCs w:val="18"/>
          <w:highlight w:val="none"/>
          <w:lang w:val="en-US" w:eastAsia="zh-CN"/>
        </w:rPr>
      </w:pPr>
      <w:r>
        <w:rPr>
          <w:rFonts w:hint="eastAsia" w:ascii="Arial" w:hAnsi="Arial" w:cs="Arial"/>
          <w:sz w:val="24"/>
          <w:szCs w:val="18"/>
        </w:rPr>
        <w:t>7.</w:t>
      </w:r>
      <w:r>
        <w:rPr>
          <w:rFonts w:hint="eastAsia" w:ascii="Arial" w:hAnsi="Arial" w:eastAsia="宋体" w:cs="Arial"/>
          <w:color w:val="auto"/>
          <w:sz w:val="24"/>
          <w:szCs w:val="18"/>
          <w:highlight w:val="none"/>
        </w:rPr>
        <w:t xml:space="preserve">投标人应当在投标文件中列出完成本项目并通过验收所需的所有各项服务全部费用。中标人必须确保整体通过用户方及有关主管部门验收；投标人应自行踏勘施工建设现场，如投标人因未及时踏勘现场而导致的报价缺项漏项废标、或中标后无法完工，投标人自行承担一切后果； </w:t>
      </w:r>
    </w:p>
    <w:p>
      <w:pPr>
        <w:spacing w:line="360" w:lineRule="auto"/>
        <w:ind w:firstLine="435"/>
        <w:rPr>
          <w:rFonts w:hint="eastAsia" w:ascii="Arial" w:hAnsi="Arial" w:cs="Arial"/>
          <w:sz w:val="24"/>
          <w:szCs w:val="18"/>
        </w:rPr>
      </w:pPr>
      <w:r>
        <w:rPr>
          <w:rFonts w:hint="eastAsia" w:ascii="Arial" w:hAnsi="Arial" w:cs="Arial"/>
          <w:sz w:val="24"/>
          <w:szCs w:val="18"/>
        </w:rPr>
        <w:t>8.如对本招标文件有任何疑问或澄清要求，请按本招标文件“投标人须知前附表”中的约定联系代理机构，或接受答疑截止时间前联系采购人。否则视同理解和接受。</w:t>
      </w:r>
    </w:p>
    <w:p>
      <w:pPr>
        <w:outlineLvl w:val="2"/>
        <w:rPr>
          <w:rFonts w:hint="eastAsia" w:ascii="Times New Roman" w:hAnsi="Times New Roman" w:eastAsia="宋体" w:cs="Arial"/>
          <w:b/>
          <w:sz w:val="24"/>
          <w:szCs w:val="24"/>
          <w:lang w:eastAsia="zh-CN"/>
        </w:rPr>
      </w:pPr>
      <w:r>
        <w:rPr>
          <w:rFonts w:hint="eastAsia" w:ascii="Arial" w:hAnsi="Arial" w:cs="Arial"/>
          <w:b/>
          <w:sz w:val="28"/>
        </w:rPr>
        <w:br w:type="page"/>
      </w:r>
      <w:bookmarkStart w:id="26" w:name="_Toc25240"/>
      <w:r>
        <w:rPr>
          <w:rFonts w:hint="eastAsia" w:ascii="Times New Roman" w:hAnsi="Times New Roman" w:cs="Arial"/>
          <w:b/>
          <w:sz w:val="24"/>
          <w:szCs w:val="24"/>
        </w:rPr>
        <w:t>一、采购需求前附表</w:t>
      </w:r>
      <w:r>
        <w:rPr>
          <w:rFonts w:hint="eastAsia" w:ascii="Times New Roman" w:hAnsi="Times New Roman" w:cs="Arial"/>
          <w:b/>
          <w:sz w:val="24"/>
          <w:szCs w:val="24"/>
          <w:lang w:eastAsia="zh-CN"/>
        </w:rPr>
        <w:t>（</w:t>
      </w:r>
      <w:r>
        <w:rPr>
          <w:rFonts w:hint="eastAsia" w:ascii="Times New Roman" w:hAnsi="Times New Roman" w:cs="Arial"/>
          <w:b/>
          <w:sz w:val="24"/>
          <w:szCs w:val="24"/>
          <w:lang w:val="en-US" w:eastAsia="zh-CN"/>
        </w:rPr>
        <w:t>适用于本项目三个包别</w:t>
      </w:r>
      <w:r>
        <w:rPr>
          <w:rFonts w:hint="eastAsia" w:ascii="Times New Roman" w:hAnsi="Times New Roman" w:cs="Arial"/>
          <w:b/>
          <w:sz w:val="24"/>
          <w:szCs w:val="24"/>
          <w:lang w:eastAsia="zh-CN"/>
        </w:rPr>
        <w:t>）</w:t>
      </w:r>
    </w:p>
    <w:tbl>
      <w:tblPr>
        <w:tblStyle w:val="2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025"/>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1" w:type="dxa"/>
            <w:noWrap w:val="0"/>
            <w:vAlign w:val="center"/>
          </w:tcPr>
          <w:p>
            <w:pPr>
              <w:jc w:val="center"/>
              <w:rPr>
                <w:rFonts w:ascii="Times New Roman" w:hAnsi="Times New Roman" w:cs="Arial"/>
                <w:b/>
                <w:sz w:val="24"/>
                <w:szCs w:val="24"/>
              </w:rPr>
            </w:pPr>
            <w:r>
              <w:rPr>
                <w:rFonts w:hint="eastAsia" w:ascii="Times New Roman" w:hAnsi="Times New Roman" w:cs="Arial"/>
                <w:b/>
                <w:sz w:val="24"/>
                <w:szCs w:val="24"/>
              </w:rPr>
              <w:t>序号</w:t>
            </w:r>
          </w:p>
        </w:tc>
        <w:tc>
          <w:tcPr>
            <w:tcW w:w="2025" w:type="dxa"/>
            <w:noWrap w:val="0"/>
            <w:vAlign w:val="center"/>
          </w:tcPr>
          <w:p>
            <w:pPr>
              <w:jc w:val="center"/>
              <w:rPr>
                <w:rFonts w:ascii="Times New Roman" w:hAnsi="Times New Roman" w:cs="Arial"/>
                <w:b/>
                <w:kern w:val="0"/>
                <w:sz w:val="24"/>
                <w:szCs w:val="24"/>
              </w:rPr>
            </w:pPr>
            <w:r>
              <w:rPr>
                <w:rFonts w:hint="eastAsia" w:ascii="Times New Roman" w:hAnsi="Times New Roman" w:cs="Arial"/>
                <w:b/>
                <w:kern w:val="0"/>
                <w:sz w:val="24"/>
                <w:szCs w:val="24"/>
              </w:rPr>
              <w:t>内容</w:t>
            </w:r>
          </w:p>
        </w:tc>
        <w:tc>
          <w:tcPr>
            <w:tcW w:w="6374" w:type="dxa"/>
            <w:noWrap w:val="0"/>
            <w:vAlign w:val="center"/>
          </w:tcPr>
          <w:p>
            <w:pPr>
              <w:jc w:val="center"/>
              <w:rPr>
                <w:rFonts w:ascii="Times New Roman" w:hAnsi="Times New Roman" w:cs="Arial"/>
                <w:b/>
                <w:kern w:val="0"/>
                <w:sz w:val="24"/>
                <w:szCs w:val="24"/>
              </w:rPr>
            </w:pPr>
            <w:r>
              <w:rPr>
                <w:rFonts w:hint="eastAsia" w:ascii="Times New Roman" w:hAnsi="Times New Roman" w:cs="Arial"/>
                <w:b/>
                <w:kern w:val="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1" w:type="dxa"/>
            <w:noWrap w:val="0"/>
            <w:vAlign w:val="center"/>
          </w:tcPr>
          <w:p>
            <w:pPr>
              <w:widowControl/>
              <w:spacing w:before="100" w:beforeAutospacing="1" w:after="100" w:afterAutospacing="1"/>
              <w:jc w:val="center"/>
              <w:rPr>
                <w:rFonts w:ascii="Times New Roman" w:hAnsi="Times New Roman" w:cs="Arial"/>
                <w:bCs/>
                <w:sz w:val="24"/>
                <w:szCs w:val="24"/>
              </w:rPr>
            </w:pPr>
            <w:r>
              <w:rPr>
                <w:rFonts w:hint="eastAsia" w:ascii="Times New Roman" w:hAnsi="Times New Roman" w:cs="宋体"/>
                <w:kern w:val="0"/>
                <w:sz w:val="24"/>
                <w:szCs w:val="24"/>
              </w:rPr>
              <w:t>1</w:t>
            </w:r>
          </w:p>
        </w:tc>
        <w:tc>
          <w:tcPr>
            <w:tcW w:w="2025" w:type="dxa"/>
            <w:noWrap w:val="0"/>
            <w:vAlign w:val="center"/>
          </w:tcPr>
          <w:p>
            <w:pPr>
              <w:widowControl/>
              <w:jc w:val="center"/>
              <w:rPr>
                <w:rFonts w:ascii="Times New Roman" w:hAnsi="Times New Roman" w:cs="Arial"/>
                <w:kern w:val="0"/>
                <w:sz w:val="24"/>
                <w:szCs w:val="24"/>
              </w:rPr>
            </w:pPr>
            <w:r>
              <w:rPr>
                <w:rFonts w:hint="eastAsia" w:ascii="Times New Roman" w:hAnsi="Times New Roman" w:cs="宋体"/>
                <w:kern w:val="0"/>
                <w:sz w:val="24"/>
                <w:szCs w:val="24"/>
              </w:rPr>
              <w:t>付款方式</w:t>
            </w:r>
          </w:p>
        </w:tc>
        <w:tc>
          <w:tcPr>
            <w:tcW w:w="6374"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合同签订生效并具备实施条件后采购人根据项目实际情况于5个工作日内支付合同价款的50%作为预付款（中标人须提交银行、保险公司、担保公司等金融机构出具的预付款保函或其他担保措施，以上各类机构出具的以担保函、保证保险承担责任的方式均须满足无条件见索即付条件），验收合格后支付剩余合同价款。付款前中标人需提请支付申请并开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1" w:type="dxa"/>
            <w:noWrap w:val="0"/>
            <w:vAlign w:val="center"/>
          </w:tcPr>
          <w:p>
            <w:pPr>
              <w:widowControl/>
              <w:spacing w:before="100" w:beforeAutospacing="1" w:after="100" w:afterAutospacing="1"/>
              <w:jc w:val="center"/>
              <w:rPr>
                <w:rFonts w:ascii="Times New Roman" w:hAnsi="Times New Roman" w:cs="Arial"/>
                <w:bCs/>
                <w:sz w:val="24"/>
                <w:szCs w:val="24"/>
              </w:rPr>
            </w:pPr>
            <w:r>
              <w:rPr>
                <w:rFonts w:hint="eastAsia" w:ascii="Times New Roman" w:hAnsi="Times New Roman" w:cs="宋体"/>
                <w:kern w:val="0"/>
                <w:sz w:val="24"/>
                <w:szCs w:val="24"/>
              </w:rPr>
              <w:t>2</w:t>
            </w:r>
          </w:p>
        </w:tc>
        <w:tc>
          <w:tcPr>
            <w:tcW w:w="2025" w:type="dxa"/>
            <w:noWrap w:val="0"/>
            <w:vAlign w:val="center"/>
          </w:tcPr>
          <w:p>
            <w:pPr>
              <w:widowControl/>
              <w:jc w:val="center"/>
              <w:rPr>
                <w:rFonts w:ascii="Times New Roman" w:hAnsi="Times New Roman" w:cs="Arial"/>
                <w:kern w:val="0"/>
                <w:sz w:val="24"/>
                <w:szCs w:val="24"/>
              </w:rPr>
            </w:pPr>
            <w:r>
              <w:rPr>
                <w:rFonts w:hint="eastAsia" w:ascii="Times New Roman" w:hAnsi="Times New Roman" w:cs="宋体"/>
                <w:kern w:val="0"/>
                <w:sz w:val="24"/>
                <w:szCs w:val="24"/>
              </w:rPr>
              <w:t>供货及安装地点</w:t>
            </w:r>
          </w:p>
        </w:tc>
        <w:tc>
          <w:tcPr>
            <w:tcW w:w="6374"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安徽理工大学，采购人指定地点。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noWrap w:val="0"/>
            <w:vAlign w:val="center"/>
          </w:tcPr>
          <w:p>
            <w:pPr>
              <w:widowControl/>
              <w:spacing w:before="100" w:beforeAutospacing="1" w:after="100" w:afterAutospacing="1"/>
              <w:jc w:val="center"/>
              <w:rPr>
                <w:rFonts w:ascii="Times New Roman" w:hAnsi="Times New Roman" w:cs="Arial"/>
                <w:bCs/>
                <w:sz w:val="24"/>
                <w:szCs w:val="24"/>
              </w:rPr>
            </w:pPr>
            <w:r>
              <w:rPr>
                <w:rFonts w:hint="eastAsia" w:ascii="Times New Roman" w:hAnsi="Times New Roman" w:cs="宋体"/>
                <w:kern w:val="0"/>
                <w:sz w:val="24"/>
                <w:szCs w:val="24"/>
              </w:rPr>
              <w:t>3</w:t>
            </w:r>
          </w:p>
        </w:tc>
        <w:tc>
          <w:tcPr>
            <w:tcW w:w="2025" w:type="dxa"/>
            <w:noWrap w:val="0"/>
            <w:vAlign w:val="center"/>
          </w:tcPr>
          <w:p>
            <w:pPr>
              <w:widowControl/>
              <w:jc w:val="center"/>
              <w:rPr>
                <w:rFonts w:ascii="Times New Roman" w:hAnsi="Times New Roman" w:cs="Arial"/>
                <w:kern w:val="0"/>
                <w:sz w:val="24"/>
                <w:szCs w:val="24"/>
              </w:rPr>
            </w:pPr>
            <w:r>
              <w:rPr>
                <w:rFonts w:hint="eastAsia" w:ascii="Times New Roman" w:hAnsi="Times New Roman" w:cs="宋体"/>
                <w:kern w:val="0"/>
                <w:sz w:val="24"/>
                <w:szCs w:val="24"/>
              </w:rPr>
              <w:t>供货及安装期限</w:t>
            </w:r>
          </w:p>
        </w:tc>
        <w:tc>
          <w:tcPr>
            <w:tcW w:w="6374"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合同签订后30日内完成供货安装及调试并经验收合格，各设备中有特殊要求的，按要求执行。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1" w:type="dxa"/>
            <w:noWrap w:val="0"/>
            <w:vAlign w:val="center"/>
          </w:tcPr>
          <w:p>
            <w:pPr>
              <w:widowControl/>
              <w:spacing w:before="100" w:beforeAutospacing="1" w:after="100" w:afterAutospacing="1"/>
              <w:jc w:val="center"/>
              <w:rPr>
                <w:rFonts w:ascii="Times New Roman" w:hAnsi="Times New Roman" w:cs="Arial"/>
                <w:bCs/>
                <w:sz w:val="24"/>
                <w:szCs w:val="24"/>
              </w:rPr>
            </w:pPr>
            <w:r>
              <w:rPr>
                <w:rFonts w:hint="eastAsia" w:ascii="Times New Roman" w:hAnsi="Times New Roman" w:cs="宋体"/>
                <w:kern w:val="0"/>
                <w:sz w:val="24"/>
                <w:szCs w:val="24"/>
              </w:rPr>
              <w:t>4</w:t>
            </w:r>
          </w:p>
        </w:tc>
        <w:tc>
          <w:tcPr>
            <w:tcW w:w="2025" w:type="dxa"/>
            <w:noWrap w:val="0"/>
            <w:vAlign w:val="center"/>
          </w:tcPr>
          <w:p>
            <w:pPr>
              <w:widowControl/>
              <w:jc w:val="center"/>
              <w:rPr>
                <w:rFonts w:ascii="Times New Roman" w:hAnsi="Times New Roman" w:cs="Arial"/>
                <w:kern w:val="0"/>
                <w:sz w:val="24"/>
                <w:szCs w:val="24"/>
              </w:rPr>
            </w:pPr>
            <w:r>
              <w:rPr>
                <w:rFonts w:hint="eastAsia" w:ascii="Times New Roman" w:hAnsi="Times New Roman" w:cs="宋体"/>
                <w:kern w:val="0"/>
                <w:sz w:val="24"/>
                <w:szCs w:val="24"/>
              </w:rPr>
              <w:t>免费质保期</w:t>
            </w:r>
          </w:p>
        </w:tc>
        <w:tc>
          <w:tcPr>
            <w:tcW w:w="6374"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验收合格后</w:t>
            </w:r>
            <w:r>
              <w:rPr>
                <w:rFonts w:ascii="Times New Roman" w:hAnsi="Times New Roman" w:cs="宋体"/>
                <w:kern w:val="0"/>
                <w:sz w:val="24"/>
                <w:szCs w:val="24"/>
              </w:rPr>
              <w:t>1</w:t>
            </w:r>
            <w:r>
              <w:rPr>
                <w:rFonts w:hint="eastAsia" w:ascii="Times New Roman" w:hAnsi="Times New Roman" w:cs="宋体"/>
                <w:kern w:val="0"/>
                <w:sz w:val="24"/>
                <w:szCs w:val="24"/>
              </w:rPr>
              <w:t>年，所有设备终身维护，货物需求表另有规定或投标人自行承诺的，以最优要求为准。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1" w:type="dxa"/>
            <w:noWrap w:val="0"/>
            <w:vAlign w:val="center"/>
          </w:tcPr>
          <w:p>
            <w:pPr>
              <w:widowControl/>
              <w:jc w:val="center"/>
              <w:rPr>
                <w:rFonts w:ascii="Times New Roman" w:hAnsi="Times New Roman" w:cs="Arial"/>
                <w:bCs/>
                <w:sz w:val="24"/>
                <w:szCs w:val="24"/>
              </w:rPr>
            </w:pPr>
            <w:r>
              <w:rPr>
                <w:rFonts w:hint="eastAsia" w:ascii="Times New Roman" w:hAnsi="Times New Roman" w:cs="宋体"/>
                <w:kern w:val="0"/>
                <w:sz w:val="24"/>
                <w:szCs w:val="24"/>
              </w:rPr>
              <w:t>5</w:t>
            </w:r>
          </w:p>
        </w:tc>
        <w:tc>
          <w:tcPr>
            <w:tcW w:w="2025"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本项目所属行业</w:t>
            </w:r>
          </w:p>
        </w:tc>
        <w:tc>
          <w:tcPr>
            <w:tcW w:w="6374" w:type="dxa"/>
            <w:noWrap w:val="0"/>
            <w:vAlign w:val="center"/>
          </w:tcPr>
          <w:p>
            <w:pPr>
              <w:widowControl/>
              <w:jc w:val="left"/>
              <w:rPr>
                <w:rFonts w:ascii="Times New Roman" w:hAnsi="Times New Roman" w:cs="Arial"/>
                <w:kern w:val="0"/>
                <w:sz w:val="24"/>
                <w:szCs w:val="24"/>
              </w:rPr>
            </w:pPr>
            <w:r>
              <w:rPr>
                <w:rFonts w:hint="eastAsia" w:ascii="Times New Roman" w:hAnsi="Times New Roman" w:cs="宋体"/>
                <w:kern w:val="0"/>
                <w:sz w:val="24"/>
                <w:szCs w:val="24"/>
              </w:rPr>
              <w:t>工业</w:t>
            </w:r>
          </w:p>
        </w:tc>
      </w:tr>
    </w:tbl>
    <w:p>
      <w:pPr>
        <w:pStyle w:val="5"/>
        <w:spacing w:line="240" w:lineRule="auto"/>
        <w:jc w:val="both"/>
        <w:rPr>
          <w:rFonts w:hint="eastAsia" w:ascii="Times New Roman" w:hAnsi="Times New Roman" w:cs="Arial"/>
          <w:sz w:val="24"/>
          <w:szCs w:val="24"/>
        </w:rPr>
      </w:pPr>
    </w:p>
    <w:p>
      <w:pPr>
        <w:pStyle w:val="5"/>
        <w:numPr>
          <w:ilvl w:val="0"/>
          <w:numId w:val="0"/>
        </w:numPr>
        <w:spacing w:line="240" w:lineRule="auto"/>
        <w:jc w:val="both"/>
        <w:rPr>
          <w:rFonts w:hint="eastAsia" w:ascii="Times New Roman" w:hAnsi="Times New Roman" w:cs="Arial"/>
          <w:sz w:val="24"/>
          <w:szCs w:val="24"/>
        </w:rPr>
      </w:pPr>
      <w:r>
        <w:rPr>
          <w:rFonts w:hint="eastAsia" w:ascii="Times New Roman" w:hAnsi="Times New Roman" w:eastAsia="宋体" w:cs="Arial"/>
          <w:b/>
          <w:bCs/>
          <w:kern w:val="0"/>
          <w:sz w:val="24"/>
          <w:szCs w:val="24"/>
          <w:lang w:val="en-US" w:eastAsia="zh-CN" w:bidi="ar-SA"/>
        </w:rPr>
        <w:t>二、</w:t>
      </w:r>
      <w:r>
        <w:rPr>
          <w:rFonts w:hint="eastAsia" w:ascii="Times New Roman" w:hAnsi="Times New Roman" w:cs="Arial"/>
          <w:sz w:val="24"/>
          <w:szCs w:val="24"/>
        </w:rPr>
        <w:t>货物需求</w:t>
      </w:r>
    </w:p>
    <w:p>
      <w:pPr>
        <w:pStyle w:val="5"/>
        <w:numPr>
          <w:ilvl w:val="0"/>
          <w:numId w:val="0"/>
        </w:numPr>
        <w:spacing w:line="240" w:lineRule="auto"/>
        <w:jc w:val="both"/>
        <w:rPr>
          <w:rFonts w:hint="eastAsia" w:ascii="Times New Roman" w:hAnsi="Times New Roman" w:cs="Arial"/>
          <w:sz w:val="24"/>
          <w:szCs w:val="24"/>
          <w:lang w:val="en-US" w:eastAsia="zh-CN"/>
        </w:rPr>
      </w:pPr>
      <w:r>
        <w:rPr>
          <w:rFonts w:hint="eastAsia" w:ascii="Times New Roman" w:hAnsi="Times New Roman" w:cs="Arial"/>
          <w:sz w:val="24"/>
          <w:szCs w:val="24"/>
          <w:lang w:val="en-US" w:eastAsia="zh-CN"/>
        </w:rPr>
        <w:t>包别1：</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913"/>
        <w:gridCol w:w="6390"/>
        <w:gridCol w:w="66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ascii="Times New Roman" w:hAnsi="Times New Roman" w:cs="Times New Roman"/>
                <w:szCs w:val="20"/>
              </w:rPr>
            </w:pPr>
            <w:r>
              <w:rPr>
                <w:rFonts w:ascii="Times New Roman" w:hAnsi="Times New Roman" w:cs="Times New Roman"/>
                <w:szCs w:val="20"/>
              </w:rPr>
              <w:t>序号</w:t>
            </w:r>
          </w:p>
        </w:tc>
        <w:tc>
          <w:tcPr>
            <w:tcW w:w="1020" w:type="dxa"/>
            <w:vAlign w:val="center"/>
          </w:tcPr>
          <w:p>
            <w:pPr>
              <w:jc w:val="center"/>
              <w:rPr>
                <w:rFonts w:ascii="Times New Roman" w:hAnsi="Times New Roman" w:cs="Times New Roman"/>
                <w:szCs w:val="20"/>
              </w:rPr>
            </w:pPr>
            <w:r>
              <w:rPr>
                <w:rFonts w:ascii="Times New Roman" w:hAnsi="Times New Roman" w:cs="Times New Roman"/>
                <w:szCs w:val="20"/>
              </w:rPr>
              <w:t>名称</w:t>
            </w:r>
          </w:p>
        </w:tc>
        <w:tc>
          <w:tcPr>
            <w:tcW w:w="7170" w:type="dxa"/>
            <w:vAlign w:val="center"/>
          </w:tcPr>
          <w:p>
            <w:pPr>
              <w:jc w:val="center"/>
              <w:rPr>
                <w:rFonts w:ascii="Times New Roman" w:hAnsi="Times New Roman" w:cs="Times New Roman"/>
                <w:szCs w:val="20"/>
              </w:rPr>
            </w:pPr>
            <w:r>
              <w:rPr>
                <w:rFonts w:ascii="Times New Roman" w:hAnsi="Times New Roman" w:cs="Times New Roman"/>
                <w:szCs w:val="20"/>
              </w:rPr>
              <w:t>参数</w:t>
            </w:r>
          </w:p>
        </w:tc>
        <w:tc>
          <w:tcPr>
            <w:tcW w:w="720" w:type="dxa"/>
            <w:vAlign w:val="center"/>
          </w:tcPr>
          <w:p>
            <w:pPr>
              <w:jc w:val="center"/>
              <w:rPr>
                <w:rFonts w:ascii="Times New Roman" w:hAnsi="Times New Roman" w:cs="Times New Roman"/>
                <w:szCs w:val="20"/>
              </w:rPr>
            </w:pPr>
            <w:r>
              <w:rPr>
                <w:rFonts w:ascii="Times New Roman" w:hAnsi="Times New Roman" w:cs="Times New Roman"/>
                <w:szCs w:val="20"/>
              </w:rPr>
              <w:t>单位</w:t>
            </w:r>
          </w:p>
        </w:tc>
        <w:tc>
          <w:tcPr>
            <w:tcW w:w="733" w:type="dxa"/>
            <w:vAlign w:val="center"/>
          </w:tcPr>
          <w:p>
            <w:pPr>
              <w:jc w:val="center"/>
              <w:rPr>
                <w:rFonts w:ascii="Times New Roman" w:hAnsi="Times New Roman" w:cs="Times New Roman"/>
                <w:szCs w:val="20"/>
              </w:rPr>
            </w:pPr>
            <w:r>
              <w:rPr>
                <w:rFonts w:ascii="Times New Roman" w:hAnsi="Times New Roman" w:cs="Times New Roman"/>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jc w:val="center"/>
        </w:trPr>
        <w:tc>
          <w:tcPr>
            <w:tcW w:w="688" w:type="dxa"/>
            <w:vAlign w:val="center"/>
          </w:tcPr>
          <w:p>
            <w:pPr>
              <w:rPr>
                <w:rFonts w:ascii="Times New Roman" w:hAnsi="Times New Roman" w:cs="Times New Roman"/>
                <w:szCs w:val="20"/>
              </w:rPr>
            </w:pPr>
            <w:r>
              <w:rPr>
                <w:rFonts w:ascii="Times New Roman" w:hAnsi="Times New Roman" w:cs="Times New Roman"/>
                <w:szCs w:val="20"/>
              </w:rPr>
              <w:t>1</w:t>
            </w:r>
          </w:p>
        </w:tc>
        <w:tc>
          <w:tcPr>
            <w:tcW w:w="1020" w:type="dxa"/>
            <w:vAlign w:val="center"/>
          </w:tcPr>
          <w:p>
            <w:pPr>
              <w:rPr>
                <w:rFonts w:ascii="Times New Roman" w:hAnsi="Times New Roman" w:cs="Times New Roman"/>
                <w:szCs w:val="20"/>
              </w:rPr>
            </w:pPr>
            <w:r>
              <w:rPr>
                <w:rFonts w:ascii="Arial" w:hAnsi="Arial" w:cs="Arial"/>
                <w:sz w:val="24"/>
                <w:szCs w:val="18"/>
              </w:rPr>
              <w:t>▲</w:t>
            </w:r>
            <w:r>
              <w:rPr>
                <w:rFonts w:ascii="Times New Roman" w:hAnsi="Times New Roman" w:cs="Times New Roman"/>
                <w:szCs w:val="20"/>
              </w:rPr>
              <w:t>粉尘颗粒物探测器实验系统</w:t>
            </w:r>
          </w:p>
        </w:tc>
        <w:tc>
          <w:tcPr>
            <w:tcW w:w="7170" w:type="dxa"/>
            <w:vAlign w:val="center"/>
          </w:tcPr>
          <w:p>
            <w:pPr>
              <w:rPr>
                <w:rFonts w:ascii="Times New Roman" w:hAnsi="Times New Roman" w:cs="Times New Roman"/>
                <w:szCs w:val="20"/>
              </w:rPr>
            </w:pPr>
            <w:r>
              <w:rPr>
                <w:rFonts w:ascii="Times New Roman" w:hAnsi="Times New Roman" w:cs="Times New Roman"/>
                <w:szCs w:val="20"/>
              </w:rPr>
              <w:t>该实验系统的主要模块包括：粉尘颗粒物探测器研制系统、粉尘颗粒物探测器实验系统、智能化控制系统三个模块</w:t>
            </w:r>
          </w:p>
          <w:p>
            <w:pPr>
              <w:numPr>
                <w:ilvl w:val="0"/>
                <w:numId w:val="1"/>
              </w:numPr>
              <w:rPr>
                <w:rFonts w:ascii="Times New Roman" w:hAnsi="Times New Roman" w:cs="Times New Roman"/>
                <w:szCs w:val="20"/>
              </w:rPr>
            </w:pPr>
            <w:r>
              <w:rPr>
                <w:rFonts w:ascii="Times New Roman" w:hAnsi="Times New Roman" w:cs="Times New Roman"/>
                <w:szCs w:val="20"/>
              </w:rPr>
              <w:t>粉尘颗粒物探测器研发模块</w:t>
            </w:r>
          </w:p>
          <w:p>
            <w:pPr>
              <w:numPr>
                <w:ilvl w:val="0"/>
                <w:numId w:val="2"/>
              </w:num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多模光纤耦合</w:t>
            </w:r>
            <w:r>
              <w:rPr>
                <w:rFonts w:hint="eastAsia" w:ascii="Times New Roman" w:hAnsi="Times New Roman" w:cs="Times New Roman"/>
                <w:color w:val="000000" w:themeColor="text1"/>
                <w:szCs w:val="20"/>
                <w14:textFill>
                  <w14:solidFill>
                    <w14:schemeClr w14:val="tx1"/>
                  </w14:solidFill>
                </w14:textFill>
              </w:rPr>
              <w:t>红光</w:t>
            </w:r>
            <w:r>
              <w:rPr>
                <w:rFonts w:ascii="Times New Roman" w:hAnsi="Times New Roman" w:cs="Times New Roman"/>
                <w:color w:val="000000" w:themeColor="text1"/>
                <w:szCs w:val="20"/>
                <w14:textFill>
                  <w14:solidFill>
                    <w14:schemeClr w14:val="tx1"/>
                  </w14:solidFill>
                </w14:textFill>
              </w:rPr>
              <w:t>半导体激光器。数量：2；中心波长：</w:t>
            </w:r>
            <w:r>
              <w:rPr>
                <w:rFonts w:hint="eastAsia" w:ascii="Times New Roman" w:hAnsi="Times New Roman" w:cs="Times New Roman"/>
                <w:color w:val="000000" w:themeColor="text1"/>
                <w:szCs w:val="20"/>
                <w14:textFill>
                  <w14:solidFill>
                    <w14:schemeClr w14:val="tx1"/>
                  </w14:solidFill>
                </w14:textFill>
              </w:rPr>
              <w:t>88</w:t>
            </w:r>
            <w:r>
              <w:rPr>
                <w:rFonts w:ascii="Times New Roman" w:hAnsi="Times New Roman" w:cs="Times New Roman"/>
                <w:color w:val="000000" w:themeColor="text1"/>
                <w:szCs w:val="20"/>
                <w14:textFill>
                  <w14:solidFill>
                    <w14:schemeClr w14:val="tx1"/>
                  </w14:solidFill>
                </w14:textFill>
              </w:rPr>
              <w:t>0nm</w:t>
            </w:r>
            <w:r>
              <w:rPr>
                <w:rFonts w:hint="eastAsia" w:ascii="Times New Roman" w:hAnsi="Times New Roman" w:cs="Times New Roman"/>
                <w:color w:val="000000" w:themeColor="text1"/>
                <w:szCs w:val="20"/>
                <w14:textFill>
                  <w14:solidFill>
                    <w14:schemeClr w14:val="tx1"/>
                  </w14:solidFill>
                </w14:textFill>
              </w:rPr>
              <w:t>和635</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稳定性：</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2%；</w:t>
            </w:r>
            <w:r>
              <w:rPr>
                <w:rFonts w:ascii="Times New Roman" w:hAnsi="Times New Roman" w:cs="Times New Roman"/>
                <w:color w:val="000000" w:themeColor="text1"/>
                <w:szCs w:val="20"/>
                <w14:textFill>
                  <w14:solidFill>
                    <w14:schemeClr w14:val="tx1"/>
                  </w14:solidFill>
                </w14:textFill>
              </w:rPr>
              <w:t>光纤芯径：200μ</w:t>
            </w:r>
            <w:r>
              <w:rPr>
                <w:rFonts w:hint="eastAsia" w:ascii="Times New Roman" w:hAnsi="Times New Roman" w:cs="Times New Roman"/>
                <w:color w:val="000000" w:themeColor="text1"/>
                <w:szCs w:val="20"/>
                <w14:textFill>
                  <w14:solidFill>
                    <w14:schemeClr w14:val="tx1"/>
                  </w14:solidFill>
                </w14:textFill>
              </w:rPr>
              <w:t>m；光纤长度：200cm；功率稳定性：</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2%。</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（2）双温区CVD管式炉。</w:t>
            </w:r>
            <w:r>
              <w:rPr>
                <w:rFonts w:hint="eastAsia" w:ascii="Times New Roman" w:hAnsi="Times New Roman" w:cs="Times New Roman"/>
                <w:color w:val="000000" w:themeColor="text1"/>
                <w:szCs w:val="20"/>
                <w14:textFill>
                  <w14:solidFill>
                    <w14:schemeClr w14:val="tx1"/>
                  </w14:solidFill>
                </w14:textFill>
              </w:rPr>
              <w:t>热偶：S型热偶；</w:t>
            </w:r>
            <w:r>
              <w:rPr>
                <w:rFonts w:ascii="Times New Roman" w:hAnsi="Times New Roman" w:cs="Times New Roman"/>
                <w:color w:val="000000" w:themeColor="text1"/>
                <w:szCs w:val="20"/>
                <w14:textFill>
                  <w14:solidFill>
                    <w14:schemeClr w14:val="tx1"/>
                  </w14:solidFill>
                </w14:textFill>
              </w:rPr>
              <w:t>极限温度：1400℃；管径：Φ60；加热区长度：</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400mm；电源：AC220，50Hz</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最大功率</w:t>
            </w:r>
            <w:r>
              <w:rPr>
                <w:rFonts w:hint="eastAsia" w:ascii="Times New Roman" w:hAnsi="Times New Roman" w:cs="Times New Roman"/>
                <w:color w:val="000000" w:themeColor="text1"/>
                <w:szCs w:val="20"/>
                <w14:textFill>
                  <w14:solidFill>
                    <w14:schemeClr w14:val="tx1"/>
                  </w14:solidFill>
                </w14:textFill>
              </w:rPr>
              <w:t>：≥5k</w:t>
            </w:r>
            <w:r>
              <w:rPr>
                <w:rFonts w:ascii="Times New Roman" w:hAnsi="Times New Roman" w:cs="Times New Roman"/>
                <w:color w:val="000000" w:themeColor="text1"/>
                <w:szCs w:val="20"/>
                <w14:textFill>
                  <w14:solidFill>
                    <w14:schemeClr w14:val="tx1"/>
                  </w14:solidFill>
                </w14:textFill>
              </w:rPr>
              <w:t>W</w:t>
            </w:r>
            <w:r>
              <w:rPr>
                <w:rFonts w:hint="eastAsia" w:ascii="Times New Roman" w:hAnsi="Times New Roman" w:cs="Times New Roman"/>
                <w:color w:val="000000" w:themeColor="text1"/>
                <w:szCs w:val="20"/>
                <w14:textFill>
                  <w14:solidFill>
                    <w14:schemeClr w14:val="tx1"/>
                  </w14:solidFill>
                </w14:textFill>
              </w:rPr>
              <w:t>；额外加装机械泵</w:t>
            </w:r>
            <w:r>
              <w:rPr>
                <w:rFonts w:ascii="Times New Roman" w:hAnsi="Times New Roman" w:cs="Times New Roman"/>
                <w:color w:val="000000" w:themeColor="text1"/>
                <w:szCs w:val="20"/>
                <w14:textFill>
                  <w14:solidFill>
                    <w14:schemeClr w14:val="tx1"/>
                  </w14:solidFill>
                </w14:textFill>
              </w:rPr>
              <w:t>。</w:t>
            </w:r>
          </w:p>
          <w:p>
            <w:pPr>
              <w:rPr>
                <w:rFonts w:ascii="Times New Roman" w:hAnsi="Times New Roman" w:cs="Times New Roman"/>
                <w:szCs w:val="20"/>
              </w:rPr>
            </w:pPr>
            <w:r>
              <w:rPr>
                <w:rFonts w:ascii="Times New Roman" w:hAnsi="Times New Roman" w:cs="Times New Roman"/>
                <w:szCs w:val="20"/>
              </w:rPr>
              <w:t>（3）双通道数字源表。通道数量：2；</w:t>
            </w:r>
            <w:r>
              <w:rPr>
                <w:rFonts w:hint="eastAsia" w:ascii="Times New Roman" w:hAnsi="Times New Roman" w:cs="Times New Roman"/>
                <w:szCs w:val="20"/>
              </w:rPr>
              <w:t>最小</w:t>
            </w:r>
            <w:r>
              <w:rPr>
                <w:rFonts w:ascii="Times New Roman" w:hAnsi="Times New Roman" w:cs="Times New Roman"/>
                <w:szCs w:val="20"/>
              </w:rPr>
              <w:t>分辨率：100fA/100nV；通道同步时间：&lt;500ns。量程：±210V、±3A（直流）、±10.5A（脉冲）；最小</w:t>
            </w:r>
            <w:r>
              <w:rPr>
                <w:rFonts w:hint="eastAsia" w:ascii="Times New Roman" w:hAnsi="Times New Roman" w:cs="Times New Roman"/>
                <w:szCs w:val="20"/>
              </w:rPr>
              <w:t>电</w:t>
            </w:r>
            <w:r>
              <w:rPr>
                <w:rFonts w:ascii="Times New Roman" w:hAnsi="Times New Roman" w:cs="Times New Roman"/>
                <w:szCs w:val="20"/>
              </w:rPr>
              <w:t>源分辨率：1pA和1μV；电压源最小噪声：≤10μVpp；</w:t>
            </w:r>
            <w:r>
              <w:rPr>
                <w:rFonts w:ascii="Times New Roman" w:hAnsi="Times New Roman" w:cs="Times New Roman"/>
                <w:color w:val="000000" w:themeColor="text1"/>
                <w:szCs w:val="20"/>
                <w14:textFill>
                  <w14:solidFill>
                    <w14:schemeClr w14:val="tx1"/>
                  </w14:solidFill>
                </w14:textFill>
              </w:rPr>
              <w:t>精度：±0.015%+225μV；电流源最小噪声：</w:t>
            </w:r>
            <w:bookmarkStart w:id="27" w:name="OLE_LINK1"/>
            <w:r>
              <w:rPr>
                <w:rFonts w:ascii="Times New Roman" w:hAnsi="Times New Roman" w:cs="Times New Roman"/>
                <w:color w:val="000000" w:themeColor="text1"/>
                <w:szCs w:val="20"/>
                <w14:textFill>
                  <w14:solidFill>
                    <w14:schemeClr w14:val="tx1"/>
                  </w14:solidFill>
                </w14:textFill>
              </w:rPr>
              <w:t>≤</w:t>
            </w:r>
            <w:bookmarkEnd w:id="27"/>
            <w:r>
              <w:rPr>
                <w:rFonts w:ascii="Times New Roman" w:hAnsi="Times New Roman" w:cs="Times New Roman"/>
                <w:color w:val="000000" w:themeColor="text1"/>
                <w:szCs w:val="20"/>
                <w14:textFill>
                  <w14:solidFill>
                    <w14:schemeClr w14:val="tx1"/>
                  </w14:solidFill>
                </w14:textFill>
              </w:rPr>
              <w:t>1pA；精度：±0.10%+50pA</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支持IV快速扫描任意波形生成和数字化功能，间隔</w:t>
            </w:r>
            <w:r>
              <w:rPr>
                <w:rFonts w:hint="eastAsia" w:ascii="Times New Roman" w:hAnsi="Times New Roman" w:cs="Times New Roman"/>
                <w:szCs w:val="20"/>
              </w:rPr>
              <w:t>2</w:t>
            </w:r>
            <w:r>
              <w:rPr>
                <w:rFonts w:ascii="Times New Roman" w:hAnsi="Times New Roman" w:cs="Times New Roman"/>
                <w:szCs w:val="20"/>
              </w:rPr>
              <w:t>0μs</w:t>
            </w:r>
            <w:r>
              <w:rPr>
                <w:rFonts w:hint="eastAsia" w:ascii="Times New Roman" w:hAnsi="Times New Roman" w:cs="Times New Roman"/>
                <w:szCs w:val="20"/>
              </w:rPr>
              <w:t>。</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sz w:val="24"/>
                <w:szCs w:val="20"/>
              </w:rPr>
              <w:sym w:font="Wingdings 2" w:char="F0EA"/>
            </w:r>
            <w:r>
              <w:rPr>
                <w:rFonts w:ascii="Times New Roman" w:hAnsi="Times New Roman" w:cs="Times New Roman"/>
                <w:color w:val="000000" w:themeColor="text1"/>
                <w:szCs w:val="20"/>
                <w14:textFill>
                  <w14:solidFill>
                    <w14:schemeClr w14:val="tx1"/>
                  </w14:solidFill>
                </w14:textFill>
              </w:rPr>
              <w:t>（4）探针台。</w:t>
            </w:r>
            <w:r>
              <w:rPr>
                <w:rFonts w:hint="eastAsia" w:ascii="Times New Roman" w:hAnsi="Times New Roman" w:cs="Times New Roman"/>
                <w:color w:val="000000" w:themeColor="text1"/>
                <w:szCs w:val="20"/>
                <w14:textFill>
                  <w14:solidFill>
                    <w14:schemeClr w14:val="tx1"/>
                  </w14:solidFill>
                </w14:textFill>
              </w:rPr>
              <w:t>探针数量：3；</w:t>
            </w:r>
            <w:r>
              <w:rPr>
                <w:rFonts w:ascii="Times New Roman" w:hAnsi="Times New Roman" w:cs="Times New Roman"/>
                <w:color w:val="000000" w:themeColor="text1"/>
                <w:szCs w:val="20"/>
                <w14:textFill>
                  <w14:solidFill>
                    <w14:schemeClr w14:val="tx1"/>
                  </w14:solidFill>
                </w14:textFill>
              </w:rPr>
              <w:t>极面尺寸：45mm；</w:t>
            </w:r>
            <w:r>
              <w:rPr>
                <w:rFonts w:hint="eastAsia" w:ascii="Times New Roman" w:hAnsi="Times New Roman" w:cs="Times New Roman"/>
                <w:color w:val="000000" w:themeColor="text1"/>
                <w:szCs w:val="20"/>
                <w14:textFill>
                  <w14:solidFill>
                    <w14:schemeClr w14:val="tx1"/>
                  </w14:solidFill>
                </w14:textFill>
              </w:rPr>
              <w:t>极面尺寸45mm；</w:t>
            </w:r>
            <w:r>
              <w:rPr>
                <w:rFonts w:ascii="Times New Roman" w:hAnsi="Times New Roman" w:cs="Times New Roman"/>
                <w:color w:val="000000" w:themeColor="text1"/>
                <w:szCs w:val="20"/>
                <w14:textFill>
                  <w14:solidFill>
                    <w14:schemeClr w14:val="tx1"/>
                  </w14:solidFill>
                </w14:textFill>
              </w:rPr>
              <w:t>线圈数量：2；磁场气隙调节形势：双向可调；磁场气隙调节范围：0-79mm；</w:t>
            </w:r>
            <w:r>
              <w:rPr>
                <w:rFonts w:hint="eastAsia" w:ascii="Times New Roman" w:hAnsi="Times New Roman" w:cs="Times New Roman"/>
                <w:color w:val="000000" w:themeColor="text1"/>
                <w:szCs w:val="20"/>
                <w14:textFill>
                  <w14:solidFill>
                    <w14:schemeClr w14:val="tx1"/>
                  </w14:solidFill>
                </w14:textFill>
              </w:rPr>
              <w:t>线圈直流电阻6.9</w:t>
            </w:r>
            <w:r>
              <w:rPr>
                <w:rFonts w:ascii="Times New Roman" w:hAnsi="Times New Roman" w:cs="Times New Roman"/>
                <w:color w:val="000000" w:themeColor="text1"/>
                <w:szCs w:val="20"/>
                <w14:textFill>
                  <w14:solidFill>
                    <w14:schemeClr w14:val="tx1"/>
                  </w14:solidFill>
                </w14:textFill>
              </w:rPr>
              <w:t>Ω</w:t>
            </w:r>
            <w:r>
              <w:rPr>
                <w:rFonts w:hint="eastAsia" w:ascii="Times New Roman" w:hAnsi="Times New Roman" w:cs="Times New Roman"/>
                <w:color w:val="000000" w:themeColor="text1"/>
                <w:szCs w:val="20"/>
                <w14:textFill>
                  <w14:solidFill>
                    <w14:schemeClr w14:val="tx1"/>
                  </w14:solidFill>
                </w14:textFill>
              </w:rPr>
              <w:t>；线圈间距：80mm；线圈宽度：80mm；线圈直径：148mm；</w:t>
            </w:r>
          </w:p>
          <w:p>
            <w:pPr>
              <w:rPr>
                <w:rFonts w:ascii="Times New Roman" w:hAnsi="Times New Roman" w:cs="Times New Roman"/>
                <w:color w:val="000000" w:themeColor="text1"/>
                <w:szCs w:val="20"/>
                <w14:textFill>
                  <w14:solidFill>
                    <w14:schemeClr w14:val="tx1"/>
                  </w14:solidFill>
                </w14:textFill>
              </w:rPr>
            </w:pPr>
            <w:r>
              <w:rPr>
                <w:rFonts w:hint="eastAsia" w:ascii="Times New Roman" w:hAnsi="Times New Roman" w:cs="Times New Roman"/>
                <w:color w:val="000000" w:themeColor="text1"/>
                <w:szCs w:val="20"/>
                <w14:textFill>
                  <w14:solidFill>
                    <w14:schemeClr w14:val="tx1"/>
                  </w14:solidFill>
                </w14:textFill>
              </w:rPr>
              <w:t>最大工作电流：±5A；最大工作电压：±40V；输入功率：0.2kW</w:t>
            </w:r>
            <w:r>
              <w:rPr>
                <w:rFonts w:ascii="Times New Roman" w:hAnsi="Times New Roman" w:cs="Times New Roman"/>
                <w:color w:val="000000" w:themeColor="text1"/>
                <w:szCs w:val="20"/>
                <w14:textFill>
                  <w14:solidFill>
                    <w14:schemeClr w14:val="tx1"/>
                  </w14:solidFill>
                </w14:textFill>
              </w:rPr>
              <w:t>磁场强度：&gt;0.6T@20mm</w:t>
            </w:r>
            <w:r>
              <w:rPr>
                <w:rFonts w:hint="eastAsia" w:ascii="Times New Roman" w:hAnsi="Times New Roman" w:cs="Times New Roman"/>
                <w:color w:val="000000" w:themeColor="text1"/>
                <w:szCs w:val="20"/>
                <w14:textFill>
                  <w14:solidFill>
                    <w14:schemeClr w14:val="tx1"/>
                  </w14:solidFill>
                </w14:textFill>
              </w:rPr>
              <w:t>；安放形式：水平座放；磁场方向：水平；线圈冷却形式：风冷；线圈工作温度：&lt;60℃；额外加装可拆卸光源（200-1000nm）和斩波器（40-1000Hz）</w:t>
            </w:r>
            <w:r>
              <w:rPr>
                <w:rFonts w:ascii="Times New Roman" w:hAnsi="Times New Roman" w:cs="Times New Roman"/>
                <w:color w:val="000000" w:themeColor="text1"/>
                <w:szCs w:val="20"/>
                <w14:textFill>
                  <w14:solidFill>
                    <w14:schemeClr w14:val="tx1"/>
                  </w14:solidFill>
                </w14:textFill>
              </w:rPr>
              <w:t>。</w:t>
            </w:r>
          </w:p>
          <w:p>
            <w:pPr>
              <w:rPr>
                <w:rFonts w:ascii="Times New Roman" w:hAnsi="Times New Roman" w:cs="Times New Roman"/>
                <w:szCs w:val="20"/>
              </w:rPr>
            </w:pPr>
            <w:r>
              <w:rPr>
                <w:rFonts w:ascii="Times New Roman" w:hAnsi="Times New Roman" w:cs="Times New Roman"/>
                <w:sz w:val="24"/>
                <w:szCs w:val="20"/>
              </w:rPr>
              <w:sym w:font="Wingdings 2" w:char="F0EA"/>
            </w:r>
            <w:r>
              <w:rPr>
                <w:rFonts w:ascii="Times New Roman" w:hAnsi="Times New Roman" w:cs="Times New Roman"/>
                <w:szCs w:val="20"/>
              </w:rPr>
              <w:t>（5）磁控溅射镀膜机。真空室采用方形腔体，全部采用SUS304不锈钢制成，尺寸大致为400mm×450mm</w:t>
            </w:r>
            <w:r>
              <w:rPr>
                <w:rFonts w:hint="eastAsia" w:ascii="Times New Roman" w:hAnsi="Times New Roman" w:cs="Times New Roman"/>
                <w:szCs w:val="20"/>
              </w:rPr>
              <w:t>；真空室配有衬板系统，衬板采用SUS304钢材质；</w:t>
            </w:r>
            <w:r>
              <w:rPr>
                <w:rFonts w:ascii="Times New Roman" w:hAnsi="Times New Roman" w:cs="Times New Roman"/>
                <w:szCs w:val="20"/>
              </w:rPr>
              <w:t>溅射室极限真空度：≤5.0x10</w:t>
            </w:r>
            <w:r>
              <w:rPr>
                <w:rFonts w:ascii="Times New Roman" w:hAnsi="Times New Roman" w:cs="Times New Roman"/>
                <w:szCs w:val="20"/>
                <w:vertAlign w:val="superscript"/>
              </w:rPr>
              <w:t>-5</w:t>
            </w:r>
            <w:r>
              <w:rPr>
                <w:rFonts w:ascii="Times New Roman" w:hAnsi="Times New Roman" w:cs="Times New Roman"/>
                <w:szCs w:val="20"/>
              </w:rPr>
              <w:t>Pa；配有Φ100观察窗带挡板；系统真空检漏漏率：≤5.0x10</w:t>
            </w:r>
            <w:r>
              <w:rPr>
                <w:rFonts w:ascii="Times New Roman" w:hAnsi="Times New Roman" w:cs="Times New Roman"/>
                <w:szCs w:val="20"/>
                <w:vertAlign w:val="superscript"/>
              </w:rPr>
              <w:t>-7</w:t>
            </w:r>
            <w:r>
              <w:rPr>
                <w:rFonts w:ascii="Times New Roman" w:hAnsi="Times New Roman" w:cs="Times New Roman"/>
                <w:szCs w:val="20"/>
              </w:rPr>
              <w:t>Pa.l/S；系统从大气开始抽气：溅射室30分钟可达到7.0x10</w:t>
            </w:r>
            <w:r>
              <w:rPr>
                <w:rFonts w:ascii="Times New Roman" w:hAnsi="Times New Roman" w:cs="Times New Roman"/>
                <w:szCs w:val="20"/>
                <w:vertAlign w:val="superscript"/>
              </w:rPr>
              <w:t>-4</w:t>
            </w:r>
            <w:r>
              <w:rPr>
                <w:rFonts w:ascii="Times New Roman" w:hAnsi="Times New Roman" w:cs="Times New Roman"/>
                <w:szCs w:val="20"/>
              </w:rPr>
              <w:t>Pa；系统停泵关机12小时后真空度：≤5Pa；2寸永磁靶：3套，可摆头，靶内水冷，气动挡板；磁控靶电源：DC直流电源1台，RF直流电源1台；气路系统：质量流量控制器2路；采用高精度流量控制器，实现对氩气以及氮气的精确控制</w:t>
            </w:r>
            <w:r>
              <w:rPr>
                <w:rFonts w:hint="eastAsia" w:ascii="Times New Roman" w:hAnsi="Times New Roman" w:cs="Times New Roman"/>
                <w:szCs w:val="20"/>
              </w:rPr>
              <w:t>（</w:t>
            </w:r>
            <w:r>
              <w:rPr>
                <w:rFonts w:ascii="Times New Roman" w:hAnsi="Times New Roman" w:cs="Times New Roman"/>
                <w:szCs w:val="20"/>
              </w:rPr>
              <w:t>氩气200sccm，氮气100sccm</w:t>
            </w:r>
            <w:r>
              <w:rPr>
                <w:rFonts w:hint="eastAsia" w:ascii="Times New Roman" w:hAnsi="Times New Roman" w:cs="Times New Roman"/>
                <w:szCs w:val="20"/>
              </w:rPr>
              <w:t>）；</w:t>
            </w:r>
            <w:r>
              <w:rPr>
                <w:rFonts w:ascii="Times New Roman" w:hAnsi="Times New Roman" w:cs="Times New Roman"/>
                <w:szCs w:val="20"/>
              </w:rPr>
              <w:t>样品台</w:t>
            </w:r>
            <w:r>
              <w:rPr>
                <w:rFonts w:hint="eastAsia" w:ascii="Times New Roman" w:hAnsi="Times New Roman" w:cs="Times New Roman"/>
                <w:szCs w:val="20"/>
              </w:rPr>
              <w:t>为</w:t>
            </w:r>
            <w:r>
              <w:rPr>
                <w:rFonts w:ascii="Times New Roman" w:hAnsi="Times New Roman" w:cs="Times New Roman"/>
                <w:szCs w:val="20"/>
              </w:rPr>
              <w:t>磁流体传动的旋转基片架</w:t>
            </w:r>
            <w:r>
              <w:rPr>
                <w:rFonts w:hint="eastAsia" w:ascii="Times New Roman" w:hAnsi="Times New Roman" w:cs="Times New Roman"/>
                <w:szCs w:val="20"/>
              </w:rPr>
              <w:t>，</w:t>
            </w:r>
            <w:r>
              <w:rPr>
                <w:rFonts w:ascii="Times New Roman" w:hAnsi="Times New Roman" w:cs="Times New Roman"/>
                <w:szCs w:val="20"/>
              </w:rPr>
              <w:t>基片最大尺寸为3寸</w:t>
            </w:r>
            <w:r>
              <w:rPr>
                <w:rFonts w:hint="eastAsia" w:ascii="Times New Roman" w:hAnsi="Times New Roman" w:cs="Times New Roman"/>
                <w:szCs w:val="20"/>
              </w:rPr>
              <w:t>；</w:t>
            </w:r>
            <w:r>
              <w:rPr>
                <w:rFonts w:ascii="Times New Roman" w:hAnsi="Times New Roman" w:cs="Times New Roman"/>
                <w:szCs w:val="20"/>
              </w:rPr>
              <w:t>基片架转速</w:t>
            </w:r>
            <w:r>
              <w:rPr>
                <w:rFonts w:hint="eastAsia" w:ascii="Times New Roman" w:hAnsi="Times New Roman" w:cs="Times New Roman"/>
                <w:szCs w:val="20"/>
              </w:rPr>
              <w:t>：</w:t>
            </w:r>
            <w:r>
              <w:rPr>
                <w:rFonts w:ascii="Times New Roman" w:hAnsi="Times New Roman" w:cs="Times New Roman"/>
                <w:szCs w:val="20"/>
              </w:rPr>
              <w:t>0-20转/分（转速可调）</w:t>
            </w:r>
            <w:r>
              <w:rPr>
                <w:rFonts w:hint="eastAsia" w:ascii="Times New Roman" w:hAnsi="Times New Roman" w:cs="Times New Roman"/>
                <w:szCs w:val="20"/>
              </w:rPr>
              <w:t>；</w:t>
            </w:r>
            <w:r>
              <w:rPr>
                <w:rFonts w:ascii="Times New Roman" w:hAnsi="Times New Roman" w:cs="Times New Roman"/>
                <w:szCs w:val="20"/>
              </w:rPr>
              <w:t>样品台最高温度</w:t>
            </w:r>
            <w:r>
              <w:rPr>
                <w:rFonts w:hint="eastAsia" w:ascii="Times New Roman" w:hAnsi="Times New Roman" w:cs="Times New Roman"/>
                <w:szCs w:val="20"/>
              </w:rPr>
              <w:t>：</w:t>
            </w:r>
            <w:r>
              <w:rPr>
                <w:rFonts w:ascii="Times New Roman" w:hAnsi="Times New Roman" w:cs="Times New Roman"/>
                <w:szCs w:val="20"/>
              </w:rPr>
              <w:t>600℃；蒸发源与基片架的距离</w:t>
            </w:r>
            <w:r>
              <w:rPr>
                <w:rFonts w:hint="eastAsia" w:ascii="Times New Roman" w:hAnsi="Times New Roman" w:cs="Times New Roman"/>
                <w:szCs w:val="20"/>
              </w:rPr>
              <w:t>：</w:t>
            </w:r>
            <w:r>
              <w:rPr>
                <w:rFonts w:ascii="Times New Roman" w:hAnsi="Times New Roman" w:cs="Times New Roman"/>
                <w:szCs w:val="20"/>
              </w:rPr>
              <w:t>80-180mm</w:t>
            </w:r>
            <w:r>
              <w:rPr>
                <w:rFonts w:hint="eastAsia" w:ascii="Times New Roman" w:hAnsi="Times New Roman" w:cs="Times New Roman"/>
                <w:szCs w:val="20"/>
              </w:rPr>
              <w:t>（</w:t>
            </w:r>
            <w:r>
              <w:rPr>
                <w:rFonts w:ascii="Times New Roman" w:hAnsi="Times New Roman" w:cs="Times New Roman"/>
                <w:szCs w:val="20"/>
              </w:rPr>
              <w:t>在线可调</w:t>
            </w:r>
            <w:r>
              <w:rPr>
                <w:rFonts w:hint="eastAsia" w:ascii="Times New Roman" w:hAnsi="Times New Roman" w:cs="Times New Roman"/>
                <w:szCs w:val="20"/>
              </w:rPr>
              <w:t>）；</w:t>
            </w:r>
            <w:r>
              <w:rPr>
                <w:rFonts w:ascii="Times New Roman" w:hAnsi="Times New Roman" w:cs="Times New Roman"/>
                <w:szCs w:val="20"/>
              </w:rPr>
              <w:t>烘烤系统采用热辐射烘烤功率为500W，烘烤温度室温-80℃照明灯为碘钨灯</w:t>
            </w:r>
            <w:r>
              <w:rPr>
                <w:rFonts w:hint="eastAsia" w:ascii="Times New Roman" w:hAnsi="Times New Roman" w:cs="Times New Roman"/>
                <w:szCs w:val="20"/>
              </w:rPr>
              <w:t>（</w:t>
            </w:r>
            <w:r>
              <w:rPr>
                <w:rFonts w:ascii="Times New Roman" w:hAnsi="Times New Roman" w:cs="Times New Roman"/>
                <w:szCs w:val="20"/>
              </w:rPr>
              <w:t>24V</w:t>
            </w:r>
            <w:r>
              <w:rPr>
                <w:rFonts w:hint="eastAsia" w:ascii="Times New Roman" w:hAnsi="Times New Roman" w:cs="Times New Roman"/>
                <w:szCs w:val="20"/>
              </w:rPr>
              <w:t>，</w:t>
            </w:r>
            <w:r>
              <w:rPr>
                <w:rFonts w:ascii="Times New Roman" w:hAnsi="Times New Roman" w:cs="Times New Roman"/>
                <w:szCs w:val="20"/>
              </w:rPr>
              <w:t>250W</w:t>
            </w:r>
            <w:r>
              <w:rPr>
                <w:rFonts w:hint="eastAsia" w:ascii="Times New Roman" w:hAnsi="Times New Roman" w:cs="Times New Roman"/>
                <w:szCs w:val="20"/>
              </w:rPr>
              <w:t>）</w:t>
            </w:r>
            <w:r>
              <w:rPr>
                <w:rFonts w:ascii="Times New Roman" w:hAnsi="Times New Roman" w:cs="Times New Roman"/>
                <w:szCs w:val="20"/>
              </w:rPr>
              <w:t>上下各一个。</w:t>
            </w:r>
          </w:p>
          <w:p>
            <w:pPr>
              <w:rPr>
                <w:rFonts w:ascii="Times New Roman" w:hAnsi="Times New Roman" w:cs="Times New Roman"/>
                <w:szCs w:val="20"/>
              </w:rPr>
            </w:pPr>
            <w:r>
              <w:rPr>
                <w:rFonts w:ascii="Times New Roman" w:hAnsi="Times New Roman" w:cs="Times New Roman"/>
                <w:szCs w:val="20"/>
              </w:rPr>
              <w:t>（6）数字示波器。模拟通道带宽：200MH</w:t>
            </w:r>
            <w:r>
              <w:rPr>
                <w:rFonts w:hint="eastAsia" w:ascii="Times New Roman" w:hAnsi="Times New Roman" w:cs="Times New Roman"/>
                <w:szCs w:val="20"/>
              </w:rPr>
              <w:t>z</w:t>
            </w:r>
            <w:r>
              <w:rPr>
                <w:rFonts w:ascii="Times New Roman" w:hAnsi="Times New Roman" w:cs="Times New Roman"/>
                <w:szCs w:val="20"/>
              </w:rPr>
              <w:t>；采样率：1.25GS/s；全通道：2.5GS/s；记录长度10M；数字通道：16</w:t>
            </w:r>
            <w:r>
              <w:rPr>
                <w:rFonts w:hint="eastAsia" w:ascii="Times New Roman" w:hAnsi="Times New Roman" w:cs="Times New Roman"/>
                <w:szCs w:val="20"/>
              </w:rPr>
              <w:t>。</w:t>
            </w:r>
          </w:p>
          <w:p>
            <w:pPr>
              <w:rPr>
                <w:rFonts w:ascii="Times New Roman" w:hAnsi="Times New Roman" w:cs="Times New Roman"/>
                <w:szCs w:val="20"/>
              </w:rPr>
            </w:pPr>
            <w:r>
              <w:rPr>
                <w:rFonts w:ascii="Times New Roman" w:hAnsi="Times New Roman" w:cs="Times New Roman"/>
                <w:szCs w:val="20"/>
              </w:rPr>
              <w:t>（7）等离子体发生器。频率：13.65MHz；功率：0-500W；腔体内部尺寸：D160*260mm；容积：5L；处理温度：低于60℃；气路控制：两路流量可调；真空度：10</w:t>
            </w:r>
            <w:r>
              <w:rPr>
                <w:rFonts w:hint="eastAsia" w:ascii="Times New Roman" w:hAnsi="Times New Roman" w:cs="Times New Roman"/>
                <w:szCs w:val="20"/>
              </w:rPr>
              <w:t>P</w:t>
            </w:r>
            <w:r>
              <w:rPr>
                <w:rFonts w:ascii="Times New Roman" w:hAnsi="Times New Roman" w:cs="Times New Roman"/>
                <w:szCs w:val="20"/>
              </w:rPr>
              <w:t>a-100</w:t>
            </w:r>
            <w:r>
              <w:rPr>
                <w:rFonts w:hint="eastAsia" w:ascii="Times New Roman" w:hAnsi="Times New Roman" w:cs="Times New Roman"/>
                <w:szCs w:val="20"/>
              </w:rPr>
              <w:t>P</w:t>
            </w:r>
            <w:r>
              <w:rPr>
                <w:rFonts w:ascii="Times New Roman" w:hAnsi="Times New Roman" w:cs="Times New Roman"/>
                <w:szCs w:val="20"/>
              </w:rPr>
              <w:t>a</w:t>
            </w:r>
            <w:r>
              <w:rPr>
                <w:rFonts w:hint="eastAsia" w:ascii="Times New Roman" w:hAnsi="Times New Roman" w:cs="Times New Roman"/>
                <w:szCs w:val="20"/>
              </w:rPr>
              <w:t>。</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（8）光谱仪。波长范围：</w:t>
            </w:r>
            <w:r>
              <w:rPr>
                <w:rFonts w:hint="eastAsia" w:ascii="Times New Roman" w:hAnsi="Times New Roman" w:cs="Times New Roman"/>
                <w:color w:val="000000" w:themeColor="text1"/>
                <w:szCs w:val="20"/>
                <w14:textFill>
                  <w14:solidFill>
                    <w14:schemeClr w14:val="tx1"/>
                  </w14:solidFill>
                </w14:textFill>
              </w:rPr>
              <w:t>200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10</w:t>
            </w:r>
            <w:r>
              <w:rPr>
                <w:rFonts w:ascii="Times New Roman" w:hAnsi="Times New Roman" w:cs="Times New Roman"/>
                <w:color w:val="000000" w:themeColor="text1"/>
                <w:szCs w:val="20"/>
                <w14:textFill>
                  <w14:solidFill>
                    <w14:schemeClr w14:val="tx1"/>
                  </w14:solidFill>
                </w14:textFill>
              </w:rPr>
              <w:t>00nm</w:t>
            </w:r>
            <w:r>
              <w:rPr>
                <w:rFonts w:hint="eastAsia" w:ascii="Times New Roman" w:hAnsi="Times New Roman" w:cs="Times New Roman"/>
                <w:color w:val="000000" w:themeColor="text1"/>
                <w:szCs w:val="20"/>
                <w14:textFill>
                  <w14:solidFill>
                    <w14:schemeClr w14:val="tx1"/>
                  </w14:solidFill>
                </w14:textFill>
              </w:rPr>
              <w:t>；积分时间：3.8ms-10s；修正线性：99.7；输入光纤连接器：SMA905；光学分辨率：≤1.5nm；入射狭缝：25</w:t>
            </w:r>
            <w:r>
              <w:rPr>
                <w:rFonts w:ascii="Times New Roman" w:hAnsi="Times New Roman" w:cs="Times New Roman"/>
                <w:color w:val="000000" w:themeColor="text1"/>
                <w:szCs w:val="20"/>
                <w14:textFill>
                  <w14:solidFill>
                    <w14:schemeClr w14:val="tx1"/>
                  </w14:solidFill>
                </w14:textFill>
              </w:rPr>
              <w:t>μ</w:t>
            </w:r>
            <w:r>
              <w:rPr>
                <w:rFonts w:hint="eastAsia" w:ascii="Times New Roman" w:hAnsi="Times New Roman" w:cs="Times New Roman"/>
                <w:color w:val="000000" w:themeColor="text1"/>
                <w:szCs w:val="20"/>
                <w14:textFill>
                  <w14:solidFill>
                    <w14:schemeClr w14:val="tx1"/>
                  </w14:solidFill>
                </w14:textFill>
              </w:rPr>
              <w:t>m（可选）；信噪比：＞2000：1；热稳定性：&lt;0.05</w:t>
            </w:r>
            <w:r>
              <w:rPr>
                <w:rFonts w:ascii="Times New Roman" w:hAnsi="Times New Roman" w:cs="Times New Roman"/>
                <w:color w:val="000000" w:themeColor="text1"/>
                <w:szCs w:val="20"/>
                <w14:textFill>
                  <w14:solidFill>
                    <w14:schemeClr w14:val="tx1"/>
                  </w14:solidFill>
                </w14:textFill>
              </w:rPr>
              <w:t>像素/°C</w:t>
            </w:r>
            <w:r>
              <w:rPr>
                <w:rFonts w:hint="eastAsia" w:ascii="Times New Roman" w:hAnsi="Times New Roman" w:cs="Times New Roman"/>
                <w:color w:val="000000" w:themeColor="text1"/>
                <w:szCs w:val="20"/>
                <w14:textFill>
                  <w14:solidFill>
                    <w14:schemeClr w14:val="tx1"/>
                  </w14:solidFill>
                </w14:textFill>
              </w:rPr>
              <w:t>。</w:t>
            </w:r>
          </w:p>
          <w:p>
            <w:pPr>
              <w:rPr>
                <w:rFonts w:ascii="Times New Roman" w:hAnsi="Times New Roman" w:cs="Times New Roman"/>
                <w:szCs w:val="20"/>
              </w:rPr>
            </w:pPr>
            <w:r>
              <w:rPr>
                <w:rFonts w:ascii="Times New Roman" w:hAnsi="Times New Roman" w:cs="Times New Roman"/>
                <w:szCs w:val="20"/>
              </w:rPr>
              <w:t>（9）匀胶机。转速：50-10000（转/分）</w:t>
            </w:r>
            <w:r>
              <w:rPr>
                <w:rFonts w:hint="eastAsia" w:ascii="Times New Roman" w:hAnsi="Times New Roman" w:cs="Times New Roman"/>
                <w:szCs w:val="20"/>
              </w:rPr>
              <w:t>；</w:t>
            </w:r>
            <w:r>
              <w:rPr>
                <w:rFonts w:ascii="Times New Roman" w:hAnsi="Times New Roman" w:cs="Times New Roman"/>
                <w:szCs w:val="20"/>
              </w:rPr>
              <w:t>转速稳定度：±1</w:t>
            </w:r>
            <w:r>
              <w:rPr>
                <w:rFonts w:hint="eastAsia" w:ascii="Times New Roman" w:hAnsi="Times New Roman" w:cs="Times New Roman"/>
                <w:szCs w:val="20"/>
              </w:rPr>
              <w:t>%；</w:t>
            </w:r>
            <w:r>
              <w:rPr>
                <w:rFonts w:ascii="Times New Roman" w:hAnsi="Times New Roman" w:cs="Times New Roman"/>
                <w:szCs w:val="20"/>
              </w:rPr>
              <w:t>匀胶时间：0-2000</w:t>
            </w:r>
            <w:r>
              <w:rPr>
                <w:rFonts w:hint="eastAsia" w:ascii="Times New Roman" w:hAnsi="Times New Roman" w:cs="Times New Roman"/>
                <w:szCs w:val="20"/>
              </w:rPr>
              <w:t>s</w:t>
            </w:r>
            <w:r>
              <w:rPr>
                <w:rFonts w:ascii="Times New Roman" w:hAnsi="Times New Roman" w:cs="Times New Roman"/>
                <w:szCs w:val="20"/>
              </w:rPr>
              <w:t>。涂基片尺寸圆片：Φ5-Φ100，方片最大：100×100mm；系统组成：主机1台，真空泵1台，标配50mm以下尺寸托盘3个，说明书1套。</w:t>
            </w:r>
          </w:p>
          <w:p>
            <w:pPr>
              <w:rPr>
                <w:rFonts w:ascii="Times New Roman" w:hAnsi="Times New Roman" w:cs="Times New Roman"/>
                <w:szCs w:val="20"/>
              </w:rPr>
            </w:pPr>
            <w:r>
              <w:rPr>
                <w:rFonts w:ascii="Times New Roman" w:hAnsi="Times New Roman" w:cs="Times New Roman"/>
                <w:szCs w:val="20"/>
              </w:rPr>
              <w:t>（10）恒温干燥反应箱。</w:t>
            </w:r>
            <w:r>
              <w:rPr>
                <w:rFonts w:hint="eastAsia" w:ascii="Times New Roman" w:hAnsi="Times New Roman" w:cs="Times New Roman"/>
                <w:szCs w:val="20"/>
              </w:rPr>
              <w:t>数量：2；</w:t>
            </w:r>
            <w:r>
              <w:rPr>
                <w:rFonts w:ascii="Times New Roman" w:hAnsi="Times New Roman" w:cs="Times New Roman"/>
                <w:szCs w:val="20"/>
              </w:rPr>
              <w:t>控温范围：RT±10</w:t>
            </w:r>
            <w:r>
              <w:rPr>
                <w:rFonts w:hint="eastAsia" w:ascii="Times New Roman" w:hAnsi="Times New Roman" w:cs="Times New Roman"/>
                <w:szCs w:val="20"/>
              </w:rPr>
              <w:t>-</w:t>
            </w:r>
            <w:r>
              <w:rPr>
                <w:rFonts w:ascii="Times New Roman" w:hAnsi="Times New Roman" w:cs="Times New Roman"/>
                <w:szCs w:val="20"/>
              </w:rPr>
              <w:t>200℃/RT±10</w:t>
            </w:r>
            <w:r>
              <w:rPr>
                <w:rFonts w:hint="eastAsia" w:ascii="Times New Roman" w:hAnsi="Times New Roman" w:cs="Times New Roman"/>
                <w:szCs w:val="20"/>
              </w:rPr>
              <w:t>-</w:t>
            </w:r>
            <w:r>
              <w:rPr>
                <w:rFonts w:ascii="Times New Roman" w:hAnsi="Times New Roman" w:cs="Times New Roman"/>
                <w:szCs w:val="20"/>
              </w:rPr>
              <w:t>250℃；恒温波动度：±1.0℃</w:t>
            </w:r>
            <w:r>
              <w:rPr>
                <w:rFonts w:hint="eastAsia" w:ascii="Times New Roman" w:hAnsi="Times New Roman" w:cs="Times New Roman"/>
                <w:szCs w:val="20"/>
              </w:rPr>
              <w:t>；</w:t>
            </w:r>
            <w:r>
              <w:rPr>
                <w:rFonts w:ascii="Times New Roman" w:hAnsi="Times New Roman" w:cs="Times New Roman"/>
                <w:szCs w:val="20"/>
              </w:rPr>
              <w:t>温度均匀度：±3%（测试点</w:t>
            </w:r>
            <w:r>
              <w:rPr>
                <w:rFonts w:hint="eastAsia" w:ascii="Times New Roman" w:hAnsi="Times New Roman" w:cs="Times New Roman"/>
                <w:szCs w:val="20"/>
              </w:rPr>
              <w:t>为</w:t>
            </w:r>
            <w:r>
              <w:rPr>
                <w:rFonts w:ascii="Times New Roman" w:hAnsi="Times New Roman" w:cs="Times New Roman"/>
                <w:szCs w:val="20"/>
              </w:rPr>
              <w:t>100℃）</w:t>
            </w:r>
            <w:r>
              <w:rPr>
                <w:rFonts w:hint="eastAsia" w:ascii="Times New Roman" w:hAnsi="Times New Roman" w:cs="Times New Roman"/>
                <w:szCs w:val="20"/>
              </w:rPr>
              <w:t>；</w:t>
            </w:r>
            <w:r>
              <w:rPr>
                <w:rFonts w:ascii="Times New Roman" w:hAnsi="Times New Roman" w:cs="Times New Roman"/>
                <w:szCs w:val="20"/>
              </w:rPr>
              <w:t>工作环境温度：+5</w:t>
            </w:r>
            <w:r>
              <w:rPr>
                <w:rFonts w:hint="eastAsia" w:ascii="Times New Roman" w:hAnsi="Times New Roman" w:cs="Times New Roman"/>
                <w:szCs w:val="20"/>
              </w:rPr>
              <w:t>-</w:t>
            </w:r>
            <w:r>
              <w:rPr>
                <w:rFonts w:ascii="Times New Roman" w:hAnsi="Times New Roman" w:cs="Times New Roman"/>
                <w:szCs w:val="20"/>
              </w:rPr>
              <w:t>40℃；容积：136L</w:t>
            </w:r>
            <w:r>
              <w:rPr>
                <w:rFonts w:hint="eastAsia" w:ascii="Times New Roman" w:hAnsi="Times New Roman" w:cs="Times New Roman"/>
                <w:szCs w:val="20"/>
              </w:rPr>
              <w:t>；</w:t>
            </w:r>
            <w:r>
              <w:rPr>
                <w:rFonts w:ascii="Times New Roman" w:hAnsi="Times New Roman" w:cs="Times New Roman"/>
                <w:szCs w:val="20"/>
              </w:rPr>
              <w:t>载物托架：2块。</w:t>
            </w:r>
          </w:p>
          <w:p>
            <w:pPr>
              <w:rPr>
                <w:rFonts w:ascii="Times New Roman" w:hAnsi="Times New Roman" w:cs="Times New Roman"/>
                <w:szCs w:val="20"/>
              </w:rPr>
            </w:pPr>
            <w:r>
              <w:rPr>
                <w:rFonts w:hint="eastAsia" w:ascii="Times New Roman" w:hAnsi="Times New Roman" w:cs="Times New Roman"/>
                <w:szCs w:val="20"/>
              </w:rPr>
              <w:t>（</w:t>
            </w:r>
            <w:r>
              <w:rPr>
                <w:rFonts w:ascii="Times New Roman" w:hAnsi="Times New Roman" w:cs="Times New Roman"/>
                <w:szCs w:val="20"/>
              </w:rPr>
              <w:t>11</w:t>
            </w:r>
            <w:r>
              <w:rPr>
                <w:rFonts w:hint="eastAsia" w:ascii="Times New Roman" w:hAnsi="Times New Roman" w:cs="Times New Roman"/>
                <w:szCs w:val="20"/>
              </w:rPr>
              <w:t>）</w:t>
            </w:r>
            <w:r>
              <w:rPr>
                <w:rFonts w:ascii="Times New Roman" w:hAnsi="Times New Roman" w:cs="Times New Roman"/>
                <w:szCs w:val="20"/>
              </w:rPr>
              <w:t>精密天平。读数精度/可读性：0.1mg/0.01mg；重复性</w:t>
            </w:r>
            <w:r>
              <w:rPr>
                <w:rFonts w:hint="eastAsia" w:ascii="Times New Roman" w:hAnsi="Times New Roman" w:cs="Times New Roman"/>
                <w:szCs w:val="20"/>
              </w:rPr>
              <w:t>（</w:t>
            </w:r>
            <w:r>
              <w:rPr>
                <w:rFonts w:ascii="Times New Roman" w:hAnsi="Times New Roman" w:cs="Times New Roman"/>
                <w:szCs w:val="20"/>
              </w:rPr>
              <w:t>≤</w:t>
            </w:r>
            <w:r>
              <w:rPr>
                <w:rFonts w:hint="eastAsia" w:ascii="Times New Roman" w:hAnsi="Times New Roman" w:cs="Times New Roman"/>
                <w:szCs w:val="20"/>
              </w:rPr>
              <w:t>）</w:t>
            </w:r>
            <w:r>
              <w:rPr>
                <w:rFonts w:ascii="Times New Roman" w:hAnsi="Times New Roman" w:cs="Times New Roman"/>
                <w:szCs w:val="20"/>
              </w:rPr>
              <w:t>：±0.1mg/±0.02mg；线性误差</w:t>
            </w:r>
            <w:r>
              <w:rPr>
                <w:rFonts w:hint="eastAsia" w:ascii="Times New Roman" w:hAnsi="Times New Roman" w:cs="Times New Roman"/>
                <w:szCs w:val="20"/>
              </w:rPr>
              <w:t>（</w:t>
            </w:r>
            <w:r>
              <w:rPr>
                <w:rFonts w:ascii="Times New Roman" w:hAnsi="Times New Roman" w:cs="Times New Roman"/>
                <w:szCs w:val="20"/>
              </w:rPr>
              <w:t>≤</w:t>
            </w:r>
            <w:r>
              <w:rPr>
                <w:rFonts w:hint="eastAsia" w:ascii="Times New Roman" w:hAnsi="Times New Roman" w:cs="Times New Roman"/>
                <w:szCs w:val="20"/>
              </w:rPr>
              <w:t>）</w:t>
            </w:r>
            <w:r>
              <w:rPr>
                <w:rFonts w:ascii="Times New Roman" w:hAnsi="Times New Roman" w:cs="Times New Roman"/>
                <w:szCs w:val="20"/>
              </w:rPr>
              <w:t>：±0.1mg/±0.02mg。</w:t>
            </w:r>
          </w:p>
          <w:p>
            <w:pPr>
              <w:rPr>
                <w:rFonts w:ascii="Times New Roman" w:hAnsi="Times New Roman" w:cs="Times New Roman"/>
                <w:color w:val="000000" w:themeColor="text1"/>
                <w:szCs w:val="20"/>
                <w14:textFill>
                  <w14:solidFill>
                    <w14:schemeClr w14:val="tx1"/>
                  </w14:solidFill>
                </w14:textFill>
              </w:rPr>
            </w:pPr>
            <w:bookmarkStart w:id="28" w:name="OLE_LINK2"/>
            <w:r>
              <w:rPr>
                <w:rFonts w:ascii="Times New Roman" w:hAnsi="Times New Roman" w:cs="Times New Roman"/>
                <w:color w:val="000000" w:themeColor="text1"/>
                <w:szCs w:val="20"/>
                <w14:textFill>
                  <w14:solidFill>
                    <w14:schemeClr w14:val="tx1"/>
                  </w14:solidFill>
                </w14:textFill>
              </w:rPr>
              <w:t>（12）</w:t>
            </w:r>
            <w:bookmarkEnd w:id="28"/>
            <w:r>
              <w:rPr>
                <w:rFonts w:hint="eastAsia" w:ascii="Times New Roman" w:hAnsi="Times New Roman" w:cs="Times New Roman"/>
                <w:color w:val="000000" w:themeColor="text1"/>
                <w:szCs w:val="20"/>
                <w14:textFill>
                  <w14:solidFill>
                    <w14:schemeClr w14:val="tx1"/>
                  </w14:solidFill>
                </w14:textFill>
              </w:rPr>
              <w:t>数据采集器：配有USB和LAN接口的3插槽主机六位半（22比特）内置数字万用表与新的固态多路复用器模块结合使用；每秒扫描通道：450个；开关和控制模块：9种；通道数字化仪模块：4；采样率：24位800kSa/s；可存储10万个读数；每个通道都有上下限报警功能。</w:t>
            </w:r>
          </w:p>
          <w:p>
            <w:pPr>
              <w:rPr>
                <w:rFonts w:ascii="Times New Roman" w:hAnsi="Times New Roman" w:cs="Times New Roman"/>
                <w:szCs w:val="20"/>
              </w:rPr>
            </w:pPr>
            <w:r>
              <w:rPr>
                <w:rFonts w:ascii="Times New Roman" w:hAnsi="Times New Roman" w:cs="Times New Roman"/>
                <w:szCs w:val="20"/>
              </w:rPr>
              <w:t>（13）超声波清洗机。内槽尺寸：300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240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150mm；容量：10L；超声频率：40</w:t>
            </w:r>
            <w:r>
              <w:rPr>
                <w:rFonts w:hint="eastAsia" w:ascii="Times New Roman" w:hAnsi="Times New Roman" w:cs="Times New Roman"/>
                <w:szCs w:val="20"/>
              </w:rPr>
              <w:t>k</w:t>
            </w:r>
            <w:r>
              <w:rPr>
                <w:rFonts w:ascii="Times New Roman" w:hAnsi="Times New Roman" w:cs="Times New Roman"/>
                <w:szCs w:val="20"/>
              </w:rPr>
              <w:t>Hz；超声功率：300W；超声功率可调范围：40-100%；水位保护：有加热功率：400W；温度设定范围：</w:t>
            </w:r>
            <w:r>
              <w:rPr>
                <w:rFonts w:hint="eastAsia" w:ascii="Times New Roman" w:hAnsi="Times New Roman" w:cs="Times New Roman"/>
                <w:szCs w:val="20"/>
              </w:rPr>
              <w:t>RT</w:t>
            </w:r>
            <w:r>
              <w:rPr>
                <w:rFonts w:ascii="Times New Roman" w:hAnsi="Times New Roman" w:cs="Times New Roman"/>
                <w:szCs w:val="20"/>
              </w:rPr>
              <w:t>-80℃；工作时间可调：1-480min。</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（14）高精度显微镜。照明装置：卤素灯/LED照明系统；物镜转盘：5孔物镜转换器；载物台：超硬陶瓷台面；伸缩式X-Y驱动装置，仪器最大放大倍数</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40X-1000X</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目镜放大倍数</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10X</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物镜放大倍数</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4X 10X 20X 40X 100X。</w:t>
            </w:r>
          </w:p>
          <w:p>
            <w:pPr>
              <w:rPr>
                <w:rFonts w:ascii="Times New Roman" w:hAnsi="Times New Roman" w:cs="Times New Roman"/>
                <w:szCs w:val="20"/>
              </w:rPr>
            </w:pPr>
            <w:r>
              <w:rPr>
                <w:rFonts w:ascii="Times New Roman" w:hAnsi="Times New Roman" w:cs="Times New Roman"/>
                <w:szCs w:val="20"/>
              </w:rPr>
              <w:t>（15）台式离心机。最高转速：16600r/min；最大相对离心力：19200×g；最大容量：</w:t>
            </w:r>
            <w:r>
              <w:rPr>
                <w:rFonts w:hint="eastAsia" w:ascii="Times New Roman" w:hAnsi="Times New Roman" w:cs="Times New Roman"/>
                <w:szCs w:val="20"/>
              </w:rPr>
              <w:t>3</w:t>
            </w:r>
            <w:r>
              <w:rPr>
                <w:rFonts w:ascii="Times New Roman" w:hAnsi="Times New Roman" w:cs="Times New Roman"/>
                <w:szCs w:val="20"/>
              </w:rPr>
              <w:t>00m</w:t>
            </w:r>
            <w:r>
              <w:rPr>
                <w:rFonts w:hint="eastAsia" w:ascii="Times New Roman" w:hAnsi="Times New Roman" w:cs="Times New Roman"/>
                <w:szCs w:val="20"/>
              </w:rPr>
              <w:t>L</w:t>
            </w:r>
            <w:r>
              <w:rPr>
                <w:rFonts w:ascii="Times New Roman" w:hAnsi="Times New Roman" w:cs="Times New Roman"/>
                <w:szCs w:val="20"/>
              </w:rPr>
              <w:t>；转速精度：±50r/min；定时范围：</w:t>
            </w:r>
            <w:r>
              <w:rPr>
                <w:rFonts w:hint="eastAsia" w:ascii="Times New Roman" w:hAnsi="Times New Roman" w:cs="Times New Roman"/>
                <w:szCs w:val="20"/>
              </w:rPr>
              <w:t>1</w:t>
            </w:r>
            <w:r>
              <w:rPr>
                <w:rFonts w:ascii="Times New Roman" w:hAnsi="Times New Roman" w:cs="Times New Roman"/>
                <w:szCs w:val="20"/>
              </w:rPr>
              <w:t>-99min。</w:t>
            </w:r>
          </w:p>
          <w:p>
            <w:pPr>
              <w:rPr>
                <w:rFonts w:ascii="Times New Roman" w:hAnsi="Times New Roman" w:cs="Times New Roman"/>
                <w:szCs w:val="20"/>
              </w:rPr>
            </w:pPr>
            <w:r>
              <w:rPr>
                <w:rFonts w:ascii="Times New Roman" w:hAnsi="Times New Roman" w:cs="Times New Roman"/>
                <w:szCs w:val="20"/>
              </w:rPr>
              <w:t>（16）加热搅拌台。显示方式：LCD；转速范围：100-2000rpm；转速控制精度：±10rpm；定时范围：0-99h59min；温控范围：</w:t>
            </w:r>
            <w:r>
              <w:rPr>
                <w:rFonts w:hint="eastAsia" w:ascii="Times New Roman" w:hAnsi="Times New Roman" w:cs="Times New Roman"/>
                <w:szCs w:val="20"/>
              </w:rPr>
              <w:t>RT</w:t>
            </w:r>
            <w:r>
              <w:rPr>
                <w:rFonts w:ascii="Times New Roman" w:hAnsi="Times New Roman" w:cs="Times New Roman"/>
                <w:szCs w:val="20"/>
              </w:rPr>
              <w:t>-300℃；控温精度：托盘±3℃</w:t>
            </w:r>
            <w:r>
              <w:rPr>
                <w:rFonts w:hint="eastAsia" w:ascii="Times New Roman" w:hAnsi="Times New Roman" w:cs="Times New Roman"/>
                <w:szCs w:val="20"/>
              </w:rPr>
              <w:t>，</w:t>
            </w:r>
            <w:r>
              <w:rPr>
                <w:rFonts w:ascii="Times New Roman" w:hAnsi="Times New Roman" w:cs="Times New Roman"/>
                <w:szCs w:val="20"/>
              </w:rPr>
              <w:t>溶液±0.5℃；最大搅拌量：5L；工作区域尺寸：150mm×150mm。</w:t>
            </w:r>
          </w:p>
          <w:p>
            <w:pPr>
              <w:rPr>
                <w:rFonts w:ascii="Times New Roman" w:hAnsi="Times New Roman" w:cs="Times New Roman"/>
                <w:szCs w:val="20"/>
              </w:rPr>
            </w:pPr>
            <w:r>
              <w:rPr>
                <w:rFonts w:ascii="Times New Roman" w:hAnsi="Times New Roman" w:cs="Times New Roman"/>
                <w:szCs w:val="20"/>
              </w:rPr>
              <w:t>（17）控温控湿防潮柜。层板数量：5块（每块层板承重100</w:t>
            </w:r>
            <w:r>
              <w:rPr>
                <w:rFonts w:hint="eastAsia" w:ascii="Times New Roman" w:hAnsi="Times New Roman" w:cs="Times New Roman"/>
                <w:szCs w:val="20"/>
              </w:rPr>
              <w:t>kg</w:t>
            </w:r>
            <w:r>
              <w:rPr>
                <w:rFonts w:ascii="Times New Roman" w:hAnsi="Times New Roman" w:cs="Times New Roman"/>
                <w:szCs w:val="20"/>
              </w:rPr>
              <w:t>）；电源：220V；</w:t>
            </w:r>
            <w:r>
              <w:rPr>
                <w:rFonts w:hint="eastAsia" w:ascii="Times New Roman" w:hAnsi="Times New Roman" w:cs="Times New Roman"/>
                <w:szCs w:val="20"/>
              </w:rPr>
              <w:t>室内尺寸：约600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68</w:t>
            </w:r>
            <w:r>
              <w:rPr>
                <w:rFonts w:hint="eastAsia" w:ascii="Times New Roman" w:hAnsi="Times New Roman" w:cs="Times New Roman"/>
                <w:szCs w:val="20"/>
              </w:rPr>
              <w:t>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17</w:t>
            </w:r>
            <w:r>
              <w:rPr>
                <w:rFonts w:hint="eastAsia" w:ascii="Times New Roman" w:hAnsi="Times New Roman" w:cs="Times New Roman"/>
                <w:szCs w:val="20"/>
              </w:rPr>
              <w:t>00</w:t>
            </w:r>
            <w:r>
              <w:rPr>
                <w:rFonts w:ascii="Times New Roman" w:hAnsi="Times New Roman" w:cs="Times New Roman"/>
                <w:szCs w:val="20"/>
              </w:rPr>
              <w:t>mm</w:t>
            </w:r>
            <w:r>
              <w:rPr>
                <w:rFonts w:hint="eastAsia" w:ascii="Times New Roman" w:hAnsi="Times New Roman" w:cs="Times New Roman"/>
                <w:szCs w:val="20"/>
              </w:rPr>
              <w:t>；</w:t>
            </w:r>
            <w:r>
              <w:rPr>
                <w:rFonts w:ascii="Times New Roman" w:hAnsi="Times New Roman" w:cs="Times New Roman"/>
                <w:szCs w:val="20"/>
              </w:rPr>
              <w:t>平均功率：40W；湿度显示范围1%</w:t>
            </w:r>
            <w:r>
              <w:rPr>
                <w:rFonts w:hint="eastAsia" w:ascii="Times New Roman" w:hAnsi="Times New Roman" w:cs="Times New Roman"/>
                <w:szCs w:val="20"/>
              </w:rPr>
              <w:t>-</w:t>
            </w:r>
            <w:r>
              <w:rPr>
                <w:rFonts w:ascii="Times New Roman" w:hAnsi="Times New Roman" w:cs="Times New Roman"/>
                <w:szCs w:val="20"/>
              </w:rPr>
              <w:t>10%RH；显示精度</w:t>
            </w:r>
            <w:r>
              <w:rPr>
                <w:rFonts w:hint="eastAsia" w:ascii="Times New Roman" w:hAnsi="Times New Roman" w:cs="Times New Roman"/>
                <w:szCs w:val="20"/>
              </w:rPr>
              <w:t>：</w:t>
            </w:r>
            <w:r>
              <w:rPr>
                <w:rFonts w:ascii="Times New Roman" w:hAnsi="Times New Roman" w:cs="Times New Roman"/>
                <w:szCs w:val="20"/>
              </w:rPr>
              <w:t>湿度±3%</w:t>
            </w:r>
            <w:r>
              <w:rPr>
                <w:rFonts w:hint="eastAsia" w:ascii="Times New Roman" w:hAnsi="Times New Roman" w:cs="Times New Roman"/>
                <w:szCs w:val="20"/>
              </w:rPr>
              <w:t>RH，</w:t>
            </w:r>
            <w:r>
              <w:rPr>
                <w:rFonts w:ascii="Times New Roman" w:hAnsi="Times New Roman" w:cs="Times New Roman"/>
                <w:szCs w:val="20"/>
              </w:rPr>
              <w:t>温度±1℃。</w:t>
            </w:r>
          </w:p>
          <w:p>
            <w:pPr>
              <w:rPr>
                <w:rFonts w:ascii="Times New Roman" w:hAnsi="Times New Roman" w:cs="Times New Roman"/>
                <w:szCs w:val="20"/>
              </w:rPr>
            </w:pPr>
            <w:r>
              <w:rPr>
                <w:rFonts w:ascii="Times New Roman" w:hAnsi="Times New Roman" w:cs="Times New Roman"/>
                <w:color w:val="000000" w:themeColor="text1"/>
                <w:szCs w:val="20"/>
                <w14:textFill>
                  <w14:solidFill>
                    <w14:schemeClr w14:val="tx1"/>
                  </w14:solidFill>
                </w14:textFill>
              </w:rPr>
              <w:t>（18）通风橱</w:t>
            </w:r>
            <w:r>
              <w:rPr>
                <w:rFonts w:hint="eastAsia" w:ascii="Times New Roman" w:hAnsi="Times New Roman" w:cs="Times New Roman"/>
                <w:color w:val="000000" w:themeColor="text1"/>
                <w:szCs w:val="20"/>
                <w14:textFill>
                  <w14:solidFill>
                    <w14:schemeClr w14:val="tx1"/>
                  </w14:solidFill>
                </w14:textFill>
              </w:rPr>
              <w:t>。特性：抗腐蚀、耐强酸、强碱；尺寸：</w:t>
            </w:r>
            <w:r>
              <w:rPr>
                <w:rFonts w:ascii="Times New Roman" w:hAnsi="Times New Roman" w:cs="Times New Roman"/>
                <w:color w:val="000000" w:themeColor="text1"/>
                <w:szCs w:val="20"/>
                <w14:textFill>
                  <w14:solidFill>
                    <w14:schemeClr w14:val="tx1"/>
                  </w14:solidFill>
                </w14:textFill>
              </w:rPr>
              <w:t>约</w:t>
            </w:r>
            <w:r>
              <w:rPr>
                <w:rFonts w:hint="eastAsia" w:ascii="Times New Roman" w:hAnsi="Times New Roman" w:cs="Times New Roman"/>
                <w:color w:val="000000" w:themeColor="text1"/>
                <w:szCs w:val="20"/>
                <w14:textFill>
                  <w14:solidFill>
                    <w14:schemeClr w14:val="tx1"/>
                  </w14:solidFill>
                </w14:textFill>
              </w:rPr>
              <w:t>1</w:t>
            </w:r>
            <w:r>
              <w:rPr>
                <w:rFonts w:ascii="Times New Roman" w:hAnsi="Times New Roman" w:cs="Times New Roman"/>
                <w:color w:val="000000" w:themeColor="text1"/>
                <w:szCs w:val="20"/>
                <w14:textFill>
                  <w14:solidFill>
                    <w14:schemeClr w14:val="tx1"/>
                  </w14:solidFill>
                </w14:textFill>
              </w:rPr>
              <w:t>m×1.5m×</w:t>
            </w:r>
            <w:r>
              <w:rPr>
                <w:rFonts w:hint="eastAsia" w:ascii="Times New Roman" w:hAnsi="Times New Roman" w:cs="Times New Roman"/>
                <w:color w:val="000000" w:themeColor="text1"/>
                <w:szCs w:val="20"/>
                <w14:textFill>
                  <w14:solidFill>
                    <w14:schemeClr w14:val="tx1"/>
                  </w14:solidFill>
                </w14:textFill>
              </w:rPr>
              <w:t>2</w:t>
            </w:r>
            <w:r>
              <w:rPr>
                <w:rFonts w:ascii="Times New Roman" w:hAnsi="Times New Roman" w:cs="Times New Roman"/>
                <w:color w:val="000000" w:themeColor="text1"/>
                <w:szCs w:val="20"/>
                <w14:textFill>
                  <w14:solidFill>
                    <w14:schemeClr w14:val="tx1"/>
                  </w14:solidFill>
                </w14:textFill>
              </w:rPr>
              <w:t>m。</w:t>
            </w:r>
          </w:p>
          <w:p>
            <w:pPr>
              <w:rPr>
                <w:rFonts w:ascii="Times New Roman" w:hAnsi="Times New Roman" w:cs="Times New Roman"/>
                <w:szCs w:val="20"/>
              </w:rPr>
            </w:pPr>
            <w:r>
              <w:rPr>
                <w:rFonts w:ascii="Times New Roman" w:hAnsi="Times New Roman" w:cs="Times New Roman"/>
                <w:szCs w:val="20"/>
              </w:rPr>
              <w:t>（19）阻尼光学平台。隔振方式</w:t>
            </w:r>
            <w:r>
              <w:rPr>
                <w:rFonts w:hint="eastAsia" w:ascii="Times New Roman" w:hAnsi="Times New Roman" w:cs="Times New Roman"/>
                <w:szCs w:val="20"/>
              </w:rPr>
              <w:t>：</w:t>
            </w:r>
            <w:r>
              <w:rPr>
                <w:rFonts w:ascii="Times New Roman" w:hAnsi="Times New Roman" w:cs="Times New Roman"/>
                <w:szCs w:val="20"/>
              </w:rPr>
              <w:t>精密橡胶阻尼隔振；调节机制</w:t>
            </w:r>
            <w:r>
              <w:rPr>
                <w:rFonts w:hint="eastAsia" w:ascii="Times New Roman" w:hAnsi="Times New Roman" w:cs="Times New Roman"/>
                <w:szCs w:val="20"/>
              </w:rPr>
              <w:t>：</w:t>
            </w:r>
            <w:r>
              <w:rPr>
                <w:rFonts w:ascii="Times New Roman" w:hAnsi="Times New Roman" w:cs="Times New Roman"/>
                <w:szCs w:val="20"/>
              </w:rPr>
              <w:t>水平调节轴承；光学平台高度</w:t>
            </w:r>
            <w:r>
              <w:rPr>
                <w:rFonts w:hint="eastAsia" w:ascii="Times New Roman" w:hAnsi="Times New Roman" w:cs="Times New Roman"/>
                <w:szCs w:val="20"/>
              </w:rPr>
              <w:t>：</w:t>
            </w:r>
            <w:r>
              <w:rPr>
                <w:rFonts w:ascii="Times New Roman" w:hAnsi="Times New Roman" w:cs="Times New Roman"/>
                <w:szCs w:val="20"/>
              </w:rPr>
              <w:t>800mm；光学平台台面粗糙度</w:t>
            </w:r>
            <w:r>
              <w:rPr>
                <w:rFonts w:hint="eastAsia" w:ascii="Times New Roman" w:hAnsi="Times New Roman" w:cs="Times New Roman"/>
                <w:szCs w:val="20"/>
              </w:rPr>
              <w:t>：</w:t>
            </w:r>
            <w:r>
              <w:rPr>
                <w:rFonts w:ascii="Times New Roman" w:hAnsi="Times New Roman" w:cs="Times New Roman"/>
                <w:szCs w:val="20"/>
              </w:rPr>
              <w:t>≤3.2μm</w:t>
            </w:r>
            <w:r>
              <w:rPr>
                <w:rFonts w:hint="eastAsia" w:ascii="Times New Roman" w:hAnsi="Times New Roman" w:cs="Times New Roman"/>
                <w:szCs w:val="20"/>
              </w:rPr>
              <w:t>；</w:t>
            </w:r>
            <w:r>
              <w:rPr>
                <w:rFonts w:ascii="Times New Roman" w:hAnsi="Times New Roman" w:cs="Times New Roman"/>
                <w:szCs w:val="20"/>
              </w:rPr>
              <w:t>尺寸：约2500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1</w:t>
            </w:r>
            <w:r>
              <w:rPr>
                <w:rFonts w:hint="eastAsia" w:ascii="Times New Roman" w:hAnsi="Times New Roman" w:cs="Times New Roman"/>
                <w:szCs w:val="20"/>
              </w:rPr>
              <w:t>5</w:t>
            </w:r>
            <w:r>
              <w:rPr>
                <w:rFonts w:ascii="Times New Roman" w:hAnsi="Times New Roman" w:cs="Times New Roman"/>
                <w:szCs w:val="20"/>
              </w:rPr>
              <w:t>00</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600mm。</w:t>
            </w:r>
          </w:p>
          <w:p>
            <w:pPr>
              <w:rPr>
                <w:rFonts w:ascii="Times New Roman" w:hAnsi="Times New Roman" w:cs="Times New Roman"/>
                <w:szCs w:val="20"/>
              </w:rPr>
            </w:pPr>
            <w:r>
              <w:rPr>
                <w:rFonts w:ascii="Times New Roman" w:hAnsi="Times New Roman" w:cs="Times New Roman"/>
                <w:szCs w:val="20"/>
              </w:rPr>
              <w:t>（2</w:t>
            </w:r>
            <w:r>
              <w:rPr>
                <w:rFonts w:hint="eastAsia" w:ascii="Times New Roman" w:hAnsi="Times New Roman" w:cs="Times New Roman"/>
                <w:szCs w:val="20"/>
              </w:rPr>
              <w:t>0</w:t>
            </w:r>
            <w:r>
              <w:rPr>
                <w:rFonts w:ascii="Times New Roman" w:hAnsi="Times New Roman" w:cs="Times New Roman"/>
                <w:szCs w:val="20"/>
              </w:rPr>
              <w:t>）实验室货架。</w:t>
            </w:r>
            <w:r>
              <w:rPr>
                <w:rFonts w:hint="eastAsia" w:ascii="Times New Roman" w:hAnsi="Times New Roman" w:cs="Times New Roman"/>
                <w:szCs w:val="20"/>
              </w:rPr>
              <w:t>数量：2；</w:t>
            </w:r>
            <w:r>
              <w:rPr>
                <w:rFonts w:ascii="Times New Roman" w:hAnsi="Times New Roman" w:cs="Times New Roman"/>
                <w:szCs w:val="20"/>
              </w:rPr>
              <w:t>实芯理化板；特性：耐酸碱、抗腐蚀；表面处理：环氧树脂喷涂；材质：钢木材料；尺寸（可定制）：约2m</w:t>
            </w:r>
            <w:r>
              <w:rPr>
                <w:rFonts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1m。</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（2</w:t>
            </w:r>
            <w:r>
              <w:rPr>
                <w:rFonts w:hint="eastAsia" w:ascii="Times New Roman" w:hAnsi="Times New Roman" w:cs="Times New Roman"/>
                <w:color w:val="000000" w:themeColor="text1"/>
                <w:szCs w:val="20"/>
                <w14:textFill>
                  <w14:solidFill>
                    <w14:schemeClr w14:val="tx1"/>
                  </w14:solidFill>
                </w14:textFill>
              </w:rPr>
              <w:t>1）超纯水系统</w:t>
            </w:r>
            <w:r>
              <w:rPr>
                <w:rFonts w:ascii="Times New Roman" w:hAnsi="Times New Roman" w:cs="Times New Roman"/>
                <w:color w:val="000000" w:themeColor="text1"/>
                <w:szCs w:val="20"/>
                <w14:textFill>
                  <w14:solidFill>
                    <w14:schemeClr w14:val="tx1"/>
                  </w14:solidFill>
                </w14:textFill>
              </w:rPr>
              <w:t>。进水水源：市政自来水（TDS</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1000ppm，水压0.1-0.4MPa）适应高硬度水质；RO纯水电导率：1</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5μs/cm</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在线监测</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；UP超纯水电阻率：18.25MΩ.cm</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重金属离子</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0.1ppb；微生物</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1cfu/m</w:t>
            </w:r>
            <w:r>
              <w:rPr>
                <w:rFonts w:hint="eastAsia" w:ascii="Times New Roman" w:hAnsi="Times New Roman" w:cs="Times New Roman"/>
                <w:color w:val="000000" w:themeColor="text1"/>
                <w:szCs w:val="20"/>
                <w14:textFill>
                  <w14:solidFill>
                    <w14:schemeClr w14:val="tx1"/>
                  </w14:solidFill>
                </w14:textFill>
              </w:rPr>
              <w:t>L；</w:t>
            </w:r>
            <w:r>
              <w:rPr>
                <w:rFonts w:ascii="Times New Roman" w:hAnsi="Times New Roman" w:cs="Times New Roman"/>
                <w:color w:val="000000" w:themeColor="text1"/>
                <w:szCs w:val="20"/>
                <w14:textFill>
                  <w14:solidFill>
                    <w14:schemeClr w14:val="tx1"/>
                  </w14:solidFill>
                </w14:textFill>
              </w:rPr>
              <w:t>微颗粒物</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1个/m</w:t>
            </w:r>
            <w:r>
              <w:rPr>
                <w:rFonts w:hint="eastAsia" w:ascii="Times New Roman" w:hAnsi="Times New Roman" w:cs="Times New Roman"/>
                <w:color w:val="000000" w:themeColor="text1"/>
                <w:szCs w:val="20"/>
                <w14:textFill>
                  <w14:solidFill>
                    <w14:schemeClr w14:val="tx1"/>
                  </w14:solidFill>
                </w14:textFill>
              </w:rPr>
              <w:t>L</w:t>
            </w:r>
            <w:r>
              <w:rPr>
                <w:rFonts w:ascii="Times New Roman" w:hAnsi="Times New Roman" w:cs="Times New Roman"/>
                <w:color w:val="000000" w:themeColor="text1"/>
                <w:szCs w:val="20"/>
                <w14:textFill>
                  <w14:solidFill>
                    <w14:schemeClr w14:val="tx1"/>
                  </w14:solidFill>
                </w14:textFill>
              </w:rPr>
              <w:t>；TOC</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5ppb</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热源（内毒素）</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szCs w:val="20"/>
              </w:rPr>
              <w:t>&lt;</w:t>
            </w:r>
            <w:r>
              <w:rPr>
                <w:rFonts w:ascii="Times New Roman" w:hAnsi="Times New Roman" w:cs="Times New Roman"/>
                <w:color w:val="000000" w:themeColor="text1"/>
                <w:szCs w:val="20"/>
                <w14:textFill>
                  <w14:solidFill>
                    <w14:schemeClr w14:val="tx1"/>
                  </w14:solidFill>
                </w14:textFill>
              </w:rPr>
              <w:t>0.001EU/m</w:t>
            </w:r>
            <w:r>
              <w:rPr>
                <w:rFonts w:hint="eastAsia" w:ascii="Times New Roman" w:hAnsi="Times New Roman" w:cs="Times New Roman"/>
                <w:color w:val="000000" w:themeColor="text1"/>
                <w:szCs w:val="20"/>
                <w14:textFill>
                  <w14:solidFill>
                    <w14:schemeClr w14:val="tx1"/>
                  </w14:solidFill>
                </w14:textFill>
              </w:rPr>
              <w:t>L</w:t>
            </w:r>
            <w:r>
              <w:rPr>
                <w:rFonts w:ascii="Times New Roman" w:hAnsi="Times New Roman" w:cs="Times New Roman"/>
                <w:color w:val="000000" w:themeColor="text1"/>
                <w:szCs w:val="20"/>
                <w14:textFill>
                  <w14:solidFill>
                    <w14:schemeClr w14:val="tx1"/>
                  </w14:solidFill>
                </w14:textFill>
              </w:rPr>
              <w:t>。</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（2</w:t>
            </w:r>
            <w:r>
              <w:rPr>
                <w:rFonts w:hint="eastAsia" w:ascii="Times New Roman" w:hAnsi="Times New Roman" w:cs="Times New Roman"/>
                <w:color w:val="000000" w:themeColor="text1"/>
                <w:szCs w:val="20"/>
                <w14:textFill>
                  <w14:solidFill>
                    <w14:schemeClr w14:val="tx1"/>
                  </w14:solidFill>
                </w14:textFill>
              </w:rPr>
              <w:t>2</w:t>
            </w:r>
            <w:r>
              <w:rPr>
                <w:rFonts w:ascii="Times New Roman" w:hAnsi="Times New Roman" w:cs="Times New Roman"/>
                <w:color w:val="000000" w:themeColor="text1"/>
                <w:szCs w:val="20"/>
                <w14:textFill>
                  <w14:solidFill>
                    <w14:schemeClr w14:val="tx1"/>
                  </w14:solidFill>
                </w14:textFill>
              </w:rPr>
              <w:t>）光功率计。线路滤波器：设定装置的本地线路频率为50Hz或60Hz；刷新率：20Hz；调整步长：1%；查看区域：81.4mm×61.0mm</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3.20"×2.40"</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；精确度：±3%</w:t>
            </w:r>
            <w:r>
              <w:rPr>
                <w:rFonts w:hint="eastAsia" w:ascii="Times New Roman" w:hAnsi="Times New Roman" w:cs="Times New Roman"/>
                <w:color w:val="000000" w:themeColor="text1"/>
                <w:szCs w:val="20"/>
                <w14:textFill>
                  <w14:solidFill>
                    <w14:schemeClr w14:val="tx1"/>
                  </w14:solidFill>
                </w14:textFill>
              </w:rPr>
              <w:t>；4英寸LCD屏，多种显示选项，兼容25种以上探头，预装8GB SD内存卡用于储存和传输数据和USB2.0接口。</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（2</w:t>
            </w:r>
            <w:r>
              <w:rPr>
                <w:rFonts w:hint="eastAsia" w:ascii="Times New Roman" w:hAnsi="Times New Roman" w:cs="Times New Roman"/>
                <w:color w:val="000000" w:themeColor="text1"/>
                <w:szCs w:val="20"/>
                <w14:textFill>
                  <w14:solidFill>
                    <w14:schemeClr w14:val="tx1"/>
                  </w14:solidFill>
                </w14:textFill>
              </w:rPr>
              <w:t>3</w:t>
            </w:r>
            <w:r>
              <w:rPr>
                <w:rFonts w:ascii="Times New Roman" w:hAnsi="Times New Roman" w:cs="Times New Roman"/>
                <w:color w:val="000000" w:themeColor="text1"/>
                <w:szCs w:val="20"/>
                <w14:textFill>
                  <w14:solidFill>
                    <w14:schemeClr w14:val="tx1"/>
                  </w14:solidFill>
                </w14:textFill>
              </w:rPr>
              <w:t>）防爆柜。数量：</w:t>
            </w:r>
            <w:r>
              <w:rPr>
                <w:rFonts w:hint="eastAsia" w:ascii="Times New Roman" w:hAnsi="Times New Roman" w:cs="Times New Roman"/>
                <w:color w:val="000000" w:themeColor="text1"/>
                <w:szCs w:val="20"/>
                <w14:textFill>
                  <w14:solidFill>
                    <w14:schemeClr w14:val="tx1"/>
                  </w14:solidFill>
                </w14:textFill>
              </w:rPr>
              <w:t>3；尺寸：4加仑（高560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宽430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深430mm）15L。</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（2</w:t>
            </w:r>
            <w:r>
              <w:rPr>
                <w:rFonts w:hint="eastAsia" w:ascii="Times New Roman" w:hAnsi="Times New Roman" w:cs="Times New Roman"/>
                <w:color w:val="000000" w:themeColor="text1"/>
                <w:szCs w:val="20"/>
                <w14:textFill>
                  <w14:solidFill>
                    <w14:schemeClr w14:val="tx1"/>
                  </w14:solidFill>
                </w14:textFill>
              </w:rPr>
              <w:t>4</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化学</w:t>
            </w:r>
            <w:r>
              <w:rPr>
                <w:rFonts w:ascii="Times New Roman" w:hAnsi="Times New Roman" w:cs="Times New Roman"/>
                <w:color w:val="000000" w:themeColor="text1"/>
                <w:szCs w:val="20"/>
                <w14:textFill>
                  <w14:solidFill>
                    <w14:schemeClr w14:val="tx1"/>
                  </w14:solidFill>
                </w14:textFill>
              </w:rPr>
              <w:t>实验台：</w:t>
            </w:r>
            <w:r>
              <w:rPr>
                <w:rFonts w:hint="eastAsia" w:ascii="Times New Roman" w:hAnsi="Times New Roman" w:cs="Times New Roman"/>
                <w:color w:val="000000" w:themeColor="text1"/>
                <w:szCs w:val="20"/>
                <w14:textFill>
                  <w14:solidFill>
                    <w14:schemeClr w14:val="tx1"/>
                  </w14:solidFill>
                </w14:textFill>
              </w:rPr>
              <w:t>数量：6；特性：抗腐蚀、耐强酸、强碱；</w:t>
            </w:r>
            <w:r>
              <w:rPr>
                <w:rFonts w:ascii="Times New Roman" w:hAnsi="Times New Roman" w:cs="Times New Roman"/>
                <w:color w:val="000000" w:themeColor="text1"/>
                <w:szCs w:val="20"/>
                <w14:textFill>
                  <w14:solidFill>
                    <w14:schemeClr w14:val="tx1"/>
                  </w14:solidFill>
                </w14:textFill>
              </w:rPr>
              <w:t>尺寸：约200×</w:t>
            </w:r>
            <w:r>
              <w:rPr>
                <w:rFonts w:hint="eastAsia" w:ascii="Times New Roman" w:hAnsi="Times New Roman" w:cs="Times New Roman"/>
                <w:color w:val="000000" w:themeColor="text1"/>
                <w:szCs w:val="20"/>
                <w14:textFill>
                  <w14:solidFill>
                    <w14:schemeClr w14:val="tx1"/>
                  </w14:solidFill>
                </w14:textFill>
              </w:rPr>
              <w:t>150</w:t>
            </w:r>
            <w:r>
              <w:rPr>
                <w:rFonts w:ascii="Times New Roman" w:hAnsi="Times New Roman" w:cs="Times New Roman"/>
                <w:color w:val="000000" w:themeColor="text1"/>
                <w:szCs w:val="20"/>
                <w14:textFill>
                  <w14:solidFill>
                    <w14:schemeClr w14:val="tx1"/>
                  </w14:solidFill>
                </w14:textFill>
              </w:rPr>
              <w:t>×80</w:t>
            </w:r>
            <w:r>
              <w:rPr>
                <w:rFonts w:hint="eastAsia" w:ascii="Times New Roman" w:hAnsi="Times New Roman" w:cs="Times New Roman"/>
                <w:color w:val="000000" w:themeColor="text1"/>
                <w:szCs w:val="20"/>
                <w14:textFill>
                  <w14:solidFill>
                    <w14:schemeClr w14:val="tx1"/>
                  </w14:solidFill>
                </w14:textFill>
              </w:rPr>
              <w:t>cm（</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2）+150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100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80cm（</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2）+120</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75</w:t>
            </w:r>
            <w:r>
              <w:rPr>
                <w:rFonts w:ascii="Times New Roman" w:hAnsi="Times New Roman" w:cs="Times New Roman"/>
                <w:color w:val="000000" w:themeColor="text1"/>
                <w:szCs w:val="20"/>
                <w14:textFill>
                  <w14:solidFill>
                    <w14:schemeClr w14:val="tx1"/>
                  </w14:solidFill>
                </w14:textFill>
              </w:rPr>
              <w:t>×80</w:t>
            </w:r>
            <w:r>
              <w:rPr>
                <w:rFonts w:hint="eastAsia" w:ascii="Times New Roman" w:hAnsi="Times New Roman" w:cs="Times New Roman"/>
                <w:color w:val="000000" w:themeColor="text1"/>
                <w:szCs w:val="20"/>
                <w14:textFill>
                  <w14:solidFill>
                    <w14:schemeClr w14:val="tx1"/>
                  </w14:solidFill>
                </w14:textFill>
              </w:rPr>
              <w:t>cm（</w:t>
            </w: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2）</w:t>
            </w:r>
            <w:r>
              <w:rPr>
                <w:rFonts w:ascii="Times New Roman" w:hAnsi="Times New Roman" w:cs="Times New Roman"/>
                <w:color w:val="000000" w:themeColor="text1"/>
                <w:szCs w:val="20"/>
                <w14:textFill>
                  <w14:solidFill>
                    <w14:schemeClr w14:val="tx1"/>
                  </w14:solidFill>
                </w14:textFill>
              </w:rPr>
              <w:t>。</w:t>
            </w:r>
          </w:p>
          <w:p>
            <w:pPr>
              <w:rPr>
                <w:rFonts w:ascii="Times New Roman" w:hAnsi="Times New Roman" w:cs="Times New Roman"/>
                <w:color w:val="FF0000"/>
                <w:szCs w:val="20"/>
              </w:rPr>
            </w:pPr>
            <w:r>
              <w:rPr>
                <w:rFonts w:ascii="Times New Roman" w:hAnsi="Times New Roman" w:cs="Times New Roman"/>
                <w:color w:val="000000" w:themeColor="text1"/>
                <w:szCs w:val="20"/>
                <w14:textFill>
                  <w14:solidFill>
                    <w14:schemeClr w14:val="tx1"/>
                  </w14:solidFill>
                </w14:textFill>
              </w:rPr>
              <w:t>二、</w:t>
            </w:r>
            <w:r>
              <w:rPr>
                <w:rFonts w:ascii="Times New Roman" w:hAnsi="Times New Roman" w:cs="Times New Roman"/>
                <w:sz w:val="24"/>
                <w:szCs w:val="20"/>
              </w:rPr>
              <w:sym w:font="Wingdings 2" w:char="F0EA"/>
            </w:r>
            <w:r>
              <w:rPr>
                <w:rFonts w:ascii="Times New Roman" w:hAnsi="Times New Roman" w:cs="Times New Roman"/>
                <w:color w:val="000000" w:themeColor="text1"/>
                <w:szCs w:val="20"/>
                <w14:textFill>
                  <w14:solidFill>
                    <w14:schemeClr w14:val="tx1"/>
                  </w14:solidFill>
                </w14:textFill>
              </w:rPr>
              <w:t>粉尘颗粒物探测器实验模块</w:t>
            </w:r>
            <w:r>
              <w:rPr>
                <w:rFonts w:hint="eastAsia" w:ascii="Times New Roman" w:hAnsi="Times New Roman" w:cs="Times New Roman"/>
                <w:color w:val="000000" w:themeColor="text1"/>
                <w:szCs w:val="20"/>
                <w14:textFill>
                  <w14:solidFill>
                    <w14:schemeClr w14:val="tx1"/>
                  </w14:solidFill>
                </w14:textFill>
              </w:rPr>
              <w:t>（投标时需提供整体设计方案及设计图纸，图纸需标注发尘段、均尘段、测试段、抽风段、除尘段及尾部排气段）</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（1）风硐硐体装置。该装置长为10m（可定制），直径0.8m，由不锈钢材料卷筒而成。</w:t>
            </w:r>
          </w:p>
          <w:p>
            <w:pPr>
              <w:rPr>
                <w:rFonts w:ascii="Times New Roman" w:hAnsi="Times New Roman" w:cs="Times New Roman"/>
                <w:color w:val="000000" w:themeColor="text1"/>
                <w:szCs w:val="20"/>
                <w14:textFill>
                  <w14:solidFill>
                    <w14:schemeClr w14:val="tx1"/>
                  </w14:solidFill>
                </w14:textFill>
              </w:rPr>
            </w:pPr>
            <w:r>
              <w:rPr>
                <w:rFonts w:hint="eastAsia" w:ascii="Times New Roman" w:hAnsi="Times New Roman" w:cs="Times New Roman"/>
                <w:color w:val="000000" w:themeColor="text1"/>
                <w:szCs w:val="20"/>
                <w14:textFill>
                  <w14:solidFill>
                    <w14:schemeClr w14:val="tx1"/>
                  </w14:solidFill>
                </w14:textFill>
              </w:rPr>
              <w:t>（2）气溶胶发生器：粉末粒径范围：0.2-100</w:t>
            </w:r>
            <w:r>
              <w:rPr>
                <w:rFonts w:ascii="Times New Roman" w:hAnsi="Times New Roman" w:cs="Times New Roman"/>
                <w:color w:val="000000" w:themeColor="text1"/>
                <w:szCs w:val="20"/>
                <w14:textFill>
                  <w14:solidFill>
                    <w14:schemeClr w14:val="tx1"/>
                  </w14:solidFill>
                </w14:textFill>
              </w:rPr>
              <w:t>μ</w:t>
            </w:r>
            <w:r>
              <w:rPr>
                <w:rFonts w:hint="eastAsia" w:ascii="Times New Roman" w:hAnsi="Times New Roman" w:cs="Times New Roman"/>
                <w:color w:val="000000" w:themeColor="text1"/>
                <w:szCs w:val="20"/>
                <w14:textFill>
                  <w14:solidFill>
                    <w14:schemeClr w14:val="tx1"/>
                  </w14:solidFill>
                </w14:textFill>
              </w:rPr>
              <w:t>m；进气压力范围:&lt;1MPa</w:t>
            </w:r>
            <w:bookmarkStart w:id="29" w:name="_Hlk136882994"/>
            <w:r>
              <w:rPr>
                <w:rFonts w:hint="eastAsia" w:ascii="Times New Roman" w:hAnsi="Times New Roman" w:cs="Times New Roman"/>
                <w:color w:val="000000" w:themeColor="text1"/>
                <w:szCs w:val="20"/>
                <w14:textFill>
                  <w14:solidFill>
                    <w14:schemeClr w14:val="tx1"/>
                  </w14:solidFill>
                </w14:textFill>
              </w:rPr>
              <w:t>；出气压力范围：&lt;0.8MPa</w:t>
            </w:r>
            <w:bookmarkEnd w:id="29"/>
            <w:r>
              <w:rPr>
                <w:rFonts w:hint="eastAsia" w:ascii="Times New Roman" w:hAnsi="Times New Roman" w:cs="Times New Roman"/>
                <w:color w:val="000000" w:themeColor="text1"/>
                <w:szCs w:val="20"/>
                <w14:textFill>
                  <w14:solidFill>
                    <w14:schemeClr w14:val="tx1"/>
                  </w14:solidFill>
                </w14:textFill>
              </w:rPr>
              <w:t>；发尘质量：&lt;4000g/h；发尘气体流量：</w:t>
            </w:r>
            <w:r>
              <w:rPr>
                <w:rFonts w:ascii="Times New Roman" w:hAnsi="Times New Roman" w:cs="Times New Roman"/>
                <w:szCs w:val="20"/>
              </w:rPr>
              <w:t>&lt;</w:t>
            </w:r>
            <w:r>
              <w:rPr>
                <w:rFonts w:hint="eastAsia" w:ascii="Times New Roman" w:hAnsi="Times New Roman" w:cs="Times New Roman"/>
                <w:color w:val="000000" w:themeColor="text1"/>
                <w:szCs w:val="20"/>
                <w14:textFill>
                  <w14:solidFill>
                    <w14:schemeClr w14:val="tx1"/>
                  </w14:solidFill>
                </w14:textFill>
              </w:rPr>
              <w:t>100L/min；称重精度：±1g；称重显示：数字连续显示；发尘设定：程序重量/时间设定；发尘流量控制与显示：</w:t>
            </w:r>
            <w:bookmarkStart w:id="30" w:name="_Hlk139876333"/>
            <w:r>
              <w:rPr>
                <w:rFonts w:hint="eastAsia" w:ascii="Times New Roman" w:hAnsi="Times New Roman" w:cs="Times New Roman"/>
                <w:color w:val="000000" w:themeColor="text1"/>
                <w:szCs w:val="20"/>
                <w14:textFill>
                  <w14:solidFill>
                    <w14:schemeClr w14:val="tx1"/>
                  </w14:solidFill>
                </w14:textFill>
              </w:rPr>
              <w:t>手动参数输入，程序自动控制</w:t>
            </w:r>
            <w:bookmarkEnd w:id="30"/>
            <w:r>
              <w:rPr>
                <w:rFonts w:hint="eastAsia" w:ascii="Times New Roman" w:hAnsi="Times New Roman" w:cs="Times New Roman"/>
                <w:color w:val="000000" w:themeColor="text1"/>
                <w:szCs w:val="20"/>
                <w14:textFill>
                  <w14:solidFill>
                    <w14:schemeClr w14:val="tx1"/>
                  </w14:solidFill>
                </w14:textFill>
              </w:rPr>
              <w:t>；接入气压控制与显示：手动参数输入，程序自动控制；发尘重量预警提示：自动预警；电源：220V，50Hz；整体重量：20kg；触摸屏尺寸：7英寸；投标时提供设计方案或图纸。</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3</w:t>
            </w:r>
            <w:r>
              <w:rPr>
                <w:rFonts w:ascii="Times New Roman" w:hAnsi="Times New Roman" w:cs="Times New Roman"/>
                <w:color w:val="000000" w:themeColor="text1"/>
                <w:szCs w:val="20"/>
                <w14:textFill>
                  <w14:solidFill>
                    <w14:schemeClr w14:val="tx1"/>
                  </w14:solidFill>
                </w14:textFill>
              </w:rPr>
              <w:t>）静电除尘器。处理风量</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16000m</w:t>
            </w:r>
            <w:r>
              <w:rPr>
                <w:rFonts w:ascii="Times New Roman" w:hAnsi="Times New Roman" w:cs="Times New Roman"/>
                <w:color w:val="000000" w:themeColor="text1"/>
                <w:szCs w:val="20"/>
                <w:vertAlign w:val="superscript"/>
                <w14:textFill>
                  <w14:solidFill>
                    <w14:schemeClr w14:val="tx1"/>
                  </w14:solidFill>
                </w14:textFill>
              </w:rPr>
              <w:t>3</w:t>
            </w:r>
            <w:r>
              <w:rPr>
                <w:rFonts w:ascii="Times New Roman" w:hAnsi="Times New Roman" w:cs="Times New Roman"/>
                <w:color w:val="000000" w:themeColor="text1"/>
                <w:szCs w:val="20"/>
                <w14:textFill>
                  <w14:solidFill>
                    <w14:schemeClr w14:val="tx1"/>
                  </w14:solidFill>
                </w14:textFill>
              </w:rPr>
              <w:t>/h，除尘效率</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≥85%。</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4</w:t>
            </w:r>
            <w:r>
              <w:rPr>
                <w:rFonts w:ascii="Times New Roman" w:hAnsi="Times New Roman" w:cs="Times New Roman"/>
                <w:color w:val="000000" w:themeColor="text1"/>
                <w:szCs w:val="20"/>
                <w14:textFill>
                  <w14:solidFill>
                    <w14:schemeClr w14:val="tx1"/>
                  </w14:solidFill>
                </w14:textFill>
              </w:rPr>
              <w:t>）通风装置。全压1628Pa，转速为2900r/min。变频器采用功率为4.4k</w:t>
            </w:r>
            <w:r>
              <w:rPr>
                <w:rFonts w:hint="eastAsia" w:ascii="Times New Roman" w:hAnsi="Times New Roman" w:cs="Times New Roman"/>
                <w:color w:val="000000" w:themeColor="text1"/>
                <w:szCs w:val="20"/>
                <w14:textFill>
                  <w14:solidFill>
                    <w14:schemeClr w14:val="tx1"/>
                  </w14:solidFill>
                </w14:textFill>
              </w:rPr>
              <w:t>W</w:t>
            </w:r>
            <w:r>
              <w:rPr>
                <w:rFonts w:ascii="Times New Roman" w:hAnsi="Times New Roman" w:cs="Times New Roman"/>
                <w:color w:val="000000" w:themeColor="text1"/>
                <w:szCs w:val="20"/>
                <w14:textFill>
                  <w14:solidFill>
                    <w14:schemeClr w14:val="tx1"/>
                  </w14:solidFill>
                </w14:textFill>
              </w:rPr>
              <w:t>的变频器，工作电压为380V，用于风机和加压泵额定频率要求。</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w:t>
            </w:r>
            <w:r>
              <w:rPr>
                <w:rFonts w:hint="eastAsia" w:ascii="Times New Roman" w:hAnsi="Times New Roman" w:cs="Times New Roman"/>
                <w:color w:val="000000" w:themeColor="text1"/>
                <w:szCs w:val="20"/>
                <w14:textFill>
                  <w14:solidFill>
                    <w14:schemeClr w14:val="tx1"/>
                  </w14:solidFill>
                </w14:textFill>
              </w:rPr>
              <w:t>5</w:t>
            </w:r>
            <w:r>
              <w:rPr>
                <w:rFonts w:ascii="Times New Roman" w:hAnsi="Times New Roman" w:cs="Times New Roman"/>
                <w:color w:val="000000" w:themeColor="text1"/>
                <w:szCs w:val="20"/>
                <w14:textFill>
                  <w14:solidFill>
                    <w14:schemeClr w14:val="tx1"/>
                  </w14:solidFill>
                </w14:textFill>
              </w:rPr>
              <w:t>）矿用温湿度检测仪。测量范围</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0</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100%</w:t>
            </w:r>
            <w:r>
              <w:rPr>
                <w:rFonts w:hint="eastAsia" w:ascii="Times New Roman" w:hAnsi="Times New Roman" w:cs="Times New Roman"/>
                <w:color w:val="000000" w:themeColor="text1"/>
                <w:szCs w:val="20"/>
                <w14:textFill>
                  <w14:solidFill>
                    <w14:schemeClr w14:val="tx1"/>
                  </w14:solidFill>
                </w14:textFill>
              </w:rPr>
              <w:t>RH</w:t>
            </w:r>
            <w:r>
              <w:rPr>
                <w:rFonts w:ascii="Times New Roman" w:hAnsi="Times New Roman" w:cs="Times New Roman"/>
                <w:color w:val="000000" w:themeColor="text1"/>
                <w:szCs w:val="20"/>
                <w14:textFill>
                  <w14:solidFill>
                    <w14:schemeClr w14:val="tx1"/>
                  </w14:solidFill>
                </w14:textFill>
              </w:rPr>
              <w:t>/-50</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100℃；测量精度：±0.8%</w:t>
            </w:r>
            <w:r>
              <w:rPr>
                <w:rFonts w:hint="eastAsia" w:ascii="Times New Roman" w:hAnsi="Times New Roman" w:cs="Times New Roman"/>
                <w:color w:val="000000" w:themeColor="text1"/>
                <w:szCs w:val="20"/>
                <w14:textFill>
                  <w14:solidFill>
                    <w14:schemeClr w14:val="tx1"/>
                  </w14:solidFill>
                </w14:textFill>
              </w:rPr>
              <w:t>RH</w:t>
            </w:r>
            <w:r>
              <w:rPr>
                <w:rFonts w:ascii="Times New Roman" w:hAnsi="Times New Roman" w:cs="Times New Roman"/>
                <w:color w:val="000000" w:themeColor="text1"/>
                <w:szCs w:val="20"/>
                <w14:textFill>
                  <w14:solidFill>
                    <w14:schemeClr w14:val="tx1"/>
                  </w14:solidFill>
                </w14:textFill>
              </w:rPr>
              <w:t>/±0.1℃；供电方式：USB口充电；延长电缆：2m。</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（6）小型镀膜气室。稳定浓度范围：10-100mg/m³；粒径范围：0.5-40μm；进气流量范围：5-15L/min</w:t>
            </w:r>
            <w:bookmarkStart w:id="31" w:name="_Hlk133162700"/>
            <w:r>
              <w:rPr>
                <w:rFonts w:ascii="Times New Roman" w:hAnsi="Times New Roman" w:cs="Times New Roman"/>
                <w:color w:val="000000" w:themeColor="text1"/>
                <w:szCs w:val="20"/>
                <w14:textFill>
                  <w14:solidFill>
                    <w14:schemeClr w14:val="tx1"/>
                  </w14:solidFill>
                </w14:textFill>
              </w:rPr>
              <w:t>；进气压力：&gt;0.2MPa；</w:t>
            </w:r>
            <w:bookmarkEnd w:id="31"/>
            <w:r>
              <w:rPr>
                <w:rFonts w:ascii="Times New Roman" w:hAnsi="Times New Roman" w:cs="Times New Roman"/>
                <w:color w:val="000000" w:themeColor="text1"/>
                <w:szCs w:val="20"/>
                <w14:textFill>
                  <w14:solidFill>
                    <w14:schemeClr w14:val="tx1"/>
                  </w14:solidFill>
                </w14:textFill>
              </w:rPr>
              <w:t>出气流量范围：5-30L/min；进气压力：&gt;0.2M</w:t>
            </w:r>
            <w:r>
              <w:rPr>
                <w:rFonts w:hint="eastAsia" w:ascii="Times New Roman" w:hAnsi="Times New Roman" w:cs="Times New Roman"/>
                <w:color w:val="000000" w:themeColor="text1"/>
                <w:szCs w:val="20"/>
                <w14:textFill>
                  <w14:solidFill>
                    <w14:schemeClr w14:val="tx1"/>
                  </w14:solidFill>
                </w14:textFill>
              </w:rPr>
              <w:t>P</w:t>
            </w:r>
            <w:r>
              <w:rPr>
                <w:rFonts w:ascii="Times New Roman" w:hAnsi="Times New Roman" w:cs="Times New Roman"/>
                <w:color w:val="000000" w:themeColor="text1"/>
                <w:szCs w:val="20"/>
                <w14:textFill>
                  <w14:solidFill>
                    <w14:schemeClr w14:val="tx1"/>
                  </w14:solidFill>
                </w14:textFill>
              </w:rPr>
              <w:t>a；气溶胶发生器输出管径与进气管管径比例：1.5-2；采样横截面积与垂直出气嘴比例</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0.9-1.1。</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（7）风速风向传感器。数量</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2；量程为0</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15m。</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（8）粉尘浓度传感器。数量：2；测量范围：0</w:t>
            </w:r>
            <w:r>
              <w:rPr>
                <w:rFonts w:hint="eastAsia" w:ascii="Times New Roman" w:hAnsi="Times New Roman" w:cs="Times New Roman"/>
                <w:color w:val="000000" w:themeColor="text1"/>
                <w:szCs w:val="20"/>
                <w14:textFill>
                  <w14:solidFill>
                    <w14:schemeClr w14:val="tx1"/>
                  </w14:solidFill>
                </w14:textFill>
              </w:rPr>
              <w:t>-</w:t>
            </w:r>
            <w:r>
              <w:rPr>
                <w:rFonts w:ascii="Times New Roman" w:hAnsi="Times New Roman" w:cs="Times New Roman"/>
                <w:color w:val="000000" w:themeColor="text1"/>
                <w:szCs w:val="20"/>
                <w14:textFill>
                  <w14:solidFill>
                    <w14:schemeClr w14:val="tx1"/>
                  </w14:solidFill>
                </w14:textFill>
              </w:rPr>
              <w:t>1000mg/m</w:t>
            </w:r>
            <w:r>
              <w:rPr>
                <w:rFonts w:ascii="Times New Roman" w:hAnsi="Times New Roman" w:cs="Times New Roman"/>
                <w:color w:val="000000" w:themeColor="text1"/>
                <w:szCs w:val="20"/>
                <w:vertAlign w:val="superscript"/>
                <w14:textFill>
                  <w14:solidFill>
                    <w14:schemeClr w14:val="tx1"/>
                  </w14:solidFill>
                </w14:textFill>
              </w:rPr>
              <w:t>3</w:t>
            </w:r>
            <w:r>
              <w:rPr>
                <w:rFonts w:ascii="Times New Roman" w:hAnsi="Times New Roman" w:cs="Times New Roman"/>
                <w:color w:val="000000" w:themeColor="text1"/>
                <w:szCs w:val="20"/>
                <w14:textFill>
                  <w14:solidFill>
                    <w14:schemeClr w14:val="tx1"/>
                  </w14:solidFill>
                </w14:textFill>
              </w:rPr>
              <w:t>。基本误差：±10.0%以内。</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（9）矿用粉尘采样器。流量：20L/min；抽气负压：&gt;3000Pa；采尘范围：全尘、呼吸性粉尘；定时范围：0~99分钟内任意设置。</w:t>
            </w:r>
          </w:p>
          <w:p>
            <w:pPr>
              <w:rPr>
                <w:rFonts w:ascii="Times New Roman" w:hAnsi="Times New Roman" w:cs="Times New Roman"/>
                <w:color w:val="000000" w:themeColor="text1"/>
                <w:szCs w:val="20"/>
                <w14:textFill>
                  <w14:solidFill>
                    <w14:schemeClr w14:val="tx1"/>
                  </w14:solidFill>
                </w14:textFill>
              </w:rPr>
            </w:pPr>
            <w:r>
              <w:rPr>
                <w:rFonts w:ascii="Times New Roman" w:hAnsi="Times New Roman" w:cs="Times New Roman"/>
                <w:color w:val="000000" w:themeColor="text1"/>
                <w:szCs w:val="20"/>
                <w14:textFill>
                  <w14:solidFill>
                    <w14:schemeClr w14:val="tx1"/>
                  </w14:solidFill>
                </w14:textFill>
              </w:rPr>
              <w:t>三、</w:t>
            </w:r>
            <w:r>
              <w:rPr>
                <w:rFonts w:ascii="Times New Roman" w:hAnsi="Times New Roman" w:cs="Times New Roman"/>
                <w:sz w:val="24"/>
                <w:szCs w:val="20"/>
              </w:rPr>
              <w:sym w:font="Wingdings 2" w:char="F0EA"/>
            </w:r>
            <w:r>
              <w:rPr>
                <w:rFonts w:ascii="Times New Roman" w:hAnsi="Times New Roman" w:cs="Times New Roman"/>
                <w:color w:val="000000" w:themeColor="text1"/>
                <w:szCs w:val="20"/>
                <w14:textFill>
                  <w14:solidFill>
                    <w14:schemeClr w14:val="tx1"/>
                  </w14:solidFill>
                </w14:textFill>
              </w:rPr>
              <w:t>智能控制模块</w:t>
            </w:r>
          </w:p>
          <w:p>
            <w:pPr>
              <w:ind w:firstLine="420" w:firstLineChars="200"/>
              <w:rPr>
                <w:rFonts w:ascii="Times New Roman" w:hAnsi="Times New Roman" w:cs="Times New Roman"/>
                <w:szCs w:val="20"/>
              </w:rPr>
            </w:pPr>
            <w:r>
              <w:rPr>
                <w:rFonts w:hint="eastAsia" w:ascii="Times New Roman" w:hAnsi="Times New Roman" w:cs="Times New Roman"/>
                <w:color w:val="000000" w:themeColor="text1"/>
                <w:szCs w:val="20"/>
                <w14:textFill>
                  <w14:solidFill>
                    <w14:schemeClr w14:val="tx1"/>
                  </w14:solidFill>
                </w14:textFill>
              </w:rPr>
              <w:t>含自动采集平台内粉尘浓度、风速等实时数据，并通过软件控制粉尘发生装置发尘量大小。可根据实验要求自行设定及控制抽出式风机。粉尘发生器工作后，粉尘颗粒经过粉尘浓度测量仪，该仪器采集到相应数据，并将数据实时传输到集成控制柜，屏幕显示相应的数值，实验数值自动存储，分析，相关的参数可输入更改。该集成控制系统，可开启运行调节所有实验仪器。并能将实验数据可实时存储，集成，对比，自动分析，打印等。可扩展，兼容强后期不同的实验仪器。投标时需提供智能控制系统软件截图或视频展示，内容需包含自动采集平台内粉尘浓度、风速等实时数据，并通过软件控制粉尘发生装置发尘量大小等证明材料。</w:t>
            </w:r>
          </w:p>
        </w:tc>
        <w:tc>
          <w:tcPr>
            <w:tcW w:w="720" w:type="dxa"/>
            <w:vAlign w:val="center"/>
          </w:tcPr>
          <w:p>
            <w:pPr>
              <w:rPr>
                <w:rFonts w:ascii="Times New Roman" w:hAnsi="Times New Roman" w:cs="Times New Roman"/>
                <w:szCs w:val="20"/>
              </w:rPr>
            </w:pPr>
            <w:r>
              <w:rPr>
                <w:rFonts w:ascii="Times New Roman" w:hAnsi="Times New Roman" w:cs="Times New Roman"/>
                <w:szCs w:val="20"/>
              </w:rPr>
              <w:t>套</w:t>
            </w:r>
          </w:p>
        </w:tc>
        <w:tc>
          <w:tcPr>
            <w:tcW w:w="733" w:type="dxa"/>
            <w:vAlign w:val="center"/>
          </w:tcPr>
          <w:p>
            <w:pPr>
              <w:rPr>
                <w:rFonts w:ascii="Times New Roman" w:hAnsi="Times New Roman" w:cs="Times New Roman"/>
                <w:szCs w:val="20"/>
              </w:rPr>
            </w:pPr>
            <w:r>
              <w:rPr>
                <w:rFonts w:ascii="Times New Roman" w:hAnsi="Times New Roman" w:cs="Times New Roman"/>
                <w:szCs w:val="20"/>
              </w:rPr>
              <w:t>1</w:t>
            </w:r>
          </w:p>
        </w:tc>
      </w:tr>
    </w:tbl>
    <w:p/>
    <w:p>
      <w:pPr>
        <w:spacing w:line="360" w:lineRule="auto"/>
        <w:jc w:val="both"/>
        <w:outlineLvl w:val="1"/>
        <w:rPr>
          <w:rFonts w:hint="eastAsia" w:ascii="Times New Roman" w:hAnsi="Times New Roman" w:eastAsia="宋体" w:cs="Arial"/>
          <w:b/>
          <w:bCs/>
          <w:kern w:val="0"/>
          <w:sz w:val="24"/>
          <w:szCs w:val="24"/>
          <w:lang w:val="en-US" w:eastAsia="zh-CN" w:bidi="ar-SA"/>
        </w:rPr>
      </w:pPr>
      <w:r>
        <w:rPr>
          <w:rFonts w:hint="eastAsia" w:ascii="Times New Roman" w:hAnsi="Times New Roman" w:eastAsia="宋体" w:cs="Arial"/>
          <w:b/>
          <w:bCs/>
          <w:kern w:val="0"/>
          <w:sz w:val="24"/>
          <w:szCs w:val="24"/>
          <w:lang w:val="en-US" w:eastAsia="zh-CN" w:bidi="ar-SA"/>
        </w:rPr>
        <w:t>包别2：</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
        <w:gridCol w:w="422"/>
        <w:gridCol w:w="7600"/>
        <w:gridCol w:w="422"/>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Align w:val="center"/>
          </w:tcPr>
          <w:p>
            <w:pPr>
              <w:jc w:val="center"/>
              <w:rPr>
                <w:szCs w:val="20"/>
              </w:rPr>
            </w:pPr>
            <w:r>
              <w:rPr>
                <w:rFonts w:hint="eastAsia"/>
                <w:szCs w:val="20"/>
              </w:rPr>
              <w:t>序号</w:t>
            </w:r>
          </w:p>
        </w:tc>
        <w:tc>
          <w:tcPr>
            <w:tcW w:w="422" w:type="dxa"/>
            <w:vAlign w:val="center"/>
          </w:tcPr>
          <w:p>
            <w:pPr>
              <w:jc w:val="center"/>
              <w:rPr>
                <w:szCs w:val="20"/>
              </w:rPr>
            </w:pPr>
            <w:r>
              <w:rPr>
                <w:rFonts w:hint="eastAsia"/>
                <w:szCs w:val="20"/>
              </w:rPr>
              <w:t>名称</w:t>
            </w:r>
          </w:p>
        </w:tc>
        <w:tc>
          <w:tcPr>
            <w:tcW w:w="7600" w:type="dxa"/>
            <w:vAlign w:val="center"/>
          </w:tcPr>
          <w:p>
            <w:pPr>
              <w:jc w:val="center"/>
              <w:rPr>
                <w:szCs w:val="20"/>
              </w:rPr>
            </w:pPr>
            <w:r>
              <w:rPr>
                <w:rFonts w:hint="eastAsia"/>
                <w:szCs w:val="20"/>
              </w:rPr>
              <w:t>参数</w:t>
            </w:r>
          </w:p>
        </w:tc>
        <w:tc>
          <w:tcPr>
            <w:tcW w:w="422" w:type="dxa"/>
            <w:vAlign w:val="center"/>
          </w:tcPr>
          <w:p>
            <w:pPr>
              <w:jc w:val="center"/>
              <w:rPr>
                <w:szCs w:val="20"/>
              </w:rPr>
            </w:pPr>
            <w:r>
              <w:rPr>
                <w:rFonts w:hint="eastAsia"/>
                <w:szCs w:val="20"/>
              </w:rPr>
              <w:t>单位</w:t>
            </w:r>
          </w:p>
        </w:tc>
        <w:tc>
          <w:tcPr>
            <w:tcW w:w="422" w:type="dxa"/>
            <w:vAlign w:val="center"/>
          </w:tcPr>
          <w:p>
            <w:pPr>
              <w:jc w:val="center"/>
              <w:rPr>
                <w:szCs w:val="20"/>
              </w:rPr>
            </w:pPr>
            <w:r>
              <w:rPr>
                <w:rFonts w:hint="eastAsia"/>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Align w:val="center"/>
          </w:tcPr>
          <w:p>
            <w:pPr>
              <w:rPr>
                <w:szCs w:val="20"/>
              </w:rPr>
            </w:pPr>
            <w:r>
              <w:rPr>
                <w:rFonts w:hint="eastAsia"/>
                <w:szCs w:val="20"/>
              </w:rPr>
              <w:t>1</w:t>
            </w:r>
          </w:p>
        </w:tc>
        <w:tc>
          <w:tcPr>
            <w:tcW w:w="422" w:type="dxa"/>
            <w:vAlign w:val="center"/>
          </w:tcPr>
          <w:p>
            <w:pPr>
              <w:rPr>
                <w:szCs w:val="20"/>
              </w:rPr>
            </w:pPr>
            <w:r>
              <w:rPr>
                <w:rFonts w:hint="eastAsia"/>
                <w:szCs w:val="20"/>
              </w:rPr>
              <w:t>深部岩体应力路径可控动静组合三维加载试验装置</w:t>
            </w:r>
          </w:p>
        </w:tc>
        <w:tc>
          <w:tcPr>
            <w:tcW w:w="7600" w:type="dxa"/>
            <w:vAlign w:val="center"/>
          </w:tcPr>
          <w:p>
            <w:pPr>
              <w:rPr>
                <w:b/>
                <w:bCs/>
                <w:szCs w:val="20"/>
              </w:rPr>
            </w:pPr>
            <w:r>
              <w:rPr>
                <w:b/>
                <w:bCs/>
                <w:szCs w:val="20"/>
              </w:rPr>
              <w:t>一、系统的主要功能、特点及用途</w:t>
            </w:r>
          </w:p>
          <w:p>
            <w:pPr>
              <w:rPr>
                <w:szCs w:val="20"/>
              </w:rPr>
            </w:pPr>
            <w:r>
              <w:rPr>
                <w:szCs w:val="20"/>
              </w:rPr>
              <w:t>1、极高静载+强冲击引发岩爆或冲击地压发生应力条件；</w:t>
            </w:r>
          </w:p>
          <w:p>
            <w:pPr>
              <w:rPr>
                <w:szCs w:val="20"/>
              </w:rPr>
            </w:pPr>
            <w:r>
              <w:rPr>
                <w:szCs w:val="20"/>
              </w:rPr>
              <w:t>2、极高静载+动力扰动下岩爆或冲击地压发生应力条件；</w:t>
            </w:r>
          </w:p>
          <w:p>
            <w:pPr>
              <w:rPr>
                <w:szCs w:val="20"/>
              </w:rPr>
            </w:pPr>
            <w:r>
              <w:rPr>
                <w:szCs w:val="20"/>
              </w:rPr>
              <w:t>3、动静组合荷载下煤、岩破坏特性的真三轴试验；</w:t>
            </w:r>
          </w:p>
          <w:p>
            <w:pPr>
              <w:rPr>
                <w:szCs w:val="20"/>
              </w:rPr>
            </w:pPr>
            <w:r>
              <w:rPr>
                <w:szCs w:val="20"/>
              </w:rPr>
              <w:t>4、常规单轴、双轴和真三轴加卸载，以及巴西劈裂、剪切等试验；</w:t>
            </w:r>
          </w:p>
          <w:p>
            <w:pPr>
              <w:rPr>
                <w:szCs w:val="20"/>
              </w:rPr>
            </w:pPr>
            <w:r>
              <w:rPr>
                <w:szCs w:val="20"/>
              </w:rPr>
              <w:t>5、动静组合荷载诱发冲击地压或岩爆的真三轴模拟试验；</w:t>
            </w:r>
          </w:p>
          <w:p>
            <w:pPr>
              <w:rPr>
                <w:szCs w:val="20"/>
              </w:rPr>
            </w:pPr>
            <w:r>
              <w:rPr>
                <w:szCs w:val="20"/>
              </w:rPr>
              <w:t>6、三个方向具有六轴独立刚性可控加载和卸载能力，获得3个方向全应力应变曲线；</w:t>
            </w:r>
          </w:p>
          <w:p>
            <w:pPr>
              <w:rPr>
                <w:szCs w:val="20"/>
              </w:rPr>
            </w:pPr>
            <w:r>
              <w:rPr>
                <w:szCs w:val="20"/>
              </w:rPr>
              <w:t>7、保证其加载过程中每个方向的加载中心与试样几何中心始终保持相对一致；</w:t>
            </w:r>
          </w:p>
          <w:p>
            <w:pPr>
              <w:rPr>
                <w:szCs w:val="20"/>
              </w:rPr>
            </w:pPr>
            <w:r>
              <w:rPr>
                <w:szCs w:val="20"/>
              </w:rPr>
              <w:t>8、在某一个水平方向（拟定整体框架上）作动器采用空心设计，匹配霍普金森压杆系统；</w:t>
            </w:r>
          </w:p>
          <w:p>
            <w:pPr>
              <w:rPr>
                <w:szCs w:val="20"/>
              </w:rPr>
            </w:pPr>
            <w:r>
              <w:rPr>
                <w:szCs w:val="20"/>
              </w:rPr>
              <w:t>9、在垂直方向和整体框架的水平方向设有动态扰动加载油缸，可以在静态加载的过程中同时进行动态扰动加载；</w:t>
            </w:r>
            <w:r>
              <w:rPr>
                <w:rFonts w:hint="eastAsia"/>
                <w:szCs w:val="20"/>
              </w:rPr>
              <w:t>应支持六轴独立控制、同步控制，可实现载荷、位移、应变的全伺服控制。</w:t>
            </w:r>
          </w:p>
          <w:p>
            <w:pPr>
              <w:rPr>
                <w:szCs w:val="20"/>
              </w:rPr>
            </w:pPr>
            <w:r>
              <w:rPr>
                <w:szCs w:val="20"/>
              </w:rPr>
              <w:t>10、其中指定方向具有快速卸载，并使试样的一个加载面快速临空（动力加速），形成自由面的能力；</w:t>
            </w:r>
          </w:p>
          <w:p>
            <w:pPr>
              <w:rPr>
                <w:szCs w:val="20"/>
              </w:rPr>
            </w:pPr>
            <w:r>
              <w:rPr>
                <w:szCs w:val="20"/>
              </w:rPr>
              <w:t>11、试样尺寸：</w:t>
            </w:r>
            <w:r>
              <w:rPr>
                <w:rFonts w:hint="eastAsia"/>
                <w:szCs w:val="20"/>
              </w:rPr>
              <w:t xml:space="preserve"> </w:t>
            </w:r>
            <w:r>
              <w:rPr>
                <w:szCs w:val="20"/>
              </w:rPr>
              <w:t xml:space="preserve">真三轴：75 mm × 75 mm × 150 mm </w:t>
            </w:r>
          </w:p>
          <w:p>
            <w:pPr>
              <w:rPr>
                <w:szCs w:val="20"/>
              </w:rPr>
            </w:pPr>
            <w:r>
              <w:rPr>
                <w:szCs w:val="20"/>
              </w:rPr>
              <w:t xml:space="preserve">                      100 mm × 100 mm × 100 mm </w:t>
            </w:r>
          </w:p>
          <w:p>
            <w:pPr>
              <w:rPr>
                <w:szCs w:val="20"/>
              </w:rPr>
            </w:pPr>
            <w:r>
              <w:rPr>
                <w:szCs w:val="20"/>
              </w:rPr>
              <w:t xml:space="preserve">                      100 mm × 100 mm × 200 mm</w:t>
            </w:r>
          </w:p>
          <w:p>
            <w:pPr>
              <w:rPr>
                <w:szCs w:val="20"/>
              </w:rPr>
            </w:pPr>
            <w:r>
              <w:rPr>
                <w:szCs w:val="20"/>
              </w:rPr>
              <w:t xml:space="preserve">                      150 mm × 150 mm × 150 mm </w:t>
            </w:r>
          </w:p>
          <w:p>
            <w:pPr>
              <w:rPr>
                <w:szCs w:val="20"/>
              </w:rPr>
            </w:pPr>
            <w:r>
              <w:rPr>
                <w:szCs w:val="20"/>
              </w:rPr>
              <w:t xml:space="preserve">                      200 mm × 200 mm × 200 mm</w:t>
            </w:r>
          </w:p>
          <w:p>
            <w:pPr>
              <w:rPr>
                <w:szCs w:val="20"/>
              </w:rPr>
            </w:pPr>
            <w:r>
              <w:rPr>
                <w:szCs w:val="20"/>
              </w:rPr>
              <w:t xml:space="preserve">             剪切试验：100 mm × 100 mm × 100 mm</w:t>
            </w:r>
          </w:p>
          <w:p>
            <w:pPr>
              <w:rPr>
                <w:szCs w:val="20"/>
              </w:rPr>
            </w:pPr>
            <w:r>
              <w:rPr>
                <w:szCs w:val="20"/>
              </w:rPr>
              <w:t xml:space="preserve">                       150 mm × 150 mm × 150 mm </w:t>
            </w:r>
          </w:p>
          <w:p>
            <w:pPr>
              <w:rPr>
                <w:szCs w:val="20"/>
              </w:rPr>
            </w:pPr>
            <w:r>
              <w:rPr>
                <w:rFonts w:hint="eastAsia"/>
                <w:szCs w:val="20"/>
              </w:rPr>
              <w:t xml:space="preserve"> </w:t>
            </w:r>
            <w:r>
              <w:rPr>
                <w:szCs w:val="20"/>
              </w:rPr>
              <w:t xml:space="preserve">  </w:t>
            </w:r>
            <w:r>
              <w:rPr>
                <w:rFonts w:hint="eastAsia"/>
                <w:szCs w:val="20"/>
              </w:rPr>
              <w:t>应配备满足以上试样试验要求的夹具及必要设施。</w:t>
            </w:r>
          </w:p>
          <w:p>
            <w:pPr>
              <w:rPr>
                <w:szCs w:val="20"/>
              </w:rPr>
            </w:pPr>
          </w:p>
          <w:p>
            <w:pPr>
              <w:rPr>
                <w:b/>
                <w:bCs/>
                <w:szCs w:val="20"/>
              </w:rPr>
            </w:pPr>
            <w:r>
              <w:rPr>
                <w:rFonts w:hint="eastAsia"/>
                <w:b/>
                <w:bCs/>
                <w:szCs w:val="20"/>
              </w:rPr>
              <w:t>二、系统的主要技术参数指标</w:t>
            </w:r>
          </w:p>
          <w:p>
            <w:pPr>
              <w:rPr>
                <w:b/>
                <w:bCs/>
                <w:szCs w:val="20"/>
              </w:rPr>
            </w:pPr>
            <w:r>
              <w:rPr>
                <w:rFonts w:hint="eastAsia"/>
                <w:b/>
                <w:bCs/>
                <w:szCs w:val="20"/>
              </w:rPr>
              <w:t>1、加载系统</w:t>
            </w:r>
          </w:p>
          <w:p>
            <w:pPr>
              <w:rPr>
                <w:szCs w:val="20"/>
              </w:rPr>
            </w:pPr>
            <w:r>
              <w:rPr>
                <w:rFonts w:hint="eastAsia"/>
                <w:szCs w:val="20"/>
              </w:rPr>
              <w:t>1.1 具备六轴加载能力：具有6个静态加载油缸和2个扰动油缸。如图所示；</w:t>
            </w:r>
          </w:p>
          <w:p>
            <w:pPr>
              <w:jc w:val="center"/>
              <w:rPr>
                <w:rFonts w:ascii="Times New Roman" w:hAnsi="Times New Roman" w:eastAsia="仿宋" w:cs="Times New Roman"/>
                <w:szCs w:val="20"/>
              </w:rPr>
            </w:pPr>
            <w:r>
              <w:rPr>
                <w:rFonts w:ascii="Times New Roman" w:hAnsi="Times New Roman" w:eastAsia="仿宋" w:cs="Times New Roman"/>
                <w:szCs w:val="20"/>
              </w:rPr>
              <w:drawing>
                <wp:inline distT="0" distB="0" distL="0" distR="0">
                  <wp:extent cx="2941320" cy="2802890"/>
                  <wp:effectExtent l="0" t="0" r="11430" b="16510"/>
                  <wp:docPr id="1" name="图片 1" descr="C:\Users\Admin\AppData\Local\Temp\WeChat Files\29e8e04983030c80ddfc010dd7b2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29e8e04983030c80ddfc010dd7b21b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59482" cy="2820371"/>
                          </a:xfrm>
                          <a:prstGeom prst="rect">
                            <a:avLst/>
                          </a:prstGeom>
                          <a:noFill/>
                          <a:ln>
                            <a:noFill/>
                          </a:ln>
                        </pic:spPr>
                      </pic:pic>
                    </a:graphicData>
                  </a:graphic>
                </wp:inline>
              </w:drawing>
            </w:r>
          </w:p>
          <w:p>
            <w:pPr>
              <w:rPr>
                <w:rFonts w:ascii="宋体" w:hAnsi="宋体" w:eastAsia="宋体" w:cs="宋体"/>
                <w:szCs w:val="20"/>
              </w:rPr>
            </w:pPr>
            <w:r>
              <w:rPr>
                <w:rFonts w:hint="eastAsia" w:ascii="宋体" w:hAnsi="宋体" w:eastAsia="宋体" w:cs="宋体"/>
                <w:szCs w:val="20"/>
              </w:rPr>
              <w:t>1.2试验控制方式：载荷控制，试件σ1、σ2、σ3变形控制，活塞位移控制，扰动载荷控制，并且相互之间可任意切换，切换时平滑过渡；</w:t>
            </w:r>
          </w:p>
          <w:p>
            <w:pPr>
              <w:rPr>
                <w:rFonts w:ascii="宋体" w:hAnsi="宋体" w:eastAsia="宋体" w:cs="宋体"/>
                <w:szCs w:val="20"/>
              </w:rPr>
            </w:pPr>
            <w:r>
              <w:rPr>
                <w:rFonts w:hint="eastAsia" w:ascii="宋体" w:hAnsi="宋体" w:eastAsia="宋体" w:cs="宋体"/>
                <w:szCs w:val="20"/>
              </w:rPr>
              <w:t>★1.3 对中加载能力：同向两加载油缸同心控制偏差≤±0.02mm</w:t>
            </w:r>
          </w:p>
          <w:p>
            <w:pPr>
              <w:rPr>
                <w:rFonts w:ascii="宋体" w:hAnsi="宋体" w:eastAsia="宋体" w:cs="宋体"/>
                <w:szCs w:val="20"/>
              </w:rPr>
            </w:pPr>
            <w:r>
              <w:rPr>
                <w:rFonts w:hint="eastAsia" w:ascii="宋体" w:hAnsi="宋体" w:eastAsia="宋体" w:cs="宋体"/>
                <w:szCs w:val="20"/>
              </w:rPr>
              <w:t xml:space="preserve">                  试样几何中心与加载中心偏差：≤±0.02mm</w:t>
            </w:r>
          </w:p>
          <w:p>
            <w:pPr>
              <w:ind w:firstLine="1890" w:firstLineChars="900"/>
              <w:rPr>
                <w:rFonts w:ascii="宋体" w:hAnsi="宋体" w:eastAsia="宋体" w:cs="宋体"/>
                <w:szCs w:val="20"/>
              </w:rPr>
            </w:pPr>
            <w:r>
              <w:rPr>
                <w:rFonts w:hint="eastAsia" w:ascii="宋体" w:hAnsi="宋体" w:eastAsia="宋体" w:cs="宋体"/>
                <w:szCs w:val="20"/>
              </w:rPr>
              <w:t>X，Y，Z三向同轴度偏差≤0.02mm</w:t>
            </w:r>
          </w:p>
          <w:p>
            <w:pPr>
              <w:ind w:firstLine="1890" w:firstLineChars="900"/>
              <w:rPr>
                <w:rFonts w:ascii="宋体" w:hAnsi="宋体" w:eastAsia="宋体" w:cs="宋体"/>
                <w:szCs w:val="20"/>
              </w:rPr>
            </w:pPr>
            <w:r>
              <w:rPr>
                <w:rFonts w:hint="eastAsia" w:ascii="宋体" w:hAnsi="宋体" w:eastAsia="宋体" w:cs="宋体"/>
                <w:szCs w:val="20"/>
              </w:rPr>
              <w:t>同步时间延迟：0 s</w:t>
            </w:r>
          </w:p>
          <w:p>
            <w:pPr>
              <w:ind w:firstLine="1890" w:firstLineChars="900"/>
              <w:rPr>
                <w:rFonts w:ascii="宋体" w:hAnsi="宋体" w:eastAsia="宋体" w:cs="宋体"/>
                <w:szCs w:val="20"/>
              </w:rPr>
            </w:pPr>
            <w:r>
              <w:rPr>
                <w:rFonts w:hint="eastAsia" w:ascii="宋体" w:hAnsi="宋体" w:eastAsia="宋体" w:cs="宋体"/>
                <w:szCs w:val="20"/>
              </w:rPr>
              <w:t>油缸同步重复定位精度：99.9%</w:t>
            </w:r>
          </w:p>
          <w:p>
            <w:pPr>
              <w:rPr>
                <w:rFonts w:ascii="宋体" w:hAnsi="宋体" w:eastAsia="宋体" w:cs="宋体"/>
                <w:szCs w:val="20"/>
              </w:rPr>
            </w:pPr>
            <w:r>
              <w:rPr>
                <w:rFonts w:hint="eastAsia" w:ascii="宋体" w:hAnsi="宋体" w:eastAsia="宋体" w:cs="宋体"/>
                <w:szCs w:val="20"/>
              </w:rPr>
              <w:t>1.4 端面均布加载技术：加载端面平行度≤0.01 mm；</w:t>
            </w:r>
          </w:p>
          <w:p>
            <w:pPr>
              <w:rPr>
                <w:rFonts w:ascii="宋体" w:hAnsi="宋体" w:eastAsia="宋体" w:cs="宋体"/>
                <w:szCs w:val="20"/>
              </w:rPr>
            </w:pPr>
            <w:r>
              <w:rPr>
                <w:rFonts w:hint="eastAsia" w:ascii="宋体" w:hAnsi="宋体" w:eastAsia="宋体" w:cs="宋体"/>
                <w:szCs w:val="20"/>
              </w:rPr>
              <w:t xml:space="preserve">                      配备减摩铜片及润滑油脂；</w:t>
            </w:r>
          </w:p>
          <w:p>
            <w:pPr>
              <w:rPr>
                <w:rFonts w:ascii="宋体" w:hAnsi="宋体" w:eastAsia="宋体" w:cs="宋体"/>
                <w:szCs w:val="20"/>
              </w:rPr>
            </w:pPr>
            <w:r>
              <w:rPr>
                <w:rFonts w:hint="eastAsia" w:ascii="宋体" w:hAnsi="宋体" w:eastAsia="宋体" w:cs="宋体"/>
                <w:szCs w:val="20"/>
              </w:rPr>
              <w:t xml:space="preserve">                      配备可拆卸加载球头。</w:t>
            </w:r>
          </w:p>
          <w:p>
            <w:pPr>
              <w:rPr>
                <w:rFonts w:ascii="宋体" w:hAnsi="宋体" w:eastAsia="宋体" w:cs="宋体"/>
                <w:szCs w:val="20"/>
              </w:rPr>
            </w:pPr>
            <w:r>
              <w:rPr>
                <w:rFonts w:hint="eastAsia" w:ascii="宋体" w:hAnsi="宋体" w:eastAsia="宋体" w:cs="宋体"/>
                <w:szCs w:val="20"/>
              </w:rPr>
              <w:t>注：1.3、1.4中要求的参数需附检测报告和验证试验报告。</w:t>
            </w:r>
          </w:p>
          <w:p>
            <w:pPr>
              <w:rPr>
                <w:rFonts w:ascii="宋体" w:hAnsi="宋体" w:eastAsia="宋体" w:cs="宋体"/>
                <w:szCs w:val="20"/>
              </w:rPr>
            </w:pPr>
            <w:r>
              <w:rPr>
                <w:rFonts w:hint="eastAsia" w:ascii="宋体" w:hAnsi="宋体" w:eastAsia="宋体" w:cs="宋体"/>
                <w:szCs w:val="20"/>
              </w:rPr>
              <w:t>1.5地基振动：极限参数动态实验时，整机地基基础部分可供参考的最大垂向振动速度0.1 mm/s、最大垂向振动加速度0.5 m/s2、最大垂向振动位移0.01 mm；</w:t>
            </w:r>
          </w:p>
          <w:p>
            <w:pPr>
              <w:rPr>
                <w:rFonts w:ascii="宋体" w:hAnsi="宋体" w:eastAsia="宋体" w:cs="宋体"/>
                <w:szCs w:val="20"/>
              </w:rPr>
            </w:pPr>
            <w:r>
              <w:rPr>
                <w:rFonts w:hint="eastAsia" w:ascii="宋体" w:hAnsi="宋体" w:eastAsia="宋体" w:cs="宋体"/>
                <w:szCs w:val="20"/>
              </w:rPr>
              <w:t>1.6安全保护：油温过高保护、油压过压保护、超限位保护、超荷载保护设计。</w:t>
            </w:r>
          </w:p>
          <w:p>
            <w:pPr>
              <w:rPr>
                <w:rFonts w:ascii="宋体" w:hAnsi="宋体" w:eastAsia="宋体" w:cs="宋体"/>
                <w:b/>
                <w:bCs/>
                <w:szCs w:val="20"/>
              </w:rPr>
            </w:pPr>
            <w:r>
              <w:rPr>
                <w:rFonts w:hint="eastAsia" w:ascii="宋体" w:hAnsi="宋体" w:eastAsia="宋体" w:cs="宋体"/>
                <w:b/>
                <w:bCs/>
                <w:szCs w:val="20"/>
              </w:rPr>
              <w:t>2、垂直向加载系统（大主应力）</w:t>
            </w:r>
          </w:p>
          <w:p>
            <w:pPr>
              <w:rPr>
                <w:rFonts w:ascii="宋体" w:hAnsi="宋体" w:eastAsia="宋体" w:cs="宋体"/>
                <w:szCs w:val="20"/>
              </w:rPr>
            </w:pPr>
            <w:r>
              <w:rPr>
                <w:rFonts w:hint="eastAsia" w:ascii="宋体" w:hAnsi="宋体" w:eastAsia="宋体" w:cs="宋体"/>
                <w:szCs w:val="20"/>
              </w:rPr>
              <w:t>★2.1最大静态试验力：       5000kN</w:t>
            </w:r>
          </w:p>
          <w:p>
            <w:pPr>
              <w:rPr>
                <w:rFonts w:ascii="宋体" w:hAnsi="宋体" w:eastAsia="宋体" w:cs="宋体"/>
                <w:szCs w:val="20"/>
              </w:rPr>
            </w:pPr>
            <w:r>
              <w:rPr>
                <w:rFonts w:hint="eastAsia" w:ascii="宋体" w:hAnsi="宋体" w:eastAsia="宋体" w:cs="宋体"/>
                <w:szCs w:val="20"/>
              </w:rPr>
              <w:t>2.2试验力测量误差：       ≤ ±0.5%</w:t>
            </w:r>
            <w:bookmarkStart w:id="32" w:name="_Hlk139698948"/>
            <w:r>
              <w:rPr>
                <w:rFonts w:hint="eastAsia" w:ascii="宋体" w:hAnsi="宋体" w:eastAsia="宋体" w:cs="宋体"/>
                <w:szCs w:val="20"/>
              </w:rPr>
              <w:t>（加载值）</w:t>
            </w:r>
            <w:bookmarkEnd w:id="32"/>
            <w:r>
              <w:rPr>
                <w:rFonts w:hint="eastAsia" w:ascii="宋体" w:hAnsi="宋体" w:eastAsia="宋体" w:cs="宋体"/>
                <w:szCs w:val="20"/>
              </w:rPr>
              <w:t>（1%—100%量程范围内）</w:t>
            </w:r>
          </w:p>
          <w:p>
            <w:pPr>
              <w:rPr>
                <w:rFonts w:ascii="宋体" w:hAnsi="宋体" w:eastAsia="宋体" w:cs="宋体"/>
                <w:szCs w:val="20"/>
              </w:rPr>
            </w:pPr>
            <w:r>
              <w:rPr>
                <w:rFonts w:hint="eastAsia" w:ascii="宋体" w:hAnsi="宋体" w:eastAsia="宋体" w:cs="宋体"/>
                <w:szCs w:val="20"/>
              </w:rPr>
              <w:t>★2.3试验力分辨率：         1/10000000、0.5N</w:t>
            </w:r>
          </w:p>
          <w:p>
            <w:pPr>
              <w:rPr>
                <w:rFonts w:ascii="宋体" w:hAnsi="宋体" w:eastAsia="宋体" w:cs="宋体"/>
                <w:szCs w:val="20"/>
              </w:rPr>
            </w:pPr>
            <w:r>
              <w:rPr>
                <w:rFonts w:hint="eastAsia" w:ascii="宋体" w:hAnsi="宋体" w:eastAsia="宋体" w:cs="宋体"/>
                <w:szCs w:val="20"/>
              </w:rPr>
              <w:t>2.4试验力控制波动度：     ≤ ±0.2%（加载值）（100min内）</w:t>
            </w:r>
          </w:p>
          <w:p>
            <w:pPr>
              <w:rPr>
                <w:rFonts w:ascii="宋体" w:hAnsi="宋体" w:eastAsia="宋体" w:cs="宋体"/>
                <w:szCs w:val="20"/>
              </w:rPr>
            </w:pPr>
            <w:r>
              <w:rPr>
                <w:rFonts w:hint="eastAsia" w:ascii="宋体" w:hAnsi="宋体" w:eastAsia="宋体" w:cs="宋体"/>
                <w:szCs w:val="20"/>
              </w:rPr>
              <w:t>2.5油缸活塞行程：         0—150 mm</w:t>
            </w:r>
          </w:p>
          <w:p>
            <w:pPr>
              <w:rPr>
                <w:rFonts w:ascii="宋体" w:hAnsi="宋体" w:eastAsia="宋体" w:cs="宋体"/>
                <w:szCs w:val="20"/>
              </w:rPr>
            </w:pPr>
            <w:r>
              <w:rPr>
                <w:rFonts w:hint="eastAsia" w:ascii="宋体" w:hAnsi="宋体" w:eastAsia="宋体" w:cs="宋体"/>
                <w:szCs w:val="20"/>
              </w:rPr>
              <w:t>2.6活塞位移测量误差：      ≤ ±0.2% （1%—100%范围内）</w:t>
            </w:r>
          </w:p>
          <w:p>
            <w:pPr>
              <w:rPr>
                <w:rFonts w:ascii="宋体" w:hAnsi="宋体" w:eastAsia="宋体" w:cs="宋体"/>
                <w:szCs w:val="20"/>
              </w:rPr>
            </w:pPr>
            <w:r>
              <w:rPr>
                <w:rFonts w:hint="eastAsia" w:ascii="宋体" w:hAnsi="宋体" w:eastAsia="宋体" w:cs="宋体"/>
                <w:szCs w:val="20"/>
              </w:rPr>
              <w:t>2.7活塞位移分辨率：        0.5μm</w:t>
            </w:r>
          </w:p>
          <w:p>
            <w:pPr>
              <w:rPr>
                <w:rFonts w:ascii="宋体" w:hAnsi="宋体" w:eastAsia="宋体" w:cs="宋体"/>
                <w:szCs w:val="20"/>
              </w:rPr>
            </w:pPr>
            <w:r>
              <w:rPr>
                <w:rFonts w:hint="eastAsia" w:ascii="宋体" w:hAnsi="宋体" w:eastAsia="宋体" w:cs="宋体"/>
                <w:szCs w:val="20"/>
              </w:rPr>
              <w:t>2.8活塞位置控制波动度：    ≤ ±0.2% （任意位置）</w:t>
            </w:r>
          </w:p>
          <w:p>
            <w:pPr>
              <w:rPr>
                <w:rFonts w:ascii="宋体" w:hAnsi="宋体" w:eastAsia="宋体" w:cs="宋体"/>
                <w:szCs w:val="20"/>
              </w:rPr>
            </w:pPr>
            <w:r>
              <w:rPr>
                <w:rFonts w:hint="eastAsia" w:ascii="宋体" w:hAnsi="宋体" w:eastAsia="宋体" w:cs="宋体"/>
                <w:szCs w:val="20"/>
              </w:rPr>
              <w:t>2.9试样变形测量范围：      0-10 mm</w:t>
            </w:r>
          </w:p>
          <w:p>
            <w:pPr>
              <w:rPr>
                <w:rFonts w:ascii="宋体" w:hAnsi="宋体" w:eastAsia="宋体" w:cs="宋体"/>
                <w:szCs w:val="20"/>
              </w:rPr>
            </w:pPr>
            <w:r>
              <w:rPr>
                <w:rFonts w:hint="eastAsia" w:ascii="宋体" w:hAnsi="宋体" w:eastAsia="宋体" w:cs="宋体"/>
                <w:szCs w:val="20"/>
              </w:rPr>
              <w:t>2.10变形分辨率：           0.05μm</w:t>
            </w:r>
          </w:p>
          <w:p>
            <w:pPr>
              <w:rPr>
                <w:rFonts w:ascii="宋体" w:hAnsi="宋体" w:eastAsia="宋体" w:cs="宋体"/>
                <w:szCs w:val="20"/>
              </w:rPr>
            </w:pPr>
            <w:r>
              <w:rPr>
                <w:rFonts w:hint="eastAsia" w:ascii="宋体" w:hAnsi="宋体" w:eastAsia="宋体" w:cs="宋体"/>
                <w:szCs w:val="20"/>
              </w:rPr>
              <w:t>2.11变形控制波动度：       ≤ ±0.2%（10%—100%量程范围内）</w:t>
            </w:r>
          </w:p>
          <w:p>
            <w:pPr>
              <w:rPr>
                <w:rFonts w:ascii="宋体" w:hAnsi="宋体" w:eastAsia="宋体" w:cs="宋体"/>
                <w:szCs w:val="20"/>
              </w:rPr>
            </w:pPr>
            <w:r>
              <w:rPr>
                <w:rFonts w:hint="eastAsia" w:ascii="宋体" w:hAnsi="宋体" w:eastAsia="宋体" w:cs="宋体"/>
                <w:szCs w:val="20"/>
              </w:rPr>
              <w:t>★2.12最大扰动试验力：      1000kN（可单独进行静态加载，配套相应传感器）</w:t>
            </w:r>
          </w:p>
          <w:p>
            <w:pPr>
              <w:rPr>
                <w:rFonts w:ascii="宋体" w:hAnsi="宋体" w:eastAsia="宋体" w:cs="宋体"/>
                <w:szCs w:val="20"/>
              </w:rPr>
            </w:pPr>
            <w:r>
              <w:rPr>
                <w:rFonts w:hint="eastAsia" w:ascii="宋体" w:hAnsi="宋体" w:eastAsia="宋体" w:cs="宋体"/>
                <w:szCs w:val="20"/>
              </w:rPr>
              <w:t>2.13扰动试验力测量误差：   ≤ ±0.5%（加载值）（静态1%—100%量程范围内）</w:t>
            </w:r>
          </w:p>
          <w:p>
            <w:pPr>
              <w:rPr>
                <w:rFonts w:ascii="宋体" w:hAnsi="宋体" w:eastAsia="宋体" w:cs="宋体"/>
                <w:szCs w:val="20"/>
              </w:rPr>
            </w:pPr>
            <w:r>
              <w:rPr>
                <w:rFonts w:hint="eastAsia" w:ascii="宋体" w:hAnsi="宋体" w:eastAsia="宋体" w:cs="宋体"/>
                <w:szCs w:val="20"/>
              </w:rPr>
              <w:t>★2.14扰动频率范围：        0—50Hz</w:t>
            </w:r>
          </w:p>
          <w:p>
            <w:pPr>
              <w:rPr>
                <w:rFonts w:ascii="宋体" w:hAnsi="宋体" w:eastAsia="宋体" w:cs="宋体"/>
                <w:szCs w:val="20"/>
              </w:rPr>
            </w:pPr>
            <w:r>
              <w:rPr>
                <w:rFonts w:hint="eastAsia" w:ascii="宋体" w:hAnsi="宋体" w:eastAsia="宋体" w:cs="宋体"/>
                <w:szCs w:val="20"/>
              </w:rPr>
              <w:t>2.15扰动振幅：            0.1mm</w:t>
            </w:r>
          </w:p>
          <w:p>
            <w:pPr>
              <w:rPr>
                <w:rFonts w:ascii="宋体" w:hAnsi="宋体" w:eastAsia="宋体" w:cs="宋体"/>
                <w:szCs w:val="20"/>
              </w:rPr>
            </w:pPr>
            <w:r>
              <w:rPr>
                <w:rFonts w:hint="eastAsia" w:ascii="宋体" w:hAnsi="宋体" w:eastAsia="宋体" w:cs="宋体"/>
                <w:szCs w:val="20"/>
              </w:rPr>
              <w:t>2.16扰动控制误差：        ≤ ±0.5% （试验力、位移、变形、频率）</w:t>
            </w:r>
          </w:p>
          <w:p>
            <w:pPr>
              <w:rPr>
                <w:rFonts w:ascii="宋体" w:hAnsi="宋体" w:eastAsia="宋体" w:cs="宋体"/>
                <w:szCs w:val="20"/>
              </w:rPr>
            </w:pPr>
            <w:r>
              <w:rPr>
                <w:rFonts w:hint="eastAsia" w:ascii="宋体" w:hAnsi="宋体" w:eastAsia="宋体" w:cs="宋体"/>
                <w:szCs w:val="20"/>
              </w:rPr>
              <w:t>2.17扰动方式：           面扰动</w:t>
            </w:r>
          </w:p>
          <w:p>
            <w:pPr>
              <w:rPr>
                <w:rFonts w:ascii="宋体" w:hAnsi="宋体" w:eastAsia="宋体" w:cs="宋体"/>
                <w:b/>
                <w:bCs/>
                <w:szCs w:val="20"/>
              </w:rPr>
            </w:pPr>
            <w:r>
              <w:rPr>
                <w:rFonts w:hint="eastAsia" w:ascii="宋体" w:hAnsi="宋体" w:eastAsia="宋体" w:cs="宋体"/>
                <w:b/>
                <w:bCs/>
                <w:szCs w:val="20"/>
              </w:rPr>
              <w:t>3、水平X向加载系统（中主应力）</w:t>
            </w:r>
          </w:p>
          <w:p>
            <w:pPr>
              <w:rPr>
                <w:rFonts w:ascii="宋体" w:hAnsi="宋体" w:eastAsia="宋体" w:cs="宋体"/>
                <w:szCs w:val="20"/>
              </w:rPr>
            </w:pPr>
            <w:r>
              <w:rPr>
                <w:rFonts w:hint="eastAsia" w:ascii="宋体" w:hAnsi="宋体" w:eastAsia="宋体" w:cs="宋体"/>
                <w:szCs w:val="20"/>
              </w:rPr>
              <w:t>★3.1最大静态试验力：      4000kN</w:t>
            </w:r>
          </w:p>
          <w:p>
            <w:pPr>
              <w:rPr>
                <w:rFonts w:ascii="宋体" w:hAnsi="宋体" w:eastAsia="宋体" w:cs="宋体"/>
                <w:szCs w:val="20"/>
              </w:rPr>
            </w:pPr>
            <w:r>
              <w:rPr>
                <w:rFonts w:hint="eastAsia" w:ascii="宋体" w:hAnsi="宋体" w:eastAsia="宋体" w:cs="宋体"/>
                <w:szCs w:val="20"/>
              </w:rPr>
              <w:t>3.2试验力测量误差：       ≤ ±0.5% （加载值）（1%—100%量程范围内）</w:t>
            </w:r>
          </w:p>
          <w:p>
            <w:pPr>
              <w:rPr>
                <w:rFonts w:ascii="宋体" w:hAnsi="宋体" w:eastAsia="宋体" w:cs="宋体"/>
                <w:szCs w:val="20"/>
              </w:rPr>
            </w:pPr>
            <w:r>
              <w:rPr>
                <w:rFonts w:hint="eastAsia" w:ascii="宋体" w:hAnsi="宋体" w:eastAsia="宋体" w:cs="宋体"/>
                <w:szCs w:val="20"/>
              </w:rPr>
              <w:t>★3.3试验力分辨率：         1/10000000、</w:t>
            </w:r>
            <w:bookmarkStart w:id="33" w:name="_Hlk139699056"/>
            <w:r>
              <w:rPr>
                <w:rFonts w:hint="eastAsia" w:ascii="宋体" w:hAnsi="宋体" w:eastAsia="宋体" w:cs="宋体"/>
                <w:szCs w:val="20"/>
              </w:rPr>
              <w:t>0.5N</w:t>
            </w:r>
            <w:bookmarkEnd w:id="33"/>
          </w:p>
          <w:p>
            <w:pPr>
              <w:rPr>
                <w:rFonts w:ascii="宋体" w:hAnsi="宋体" w:eastAsia="宋体" w:cs="宋体"/>
                <w:szCs w:val="20"/>
              </w:rPr>
            </w:pPr>
            <w:r>
              <w:rPr>
                <w:rFonts w:hint="eastAsia" w:ascii="宋体" w:hAnsi="宋体" w:eastAsia="宋体" w:cs="宋体"/>
                <w:szCs w:val="20"/>
              </w:rPr>
              <w:t>3.4试验力控制波动度：     ≤ ±0.2% （加载值）（100min内）</w:t>
            </w:r>
          </w:p>
          <w:p>
            <w:pPr>
              <w:rPr>
                <w:rFonts w:ascii="宋体" w:hAnsi="宋体" w:eastAsia="宋体" w:cs="宋体"/>
                <w:szCs w:val="20"/>
              </w:rPr>
            </w:pPr>
            <w:r>
              <w:rPr>
                <w:rFonts w:hint="eastAsia" w:ascii="宋体" w:hAnsi="宋体" w:eastAsia="宋体" w:cs="宋体"/>
                <w:szCs w:val="20"/>
              </w:rPr>
              <w:t>3.5油缸活塞行程：         0—150mm</w:t>
            </w:r>
          </w:p>
          <w:p>
            <w:pPr>
              <w:rPr>
                <w:rFonts w:ascii="宋体" w:hAnsi="宋体" w:eastAsia="宋体" w:cs="宋体"/>
                <w:szCs w:val="20"/>
              </w:rPr>
            </w:pPr>
            <w:r>
              <w:rPr>
                <w:rFonts w:hint="eastAsia" w:ascii="宋体" w:hAnsi="宋体" w:eastAsia="宋体" w:cs="宋体"/>
                <w:szCs w:val="20"/>
              </w:rPr>
              <w:t>3.6活塞位移测量误差：     ≤ ±0.2% （1%—100%范围内）</w:t>
            </w:r>
          </w:p>
          <w:p>
            <w:pPr>
              <w:rPr>
                <w:rFonts w:ascii="宋体" w:hAnsi="宋体" w:eastAsia="宋体" w:cs="宋体"/>
                <w:szCs w:val="20"/>
              </w:rPr>
            </w:pPr>
            <w:r>
              <w:rPr>
                <w:rFonts w:hint="eastAsia" w:ascii="宋体" w:hAnsi="宋体" w:eastAsia="宋体" w:cs="宋体"/>
                <w:szCs w:val="20"/>
              </w:rPr>
              <w:t>3.7活塞位移显示分辨率：    0.5μm</w:t>
            </w:r>
          </w:p>
          <w:p>
            <w:pPr>
              <w:rPr>
                <w:rFonts w:ascii="宋体" w:hAnsi="宋体" w:eastAsia="宋体" w:cs="宋体"/>
                <w:szCs w:val="20"/>
              </w:rPr>
            </w:pPr>
            <w:r>
              <w:rPr>
                <w:rFonts w:hint="eastAsia" w:ascii="宋体" w:hAnsi="宋体" w:eastAsia="宋体" w:cs="宋体"/>
                <w:szCs w:val="20"/>
              </w:rPr>
              <w:t>3.8活塞位置控制波动度：    ≤ ±0.2% （任意位置）</w:t>
            </w:r>
          </w:p>
          <w:p>
            <w:pPr>
              <w:rPr>
                <w:rFonts w:ascii="宋体" w:hAnsi="宋体" w:eastAsia="宋体" w:cs="宋体"/>
                <w:szCs w:val="20"/>
              </w:rPr>
            </w:pPr>
            <w:r>
              <w:rPr>
                <w:rFonts w:hint="eastAsia" w:ascii="宋体" w:hAnsi="宋体" w:eastAsia="宋体" w:cs="宋体"/>
                <w:szCs w:val="20"/>
              </w:rPr>
              <w:t>3.9试样变形测量范围：      0-10mm</w:t>
            </w:r>
          </w:p>
          <w:p>
            <w:pPr>
              <w:rPr>
                <w:rFonts w:ascii="宋体" w:hAnsi="宋体" w:eastAsia="宋体" w:cs="宋体"/>
                <w:szCs w:val="20"/>
              </w:rPr>
            </w:pPr>
            <w:r>
              <w:rPr>
                <w:rFonts w:hint="eastAsia" w:ascii="宋体" w:hAnsi="宋体" w:eastAsia="宋体" w:cs="宋体"/>
                <w:szCs w:val="20"/>
              </w:rPr>
              <w:t>3.10变形分辨率：           0.05μm</w:t>
            </w:r>
          </w:p>
          <w:p>
            <w:pPr>
              <w:rPr>
                <w:rFonts w:ascii="宋体" w:hAnsi="宋体" w:eastAsia="宋体" w:cs="宋体"/>
                <w:szCs w:val="20"/>
              </w:rPr>
            </w:pPr>
            <w:r>
              <w:rPr>
                <w:rFonts w:hint="eastAsia" w:ascii="宋体" w:hAnsi="宋体" w:eastAsia="宋体" w:cs="宋体"/>
                <w:szCs w:val="20"/>
              </w:rPr>
              <w:t>3.11变形控制波动度：       ≤ ±0.2%（10%—100%量程范围内）</w:t>
            </w:r>
          </w:p>
          <w:p>
            <w:pPr>
              <w:rPr>
                <w:rFonts w:ascii="宋体" w:hAnsi="宋体" w:eastAsia="宋体" w:cs="宋体"/>
                <w:szCs w:val="20"/>
              </w:rPr>
            </w:pPr>
            <w:r>
              <w:rPr>
                <w:rFonts w:hint="eastAsia" w:ascii="宋体" w:hAnsi="宋体" w:eastAsia="宋体" w:cs="宋体"/>
                <w:szCs w:val="20"/>
              </w:rPr>
              <w:t>3.12最大扰动试验力：       1000kN</w:t>
            </w:r>
          </w:p>
          <w:p>
            <w:pPr>
              <w:rPr>
                <w:rFonts w:ascii="宋体" w:hAnsi="宋体" w:eastAsia="宋体" w:cs="宋体"/>
                <w:szCs w:val="20"/>
              </w:rPr>
            </w:pPr>
            <w:r>
              <w:rPr>
                <w:rFonts w:hint="eastAsia" w:ascii="宋体" w:hAnsi="宋体" w:eastAsia="宋体" w:cs="宋体"/>
                <w:szCs w:val="20"/>
              </w:rPr>
              <w:t>3.13试验力测量误差：       ≤ ±0.5% （静态1%—100%量程范围内）</w:t>
            </w:r>
          </w:p>
          <w:p>
            <w:pPr>
              <w:rPr>
                <w:rFonts w:ascii="宋体" w:hAnsi="宋体" w:eastAsia="宋体" w:cs="宋体"/>
                <w:szCs w:val="20"/>
              </w:rPr>
            </w:pPr>
            <w:r>
              <w:rPr>
                <w:rFonts w:hint="eastAsia" w:ascii="宋体" w:hAnsi="宋体" w:eastAsia="宋体" w:cs="宋体"/>
                <w:szCs w:val="20"/>
              </w:rPr>
              <w:t>★3.14扰动频率范围：        0—50Hz</w:t>
            </w:r>
          </w:p>
          <w:p>
            <w:pPr>
              <w:rPr>
                <w:rFonts w:ascii="宋体" w:hAnsi="宋体" w:eastAsia="宋体" w:cs="宋体"/>
                <w:szCs w:val="20"/>
              </w:rPr>
            </w:pPr>
            <w:r>
              <w:rPr>
                <w:rFonts w:hint="eastAsia" w:ascii="宋体" w:hAnsi="宋体" w:eastAsia="宋体" w:cs="宋体"/>
                <w:szCs w:val="20"/>
              </w:rPr>
              <w:t>3.15扰动振幅：            0.1mm</w:t>
            </w:r>
          </w:p>
          <w:p>
            <w:pPr>
              <w:rPr>
                <w:rFonts w:ascii="宋体" w:hAnsi="宋体" w:eastAsia="宋体" w:cs="宋体"/>
                <w:szCs w:val="20"/>
              </w:rPr>
            </w:pPr>
            <w:r>
              <w:rPr>
                <w:rFonts w:hint="eastAsia" w:ascii="宋体" w:hAnsi="宋体" w:eastAsia="宋体" w:cs="宋体"/>
                <w:szCs w:val="20"/>
              </w:rPr>
              <w:t>3.16扰动控制误差：        ≤±0.5% （试验力、位移、变形、频率）</w:t>
            </w:r>
          </w:p>
          <w:p>
            <w:pPr>
              <w:rPr>
                <w:rFonts w:ascii="宋体" w:hAnsi="宋体" w:eastAsia="宋体" w:cs="宋体"/>
                <w:szCs w:val="20"/>
              </w:rPr>
            </w:pPr>
            <w:r>
              <w:rPr>
                <w:rFonts w:hint="eastAsia" w:ascii="宋体" w:hAnsi="宋体" w:eastAsia="宋体" w:cs="宋体"/>
                <w:szCs w:val="20"/>
              </w:rPr>
              <w:t>3.17扰动方式：         面扰动</w:t>
            </w:r>
          </w:p>
          <w:p>
            <w:pPr>
              <w:rPr>
                <w:rFonts w:ascii="宋体" w:hAnsi="宋体" w:eastAsia="宋体" w:cs="宋体"/>
                <w:b/>
                <w:bCs/>
                <w:szCs w:val="20"/>
              </w:rPr>
            </w:pPr>
            <w:r>
              <w:rPr>
                <w:rFonts w:hint="eastAsia" w:ascii="宋体" w:hAnsi="宋体" w:eastAsia="宋体" w:cs="宋体"/>
                <w:b/>
                <w:bCs/>
                <w:szCs w:val="20"/>
              </w:rPr>
              <w:t>4、水平Y向加载系统（中主应力）</w:t>
            </w:r>
          </w:p>
          <w:p>
            <w:pPr>
              <w:rPr>
                <w:rFonts w:ascii="宋体" w:hAnsi="宋体" w:eastAsia="宋体" w:cs="宋体"/>
                <w:szCs w:val="20"/>
              </w:rPr>
            </w:pPr>
            <w:r>
              <w:rPr>
                <w:rFonts w:hint="eastAsia" w:ascii="宋体" w:hAnsi="宋体" w:eastAsia="宋体" w:cs="宋体"/>
                <w:szCs w:val="20"/>
              </w:rPr>
              <w:t xml:space="preserve">★4.1最大静态试验力：       </w:t>
            </w:r>
            <w:r>
              <w:rPr>
                <w:rFonts w:ascii="宋体" w:hAnsi="宋体" w:eastAsia="宋体" w:cs="宋体"/>
                <w:szCs w:val="20"/>
              </w:rPr>
              <w:t xml:space="preserve"> </w:t>
            </w:r>
            <w:r>
              <w:rPr>
                <w:rFonts w:hint="eastAsia" w:ascii="宋体" w:hAnsi="宋体" w:eastAsia="宋体" w:cs="宋体"/>
                <w:szCs w:val="20"/>
              </w:rPr>
              <w:t>4000kN</w:t>
            </w:r>
          </w:p>
          <w:p>
            <w:pPr>
              <w:rPr>
                <w:rFonts w:ascii="宋体" w:hAnsi="宋体" w:eastAsia="宋体" w:cs="宋体"/>
                <w:szCs w:val="20"/>
              </w:rPr>
            </w:pPr>
            <w:r>
              <w:rPr>
                <w:rFonts w:hint="eastAsia" w:ascii="宋体" w:hAnsi="宋体" w:eastAsia="宋体" w:cs="宋体"/>
                <w:szCs w:val="20"/>
              </w:rPr>
              <w:t>4.2试验力测量误差：        ≤±0.5%（加载值）（1%—100%量程范围内）</w:t>
            </w:r>
          </w:p>
          <w:p>
            <w:pPr>
              <w:rPr>
                <w:rFonts w:ascii="宋体" w:hAnsi="宋体" w:eastAsia="宋体" w:cs="宋体"/>
                <w:szCs w:val="20"/>
              </w:rPr>
            </w:pPr>
            <w:r>
              <w:rPr>
                <w:rFonts w:hint="eastAsia" w:ascii="宋体" w:hAnsi="宋体" w:eastAsia="宋体" w:cs="宋体"/>
                <w:szCs w:val="20"/>
              </w:rPr>
              <w:t>★4.3试验力分辨率：          1/10000000、0.5N</w:t>
            </w:r>
          </w:p>
          <w:p>
            <w:pPr>
              <w:rPr>
                <w:rFonts w:ascii="宋体" w:hAnsi="宋体" w:eastAsia="宋体" w:cs="宋体"/>
                <w:szCs w:val="20"/>
              </w:rPr>
            </w:pPr>
            <w:r>
              <w:rPr>
                <w:rFonts w:hint="eastAsia" w:ascii="宋体" w:hAnsi="宋体" w:eastAsia="宋体" w:cs="宋体"/>
                <w:szCs w:val="20"/>
              </w:rPr>
              <w:t>4.4试验力控制波动度：      ≤ ±0.2% （100min内）</w:t>
            </w:r>
          </w:p>
          <w:p>
            <w:pPr>
              <w:rPr>
                <w:rFonts w:ascii="宋体" w:hAnsi="宋体" w:eastAsia="宋体" w:cs="宋体"/>
                <w:szCs w:val="20"/>
              </w:rPr>
            </w:pPr>
            <w:r>
              <w:rPr>
                <w:rFonts w:hint="eastAsia" w:ascii="宋体" w:hAnsi="宋体" w:eastAsia="宋体" w:cs="宋体"/>
                <w:szCs w:val="20"/>
              </w:rPr>
              <w:t>4.5油缸活塞行程：          0—150mm</w:t>
            </w:r>
          </w:p>
          <w:p>
            <w:pPr>
              <w:rPr>
                <w:rFonts w:ascii="宋体" w:hAnsi="宋体" w:eastAsia="宋体" w:cs="宋体"/>
                <w:szCs w:val="20"/>
              </w:rPr>
            </w:pPr>
            <w:r>
              <w:rPr>
                <w:rFonts w:hint="eastAsia" w:ascii="宋体" w:hAnsi="宋体" w:eastAsia="宋体" w:cs="宋体"/>
                <w:szCs w:val="20"/>
              </w:rPr>
              <w:t>4.6活塞位移测量误差：      ≤ ±0.2% （1%—100%范围内）</w:t>
            </w:r>
          </w:p>
          <w:p>
            <w:pPr>
              <w:rPr>
                <w:rFonts w:ascii="宋体" w:hAnsi="宋体" w:eastAsia="宋体" w:cs="宋体"/>
                <w:szCs w:val="20"/>
              </w:rPr>
            </w:pPr>
            <w:r>
              <w:rPr>
                <w:rFonts w:hint="eastAsia" w:ascii="宋体" w:hAnsi="宋体" w:eastAsia="宋体" w:cs="宋体"/>
                <w:szCs w:val="20"/>
              </w:rPr>
              <w:t>4.7活塞位移分辨率：        0.5μm</w:t>
            </w:r>
          </w:p>
          <w:p>
            <w:pPr>
              <w:rPr>
                <w:rFonts w:ascii="宋体" w:hAnsi="宋体" w:eastAsia="宋体" w:cs="宋体"/>
                <w:szCs w:val="20"/>
              </w:rPr>
            </w:pPr>
            <w:r>
              <w:rPr>
                <w:rFonts w:hint="eastAsia" w:ascii="宋体" w:hAnsi="宋体" w:eastAsia="宋体" w:cs="宋体"/>
                <w:szCs w:val="20"/>
              </w:rPr>
              <w:t>4.8活塞位置控制波动度：    ≤ ±0.2% （任意位置）</w:t>
            </w:r>
          </w:p>
          <w:p>
            <w:pPr>
              <w:rPr>
                <w:rFonts w:ascii="宋体" w:hAnsi="宋体" w:eastAsia="宋体" w:cs="宋体"/>
                <w:szCs w:val="20"/>
              </w:rPr>
            </w:pPr>
            <w:r>
              <w:rPr>
                <w:rFonts w:hint="eastAsia" w:ascii="宋体" w:hAnsi="宋体" w:eastAsia="宋体" w:cs="宋体"/>
                <w:szCs w:val="20"/>
              </w:rPr>
              <w:t>4.9试样变形测量范围：      0-10mm</w:t>
            </w:r>
          </w:p>
          <w:p>
            <w:pPr>
              <w:rPr>
                <w:rFonts w:ascii="宋体" w:hAnsi="宋体" w:eastAsia="宋体" w:cs="宋体"/>
                <w:szCs w:val="20"/>
              </w:rPr>
            </w:pPr>
            <w:r>
              <w:rPr>
                <w:rFonts w:hint="eastAsia" w:ascii="宋体" w:hAnsi="宋体" w:eastAsia="宋体" w:cs="宋体"/>
                <w:szCs w:val="20"/>
              </w:rPr>
              <w:t>4.10变形分辨率：           0.05μm</w:t>
            </w:r>
          </w:p>
          <w:p>
            <w:pPr>
              <w:rPr>
                <w:rFonts w:ascii="宋体" w:hAnsi="宋体" w:eastAsia="宋体" w:cs="宋体"/>
                <w:szCs w:val="20"/>
              </w:rPr>
            </w:pPr>
            <w:r>
              <w:rPr>
                <w:rFonts w:hint="eastAsia" w:ascii="宋体" w:hAnsi="宋体" w:eastAsia="宋体" w:cs="宋体"/>
                <w:szCs w:val="20"/>
              </w:rPr>
              <w:t>4.11变形控制波动度：       ≤ ±0.2%（10%—100%量程范围内）</w:t>
            </w:r>
          </w:p>
          <w:p>
            <w:pPr>
              <w:rPr>
                <w:rFonts w:ascii="宋体" w:hAnsi="宋体" w:eastAsia="宋体" w:cs="宋体"/>
                <w:b/>
                <w:bCs/>
                <w:szCs w:val="20"/>
              </w:rPr>
            </w:pPr>
            <w:r>
              <w:rPr>
                <w:rFonts w:hint="eastAsia" w:ascii="宋体" w:hAnsi="宋体" w:eastAsia="宋体" w:cs="宋体"/>
                <w:b/>
                <w:bCs/>
                <w:szCs w:val="20"/>
              </w:rPr>
              <w:t>★5、快速卸荷</w:t>
            </w:r>
          </w:p>
          <w:p>
            <w:pPr>
              <w:ind w:firstLine="420" w:firstLineChars="200"/>
              <w:rPr>
                <w:rFonts w:ascii="宋体" w:hAnsi="宋体" w:eastAsia="宋体" w:cs="宋体"/>
                <w:szCs w:val="20"/>
              </w:rPr>
            </w:pPr>
            <w:r>
              <w:rPr>
                <w:rFonts w:hint="eastAsia" w:ascii="宋体" w:hAnsi="宋体" w:eastAsia="宋体" w:cs="宋体"/>
                <w:szCs w:val="20"/>
              </w:rPr>
              <w:t>能够实现真三轴受载条件下，X向、Y向（X和Y非同时）单面及双面快速卸荷并暴露自由面:</w:t>
            </w:r>
          </w:p>
          <w:p>
            <w:pPr>
              <w:ind w:firstLine="420" w:firstLineChars="200"/>
              <w:rPr>
                <w:rFonts w:ascii="宋体" w:hAnsi="宋体" w:eastAsia="宋体" w:cs="宋体"/>
                <w:szCs w:val="20"/>
              </w:rPr>
            </w:pPr>
            <w:r>
              <w:rPr>
                <w:rFonts w:hint="eastAsia" w:ascii="宋体" w:hAnsi="宋体" w:eastAsia="宋体" w:cs="宋体"/>
                <w:szCs w:val="20"/>
              </w:rPr>
              <w:t xml:space="preserve">卸荷最大速率不小于400 kN/s，垫块回缩时间≤0.2s； </w:t>
            </w:r>
          </w:p>
          <w:p>
            <w:pPr>
              <w:ind w:firstLine="420" w:firstLineChars="200"/>
              <w:rPr>
                <w:rFonts w:ascii="宋体" w:hAnsi="宋体" w:eastAsia="宋体" w:cs="宋体"/>
                <w:szCs w:val="20"/>
              </w:rPr>
            </w:pPr>
            <w:r>
              <w:rPr>
                <w:rFonts w:hint="eastAsia" w:ascii="宋体" w:hAnsi="宋体" w:eastAsia="宋体" w:cs="宋体"/>
                <w:szCs w:val="20"/>
              </w:rPr>
              <w:t>油缸与垫块脱离后，油缸回退速度不低于750 mm/min。</w:t>
            </w:r>
          </w:p>
          <w:p>
            <w:pPr>
              <w:rPr>
                <w:rFonts w:ascii="宋体" w:hAnsi="宋体" w:eastAsia="宋体" w:cs="宋体"/>
                <w:b/>
                <w:bCs/>
                <w:szCs w:val="20"/>
              </w:rPr>
            </w:pPr>
            <w:r>
              <w:rPr>
                <w:rFonts w:hint="eastAsia" w:ascii="宋体" w:hAnsi="宋体" w:eastAsia="宋体" w:cs="宋体"/>
                <w:b/>
                <w:bCs/>
                <w:szCs w:val="20"/>
              </w:rPr>
              <w:t>6、霍普金森高速冲击模块</w:t>
            </w:r>
          </w:p>
          <w:p>
            <w:pPr>
              <w:ind w:firstLine="420" w:firstLineChars="200"/>
              <w:rPr>
                <w:rFonts w:ascii="宋体" w:hAnsi="宋体" w:eastAsia="宋体" w:cs="宋体"/>
                <w:szCs w:val="20"/>
              </w:rPr>
            </w:pPr>
            <w:r>
              <w:rPr>
                <w:rFonts w:hint="eastAsia" w:ascii="宋体" w:hAnsi="宋体" w:eastAsia="宋体" w:cs="宋体"/>
                <w:szCs w:val="20"/>
              </w:rPr>
              <w:t>霍普金森杆子弹发射和入射杆模块与透射杆模块分离式安装，既能开展真三轴冲击试验以及冲击扰动试验，也能独立开展普通霍普金森杆冲击试验。必须方便多次移动和重复安装固定（建议铺装导轨）。具体参数要求：</w:t>
            </w:r>
          </w:p>
          <w:p>
            <w:pPr>
              <w:rPr>
                <w:rFonts w:ascii="宋体" w:hAnsi="宋体" w:eastAsia="宋体" w:cs="宋体"/>
                <w:szCs w:val="20"/>
              </w:rPr>
            </w:pPr>
            <w:r>
              <w:rPr>
                <w:rFonts w:hint="eastAsia" w:ascii="宋体" w:hAnsi="宋体" w:eastAsia="宋体" w:cs="宋体"/>
                <w:b/>
                <w:bCs/>
                <w:szCs w:val="20"/>
              </w:rPr>
              <w:t>★</w:t>
            </w:r>
            <w:r>
              <w:rPr>
                <w:rFonts w:hint="eastAsia" w:ascii="宋体" w:hAnsi="宋体" w:eastAsia="宋体" w:cs="宋体"/>
                <w:szCs w:val="20"/>
              </w:rPr>
              <w:t>6.1动态压缩岩石应变率范围：应变率（10～1000/s）；</w:t>
            </w:r>
          </w:p>
          <w:p>
            <w:pPr>
              <w:rPr>
                <w:rFonts w:ascii="宋体" w:hAnsi="宋体" w:eastAsia="宋体" w:cs="宋体"/>
                <w:szCs w:val="20"/>
              </w:rPr>
            </w:pPr>
            <w:r>
              <w:rPr>
                <w:rFonts w:hint="eastAsia" w:ascii="宋体" w:hAnsi="宋体" w:eastAsia="宋体" w:cs="宋体"/>
                <w:szCs w:val="20"/>
              </w:rPr>
              <w:t>6.2系统主要由冲击加载系统、导杆系统、三轴围压加载系统（轴向加载系统和围压加载系统）、实验设备基础（铸铁平板、平板支座及调平装置等）等组成；</w:t>
            </w:r>
          </w:p>
          <w:p>
            <w:pPr>
              <w:rPr>
                <w:rFonts w:ascii="宋体" w:hAnsi="宋体" w:eastAsia="宋体" w:cs="宋体"/>
                <w:szCs w:val="20"/>
              </w:rPr>
            </w:pPr>
            <w:r>
              <w:rPr>
                <w:rFonts w:hint="eastAsia" w:ascii="宋体" w:hAnsi="宋体" w:eastAsia="宋体" w:cs="宋体"/>
                <w:szCs w:val="20"/>
              </w:rPr>
              <w:t>6.3 高压发射控制系统及支座等：用于控制撞击杆的发射过程，发射器发射压力≥4MPa，使用氮气为动力源；</w:t>
            </w:r>
          </w:p>
          <w:p>
            <w:pPr>
              <w:rPr>
                <w:rFonts w:ascii="宋体" w:hAnsi="宋体" w:eastAsia="宋体" w:cs="宋体"/>
                <w:szCs w:val="20"/>
              </w:rPr>
            </w:pPr>
            <w:r>
              <w:rPr>
                <w:rFonts w:hint="eastAsia" w:ascii="宋体" w:hAnsi="宋体" w:eastAsia="宋体" w:cs="宋体"/>
                <w:szCs w:val="20"/>
              </w:rPr>
              <w:t>6.4 发射管及支座等：发射管赋予撞击杆的准确方向和速度，材料为高强钢，发射管的内径为50毫米，长度为2.5米。内表面镀铬，光洁度达到8级以上，外表面氧化；</w:t>
            </w:r>
          </w:p>
          <w:p>
            <w:pPr>
              <w:rPr>
                <w:rFonts w:ascii="宋体" w:hAnsi="宋体" w:eastAsia="宋体" w:cs="宋体"/>
                <w:szCs w:val="20"/>
              </w:rPr>
            </w:pPr>
            <w:r>
              <w:rPr>
                <w:rFonts w:hint="eastAsia" w:ascii="宋体" w:hAnsi="宋体" w:eastAsia="宋体" w:cs="宋体"/>
                <w:szCs w:val="20"/>
              </w:rPr>
              <w:t>6.5不锈钢组合阀门、高压管件和压力调节器等；</w:t>
            </w:r>
          </w:p>
          <w:p>
            <w:pPr>
              <w:rPr>
                <w:rFonts w:ascii="宋体" w:hAnsi="宋体" w:eastAsia="宋体" w:cs="宋体"/>
                <w:szCs w:val="20"/>
              </w:rPr>
            </w:pPr>
            <w:r>
              <w:rPr>
                <w:rFonts w:hint="eastAsia" w:ascii="宋体" w:hAnsi="宋体" w:eastAsia="宋体" w:cs="宋体"/>
                <w:szCs w:val="20"/>
              </w:rPr>
              <w:t>6.6缓冲阻尼器：缓冲阻尼器用于降低实验过程中导杆移动对设备的冲击和振动效应，提高实验精度；</w:t>
            </w:r>
          </w:p>
          <w:p>
            <w:pPr>
              <w:rPr>
                <w:rFonts w:ascii="宋体" w:hAnsi="宋体" w:eastAsia="宋体" w:cs="宋体"/>
                <w:szCs w:val="20"/>
              </w:rPr>
            </w:pPr>
            <w:r>
              <w:rPr>
                <w:rFonts w:hint="eastAsia" w:ascii="宋体" w:hAnsi="宋体" w:eastAsia="宋体" w:cs="宋体"/>
                <w:szCs w:val="20"/>
              </w:rPr>
              <w:t>6.7速度测量系统:</w:t>
            </w:r>
          </w:p>
          <w:p>
            <w:pPr>
              <w:rPr>
                <w:rFonts w:ascii="宋体" w:hAnsi="宋体" w:eastAsia="宋体" w:cs="宋体"/>
                <w:szCs w:val="20"/>
              </w:rPr>
            </w:pPr>
            <w:r>
              <w:rPr>
                <w:rFonts w:hint="eastAsia" w:ascii="宋体" w:hAnsi="宋体" w:eastAsia="宋体" w:cs="宋体"/>
                <w:szCs w:val="20"/>
              </w:rPr>
              <w:t>用于测量撞击杆的撞击速度，进行实验设备的标定。</w:t>
            </w:r>
          </w:p>
          <w:p>
            <w:pPr>
              <w:rPr>
                <w:rFonts w:ascii="宋体" w:hAnsi="宋体" w:eastAsia="宋体" w:cs="宋体"/>
                <w:szCs w:val="20"/>
              </w:rPr>
            </w:pPr>
            <w:r>
              <w:rPr>
                <w:rFonts w:hint="eastAsia" w:ascii="宋体" w:hAnsi="宋体" w:eastAsia="宋体" w:cs="宋体"/>
                <w:szCs w:val="20"/>
              </w:rPr>
              <w:t>速度测量范围满足试验要求，测速装置的计时精度≤1μs。包括测速支架、激光发射器四个、光电感应探头四个及计时仪构成。该系统可以直接给出测得的撞击杆速度；</w:t>
            </w:r>
          </w:p>
          <w:p>
            <w:pPr>
              <w:rPr>
                <w:rFonts w:ascii="宋体" w:hAnsi="宋体" w:eastAsia="宋体" w:cs="宋体"/>
                <w:szCs w:val="20"/>
              </w:rPr>
            </w:pPr>
            <w:r>
              <w:rPr>
                <w:rFonts w:hint="eastAsia" w:ascii="宋体" w:hAnsi="宋体" w:eastAsia="宋体" w:cs="宋体"/>
                <w:szCs w:val="20"/>
              </w:rPr>
              <w:t>6.8 导杆和撞击杆：屈服强度1000MPa左右，直径50毫米，直线度偏差0.05，端面垂直平行度0.05，表面粗糙度0.4。长度及数量如下：</w:t>
            </w:r>
          </w:p>
          <w:tbl>
            <w:tblPr>
              <w:tblStyle w:val="26"/>
              <w:tblW w:w="7519"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252"/>
              <w:gridCol w:w="231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项目</w:t>
                  </w:r>
                </w:p>
              </w:tc>
              <w:tc>
                <w:tcPr>
                  <w:tcW w:w="2310" w:type="dxa"/>
                  <w:tcBorders>
                    <w:top w:val="single" w:color="auto" w:sz="4" w:space="0"/>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长度（毫米）</w:t>
                  </w:r>
                </w:p>
              </w:tc>
              <w:tc>
                <w:tcPr>
                  <w:tcW w:w="1991" w:type="dxa"/>
                  <w:tcBorders>
                    <w:top w:val="single" w:color="auto" w:sz="4" w:space="0"/>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1</w:t>
                  </w:r>
                </w:p>
              </w:tc>
              <w:tc>
                <w:tcPr>
                  <w:tcW w:w="2252" w:type="dxa"/>
                  <w:vMerge w:val="restart"/>
                  <w:tcBorders>
                    <w:top w:val="nil"/>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入射杆、透射杆</w:t>
                  </w:r>
                </w:p>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及吸收杆</w:t>
                  </w: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2000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w:t>
                  </w: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1500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restart"/>
                  <w:tcBorders>
                    <w:top w:val="nil"/>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w:t>
                  </w:r>
                </w:p>
              </w:tc>
              <w:tc>
                <w:tcPr>
                  <w:tcW w:w="2252" w:type="dxa"/>
                  <w:vMerge w:val="restart"/>
                  <w:tcBorders>
                    <w:top w:val="nil"/>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p>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撞击杆</w:t>
                  </w: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600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500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400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150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100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80</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6" w:type="dxa"/>
                  <w:vMerge w:val="restart"/>
                  <w:tcBorders>
                    <w:top w:val="nil"/>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4</w:t>
                  </w:r>
                </w:p>
              </w:tc>
              <w:tc>
                <w:tcPr>
                  <w:tcW w:w="2252" w:type="dxa"/>
                  <w:vMerge w:val="restart"/>
                  <w:tcBorders>
                    <w:top w:val="nil"/>
                    <w:left w:val="single" w:color="auto" w:sz="4" w:space="0"/>
                    <w:bottom w:val="single" w:color="auto" w:sz="4" w:space="0"/>
                    <w:right w:val="single" w:color="auto" w:sz="4" w:space="0"/>
                  </w:tcBorders>
                  <w:vAlign w:val="center"/>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纺锤型</w:t>
                  </w: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358</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6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2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z w:val="24"/>
                      <w:szCs w:val="20"/>
                    </w:rPr>
                  </w:pPr>
                </w:p>
              </w:tc>
              <w:tc>
                <w:tcPr>
                  <w:tcW w:w="2310"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265</w:t>
                  </w:r>
                </w:p>
              </w:tc>
              <w:tc>
                <w:tcPr>
                  <w:tcW w:w="1991" w:type="dxa"/>
                  <w:tcBorders>
                    <w:top w:val="single" w:color="auto" w:sz="4" w:space="0"/>
                    <w:left w:val="single" w:color="auto" w:sz="4" w:space="0"/>
                    <w:bottom w:val="single" w:color="auto" w:sz="4" w:space="0"/>
                    <w:right w:val="single" w:color="auto" w:sz="4" w:space="0"/>
                  </w:tcBorders>
                </w:tcPr>
                <w:p>
                  <w:pPr>
                    <w:autoSpaceDE w:val="0"/>
                    <w:spacing w:line="280" w:lineRule="exact"/>
                    <w:jc w:val="center"/>
                    <w:rPr>
                      <w:rFonts w:ascii="Times New Roman" w:hAnsi="Times New Roman" w:eastAsia="仿宋" w:cs="Times New Roman"/>
                      <w:sz w:val="24"/>
                      <w:szCs w:val="20"/>
                    </w:rPr>
                  </w:pPr>
                  <w:r>
                    <w:rPr>
                      <w:rFonts w:ascii="Times New Roman" w:hAnsi="Times New Roman" w:eastAsia="仿宋" w:cs="Times New Roman"/>
                      <w:sz w:val="24"/>
                      <w:szCs w:val="20"/>
                    </w:rPr>
                    <w:t>3</w:t>
                  </w:r>
                </w:p>
              </w:tc>
            </w:tr>
          </w:tbl>
          <w:p>
            <w:pPr>
              <w:rPr>
                <w:rFonts w:ascii="宋体" w:hAnsi="宋体" w:eastAsia="宋体" w:cs="宋体"/>
                <w:szCs w:val="20"/>
              </w:rPr>
            </w:pPr>
            <w:r>
              <w:rPr>
                <w:rFonts w:hint="eastAsia" w:ascii="宋体" w:hAnsi="宋体" w:eastAsia="宋体" w:cs="宋体"/>
                <w:szCs w:val="20"/>
              </w:rPr>
              <w:t>纺锤型冲头，用于产生实验中所需的半正弦入射波形。</w:t>
            </w:r>
          </w:p>
          <w:p>
            <w:pPr>
              <w:rPr>
                <w:rFonts w:ascii="宋体" w:hAnsi="宋体" w:eastAsia="宋体" w:cs="宋体"/>
                <w:b/>
                <w:bCs/>
                <w:szCs w:val="20"/>
              </w:rPr>
            </w:pPr>
            <w:r>
              <w:rPr>
                <w:rFonts w:hint="eastAsia" w:ascii="宋体" w:hAnsi="宋体" w:eastAsia="宋体" w:cs="宋体"/>
                <w:b/>
                <w:bCs/>
                <w:szCs w:val="20"/>
              </w:rPr>
              <w:t>7、加载过程中实时钻进模块</w:t>
            </w:r>
          </w:p>
          <w:p>
            <w:pPr>
              <w:rPr>
                <w:rFonts w:ascii="宋体" w:hAnsi="宋体" w:eastAsia="宋体" w:cs="宋体"/>
                <w:szCs w:val="20"/>
              </w:rPr>
            </w:pPr>
            <w:r>
              <w:rPr>
                <w:rFonts w:hint="eastAsia" w:ascii="宋体" w:hAnsi="宋体" w:eastAsia="宋体" w:cs="宋体"/>
                <w:szCs w:val="20"/>
              </w:rPr>
              <w:t>7.1最大钻压：不小于100KN；</w:t>
            </w:r>
          </w:p>
          <w:p>
            <w:pPr>
              <w:rPr>
                <w:rFonts w:ascii="宋体" w:hAnsi="宋体" w:eastAsia="宋体" w:cs="宋体"/>
                <w:szCs w:val="20"/>
              </w:rPr>
            </w:pPr>
            <w:r>
              <w:rPr>
                <w:rFonts w:hint="eastAsia" w:ascii="宋体" w:hAnsi="宋体" w:eastAsia="宋体" w:cs="宋体"/>
                <w:szCs w:val="20"/>
              </w:rPr>
              <w:t>7.2钻机最大扭矩：不小于1000N·m；</w:t>
            </w:r>
          </w:p>
          <w:p>
            <w:pPr>
              <w:rPr>
                <w:rFonts w:ascii="宋体" w:hAnsi="宋体" w:eastAsia="宋体" w:cs="宋体"/>
                <w:szCs w:val="20"/>
              </w:rPr>
            </w:pPr>
            <w:r>
              <w:rPr>
                <w:rFonts w:hint="eastAsia" w:ascii="宋体" w:hAnsi="宋体" w:eastAsia="宋体" w:cs="宋体"/>
                <w:szCs w:val="20"/>
              </w:rPr>
              <w:t>7.3钻头的最大钻进行程：≥200mm；</w:t>
            </w:r>
          </w:p>
          <w:p>
            <w:pPr>
              <w:rPr>
                <w:rFonts w:ascii="宋体" w:hAnsi="宋体" w:eastAsia="宋体" w:cs="宋体"/>
                <w:szCs w:val="20"/>
              </w:rPr>
            </w:pPr>
            <w:r>
              <w:rPr>
                <w:rFonts w:hint="eastAsia" w:ascii="宋体" w:hAnsi="宋体" w:eastAsia="宋体" w:cs="宋体"/>
                <w:szCs w:val="20"/>
              </w:rPr>
              <w:t>7.4钻头最大尺寸：不小于2英寸（50.8 mm）；钻杆直径：不小于40mm；</w:t>
            </w:r>
          </w:p>
          <w:p>
            <w:pPr>
              <w:rPr>
                <w:rFonts w:ascii="宋体" w:hAnsi="宋体" w:eastAsia="宋体" w:cs="宋体"/>
                <w:szCs w:val="20"/>
              </w:rPr>
            </w:pPr>
            <w:r>
              <w:rPr>
                <w:rFonts w:hint="eastAsia" w:ascii="宋体" w:hAnsi="宋体" w:eastAsia="宋体" w:cs="宋体"/>
                <w:b/>
                <w:bCs/>
                <w:szCs w:val="20"/>
              </w:rPr>
              <w:t>★</w:t>
            </w:r>
            <w:r>
              <w:rPr>
                <w:rFonts w:hint="eastAsia" w:ascii="宋体" w:hAnsi="宋体" w:eastAsia="宋体" w:cs="宋体"/>
                <w:szCs w:val="20"/>
              </w:rPr>
              <w:t>7.5钻井速度：0-30mm/min；</w:t>
            </w:r>
          </w:p>
          <w:p>
            <w:pPr>
              <w:rPr>
                <w:rFonts w:ascii="宋体" w:hAnsi="宋体" w:eastAsia="宋体" w:cs="宋体"/>
                <w:szCs w:val="20"/>
              </w:rPr>
            </w:pPr>
            <w:r>
              <w:rPr>
                <w:rFonts w:hint="eastAsia" w:ascii="宋体" w:hAnsi="宋体" w:eastAsia="宋体" w:cs="宋体"/>
                <w:szCs w:val="20"/>
              </w:rPr>
              <w:t>7.6钻头旋转速度：0-120r/min；</w:t>
            </w:r>
          </w:p>
          <w:p>
            <w:pPr>
              <w:rPr>
                <w:rFonts w:ascii="宋体" w:hAnsi="宋体" w:eastAsia="宋体" w:cs="宋体"/>
                <w:szCs w:val="20"/>
              </w:rPr>
            </w:pPr>
            <w:r>
              <w:rPr>
                <w:rFonts w:hint="eastAsia" w:ascii="宋体" w:hAnsi="宋体" w:eastAsia="宋体" w:cs="宋体"/>
                <w:szCs w:val="20"/>
              </w:rPr>
              <w:t>7.</w:t>
            </w:r>
            <w:r>
              <w:rPr>
                <w:rFonts w:ascii="宋体" w:hAnsi="宋体" w:eastAsia="宋体" w:cs="宋体"/>
                <w:szCs w:val="20"/>
              </w:rPr>
              <w:t>7</w:t>
            </w:r>
            <w:r>
              <w:rPr>
                <w:rFonts w:hint="eastAsia" w:ascii="宋体" w:hAnsi="宋体" w:eastAsia="宋体" w:cs="宋体"/>
                <w:szCs w:val="20"/>
              </w:rPr>
              <w:t>配备钻井液循环系统，用于携带粉碎的岩石颗粒，钻井液排量0-10L/min；</w:t>
            </w:r>
          </w:p>
          <w:p>
            <w:pPr>
              <w:rPr>
                <w:rFonts w:ascii="宋体" w:hAnsi="宋体" w:eastAsia="宋体" w:cs="宋体"/>
                <w:szCs w:val="20"/>
              </w:rPr>
            </w:pPr>
            <w:r>
              <w:rPr>
                <w:rFonts w:hint="eastAsia" w:ascii="宋体" w:hAnsi="宋体" w:eastAsia="宋体" w:cs="宋体"/>
                <w:szCs w:val="20"/>
              </w:rPr>
              <w:t>7.</w:t>
            </w:r>
            <w:r>
              <w:rPr>
                <w:rFonts w:ascii="宋体" w:hAnsi="宋体" w:eastAsia="宋体" w:cs="宋体"/>
                <w:szCs w:val="20"/>
              </w:rPr>
              <w:t>8</w:t>
            </w:r>
            <w:r>
              <w:rPr>
                <w:rFonts w:hint="eastAsia" w:ascii="宋体" w:hAnsi="宋体" w:eastAsia="宋体" w:cs="宋体"/>
                <w:szCs w:val="20"/>
              </w:rPr>
              <w:t>可钻进岩体强度：不小于200MPa；</w:t>
            </w:r>
          </w:p>
          <w:p>
            <w:pPr>
              <w:rPr>
                <w:rFonts w:ascii="宋体" w:hAnsi="宋体" w:eastAsia="宋体" w:cs="宋体"/>
                <w:szCs w:val="20"/>
              </w:rPr>
            </w:pPr>
            <w:r>
              <w:rPr>
                <w:rFonts w:hint="eastAsia" w:ascii="宋体" w:hAnsi="宋体" w:eastAsia="宋体" w:cs="宋体"/>
                <w:szCs w:val="20"/>
              </w:rPr>
              <w:t>7.</w:t>
            </w:r>
            <w:r>
              <w:rPr>
                <w:rFonts w:ascii="宋体" w:hAnsi="宋体" w:eastAsia="宋体" w:cs="宋体"/>
                <w:szCs w:val="20"/>
              </w:rPr>
              <w:t>9</w:t>
            </w:r>
            <w:r>
              <w:rPr>
                <w:rFonts w:hint="eastAsia" w:ascii="宋体" w:hAnsi="宋体" w:eastAsia="宋体" w:cs="宋体"/>
                <w:szCs w:val="20"/>
              </w:rPr>
              <w:t>配套钻机排污系统；</w:t>
            </w:r>
          </w:p>
          <w:p>
            <w:pPr>
              <w:rPr>
                <w:rFonts w:ascii="宋体" w:hAnsi="宋体" w:eastAsia="宋体" w:cs="宋体"/>
                <w:szCs w:val="20"/>
              </w:rPr>
            </w:pPr>
            <w:r>
              <w:rPr>
                <w:rFonts w:hint="eastAsia" w:ascii="宋体" w:hAnsi="宋体" w:eastAsia="宋体" w:cs="宋体"/>
                <w:szCs w:val="20"/>
              </w:rPr>
              <w:t>7.</w:t>
            </w:r>
            <w:r>
              <w:rPr>
                <w:rFonts w:ascii="宋体" w:hAnsi="宋体" w:eastAsia="宋体" w:cs="宋体"/>
                <w:szCs w:val="20"/>
              </w:rPr>
              <w:t>10</w:t>
            </w:r>
            <w:r>
              <w:rPr>
                <w:rFonts w:hint="eastAsia" w:ascii="宋体" w:hAnsi="宋体" w:eastAsia="宋体" w:cs="宋体"/>
                <w:szCs w:val="20"/>
              </w:rPr>
              <w:t>方便移动和固定安装，建议铺装导轨。</w:t>
            </w:r>
          </w:p>
          <w:p>
            <w:pPr>
              <w:rPr>
                <w:rFonts w:ascii="宋体" w:hAnsi="宋体" w:eastAsia="宋体" w:cs="宋体"/>
                <w:b/>
                <w:bCs/>
                <w:szCs w:val="20"/>
              </w:rPr>
            </w:pPr>
            <w:r>
              <w:rPr>
                <w:rFonts w:hint="eastAsia" w:ascii="宋体" w:hAnsi="宋体" w:eastAsia="宋体" w:cs="宋体"/>
                <w:b/>
                <w:bCs/>
                <w:szCs w:val="20"/>
              </w:rPr>
              <w:t>8、监测模块</w:t>
            </w:r>
          </w:p>
          <w:p>
            <w:pPr>
              <w:rPr>
                <w:rFonts w:ascii="宋体" w:hAnsi="宋体" w:eastAsia="宋体" w:cs="宋体"/>
                <w:b/>
                <w:bCs/>
                <w:szCs w:val="20"/>
              </w:rPr>
            </w:pPr>
            <w:r>
              <w:rPr>
                <w:rFonts w:hint="eastAsia" w:ascii="宋体" w:hAnsi="宋体" w:eastAsia="宋体" w:cs="宋体"/>
                <w:b/>
                <w:bCs/>
                <w:szCs w:val="20"/>
              </w:rPr>
              <w:t>★8.1位移、变形监测</w:t>
            </w:r>
          </w:p>
          <w:p>
            <w:pPr>
              <w:rPr>
                <w:rFonts w:ascii="宋体" w:hAnsi="宋体" w:eastAsia="宋体" w:cs="宋体"/>
                <w:szCs w:val="20"/>
              </w:rPr>
            </w:pPr>
            <w:r>
              <w:rPr>
                <w:rFonts w:hint="eastAsia" w:ascii="宋体" w:hAnsi="宋体" w:eastAsia="宋体" w:cs="宋体"/>
                <w:szCs w:val="20"/>
              </w:rPr>
              <w:t>8.1.1位移监测：量程≥150mm，重复精度：0.001%F.S，分辨率：0.0001mm；</w:t>
            </w:r>
          </w:p>
          <w:p>
            <w:pPr>
              <w:rPr>
                <w:rFonts w:ascii="宋体" w:hAnsi="宋体" w:eastAsia="宋体" w:cs="宋体"/>
                <w:szCs w:val="20"/>
              </w:rPr>
            </w:pPr>
            <w:r>
              <w:rPr>
                <w:rFonts w:hint="eastAsia" w:ascii="宋体" w:hAnsi="宋体" w:eastAsia="宋体" w:cs="宋体"/>
                <w:szCs w:val="20"/>
              </w:rPr>
              <w:t>8.1.2变形监测：量程≥10mm，重复精度：0.001%F.S，分辨率：0.0001mm。</w:t>
            </w:r>
          </w:p>
          <w:p>
            <w:pPr>
              <w:rPr>
                <w:rFonts w:ascii="宋体" w:hAnsi="宋体" w:eastAsia="宋体" w:cs="宋体"/>
                <w:b/>
                <w:bCs/>
                <w:szCs w:val="20"/>
              </w:rPr>
            </w:pPr>
            <w:r>
              <w:rPr>
                <w:rFonts w:hint="eastAsia" w:ascii="宋体" w:hAnsi="宋体" w:eastAsia="宋体" w:cs="宋体"/>
                <w:b/>
                <w:bCs/>
                <w:szCs w:val="20"/>
              </w:rPr>
              <w:t>★8.2 声发射系统</w:t>
            </w:r>
          </w:p>
          <w:p>
            <w:pPr>
              <w:ind w:firstLine="420" w:firstLineChars="200"/>
              <w:rPr>
                <w:rFonts w:ascii="宋体" w:hAnsi="宋体" w:eastAsia="宋体" w:cs="宋体"/>
                <w:szCs w:val="20"/>
              </w:rPr>
            </w:pPr>
            <w:r>
              <w:rPr>
                <w:rFonts w:hint="eastAsia" w:ascii="宋体" w:hAnsi="宋体" w:eastAsia="宋体" w:cs="宋体"/>
                <w:szCs w:val="20"/>
              </w:rPr>
              <w:t>8通道声发射系统，主机支持扩展，最多可扩展至32通道。</w:t>
            </w:r>
          </w:p>
          <w:p>
            <w:pPr>
              <w:ind w:firstLine="420" w:firstLineChars="200"/>
              <w:rPr>
                <w:rFonts w:ascii="宋体" w:hAnsi="宋体" w:eastAsia="宋体" w:cs="宋体"/>
                <w:szCs w:val="20"/>
              </w:rPr>
            </w:pPr>
            <w:r>
              <w:rPr>
                <w:rFonts w:hint="eastAsia" w:ascii="宋体" w:hAnsi="宋体" w:eastAsia="宋体" w:cs="宋体"/>
                <w:szCs w:val="20"/>
              </w:rPr>
              <w:t>8通道PCIE总线声发射处理卡，可以插入任何标准的现代PC机中构成8通道倍数的声发射系统。16位A/D，1KHz-1000KHz频率范围。硬件(FPGA-DSP)实现的实时声发射特征参数采集/分析、波形采集/分析同步实现。独有波形流功能将采集的波形连续不断地传输到硬盘。每块卡上都集成有滤波快、波形模块、真实能量模块、自动传感器测试(AST)模块。系统提供外参数4个外参数模块。</w:t>
            </w:r>
          </w:p>
          <w:p>
            <w:pPr>
              <w:rPr>
                <w:rFonts w:ascii="宋体" w:hAnsi="宋体" w:eastAsia="宋体" w:cs="宋体"/>
                <w:szCs w:val="20"/>
              </w:rPr>
            </w:pPr>
            <w:r>
              <w:rPr>
                <w:rFonts w:hint="eastAsia" w:ascii="宋体" w:hAnsi="宋体" w:eastAsia="宋体" w:cs="宋体"/>
                <w:szCs w:val="20"/>
              </w:rPr>
              <w:t>WINDOWS环境下基本采集/分析软件包</w:t>
            </w:r>
          </w:p>
          <w:p>
            <w:pPr>
              <w:rPr>
                <w:rFonts w:ascii="宋体" w:hAnsi="宋体" w:eastAsia="宋体" w:cs="宋体"/>
                <w:szCs w:val="20"/>
              </w:rPr>
            </w:pPr>
            <w:r>
              <w:rPr>
                <w:rFonts w:hint="eastAsia" w:ascii="宋体" w:hAnsi="宋体" w:eastAsia="宋体" w:cs="宋体"/>
                <w:szCs w:val="20"/>
              </w:rPr>
              <w:t>增强的交互式图形界面，用于实时声发射信号采集/分析，包括:</w:t>
            </w:r>
          </w:p>
          <w:p>
            <w:pPr>
              <w:ind w:firstLine="420" w:firstLineChars="200"/>
              <w:rPr>
                <w:rFonts w:ascii="宋体" w:hAnsi="宋体" w:eastAsia="宋体" w:cs="宋体"/>
                <w:szCs w:val="20"/>
              </w:rPr>
            </w:pPr>
            <w:r>
              <w:rPr>
                <w:rFonts w:hint="eastAsia" w:ascii="宋体" w:hAnsi="宋体" w:eastAsia="宋体" w:cs="宋体"/>
                <w:szCs w:val="20"/>
              </w:rPr>
              <w:t>用于显示/存储/重放；</w:t>
            </w:r>
          </w:p>
          <w:p>
            <w:pPr>
              <w:ind w:firstLine="420" w:firstLineChars="200"/>
              <w:rPr>
                <w:rFonts w:ascii="宋体" w:hAnsi="宋体" w:eastAsia="宋体" w:cs="宋体"/>
                <w:szCs w:val="20"/>
              </w:rPr>
            </w:pPr>
            <w:r>
              <w:rPr>
                <w:rFonts w:hint="eastAsia" w:ascii="宋体" w:hAnsi="宋体" w:eastAsia="宋体" w:cs="宋体"/>
                <w:szCs w:val="20"/>
              </w:rPr>
              <w:t>线定位、区域定位功能；</w:t>
            </w:r>
          </w:p>
          <w:p>
            <w:pPr>
              <w:ind w:firstLine="420" w:firstLineChars="200"/>
              <w:rPr>
                <w:rFonts w:ascii="宋体" w:hAnsi="宋体" w:eastAsia="宋体" w:cs="宋体"/>
                <w:szCs w:val="20"/>
              </w:rPr>
            </w:pPr>
            <w:r>
              <w:rPr>
                <w:rFonts w:hint="eastAsia" w:ascii="宋体" w:hAnsi="宋体" w:eastAsia="宋体" w:cs="宋体"/>
                <w:szCs w:val="20"/>
              </w:rPr>
              <w:t>多参数分析(图)；</w:t>
            </w:r>
          </w:p>
          <w:p>
            <w:pPr>
              <w:ind w:firstLine="420" w:firstLineChars="200"/>
              <w:rPr>
                <w:rFonts w:ascii="宋体" w:hAnsi="宋体" w:eastAsia="宋体" w:cs="宋体"/>
                <w:szCs w:val="20"/>
              </w:rPr>
            </w:pPr>
            <w:r>
              <w:rPr>
                <w:rFonts w:hint="eastAsia" w:ascii="宋体" w:hAnsi="宋体" w:eastAsia="宋体" w:cs="宋体"/>
                <w:szCs w:val="20"/>
              </w:rPr>
              <w:t>相关分析(图)；</w:t>
            </w:r>
          </w:p>
          <w:p>
            <w:pPr>
              <w:ind w:firstLine="420" w:firstLineChars="200"/>
              <w:rPr>
                <w:rFonts w:ascii="宋体" w:hAnsi="宋体" w:eastAsia="宋体" w:cs="宋体"/>
                <w:szCs w:val="20"/>
              </w:rPr>
            </w:pPr>
            <w:r>
              <w:rPr>
                <w:rFonts w:hint="eastAsia" w:ascii="宋体" w:hAnsi="宋体" w:eastAsia="宋体" w:cs="宋体"/>
                <w:szCs w:val="20"/>
              </w:rPr>
              <w:t>点图/线图/直方(柱状) 图分析；</w:t>
            </w:r>
          </w:p>
          <w:p>
            <w:pPr>
              <w:ind w:firstLine="420" w:firstLineChars="200"/>
              <w:rPr>
                <w:rFonts w:ascii="宋体" w:hAnsi="宋体" w:eastAsia="宋体" w:cs="宋体"/>
                <w:szCs w:val="20"/>
              </w:rPr>
            </w:pPr>
            <w:r>
              <w:rPr>
                <w:rFonts w:hint="eastAsia" w:ascii="宋体" w:hAnsi="宋体" w:eastAsia="宋体" w:cs="宋体"/>
                <w:szCs w:val="20"/>
              </w:rPr>
              <w:t>任何参数的2-D/3-D图解分析；</w:t>
            </w:r>
          </w:p>
          <w:p>
            <w:pPr>
              <w:ind w:firstLine="420" w:firstLineChars="200"/>
              <w:rPr>
                <w:rFonts w:ascii="宋体" w:hAnsi="宋体" w:eastAsia="宋体" w:cs="宋体"/>
                <w:szCs w:val="20"/>
              </w:rPr>
            </w:pPr>
            <w:r>
              <w:rPr>
                <w:rFonts w:hint="eastAsia" w:ascii="宋体" w:hAnsi="宋体" w:eastAsia="宋体" w:cs="宋体"/>
                <w:szCs w:val="20"/>
              </w:rPr>
              <w:t>特征参数滤波；</w:t>
            </w:r>
          </w:p>
          <w:p>
            <w:pPr>
              <w:ind w:firstLine="420" w:firstLineChars="200"/>
              <w:rPr>
                <w:rFonts w:ascii="宋体" w:hAnsi="宋体" w:eastAsia="宋体" w:cs="宋体"/>
                <w:szCs w:val="20"/>
              </w:rPr>
            </w:pPr>
            <w:r>
              <w:rPr>
                <w:rFonts w:hint="eastAsia" w:ascii="宋体" w:hAnsi="宋体" w:eastAsia="宋体" w:cs="宋体"/>
                <w:szCs w:val="20"/>
              </w:rPr>
              <w:t>波形滤波；</w:t>
            </w:r>
          </w:p>
          <w:p>
            <w:pPr>
              <w:ind w:firstLine="420" w:firstLineChars="200"/>
              <w:rPr>
                <w:rFonts w:ascii="宋体" w:hAnsi="宋体" w:eastAsia="宋体" w:cs="宋体"/>
                <w:szCs w:val="20"/>
              </w:rPr>
            </w:pPr>
            <w:r>
              <w:rPr>
                <w:rFonts w:hint="eastAsia" w:ascii="宋体" w:hAnsi="宋体" w:eastAsia="宋体" w:cs="宋体"/>
                <w:szCs w:val="20"/>
              </w:rPr>
              <w:t>图解滤波；</w:t>
            </w:r>
          </w:p>
          <w:p>
            <w:pPr>
              <w:ind w:firstLine="420" w:firstLineChars="200"/>
              <w:rPr>
                <w:rFonts w:ascii="宋体" w:hAnsi="宋体" w:eastAsia="宋体" w:cs="宋体"/>
                <w:szCs w:val="20"/>
              </w:rPr>
            </w:pPr>
            <w:r>
              <w:rPr>
                <w:rFonts w:hint="eastAsia" w:ascii="宋体" w:hAnsi="宋体" w:eastAsia="宋体" w:cs="宋体"/>
                <w:szCs w:val="20"/>
              </w:rPr>
              <w:t>聚类分析；</w:t>
            </w:r>
          </w:p>
          <w:p>
            <w:pPr>
              <w:ind w:firstLine="420" w:firstLineChars="200"/>
              <w:rPr>
                <w:rFonts w:ascii="宋体" w:hAnsi="宋体" w:eastAsia="宋体" w:cs="宋体"/>
                <w:szCs w:val="20"/>
              </w:rPr>
            </w:pPr>
            <w:r>
              <w:rPr>
                <w:rFonts w:hint="eastAsia" w:ascii="宋体" w:hAnsi="宋体" w:eastAsia="宋体" w:cs="宋体"/>
                <w:szCs w:val="20"/>
              </w:rPr>
              <w:t>幅度衰减分析；</w:t>
            </w:r>
          </w:p>
          <w:p>
            <w:pPr>
              <w:ind w:firstLine="420" w:firstLineChars="200"/>
              <w:rPr>
                <w:rFonts w:ascii="宋体" w:hAnsi="宋体" w:eastAsia="宋体" w:cs="宋体"/>
                <w:szCs w:val="20"/>
              </w:rPr>
            </w:pPr>
            <w:r>
              <w:rPr>
                <w:rFonts w:hint="eastAsia" w:ascii="宋体" w:hAnsi="宋体" w:eastAsia="宋体" w:cs="宋体"/>
                <w:szCs w:val="20"/>
              </w:rPr>
              <w:t>参数结果及波形结果的ASCII格式输；</w:t>
            </w:r>
          </w:p>
          <w:p>
            <w:pPr>
              <w:ind w:firstLine="420" w:firstLineChars="200"/>
              <w:rPr>
                <w:rFonts w:ascii="宋体" w:hAnsi="宋体" w:eastAsia="宋体" w:cs="宋体"/>
                <w:szCs w:val="20"/>
              </w:rPr>
            </w:pPr>
            <w:r>
              <w:rPr>
                <w:rFonts w:hint="eastAsia" w:ascii="宋体" w:hAnsi="宋体" w:eastAsia="宋体" w:cs="宋体"/>
                <w:szCs w:val="20"/>
              </w:rPr>
              <w:t>各种声发射参数的统计分析功能；</w:t>
            </w:r>
          </w:p>
          <w:p>
            <w:pPr>
              <w:ind w:firstLine="420" w:firstLineChars="200"/>
              <w:rPr>
                <w:rFonts w:ascii="宋体" w:hAnsi="宋体" w:eastAsia="宋体" w:cs="宋体"/>
                <w:szCs w:val="20"/>
              </w:rPr>
            </w:pPr>
            <w:r>
              <w:rPr>
                <w:rFonts w:hint="eastAsia" w:ascii="宋体" w:hAnsi="宋体" w:eastAsia="宋体" w:cs="宋体"/>
                <w:szCs w:val="20"/>
              </w:rPr>
              <w:t>小波分析、短时FFT分析及丰富的事后分析功能等;</w:t>
            </w:r>
          </w:p>
          <w:p>
            <w:pPr>
              <w:rPr>
                <w:rFonts w:ascii="宋体" w:hAnsi="宋体" w:eastAsia="宋体" w:cs="宋体"/>
                <w:b/>
                <w:bCs/>
                <w:szCs w:val="20"/>
              </w:rPr>
            </w:pPr>
            <w:r>
              <w:rPr>
                <w:rFonts w:hint="eastAsia" w:ascii="宋体" w:hAnsi="宋体" w:eastAsia="宋体" w:cs="宋体"/>
                <w:b/>
                <w:bCs/>
                <w:szCs w:val="20"/>
              </w:rPr>
              <w:t>★8.3 高速摄像机</w:t>
            </w:r>
          </w:p>
          <w:p>
            <w:pPr>
              <w:ind w:firstLine="420" w:firstLineChars="200"/>
              <w:rPr>
                <w:rFonts w:ascii="宋体" w:hAnsi="宋体" w:eastAsia="宋体" w:cs="宋体"/>
                <w:szCs w:val="20"/>
              </w:rPr>
            </w:pPr>
            <w:r>
              <w:rPr>
                <w:rFonts w:hint="eastAsia" w:ascii="宋体" w:hAnsi="宋体" w:eastAsia="宋体" w:cs="宋体"/>
                <w:szCs w:val="20"/>
              </w:rPr>
              <w:t>分辨率不低于1280×1024，满幅采集速度不低于9300fps，内存容量不低于128G，硬盘不低于2Tb，自带专用处理芯片，拥有自动白平衡，色彩矫正、Gamma校正、去雾、去噪、锐化等模块，可自动计算当前色温值并调节白平衡，调校出最佳校色参数，配合1080P高清解析度，实现冷暖色调环境下色彩真实度最大程度的还原，全局快门，自动曝光。</w:t>
            </w:r>
          </w:p>
          <w:p>
            <w:pPr>
              <w:rPr>
                <w:rFonts w:ascii="宋体" w:hAnsi="宋体" w:eastAsia="宋体" w:cs="宋体"/>
                <w:b/>
                <w:bCs/>
                <w:szCs w:val="20"/>
              </w:rPr>
            </w:pPr>
            <w:r>
              <w:rPr>
                <w:rFonts w:hint="eastAsia" w:ascii="宋体" w:hAnsi="宋体" w:eastAsia="宋体" w:cs="宋体"/>
                <w:b/>
                <w:bCs/>
                <w:szCs w:val="20"/>
              </w:rPr>
              <w:t>9、夹具套装</w:t>
            </w:r>
          </w:p>
          <w:p>
            <w:pPr>
              <w:ind w:firstLine="420" w:firstLineChars="200"/>
              <w:rPr>
                <w:rFonts w:ascii="宋体" w:hAnsi="宋体" w:eastAsia="宋体" w:cs="宋体"/>
                <w:szCs w:val="20"/>
              </w:rPr>
            </w:pPr>
            <w:r>
              <w:rPr>
                <w:rFonts w:hint="eastAsia" w:ascii="宋体" w:hAnsi="宋体" w:eastAsia="宋体" w:cs="宋体"/>
                <w:szCs w:val="20"/>
              </w:rPr>
              <w:t>配备满足以下试样的真三轴试验、岩爆卸载试验、真三轴剪切、双轴剪切的夹具套装和必要设施：</w:t>
            </w:r>
          </w:p>
          <w:p>
            <w:pPr>
              <w:rPr>
                <w:rFonts w:ascii="宋体" w:hAnsi="宋体" w:eastAsia="宋体" w:cs="宋体"/>
                <w:szCs w:val="20"/>
              </w:rPr>
            </w:pPr>
            <w:r>
              <w:rPr>
                <w:rFonts w:hint="eastAsia" w:ascii="宋体" w:hAnsi="宋体" w:eastAsia="宋体" w:cs="宋体"/>
                <w:szCs w:val="20"/>
              </w:rPr>
              <w:t xml:space="preserve">真三轴： 75 mm × 75 mm × 150 mm </w:t>
            </w:r>
          </w:p>
          <w:p>
            <w:pPr>
              <w:rPr>
                <w:rFonts w:ascii="宋体" w:hAnsi="宋体" w:eastAsia="宋体" w:cs="宋体"/>
                <w:szCs w:val="20"/>
              </w:rPr>
            </w:pPr>
            <w:r>
              <w:rPr>
                <w:rFonts w:hint="eastAsia" w:ascii="宋体" w:hAnsi="宋体" w:eastAsia="宋体" w:cs="宋体"/>
                <w:szCs w:val="20"/>
              </w:rPr>
              <w:t xml:space="preserve">         100 mm × 100 mm × 100 mm </w:t>
            </w:r>
          </w:p>
          <w:p>
            <w:pPr>
              <w:rPr>
                <w:rFonts w:ascii="宋体" w:hAnsi="宋体" w:eastAsia="宋体" w:cs="宋体"/>
                <w:szCs w:val="20"/>
              </w:rPr>
            </w:pPr>
            <w:r>
              <w:rPr>
                <w:rFonts w:hint="eastAsia" w:ascii="宋体" w:hAnsi="宋体" w:eastAsia="宋体" w:cs="宋体"/>
                <w:szCs w:val="20"/>
              </w:rPr>
              <w:t xml:space="preserve">         100 mm × 100 mm × 200 mm</w:t>
            </w:r>
          </w:p>
          <w:p>
            <w:pPr>
              <w:rPr>
                <w:rFonts w:ascii="宋体" w:hAnsi="宋体" w:eastAsia="宋体" w:cs="宋体"/>
                <w:szCs w:val="20"/>
              </w:rPr>
            </w:pPr>
            <w:r>
              <w:rPr>
                <w:rFonts w:hint="eastAsia" w:ascii="宋体" w:hAnsi="宋体" w:eastAsia="宋体" w:cs="宋体"/>
                <w:szCs w:val="20"/>
              </w:rPr>
              <w:t xml:space="preserve">         150 mm × 150 mm × 150 mm </w:t>
            </w:r>
          </w:p>
          <w:p>
            <w:pPr>
              <w:rPr>
                <w:rFonts w:ascii="宋体" w:hAnsi="宋体" w:eastAsia="宋体" w:cs="宋体"/>
                <w:szCs w:val="20"/>
              </w:rPr>
            </w:pPr>
            <w:r>
              <w:rPr>
                <w:rFonts w:hint="eastAsia" w:ascii="宋体" w:hAnsi="宋体" w:eastAsia="宋体" w:cs="宋体"/>
                <w:szCs w:val="20"/>
              </w:rPr>
              <w:t xml:space="preserve">         200 mm × 200 mm × 200 mm</w:t>
            </w:r>
          </w:p>
          <w:p>
            <w:pPr>
              <w:rPr>
                <w:rFonts w:ascii="宋体" w:hAnsi="宋体" w:eastAsia="宋体" w:cs="宋体"/>
                <w:szCs w:val="20"/>
              </w:rPr>
            </w:pPr>
            <w:r>
              <w:rPr>
                <w:rFonts w:hint="eastAsia" w:ascii="宋体" w:hAnsi="宋体" w:eastAsia="宋体" w:cs="宋体"/>
                <w:szCs w:val="20"/>
              </w:rPr>
              <w:t xml:space="preserve"> 剪切试验：100 mm × 100 mm × 100 mm</w:t>
            </w:r>
          </w:p>
          <w:p>
            <w:pPr>
              <w:rPr>
                <w:rFonts w:ascii="宋体" w:hAnsi="宋体" w:eastAsia="宋体" w:cs="宋体"/>
                <w:szCs w:val="20"/>
              </w:rPr>
            </w:pPr>
            <w:r>
              <w:rPr>
                <w:rFonts w:hint="eastAsia" w:ascii="宋体" w:hAnsi="宋体" w:eastAsia="宋体" w:cs="宋体"/>
                <w:szCs w:val="20"/>
              </w:rPr>
              <w:t xml:space="preserve">          150 mm × 150 mm × 150 mm </w:t>
            </w:r>
          </w:p>
          <w:p>
            <w:pPr>
              <w:rPr>
                <w:rFonts w:ascii="宋体" w:hAnsi="宋体" w:eastAsia="宋体" w:cs="宋体"/>
                <w:szCs w:val="20"/>
              </w:rPr>
            </w:pPr>
            <w:r>
              <w:rPr>
                <w:rFonts w:hint="eastAsia" w:ascii="宋体" w:hAnsi="宋体" w:eastAsia="宋体" w:cs="宋体"/>
                <w:szCs w:val="20"/>
              </w:rPr>
              <w:t>剪切盒端面摩擦系数小于0.005。</w:t>
            </w:r>
          </w:p>
          <w:p>
            <w:pPr>
              <w:rPr>
                <w:rFonts w:ascii="宋体" w:hAnsi="宋体" w:eastAsia="宋体" w:cs="宋体"/>
                <w:b/>
                <w:bCs/>
                <w:szCs w:val="20"/>
              </w:rPr>
            </w:pPr>
            <w:r>
              <w:rPr>
                <w:rFonts w:hint="eastAsia" w:ascii="宋体" w:hAnsi="宋体" w:eastAsia="宋体" w:cs="宋体"/>
                <w:b/>
                <w:bCs/>
                <w:szCs w:val="20"/>
              </w:rPr>
              <w:t>10、温度控制模块</w:t>
            </w:r>
          </w:p>
          <w:p>
            <w:pPr>
              <w:rPr>
                <w:rFonts w:ascii="宋体" w:hAnsi="宋体" w:eastAsia="宋体" w:cs="宋体"/>
                <w:szCs w:val="20"/>
              </w:rPr>
            </w:pPr>
            <w:r>
              <w:rPr>
                <w:rFonts w:hint="eastAsia" w:ascii="宋体" w:hAnsi="宋体" w:eastAsia="宋体" w:cs="宋体"/>
                <w:szCs w:val="20"/>
              </w:rPr>
              <w:t>10.1高低温交变试验箱：温度范围：-70℃～+150℃ ，温度偏差：≤±2℃ ，控温精度: ±0.1℃ ，恒温波动温度: ≤±0.5℃ ，温度均匀度：≤2℃ ，温度控制器：触摸屏 ，工作尺寸：450</w:t>
            </w:r>
            <w:r>
              <w:rPr>
                <w:szCs w:val="20"/>
              </w:rPr>
              <w:t xml:space="preserve"> × </w:t>
            </w:r>
            <w:r>
              <w:rPr>
                <w:rFonts w:hint="eastAsia" w:ascii="宋体" w:hAnsi="宋体" w:eastAsia="宋体" w:cs="宋体"/>
                <w:szCs w:val="20"/>
              </w:rPr>
              <w:t>450</w:t>
            </w:r>
            <w:r>
              <w:rPr>
                <w:szCs w:val="20"/>
              </w:rPr>
              <w:t xml:space="preserve"> × </w:t>
            </w:r>
            <w:r>
              <w:rPr>
                <w:rFonts w:hint="eastAsia" w:ascii="宋体" w:hAnsi="宋体" w:eastAsia="宋体" w:cs="宋体"/>
                <w:szCs w:val="20"/>
              </w:rPr>
              <w:t>500mm</w:t>
            </w:r>
          </w:p>
          <w:p>
            <w:pPr>
              <w:rPr>
                <w:rFonts w:ascii="宋体" w:hAnsi="宋体" w:eastAsia="宋体" w:cs="宋体"/>
                <w:szCs w:val="20"/>
              </w:rPr>
            </w:pPr>
            <w:r>
              <w:rPr>
                <w:rFonts w:hint="eastAsia" w:ascii="宋体" w:hAnsi="宋体" w:eastAsia="宋体" w:cs="宋体"/>
                <w:szCs w:val="20"/>
              </w:rPr>
              <w:t>10.2仪器具有额外独立的高温、低温试样夹具（100×100×100），夹具具备加热、制冷以及试样温度监测功能，加载过程中，试样温度保持稳定（误差±0.5℃）。</w:t>
            </w:r>
          </w:p>
          <w:p>
            <w:pPr>
              <w:rPr>
                <w:rFonts w:ascii="宋体" w:hAnsi="宋体" w:eastAsia="宋体" w:cs="宋体"/>
                <w:b/>
                <w:bCs/>
                <w:szCs w:val="20"/>
              </w:rPr>
            </w:pPr>
            <w:r>
              <w:rPr>
                <w:rFonts w:hint="eastAsia" w:ascii="宋体" w:hAnsi="宋体" w:eastAsia="宋体" w:cs="宋体"/>
                <w:b/>
                <w:bCs/>
                <w:szCs w:val="20"/>
              </w:rPr>
              <w:t>11、其他辅助模块</w:t>
            </w:r>
          </w:p>
          <w:p>
            <w:pPr>
              <w:rPr>
                <w:rFonts w:ascii="宋体" w:hAnsi="宋体" w:eastAsia="宋体" w:cs="宋体"/>
                <w:szCs w:val="20"/>
              </w:rPr>
            </w:pPr>
            <w:r>
              <w:rPr>
                <w:rFonts w:hint="eastAsia" w:ascii="宋体" w:hAnsi="宋体" w:eastAsia="宋体" w:cs="宋体"/>
                <w:szCs w:val="20"/>
              </w:rPr>
              <w:t>11.1自动化装卸试样，试样自动对中，配备小型起吊设备;</w:t>
            </w:r>
          </w:p>
          <w:p>
            <w:pPr>
              <w:rPr>
                <w:rFonts w:ascii="宋体" w:hAnsi="宋体" w:eastAsia="宋体" w:cs="宋体"/>
                <w:szCs w:val="20"/>
              </w:rPr>
            </w:pPr>
            <w:r>
              <w:rPr>
                <w:rFonts w:hint="eastAsia" w:ascii="宋体" w:hAnsi="宋体" w:eastAsia="宋体" w:cs="宋体"/>
                <w:szCs w:val="20"/>
              </w:rPr>
              <w:t>11.2 配备不少于两台高亮度LED光源（单台功率≥200w）；</w:t>
            </w:r>
          </w:p>
          <w:p>
            <w:pPr>
              <w:rPr>
                <w:rFonts w:ascii="宋体" w:hAnsi="宋体" w:eastAsia="宋体" w:cs="宋体"/>
                <w:b/>
                <w:bCs/>
                <w:szCs w:val="20"/>
              </w:rPr>
            </w:pPr>
            <w:r>
              <w:rPr>
                <w:rFonts w:hint="eastAsia" w:ascii="宋体" w:hAnsi="宋体" w:eastAsia="宋体" w:cs="宋体"/>
                <w:b/>
                <w:bCs/>
                <w:szCs w:val="20"/>
              </w:rPr>
              <w:t>三、系统主机的结构型式及特点</w:t>
            </w:r>
          </w:p>
          <w:p>
            <w:pPr>
              <w:rPr>
                <w:rFonts w:ascii="宋体" w:hAnsi="宋体" w:eastAsia="宋体" w:cs="宋体"/>
                <w:szCs w:val="20"/>
              </w:rPr>
            </w:pPr>
            <w:r>
              <w:rPr>
                <w:rFonts w:hint="eastAsia" w:ascii="宋体" w:hAnsi="宋体" w:eastAsia="宋体" w:cs="宋体"/>
                <w:szCs w:val="20"/>
              </w:rPr>
              <w:t>3.1、主机结构型式</w:t>
            </w:r>
          </w:p>
          <w:p>
            <w:pPr>
              <w:rPr>
                <w:rFonts w:ascii="宋体" w:hAnsi="宋体" w:eastAsia="宋体" w:cs="宋体"/>
                <w:szCs w:val="20"/>
              </w:rPr>
            </w:pPr>
            <w:r>
              <w:rPr>
                <w:rFonts w:hint="eastAsia" w:ascii="宋体" w:hAnsi="宋体" w:eastAsia="宋体" w:cs="宋体"/>
                <w:szCs w:val="20"/>
              </w:rPr>
              <w:t>系统主机采用主加载框架和辅加载框架的组合型式，采用外置油缸结构，液压缸六面安装。每个作动器单独控制且每对作动器可单独控制，可以在每个轴上以相同或相反的方向移动，从而使试样的中心点保持静止。</w:t>
            </w:r>
          </w:p>
          <w:p>
            <w:pPr>
              <w:rPr>
                <w:rFonts w:ascii="宋体" w:hAnsi="宋体" w:eastAsia="宋体" w:cs="宋体"/>
                <w:szCs w:val="20"/>
              </w:rPr>
            </w:pPr>
            <w:r>
              <w:rPr>
                <w:rFonts w:hint="eastAsia" w:ascii="宋体" w:hAnsi="宋体" w:eastAsia="宋体" w:cs="宋体"/>
                <w:b/>
                <w:bCs/>
                <w:szCs w:val="20"/>
              </w:rPr>
              <w:t>★</w:t>
            </w:r>
            <w:r>
              <w:rPr>
                <w:rFonts w:hint="eastAsia" w:ascii="宋体" w:hAnsi="宋体" w:eastAsia="宋体" w:cs="宋体"/>
                <w:szCs w:val="20"/>
              </w:rPr>
              <w:t xml:space="preserve">3.1.1水平加载框架 </w:t>
            </w:r>
          </w:p>
          <w:p>
            <w:pPr>
              <w:rPr>
                <w:rFonts w:ascii="宋体" w:hAnsi="宋体" w:eastAsia="宋体" w:cs="宋体"/>
                <w:szCs w:val="20"/>
              </w:rPr>
            </w:pPr>
            <w:r>
              <w:rPr>
                <w:rFonts w:hint="eastAsia" w:ascii="宋体" w:hAnsi="宋体" w:eastAsia="宋体" w:cs="宋体"/>
                <w:szCs w:val="20"/>
              </w:rPr>
              <w:t>高刚性加载架，结合4个相互水平安装的作动器，满足于各类加载实验。内部空间灵活，主加载框架采用优质合金钢一体锻造成型，刚度≥12GN/m。5000kN作用力下，变形小于0.5mm。</w:t>
            </w:r>
          </w:p>
          <w:p>
            <w:pPr>
              <w:rPr>
                <w:rFonts w:ascii="宋体" w:hAnsi="宋体" w:eastAsia="宋体" w:cs="宋体"/>
                <w:szCs w:val="20"/>
              </w:rPr>
            </w:pPr>
            <w:r>
              <w:rPr>
                <w:rFonts w:hint="eastAsia" w:ascii="宋体" w:hAnsi="宋体" w:eastAsia="宋体" w:cs="宋体"/>
                <w:b/>
                <w:bCs/>
                <w:szCs w:val="20"/>
              </w:rPr>
              <w:t>★</w:t>
            </w:r>
            <w:r>
              <w:rPr>
                <w:rFonts w:hint="eastAsia" w:ascii="宋体" w:hAnsi="宋体" w:eastAsia="宋体" w:cs="宋体"/>
                <w:szCs w:val="20"/>
              </w:rPr>
              <w:t xml:space="preserve">3.1.2竖直加载框架 </w:t>
            </w:r>
          </w:p>
          <w:p>
            <w:pPr>
              <w:rPr>
                <w:rFonts w:ascii="宋体" w:hAnsi="宋体" w:eastAsia="宋体" w:cs="宋体"/>
                <w:szCs w:val="20"/>
              </w:rPr>
            </w:pPr>
            <w:r>
              <w:rPr>
                <w:rFonts w:hint="eastAsia" w:ascii="宋体" w:hAnsi="宋体" w:eastAsia="宋体" w:cs="宋体"/>
                <w:szCs w:val="20"/>
              </w:rPr>
              <w:t>高刚性框架，由4个钢柱和两个用于垂直力的作动器组成，特殊配置组合以避免摩擦和扭矩，用于测定岩石试件、混凝土以及任何固体材料的剪切强度和蠕变特性。辅助加载框架采用优质合金钢锻造成型，刚度12GN/m。6000kN作用力下，变形小于0.5mm。</w:t>
            </w:r>
          </w:p>
          <w:p>
            <w:pPr>
              <w:rPr>
                <w:rFonts w:ascii="宋体" w:hAnsi="宋体" w:eastAsia="宋体" w:cs="宋体"/>
                <w:b/>
                <w:bCs/>
                <w:szCs w:val="20"/>
              </w:rPr>
            </w:pPr>
            <w:r>
              <w:rPr>
                <w:rFonts w:hint="eastAsia" w:ascii="宋体" w:hAnsi="宋体" w:eastAsia="宋体" w:cs="宋体"/>
                <w:b/>
                <w:bCs/>
                <w:szCs w:val="20"/>
              </w:rPr>
              <w:t>四、控制系统及软件系统要求</w:t>
            </w:r>
          </w:p>
          <w:p>
            <w:pPr>
              <w:rPr>
                <w:rFonts w:ascii="宋体" w:hAnsi="宋体" w:eastAsia="宋体" w:cs="宋体"/>
                <w:szCs w:val="20"/>
              </w:rPr>
            </w:pPr>
            <w:r>
              <w:rPr>
                <w:rFonts w:hint="eastAsia" w:ascii="宋体" w:hAnsi="宋体" w:eastAsia="宋体" w:cs="宋体"/>
                <w:szCs w:val="20"/>
              </w:rPr>
              <w:t>★4.1 动态伺服阀：流量: ≥63L/min</w:t>
            </w:r>
          </w:p>
          <w:p>
            <w:pPr>
              <w:ind w:firstLine="1680" w:firstLineChars="800"/>
              <w:rPr>
                <w:rFonts w:ascii="宋体" w:hAnsi="宋体" w:eastAsia="宋体" w:cs="宋体"/>
                <w:szCs w:val="20"/>
              </w:rPr>
            </w:pPr>
            <w:r>
              <w:rPr>
                <w:rFonts w:hint="eastAsia" w:ascii="宋体" w:hAnsi="宋体" w:eastAsia="宋体" w:cs="宋体"/>
                <w:szCs w:val="20"/>
              </w:rPr>
              <w:t>数量：2只</w:t>
            </w:r>
          </w:p>
          <w:p>
            <w:pPr>
              <w:rPr>
                <w:rFonts w:ascii="宋体" w:hAnsi="宋体" w:eastAsia="宋体" w:cs="宋体"/>
                <w:szCs w:val="20"/>
              </w:rPr>
            </w:pPr>
            <w:r>
              <w:rPr>
                <w:rFonts w:hint="eastAsia" w:ascii="宋体" w:hAnsi="宋体" w:eastAsia="宋体" w:cs="宋体"/>
                <w:szCs w:val="20"/>
              </w:rPr>
              <w:t>4.2 静态伺服阀：流量: ≥40L/min；</w:t>
            </w:r>
          </w:p>
          <w:p>
            <w:pPr>
              <w:ind w:firstLine="1680" w:firstLineChars="800"/>
              <w:rPr>
                <w:rFonts w:ascii="宋体" w:hAnsi="宋体" w:eastAsia="宋体" w:cs="宋体"/>
                <w:szCs w:val="20"/>
              </w:rPr>
            </w:pPr>
            <w:r>
              <w:rPr>
                <w:rFonts w:hint="eastAsia" w:ascii="宋体" w:hAnsi="宋体" w:eastAsia="宋体" w:cs="宋体"/>
                <w:szCs w:val="20"/>
              </w:rPr>
              <w:t>数量: 6只</w:t>
            </w:r>
          </w:p>
          <w:p>
            <w:pPr>
              <w:rPr>
                <w:rFonts w:ascii="宋体" w:hAnsi="宋体" w:eastAsia="宋体" w:cs="宋体"/>
                <w:szCs w:val="20"/>
              </w:rPr>
            </w:pPr>
            <w:r>
              <w:rPr>
                <w:rFonts w:hint="eastAsia" w:ascii="宋体" w:hAnsi="宋体" w:eastAsia="宋体" w:cs="宋体"/>
                <w:szCs w:val="20"/>
              </w:rPr>
              <w:t>★4.3 控制器:高性能伺服控制系统，应完全满足试验各项需求。</w:t>
            </w:r>
          </w:p>
          <w:p>
            <w:pPr>
              <w:rPr>
                <w:rFonts w:ascii="宋体" w:hAnsi="宋体" w:eastAsia="宋体" w:cs="宋体"/>
                <w:szCs w:val="20"/>
              </w:rPr>
            </w:pPr>
            <w:r>
              <w:rPr>
                <w:rFonts w:hint="eastAsia" w:ascii="宋体" w:hAnsi="宋体" w:eastAsia="宋体" w:cs="宋体"/>
                <w:szCs w:val="20"/>
              </w:rPr>
              <w:t>主要功能:</w:t>
            </w:r>
          </w:p>
          <w:p>
            <w:pPr>
              <w:rPr>
                <w:rFonts w:ascii="宋体" w:hAnsi="宋体" w:eastAsia="宋体" w:cs="宋体"/>
                <w:szCs w:val="20"/>
              </w:rPr>
            </w:pPr>
            <w:r>
              <w:rPr>
                <w:rFonts w:hint="eastAsia" w:ascii="宋体" w:hAnsi="宋体" w:eastAsia="宋体" w:cs="宋体"/>
                <w:szCs w:val="20"/>
              </w:rPr>
              <w:t>具有PIDF控制方式，能实现试验力、位移、变形等参数的闭环控制，既可采用双模式控制，也可以采用级联控制模式。</w:t>
            </w:r>
          </w:p>
          <w:p>
            <w:pPr>
              <w:rPr>
                <w:rFonts w:ascii="宋体" w:hAnsi="宋体" w:eastAsia="宋体" w:cs="宋体"/>
                <w:szCs w:val="20"/>
              </w:rPr>
            </w:pPr>
            <w:r>
              <w:rPr>
                <w:rFonts w:hint="eastAsia" w:ascii="宋体" w:hAnsi="宋体" w:eastAsia="宋体" w:cs="宋体"/>
                <w:szCs w:val="20"/>
              </w:rPr>
              <w:t>2、具有信号发生能力，可以创建各种类型载荷谱:正弦波、三角波、斜波、梯形波、自定义波形等:</w:t>
            </w:r>
          </w:p>
          <w:p>
            <w:pPr>
              <w:rPr>
                <w:rFonts w:ascii="宋体" w:hAnsi="宋体" w:eastAsia="宋体" w:cs="宋体"/>
                <w:szCs w:val="20"/>
              </w:rPr>
            </w:pPr>
            <w:r>
              <w:rPr>
                <w:rFonts w:hint="eastAsia" w:ascii="宋体" w:hAnsi="宋体" w:eastAsia="宋体" w:cs="宋体"/>
                <w:szCs w:val="20"/>
              </w:rPr>
              <w:t>3、可以设置并采集各种实验数据: 峰值、谷值、时间、最大值、最小值、平均值、疲劳次数等，采样频率8KHz;</w:t>
            </w:r>
          </w:p>
          <w:p>
            <w:pPr>
              <w:rPr>
                <w:rFonts w:ascii="宋体" w:hAnsi="宋体" w:eastAsia="宋体" w:cs="宋体"/>
                <w:szCs w:val="20"/>
              </w:rPr>
            </w:pPr>
            <w:r>
              <w:rPr>
                <w:rFonts w:hint="eastAsia" w:ascii="宋体" w:hAnsi="宋体" w:eastAsia="宋体" w:cs="宋体"/>
                <w:szCs w:val="20"/>
              </w:rPr>
              <w:t>4、用户根据需要在嵌入式电脑中选择安装上位机开发软件用于开发操作界面和基本数据分析处理程序，连接打印后可输出表格控制和测量数据;</w:t>
            </w:r>
          </w:p>
          <w:p>
            <w:pPr>
              <w:rPr>
                <w:rFonts w:ascii="宋体" w:hAnsi="宋体" w:eastAsia="宋体" w:cs="宋体"/>
                <w:szCs w:val="20"/>
              </w:rPr>
            </w:pPr>
            <w:r>
              <w:rPr>
                <w:rFonts w:hint="eastAsia" w:ascii="宋体" w:hAnsi="宋体" w:eastAsia="宋体" w:cs="宋体"/>
                <w:szCs w:val="20"/>
              </w:rPr>
              <w:t>5、可以各自独立控制相应通道进行独立的加载试验，也可以实现任意组合进行的协调加载试验，加载方式灵活多样;</w:t>
            </w:r>
          </w:p>
          <w:p>
            <w:pPr>
              <w:rPr>
                <w:rFonts w:ascii="宋体" w:hAnsi="宋体" w:eastAsia="宋体" w:cs="宋体"/>
                <w:szCs w:val="20"/>
              </w:rPr>
            </w:pPr>
            <w:r>
              <w:rPr>
                <w:rFonts w:hint="eastAsia" w:ascii="宋体" w:hAnsi="宋体" w:eastAsia="宋体" w:cs="宋体"/>
                <w:szCs w:val="20"/>
              </w:rPr>
              <w:t>6、液压伺服控制器能闭环控制作动缸，可对加载波形进行幅值自适应控制</w:t>
            </w:r>
          </w:p>
          <w:p>
            <w:pPr>
              <w:rPr>
                <w:rFonts w:ascii="宋体" w:hAnsi="宋体" w:eastAsia="宋体" w:cs="宋体"/>
                <w:szCs w:val="20"/>
              </w:rPr>
            </w:pPr>
            <w:r>
              <w:rPr>
                <w:rFonts w:hint="eastAsia" w:ascii="宋体" w:hAnsi="宋体" w:eastAsia="宋体" w:cs="宋体"/>
                <w:szCs w:val="20"/>
              </w:rPr>
              <w:t>7、控制系统能够实现包括但不仅限于正弦波、锯齿波、三角波、方波、斜波、半正弦波、正弦叠波等波形的控制，同时能够对叠加的波形进行编握和控制。</w:t>
            </w:r>
          </w:p>
          <w:p>
            <w:pPr>
              <w:rPr>
                <w:rFonts w:ascii="宋体" w:hAnsi="宋体" w:eastAsia="宋体" w:cs="宋体"/>
                <w:szCs w:val="20"/>
              </w:rPr>
            </w:pPr>
            <w:r>
              <w:rPr>
                <w:rFonts w:hint="eastAsia" w:ascii="宋体" w:hAnsi="宋体" w:eastAsia="宋体" w:cs="宋体"/>
                <w:szCs w:val="20"/>
              </w:rPr>
              <w:t>8、控制器开源，支持多种编程语言，可实现个性化定制，以满足用户各种功能及操作习惯需求。</w:t>
            </w:r>
          </w:p>
          <w:p>
            <w:pPr>
              <w:ind w:firstLine="422" w:firstLineChars="200"/>
              <w:rPr>
                <w:rFonts w:ascii="宋体" w:hAnsi="宋体" w:eastAsia="宋体" w:cs="宋体"/>
                <w:b/>
                <w:bCs/>
                <w:szCs w:val="20"/>
              </w:rPr>
            </w:pPr>
            <w:r>
              <w:rPr>
                <w:rFonts w:hint="eastAsia" w:ascii="宋体" w:hAnsi="宋体" w:eastAsia="宋体" w:cs="宋体"/>
                <w:b/>
                <w:bCs/>
                <w:szCs w:val="20"/>
              </w:rPr>
              <w:t>主要技术指标:</w:t>
            </w:r>
          </w:p>
          <w:p>
            <w:pPr>
              <w:rPr>
                <w:rFonts w:ascii="宋体" w:hAnsi="宋体" w:eastAsia="宋体" w:cs="宋体"/>
                <w:szCs w:val="20"/>
              </w:rPr>
            </w:pPr>
            <w:r>
              <w:rPr>
                <w:rFonts w:hint="eastAsia" w:ascii="宋体" w:hAnsi="宋体" w:eastAsia="宋体" w:cs="宋体"/>
                <w:szCs w:val="20"/>
              </w:rPr>
              <w:t>控制频率8kHz</w:t>
            </w:r>
          </w:p>
          <w:p>
            <w:pPr>
              <w:rPr>
                <w:rFonts w:ascii="宋体" w:hAnsi="宋体" w:eastAsia="宋体" w:cs="宋体"/>
                <w:szCs w:val="20"/>
              </w:rPr>
            </w:pPr>
            <w:r>
              <w:rPr>
                <w:rFonts w:hint="eastAsia" w:ascii="宋体" w:hAnsi="宋体" w:eastAsia="宋体" w:cs="宋体"/>
                <w:szCs w:val="20"/>
              </w:rPr>
              <w:t>PC的通信接口USB 2.0 Full speed或 Ethernet 10/100Mbi</w:t>
            </w:r>
          </w:p>
          <w:p>
            <w:pPr>
              <w:rPr>
                <w:rFonts w:ascii="宋体" w:hAnsi="宋体" w:eastAsia="宋体" w:cs="宋体"/>
                <w:szCs w:val="20"/>
              </w:rPr>
            </w:pPr>
            <w:r>
              <w:rPr>
                <w:rFonts w:hint="eastAsia" w:ascii="宋体" w:hAnsi="宋体" w:eastAsia="宋体" w:cs="宋体"/>
                <w:szCs w:val="20"/>
              </w:rPr>
              <w:t>编码器输入通道8,000,000 quadrature counts/second</w:t>
            </w:r>
          </w:p>
          <w:p>
            <w:pPr>
              <w:rPr>
                <w:rFonts w:ascii="宋体" w:hAnsi="宋体" w:eastAsia="宋体" w:cs="宋体"/>
                <w:szCs w:val="20"/>
              </w:rPr>
            </w:pPr>
            <w:r>
              <w:rPr>
                <w:rFonts w:hint="eastAsia" w:ascii="宋体" w:hAnsi="宋体" w:eastAsia="宋体" w:cs="宋体"/>
                <w:szCs w:val="20"/>
              </w:rPr>
              <w:t>数字输入24V 14个可扩展</w:t>
            </w:r>
          </w:p>
          <w:p>
            <w:pPr>
              <w:rPr>
                <w:rFonts w:ascii="宋体" w:hAnsi="宋体" w:eastAsia="宋体" w:cs="宋体"/>
                <w:szCs w:val="20"/>
              </w:rPr>
            </w:pPr>
            <w:r>
              <w:rPr>
                <w:rFonts w:hint="eastAsia" w:ascii="宋体" w:hAnsi="宋体" w:eastAsia="宋体" w:cs="宋体"/>
                <w:szCs w:val="20"/>
              </w:rPr>
              <w:t>数字输出24V 10个可扩展</w:t>
            </w:r>
          </w:p>
          <w:p>
            <w:pPr>
              <w:rPr>
                <w:rFonts w:ascii="宋体" w:hAnsi="宋体" w:eastAsia="宋体" w:cs="宋体"/>
                <w:szCs w:val="20"/>
              </w:rPr>
            </w:pPr>
            <w:r>
              <w:rPr>
                <w:rFonts w:hint="eastAsia" w:ascii="宋体" w:hAnsi="宋体" w:eastAsia="宋体" w:cs="宋体"/>
                <w:szCs w:val="20"/>
              </w:rPr>
              <w:t>反馈通道信号类型可选配 (模拟量，5v正交，SSI,MDT,LVDT )</w:t>
            </w:r>
          </w:p>
          <w:p>
            <w:pPr>
              <w:rPr>
                <w:rFonts w:ascii="宋体" w:hAnsi="宋体" w:eastAsia="宋体" w:cs="宋体"/>
                <w:szCs w:val="20"/>
              </w:rPr>
            </w:pPr>
            <w:r>
              <w:rPr>
                <w:rFonts w:hint="eastAsia" w:ascii="宋体" w:hAnsi="宋体" w:eastAsia="宋体" w:cs="宋体"/>
                <w:szCs w:val="20"/>
              </w:rPr>
              <w:t>控制输出类型可选配 (±10v，4-20mA,±20mA可调)</w:t>
            </w:r>
          </w:p>
          <w:p>
            <w:pPr>
              <w:rPr>
                <w:rFonts w:ascii="宋体" w:hAnsi="宋体" w:eastAsia="宋体" w:cs="宋体"/>
                <w:szCs w:val="20"/>
              </w:rPr>
            </w:pPr>
            <w:r>
              <w:rPr>
                <w:rFonts w:hint="eastAsia" w:ascii="宋体" w:hAnsi="宋体" w:eastAsia="宋体" w:cs="宋体"/>
                <w:szCs w:val="20"/>
              </w:rPr>
              <w:t>同步数据采集和运动控制 满足</w:t>
            </w:r>
          </w:p>
          <w:p>
            <w:pPr>
              <w:rPr>
                <w:rFonts w:ascii="宋体" w:hAnsi="宋体" w:eastAsia="宋体" w:cs="宋体"/>
                <w:szCs w:val="20"/>
              </w:rPr>
            </w:pPr>
            <w:r>
              <w:rPr>
                <w:rFonts w:hint="eastAsia" w:ascii="宋体" w:hAnsi="宋体" w:eastAsia="宋体" w:cs="宋体"/>
                <w:szCs w:val="20"/>
              </w:rPr>
              <w:t>数据采集分辨率18位精度</w:t>
            </w:r>
          </w:p>
          <w:p>
            <w:pPr>
              <w:rPr>
                <w:rFonts w:ascii="宋体" w:hAnsi="宋体" w:eastAsia="宋体" w:cs="宋体"/>
                <w:szCs w:val="20"/>
              </w:rPr>
            </w:pPr>
            <w:r>
              <w:rPr>
                <w:rFonts w:hint="eastAsia" w:ascii="宋体" w:hAnsi="宋体" w:eastAsia="宋体" w:cs="宋体"/>
                <w:szCs w:val="20"/>
              </w:rPr>
              <w:t>控制输出分辨率18位精度</w:t>
            </w:r>
          </w:p>
          <w:p>
            <w:pPr>
              <w:rPr>
                <w:rFonts w:ascii="宋体" w:hAnsi="宋体" w:eastAsia="宋体" w:cs="宋体"/>
                <w:szCs w:val="20"/>
              </w:rPr>
            </w:pPr>
            <w:r>
              <w:rPr>
                <w:rFonts w:hint="eastAsia" w:ascii="宋体" w:hAnsi="宋体" w:eastAsia="宋体" w:cs="宋体"/>
                <w:szCs w:val="20"/>
              </w:rPr>
              <w:t>数字位置、负载和应变控制，各控制模式间平滑切换无冲击。</w:t>
            </w:r>
          </w:p>
          <w:p>
            <w:pPr>
              <w:rPr>
                <w:rFonts w:ascii="宋体" w:hAnsi="宋体" w:eastAsia="宋体" w:cs="宋体"/>
                <w:szCs w:val="20"/>
              </w:rPr>
            </w:pPr>
            <w:r>
              <w:rPr>
                <w:rFonts w:hint="eastAsia" w:ascii="宋体" w:hAnsi="宋体" w:eastAsia="宋体" w:cs="宋体"/>
                <w:szCs w:val="20"/>
              </w:rPr>
              <w:t>同步采样和显示的数据高达8kHz，可以实现梯形波，三角波和正弦波等各类的动态测试</w:t>
            </w:r>
          </w:p>
          <w:p>
            <w:pPr>
              <w:rPr>
                <w:rFonts w:ascii="宋体" w:hAnsi="宋体" w:eastAsia="宋体" w:cs="宋体"/>
                <w:b/>
                <w:bCs/>
                <w:szCs w:val="20"/>
              </w:rPr>
            </w:pPr>
            <w:r>
              <w:rPr>
                <w:rFonts w:hint="eastAsia" w:ascii="宋体" w:hAnsi="宋体" w:eastAsia="宋体" w:cs="宋体"/>
                <w:b/>
                <w:bCs/>
                <w:szCs w:val="20"/>
              </w:rPr>
              <w:t>4.4智能伺服油源：</w:t>
            </w:r>
          </w:p>
          <w:p>
            <w:pPr>
              <w:rPr>
                <w:rFonts w:ascii="宋体" w:hAnsi="宋体" w:eastAsia="宋体" w:cs="宋体"/>
                <w:szCs w:val="20"/>
              </w:rPr>
            </w:pPr>
            <w:r>
              <w:rPr>
                <w:rFonts w:hint="eastAsia" w:ascii="宋体" w:hAnsi="宋体" w:eastAsia="宋体" w:cs="宋体"/>
                <w:szCs w:val="20"/>
              </w:rPr>
              <w:t>流量：≥140L/min，需满足静载、动载及动静组合等各种工况试验需要</w:t>
            </w:r>
          </w:p>
          <w:p>
            <w:pPr>
              <w:rPr>
                <w:rFonts w:ascii="宋体" w:hAnsi="宋体" w:eastAsia="宋体" w:cs="宋体"/>
                <w:szCs w:val="20"/>
              </w:rPr>
            </w:pPr>
            <w:r>
              <w:rPr>
                <w:rFonts w:hint="eastAsia" w:ascii="宋体" w:hAnsi="宋体" w:eastAsia="宋体" w:cs="宋体"/>
                <w:szCs w:val="20"/>
              </w:rPr>
              <w:t>额定工作压力：25MPa；</w:t>
            </w:r>
          </w:p>
          <w:p>
            <w:pPr>
              <w:rPr>
                <w:rFonts w:ascii="宋体" w:hAnsi="宋体" w:eastAsia="宋体" w:cs="宋体"/>
                <w:szCs w:val="20"/>
              </w:rPr>
            </w:pPr>
            <w:r>
              <w:rPr>
                <w:rFonts w:hint="eastAsia" w:ascii="宋体" w:hAnsi="宋体" w:eastAsia="宋体" w:cs="宋体"/>
                <w:szCs w:val="20"/>
              </w:rPr>
              <w:t>油源电机功率：40kW×2，AC380V/50Hz；</w:t>
            </w:r>
          </w:p>
          <w:p>
            <w:pPr>
              <w:rPr>
                <w:rFonts w:ascii="宋体" w:hAnsi="宋体" w:eastAsia="宋体" w:cs="宋体"/>
                <w:szCs w:val="20"/>
              </w:rPr>
            </w:pPr>
            <w:r>
              <w:rPr>
                <w:rFonts w:hint="eastAsia" w:ascii="宋体" w:hAnsi="宋体" w:eastAsia="宋体" w:cs="宋体"/>
                <w:szCs w:val="20"/>
              </w:rPr>
              <w:t>油箱装油量：不低于800L；</w:t>
            </w:r>
          </w:p>
          <w:p>
            <w:pPr>
              <w:rPr>
                <w:rFonts w:ascii="宋体" w:hAnsi="宋体" w:eastAsia="宋体" w:cs="宋体"/>
                <w:szCs w:val="20"/>
              </w:rPr>
            </w:pPr>
            <w:r>
              <w:rPr>
                <w:rFonts w:hint="eastAsia" w:ascii="宋体" w:hAnsi="宋体" w:eastAsia="宋体" w:cs="宋体"/>
                <w:szCs w:val="20"/>
              </w:rPr>
              <w:t>保护功能：低液位、超温、滤芯堵塞等报警/停机功能；</w:t>
            </w:r>
          </w:p>
          <w:p>
            <w:pPr>
              <w:rPr>
                <w:rFonts w:ascii="宋体" w:hAnsi="宋体" w:eastAsia="宋体" w:cs="宋体"/>
                <w:szCs w:val="20"/>
              </w:rPr>
            </w:pPr>
            <w:r>
              <w:rPr>
                <w:rFonts w:hint="eastAsia" w:ascii="宋体" w:hAnsi="宋体" w:eastAsia="宋体" w:cs="宋体"/>
                <w:szCs w:val="20"/>
              </w:rPr>
              <w:t>过滤精度：5μ；</w:t>
            </w:r>
          </w:p>
          <w:p>
            <w:pPr>
              <w:rPr>
                <w:rFonts w:ascii="宋体" w:hAnsi="宋体" w:eastAsia="宋体" w:cs="宋体"/>
                <w:szCs w:val="20"/>
              </w:rPr>
            </w:pPr>
            <w:r>
              <w:rPr>
                <w:rFonts w:hint="eastAsia" w:ascii="宋体" w:hAnsi="宋体" w:eastAsia="宋体" w:cs="宋体"/>
                <w:szCs w:val="20"/>
              </w:rPr>
              <w:t>液压油型号：46号抗磨液压油；</w:t>
            </w:r>
          </w:p>
          <w:p>
            <w:pPr>
              <w:rPr>
                <w:rFonts w:ascii="宋体" w:hAnsi="宋体" w:eastAsia="宋体" w:cs="宋体"/>
                <w:szCs w:val="20"/>
              </w:rPr>
            </w:pPr>
            <w:r>
              <w:rPr>
                <w:rFonts w:hint="eastAsia" w:ascii="宋体" w:hAnsi="宋体" w:eastAsia="宋体" w:cs="宋体"/>
                <w:szCs w:val="20"/>
              </w:rPr>
              <w:t>泵站工作环境温度范围：-10℃-60℃；</w:t>
            </w:r>
          </w:p>
          <w:p>
            <w:pPr>
              <w:rPr>
                <w:rFonts w:ascii="宋体" w:hAnsi="宋体" w:eastAsia="宋体" w:cs="宋体"/>
                <w:szCs w:val="20"/>
              </w:rPr>
            </w:pPr>
            <w:r>
              <w:rPr>
                <w:rFonts w:hint="eastAsia" w:ascii="宋体" w:hAnsi="宋体" w:eastAsia="宋体" w:cs="宋体"/>
                <w:szCs w:val="20"/>
              </w:rPr>
              <w:t>长时保压能力：6个月；</w:t>
            </w:r>
          </w:p>
          <w:p>
            <w:pPr>
              <w:rPr>
                <w:rFonts w:ascii="宋体" w:hAnsi="宋体" w:eastAsia="宋体" w:cs="宋体"/>
                <w:szCs w:val="20"/>
              </w:rPr>
            </w:pPr>
            <w:r>
              <w:rPr>
                <w:rFonts w:hint="eastAsia" w:ascii="宋体" w:hAnsi="宋体" w:eastAsia="宋体" w:cs="宋体"/>
                <w:szCs w:val="20"/>
              </w:rPr>
              <w:t>智能油冷系统。</w:t>
            </w:r>
          </w:p>
          <w:p>
            <w:pPr>
              <w:rPr>
                <w:rFonts w:ascii="宋体" w:hAnsi="宋体" w:eastAsia="宋体" w:cs="宋体"/>
                <w:b/>
                <w:bCs/>
                <w:szCs w:val="20"/>
              </w:rPr>
            </w:pPr>
            <w:r>
              <w:rPr>
                <w:rFonts w:hint="eastAsia" w:ascii="宋体" w:hAnsi="宋体" w:eastAsia="宋体" w:cs="宋体"/>
                <w:b/>
                <w:bCs/>
                <w:szCs w:val="20"/>
              </w:rPr>
              <w:t>4.5 控制台</w:t>
            </w:r>
          </w:p>
          <w:p>
            <w:pPr>
              <w:rPr>
                <w:rFonts w:ascii="宋体" w:hAnsi="宋体" w:eastAsia="宋体" w:cs="宋体"/>
                <w:szCs w:val="20"/>
              </w:rPr>
            </w:pPr>
            <w:r>
              <w:rPr>
                <w:rFonts w:hint="eastAsia" w:ascii="宋体" w:hAnsi="宋体" w:eastAsia="宋体" w:cs="宋体"/>
                <w:szCs w:val="20"/>
              </w:rPr>
              <w:t>一体柜安装各种控制元件。电控柜有降温换气扇装置，外形美观，密封性好。底部进线；采用喷塑密封壳体；电柜的结构按压机功能分布；电柜内预留10%空间；所有外部电缆予以编号，每根电缆的编号是唯一的；电缆的长度按足以能够便于更换元器件来确定；电控柜内有220VAC多功能插座；电柜内空气开关、接触器、继电器及操纵面板上按钮全部选用统一品牌产品。</w:t>
            </w:r>
          </w:p>
          <w:p>
            <w:pPr>
              <w:rPr>
                <w:rFonts w:ascii="宋体" w:hAnsi="宋体" w:eastAsia="宋体" w:cs="宋体"/>
                <w:szCs w:val="20"/>
              </w:rPr>
            </w:pPr>
            <w:r>
              <w:rPr>
                <w:rFonts w:hint="eastAsia" w:ascii="宋体" w:hAnsi="宋体" w:eastAsia="宋体" w:cs="宋体"/>
                <w:szCs w:val="20"/>
              </w:rPr>
              <w:t>设急停按钮，发生异常时按“急停”按钮，工作系统全部停止。</w:t>
            </w:r>
          </w:p>
          <w:p>
            <w:pPr>
              <w:rPr>
                <w:rFonts w:ascii="宋体" w:hAnsi="宋体" w:eastAsia="宋体" w:cs="宋体"/>
                <w:szCs w:val="20"/>
              </w:rPr>
            </w:pPr>
            <w:r>
              <w:rPr>
                <w:rFonts w:hint="eastAsia" w:ascii="宋体" w:hAnsi="宋体" w:eastAsia="宋体" w:cs="宋体"/>
                <w:szCs w:val="20"/>
              </w:rPr>
              <w:t>系统具有完备的各种电气保护功能。</w:t>
            </w:r>
          </w:p>
          <w:p>
            <w:pPr>
              <w:rPr>
                <w:rFonts w:ascii="宋体" w:hAnsi="宋体" w:eastAsia="宋体" w:cs="宋体"/>
                <w:szCs w:val="20"/>
              </w:rPr>
            </w:pPr>
            <w:r>
              <w:rPr>
                <w:rFonts w:hint="eastAsia" w:ascii="宋体" w:hAnsi="宋体" w:eastAsia="宋体" w:cs="宋体"/>
                <w:szCs w:val="20"/>
              </w:rPr>
              <w:t>电气控制元器件及各项操作按钮设有标识铭牌方便操作。</w:t>
            </w:r>
          </w:p>
          <w:p>
            <w:pPr>
              <w:rPr>
                <w:rFonts w:ascii="宋体" w:hAnsi="宋体" w:eastAsia="宋体" w:cs="宋体"/>
                <w:szCs w:val="20"/>
              </w:rPr>
            </w:pPr>
            <w:r>
              <w:rPr>
                <w:rFonts w:hint="eastAsia" w:ascii="宋体" w:hAnsi="宋体" w:eastAsia="宋体" w:cs="宋体"/>
                <w:szCs w:val="20"/>
              </w:rPr>
              <w:t>4.6 软件系统</w:t>
            </w:r>
          </w:p>
          <w:p>
            <w:pPr>
              <w:rPr>
                <w:rFonts w:ascii="宋体" w:hAnsi="宋体" w:eastAsia="宋体" w:cs="宋体"/>
                <w:szCs w:val="20"/>
              </w:rPr>
            </w:pPr>
            <w:r>
              <w:rPr>
                <w:rFonts w:hint="eastAsia" w:ascii="宋体" w:hAnsi="宋体" w:eastAsia="宋体" w:cs="宋体"/>
                <w:szCs w:val="20"/>
              </w:rPr>
              <w:t>多种试验功能软件包，运行于Windows 10操作系统上。RMC tools 系统软件所有的模块采用窗口操作方式，可以根据用户类别设定不同的操作权限，该软件操作简单，功能完善，并具备开源端口主要功能和特点包括：</w:t>
            </w:r>
          </w:p>
          <w:p>
            <w:pPr>
              <w:rPr>
                <w:rFonts w:ascii="宋体" w:hAnsi="宋体" w:eastAsia="宋体" w:cs="宋体"/>
                <w:szCs w:val="20"/>
              </w:rPr>
            </w:pPr>
            <w:r>
              <w:rPr>
                <w:rFonts w:hint="eastAsia" w:ascii="宋体" w:hAnsi="宋体" w:eastAsia="宋体" w:cs="宋体"/>
                <w:szCs w:val="20"/>
              </w:rPr>
              <w:t>主机静载动载要集成在同一软件内。</w:t>
            </w:r>
          </w:p>
          <w:p>
            <w:pPr>
              <w:spacing w:line="360" w:lineRule="auto"/>
              <w:ind w:firstLine="420" w:firstLineChars="200"/>
              <w:jc w:val="left"/>
              <w:outlineLvl w:val="0"/>
              <w:rPr>
                <w:rFonts w:ascii="宋体" w:hAnsi="宋体" w:eastAsia="宋体" w:cs="宋体"/>
                <w:bCs/>
                <w:szCs w:val="21"/>
              </w:rPr>
            </w:pPr>
            <w:r>
              <w:rPr>
                <w:rFonts w:hint="eastAsia" w:ascii="宋体" w:hAnsi="宋体" w:eastAsia="宋体" w:cs="宋体"/>
                <w:bCs/>
                <w:szCs w:val="21"/>
              </w:rPr>
              <w:t>项目管理器，主要功能和特点包括：</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RMCtools项目管理器：项目式管理模式</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创建试验项目</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管理试验数据</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RMCtools站点生成器：配置硬件资源</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创建试验通道</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配置硬件资源</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指定控制模式，包括：</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位移控制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加速度控制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载荷控制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位移/力切换控制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速度控制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角度控制</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配置控制算法，包括：</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前馈+PID控制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自由度控制</w:t>
            </w:r>
          </w:p>
          <w:p>
            <w:pPr>
              <w:spacing w:line="360" w:lineRule="auto"/>
              <w:ind w:left="993"/>
              <w:jc w:val="left"/>
              <w:outlineLvl w:val="0"/>
              <w:rPr>
                <w:rFonts w:ascii="宋体" w:hAnsi="宋体" w:eastAsia="宋体" w:cs="宋体"/>
                <w:bCs/>
                <w:szCs w:val="21"/>
              </w:rPr>
            </w:pPr>
            <w:r>
              <w:rPr>
                <w:rFonts w:hint="eastAsia" w:ascii="宋体" w:hAnsi="宋体" w:eastAsia="宋体" w:cs="宋体"/>
                <w:bCs/>
                <w:szCs w:val="21"/>
              </w:rPr>
              <w:t>三状态控制</w:t>
            </w:r>
          </w:p>
          <w:p>
            <w:pPr>
              <w:spacing w:line="360" w:lineRule="auto"/>
              <w:ind w:firstLine="840" w:firstLineChars="400"/>
              <w:jc w:val="left"/>
              <w:outlineLvl w:val="0"/>
              <w:rPr>
                <w:rFonts w:ascii="宋体" w:hAnsi="宋体" w:eastAsia="宋体" w:cs="宋体"/>
                <w:bCs/>
                <w:szCs w:val="21"/>
              </w:rPr>
            </w:pPr>
            <w:r>
              <w:rPr>
                <w:rFonts w:hint="eastAsia" w:ascii="宋体" w:hAnsi="宋体" w:eastAsia="宋体" w:cs="宋体"/>
                <w:bCs/>
                <w:szCs w:val="21"/>
              </w:rPr>
              <w:t>压力镇定控制</w:t>
            </w:r>
          </w:p>
          <w:p>
            <w:pPr>
              <w:spacing w:line="360" w:lineRule="auto"/>
              <w:ind w:left="993"/>
              <w:jc w:val="left"/>
              <w:outlineLvl w:val="0"/>
              <w:rPr>
                <w:rFonts w:ascii="宋体" w:hAnsi="宋体" w:eastAsia="宋体" w:cs="宋体"/>
                <w:bCs/>
                <w:szCs w:val="21"/>
              </w:rPr>
            </w:pPr>
            <w:r>
              <w:rPr>
                <w:rFonts w:hint="eastAsia" w:ascii="宋体" w:hAnsi="宋体" w:eastAsia="宋体" w:cs="宋体"/>
                <w:bCs/>
                <w:szCs w:val="21"/>
              </w:rPr>
              <w:t>幅值/相位匹配控制</w:t>
            </w:r>
          </w:p>
          <w:p>
            <w:pPr>
              <w:spacing w:line="360" w:lineRule="auto"/>
              <w:ind w:left="993"/>
              <w:jc w:val="left"/>
              <w:outlineLvl w:val="0"/>
              <w:rPr>
                <w:rFonts w:ascii="宋体" w:hAnsi="宋体" w:eastAsia="宋体" w:cs="宋体"/>
                <w:bCs/>
                <w:szCs w:val="21"/>
              </w:rPr>
            </w:pPr>
            <w:r>
              <w:rPr>
                <w:rFonts w:hint="eastAsia" w:ascii="宋体" w:hAnsi="宋体" w:eastAsia="宋体" w:cs="宋体"/>
                <w:bCs/>
                <w:szCs w:val="21"/>
              </w:rPr>
              <w:t>自学习功能控制</w:t>
            </w:r>
          </w:p>
          <w:p>
            <w:pPr>
              <w:spacing w:line="360" w:lineRule="auto"/>
              <w:ind w:left="993"/>
              <w:jc w:val="left"/>
              <w:outlineLvl w:val="0"/>
              <w:rPr>
                <w:rFonts w:ascii="宋体" w:hAnsi="宋体" w:eastAsia="宋体" w:cs="宋体"/>
                <w:bCs/>
                <w:szCs w:val="21"/>
              </w:rPr>
            </w:pPr>
            <w:r>
              <w:rPr>
                <w:rFonts w:hint="eastAsia" w:ascii="宋体" w:hAnsi="宋体" w:eastAsia="宋体" w:cs="宋体"/>
                <w:bCs/>
                <w:szCs w:val="21"/>
              </w:rPr>
              <w:t>加加速度控制/二阶导数增益</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关联动力源：液压源HPU/分油子站</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站点管理器：站点闭环控制</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标定输入通道</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调整回路控制参数</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PID,二阶导数的设定值</w:t>
            </w:r>
          </w:p>
          <w:p>
            <w:pPr>
              <w:spacing w:line="360" w:lineRule="auto"/>
              <w:ind w:left="840"/>
              <w:jc w:val="left"/>
              <w:outlineLvl w:val="0"/>
              <w:rPr>
                <w:rFonts w:ascii="宋体" w:hAnsi="宋体" w:eastAsia="宋体" w:cs="宋体"/>
                <w:bCs/>
                <w:szCs w:val="21"/>
              </w:rPr>
            </w:pPr>
            <w:r>
              <w:rPr>
                <w:rFonts w:hint="eastAsia" w:ascii="宋体" w:hAnsi="宋体" w:eastAsia="宋体" w:cs="宋体"/>
                <w:bCs/>
                <w:szCs w:val="21"/>
              </w:rPr>
              <w:t>设定伺服阀的阀偏</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函数发生器，提供多种标准的信号类型：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正弦波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方波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三角波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梯形波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随机波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地震波</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多功能示波器功能，最大提供8个示波器，显示信号的类型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时间历程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XY坐标图，滞回曲线</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频谱信号:FFT/PSD</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多功能数字表头，最大支持32个Meter，显示信号的类型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瞬时值</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极值</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检测器&amp;作动器，检测超限信息，设定动作，支持：</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测量值超限</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回路误差超限</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超限动作可不响应</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超限动作仅提示信息</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超限动作可超限回零</w:t>
            </w:r>
          </w:p>
          <w:p>
            <w:pPr>
              <w:spacing w:line="360" w:lineRule="auto"/>
              <w:ind w:left="1260"/>
              <w:jc w:val="left"/>
              <w:outlineLvl w:val="0"/>
              <w:rPr>
                <w:rFonts w:ascii="宋体" w:hAnsi="宋体" w:eastAsia="宋体" w:cs="宋体"/>
                <w:b/>
                <w:szCs w:val="21"/>
              </w:rPr>
            </w:pPr>
            <w:r>
              <w:rPr>
                <w:rFonts w:hint="eastAsia" w:ascii="宋体" w:hAnsi="宋体" w:eastAsia="宋体" w:cs="宋体"/>
                <w:bCs/>
                <w:szCs w:val="21"/>
              </w:rPr>
              <w:t>超限动作可超限切断动力源</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信号分析器：</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直接从项目管理程序中获取数据</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交互式编辑和分析时域和频域信号</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统计功能：均值、极值、最大最小值、均方根等数据文件的导入和输出</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自动显示结果</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查看时域信号</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编辑时域信号</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合并时域信号</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微分和积分</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探测和删除奇异值</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傅立叶变换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傅立叶逆变换</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功率谱线密度</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相关性分析</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简单的测试设计模块（选项模块：）可内嵌在程序中</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设计简单的测试过程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 xml:space="preserve">完成指令信号和数据采集的定义   </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支持蜂谷、极值等特征数据点的存储</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支待多种 数据格式 ， ASCII、MAT、Excel 等</w:t>
            </w:r>
          </w:p>
          <w:p>
            <w:pPr>
              <w:spacing w:line="360" w:lineRule="auto"/>
              <w:jc w:val="left"/>
              <w:outlineLvl w:val="0"/>
              <w:rPr>
                <w:rFonts w:ascii="宋体" w:hAnsi="宋体" w:eastAsia="宋体" w:cs="宋体"/>
                <w:bCs/>
                <w:szCs w:val="21"/>
              </w:rPr>
            </w:pPr>
            <w:r>
              <w:rPr>
                <w:rFonts w:hint="eastAsia" w:ascii="宋体" w:hAnsi="宋体" w:eastAsia="宋体" w:cs="宋体"/>
                <w:bCs/>
                <w:szCs w:val="21"/>
              </w:rPr>
              <w:t>高级的测试设计模块（选项模块））：</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可内嵌在RMCtools 软件中</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可设计复杂的测试 过程</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可设定指令信号类型和启停条件以及中断条件</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可设定数据存储的启停条件</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支持峰谷、极值等特征数据点的存储</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支持外部数据指令</w:t>
            </w:r>
          </w:p>
          <w:p>
            <w:pPr>
              <w:spacing w:line="360" w:lineRule="auto"/>
              <w:ind w:left="1260"/>
              <w:jc w:val="left"/>
              <w:outlineLvl w:val="0"/>
              <w:rPr>
                <w:rFonts w:ascii="宋体" w:hAnsi="宋体" w:eastAsia="宋体" w:cs="宋体"/>
                <w:bCs/>
                <w:szCs w:val="21"/>
              </w:rPr>
            </w:pPr>
            <w:r>
              <w:rPr>
                <w:rFonts w:hint="eastAsia" w:ascii="宋体" w:hAnsi="宋体" w:eastAsia="宋体" w:cs="宋体"/>
                <w:bCs/>
                <w:szCs w:val="21"/>
              </w:rPr>
              <w:t>支持多种数据格式 ， ASCII、MAT、Excel 等</w:t>
            </w:r>
          </w:p>
          <w:p>
            <w:pPr>
              <w:rPr>
                <w:rFonts w:ascii="宋体" w:hAnsi="宋体" w:eastAsia="宋体" w:cs="宋体"/>
                <w:b/>
                <w:bCs/>
                <w:szCs w:val="20"/>
              </w:rPr>
            </w:pPr>
            <w:r>
              <w:rPr>
                <w:rFonts w:hint="eastAsia" w:ascii="宋体" w:hAnsi="宋体" w:eastAsia="宋体" w:cs="宋体"/>
                <w:b/>
                <w:bCs/>
                <w:szCs w:val="20"/>
              </w:rPr>
              <w:t>五、基本设施及基建</w:t>
            </w:r>
          </w:p>
          <w:p>
            <w:pPr>
              <w:rPr>
                <w:rFonts w:ascii="宋体" w:hAnsi="宋体" w:eastAsia="宋体" w:cs="宋体"/>
                <w:szCs w:val="20"/>
              </w:rPr>
            </w:pPr>
            <w:r>
              <w:rPr>
                <w:rFonts w:hint="eastAsia" w:ascii="宋体" w:hAnsi="宋体" w:eastAsia="宋体" w:cs="宋体"/>
                <w:szCs w:val="20"/>
              </w:rPr>
              <w:t>5.1 整套试验装置四周配置防爆玻璃围挡，内部围挡，顶部配置可收缩防尘棚</w:t>
            </w:r>
          </w:p>
          <w:p>
            <w:pPr>
              <w:rPr>
                <w:rFonts w:ascii="宋体" w:hAnsi="宋体" w:eastAsia="宋体" w:cs="宋体"/>
                <w:szCs w:val="20"/>
              </w:rPr>
            </w:pPr>
            <w:r>
              <w:rPr>
                <w:rFonts w:hint="eastAsia" w:ascii="宋体" w:hAnsi="宋体" w:eastAsia="宋体" w:cs="宋体"/>
                <w:szCs w:val="20"/>
              </w:rPr>
              <w:t>5.2 配置一台2匹柜式空调</w:t>
            </w:r>
          </w:p>
          <w:p>
            <w:pPr>
              <w:rPr>
                <w:rFonts w:ascii="宋体" w:hAnsi="宋体" w:eastAsia="宋体" w:cs="宋体"/>
                <w:szCs w:val="20"/>
              </w:rPr>
            </w:pPr>
            <w:r>
              <w:rPr>
                <w:rFonts w:hint="eastAsia" w:ascii="宋体" w:hAnsi="宋体" w:eastAsia="宋体" w:cs="宋体"/>
                <w:szCs w:val="20"/>
              </w:rPr>
              <w:t>5.3 配置便捷的电路系统</w:t>
            </w:r>
          </w:p>
          <w:p>
            <w:pPr>
              <w:rPr>
                <w:rFonts w:ascii="宋体" w:hAnsi="宋体" w:eastAsia="宋体" w:cs="宋体"/>
                <w:szCs w:val="20"/>
              </w:rPr>
            </w:pPr>
            <w:r>
              <w:rPr>
                <w:rFonts w:hint="eastAsia" w:ascii="宋体" w:hAnsi="宋体" w:eastAsia="宋体" w:cs="宋体"/>
                <w:szCs w:val="20"/>
              </w:rPr>
              <w:t>5.4 配备高品质液压油，且不下于800L</w:t>
            </w:r>
          </w:p>
          <w:p>
            <w:pPr>
              <w:rPr>
                <w:rFonts w:ascii="宋体" w:hAnsi="宋体" w:eastAsia="宋体" w:cs="宋体"/>
                <w:szCs w:val="20"/>
              </w:rPr>
            </w:pPr>
            <w:r>
              <w:rPr>
                <w:rFonts w:hint="eastAsia" w:ascii="宋体" w:hAnsi="宋体" w:eastAsia="宋体" w:cs="宋体"/>
                <w:szCs w:val="20"/>
              </w:rPr>
              <w:t>5.5 配备标准试验工作台及配套椅子，数量满足仪器安置及实验员工作需求</w:t>
            </w:r>
          </w:p>
          <w:p>
            <w:pPr>
              <w:rPr>
                <w:rFonts w:ascii="宋体" w:hAnsi="宋体" w:eastAsia="宋体" w:cs="宋体"/>
                <w:szCs w:val="20"/>
              </w:rPr>
            </w:pPr>
            <w:r>
              <w:rPr>
                <w:rFonts w:hint="eastAsia" w:ascii="宋体" w:hAnsi="宋体" w:eastAsia="宋体" w:cs="宋体"/>
                <w:szCs w:val="20"/>
              </w:rPr>
              <w:t>5.6 试样存放货架2套</w:t>
            </w:r>
          </w:p>
          <w:p>
            <w:pPr>
              <w:rPr>
                <w:rFonts w:ascii="宋体" w:hAnsi="宋体" w:eastAsia="宋体" w:cs="宋体"/>
                <w:szCs w:val="20"/>
              </w:rPr>
            </w:pPr>
            <w:r>
              <w:rPr>
                <w:rFonts w:hint="eastAsia" w:ascii="宋体" w:hAnsi="宋体" w:eastAsia="宋体" w:cs="宋体"/>
                <w:szCs w:val="20"/>
              </w:rPr>
              <w:t>5.7 小型吊装机械1台</w:t>
            </w:r>
          </w:p>
          <w:p>
            <w:pPr>
              <w:rPr>
                <w:rFonts w:ascii="宋体" w:hAnsi="宋体" w:eastAsia="宋体" w:cs="宋体"/>
                <w:szCs w:val="20"/>
              </w:rPr>
            </w:pPr>
            <w:r>
              <w:rPr>
                <w:rFonts w:hint="eastAsia" w:ascii="宋体" w:hAnsi="宋体" w:eastAsia="宋体" w:cs="宋体"/>
                <w:szCs w:val="20"/>
              </w:rPr>
              <w:t>5.8 全套高性能信息采集电脑，数量满足试验需求</w:t>
            </w:r>
          </w:p>
          <w:p>
            <w:pPr>
              <w:rPr>
                <w:rFonts w:ascii="宋体" w:hAnsi="宋体" w:eastAsia="宋体" w:cs="宋体"/>
                <w:szCs w:val="20"/>
              </w:rPr>
            </w:pPr>
            <w:r>
              <w:rPr>
                <w:rFonts w:hint="eastAsia" w:ascii="宋体" w:hAnsi="宋体" w:eastAsia="宋体" w:cs="宋体"/>
                <w:szCs w:val="20"/>
              </w:rPr>
              <w:t>5.9 专用工具箱一套</w:t>
            </w:r>
          </w:p>
          <w:p>
            <w:pPr>
              <w:rPr>
                <w:rFonts w:ascii="宋体" w:hAnsi="宋体" w:eastAsia="宋体" w:cs="宋体"/>
                <w:szCs w:val="20"/>
              </w:rPr>
            </w:pPr>
            <w:r>
              <w:rPr>
                <w:rFonts w:hint="eastAsia" w:ascii="宋体" w:hAnsi="宋体" w:eastAsia="宋体" w:cs="宋体"/>
                <w:szCs w:val="20"/>
              </w:rPr>
              <w:t>5.10 配备吸尘器</w:t>
            </w:r>
          </w:p>
          <w:p>
            <w:pPr>
              <w:rPr>
                <w:rFonts w:ascii="宋体" w:hAnsi="宋体" w:eastAsia="宋体" w:cs="宋体"/>
                <w:szCs w:val="20"/>
              </w:rPr>
            </w:pPr>
            <w:r>
              <w:rPr>
                <w:rFonts w:hint="eastAsia" w:ascii="宋体" w:hAnsi="宋体" w:eastAsia="宋体" w:cs="宋体"/>
                <w:szCs w:val="20"/>
              </w:rPr>
              <w:t>5.11 应包含所有安装、基建耗材、施工、劳务等费用（包括后期地面二次铺装）、吊装费用</w:t>
            </w:r>
          </w:p>
          <w:p>
            <w:pPr>
              <w:rPr>
                <w:rFonts w:ascii="宋体" w:hAnsi="宋体" w:eastAsia="宋体" w:cs="宋体"/>
                <w:szCs w:val="20"/>
              </w:rPr>
            </w:pPr>
            <w:r>
              <w:rPr>
                <w:rFonts w:hint="eastAsia" w:ascii="宋体" w:hAnsi="宋体" w:eastAsia="宋体" w:cs="宋体"/>
                <w:szCs w:val="20"/>
              </w:rPr>
              <w:t>5.12 仪器预留水力压裂模块接口</w:t>
            </w:r>
          </w:p>
          <w:p>
            <w:pPr>
              <w:rPr>
                <w:rFonts w:ascii="宋体" w:hAnsi="宋体" w:eastAsia="宋体" w:cs="宋体"/>
                <w:szCs w:val="20"/>
              </w:rPr>
            </w:pPr>
          </w:p>
        </w:tc>
        <w:tc>
          <w:tcPr>
            <w:tcW w:w="422" w:type="dxa"/>
            <w:vAlign w:val="center"/>
          </w:tcPr>
          <w:p>
            <w:pPr>
              <w:rPr>
                <w:szCs w:val="20"/>
              </w:rPr>
            </w:pPr>
            <w:r>
              <w:rPr>
                <w:rFonts w:hint="eastAsia"/>
                <w:szCs w:val="20"/>
              </w:rPr>
              <w:t>套</w:t>
            </w:r>
          </w:p>
        </w:tc>
        <w:tc>
          <w:tcPr>
            <w:tcW w:w="422" w:type="dxa"/>
            <w:vAlign w:val="center"/>
          </w:tcPr>
          <w:p>
            <w:pPr>
              <w:rPr>
                <w:szCs w:val="20"/>
              </w:rPr>
            </w:pPr>
            <w:r>
              <w:rPr>
                <w:rFonts w:hint="eastAsia"/>
                <w:szCs w:val="20"/>
              </w:rPr>
              <w:t>1</w:t>
            </w:r>
          </w:p>
        </w:tc>
      </w:tr>
    </w:tbl>
    <w:p>
      <w:pPr>
        <w:pStyle w:val="5"/>
        <w:numPr>
          <w:ilvl w:val="0"/>
          <w:numId w:val="0"/>
        </w:numPr>
        <w:spacing w:line="240" w:lineRule="auto"/>
        <w:jc w:val="both"/>
        <w:rPr>
          <w:rFonts w:hint="eastAsia" w:ascii="Times New Roman" w:hAnsi="Times New Roman" w:cs="Arial"/>
          <w:sz w:val="24"/>
          <w:szCs w:val="24"/>
          <w:lang w:val="en-US" w:eastAsia="zh-CN"/>
        </w:rPr>
      </w:pPr>
    </w:p>
    <w:p>
      <w:pPr>
        <w:pStyle w:val="5"/>
        <w:numPr>
          <w:ilvl w:val="0"/>
          <w:numId w:val="0"/>
        </w:numPr>
        <w:spacing w:line="240" w:lineRule="auto"/>
        <w:jc w:val="both"/>
        <w:rPr>
          <w:rFonts w:hint="eastAsia" w:ascii="Times New Roman" w:hAnsi="Times New Roman" w:cs="Arial"/>
          <w:sz w:val="24"/>
          <w:szCs w:val="24"/>
          <w:lang w:val="en-US" w:eastAsia="zh-CN"/>
        </w:rPr>
      </w:pPr>
      <w:r>
        <w:rPr>
          <w:rFonts w:hint="eastAsia" w:ascii="Times New Roman" w:hAnsi="Times New Roman" w:cs="Arial"/>
          <w:sz w:val="24"/>
          <w:szCs w:val="24"/>
          <w:lang w:val="en-US" w:eastAsia="zh-CN"/>
        </w:rPr>
        <w:t>包别3：</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933"/>
        <w:gridCol w:w="6340"/>
        <w:gridCol w:w="677"/>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jc w:val="center"/>
              <w:rPr>
                <w:rFonts w:hint="eastAsia" w:eastAsiaTheme="minorEastAsia"/>
                <w:szCs w:val="20"/>
                <w:vertAlign w:val="baseline"/>
                <w:lang w:val="en-US" w:eastAsia="zh-CN"/>
              </w:rPr>
            </w:pPr>
            <w:r>
              <w:rPr>
                <w:rFonts w:hint="eastAsia"/>
                <w:szCs w:val="20"/>
                <w:vertAlign w:val="baseline"/>
                <w:lang w:val="en-US" w:eastAsia="zh-CN"/>
              </w:rPr>
              <w:t>序号</w:t>
            </w:r>
          </w:p>
        </w:tc>
        <w:tc>
          <w:tcPr>
            <w:tcW w:w="933" w:type="dxa"/>
            <w:vAlign w:val="center"/>
          </w:tcPr>
          <w:p>
            <w:pPr>
              <w:jc w:val="center"/>
              <w:rPr>
                <w:rFonts w:hint="eastAsia" w:eastAsiaTheme="minorEastAsia"/>
                <w:szCs w:val="20"/>
                <w:vertAlign w:val="baseline"/>
                <w:lang w:val="en-US" w:eastAsia="zh-CN"/>
              </w:rPr>
            </w:pPr>
            <w:r>
              <w:rPr>
                <w:rFonts w:hint="eastAsia"/>
                <w:szCs w:val="20"/>
                <w:vertAlign w:val="baseline"/>
                <w:lang w:val="en-US" w:eastAsia="zh-CN"/>
              </w:rPr>
              <w:t>名称</w:t>
            </w:r>
          </w:p>
        </w:tc>
        <w:tc>
          <w:tcPr>
            <w:tcW w:w="6340" w:type="dxa"/>
            <w:vAlign w:val="center"/>
          </w:tcPr>
          <w:p>
            <w:pPr>
              <w:jc w:val="center"/>
              <w:rPr>
                <w:rFonts w:hint="eastAsia" w:eastAsiaTheme="minorEastAsia"/>
                <w:szCs w:val="20"/>
                <w:vertAlign w:val="baseline"/>
                <w:lang w:val="en-US" w:eastAsia="zh-CN"/>
              </w:rPr>
            </w:pPr>
            <w:r>
              <w:rPr>
                <w:rFonts w:hint="eastAsia"/>
                <w:szCs w:val="20"/>
                <w:vertAlign w:val="baseline"/>
                <w:lang w:val="en-US" w:eastAsia="zh-CN"/>
              </w:rPr>
              <w:t>参数</w:t>
            </w:r>
          </w:p>
        </w:tc>
        <w:tc>
          <w:tcPr>
            <w:tcW w:w="677" w:type="dxa"/>
            <w:vAlign w:val="center"/>
          </w:tcPr>
          <w:p>
            <w:pPr>
              <w:jc w:val="center"/>
              <w:rPr>
                <w:rFonts w:hint="eastAsia" w:eastAsiaTheme="minorEastAsia"/>
                <w:szCs w:val="20"/>
                <w:vertAlign w:val="baseline"/>
                <w:lang w:val="en-US" w:eastAsia="zh-CN"/>
              </w:rPr>
            </w:pPr>
            <w:r>
              <w:rPr>
                <w:rFonts w:hint="eastAsia"/>
                <w:szCs w:val="20"/>
                <w:vertAlign w:val="baseline"/>
                <w:lang w:val="en-US" w:eastAsia="zh-CN"/>
              </w:rPr>
              <w:t>单位</w:t>
            </w:r>
          </w:p>
        </w:tc>
        <w:tc>
          <w:tcPr>
            <w:tcW w:w="688" w:type="dxa"/>
            <w:vAlign w:val="center"/>
          </w:tcPr>
          <w:p>
            <w:pPr>
              <w:jc w:val="center"/>
              <w:rPr>
                <w:rFonts w:hint="eastAsia" w:eastAsiaTheme="minorEastAsia"/>
                <w:szCs w:val="20"/>
                <w:vertAlign w:val="baseline"/>
                <w:lang w:val="en-US" w:eastAsia="zh-CN"/>
              </w:rPr>
            </w:pPr>
            <w:r>
              <w:rPr>
                <w:rFonts w:hint="eastAsia"/>
                <w:szCs w:val="20"/>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rPr>
                <w:rFonts w:hint="eastAsia" w:eastAsiaTheme="minorEastAsia"/>
                <w:szCs w:val="20"/>
                <w:vertAlign w:val="baseline"/>
                <w:lang w:val="en-US" w:eastAsia="zh-CN"/>
              </w:rPr>
            </w:pPr>
            <w:r>
              <w:rPr>
                <w:rFonts w:hint="eastAsia"/>
                <w:szCs w:val="20"/>
                <w:vertAlign w:val="baseline"/>
                <w:lang w:val="en-US" w:eastAsia="zh-CN"/>
              </w:rPr>
              <w:t>1</w:t>
            </w:r>
          </w:p>
        </w:tc>
        <w:tc>
          <w:tcPr>
            <w:tcW w:w="933" w:type="dxa"/>
            <w:vAlign w:val="center"/>
          </w:tcPr>
          <w:p>
            <w:pPr>
              <w:rPr>
                <w:szCs w:val="20"/>
                <w:vertAlign w:val="baseline"/>
              </w:rPr>
            </w:pPr>
            <w:r>
              <w:rPr>
                <w:rFonts w:hint="eastAsia"/>
                <w:szCs w:val="20"/>
                <w:vertAlign w:val="baseline"/>
              </w:rPr>
              <w:t>分子动力学研究平台</w:t>
            </w:r>
          </w:p>
        </w:tc>
        <w:tc>
          <w:tcPr>
            <w:tcW w:w="6340" w:type="dxa"/>
            <w:vAlign w:val="center"/>
          </w:tcPr>
          <w:p>
            <w:pPr>
              <w:rPr>
                <w:szCs w:val="20"/>
              </w:rPr>
            </w:pPr>
            <w:r>
              <w:rPr>
                <w:rFonts w:hint="eastAsia"/>
                <w:szCs w:val="20"/>
              </w:rPr>
              <w:t>软件包括六个模块，具体如下：</w:t>
            </w:r>
          </w:p>
          <w:p>
            <w:pPr>
              <w:rPr>
                <w:szCs w:val="20"/>
              </w:rPr>
            </w:pPr>
            <w:r>
              <w:rPr>
                <w:rFonts w:hint="eastAsia"/>
                <w:szCs w:val="20"/>
              </w:rPr>
              <w:t>1）</w:t>
            </w:r>
            <w:r>
              <w:rPr>
                <w:rFonts w:hint="eastAsia"/>
                <w:szCs w:val="20"/>
              </w:rPr>
              <w:sym w:font="Wingdings 2" w:char="F0EA"/>
            </w:r>
            <w:r>
              <w:rPr>
                <w:rFonts w:hint="eastAsia"/>
                <w:szCs w:val="20"/>
              </w:rPr>
              <w:t>分子动力学研究平台基本界面：是材料模拟软件的核心模块，用来搭建分子、纳米、晶体、表界面等材料模型，可以构建样式各异的纳米团簇、介观尺度的结构模型，提供分子叠合以及分子库枚举等所需的所有工具，可以操作、观察及分析计算前后的结构模型，处理多种图型、表格或文本等形式的数据，提供软件的基本环境和分析工具以支持软件的其它产品。</w:t>
            </w:r>
          </w:p>
          <w:p>
            <w:pPr>
              <w:rPr>
                <w:szCs w:val="20"/>
              </w:rPr>
            </w:pPr>
            <w:r>
              <w:rPr>
                <w:rFonts w:hint="eastAsia"/>
                <w:szCs w:val="20"/>
              </w:rPr>
              <w:t>2）</w:t>
            </w:r>
            <w:r>
              <w:rPr>
                <w:rFonts w:hint="eastAsia"/>
                <w:szCs w:val="20"/>
              </w:rPr>
              <w:sym w:font="Wingdings 2" w:char="F0EA"/>
            </w:r>
            <w:r>
              <w:rPr>
                <w:rFonts w:hint="eastAsia"/>
                <w:szCs w:val="20"/>
              </w:rPr>
              <w:t>分子动力学研究平台量子力学工具包：使用平面波赝势的方法的先进的量子力学程序，广泛应用于陶瓷、半导体以及金属等多种材料研究领域。可研究的对象和内容包括：晶体材料的性质（半导体、陶瓷、金属、分子筛等）、表面和表面重构的性质、表面化学、电子结构（能带及态密度、声子谱）、晶体的光学性质、点缺陷性质（如空位、间隙或取代掺杂）、扩展缺陷（晶粒间界、位错）、成分无序等。方便的自旋极化设置，还可用于计算磁性体系。可显示体系的三维电荷密度及波函数、模拟STM图像、固体材料的红外光谱、拉曼光谱、电子能量损失谱、X射线吸收近边结构、能量损失近边结构、计算电荷差分密度等，可帮助解读谱图与表征结构。</w:t>
            </w:r>
          </w:p>
          <w:p>
            <w:pPr>
              <w:rPr>
                <w:szCs w:val="20"/>
              </w:rPr>
            </w:pPr>
            <w:r>
              <w:rPr>
                <w:rFonts w:hint="eastAsia"/>
                <w:szCs w:val="20"/>
              </w:rPr>
              <w:t>3）</w:t>
            </w:r>
            <w:r>
              <w:rPr>
                <w:rFonts w:hint="eastAsia"/>
                <w:szCs w:val="20"/>
              </w:rPr>
              <w:sym w:font="Wingdings 2" w:char="F0EA"/>
            </w:r>
            <w:r>
              <w:rPr>
                <w:rFonts w:hint="eastAsia"/>
                <w:szCs w:val="20"/>
              </w:rPr>
              <w:t>分子动力学研究平台分子力学动力学工具包：要求采用先进的经典分子力学方法，可以对分子或周期性体系进行快速的能量计算及可靠的几何优化以及动力学模拟，可以实现模拟淬火、退火等功能。可实现基于多种力场（包括高精度的COMPASSII力场）的无定形结构模型搭建，分子动力学模拟以及分子稳定构象的搜索。包含多种电荷分配算法。支持二维体系的能量计算，可以对固态体系进行研究，如晶体、非晶和溶剂化体系，一整套的分析工具可用来对诸如偶极相关等复杂性质进行分析；同时还可以分析.arc和.his 轨迹文件，能够得到各类结构参数、热力学性质、力学性质、动力学量以及振动强度。</w:t>
            </w:r>
          </w:p>
          <w:p>
            <w:pPr>
              <w:rPr>
                <w:szCs w:val="20"/>
              </w:rPr>
            </w:pPr>
            <w:r>
              <w:rPr>
                <w:rFonts w:hint="eastAsia"/>
                <w:szCs w:val="20"/>
              </w:rPr>
              <w:t>4）</w:t>
            </w:r>
            <w:r>
              <w:rPr>
                <w:rFonts w:hint="eastAsia"/>
                <w:szCs w:val="20"/>
              </w:rPr>
              <w:sym w:font="Wingdings 2" w:char="F0EA"/>
            </w:r>
            <w:r>
              <w:rPr>
                <w:rFonts w:hint="eastAsia"/>
                <w:szCs w:val="20"/>
              </w:rPr>
              <w:t>分子动力学研究平台分子吸附模拟工具包：适用于对分子在固体表面、孔道结构内的吸附进行模拟，可获取吸附质的吸附形态、吸附位点、吸附能、吸附等温线，考察吸附剂的选择性。</w:t>
            </w:r>
          </w:p>
          <w:p>
            <w:pPr>
              <w:rPr>
                <w:szCs w:val="20"/>
              </w:rPr>
            </w:pPr>
            <w:r>
              <w:rPr>
                <w:rFonts w:hint="eastAsia"/>
                <w:szCs w:val="20"/>
              </w:rPr>
              <w:t>5）分子动力学研究平台晶体结构、形貌预测和分析工具包：适用于预测分子晶体的晶体结构以及晶粒形貌，可利用Motif工具分析晶体结构并与剑桥结构数据库已有结构数据进行比较。可以帮助确定晶体的结构，解析衍射数据并用于验证计算和实验结果。模拟的谱图可以直接与实验数据比较，并能根据结构的改变进行即时的更新。</w:t>
            </w:r>
          </w:p>
          <w:p>
            <w:pPr>
              <w:rPr>
                <w:szCs w:val="20"/>
              </w:rPr>
            </w:pPr>
            <w:r>
              <w:rPr>
                <w:rFonts w:hint="eastAsia"/>
                <w:szCs w:val="20"/>
              </w:rPr>
              <w:t>6）分子动力学研究平台粉末衍射数据处理工具包：可基于实验X射线粉末衍射、同步辐射X射线、中子衍射以及电子衍射数据，晶修材料的晶体结构，分析材料的结晶度以及各种组份的比例。可以在材料密度、化学式、晶胞参数、空间群确认的基础上，得到原子各种可能的堆积排列方式，并依据其衍射图谱与实测衍射图谱的差异(剩余方差因子)，对各种堆积方式作出取舍。</w:t>
            </w:r>
          </w:p>
          <w:p>
            <w:pPr>
              <w:rPr>
                <w:szCs w:val="20"/>
              </w:rPr>
            </w:pPr>
          </w:p>
          <w:p>
            <w:pPr>
              <w:rPr>
                <w:szCs w:val="20"/>
              </w:rPr>
            </w:pPr>
            <w:r>
              <w:rPr>
                <w:rFonts w:hint="eastAsia"/>
                <w:szCs w:val="20"/>
              </w:rPr>
              <w:t>图形工作站硬件配置具体如下：</w:t>
            </w:r>
          </w:p>
          <w:p>
            <w:pPr>
              <w:pStyle w:val="72"/>
              <w:numPr>
                <w:ilvl w:val="0"/>
                <w:numId w:val="3"/>
              </w:numPr>
              <w:ind w:firstLineChars="0"/>
              <w:rPr>
                <w:szCs w:val="20"/>
              </w:rPr>
            </w:pPr>
            <w:r>
              <w:rPr>
                <w:rFonts w:hint="eastAsia"/>
                <w:szCs w:val="20"/>
              </w:rPr>
              <w:t>处理器：2颗英特尔可扩展处理，单颗核心数≥</w:t>
            </w:r>
            <w:r>
              <w:rPr>
                <w:szCs w:val="20"/>
              </w:rPr>
              <w:t>16，线程数</w:t>
            </w:r>
            <w:r>
              <w:rPr>
                <w:rFonts w:hint="eastAsia"/>
                <w:szCs w:val="20"/>
              </w:rPr>
              <w:t>≥</w:t>
            </w:r>
            <w:r>
              <w:rPr>
                <w:szCs w:val="20"/>
              </w:rPr>
              <w:t>32；主频</w:t>
            </w:r>
            <w:r>
              <w:rPr>
                <w:rFonts w:hint="eastAsia"/>
                <w:szCs w:val="20"/>
              </w:rPr>
              <w:t>≥</w:t>
            </w:r>
            <w:r>
              <w:rPr>
                <w:szCs w:val="20"/>
              </w:rPr>
              <w:t>3.0，全核满载</w:t>
            </w:r>
            <w:r>
              <w:rPr>
                <w:rFonts w:hint="eastAsia"/>
                <w:szCs w:val="20"/>
              </w:rPr>
              <w:t>≥</w:t>
            </w:r>
            <w:r>
              <w:rPr>
                <w:szCs w:val="20"/>
              </w:rPr>
              <w:t>4.0；</w:t>
            </w:r>
          </w:p>
          <w:p>
            <w:pPr>
              <w:pStyle w:val="72"/>
              <w:numPr>
                <w:ilvl w:val="0"/>
                <w:numId w:val="3"/>
              </w:numPr>
              <w:ind w:firstLineChars="0"/>
              <w:rPr>
                <w:szCs w:val="20"/>
              </w:rPr>
            </w:pPr>
            <w:r>
              <w:rPr>
                <w:rFonts w:hint="eastAsia"/>
                <w:szCs w:val="20"/>
              </w:rPr>
              <w:t>显卡：1颗Nvidia显卡，</w:t>
            </w:r>
            <w:r>
              <w:rPr>
                <w:szCs w:val="20"/>
              </w:rPr>
              <w:t>显存</w:t>
            </w:r>
            <w:r>
              <w:rPr>
                <w:rFonts w:hint="eastAsia"/>
                <w:szCs w:val="20"/>
              </w:rPr>
              <w:t>≥24GB</w:t>
            </w:r>
          </w:p>
          <w:p>
            <w:pPr>
              <w:pStyle w:val="72"/>
              <w:numPr>
                <w:ilvl w:val="0"/>
                <w:numId w:val="3"/>
              </w:numPr>
              <w:ind w:firstLineChars="0"/>
              <w:rPr>
                <w:szCs w:val="20"/>
              </w:rPr>
            </w:pPr>
            <w:r>
              <w:rPr>
                <w:rFonts w:hint="eastAsia"/>
                <w:szCs w:val="20"/>
              </w:rPr>
              <w:t>内存：要求</w:t>
            </w:r>
            <w:r>
              <w:rPr>
                <w:szCs w:val="20"/>
              </w:rPr>
              <w:t>配置128GB（16G*8）DDR4内存；频率</w:t>
            </w:r>
            <w:r>
              <w:rPr>
                <w:rFonts w:hint="eastAsia"/>
                <w:szCs w:val="20"/>
              </w:rPr>
              <w:t>≥</w:t>
            </w:r>
            <w:r>
              <w:rPr>
                <w:szCs w:val="20"/>
              </w:rPr>
              <w:t>2666；最大可扩展内存</w:t>
            </w:r>
            <w:r>
              <w:rPr>
                <w:rFonts w:hint="eastAsia"/>
                <w:szCs w:val="20"/>
              </w:rPr>
              <w:t>≥</w:t>
            </w:r>
            <w:r>
              <w:rPr>
                <w:szCs w:val="20"/>
              </w:rPr>
              <w:t>4TB；</w:t>
            </w:r>
            <w:r>
              <w:rPr>
                <w:rFonts w:hint="eastAsia"/>
                <w:szCs w:val="20"/>
              </w:rPr>
              <w:t>≥</w:t>
            </w:r>
            <w:r>
              <w:rPr>
                <w:szCs w:val="20"/>
              </w:rPr>
              <w:t>16个DIMM内存插槽；</w:t>
            </w:r>
          </w:p>
          <w:p>
            <w:pPr>
              <w:pStyle w:val="72"/>
              <w:numPr>
                <w:ilvl w:val="0"/>
                <w:numId w:val="3"/>
              </w:numPr>
              <w:ind w:firstLineChars="0"/>
              <w:rPr>
                <w:szCs w:val="20"/>
              </w:rPr>
            </w:pPr>
            <w:r>
              <w:rPr>
                <w:rFonts w:hint="eastAsia"/>
                <w:szCs w:val="20"/>
              </w:rPr>
              <w:t>固态硬盘：</w:t>
            </w:r>
            <w:r>
              <w:rPr>
                <w:szCs w:val="20"/>
              </w:rPr>
              <w:t>配置1块</w:t>
            </w:r>
            <w:r>
              <w:rPr>
                <w:rFonts w:hint="eastAsia"/>
                <w:szCs w:val="20"/>
              </w:rPr>
              <w:t>5</w:t>
            </w:r>
            <w:r>
              <w:rPr>
                <w:szCs w:val="20"/>
              </w:rPr>
              <w:t>12G固态硬盘。服务器内置硬盘扩展数量</w:t>
            </w:r>
            <w:r>
              <w:rPr>
                <w:rFonts w:hint="eastAsia"/>
                <w:szCs w:val="20"/>
              </w:rPr>
              <w:t>≥</w:t>
            </w:r>
            <w:r>
              <w:rPr>
                <w:szCs w:val="20"/>
              </w:rPr>
              <w:t>6个SFF SAS/SATA/SSD热插拔硬盘口；</w:t>
            </w:r>
          </w:p>
          <w:p>
            <w:pPr>
              <w:pStyle w:val="72"/>
              <w:numPr>
                <w:ilvl w:val="0"/>
                <w:numId w:val="3"/>
              </w:numPr>
              <w:ind w:firstLineChars="0"/>
              <w:rPr>
                <w:szCs w:val="20"/>
              </w:rPr>
            </w:pPr>
            <w:r>
              <w:rPr>
                <w:rFonts w:hint="eastAsia"/>
                <w:szCs w:val="20"/>
              </w:rPr>
              <w:t>机械硬盘：配置1块3.5"4TB 7200rpm SATA硬盘；</w:t>
            </w:r>
          </w:p>
          <w:p>
            <w:pPr>
              <w:pStyle w:val="72"/>
              <w:numPr>
                <w:ilvl w:val="0"/>
                <w:numId w:val="3"/>
              </w:numPr>
              <w:ind w:firstLineChars="0"/>
              <w:rPr>
                <w:szCs w:val="20"/>
              </w:rPr>
            </w:pPr>
            <w:r>
              <w:rPr>
                <w:szCs w:val="20"/>
              </w:rPr>
              <w:t>芯片组：Intel系列服务器专用芯片组；</w:t>
            </w:r>
          </w:p>
          <w:p>
            <w:pPr>
              <w:pStyle w:val="72"/>
              <w:numPr>
                <w:ilvl w:val="0"/>
                <w:numId w:val="3"/>
              </w:numPr>
              <w:ind w:firstLineChars="0"/>
              <w:rPr>
                <w:szCs w:val="20"/>
              </w:rPr>
            </w:pPr>
            <w:r>
              <w:rPr>
                <w:szCs w:val="20"/>
              </w:rPr>
              <w:t>电源：</w:t>
            </w:r>
            <w:r>
              <w:rPr>
                <w:rFonts w:hint="eastAsia"/>
                <w:szCs w:val="20"/>
              </w:rPr>
              <w:t>≥</w:t>
            </w:r>
            <w:r>
              <w:rPr>
                <w:szCs w:val="20"/>
              </w:rPr>
              <w:t>1300W；</w:t>
            </w:r>
          </w:p>
          <w:p>
            <w:pPr>
              <w:numPr>
                <w:ilvl w:val="0"/>
                <w:numId w:val="0"/>
              </w:numPr>
              <w:ind w:leftChars="0"/>
              <w:rPr>
                <w:szCs w:val="20"/>
                <w:vertAlign w:val="baseline"/>
              </w:rPr>
            </w:pPr>
            <w:r>
              <w:rPr>
                <w:rFonts w:hint="eastAsia"/>
                <w:szCs w:val="20"/>
              </w:rPr>
              <w:t>配套设备：27英寸专业显示器、鼠标、键盘。</w:t>
            </w:r>
          </w:p>
        </w:tc>
        <w:tc>
          <w:tcPr>
            <w:tcW w:w="677" w:type="dxa"/>
            <w:vAlign w:val="center"/>
          </w:tcPr>
          <w:p>
            <w:pPr>
              <w:rPr>
                <w:rFonts w:hint="eastAsia" w:eastAsiaTheme="minorEastAsia"/>
                <w:szCs w:val="20"/>
                <w:vertAlign w:val="baseline"/>
                <w:lang w:val="en-US" w:eastAsia="zh-CN"/>
              </w:rPr>
            </w:pPr>
            <w:r>
              <w:rPr>
                <w:rFonts w:hint="eastAsia"/>
                <w:szCs w:val="20"/>
                <w:vertAlign w:val="baseline"/>
                <w:lang w:val="en-US" w:eastAsia="zh-CN"/>
              </w:rPr>
              <w:t>套</w:t>
            </w:r>
          </w:p>
        </w:tc>
        <w:tc>
          <w:tcPr>
            <w:tcW w:w="688" w:type="dxa"/>
            <w:vAlign w:val="center"/>
          </w:tcPr>
          <w:p>
            <w:pPr>
              <w:rPr>
                <w:rFonts w:hint="eastAsia" w:eastAsiaTheme="minorEastAsia"/>
                <w:szCs w:val="20"/>
                <w:vertAlign w:val="baseline"/>
                <w:lang w:val="en-US" w:eastAsia="zh-CN"/>
              </w:rPr>
            </w:pPr>
            <w:r>
              <w:rPr>
                <w:rFonts w:hint="eastAsia"/>
                <w:szCs w:val="20"/>
                <w:vertAlign w:val="baseline"/>
                <w:lang w:val="en-US" w:eastAsia="zh-CN"/>
              </w:rPr>
              <w:t>1</w:t>
            </w:r>
          </w:p>
        </w:tc>
      </w:tr>
    </w:tbl>
    <w:p>
      <w:pPr>
        <w:spacing w:line="360" w:lineRule="auto"/>
        <w:jc w:val="center"/>
        <w:outlineLvl w:val="1"/>
        <w:rPr>
          <w:rFonts w:ascii="Arial" w:hAnsi="Arial" w:cs="Arial"/>
          <w:b/>
          <w:sz w:val="28"/>
        </w:rPr>
      </w:pPr>
      <w:r>
        <w:rPr>
          <w:rFonts w:hint="eastAsia" w:ascii="Arial" w:hAnsi="Arial" w:cs="Arial"/>
          <w:b/>
          <w:sz w:val="28"/>
        </w:rPr>
        <w:br w:type="page"/>
      </w:r>
      <w:r>
        <w:rPr>
          <w:rFonts w:hint="eastAsia" w:ascii="Arial" w:hAnsi="Arial" w:cs="Arial"/>
          <w:b/>
          <w:sz w:val="28"/>
        </w:rPr>
        <w:t>第四章</w:t>
      </w:r>
      <w:r>
        <w:rPr>
          <w:rFonts w:ascii="Arial" w:hAnsi="Arial" w:cs="Arial"/>
          <w:b/>
          <w:sz w:val="28"/>
        </w:rPr>
        <w:t xml:space="preserve">  </w:t>
      </w:r>
      <w:r>
        <w:rPr>
          <w:rFonts w:hint="eastAsia" w:ascii="Arial" w:hAnsi="Arial" w:cs="Arial"/>
          <w:b/>
          <w:sz w:val="28"/>
        </w:rPr>
        <w:t>评标方法和标准</w:t>
      </w:r>
      <w:bookmarkEnd w:id="26"/>
    </w:p>
    <w:p>
      <w:pPr>
        <w:pStyle w:val="2"/>
        <w:jc w:val="center"/>
        <w:rPr>
          <w:rFonts w:hint="eastAsia" w:ascii="华文中宋" w:hAnsi="华文中宋" w:eastAsia="华文中宋" w:cs="华文中宋"/>
          <w:b/>
          <w:bCs/>
          <w:kern w:val="44"/>
          <w:sz w:val="28"/>
          <w:szCs w:val="28"/>
          <w:lang w:val="en-US" w:eastAsia="zh-CN"/>
        </w:rPr>
      </w:pPr>
      <w:r>
        <w:rPr>
          <w:rFonts w:hint="eastAsia" w:ascii="华文中宋" w:hAnsi="华文中宋" w:eastAsia="华文中宋" w:cs="华文中宋"/>
          <w:sz w:val="28"/>
          <w:szCs w:val="28"/>
          <w:lang w:val="en-US" w:eastAsia="zh-CN"/>
        </w:rPr>
        <w:t>（综合评分法）</w:t>
      </w:r>
    </w:p>
    <w:p>
      <w:pPr>
        <w:spacing w:line="400" w:lineRule="exact"/>
        <w:ind w:firstLine="437"/>
        <w:outlineLvl w:val="2"/>
        <w:rPr>
          <w:rFonts w:ascii="Arial" w:hAnsi="Arial" w:cs="Arial"/>
          <w:b/>
          <w:sz w:val="24"/>
        </w:rPr>
      </w:pPr>
      <w:r>
        <w:rPr>
          <w:rFonts w:hint="eastAsia" w:ascii="Arial" w:hAnsi="Arial" w:cs="Arial"/>
          <w:b/>
          <w:sz w:val="24"/>
        </w:rPr>
        <w:t>一、总则</w:t>
      </w:r>
    </w:p>
    <w:p>
      <w:pPr>
        <w:spacing w:line="400" w:lineRule="exact"/>
        <w:ind w:firstLine="435"/>
        <w:rPr>
          <w:rFonts w:ascii="Arial" w:hAnsi="Arial" w:cs="Arial"/>
          <w:sz w:val="24"/>
        </w:rPr>
      </w:pPr>
      <w:r>
        <w:rPr>
          <w:rFonts w:hint="eastAsia" w:ascii="Arial" w:hAnsi="Arial" w:cs="Arial"/>
          <w:sz w:val="24"/>
        </w:rPr>
        <w:t>本项目将按照招标文件第二章</w:t>
      </w:r>
      <w:r>
        <w:rPr>
          <w:rFonts w:ascii="Arial" w:hAnsi="Arial" w:cs="Arial"/>
          <w:sz w:val="24"/>
        </w:rPr>
        <w:t xml:space="preserve"> </w:t>
      </w:r>
      <w:r>
        <w:rPr>
          <w:rFonts w:hint="eastAsia" w:ascii="Arial" w:hAnsi="Arial" w:cs="Arial"/>
          <w:sz w:val="24"/>
        </w:rPr>
        <w:t>投标人须知的相关要求及本章的规定评标。</w:t>
      </w:r>
    </w:p>
    <w:p>
      <w:pPr>
        <w:spacing w:line="400" w:lineRule="exact"/>
        <w:ind w:firstLine="437"/>
        <w:outlineLvl w:val="2"/>
        <w:rPr>
          <w:rFonts w:ascii="Arial" w:hAnsi="Arial" w:cs="Arial"/>
          <w:b/>
          <w:sz w:val="24"/>
        </w:rPr>
      </w:pPr>
      <w:r>
        <w:rPr>
          <w:rFonts w:hint="eastAsia" w:ascii="Arial" w:hAnsi="Arial" w:cs="Arial"/>
          <w:b/>
          <w:sz w:val="24"/>
        </w:rPr>
        <w:t>二、评标方法</w:t>
      </w:r>
    </w:p>
    <w:p>
      <w:pPr>
        <w:spacing w:line="400" w:lineRule="exact"/>
        <w:ind w:firstLine="435"/>
        <w:rPr>
          <w:rFonts w:ascii="Arial" w:hAnsi="Arial" w:cs="Arial"/>
          <w:sz w:val="24"/>
        </w:rPr>
      </w:pPr>
      <w:r>
        <w:rPr>
          <w:rFonts w:ascii="Arial" w:hAnsi="Arial" w:cs="Arial"/>
          <w:sz w:val="24"/>
        </w:rPr>
        <w:t>2.1</w:t>
      </w:r>
      <w:r>
        <w:rPr>
          <w:rFonts w:hint="eastAsia" w:ascii="Arial" w:hAnsi="Arial" w:cs="Arial"/>
          <w:sz w:val="24"/>
        </w:rPr>
        <w:t>资格审查</w:t>
      </w:r>
    </w:p>
    <w:p>
      <w:pPr>
        <w:spacing w:line="400" w:lineRule="exact"/>
        <w:ind w:firstLine="435"/>
        <w:rPr>
          <w:rFonts w:ascii="Arial" w:hAnsi="Arial" w:cs="Arial"/>
          <w:sz w:val="24"/>
        </w:rPr>
      </w:pPr>
      <w:r>
        <w:rPr>
          <w:rFonts w:hint="eastAsia" w:ascii="Arial" w:hAnsi="Arial" w:cs="Arial"/>
          <w:sz w:val="24"/>
        </w:rPr>
        <w:t>依据政府采购相关法律法规规定</w:t>
      </w:r>
      <w:r>
        <w:rPr>
          <w:rFonts w:ascii="Arial" w:hAnsi="Arial" w:cs="Arial"/>
          <w:sz w:val="24"/>
        </w:rPr>
        <w:t>,</w:t>
      </w:r>
      <w:r>
        <w:rPr>
          <w:rFonts w:hint="eastAsia" w:ascii="Arial" w:hAnsi="Arial" w:cs="Arial"/>
          <w:sz w:val="24"/>
        </w:rPr>
        <w:t>由采购人或采购代理机构对投标人进行资格审查。资格审查表如下：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39"/>
        <w:gridCol w:w="1973"/>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522" w:type="dxa"/>
            <w:gridSpan w:val="4"/>
            <w:noWrap w:val="0"/>
            <w:vAlign w:val="center"/>
          </w:tcPr>
          <w:p>
            <w:pPr>
              <w:adjustRightInd w:val="0"/>
              <w:snapToGrid w:val="0"/>
              <w:ind w:right="-10"/>
              <w:jc w:val="center"/>
              <w:rPr>
                <w:rFonts w:ascii="Arial" w:hAnsi="Arial" w:cs="Arial"/>
                <w:sz w:val="24"/>
              </w:rPr>
            </w:pPr>
            <w:r>
              <w:rPr>
                <w:rFonts w:hint="eastAsia" w:ascii="Arial" w:hAnsi="Arial" w:cs="Arial"/>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noWrap w:val="0"/>
            <w:vAlign w:val="center"/>
          </w:tcPr>
          <w:p>
            <w:pPr>
              <w:adjustRightInd w:val="0"/>
              <w:snapToGrid w:val="0"/>
              <w:ind w:right="-10"/>
              <w:jc w:val="center"/>
              <w:rPr>
                <w:rFonts w:ascii="Arial" w:hAnsi="Arial" w:cs="Arial"/>
                <w:sz w:val="24"/>
              </w:rPr>
            </w:pPr>
            <w:r>
              <w:rPr>
                <w:rFonts w:hint="eastAsia" w:ascii="Arial" w:hAnsi="Arial" w:cs="Arial"/>
                <w:sz w:val="24"/>
              </w:rPr>
              <w:t>序号</w:t>
            </w:r>
          </w:p>
        </w:tc>
        <w:tc>
          <w:tcPr>
            <w:tcW w:w="1539" w:type="dxa"/>
            <w:noWrap w:val="0"/>
            <w:vAlign w:val="center"/>
          </w:tcPr>
          <w:p>
            <w:pPr>
              <w:pStyle w:val="75"/>
              <w:pBdr>
                <w:bottom w:val="none" w:color="auto" w:sz="0" w:space="0"/>
              </w:pBdr>
              <w:tabs>
                <w:tab w:val="clear" w:pos="4153"/>
                <w:tab w:val="clear" w:pos="8306"/>
              </w:tabs>
              <w:snapToGrid w:val="0"/>
              <w:spacing w:line="240" w:lineRule="auto"/>
              <w:ind w:right="-10"/>
              <w:textAlignment w:val="auto"/>
              <w:rPr>
                <w:rFonts w:ascii="Arial" w:hAnsi="Arial" w:eastAsia="宋体" w:cs="Arial"/>
                <w:kern w:val="2"/>
                <w:szCs w:val="24"/>
                <w:lang w:val="en-US" w:eastAsia="zh-CN"/>
              </w:rPr>
            </w:pPr>
            <w:r>
              <w:rPr>
                <w:rFonts w:hint="eastAsia" w:ascii="Arial" w:hAnsi="Arial" w:eastAsia="宋体" w:cs="Arial"/>
                <w:kern w:val="2"/>
                <w:szCs w:val="24"/>
                <w:lang w:val="en-US" w:eastAsia="zh-CN"/>
              </w:rPr>
              <w:t>评审指标</w:t>
            </w:r>
          </w:p>
        </w:tc>
        <w:tc>
          <w:tcPr>
            <w:tcW w:w="1973" w:type="dxa"/>
            <w:noWrap w:val="0"/>
            <w:vAlign w:val="center"/>
          </w:tcPr>
          <w:p>
            <w:pPr>
              <w:adjustRightInd w:val="0"/>
              <w:snapToGrid w:val="0"/>
              <w:ind w:right="-10"/>
              <w:jc w:val="center"/>
              <w:rPr>
                <w:rFonts w:ascii="Arial" w:hAnsi="Arial" w:cs="Arial"/>
                <w:sz w:val="24"/>
              </w:rPr>
            </w:pPr>
            <w:r>
              <w:rPr>
                <w:rFonts w:hint="eastAsia" w:ascii="Arial" w:hAnsi="Arial" w:cs="Arial"/>
                <w:sz w:val="24"/>
              </w:rPr>
              <w:t>评审标准</w:t>
            </w:r>
          </w:p>
        </w:tc>
        <w:tc>
          <w:tcPr>
            <w:tcW w:w="4292" w:type="dxa"/>
            <w:noWrap w:val="0"/>
            <w:vAlign w:val="center"/>
          </w:tcPr>
          <w:p>
            <w:pPr>
              <w:adjustRightInd w:val="0"/>
              <w:snapToGrid w:val="0"/>
              <w:ind w:right="-10"/>
              <w:jc w:val="center"/>
              <w:rPr>
                <w:rFonts w:ascii="Arial" w:hAnsi="Arial" w:cs="Arial"/>
                <w:sz w:val="24"/>
              </w:rPr>
            </w:pPr>
            <w:r>
              <w:rPr>
                <w:rFonts w:hint="eastAsia" w:ascii="Arial" w:hAnsi="Arial" w:cs="Arial"/>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noWrap w:val="0"/>
            <w:vAlign w:val="center"/>
          </w:tcPr>
          <w:p>
            <w:pPr>
              <w:adjustRightInd w:val="0"/>
              <w:snapToGrid w:val="0"/>
              <w:ind w:right="-10"/>
              <w:jc w:val="center"/>
              <w:rPr>
                <w:rFonts w:ascii="宋体" w:hAnsi="宋体"/>
                <w:sz w:val="24"/>
              </w:rPr>
            </w:pPr>
            <w:r>
              <w:rPr>
                <w:rFonts w:hint="eastAsia" w:ascii="宋体" w:hAnsi="宋体"/>
                <w:sz w:val="24"/>
              </w:rPr>
              <w:t>1</w:t>
            </w:r>
          </w:p>
        </w:tc>
        <w:tc>
          <w:tcPr>
            <w:tcW w:w="1539" w:type="dxa"/>
            <w:noWrap w:val="0"/>
            <w:vAlign w:val="center"/>
          </w:tcPr>
          <w:p>
            <w:pPr>
              <w:ind w:right="-10"/>
              <w:jc w:val="center"/>
              <w:rPr>
                <w:rFonts w:hint="eastAsia" w:ascii="宋体" w:hAnsi="宋体"/>
                <w:sz w:val="24"/>
                <w:szCs w:val="28"/>
              </w:rPr>
            </w:pPr>
            <w:r>
              <w:rPr>
                <w:rFonts w:hint="eastAsia" w:ascii="宋体" w:hAnsi="宋体"/>
                <w:sz w:val="24"/>
                <w:szCs w:val="28"/>
              </w:rPr>
              <w:t xml:space="preserve">营业执照 </w:t>
            </w:r>
          </w:p>
        </w:tc>
        <w:tc>
          <w:tcPr>
            <w:tcW w:w="1973" w:type="dxa"/>
            <w:tcBorders>
              <w:bottom w:val="single" w:color="auto" w:sz="4" w:space="0"/>
            </w:tcBorders>
            <w:noWrap w:val="0"/>
            <w:vAlign w:val="center"/>
          </w:tcPr>
          <w:p>
            <w:pPr>
              <w:ind w:right="-10"/>
              <w:jc w:val="center"/>
              <w:rPr>
                <w:rFonts w:hint="eastAsia" w:ascii="宋体" w:hAnsi="宋体"/>
                <w:sz w:val="24"/>
                <w:szCs w:val="28"/>
              </w:rPr>
            </w:pPr>
            <w:r>
              <w:rPr>
                <w:rFonts w:hint="eastAsia" w:ascii="宋体" w:hAnsi="宋体"/>
                <w:sz w:val="24"/>
                <w:szCs w:val="28"/>
              </w:rPr>
              <w:t>合法有效</w:t>
            </w:r>
          </w:p>
        </w:tc>
        <w:tc>
          <w:tcPr>
            <w:tcW w:w="4292" w:type="dxa"/>
            <w:noWrap w:val="0"/>
            <w:vAlign w:val="center"/>
          </w:tcPr>
          <w:p>
            <w:pPr>
              <w:jc w:val="left"/>
              <w:rPr>
                <w:rFonts w:ascii="宋体" w:hAnsi="宋体"/>
                <w:sz w:val="24"/>
              </w:rPr>
            </w:pPr>
            <w:r>
              <w:rPr>
                <w:rFonts w:hint="eastAsia" w:ascii="宋体" w:hAnsi="宋体"/>
                <w:sz w:val="24"/>
              </w:rPr>
              <w:t>提供有效的投标人营业执照（或事业单位法人登记证书）复印件，应完整的体现出营业执照（或事业单位法人登记证书）的全部内容。联合体投标的联合体各方均须提供。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bottom w:val="single" w:color="auto" w:sz="4" w:space="0"/>
            </w:tcBorders>
            <w:noWrap w:val="0"/>
            <w:vAlign w:val="center"/>
          </w:tcPr>
          <w:p>
            <w:pPr>
              <w:adjustRightInd w:val="0"/>
              <w:snapToGrid w:val="0"/>
              <w:ind w:right="-10"/>
              <w:jc w:val="center"/>
              <w:rPr>
                <w:rFonts w:hint="eastAsia" w:ascii="宋体" w:hAnsi="宋体"/>
                <w:sz w:val="24"/>
              </w:rPr>
            </w:pPr>
            <w:r>
              <w:rPr>
                <w:rFonts w:hint="eastAsia" w:ascii="宋体" w:hAnsi="宋体"/>
                <w:sz w:val="24"/>
              </w:rPr>
              <w:t>2</w:t>
            </w:r>
          </w:p>
        </w:tc>
        <w:tc>
          <w:tcPr>
            <w:tcW w:w="1539" w:type="dxa"/>
            <w:tcBorders>
              <w:bottom w:val="single" w:color="auto" w:sz="4" w:space="0"/>
            </w:tcBorders>
            <w:noWrap w:val="0"/>
            <w:vAlign w:val="center"/>
          </w:tcPr>
          <w:p>
            <w:pPr>
              <w:ind w:right="-10"/>
              <w:jc w:val="center"/>
              <w:rPr>
                <w:rFonts w:ascii="宋体" w:hAnsi="宋体"/>
                <w:sz w:val="24"/>
                <w:szCs w:val="28"/>
              </w:rPr>
            </w:pPr>
            <w:r>
              <w:rPr>
                <w:rFonts w:hint="eastAsia" w:ascii="宋体" w:hAnsi="宋体"/>
                <w:sz w:val="24"/>
                <w:szCs w:val="18"/>
              </w:rPr>
              <w:t>不良信用记录查询</w:t>
            </w:r>
          </w:p>
        </w:tc>
        <w:tc>
          <w:tcPr>
            <w:tcW w:w="1973" w:type="dxa"/>
            <w:tcBorders>
              <w:bottom w:val="single" w:color="auto" w:sz="4" w:space="0"/>
            </w:tcBorders>
            <w:noWrap w:val="0"/>
            <w:vAlign w:val="center"/>
          </w:tcPr>
          <w:p>
            <w:pPr>
              <w:ind w:right="-10"/>
              <w:jc w:val="center"/>
              <w:rPr>
                <w:rFonts w:ascii="宋体" w:hAnsi="宋体"/>
                <w:sz w:val="24"/>
                <w:szCs w:val="28"/>
              </w:rPr>
            </w:pPr>
            <w:r>
              <w:rPr>
                <w:rFonts w:hint="eastAsia" w:ascii="宋体" w:hAnsi="宋体"/>
                <w:sz w:val="24"/>
                <w:szCs w:val="28"/>
              </w:rPr>
              <w:t>投标人不得存在投标人</w:t>
            </w:r>
            <w:r>
              <w:rPr>
                <w:rFonts w:hint="eastAsia" w:ascii="宋体" w:hAnsi="宋体"/>
                <w:sz w:val="24"/>
              </w:rPr>
              <w:t>须知正文第1</w:t>
            </w:r>
            <w:r>
              <w:rPr>
                <w:rFonts w:ascii="宋体" w:hAnsi="宋体"/>
                <w:sz w:val="24"/>
              </w:rPr>
              <w:t>9.2.1</w:t>
            </w:r>
            <w:r>
              <w:rPr>
                <w:rFonts w:hint="eastAsia" w:ascii="宋体" w:hAnsi="宋体"/>
                <w:sz w:val="24"/>
              </w:rPr>
              <w:t>条</w:t>
            </w:r>
            <w:r>
              <w:rPr>
                <w:rFonts w:hint="eastAsia" w:ascii="宋体" w:hAnsi="宋体"/>
                <w:sz w:val="24"/>
                <w:szCs w:val="28"/>
              </w:rPr>
              <w:t>中的</w:t>
            </w:r>
            <w:r>
              <w:rPr>
                <w:rFonts w:hint="eastAsia" w:ascii="宋体" w:hAnsi="宋体"/>
                <w:sz w:val="24"/>
                <w:szCs w:val="18"/>
              </w:rPr>
              <w:t>不良信用记录情形</w:t>
            </w:r>
          </w:p>
        </w:tc>
        <w:tc>
          <w:tcPr>
            <w:tcW w:w="4292" w:type="dxa"/>
            <w:tcBorders>
              <w:bottom w:val="single" w:color="auto" w:sz="4" w:space="0"/>
            </w:tcBorders>
            <w:noWrap w:val="0"/>
            <w:vAlign w:val="center"/>
          </w:tcPr>
          <w:p>
            <w:pPr>
              <w:adjustRightInd w:val="0"/>
              <w:snapToGrid w:val="0"/>
              <w:ind w:right="-10"/>
              <w:jc w:val="left"/>
              <w:rPr>
                <w:rFonts w:ascii="宋体" w:hAnsi="宋体"/>
                <w:sz w:val="24"/>
              </w:rPr>
            </w:pPr>
            <w:r>
              <w:rPr>
                <w:rFonts w:hint="eastAsia" w:ascii="宋体" w:hAnsi="宋体"/>
                <w:sz w:val="24"/>
              </w:rPr>
              <w:t>详见投标人须知正文第1</w:t>
            </w:r>
            <w:r>
              <w:rPr>
                <w:rFonts w:ascii="宋体" w:hAnsi="宋体"/>
                <w:sz w:val="24"/>
              </w:rPr>
              <w:t>9.2</w:t>
            </w:r>
            <w:r>
              <w:rPr>
                <w:rFonts w:hint="eastAsia" w:ascii="宋体" w:hAnsi="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bottom w:val="single" w:color="auto" w:sz="4" w:space="0"/>
            </w:tcBorders>
            <w:noWrap w:val="0"/>
            <w:vAlign w:val="center"/>
          </w:tcPr>
          <w:p>
            <w:pPr>
              <w:adjustRightInd w:val="0"/>
              <w:snapToGrid w:val="0"/>
              <w:ind w:right="-10"/>
              <w:jc w:val="center"/>
              <w:rPr>
                <w:rFonts w:hint="eastAsia" w:ascii="宋体" w:hAnsi="宋体"/>
                <w:sz w:val="24"/>
              </w:rPr>
            </w:pPr>
            <w:r>
              <w:rPr>
                <w:rFonts w:hint="eastAsia" w:ascii="宋体" w:hAnsi="宋体"/>
                <w:sz w:val="24"/>
              </w:rPr>
              <w:t>3</w:t>
            </w:r>
          </w:p>
        </w:tc>
        <w:tc>
          <w:tcPr>
            <w:tcW w:w="1539" w:type="dxa"/>
            <w:tcBorders>
              <w:bottom w:val="single" w:color="auto" w:sz="4" w:space="0"/>
            </w:tcBorders>
            <w:noWrap w:val="0"/>
            <w:vAlign w:val="center"/>
          </w:tcPr>
          <w:p>
            <w:pPr>
              <w:ind w:right="-10"/>
              <w:jc w:val="center"/>
              <w:rPr>
                <w:rFonts w:ascii="宋体" w:hAnsi="宋体"/>
                <w:sz w:val="24"/>
                <w:szCs w:val="18"/>
              </w:rPr>
            </w:pPr>
            <w:r>
              <w:rPr>
                <w:rFonts w:hint="eastAsia" w:ascii="宋体" w:hAnsi="宋体"/>
                <w:sz w:val="24"/>
                <w:szCs w:val="28"/>
              </w:rPr>
              <w:t>无重大违法记录声明函、无不良信用记录声明函</w:t>
            </w:r>
          </w:p>
        </w:tc>
        <w:tc>
          <w:tcPr>
            <w:tcW w:w="1973" w:type="dxa"/>
            <w:tcBorders>
              <w:bottom w:val="single" w:color="auto" w:sz="4" w:space="0"/>
            </w:tcBorders>
            <w:noWrap w:val="0"/>
            <w:vAlign w:val="center"/>
          </w:tcPr>
          <w:p>
            <w:pPr>
              <w:ind w:right="-10"/>
              <w:jc w:val="center"/>
              <w:rPr>
                <w:rFonts w:ascii="宋体" w:hAnsi="宋体"/>
                <w:sz w:val="24"/>
                <w:szCs w:val="28"/>
              </w:rPr>
            </w:pPr>
            <w:r>
              <w:rPr>
                <w:rFonts w:hint="eastAsia" w:ascii="宋体" w:hAnsi="宋体"/>
                <w:sz w:val="24"/>
                <w:szCs w:val="28"/>
              </w:rPr>
              <w:t>格式、填写要求符合招标文件规定并加盖投标人公章</w:t>
            </w:r>
          </w:p>
        </w:tc>
        <w:tc>
          <w:tcPr>
            <w:tcW w:w="4292" w:type="dxa"/>
            <w:tcBorders>
              <w:bottom w:val="single" w:color="auto" w:sz="4" w:space="0"/>
            </w:tcBorders>
            <w:noWrap w:val="0"/>
            <w:vAlign w:val="center"/>
          </w:tcPr>
          <w:p>
            <w:pPr>
              <w:adjustRightInd w:val="0"/>
              <w:snapToGrid w:val="0"/>
              <w:ind w:right="-10"/>
              <w:jc w:val="left"/>
              <w:rPr>
                <w:rFonts w:ascii="宋体" w:hAnsi="宋体"/>
                <w:sz w:val="24"/>
              </w:rPr>
            </w:pPr>
            <w:r>
              <w:rPr>
                <w:rFonts w:hint="eastAsia" w:ascii="宋体" w:hAnsi="宋体"/>
                <w:sz w:val="24"/>
              </w:rPr>
              <w:t>详见第六章投标文件格式三</w:t>
            </w:r>
          </w:p>
        </w:tc>
      </w:tr>
    </w:tbl>
    <w:p>
      <w:pPr>
        <w:spacing w:line="400" w:lineRule="exact"/>
        <w:ind w:firstLine="435"/>
        <w:rPr>
          <w:rFonts w:ascii="Arial" w:hAnsi="Arial" w:cs="Arial"/>
          <w:sz w:val="24"/>
        </w:rPr>
      </w:pPr>
      <w:r>
        <w:rPr>
          <w:rFonts w:hint="eastAsia" w:ascii="Arial" w:hAnsi="Arial" w:cs="Arial"/>
          <w:b/>
          <w:bCs/>
          <w:sz w:val="24"/>
        </w:rPr>
        <w:t>资格审查指标通过标准：</w:t>
      </w:r>
      <w:r>
        <w:rPr>
          <w:rFonts w:hint="eastAsia" w:ascii="Arial" w:hAnsi="Arial" w:cs="Arial"/>
          <w:sz w:val="24"/>
        </w:rPr>
        <w:t>投标人必须通过资格审查表中的全部评审指标。</w:t>
      </w:r>
    </w:p>
    <w:p>
      <w:pPr>
        <w:spacing w:line="400" w:lineRule="exact"/>
        <w:ind w:firstLine="435"/>
        <w:rPr>
          <w:rFonts w:ascii="Arial" w:hAnsi="Arial" w:cs="Arial"/>
          <w:sz w:val="24"/>
        </w:rPr>
      </w:pPr>
      <w:r>
        <w:rPr>
          <w:rFonts w:ascii="Arial" w:hAnsi="Arial" w:cs="Arial"/>
          <w:sz w:val="24"/>
        </w:rPr>
        <w:t>2.2</w:t>
      </w:r>
      <w:r>
        <w:rPr>
          <w:rFonts w:hint="eastAsia" w:ascii="Arial" w:hAnsi="Arial" w:cs="Arial"/>
          <w:sz w:val="24"/>
        </w:rPr>
        <w:t>符合性审查</w:t>
      </w:r>
    </w:p>
    <w:p>
      <w:pPr>
        <w:spacing w:line="400" w:lineRule="exact"/>
        <w:ind w:firstLine="435"/>
        <w:rPr>
          <w:rFonts w:ascii="Arial" w:hAnsi="Arial" w:cs="Arial"/>
          <w:sz w:val="24"/>
        </w:rPr>
      </w:pPr>
      <w:r>
        <w:rPr>
          <w:rFonts w:hint="eastAsia" w:ascii="Arial" w:hAnsi="Arial" w:cs="Arial"/>
          <w:sz w:val="24"/>
        </w:rPr>
        <w:t>评标委员会对通过资格审查的投标人的投标文件进行符合性审查，以确定其是否满足招标文件的实质性要求。符合性审查表如下：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17"/>
        <w:gridCol w:w="312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noWrap w:val="0"/>
            <w:vAlign w:val="center"/>
          </w:tcPr>
          <w:p>
            <w:pPr>
              <w:adjustRightInd w:val="0"/>
              <w:snapToGrid w:val="0"/>
              <w:ind w:right="-10"/>
              <w:jc w:val="center"/>
              <w:rPr>
                <w:rFonts w:ascii="Arial" w:hAnsi="Arial" w:cs="Arial"/>
                <w:b/>
                <w:bCs/>
                <w:sz w:val="24"/>
              </w:rPr>
            </w:pPr>
            <w:r>
              <w:rPr>
                <w:rFonts w:hint="eastAsia" w:ascii="Arial" w:hAnsi="Arial" w:cs="Arial"/>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noWrap w:val="0"/>
            <w:vAlign w:val="center"/>
          </w:tcPr>
          <w:p>
            <w:pPr>
              <w:adjustRightInd w:val="0"/>
              <w:snapToGrid w:val="0"/>
              <w:ind w:right="-10"/>
              <w:jc w:val="center"/>
              <w:rPr>
                <w:rFonts w:ascii="Arial" w:hAnsi="Arial" w:cs="Arial"/>
                <w:sz w:val="24"/>
              </w:rPr>
            </w:pPr>
            <w:r>
              <w:rPr>
                <w:rFonts w:hint="eastAsia" w:ascii="Arial" w:hAnsi="Arial" w:cs="Arial"/>
                <w:sz w:val="24"/>
              </w:rPr>
              <w:t>序号</w:t>
            </w:r>
          </w:p>
        </w:tc>
        <w:tc>
          <w:tcPr>
            <w:tcW w:w="2117" w:type="dxa"/>
            <w:noWrap w:val="0"/>
            <w:vAlign w:val="center"/>
          </w:tcPr>
          <w:p>
            <w:pPr>
              <w:pStyle w:val="75"/>
              <w:pBdr>
                <w:bottom w:val="none" w:color="auto" w:sz="0" w:space="0"/>
              </w:pBdr>
              <w:tabs>
                <w:tab w:val="clear" w:pos="4153"/>
                <w:tab w:val="clear" w:pos="8306"/>
              </w:tabs>
              <w:snapToGrid w:val="0"/>
              <w:spacing w:line="240" w:lineRule="auto"/>
              <w:ind w:right="-10"/>
              <w:textAlignment w:val="auto"/>
              <w:rPr>
                <w:rFonts w:ascii="Arial" w:hAnsi="Arial" w:eastAsia="宋体" w:cs="Arial"/>
                <w:kern w:val="2"/>
                <w:szCs w:val="24"/>
                <w:lang w:val="en-US" w:eastAsia="zh-CN"/>
              </w:rPr>
            </w:pPr>
            <w:r>
              <w:rPr>
                <w:rFonts w:hint="eastAsia" w:ascii="Arial" w:hAnsi="Arial" w:eastAsia="宋体" w:cs="Arial"/>
                <w:kern w:val="2"/>
                <w:szCs w:val="24"/>
                <w:lang w:val="en-US" w:eastAsia="zh-CN"/>
              </w:rPr>
              <w:t>评审指标</w:t>
            </w:r>
          </w:p>
        </w:tc>
        <w:tc>
          <w:tcPr>
            <w:tcW w:w="3128" w:type="dxa"/>
            <w:noWrap w:val="0"/>
            <w:vAlign w:val="center"/>
          </w:tcPr>
          <w:p>
            <w:pPr>
              <w:adjustRightInd w:val="0"/>
              <w:snapToGrid w:val="0"/>
              <w:ind w:right="-10"/>
              <w:jc w:val="center"/>
              <w:rPr>
                <w:rFonts w:ascii="Arial" w:hAnsi="Arial" w:cs="Arial"/>
                <w:sz w:val="24"/>
              </w:rPr>
            </w:pPr>
            <w:r>
              <w:rPr>
                <w:rFonts w:hint="eastAsia" w:ascii="Arial" w:hAnsi="Arial" w:cs="Arial"/>
                <w:sz w:val="24"/>
              </w:rPr>
              <w:t>评审标准</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ascii="Arial" w:hAnsi="Arial" w:cs="Arial"/>
                <w:sz w:val="24"/>
              </w:rPr>
            </w:pPr>
            <w:r>
              <w:rPr>
                <w:rFonts w:ascii="Arial" w:hAnsi="Arial" w:cs="Arial"/>
                <w:sz w:val="24"/>
              </w:rPr>
              <w:t>1</w:t>
            </w:r>
          </w:p>
        </w:tc>
        <w:tc>
          <w:tcPr>
            <w:tcW w:w="2117" w:type="dxa"/>
            <w:noWrap w:val="0"/>
            <w:vAlign w:val="center"/>
          </w:tcPr>
          <w:p>
            <w:pPr>
              <w:spacing w:after="50"/>
              <w:ind w:right="-10"/>
              <w:jc w:val="center"/>
              <w:rPr>
                <w:rFonts w:ascii="Arial" w:hAnsi="Arial" w:cs="Arial"/>
                <w:sz w:val="24"/>
                <w:szCs w:val="28"/>
              </w:rPr>
            </w:pPr>
            <w:r>
              <w:rPr>
                <w:rFonts w:hint="eastAsia" w:ascii="Arial" w:hAnsi="Arial" w:cs="Arial"/>
                <w:sz w:val="24"/>
              </w:rPr>
              <w:t>开标一览表</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格式、填写要求符合招标文件规定并加盖投标人公章</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详见第六章投标文件格式一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ascii="Arial" w:hAnsi="Arial" w:cs="Arial"/>
                <w:sz w:val="24"/>
              </w:rPr>
            </w:pPr>
            <w:r>
              <w:rPr>
                <w:rFonts w:ascii="Arial" w:hAnsi="Arial" w:cs="Arial"/>
                <w:sz w:val="24"/>
              </w:rPr>
              <w:t>2</w:t>
            </w:r>
          </w:p>
        </w:tc>
        <w:tc>
          <w:tcPr>
            <w:tcW w:w="2117" w:type="dxa"/>
            <w:noWrap w:val="0"/>
            <w:vAlign w:val="center"/>
          </w:tcPr>
          <w:p>
            <w:pPr>
              <w:spacing w:after="50"/>
              <w:ind w:right="-10"/>
              <w:jc w:val="center"/>
              <w:rPr>
                <w:rFonts w:ascii="Arial" w:hAnsi="Arial" w:cs="Arial"/>
                <w:sz w:val="24"/>
                <w:szCs w:val="28"/>
              </w:rPr>
            </w:pPr>
            <w:r>
              <w:rPr>
                <w:rFonts w:hint="eastAsia" w:ascii="Arial" w:hAnsi="Arial" w:cs="Arial"/>
                <w:sz w:val="24"/>
                <w:szCs w:val="28"/>
              </w:rPr>
              <w:t>投标函</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格式、填写要求符合招标文件规定并加盖投标人公章</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详见第六章投标文件格式二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ascii="Arial" w:hAnsi="Arial" w:cs="Arial"/>
                <w:sz w:val="24"/>
              </w:rPr>
            </w:pPr>
            <w:r>
              <w:rPr>
                <w:rFonts w:ascii="Arial" w:hAnsi="Arial" w:cs="Arial"/>
                <w:sz w:val="24"/>
              </w:rPr>
              <w:t>3</w:t>
            </w:r>
          </w:p>
        </w:tc>
        <w:tc>
          <w:tcPr>
            <w:tcW w:w="2117" w:type="dxa"/>
            <w:noWrap w:val="0"/>
            <w:vAlign w:val="center"/>
          </w:tcPr>
          <w:p>
            <w:pPr>
              <w:spacing w:after="50"/>
              <w:ind w:right="-10"/>
              <w:jc w:val="center"/>
              <w:rPr>
                <w:rFonts w:ascii="Arial" w:hAnsi="Arial" w:cs="Arial"/>
                <w:sz w:val="24"/>
                <w:szCs w:val="28"/>
              </w:rPr>
            </w:pPr>
            <w:r>
              <w:rPr>
                <w:rFonts w:hint="eastAsia" w:ascii="Arial" w:hAnsi="Arial" w:cs="Arial"/>
                <w:sz w:val="24"/>
                <w:szCs w:val="28"/>
              </w:rPr>
              <w:t>授权书</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格式、填写要求符合招标文件规定并加盖投标人公章</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法定代表人参加投标的无需此件，提供身份证明即可。详见第六章投标文件格式四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ascii="Arial" w:hAnsi="Arial" w:cs="Arial"/>
                <w:sz w:val="24"/>
              </w:rPr>
            </w:pPr>
            <w:r>
              <w:rPr>
                <w:rFonts w:ascii="Arial" w:hAnsi="Arial" w:cs="Arial"/>
                <w:sz w:val="24"/>
              </w:rPr>
              <w:t>4</w:t>
            </w:r>
          </w:p>
        </w:tc>
        <w:tc>
          <w:tcPr>
            <w:tcW w:w="2117" w:type="dxa"/>
            <w:noWrap w:val="0"/>
            <w:vAlign w:val="center"/>
          </w:tcPr>
          <w:p>
            <w:pPr>
              <w:spacing w:after="50"/>
              <w:ind w:right="-10"/>
              <w:jc w:val="center"/>
              <w:rPr>
                <w:rFonts w:ascii="Arial" w:hAnsi="Arial" w:cs="Arial"/>
                <w:sz w:val="24"/>
                <w:szCs w:val="28"/>
              </w:rPr>
            </w:pPr>
            <w:r>
              <w:rPr>
                <w:rFonts w:hint="eastAsia" w:ascii="Arial" w:hAnsi="Arial" w:cs="Arial"/>
                <w:sz w:val="24"/>
                <w:szCs w:val="28"/>
              </w:rPr>
              <w:t>投标报价</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符合</w:t>
            </w:r>
            <w:r>
              <w:rPr>
                <w:rFonts w:hint="eastAsia" w:ascii="Arial" w:hAnsi="Arial" w:cs="Arial"/>
                <w:sz w:val="24"/>
              </w:rPr>
              <w:t>招标文件投标人须知正文第</w:t>
            </w:r>
            <w:r>
              <w:rPr>
                <w:rFonts w:ascii="Arial" w:hAnsi="Arial" w:cs="Arial"/>
                <w:sz w:val="24"/>
              </w:rPr>
              <w:t>12</w:t>
            </w:r>
            <w:r>
              <w:rPr>
                <w:rFonts w:hint="eastAsia" w:ascii="Arial" w:hAnsi="Arial" w:cs="Arial"/>
                <w:sz w:val="24"/>
              </w:rPr>
              <w:t>条要求</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详见第六章投标文件格式五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hint="eastAsia" w:ascii="Arial" w:hAnsi="Arial" w:cs="Arial"/>
                <w:sz w:val="24"/>
              </w:rPr>
            </w:pPr>
            <w:r>
              <w:rPr>
                <w:rFonts w:hint="eastAsia" w:ascii="Arial" w:hAnsi="Arial" w:cs="Arial"/>
                <w:sz w:val="24"/>
              </w:rPr>
              <w:t>5</w:t>
            </w:r>
          </w:p>
        </w:tc>
        <w:tc>
          <w:tcPr>
            <w:tcW w:w="2117" w:type="dxa"/>
            <w:noWrap w:val="0"/>
            <w:vAlign w:val="center"/>
          </w:tcPr>
          <w:p>
            <w:pPr>
              <w:spacing w:after="50"/>
              <w:ind w:right="-10"/>
              <w:jc w:val="center"/>
              <w:rPr>
                <w:rFonts w:hint="eastAsia" w:ascii="Arial" w:hAnsi="Arial" w:cs="Arial"/>
                <w:sz w:val="24"/>
                <w:szCs w:val="28"/>
              </w:rPr>
            </w:pPr>
            <w:r>
              <w:rPr>
                <w:rFonts w:hint="eastAsia" w:ascii="Arial" w:hAnsi="Arial" w:cs="Arial"/>
                <w:sz w:val="24"/>
                <w:szCs w:val="28"/>
              </w:rPr>
              <w:t>商务响应情况</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符合招标文件采购需求中对付款方式、供货及安装期限、供货及安装地点、免费质保期的要求。</w:t>
            </w:r>
          </w:p>
        </w:tc>
        <w:tc>
          <w:tcPr>
            <w:tcW w:w="2505" w:type="dxa"/>
            <w:noWrap w:val="0"/>
            <w:vAlign w:val="center"/>
          </w:tcPr>
          <w:p>
            <w:pPr>
              <w:adjustRightInd w:val="0"/>
              <w:snapToGrid w:val="0"/>
              <w:ind w:right="-10"/>
              <w:jc w:val="center"/>
              <w:rPr>
                <w:rFonts w:ascii="Arial" w:hAnsi="Arial" w:cs="Arial"/>
                <w:sz w:val="24"/>
              </w:rPr>
            </w:pPr>
            <w:r>
              <w:rPr>
                <w:rFonts w:hint="eastAsia" w:ascii="Arial" w:hAnsi="Arial" w:cs="Arial"/>
                <w:sz w:val="24"/>
              </w:rPr>
              <w:t>详见第六章投标文件格式六（</w:t>
            </w:r>
            <w:r>
              <w:rPr>
                <w:rFonts w:ascii="Arial" w:hAnsi="Arial" w:cs="Arial"/>
                <w:sz w:val="24"/>
              </w:rPr>
              <w:t>6.1</w:t>
            </w:r>
            <w:r>
              <w:rPr>
                <w:rFonts w:hint="eastAsia" w:ascii="Arial" w:hAnsi="Arial" w:cs="Arial"/>
                <w:sz w:val="24"/>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adjustRightInd w:val="0"/>
              <w:snapToGrid w:val="0"/>
              <w:ind w:right="-10"/>
              <w:jc w:val="center"/>
              <w:rPr>
                <w:rFonts w:ascii="Arial" w:hAnsi="Arial" w:cs="Arial"/>
                <w:sz w:val="24"/>
              </w:rPr>
            </w:pPr>
            <w:r>
              <w:rPr>
                <w:rFonts w:ascii="Arial" w:hAnsi="Arial" w:cs="Arial"/>
                <w:sz w:val="24"/>
              </w:rPr>
              <w:t>6</w:t>
            </w:r>
          </w:p>
        </w:tc>
        <w:tc>
          <w:tcPr>
            <w:tcW w:w="2117" w:type="dxa"/>
            <w:noWrap w:val="0"/>
            <w:vAlign w:val="center"/>
          </w:tcPr>
          <w:p>
            <w:pPr>
              <w:spacing w:after="50"/>
              <w:ind w:right="-10"/>
              <w:jc w:val="center"/>
              <w:rPr>
                <w:rFonts w:ascii="Arial" w:hAnsi="Arial" w:cs="Arial"/>
                <w:sz w:val="24"/>
                <w:szCs w:val="28"/>
              </w:rPr>
            </w:pPr>
            <w:r>
              <w:rPr>
                <w:rFonts w:hint="eastAsia" w:ascii="Arial" w:hAnsi="Arial" w:cs="Arial"/>
                <w:sz w:val="24"/>
                <w:szCs w:val="28"/>
              </w:rPr>
              <w:t>投标文件规范性</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投标文件数量、内容、签署、盖章符合招标文件要求；无严重的编排混乱、内容不全或字迹模糊辨认不清情况。</w:t>
            </w:r>
          </w:p>
        </w:tc>
        <w:tc>
          <w:tcPr>
            <w:tcW w:w="2505" w:type="dxa"/>
            <w:noWrap w:val="0"/>
            <w:vAlign w:val="center"/>
          </w:tcPr>
          <w:p>
            <w:pPr>
              <w:adjustRightInd w:val="0"/>
              <w:snapToGrid w:val="0"/>
              <w:ind w:right="-1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72" w:type="dxa"/>
            <w:noWrap w:val="0"/>
            <w:vAlign w:val="center"/>
          </w:tcPr>
          <w:p>
            <w:pPr>
              <w:adjustRightInd w:val="0"/>
              <w:snapToGrid w:val="0"/>
              <w:ind w:right="-10"/>
              <w:jc w:val="center"/>
              <w:rPr>
                <w:rFonts w:hint="eastAsia" w:ascii="Arial" w:hAnsi="Arial" w:cs="Arial"/>
                <w:sz w:val="24"/>
              </w:rPr>
            </w:pPr>
            <w:r>
              <w:rPr>
                <w:rFonts w:ascii="Arial" w:hAnsi="Arial" w:cs="Arial"/>
                <w:sz w:val="24"/>
              </w:rPr>
              <w:t>7</w:t>
            </w:r>
          </w:p>
        </w:tc>
        <w:tc>
          <w:tcPr>
            <w:tcW w:w="2117" w:type="dxa"/>
            <w:noWrap w:val="0"/>
            <w:vAlign w:val="center"/>
          </w:tcPr>
          <w:p>
            <w:pPr>
              <w:spacing w:after="50"/>
              <w:ind w:right="-10"/>
              <w:jc w:val="center"/>
              <w:rPr>
                <w:rFonts w:ascii="Arial" w:hAnsi="Arial" w:cs="Arial"/>
                <w:sz w:val="24"/>
                <w:szCs w:val="28"/>
              </w:rPr>
            </w:pPr>
            <w:r>
              <w:rPr>
                <w:rFonts w:ascii="Arial" w:hAnsi="Arial" w:cs="Arial"/>
                <w:sz w:val="24"/>
                <w:szCs w:val="28"/>
              </w:rPr>
              <w:t>其他</w:t>
            </w:r>
            <w:r>
              <w:rPr>
                <w:rFonts w:hint="eastAsia" w:ascii="Arial" w:hAnsi="Arial" w:cs="Arial"/>
                <w:sz w:val="24"/>
                <w:szCs w:val="28"/>
              </w:rPr>
              <w:t>实质性</w:t>
            </w:r>
            <w:r>
              <w:rPr>
                <w:rFonts w:ascii="Arial" w:hAnsi="Arial" w:cs="Arial"/>
                <w:sz w:val="24"/>
                <w:szCs w:val="28"/>
              </w:rPr>
              <w:t>要求</w:t>
            </w:r>
          </w:p>
        </w:tc>
        <w:tc>
          <w:tcPr>
            <w:tcW w:w="3128" w:type="dxa"/>
            <w:noWrap w:val="0"/>
            <w:vAlign w:val="center"/>
          </w:tcPr>
          <w:p>
            <w:pPr>
              <w:spacing w:after="50"/>
              <w:ind w:right="-10"/>
              <w:jc w:val="center"/>
              <w:rPr>
                <w:rFonts w:ascii="Arial" w:hAnsi="Arial" w:cs="Arial"/>
                <w:sz w:val="24"/>
                <w:szCs w:val="28"/>
              </w:rPr>
            </w:pPr>
            <w:r>
              <w:rPr>
                <w:rFonts w:hint="eastAsia" w:ascii="Arial" w:hAnsi="Arial" w:cs="Arial"/>
                <w:sz w:val="24"/>
                <w:szCs w:val="28"/>
              </w:rPr>
              <w:t>符合法律、行政法规规定的其他条件或招标文件列明的其他要求。</w:t>
            </w:r>
          </w:p>
        </w:tc>
        <w:tc>
          <w:tcPr>
            <w:tcW w:w="2505" w:type="dxa"/>
            <w:noWrap w:val="0"/>
            <w:vAlign w:val="center"/>
          </w:tcPr>
          <w:p>
            <w:pPr>
              <w:adjustRightInd w:val="0"/>
              <w:snapToGrid w:val="0"/>
              <w:ind w:right="-10"/>
              <w:jc w:val="center"/>
              <w:rPr>
                <w:rFonts w:ascii="Arial" w:hAnsi="Arial" w:cs="Arial"/>
                <w:sz w:val="24"/>
              </w:rPr>
            </w:pPr>
          </w:p>
        </w:tc>
      </w:tr>
    </w:tbl>
    <w:p>
      <w:pPr>
        <w:spacing w:line="400" w:lineRule="exact"/>
        <w:ind w:firstLine="435"/>
        <w:rPr>
          <w:rFonts w:ascii="Arial" w:hAnsi="Arial" w:cs="Arial"/>
          <w:sz w:val="24"/>
        </w:rPr>
      </w:pPr>
      <w:r>
        <w:rPr>
          <w:rFonts w:hint="eastAsia" w:ascii="Arial" w:hAnsi="Arial" w:cs="Arial"/>
          <w:b/>
          <w:bCs/>
          <w:sz w:val="24"/>
        </w:rPr>
        <w:t>符合性审查指标通过标准：</w:t>
      </w:r>
      <w:r>
        <w:rPr>
          <w:rFonts w:hint="eastAsia" w:ascii="Arial" w:hAnsi="Arial" w:cs="Arial"/>
          <w:sz w:val="24"/>
        </w:rPr>
        <w:t>投标人必须通过符合性审查表中的全部评审指标。</w:t>
      </w:r>
    </w:p>
    <w:p>
      <w:pPr>
        <w:spacing w:line="400" w:lineRule="exact"/>
        <w:ind w:firstLine="435"/>
        <w:rPr>
          <w:rFonts w:ascii="Arial" w:hAnsi="Arial" w:cs="Arial"/>
          <w:sz w:val="24"/>
        </w:rPr>
      </w:pPr>
      <w:r>
        <w:rPr>
          <w:rFonts w:ascii="Arial" w:hAnsi="Arial" w:cs="Arial"/>
          <w:sz w:val="24"/>
        </w:rPr>
        <w:t>2.3</w:t>
      </w:r>
      <w:r>
        <w:rPr>
          <w:rFonts w:hint="eastAsia" w:ascii="Arial" w:hAnsi="Arial" w:cs="Arial"/>
          <w:sz w:val="24"/>
        </w:rPr>
        <w:t>详细审查</w:t>
      </w:r>
    </w:p>
    <w:p>
      <w:pPr>
        <w:spacing w:line="360" w:lineRule="auto"/>
        <w:ind w:firstLine="435"/>
        <w:rPr>
          <w:rFonts w:ascii="Arial" w:hAnsi="Arial" w:cs="Arial"/>
          <w:sz w:val="24"/>
        </w:rPr>
      </w:pPr>
      <w:r>
        <w:rPr>
          <w:rFonts w:ascii="Arial" w:hAnsi="Arial" w:cs="Arial"/>
          <w:sz w:val="24"/>
        </w:rPr>
        <w:t>2.3.1评标委员会按照下表对投标文件进行详细审查和评分。</w:t>
      </w:r>
    </w:p>
    <w:p>
      <w:pPr>
        <w:spacing w:line="360" w:lineRule="auto"/>
        <w:ind w:firstLine="435"/>
        <w:rPr>
          <w:rFonts w:ascii="Arial" w:hAnsi="Arial" w:cs="Arial"/>
          <w:sz w:val="24"/>
        </w:rPr>
      </w:pPr>
      <w:r>
        <w:rPr>
          <w:rFonts w:ascii="Arial" w:hAnsi="Arial" w:cs="Arial"/>
          <w:sz w:val="24"/>
        </w:rPr>
        <w:t>2.3.2本项目综合评分满分为100分，其中：技术资信分值占总分值的权重为</w:t>
      </w:r>
      <w:r>
        <w:rPr>
          <w:rFonts w:ascii="Arial" w:hAnsi="Arial" w:cs="Arial"/>
          <w:sz w:val="24"/>
          <w:u w:val="single"/>
        </w:rPr>
        <w:t xml:space="preserve"> </w:t>
      </w:r>
      <w:r>
        <w:rPr>
          <w:rFonts w:hint="eastAsia" w:ascii="Arial" w:hAnsi="Arial" w:cs="Arial"/>
          <w:sz w:val="24"/>
          <w:u w:val="single"/>
        </w:rPr>
        <w:t>70</w:t>
      </w:r>
      <w:r>
        <w:rPr>
          <w:rFonts w:ascii="Arial" w:hAnsi="Arial" w:cs="Arial"/>
          <w:sz w:val="24"/>
          <w:u w:val="single"/>
        </w:rPr>
        <w:t xml:space="preserve"> </w:t>
      </w:r>
      <w:r>
        <w:rPr>
          <w:rFonts w:ascii="Arial" w:hAnsi="Arial" w:cs="Arial"/>
          <w:sz w:val="24"/>
        </w:rPr>
        <w:t>%，价格分值占总分值的权重为</w:t>
      </w:r>
      <w:r>
        <w:rPr>
          <w:rFonts w:ascii="Arial" w:hAnsi="Arial" w:cs="Arial"/>
          <w:sz w:val="24"/>
          <w:u w:val="single"/>
        </w:rPr>
        <w:t xml:space="preserve"> </w:t>
      </w:r>
      <w:r>
        <w:rPr>
          <w:rFonts w:hint="eastAsia" w:ascii="Arial" w:hAnsi="Arial" w:cs="Arial"/>
          <w:sz w:val="24"/>
          <w:u w:val="single"/>
        </w:rPr>
        <w:t>30</w:t>
      </w:r>
      <w:r>
        <w:rPr>
          <w:rFonts w:ascii="Arial" w:hAnsi="Arial" w:cs="Arial"/>
          <w:sz w:val="24"/>
          <w:u w:val="single"/>
        </w:rPr>
        <w:t xml:space="preserve"> </w:t>
      </w:r>
      <w:r>
        <w:rPr>
          <w:rFonts w:ascii="Arial" w:hAnsi="Arial" w:cs="Arial"/>
          <w:sz w:val="24"/>
        </w:rPr>
        <w:t>%。具体评分细则如下：</w:t>
      </w:r>
    </w:p>
    <w:p>
      <w:pPr>
        <w:spacing w:line="360" w:lineRule="auto"/>
        <w:ind w:firstLine="435"/>
        <w:jc w:val="center"/>
      </w:pPr>
      <w:r>
        <w:rPr>
          <w:rFonts w:hint="eastAsia" w:ascii="Arial" w:hAnsi="Arial" w:eastAsia="宋体" w:cs="Arial"/>
          <w:color w:val="auto"/>
          <w:sz w:val="24"/>
          <w:highlight w:val="none"/>
          <w:lang w:val="en-US" w:eastAsia="zh-CN"/>
        </w:rPr>
        <w:t>适用于1、3包</w:t>
      </w:r>
    </w:p>
    <w:tbl>
      <w:tblPr>
        <w:tblStyle w:val="25"/>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38"/>
        <w:gridCol w:w="600"/>
        <w:gridCol w:w="731"/>
        <w:gridCol w:w="576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9"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序号</w:t>
            </w:r>
          </w:p>
        </w:tc>
        <w:tc>
          <w:tcPr>
            <w:tcW w:w="938"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评审因素</w:t>
            </w:r>
          </w:p>
        </w:tc>
        <w:tc>
          <w:tcPr>
            <w:tcW w:w="600"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满分</w:t>
            </w:r>
          </w:p>
        </w:tc>
        <w:tc>
          <w:tcPr>
            <w:tcW w:w="731"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分项满分</w:t>
            </w:r>
          </w:p>
        </w:tc>
        <w:tc>
          <w:tcPr>
            <w:tcW w:w="5767"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评分标准</w:t>
            </w:r>
          </w:p>
        </w:tc>
        <w:tc>
          <w:tcPr>
            <w:tcW w:w="1234"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一</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价格部分</w:t>
            </w:r>
          </w:p>
        </w:tc>
        <w:tc>
          <w:tcPr>
            <w:tcW w:w="600"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30</w:t>
            </w:r>
          </w:p>
        </w:tc>
        <w:tc>
          <w:tcPr>
            <w:tcW w:w="731"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30</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采用低价优先法计算，有效最低报价的作为基准报  价，基准报价分为满分，其他满足招标文件要求的投标人的价格分统一按照下列公式计算（打分保留两位小数）： 投标报价得分=(评标基准价／投标报价)×满分分值）</w:t>
            </w:r>
          </w:p>
          <w:p>
            <w:pPr>
              <w:spacing w:line="320" w:lineRule="exact"/>
              <w:jc w:val="left"/>
              <w:rPr>
                <w:rFonts w:ascii="宋体" w:hAnsi="宋体" w:cs="宋体"/>
                <w:sz w:val="24"/>
                <w:szCs w:val="24"/>
              </w:rPr>
            </w:pPr>
            <w:r>
              <w:rPr>
                <w:rFonts w:hint="eastAsia" w:ascii="宋体" w:hAnsi="宋体" w:cs="宋体"/>
                <w:sz w:val="24"/>
                <w:szCs w:val="24"/>
              </w:rPr>
              <w:t>注：根据《政府采购促进中小企业发展暂行办法》的相关规定，用扣除后的价格参与评审，产品需要提供小型或微型企业证明材料</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二</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技术资信商务部分</w:t>
            </w:r>
          </w:p>
        </w:tc>
        <w:tc>
          <w:tcPr>
            <w:tcW w:w="600" w:type="dxa"/>
            <w:noWrap w:val="0"/>
            <w:vAlign w:val="center"/>
          </w:tcPr>
          <w:p>
            <w:pPr>
              <w:spacing w:line="320" w:lineRule="exact"/>
              <w:jc w:val="center"/>
              <w:rPr>
                <w:rFonts w:ascii="宋体" w:hAnsi="宋体" w:cs="宋体"/>
                <w:sz w:val="24"/>
                <w:szCs w:val="24"/>
              </w:rPr>
            </w:pPr>
            <w:r>
              <w:rPr>
                <w:rFonts w:hint="eastAsia" w:ascii="宋体" w:hAnsi="宋体" w:cs="宋体"/>
                <w:sz w:val="24"/>
                <w:szCs w:val="24"/>
              </w:rPr>
              <w:t>70</w:t>
            </w:r>
          </w:p>
        </w:tc>
        <w:tc>
          <w:tcPr>
            <w:tcW w:w="731" w:type="dxa"/>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如下：</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49"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1</w:t>
            </w:r>
          </w:p>
        </w:tc>
        <w:tc>
          <w:tcPr>
            <w:tcW w:w="938"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技术性能指标</w:t>
            </w:r>
          </w:p>
        </w:tc>
        <w:tc>
          <w:tcPr>
            <w:tcW w:w="600" w:type="dxa"/>
            <w:vMerge w:val="restart"/>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40</w:t>
            </w:r>
          </w:p>
        </w:tc>
        <w:tc>
          <w:tcPr>
            <w:tcW w:w="731" w:type="dxa"/>
            <w:vMerge w:val="restart"/>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40</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 xml:space="preserve">评委根据投标产品规格、技术参数或软件技术方案及其他要求与招标文件第三章的响应程度打分，全部满足的，得 </w:t>
            </w:r>
            <w:r>
              <w:rPr>
                <w:rFonts w:hint="eastAsia" w:ascii="宋体" w:hAnsi="宋体" w:cs="宋体"/>
                <w:sz w:val="24"/>
                <w:szCs w:val="24"/>
                <w:lang w:val="en-US" w:eastAsia="zh-CN"/>
              </w:rPr>
              <w:t>40</w:t>
            </w:r>
            <w:r>
              <w:rPr>
                <w:rFonts w:hint="eastAsia" w:ascii="宋体" w:hAnsi="宋体" w:cs="宋体"/>
                <w:sz w:val="24"/>
                <w:szCs w:val="24"/>
              </w:rPr>
              <w:t>分，如每有1项标★参数不满足扣</w:t>
            </w:r>
            <w:r>
              <w:rPr>
                <w:rFonts w:hint="eastAsia" w:ascii="宋体" w:hAnsi="宋体" w:cs="宋体"/>
                <w:sz w:val="24"/>
                <w:szCs w:val="24"/>
                <w:lang w:val="en-US" w:eastAsia="zh-CN"/>
              </w:rPr>
              <w:t>6</w:t>
            </w:r>
            <w:r>
              <w:rPr>
                <w:rFonts w:hint="eastAsia" w:ascii="宋体" w:hAnsi="宋体" w:cs="宋体"/>
                <w:sz w:val="24"/>
                <w:szCs w:val="24"/>
              </w:rPr>
              <w:t>分，每有1项无标识参数不满足扣1分，扣完为止。</w:t>
            </w:r>
          </w:p>
        </w:tc>
        <w:tc>
          <w:tcPr>
            <w:tcW w:w="1234"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549" w:type="dxa"/>
            <w:vMerge w:val="continue"/>
            <w:noWrap w:val="0"/>
            <w:vAlign w:val="center"/>
          </w:tcPr>
          <w:p>
            <w:pPr>
              <w:spacing w:line="320" w:lineRule="exact"/>
              <w:jc w:val="center"/>
              <w:rPr>
                <w:rFonts w:hint="eastAsia" w:ascii="宋体" w:hAnsi="宋体" w:cs="宋体"/>
                <w:sz w:val="24"/>
                <w:szCs w:val="24"/>
              </w:rPr>
            </w:pPr>
          </w:p>
        </w:tc>
        <w:tc>
          <w:tcPr>
            <w:tcW w:w="938" w:type="dxa"/>
            <w:vMerge w:val="continue"/>
            <w:noWrap w:val="0"/>
            <w:vAlign w:val="center"/>
          </w:tcPr>
          <w:p>
            <w:pPr>
              <w:spacing w:line="320" w:lineRule="exact"/>
              <w:jc w:val="center"/>
              <w:rPr>
                <w:rFonts w:hint="eastAsia" w:ascii="宋体" w:hAnsi="宋体" w:cs="宋体"/>
                <w:sz w:val="24"/>
                <w:szCs w:val="24"/>
              </w:rPr>
            </w:pPr>
          </w:p>
        </w:tc>
        <w:tc>
          <w:tcPr>
            <w:tcW w:w="600" w:type="dxa"/>
            <w:vMerge w:val="continue"/>
            <w:noWrap w:val="0"/>
            <w:vAlign w:val="center"/>
          </w:tcPr>
          <w:p>
            <w:pPr>
              <w:spacing w:line="320" w:lineRule="exact"/>
              <w:jc w:val="center"/>
              <w:rPr>
                <w:rFonts w:hint="eastAsia" w:ascii="宋体" w:hAnsi="宋体" w:cs="宋体"/>
                <w:sz w:val="24"/>
                <w:szCs w:val="24"/>
              </w:rPr>
            </w:pPr>
          </w:p>
        </w:tc>
        <w:tc>
          <w:tcPr>
            <w:tcW w:w="731" w:type="dxa"/>
            <w:vMerge w:val="continue"/>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left"/>
              <w:rPr>
                <w:rFonts w:hint="eastAsia" w:ascii="宋体" w:hAnsi="宋体" w:cs="宋体"/>
                <w:sz w:val="24"/>
                <w:szCs w:val="24"/>
                <w:lang w:val="zh-CN"/>
              </w:rPr>
            </w:pPr>
            <w:r>
              <w:rPr>
                <w:rFonts w:hint="eastAsia" w:ascii="宋体" w:hAnsi="宋体" w:cs="宋体"/>
                <w:sz w:val="24"/>
                <w:szCs w:val="24"/>
                <w:lang w:val="en-US" w:eastAsia="zh-CN"/>
              </w:rPr>
              <w:t>1、</w:t>
            </w:r>
            <w:r>
              <w:rPr>
                <w:rFonts w:hint="eastAsia" w:ascii="宋体" w:hAnsi="宋体" w:cs="宋体"/>
                <w:sz w:val="24"/>
                <w:szCs w:val="24"/>
                <w:lang w:val="zh-CN"/>
              </w:rPr>
              <w:t>★为关键参数，供应商在投标文件中提供证明材料以证明★参数可实现性，评委按投标人提供产品彩页、说明书或检测报告(复印件加盖投标人公章)等进行评审，不提供相关资料不得分。</w:t>
            </w:r>
          </w:p>
          <w:p>
            <w:pPr>
              <w:spacing w:line="320" w:lineRule="exact"/>
              <w:jc w:val="left"/>
              <w:rPr>
                <w:rFonts w:hint="eastAsia" w:ascii="宋体" w:hAnsi="宋体" w:cs="宋体"/>
                <w:sz w:val="24"/>
                <w:szCs w:val="24"/>
                <w:lang w:val="zh-CN"/>
              </w:rPr>
            </w:pPr>
            <w:r>
              <w:rPr>
                <w:rFonts w:hint="eastAsia" w:ascii="宋体" w:hAnsi="宋体" w:cs="宋体"/>
                <w:sz w:val="24"/>
                <w:szCs w:val="24"/>
                <w:lang w:val="en-US" w:eastAsia="zh-CN"/>
              </w:rPr>
              <w:t>2、非</w:t>
            </w:r>
            <w:r>
              <w:rPr>
                <w:rFonts w:hint="eastAsia" w:ascii="宋体" w:hAnsi="宋体" w:cs="宋体"/>
                <w:sz w:val="24"/>
                <w:szCs w:val="24"/>
                <w:lang w:val="zh-CN"/>
              </w:rPr>
              <w:t>★参数</w:t>
            </w:r>
            <w:r>
              <w:rPr>
                <w:rFonts w:hint="eastAsia" w:ascii="宋体" w:hAnsi="宋体" w:cs="宋体"/>
                <w:sz w:val="24"/>
                <w:szCs w:val="24"/>
                <w:lang w:val="en-US" w:eastAsia="zh-CN"/>
              </w:rPr>
              <w:t>在</w:t>
            </w:r>
            <w:r>
              <w:rPr>
                <w:rFonts w:hint="eastAsia" w:ascii="宋体" w:hAnsi="宋体" w:cs="宋体"/>
                <w:sz w:val="24"/>
                <w:szCs w:val="24"/>
                <w:lang w:val="zh-CN"/>
              </w:rPr>
              <w:t>采购需求中明确要求提供材料按采购需求要求提供。</w:t>
            </w:r>
          </w:p>
          <w:p>
            <w:pPr>
              <w:spacing w:line="32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3、无标识参数在技术条款偏离表中填写无偏离即为响应。</w:t>
            </w:r>
          </w:p>
        </w:tc>
        <w:tc>
          <w:tcPr>
            <w:tcW w:w="1234" w:type="dxa"/>
            <w:vMerge w:val="continue"/>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2</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类似业绩</w:t>
            </w:r>
          </w:p>
        </w:tc>
        <w:tc>
          <w:tcPr>
            <w:tcW w:w="600"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731"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5767" w:type="dxa"/>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投标人自20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年1月1日至今（以合同签订时间为准）每提供一项▲产品供货及安装业绩的，每个得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分，满分</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分。</w:t>
            </w:r>
          </w:p>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注：1.项目业绩中供货产品的品牌须与本项目所投标注▲的产品一致，否则该业绩不予认可；</w:t>
            </w:r>
          </w:p>
          <w:p>
            <w:pPr>
              <w:spacing w:line="320" w:lineRule="exact"/>
              <w:jc w:val="left"/>
              <w:rPr>
                <w:rFonts w:hint="eastAsia" w:ascii="宋体" w:hAnsi="宋体" w:cs="宋体"/>
                <w:sz w:val="24"/>
                <w:szCs w:val="24"/>
              </w:rPr>
            </w:pPr>
            <w:r>
              <w:rPr>
                <w:rFonts w:hint="eastAsia" w:ascii="宋体" w:hAnsi="宋体" w:cs="宋体"/>
                <w:b/>
                <w:bCs/>
                <w:color w:val="auto"/>
                <w:sz w:val="24"/>
                <w:szCs w:val="24"/>
                <w:highlight w:val="none"/>
              </w:rPr>
              <w:t>投标文件中须提供业绩合同及验收报告的扫描件或复印件，如合同或验收合格证明材料中无法体现时间或项目内容的，须另附业主盖章的相关证明文件。</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 xml:space="preserve">提供原件扫描件放置于投标文件中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938"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产品选型</w:t>
            </w:r>
          </w:p>
        </w:tc>
        <w:tc>
          <w:tcPr>
            <w:tcW w:w="600" w:type="dxa"/>
            <w:noWrap w:val="0"/>
            <w:vAlign w:val="center"/>
          </w:tcPr>
          <w:p>
            <w:pPr>
              <w:spacing w:line="32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5767"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根据所供产品选型、配置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技术先进性及性能价格比等进行评分等进行评分：</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配置与项目匹配度高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技术先进（产品使用行业最新技术或自身技术优势明显），性能好价格低得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配置与项目匹配，无明显技术优势，性价比一般得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p>
            <w:pPr>
              <w:spacing w:line="320" w:lineRule="exact"/>
              <w:jc w:val="left"/>
              <w:rPr>
                <w:rFonts w:hint="eastAsia" w:ascii="宋体" w:hAnsi="宋体" w:cs="宋体"/>
                <w:b/>
                <w:bCs/>
                <w:color w:val="auto"/>
                <w:sz w:val="24"/>
                <w:szCs w:val="24"/>
                <w:highlight w:val="none"/>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配置与项目匹配度</w:t>
            </w:r>
            <w:r>
              <w:rPr>
                <w:rFonts w:hint="eastAsia" w:ascii="宋体" w:hAnsi="宋体" w:eastAsia="宋体" w:cs="宋体"/>
                <w:color w:val="auto"/>
                <w:sz w:val="24"/>
                <w:szCs w:val="24"/>
                <w:lang w:eastAsia="zh-CN"/>
              </w:rPr>
              <w:t>低，</w:t>
            </w:r>
            <w:r>
              <w:rPr>
                <w:rFonts w:hint="eastAsia" w:ascii="宋体" w:hAnsi="宋体" w:eastAsia="宋体" w:cs="宋体"/>
                <w:color w:val="auto"/>
                <w:sz w:val="24"/>
                <w:szCs w:val="24"/>
              </w:rPr>
              <w:t>无技术优势，价格偏高得1分。</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实施方案及售后服务</w:t>
            </w:r>
          </w:p>
        </w:tc>
        <w:tc>
          <w:tcPr>
            <w:tcW w:w="600"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731"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5767" w:type="dxa"/>
            <w:noWrap w:val="0"/>
            <w:vAlign w:val="center"/>
          </w:tcPr>
          <w:p>
            <w:pPr>
              <w:pStyle w:val="69"/>
              <w:spacing w:line="360" w:lineRule="auto"/>
              <w:ind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根据供应商针对本项目的配送措施、安装实施方案、技术方案</w:t>
            </w:r>
            <w:r>
              <w:rPr>
                <w:rFonts w:hint="eastAsia" w:ascii="宋体" w:hAnsi="宋体" w:eastAsia="宋体" w:cs="宋体"/>
                <w:b/>
                <w:bCs/>
                <w:sz w:val="24"/>
                <w:szCs w:val="24"/>
                <w:lang w:eastAsia="zh-CN"/>
              </w:rPr>
              <w:t>、</w:t>
            </w:r>
            <w:r>
              <w:rPr>
                <w:rFonts w:hint="eastAsia" w:ascii="宋体" w:hAnsi="宋体" w:eastAsia="宋体" w:cs="宋体"/>
                <w:b/>
                <w:sz w:val="24"/>
                <w:szCs w:val="24"/>
              </w:rPr>
              <w:t>售后服务承诺、培训方案</w:t>
            </w:r>
            <w:r>
              <w:rPr>
                <w:rFonts w:hint="eastAsia" w:ascii="宋体" w:hAnsi="宋体" w:eastAsia="宋体" w:cs="宋体"/>
                <w:b/>
                <w:bCs/>
                <w:sz w:val="24"/>
                <w:szCs w:val="24"/>
              </w:rPr>
              <w:t>等进行综合评审。</w:t>
            </w:r>
          </w:p>
          <w:p>
            <w:pPr>
              <w:pStyle w:val="69"/>
              <w:numPr>
                <w:ilvl w:val="0"/>
                <w:numId w:val="4"/>
              </w:numPr>
              <w:spacing w:line="360" w:lineRule="auto"/>
              <w:ind w:firstLine="0" w:firstLineChars="0"/>
              <w:jc w:val="both"/>
              <w:rPr>
                <w:rFonts w:hint="eastAsia" w:ascii="宋体" w:hAnsi="宋体" w:eastAsia="宋体" w:cs="宋体"/>
                <w:sz w:val="24"/>
                <w:szCs w:val="24"/>
              </w:rPr>
            </w:pPr>
            <w:r>
              <w:rPr>
                <w:rFonts w:hint="eastAsia" w:ascii="宋体" w:hAnsi="宋体" w:eastAsia="宋体" w:cs="宋体"/>
                <w:sz w:val="24"/>
                <w:szCs w:val="24"/>
              </w:rPr>
              <w:t>配送方案：安排技术能力强且经验丰富的人员进行配送，配送时间及时，配送物流有保障，有具体详细的配送实施计划得</w:t>
            </w:r>
            <w:r>
              <w:rPr>
                <w:rFonts w:hint="eastAsia" w:ascii="宋体" w:hAnsi="宋体" w:eastAsia="宋体" w:cs="宋体"/>
                <w:sz w:val="24"/>
                <w:szCs w:val="24"/>
                <w:lang w:val="en-US" w:eastAsia="zh-CN"/>
              </w:rPr>
              <w:t>2</w:t>
            </w:r>
            <w:r>
              <w:rPr>
                <w:rFonts w:hint="eastAsia" w:ascii="宋体" w:hAnsi="宋体" w:eastAsia="宋体" w:cs="宋体"/>
                <w:sz w:val="24"/>
                <w:szCs w:val="24"/>
              </w:rPr>
              <w:t>分；安排人员配送，承诺配送时间满足要求，有配送实施计划得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pStyle w:val="69"/>
              <w:numPr>
                <w:ilvl w:val="0"/>
                <w:numId w:val="4"/>
              </w:numPr>
              <w:spacing w:line="360" w:lineRule="auto"/>
              <w:ind w:firstLine="0" w:firstLineChars="0"/>
              <w:jc w:val="both"/>
              <w:rPr>
                <w:rFonts w:hint="eastAsia" w:ascii="宋体" w:hAnsi="宋体" w:eastAsia="宋体" w:cs="宋体"/>
                <w:sz w:val="24"/>
                <w:szCs w:val="24"/>
              </w:rPr>
            </w:pPr>
            <w:r>
              <w:rPr>
                <w:rFonts w:hint="eastAsia" w:ascii="宋体" w:hAnsi="宋体" w:eastAsia="宋体" w:cs="宋体"/>
                <w:sz w:val="24"/>
                <w:szCs w:val="24"/>
              </w:rPr>
              <w:t>安装实施方案：安排技术能力强且经验丰富的人员进行安装实施，承诺按要求安装完整，有具体详实的安装计划得</w:t>
            </w:r>
            <w:r>
              <w:rPr>
                <w:rFonts w:hint="eastAsia" w:ascii="宋体" w:hAnsi="宋体" w:eastAsia="宋体" w:cs="宋体"/>
                <w:sz w:val="24"/>
                <w:szCs w:val="24"/>
                <w:lang w:val="en-US" w:eastAsia="zh-CN"/>
              </w:rPr>
              <w:t>3</w:t>
            </w:r>
            <w:r>
              <w:rPr>
                <w:rFonts w:hint="eastAsia" w:ascii="宋体" w:hAnsi="宋体" w:eastAsia="宋体" w:cs="宋体"/>
                <w:sz w:val="24"/>
                <w:szCs w:val="24"/>
              </w:rPr>
              <w:t>分；安排人员安装，承诺按要求安装完整，有安装实施计划得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spacing w:line="360" w:lineRule="auto"/>
              <w:jc w:val="both"/>
              <w:rPr>
                <w:rFonts w:hint="eastAsia" w:ascii="宋体" w:hAnsi="宋体" w:eastAsia="宋体" w:cs="宋体"/>
                <w:b/>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技术方案：所供产品有自己的技术优势，有具体详实的技术方案（包含对自己产品的介绍，相对于其他产品在硬件、软件、设计原理、系统功能等方面的优势等）得</w:t>
            </w:r>
            <w:r>
              <w:rPr>
                <w:rFonts w:hint="eastAsia" w:ascii="宋体" w:hAnsi="宋体" w:eastAsia="宋体" w:cs="宋体"/>
                <w:sz w:val="24"/>
                <w:szCs w:val="24"/>
                <w:lang w:val="en-US" w:eastAsia="zh-CN"/>
              </w:rPr>
              <w:t>3</w:t>
            </w:r>
            <w:r>
              <w:rPr>
                <w:rFonts w:hint="eastAsia" w:ascii="宋体" w:hAnsi="宋体" w:eastAsia="宋体" w:cs="宋体"/>
                <w:sz w:val="24"/>
                <w:szCs w:val="24"/>
              </w:rPr>
              <w:t>分；所供产品无技术优势，能够基本满足采购需求，有技术方案得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numPr>
                <w:ilvl w:val="0"/>
                <w:numId w:val="0"/>
              </w:numPr>
              <w:spacing w:line="360" w:lineRule="auto"/>
              <w:jc w:val="both"/>
              <w:rPr>
                <w:rFonts w:hint="eastAsia" w:ascii="宋体" w:hAnsi="宋体" w:eastAsia="宋体" w:cs="宋体"/>
                <w:bCs/>
                <w:sz w:val="24"/>
                <w:szCs w:val="24"/>
              </w:rPr>
            </w:pPr>
            <w:r>
              <w:rPr>
                <w:rFonts w:hint="eastAsia" w:ascii="宋体" w:hAnsi="宋体" w:eastAsia="宋体" w:cs="Times New Roman"/>
                <w:bCs/>
                <w:kern w:val="2"/>
                <w:sz w:val="24"/>
                <w:szCs w:val="24"/>
                <w:lang w:val="en-US" w:eastAsia="zh-CN" w:bidi="ar-SA"/>
              </w:rPr>
              <w:t>（4）</w:t>
            </w:r>
            <w:r>
              <w:rPr>
                <w:rFonts w:hint="eastAsia" w:ascii="宋体" w:hAnsi="宋体" w:eastAsia="宋体" w:cs="宋体"/>
                <w:bCs/>
                <w:sz w:val="24"/>
                <w:szCs w:val="24"/>
              </w:rPr>
              <w:t>售后服务承诺：有持续的备品备件，产品故障维修响应时间短（在满足采购需求的基础上），配备经验丰富的专业维修人员等得</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分；有备品备件，产品故障维修响应时间能够满足采购需求，配备维修人员等得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w:t>
            </w:r>
            <w:r>
              <w:rPr>
                <w:rFonts w:hint="eastAsia" w:ascii="宋体" w:hAnsi="宋体" w:cs="宋体"/>
                <w:bCs/>
                <w:sz w:val="24"/>
                <w:szCs w:val="24"/>
                <w:lang w:val="en-US" w:eastAsia="zh-CN"/>
              </w:rPr>
              <w:t>不提供</w:t>
            </w:r>
            <w:r>
              <w:rPr>
                <w:rFonts w:hint="eastAsia" w:ascii="宋体" w:hAnsi="宋体" w:eastAsia="宋体" w:cs="宋体"/>
                <w:bCs/>
                <w:sz w:val="24"/>
                <w:szCs w:val="24"/>
              </w:rPr>
              <w:t>不得分。</w:t>
            </w:r>
          </w:p>
          <w:p>
            <w:pPr>
              <w:spacing w:line="320" w:lineRule="exact"/>
              <w:jc w:val="left"/>
              <w:rPr>
                <w:rFonts w:hint="eastAsia" w:ascii="宋体" w:hAnsi="宋体" w:cs="宋体"/>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5</w:t>
            </w:r>
            <w:r>
              <w:rPr>
                <w:rFonts w:hint="eastAsia" w:ascii="宋体" w:hAnsi="宋体" w:eastAsia="宋体" w:cs="宋体"/>
                <w:bCs/>
                <w:sz w:val="24"/>
                <w:szCs w:val="24"/>
                <w:lang w:eastAsia="zh-CN"/>
              </w:rPr>
              <w:t>）</w:t>
            </w:r>
            <w:r>
              <w:rPr>
                <w:rFonts w:hint="eastAsia" w:ascii="宋体" w:hAnsi="宋体" w:eastAsia="宋体" w:cs="宋体"/>
                <w:bCs/>
                <w:sz w:val="24"/>
                <w:szCs w:val="24"/>
              </w:rPr>
              <w:t>培训方案：培训方案具体详细可行，满足采购需求得</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分（承诺免费提供培训，直至采购人掌握基本操作原则，能够定期安排培训，及时为采购人解决操作过程中的问题，并随时提供技术支持等）；有培训方案，能够满足采购需求得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w:t>
            </w:r>
            <w:r>
              <w:rPr>
                <w:rFonts w:hint="eastAsia" w:ascii="宋体" w:hAnsi="宋体" w:cs="宋体"/>
                <w:bCs/>
                <w:sz w:val="24"/>
                <w:szCs w:val="24"/>
                <w:lang w:val="en-US" w:eastAsia="zh-CN"/>
              </w:rPr>
              <w:t>不提供</w:t>
            </w:r>
            <w:r>
              <w:rPr>
                <w:rFonts w:hint="eastAsia" w:ascii="宋体" w:hAnsi="宋体" w:eastAsia="宋体" w:cs="宋体"/>
                <w:bCs/>
                <w:sz w:val="24"/>
                <w:szCs w:val="24"/>
              </w:rPr>
              <w:t>不得分。</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投标文件售后服务承诺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49"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938"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认证</w:t>
            </w:r>
          </w:p>
        </w:tc>
        <w:tc>
          <w:tcPr>
            <w:tcW w:w="600"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5767"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或</w:t>
            </w:r>
            <w:r>
              <w:rPr>
                <w:rFonts w:hint="eastAsia" w:ascii="宋体" w:hAnsi="宋体" w:cs="宋体"/>
                <w:color w:val="auto"/>
                <w:sz w:val="24"/>
                <w:szCs w:val="24"/>
                <w:lang w:val="en-US" w:eastAsia="zh-CN"/>
              </w:rPr>
              <w:t>主要</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制造商具备有效的经中国国家认证认可监督管理委员会认证机构颁发的：</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（1）质量管理体系认证证书；</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（2）环境管理体系认证证书；</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（3）职业健康安全管理体系认证证书；</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注：每提供一项得</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分，满分</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分，</w:t>
            </w:r>
            <w:r>
              <w:rPr>
                <w:rFonts w:hint="eastAsia" w:ascii="宋体" w:hAnsi="宋体" w:eastAsia="宋体" w:cs="宋体"/>
                <w:b/>
                <w:bCs/>
                <w:color w:val="auto"/>
                <w:sz w:val="24"/>
                <w:szCs w:val="24"/>
                <w:lang w:eastAsia="zh-CN"/>
              </w:rPr>
              <w:t>投标</w:t>
            </w:r>
            <w:r>
              <w:rPr>
                <w:rFonts w:hint="eastAsia" w:ascii="宋体" w:hAnsi="宋体" w:eastAsia="宋体" w:cs="宋体"/>
                <w:b/>
                <w:bCs/>
                <w:color w:val="auto"/>
                <w:sz w:val="24"/>
                <w:szCs w:val="24"/>
              </w:rPr>
              <w:t>文件中须同时提供下列证明材料，未提供或提供不全的不得分：</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（1）认证证书扫描件或影印件或复印件；</w:t>
            </w:r>
          </w:p>
          <w:p>
            <w:pPr>
              <w:spacing w:line="320" w:lineRule="exact"/>
              <w:ind w:firstLine="482" w:firstLineChars="200"/>
              <w:jc w:val="left"/>
              <w:rPr>
                <w:rFonts w:hint="eastAsia" w:ascii="宋体" w:hAnsi="宋体" w:cs="宋体"/>
                <w:sz w:val="24"/>
                <w:szCs w:val="24"/>
              </w:rPr>
            </w:pPr>
            <w:r>
              <w:rPr>
                <w:rFonts w:hint="eastAsia" w:ascii="宋体" w:hAnsi="宋体" w:eastAsia="宋体" w:cs="宋体"/>
                <w:b/>
                <w:bCs/>
                <w:color w:val="auto"/>
                <w:sz w:val="24"/>
                <w:szCs w:val="24"/>
              </w:rPr>
              <w:t>（2）中国国家认证认可监督管理委员会官网查询截图。</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提供原件扫描件放置于投标文件中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49"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免费质保期</w:t>
            </w:r>
          </w:p>
        </w:tc>
        <w:tc>
          <w:tcPr>
            <w:tcW w:w="600"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 xml:space="preserve">免费质保期在满足招标文件的基础上，延长 1 年加 </w:t>
            </w:r>
            <w:r>
              <w:rPr>
                <w:rFonts w:hint="eastAsia" w:ascii="宋体" w:hAnsi="宋体" w:cs="宋体"/>
                <w:sz w:val="24"/>
                <w:szCs w:val="24"/>
                <w:lang w:val="en-US" w:eastAsia="zh-CN"/>
              </w:rPr>
              <w:t>2</w:t>
            </w:r>
            <w:r>
              <w:rPr>
                <w:rFonts w:hint="eastAsia" w:ascii="宋体" w:hAnsi="宋体" w:cs="宋体"/>
                <w:sz w:val="24"/>
                <w:szCs w:val="24"/>
              </w:rPr>
              <w:t xml:space="preserve">分，延长 2 年加 </w:t>
            </w:r>
            <w:r>
              <w:rPr>
                <w:rFonts w:hint="eastAsia" w:ascii="宋体" w:hAnsi="宋体" w:cs="宋体"/>
                <w:sz w:val="24"/>
                <w:szCs w:val="24"/>
                <w:lang w:val="en-US" w:eastAsia="zh-CN"/>
              </w:rPr>
              <w:t>3</w:t>
            </w:r>
            <w:r>
              <w:rPr>
                <w:rFonts w:hint="eastAsia" w:ascii="宋体" w:hAnsi="宋体" w:cs="宋体"/>
                <w:sz w:val="24"/>
                <w:szCs w:val="24"/>
              </w:rPr>
              <w:t>分。</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gridSpan w:val="2"/>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合计</w:t>
            </w:r>
          </w:p>
        </w:tc>
        <w:tc>
          <w:tcPr>
            <w:tcW w:w="600"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100</w:t>
            </w:r>
          </w:p>
        </w:tc>
        <w:tc>
          <w:tcPr>
            <w:tcW w:w="731" w:type="dxa"/>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left"/>
              <w:rPr>
                <w:rFonts w:hint="eastAsia" w:ascii="宋体" w:hAnsi="宋体" w:cs="宋体"/>
                <w:sz w:val="24"/>
                <w:szCs w:val="24"/>
              </w:rPr>
            </w:pPr>
          </w:p>
        </w:tc>
        <w:tc>
          <w:tcPr>
            <w:tcW w:w="1234" w:type="dxa"/>
            <w:noWrap w:val="0"/>
            <w:vAlign w:val="center"/>
          </w:tcPr>
          <w:p>
            <w:pPr>
              <w:spacing w:line="320" w:lineRule="exact"/>
              <w:jc w:val="center"/>
              <w:rPr>
                <w:rFonts w:hint="eastAsia" w:ascii="宋体" w:hAnsi="宋体" w:cs="宋体"/>
                <w:sz w:val="24"/>
                <w:szCs w:val="24"/>
              </w:rPr>
            </w:pPr>
          </w:p>
        </w:tc>
      </w:tr>
    </w:tbl>
    <w:p>
      <w:pPr>
        <w:spacing w:line="320" w:lineRule="exact"/>
        <w:rPr>
          <w:rFonts w:hint="eastAsia" w:ascii="宋体" w:hAnsi="宋体" w:cs="宋体"/>
          <w:bCs/>
          <w:sz w:val="24"/>
          <w:szCs w:val="24"/>
        </w:rPr>
      </w:pPr>
      <w:r>
        <w:rPr>
          <w:rFonts w:hint="eastAsia" w:ascii="宋体" w:hAnsi="宋体" w:cs="宋体"/>
          <w:b/>
          <w:bCs/>
          <w:sz w:val="24"/>
          <w:szCs w:val="24"/>
        </w:rPr>
        <w:t>注</w:t>
      </w:r>
      <w:r>
        <w:rPr>
          <w:rFonts w:hint="eastAsia" w:ascii="宋体" w:hAnsi="宋体" w:cs="宋体"/>
          <w:bCs/>
          <w:sz w:val="24"/>
          <w:szCs w:val="24"/>
        </w:rPr>
        <w:t>：1.要求用于评分的必须提供的相关证照、合同、资料等， 如未明确要求提供相关原件的， 均可以为复印件加盖投标人公章，作为投标文件组成;</w:t>
      </w:r>
    </w:p>
    <w:p>
      <w:pPr>
        <w:spacing w:line="320" w:lineRule="exact"/>
        <w:ind w:firstLine="480" w:firstLineChars="200"/>
        <w:rPr>
          <w:rFonts w:hint="eastAsia" w:ascii="宋体" w:hAnsi="宋体" w:cs="宋体"/>
          <w:bCs/>
          <w:sz w:val="24"/>
          <w:szCs w:val="24"/>
        </w:rPr>
      </w:pPr>
      <w:r>
        <w:rPr>
          <w:rFonts w:hint="eastAsia" w:ascii="宋体" w:hAnsi="宋体" w:cs="宋体"/>
          <w:bCs/>
          <w:sz w:val="24"/>
          <w:szCs w:val="24"/>
        </w:rPr>
        <w:t>2.提供业绩的时间以合同符合要求时间即视为满足；</w:t>
      </w:r>
    </w:p>
    <w:p>
      <w:pPr>
        <w:spacing w:line="320" w:lineRule="exact"/>
        <w:ind w:firstLine="480" w:firstLineChars="200"/>
        <w:rPr>
          <w:rFonts w:hint="eastAsia" w:ascii="宋体" w:hAnsi="宋体" w:cs="宋体"/>
          <w:bCs/>
          <w:sz w:val="24"/>
          <w:szCs w:val="24"/>
        </w:rPr>
      </w:pPr>
      <w:r>
        <w:rPr>
          <w:rFonts w:hint="eastAsia" w:ascii="宋体" w:hAnsi="宋体" w:cs="宋体"/>
          <w:bCs/>
          <w:sz w:val="24"/>
          <w:szCs w:val="24"/>
        </w:rPr>
        <w:t>3.弄虚作假后果自负。</w:t>
      </w:r>
    </w:p>
    <w:p>
      <w:pPr>
        <w:spacing w:line="360" w:lineRule="auto"/>
        <w:ind w:firstLine="435"/>
        <w:jc w:val="center"/>
        <w:rPr>
          <w:rFonts w:hint="eastAsia" w:ascii="Arial" w:hAnsi="Arial" w:eastAsia="宋体" w:cs="Arial"/>
          <w:color w:val="auto"/>
          <w:sz w:val="24"/>
          <w:highlight w:val="none"/>
          <w:lang w:val="en-US" w:eastAsia="zh-CN"/>
        </w:rPr>
      </w:pPr>
    </w:p>
    <w:p>
      <w:pPr>
        <w:spacing w:line="360" w:lineRule="auto"/>
        <w:ind w:firstLine="435"/>
        <w:jc w:val="center"/>
        <w:rPr>
          <w:rFonts w:hint="eastAsia" w:ascii="Arial" w:hAnsi="Arial" w:eastAsia="宋体" w:cs="Arial"/>
          <w:color w:val="auto"/>
          <w:sz w:val="24"/>
          <w:highlight w:val="none"/>
          <w:lang w:val="en-US" w:eastAsia="zh-CN"/>
        </w:rPr>
      </w:pPr>
      <w:r>
        <w:rPr>
          <w:rFonts w:hint="eastAsia" w:ascii="Arial" w:hAnsi="Arial" w:eastAsia="宋体" w:cs="Arial"/>
          <w:color w:val="auto"/>
          <w:sz w:val="24"/>
          <w:highlight w:val="none"/>
          <w:lang w:val="en-US" w:eastAsia="zh-CN"/>
        </w:rPr>
        <w:t>适用于2包</w:t>
      </w:r>
    </w:p>
    <w:tbl>
      <w:tblPr>
        <w:tblStyle w:val="25"/>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38"/>
        <w:gridCol w:w="600"/>
        <w:gridCol w:w="731"/>
        <w:gridCol w:w="576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序号</w:t>
            </w:r>
          </w:p>
        </w:tc>
        <w:tc>
          <w:tcPr>
            <w:tcW w:w="938"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评审因素</w:t>
            </w:r>
          </w:p>
        </w:tc>
        <w:tc>
          <w:tcPr>
            <w:tcW w:w="600"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满分</w:t>
            </w:r>
          </w:p>
        </w:tc>
        <w:tc>
          <w:tcPr>
            <w:tcW w:w="731"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分项满分</w:t>
            </w:r>
          </w:p>
        </w:tc>
        <w:tc>
          <w:tcPr>
            <w:tcW w:w="5767"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评分标准</w:t>
            </w:r>
          </w:p>
        </w:tc>
        <w:tc>
          <w:tcPr>
            <w:tcW w:w="1234" w:type="dxa"/>
            <w:noWrap w:val="0"/>
            <w:vAlign w:val="center"/>
          </w:tcPr>
          <w:p>
            <w:pPr>
              <w:spacing w:line="320" w:lineRule="exact"/>
              <w:jc w:val="center"/>
              <w:rPr>
                <w:rFonts w:hint="eastAsia" w:ascii="宋体" w:hAnsi="宋体" w:cs="宋体"/>
                <w:b/>
                <w:bCs/>
                <w:sz w:val="24"/>
                <w:szCs w:val="24"/>
              </w:rPr>
            </w:pPr>
            <w:r>
              <w:rPr>
                <w:rFonts w:hint="eastAsia" w:ascii="宋体" w:hAnsi="宋体" w:cs="宋体"/>
                <w:b/>
                <w:bCs/>
                <w:sz w:val="24"/>
                <w:szCs w:val="24"/>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一</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价格部分</w:t>
            </w:r>
          </w:p>
        </w:tc>
        <w:tc>
          <w:tcPr>
            <w:tcW w:w="600"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30</w:t>
            </w:r>
          </w:p>
        </w:tc>
        <w:tc>
          <w:tcPr>
            <w:tcW w:w="731"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30</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采用低价优先法计算，有效最低报价的作为基准报  价，基准报价分为满分，其他满足招标文件要求的投标人的价格分统一按照下列公式计算（打分保留两位小数）： 投标报价得分=(评标基准价／投标报价)×满分分值）</w:t>
            </w:r>
          </w:p>
          <w:p>
            <w:pPr>
              <w:spacing w:line="320" w:lineRule="exact"/>
              <w:jc w:val="left"/>
              <w:rPr>
                <w:rFonts w:ascii="宋体" w:hAnsi="宋体" w:cs="宋体"/>
                <w:sz w:val="24"/>
                <w:szCs w:val="24"/>
              </w:rPr>
            </w:pPr>
            <w:r>
              <w:rPr>
                <w:rFonts w:hint="eastAsia" w:ascii="宋体" w:hAnsi="宋体" w:cs="宋体"/>
                <w:sz w:val="24"/>
                <w:szCs w:val="24"/>
              </w:rPr>
              <w:t>注：根据《政府采购促进中小企业发展暂行办法》的相关规定，用扣除后的价格参与评审，产品需要提供小型或微型企业证明材料</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二</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技术资信商务部分</w:t>
            </w:r>
          </w:p>
        </w:tc>
        <w:tc>
          <w:tcPr>
            <w:tcW w:w="600" w:type="dxa"/>
            <w:noWrap w:val="0"/>
            <w:vAlign w:val="center"/>
          </w:tcPr>
          <w:p>
            <w:pPr>
              <w:spacing w:line="320" w:lineRule="exact"/>
              <w:jc w:val="center"/>
              <w:rPr>
                <w:rFonts w:ascii="宋体" w:hAnsi="宋体" w:cs="宋体"/>
                <w:sz w:val="24"/>
                <w:szCs w:val="24"/>
              </w:rPr>
            </w:pPr>
            <w:r>
              <w:rPr>
                <w:rFonts w:hint="eastAsia" w:ascii="宋体" w:hAnsi="宋体" w:cs="宋体"/>
                <w:sz w:val="24"/>
                <w:szCs w:val="24"/>
              </w:rPr>
              <w:t>70</w:t>
            </w:r>
          </w:p>
        </w:tc>
        <w:tc>
          <w:tcPr>
            <w:tcW w:w="731" w:type="dxa"/>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如下：</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49"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1</w:t>
            </w:r>
          </w:p>
        </w:tc>
        <w:tc>
          <w:tcPr>
            <w:tcW w:w="938"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技术性能指标</w:t>
            </w:r>
          </w:p>
        </w:tc>
        <w:tc>
          <w:tcPr>
            <w:tcW w:w="600" w:type="dxa"/>
            <w:vMerge w:val="restart"/>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43</w:t>
            </w:r>
          </w:p>
        </w:tc>
        <w:tc>
          <w:tcPr>
            <w:tcW w:w="731" w:type="dxa"/>
            <w:vMerge w:val="restart"/>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43</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 xml:space="preserve">评委根据投标产品规格、技术参数或软件技术方案及其他要求与招标文件第三章的响应程度打分，全部满足的，得 </w:t>
            </w:r>
            <w:r>
              <w:rPr>
                <w:rFonts w:hint="eastAsia" w:ascii="宋体" w:hAnsi="宋体" w:cs="宋体"/>
                <w:sz w:val="24"/>
                <w:szCs w:val="24"/>
                <w:lang w:val="en-US" w:eastAsia="zh-CN"/>
              </w:rPr>
              <w:t>43</w:t>
            </w:r>
            <w:r>
              <w:rPr>
                <w:rFonts w:hint="eastAsia" w:ascii="宋体" w:hAnsi="宋体" w:cs="宋体"/>
                <w:sz w:val="24"/>
                <w:szCs w:val="24"/>
              </w:rPr>
              <w:t>分，如每有1项标★参数不满足扣</w:t>
            </w:r>
            <w:r>
              <w:rPr>
                <w:rFonts w:hint="eastAsia" w:ascii="宋体" w:hAnsi="宋体" w:cs="宋体"/>
                <w:sz w:val="24"/>
                <w:szCs w:val="24"/>
                <w:lang w:val="en-US" w:eastAsia="zh-CN"/>
              </w:rPr>
              <w:t>2</w:t>
            </w:r>
            <w:r>
              <w:rPr>
                <w:rFonts w:hint="eastAsia" w:ascii="宋体" w:hAnsi="宋体" w:cs="宋体"/>
                <w:sz w:val="24"/>
                <w:szCs w:val="24"/>
              </w:rPr>
              <w:t>分，每有1项无标识参数不满足扣1分，扣完为止。</w:t>
            </w:r>
          </w:p>
        </w:tc>
        <w:tc>
          <w:tcPr>
            <w:tcW w:w="1234" w:type="dxa"/>
            <w:vMerge w:val="restart"/>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549" w:type="dxa"/>
            <w:vMerge w:val="continue"/>
            <w:noWrap w:val="0"/>
            <w:vAlign w:val="center"/>
          </w:tcPr>
          <w:p>
            <w:pPr>
              <w:spacing w:line="320" w:lineRule="exact"/>
              <w:jc w:val="center"/>
              <w:rPr>
                <w:rFonts w:hint="eastAsia" w:ascii="宋体" w:hAnsi="宋体" w:cs="宋体"/>
                <w:sz w:val="24"/>
                <w:szCs w:val="24"/>
              </w:rPr>
            </w:pPr>
          </w:p>
        </w:tc>
        <w:tc>
          <w:tcPr>
            <w:tcW w:w="938" w:type="dxa"/>
            <w:vMerge w:val="continue"/>
            <w:noWrap w:val="0"/>
            <w:vAlign w:val="center"/>
          </w:tcPr>
          <w:p>
            <w:pPr>
              <w:spacing w:line="320" w:lineRule="exact"/>
              <w:jc w:val="center"/>
              <w:rPr>
                <w:rFonts w:hint="eastAsia" w:ascii="宋体" w:hAnsi="宋体" w:cs="宋体"/>
                <w:sz w:val="24"/>
                <w:szCs w:val="24"/>
              </w:rPr>
            </w:pPr>
          </w:p>
        </w:tc>
        <w:tc>
          <w:tcPr>
            <w:tcW w:w="600" w:type="dxa"/>
            <w:vMerge w:val="continue"/>
            <w:noWrap w:val="0"/>
            <w:vAlign w:val="center"/>
          </w:tcPr>
          <w:p>
            <w:pPr>
              <w:spacing w:line="320" w:lineRule="exact"/>
              <w:jc w:val="center"/>
              <w:rPr>
                <w:rFonts w:hint="eastAsia" w:ascii="宋体" w:hAnsi="宋体" w:cs="宋体"/>
                <w:sz w:val="24"/>
                <w:szCs w:val="24"/>
              </w:rPr>
            </w:pPr>
          </w:p>
        </w:tc>
        <w:tc>
          <w:tcPr>
            <w:tcW w:w="731" w:type="dxa"/>
            <w:vMerge w:val="continue"/>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left"/>
              <w:rPr>
                <w:rFonts w:hint="eastAsia" w:ascii="宋体" w:hAnsi="宋体" w:cs="宋体"/>
                <w:sz w:val="24"/>
                <w:szCs w:val="24"/>
                <w:lang w:val="zh-CN"/>
              </w:rPr>
            </w:pPr>
            <w:r>
              <w:rPr>
                <w:rFonts w:hint="eastAsia" w:ascii="宋体" w:hAnsi="宋体" w:cs="宋体"/>
                <w:sz w:val="24"/>
                <w:szCs w:val="24"/>
                <w:lang w:val="en-US" w:eastAsia="zh-CN"/>
              </w:rPr>
              <w:t>1、</w:t>
            </w:r>
            <w:r>
              <w:rPr>
                <w:rFonts w:hint="eastAsia" w:ascii="宋体" w:hAnsi="宋体" w:cs="宋体"/>
                <w:sz w:val="24"/>
                <w:szCs w:val="24"/>
                <w:lang w:val="zh-CN"/>
              </w:rPr>
              <w:t>★为关键参数，供应商在投标文件中提供证明材料以证明★参数可实现性，评委按投标人提供产品彩页、说明书或检测报告(复印件加盖投标人公章)等进行评审，不提供相关资料不得分。</w:t>
            </w:r>
          </w:p>
          <w:p>
            <w:pPr>
              <w:spacing w:line="320" w:lineRule="exact"/>
              <w:jc w:val="left"/>
              <w:rPr>
                <w:rFonts w:hint="eastAsia" w:ascii="宋体" w:hAnsi="宋体" w:cs="宋体"/>
                <w:sz w:val="24"/>
                <w:szCs w:val="24"/>
                <w:lang w:val="zh-CN"/>
              </w:rPr>
            </w:pPr>
            <w:r>
              <w:rPr>
                <w:rFonts w:hint="eastAsia" w:ascii="宋体" w:hAnsi="宋体" w:cs="宋体"/>
                <w:sz w:val="24"/>
                <w:szCs w:val="24"/>
                <w:lang w:val="en-US" w:eastAsia="zh-CN"/>
              </w:rPr>
              <w:t>2、非</w:t>
            </w:r>
            <w:r>
              <w:rPr>
                <w:rFonts w:hint="eastAsia" w:ascii="宋体" w:hAnsi="宋体" w:cs="宋体"/>
                <w:sz w:val="24"/>
                <w:szCs w:val="24"/>
                <w:lang w:val="zh-CN"/>
              </w:rPr>
              <w:t>★参数</w:t>
            </w:r>
            <w:r>
              <w:rPr>
                <w:rFonts w:hint="eastAsia" w:ascii="宋体" w:hAnsi="宋体" w:cs="宋体"/>
                <w:sz w:val="24"/>
                <w:szCs w:val="24"/>
                <w:lang w:val="en-US" w:eastAsia="zh-CN"/>
              </w:rPr>
              <w:t>在</w:t>
            </w:r>
            <w:r>
              <w:rPr>
                <w:rFonts w:hint="eastAsia" w:ascii="宋体" w:hAnsi="宋体" w:cs="宋体"/>
                <w:sz w:val="24"/>
                <w:szCs w:val="24"/>
                <w:lang w:val="zh-CN"/>
              </w:rPr>
              <w:t>采购需求中明确要求提供材料按采购需求要求提供。</w:t>
            </w:r>
          </w:p>
          <w:p>
            <w:pPr>
              <w:spacing w:line="32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3、无标识参数在技术条款偏离表中填写无偏离即为响应。</w:t>
            </w:r>
          </w:p>
        </w:tc>
        <w:tc>
          <w:tcPr>
            <w:tcW w:w="1234" w:type="dxa"/>
            <w:vMerge w:val="continue"/>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2</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类似业绩</w:t>
            </w:r>
          </w:p>
        </w:tc>
        <w:tc>
          <w:tcPr>
            <w:tcW w:w="600"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731"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5767" w:type="dxa"/>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投标人自20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年1月1日至今（以合同签订时间为准）每提供一项▲产品供货及安装业绩的，每个得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分，满分</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注：1.项目业绩中供货产品的品牌须与本项目所投标注▲的产品一致，否则该业绩不予认可；</w:t>
            </w:r>
          </w:p>
          <w:p>
            <w:pPr>
              <w:spacing w:line="320" w:lineRule="exact"/>
              <w:jc w:val="left"/>
              <w:rPr>
                <w:rFonts w:hint="eastAsia" w:ascii="宋体" w:hAnsi="宋体" w:cs="宋体"/>
                <w:sz w:val="24"/>
                <w:szCs w:val="24"/>
              </w:rPr>
            </w:pPr>
            <w:r>
              <w:rPr>
                <w:rFonts w:hint="eastAsia" w:ascii="宋体" w:hAnsi="宋体" w:cs="宋体"/>
                <w:b/>
                <w:bCs/>
                <w:color w:val="auto"/>
                <w:sz w:val="24"/>
                <w:szCs w:val="24"/>
                <w:highlight w:val="none"/>
              </w:rPr>
              <w:t>投标文件中须提供业绩合同及验收报告的扫描件或复印件，如合同或验收合格证明材料中无法体现时间或项目内容的，须另附业主盖章的相关证明文件。</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 xml:space="preserve">提供原件扫描件放置于投标文件中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938" w:type="dxa"/>
            <w:noWrap w:val="0"/>
            <w:vAlign w:val="center"/>
          </w:tcPr>
          <w:p>
            <w:pPr>
              <w:spacing w:line="32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产品选型</w:t>
            </w:r>
          </w:p>
        </w:tc>
        <w:tc>
          <w:tcPr>
            <w:tcW w:w="600" w:type="dxa"/>
            <w:noWrap w:val="0"/>
            <w:vAlign w:val="center"/>
          </w:tcPr>
          <w:p>
            <w:pPr>
              <w:spacing w:line="32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5767"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根据所供产品选型、配置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技术先进性及性能价格比等进行评分等进行评分：</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配置与项目匹配度高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技术先进（产品使用行业最新技术或自身技术优势明显），性能好价格低得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配置与项目匹配，无明显技术优势，性价比一般得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p>
            <w:pPr>
              <w:spacing w:line="320" w:lineRule="exact"/>
              <w:jc w:val="left"/>
              <w:rPr>
                <w:rFonts w:hint="eastAsia" w:ascii="宋体" w:hAnsi="宋体" w:cs="宋体"/>
                <w:b/>
                <w:bCs/>
                <w:color w:val="auto"/>
                <w:sz w:val="24"/>
                <w:szCs w:val="24"/>
                <w:highlight w:val="none"/>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产品选型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配置与项目匹配度</w:t>
            </w:r>
            <w:r>
              <w:rPr>
                <w:rFonts w:hint="eastAsia" w:ascii="宋体" w:hAnsi="宋体" w:eastAsia="宋体" w:cs="宋体"/>
                <w:color w:val="auto"/>
                <w:sz w:val="24"/>
                <w:szCs w:val="24"/>
                <w:lang w:eastAsia="zh-CN"/>
              </w:rPr>
              <w:t>低，</w:t>
            </w:r>
            <w:r>
              <w:rPr>
                <w:rFonts w:hint="eastAsia" w:ascii="宋体" w:hAnsi="宋体" w:eastAsia="宋体" w:cs="宋体"/>
                <w:color w:val="auto"/>
                <w:sz w:val="24"/>
                <w:szCs w:val="24"/>
              </w:rPr>
              <w:t>无技术优势，价格偏高得1分。</w:t>
            </w:r>
          </w:p>
        </w:tc>
        <w:tc>
          <w:tcPr>
            <w:tcW w:w="1234" w:type="dxa"/>
            <w:noWrap w:val="0"/>
            <w:vAlign w:val="center"/>
          </w:tcPr>
          <w:p>
            <w:pPr>
              <w:spacing w:line="32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49"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3</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实施方案及售后服务</w:t>
            </w:r>
          </w:p>
        </w:tc>
        <w:tc>
          <w:tcPr>
            <w:tcW w:w="600"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731"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5767" w:type="dxa"/>
            <w:noWrap w:val="0"/>
            <w:vAlign w:val="center"/>
          </w:tcPr>
          <w:p>
            <w:pPr>
              <w:pStyle w:val="69"/>
              <w:spacing w:line="360" w:lineRule="auto"/>
              <w:ind w:firstLine="0" w:firstLineChars="0"/>
              <w:jc w:val="both"/>
              <w:rPr>
                <w:rFonts w:hint="eastAsia" w:ascii="宋体" w:hAnsi="宋体" w:eastAsia="宋体" w:cs="宋体"/>
                <w:b/>
                <w:bCs/>
                <w:sz w:val="24"/>
                <w:szCs w:val="24"/>
              </w:rPr>
            </w:pPr>
            <w:r>
              <w:rPr>
                <w:rFonts w:hint="eastAsia" w:ascii="宋体" w:hAnsi="宋体" w:eastAsia="宋体" w:cs="宋体"/>
                <w:b/>
                <w:bCs/>
                <w:sz w:val="24"/>
                <w:szCs w:val="24"/>
              </w:rPr>
              <w:t>根据供应商针对本项目的配送措施、安装实施方案、技术方案</w:t>
            </w:r>
            <w:r>
              <w:rPr>
                <w:rFonts w:hint="eastAsia" w:ascii="宋体" w:hAnsi="宋体" w:eastAsia="宋体" w:cs="宋体"/>
                <w:b/>
                <w:bCs/>
                <w:sz w:val="24"/>
                <w:szCs w:val="24"/>
                <w:lang w:eastAsia="zh-CN"/>
              </w:rPr>
              <w:t>、</w:t>
            </w:r>
            <w:r>
              <w:rPr>
                <w:rFonts w:hint="eastAsia" w:ascii="宋体" w:hAnsi="宋体" w:eastAsia="宋体" w:cs="宋体"/>
                <w:b/>
                <w:sz w:val="24"/>
                <w:szCs w:val="24"/>
              </w:rPr>
              <w:t>售后服务承诺、培训方案</w:t>
            </w:r>
            <w:r>
              <w:rPr>
                <w:rFonts w:hint="eastAsia" w:ascii="宋体" w:hAnsi="宋体" w:eastAsia="宋体" w:cs="宋体"/>
                <w:b/>
                <w:bCs/>
                <w:sz w:val="24"/>
                <w:szCs w:val="24"/>
              </w:rPr>
              <w:t>等进行综合评审。</w:t>
            </w:r>
          </w:p>
          <w:p>
            <w:pPr>
              <w:pStyle w:val="69"/>
              <w:numPr>
                <w:ilvl w:val="0"/>
                <w:numId w:val="4"/>
              </w:numPr>
              <w:spacing w:line="360" w:lineRule="auto"/>
              <w:ind w:firstLine="0" w:firstLineChars="0"/>
              <w:jc w:val="both"/>
              <w:rPr>
                <w:rFonts w:hint="eastAsia" w:ascii="宋体" w:hAnsi="宋体" w:eastAsia="宋体" w:cs="宋体"/>
                <w:sz w:val="24"/>
                <w:szCs w:val="24"/>
              </w:rPr>
            </w:pPr>
            <w:r>
              <w:rPr>
                <w:rFonts w:hint="eastAsia" w:ascii="宋体" w:hAnsi="宋体" w:eastAsia="宋体" w:cs="宋体"/>
                <w:sz w:val="24"/>
                <w:szCs w:val="24"/>
              </w:rPr>
              <w:t>配送方案：安排技术能力强且经验丰富的人员进行配送，配送时间及时，配送物流有保障，有具体详细的配送实施计划得</w:t>
            </w:r>
            <w:r>
              <w:rPr>
                <w:rFonts w:hint="eastAsia" w:ascii="宋体" w:hAnsi="宋体" w:eastAsia="宋体" w:cs="宋体"/>
                <w:sz w:val="24"/>
                <w:szCs w:val="24"/>
                <w:lang w:val="en-US" w:eastAsia="zh-CN"/>
              </w:rPr>
              <w:t>2</w:t>
            </w:r>
            <w:r>
              <w:rPr>
                <w:rFonts w:hint="eastAsia" w:ascii="宋体" w:hAnsi="宋体" w:eastAsia="宋体" w:cs="宋体"/>
                <w:sz w:val="24"/>
                <w:szCs w:val="24"/>
              </w:rPr>
              <w:t>分；安排人员配送，承诺配送时间满足要求，有配送实施计划得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pStyle w:val="69"/>
              <w:numPr>
                <w:ilvl w:val="0"/>
                <w:numId w:val="4"/>
              </w:numPr>
              <w:spacing w:line="360" w:lineRule="auto"/>
              <w:ind w:firstLine="0" w:firstLineChars="0"/>
              <w:jc w:val="both"/>
              <w:rPr>
                <w:rFonts w:hint="eastAsia" w:ascii="宋体" w:hAnsi="宋体" w:eastAsia="宋体" w:cs="宋体"/>
                <w:sz w:val="24"/>
                <w:szCs w:val="24"/>
              </w:rPr>
            </w:pPr>
            <w:r>
              <w:rPr>
                <w:rFonts w:hint="eastAsia" w:ascii="宋体" w:hAnsi="宋体" w:eastAsia="宋体" w:cs="宋体"/>
                <w:sz w:val="24"/>
                <w:szCs w:val="24"/>
              </w:rPr>
              <w:t>安装实施方案：安排技术能力强且经验丰富的人员进行安装实施，承诺按要求安装完整，有具体详实的安装计划得</w:t>
            </w:r>
            <w:r>
              <w:rPr>
                <w:rFonts w:hint="eastAsia" w:ascii="宋体" w:hAnsi="宋体" w:eastAsia="宋体" w:cs="宋体"/>
                <w:sz w:val="24"/>
                <w:szCs w:val="24"/>
                <w:lang w:val="en-US" w:eastAsia="zh-CN"/>
              </w:rPr>
              <w:t>3</w:t>
            </w:r>
            <w:r>
              <w:rPr>
                <w:rFonts w:hint="eastAsia" w:ascii="宋体" w:hAnsi="宋体" w:eastAsia="宋体" w:cs="宋体"/>
                <w:sz w:val="24"/>
                <w:szCs w:val="24"/>
              </w:rPr>
              <w:t>分；安排人员安装，承诺按要求安装完整，有安装实施计划得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spacing w:line="360" w:lineRule="auto"/>
              <w:jc w:val="both"/>
              <w:rPr>
                <w:rFonts w:hint="eastAsia" w:ascii="宋体" w:hAnsi="宋体" w:eastAsia="宋体" w:cs="宋体"/>
                <w:b/>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技术方案：所供产品有自己的技术优势，有具体详实的技术方案（包含对自己产品的介绍，相对于其他产品在硬件、软件、设计原理、系统功能等方面的优势等）得</w:t>
            </w:r>
            <w:r>
              <w:rPr>
                <w:rFonts w:hint="eastAsia" w:ascii="宋体" w:hAnsi="宋体" w:eastAsia="宋体" w:cs="宋体"/>
                <w:sz w:val="24"/>
                <w:szCs w:val="24"/>
                <w:lang w:val="en-US" w:eastAsia="zh-CN"/>
              </w:rPr>
              <w:t>3</w:t>
            </w:r>
            <w:r>
              <w:rPr>
                <w:rFonts w:hint="eastAsia" w:ascii="宋体" w:hAnsi="宋体" w:eastAsia="宋体" w:cs="宋体"/>
                <w:sz w:val="24"/>
                <w:szCs w:val="24"/>
              </w:rPr>
              <w:t>分；所供产品无技术优势，能够基本满足采购需求，有技术方案得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cs="宋体"/>
                <w:sz w:val="24"/>
                <w:szCs w:val="24"/>
                <w:lang w:val="en-US" w:eastAsia="zh-CN"/>
              </w:rPr>
              <w:t>不提供</w:t>
            </w:r>
            <w:r>
              <w:rPr>
                <w:rFonts w:hint="eastAsia" w:ascii="宋体" w:hAnsi="宋体" w:eastAsia="宋体" w:cs="宋体"/>
                <w:sz w:val="24"/>
                <w:szCs w:val="24"/>
              </w:rPr>
              <w:t>不得分。</w:t>
            </w:r>
          </w:p>
          <w:p>
            <w:pPr>
              <w:numPr>
                <w:ilvl w:val="0"/>
                <w:numId w:val="0"/>
              </w:numPr>
              <w:spacing w:line="360" w:lineRule="auto"/>
              <w:jc w:val="both"/>
              <w:rPr>
                <w:rFonts w:hint="eastAsia" w:ascii="宋体" w:hAnsi="宋体" w:eastAsia="宋体" w:cs="宋体"/>
                <w:bCs/>
                <w:sz w:val="24"/>
                <w:szCs w:val="24"/>
              </w:rPr>
            </w:pPr>
            <w:r>
              <w:rPr>
                <w:rFonts w:hint="eastAsia" w:ascii="宋体" w:hAnsi="宋体" w:eastAsia="宋体" w:cs="Times New Roman"/>
                <w:bCs/>
                <w:kern w:val="2"/>
                <w:sz w:val="24"/>
                <w:szCs w:val="24"/>
                <w:lang w:val="en-US" w:eastAsia="zh-CN" w:bidi="ar-SA"/>
              </w:rPr>
              <w:t>（4）</w:t>
            </w:r>
            <w:r>
              <w:rPr>
                <w:rFonts w:hint="eastAsia" w:ascii="宋体" w:hAnsi="宋体" w:eastAsia="宋体" w:cs="宋体"/>
                <w:bCs/>
                <w:sz w:val="24"/>
                <w:szCs w:val="24"/>
              </w:rPr>
              <w:t>售后服务承诺：有持续的备品备件，产品故障维修响应时间短（在满足采购需求的基础上），配备经验丰富的专业维修人员等得</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分；有备品备件，产品故障维修响应时间能够满足采购需求，配备维修人员等得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w:t>
            </w:r>
            <w:r>
              <w:rPr>
                <w:rFonts w:hint="eastAsia" w:ascii="宋体" w:hAnsi="宋体" w:cs="宋体"/>
                <w:bCs/>
                <w:sz w:val="24"/>
                <w:szCs w:val="24"/>
                <w:lang w:val="en-US" w:eastAsia="zh-CN"/>
              </w:rPr>
              <w:t>不提供</w:t>
            </w:r>
            <w:r>
              <w:rPr>
                <w:rFonts w:hint="eastAsia" w:ascii="宋体" w:hAnsi="宋体" w:eastAsia="宋体" w:cs="宋体"/>
                <w:bCs/>
                <w:sz w:val="24"/>
                <w:szCs w:val="24"/>
              </w:rPr>
              <w:t>不得分。</w:t>
            </w:r>
          </w:p>
          <w:p>
            <w:pPr>
              <w:spacing w:line="320" w:lineRule="exact"/>
              <w:jc w:val="left"/>
              <w:rPr>
                <w:rFonts w:hint="eastAsia" w:ascii="宋体" w:hAnsi="宋体" w:cs="宋体"/>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5</w:t>
            </w:r>
            <w:r>
              <w:rPr>
                <w:rFonts w:hint="eastAsia" w:ascii="宋体" w:hAnsi="宋体" w:eastAsia="宋体" w:cs="宋体"/>
                <w:bCs/>
                <w:sz w:val="24"/>
                <w:szCs w:val="24"/>
                <w:lang w:eastAsia="zh-CN"/>
              </w:rPr>
              <w:t>）</w:t>
            </w:r>
            <w:r>
              <w:rPr>
                <w:rFonts w:hint="eastAsia" w:ascii="宋体" w:hAnsi="宋体" w:eastAsia="宋体" w:cs="宋体"/>
                <w:bCs/>
                <w:sz w:val="24"/>
                <w:szCs w:val="24"/>
              </w:rPr>
              <w:t>培训方案：培训方案具体详细可行，满足采购需求得</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分（承诺免费提供培训，直至采购人掌握基本操作原则，能够定期安排培训，及时为采购人解决操作过程中的问题，并随时提供技术支持等）；有培训方案，能够满足采购需求得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w:t>
            </w:r>
            <w:r>
              <w:rPr>
                <w:rFonts w:hint="eastAsia" w:ascii="宋体" w:hAnsi="宋体" w:cs="宋体"/>
                <w:bCs/>
                <w:sz w:val="24"/>
                <w:szCs w:val="24"/>
                <w:lang w:val="en-US" w:eastAsia="zh-CN"/>
              </w:rPr>
              <w:t>不提供</w:t>
            </w:r>
            <w:r>
              <w:rPr>
                <w:rFonts w:hint="eastAsia" w:ascii="宋体" w:hAnsi="宋体" w:eastAsia="宋体" w:cs="宋体"/>
                <w:bCs/>
                <w:sz w:val="24"/>
                <w:szCs w:val="24"/>
              </w:rPr>
              <w:t>不得分。</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投标文件售后服务承诺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49"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938"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认证</w:t>
            </w:r>
          </w:p>
        </w:tc>
        <w:tc>
          <w:tcPr>
            <w:tcW w:w="600"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5767"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或</w:t>
            </w:r>
            <w:r>
              <w:rPr>
                <w:rFonts w:hint="eastAsia" w:ascii="宋体" w:hAnsi="宋体" w:cs="宋体"/>
                <w:color w:val="auto"/>
                <w:sz w:val="24"/>
                <w:szCs w:val="24"/>
                <w:lang w:val="en-US" w:eastAsia="zh-CN"/>
              </w:rPr>
              <w:t>主要</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制造商具备有效的经中国国家认证认可监督管理委员会认证机构颁发的：</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（1）质量管理体系认证证书；</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（2）环境管理体系认证证书；</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（3）职业健康安全管理体系认证证书；</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注：每提供一项得</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分，满分</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分，</w:t>
            </w:r>
            <w:r>
              <w:rPr>
                <w:rFonts w:hint="eastAsia" w:ascii="宋体" w:hAnsi="宋体" w:eastAsia="宋体" w:cs="宋体"/>
                <w:b/>
                <w:bCs/>
                <w:color w:val="auto"/>
                <w:sz w:val="24"/>
                <w:szCs w:val="24"/>
                <w:lang w:eastAsia="zh-CN"/>
              </w:rPr>
              <w:t>投标</w:t>
            </w:r>
            <w:r>
              <w:rPr>
                <w:rFonts w:hint="eastAsia" w:ascii="宋体" w:hAnsi="宋体" w:eastAsia="宋体" w:cs="宋体"/>
                <w:b/>
                <w:bCs/>
                <w:color w:val="auto"/>
                <w:sz w:val="24"/>
                <w:szCs w:val="24"/>
              </w:rPr>
              <w:t>文件中须同时提供下列证明材料，未提供或提供不全的不得分：</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（1）认证证书扫描件或影印件或复印件；</w:t>
            </w:r>
          </w:p>
          <w:p>
            <w:pPr>
              <w:spacing w:line="320" w:lineRule="exact"/>
              <w:ind w:firstLine="482" w:firstLineChars="200"/>
              <w:jc w:val="left"/>
              <w:rPr>
                <w:rFonts w:hint="eastAsia" w:ascii="宋体" w:hAnsi="宋体" w:cs="宋体"/>
                <w:sz w:val="24"/>
                <w:szCs w:val="24"/>
              </w:rPr>
            </w:pPr>
            <w:r>
              <w:rPr>
                <w:rFonts w:hint="eastAsia" w:ascii="宋体" w:hAnsi="宋体" w:eastAsia="宋体" w:cs="宋体"/>
                <w:b/>
                <w:bCs/>
                <w:color w:val="auto"/>
                <w:sz w:val="24"/>
                <w:szCs w:val="24"/>
              </w:rPr>
              <w:t>（2）中国国家认证认可监督管理委员会官网查询截图。</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提供原件扫描件放置于投标文件中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49"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938"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免费质保期</w:t>
            </w:r>
          </w:p>
        </w:tc>
        <w:tc>
          <w:tcPr>
            <w:tcW w:w="600"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731" w:type="dxa"/>
            <w:noWrap w:val="0"/>
            <w:vAlign w:val="center"/>
          </w:tcPr>
          <w:p>
            <w:pPr>
              <w:spacing w:line="32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5767" w:type="dxa"/>
            <w:noWrap w:val="0"/>
            <w:vAlign w:val="center"/>
          </w:tcPr>
          <w:p>
            <w:pPr>
              <w:spacing w:line="320" w:lineRule="exact"/>
              <w:jc w:val="left"/>
              <w:rPr>
                <w:rFonts w:hint="eastAsia" w:ascii="宋体" w:hAnsi="宋体" w:cs="宋体"/>
                <w:sz w:val="24"/>
                <w:szCs w:val="24"/>
              </w:rPr>
            </w:pPr>
            <w:r>
              <w:rPr>
                <w:rFonts w:hint="eastAsia" w:ascii="宋体" w:hAnsi="宋体" w:cs="宋体"/>
                <w:sz w:val="24"/>
                <w:szCs w:val="24"/>
              </w:rPr>
              <w:t xml:space="preserve">免费质保期在满足招标文件的基础上，延长 1 年加 </w:t>
            </w:r>
            <w:r>
              <w:rPr>
                <w:rFonts w:hint="eastAsia" w:ascii="宋体" w:hAnsi="宋体" w:cs="宋体"/>
                <w:sz w:val="24"/>
                <w:szCs w:val="24"/>
                <w:lang w:val="en-US" w:eastAsia="zh-CN"/>
              </w:rPr>
              <w:t>2</w:t>
            </w:r>
            <w:r>
              <w:rPr>
                <w:rFonts w:hint="eastAsia" w:ascii="宋体" w:hAnsi="宋体" w:cs="宋体"/>
                <w:sz w:val="24"/>
                <w:szCs w:val="24"/>
              </w:rPr>
              <w:t xml:space="preserve">分，延长 2 年加 </w:t>
            </w:r>
            <w:r>
              <w:rPr>
                <w:rFonts w:hint="eastAsia" w:ascii="宋体" w:hAnsi="宋体" w:cs="宋体"/>
                <w:sz w:val="24"/>
                <w:szCs w:val="24"/>
                <w:lang w:val="en-US" w:eastAsia="zh-CN"/>
              </w:rPr>
              <w:t>3</w:t>
            </w:r>
            <w:r>
              <w:rPr>
                <w:rFonts w:hint="eastAsia" w:ascii="宋体" w:hAnsi="宋体" w:cs="宋体"/>
                <w:sz w:val="24"/>
                <w:szCs w:val="24"/>
              </w:rPr>
              <w:t>分。</w:t>
            </w:r>
          </w:p>
        </w:tc>
        <w:tc>
          <w:tcPr>
            <w:tcW w:w="1234"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7" w:type="dxa"/>
            <w:gridSpan w:val="2"/>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合计</w:t>
            </w:r>
          </w:p>
        </w:tc>
        <w:tc>
          <w:tcPr>
            <w:tcW w:w="600"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100</w:t>
            </w:r>
          </w:p>
        </w:tc>
        <w:tc>
          <w:tcPr>
            <w:tcW w:w="731" w:type="dxa"/>
            <w:noWrap w:val="0"/>
            <w:vAlign w:val="center"/>
          </w:tcPr>
          <w:p>
            <w:pPr>
              <w:spacing w:line="320" w:lineRule="exact"/>
              <w:jc w:val="center"/>
              <w:rPr>
                <w:rFonts w:hint="eastAsia" w:ascii="宋体" w:hAnsi="宋体" w:cs="宋体"/>
                <w:sz w:val="24"/>
                <w:szCs w:val="24"/>
              </w:rPr>
            </w:pPr>
          </w:p>
        </w:tc>
        <w:tc>
          <w:tcPr>
            <w:tcW w:w="5767" w:type="dxa"/>
            <w:noWrap w:val="0"/>
            <w:vAlign w:val="center"/>
          </w:tcPr>
          <w:p>
            <w:pPr>
              <w:spacing w:line="320" w:lineRule="exact"/>
              <w:jc w:val="left"/>
              <w:rPr>
                <w:rFonts w:hint="eastAsia" w:ascii="宋体" w:hAnsi="宋体" w:cs="宋体"/>
                <w:sz w:val="24"/>
                <w:szCs w:val="24"/>
              </w:rPr>
            </w:pPr>
          </w:p>
        </w:tc>
        <w:tc>
          <w:tcPr>
            <w:tcW w:w="1234" w:type="dxa"/>
            <w:noWrap w:val="0"/>
            <w:vAlign w:val="center"/>
          </w:tcPr>
          <w:p>
            <w:pPr>
              <w:spacing w:line="320" w:lineRule="exact"/>
              <w:jc w:val="center"/>
              <w:rPr>
                <w:rFonts w:hint="eastAsia" w:ascii="宋体" w:hAnsi="宋体" w:cs="宋体"/>
                <w:sz w:val="24"/>
                <w:szCs w:val="24"/>
              </w:rPr>
            </w:pPr>
          </w:p>
        </w:tc>
      </w:tr>
    </w:tbl>
    <w:p>
      <w:pPr>
        <w:spacing w:line="320" w:lineRule="exact"/>
        <w:rPr>
          <w:rFonts w:hint="eastAsia" w:ascii="宋体" w:hAnsi="宋体" w:cs="宋体"/>
          <w:bCs/>
          <w:sz w:val="24"/>
          <w:szCs w:val="24"/>
        </w:rPr>
      </w:pPr>
      <w:r>
        <w:rPr>
          <w:rFonts w:hint="eastAsia" w:ascii="宋体" w:hAnsi="宋体" w:cs="宋体"/>
          <w:b/>
          <w:bCs/>
          <w:sz w:val="24"/>
          <w:szCs w:val="24"/>
        </w:rPr>
        <w:t>注</w:t>
      </w:r>
      <w:r>
        <w:rPr>
          <w:rFonts w:hint="eastAsia" w:ascii="宋体" w:hAnsi="宋体" w:cs="宋体"/>
          <w:bCs/>
          <w:sz w:val="24"/>
          <w:szCs w:val="24"/>
        </w:rPr>
        <w:t>：1.要求用于评分的必须提供的相关证照、合同、资料等， 如未明确要求提供相关原件的， 均可以为复印件加盖投标人公章，作为投标文件组成;</w:t>
      </w:r>
    </w:p>
    <w:p>
      <w:pPr>
        <w:spacing w:line="320" w:lineRule="exact"/>
        <w:ind w:firstLine="480" w:firstLineChars="200"/>
        <w:rPr>
          <w:rFonts w:hint="eastAsia" w:ascii="宋体" w:hAnsi="宋体" w:cs="宋体"/>
          <w:bCs/>
          <w:sz w:val="24"/>
          <w:szCs w:val="24"/>
        </w:rPr>
      </w:pPr>
      <w:r>
        <w:rPr>
          <w:rFonts w:hint="eastAsia" w:ascii="宋体" w:hAnsi="宋体" w:cs="宋体"/>
          <w:bCs/>
          <w:sz w:val="24"/>
          <w:szCs w:val="24"/>
        </w:rPr>
        <w:t>2.提供业绩的时间以合同符合要求时间即视为满足；</w:t>
      </w:r>
    </w:p>
    <w:p>
      <w:pPr>
        <w:spacing w:line="320" w:lineRule="exact"/>
        <w:ind w:firstLine="480" w:firstLineChars="200"/>
        <w:rPr>
          <w:rFonts w:hint="eastAsia" w:ascii="宋体" w:hAnsi="宋体" w:cs="宋体"/>
          <w:bCs/>
          <w:sz w:val="24"/>
          <w:szCs w:val="24"/>
        </w:rPr>
      </w:pPr>
      <w:r>
        <w:rPr>
          <w:rFonts w:hint="eastAsia" w:ascii="宋体" w:hAnsi="宋体" w:cs="宋体"/>
          <w:bCs/>
          <w:sz w:val="24"/>
          <w:szCs w:val="24"/>
        </w:rPr>
        <w:t>3.弄虚作假后果自负。</w:t>
      </w:r>
    </w:p>
    <w:p>
      <w:pPr>
        <w:spacing w:line="240" w:lineRule="atLeast"/>
        <w:rPr>
          <w:rFonts w:ascii="Arial" w:hAnsi="Arial" w:cs="Arial"/>
          <w:sz w:val="24"/>
        </w:rPr>
      </w:pPr>
      <w:r>
        <w:rPr>
          <w:rFonts w:hint="eastAsia" w:ascii="Arial" w:hAnsi="Arial" w:cs="Arial"/>
          <w:sz w:val="24"/>
        </w:rPr>
        <w:t xml:space="preserve"> </w:t>
      </w:r>
      <w:r>
        <w:rPr>
          <w:rFonts w:ascii="Arial" w:hAnsi="Arial" w:cs="Arial"/>
          <w:sz w:val="24"/>
        </w:rPr>
        <w:t>2.3.3</w:t>
      </w:r>
      <w:r>
        <w:rPr>
          <w:rFonts w:hint="eastAsia" w:ascii="Arial" w:hAnsi="Arial" w:cs="Arial"/>
          <w:sz w:val="24"/>
        </w:rPr>
        <w:t>分值汇总</w:t>
      </w:r>
    </w:p>
    <w:p>
      <w:pPr>
        <w:spacing w:line="360" w:lineRule="auto"/>
        <w:ind w:firstLine="435"/>
        <w:rPr>
          <w:rFonts w:hint="eastAsia" w:ascii="宋体" w:hAnsi="宋体"/>
          <w:sz w:val="24"/>
        </w:rPr>
      </w:pPr>
      <w:r>
        <w:rPr>
          <w:rFonts w:hint="eastAsia" w:ascii="宋体" w:hAnsi="宋体"/>
          <w:sz w:val="24"/>
        </w:rPr>
        <w:t>（1）技术资信评分</w:t>
      </w:r>
    </w:p>
    <w:p>
      <w:pPr>
        <w:spacing w:line="360" w:lineRule="auto"/>
        <w:ind w:firstLine="435"/>
        <w:rPr>
          <w:rFonts w:ascii="宋体" w:hAnsi="宋体"/>
          <w:sz w:val="24"/>
        </w:rPr>
      </w:pPr>
      <w:r>
        <w:rPr>
          <w:rFonts w:ascii="宋体" w:hAnsi="宋体"/>
          <w:sz w:val="24"/>
        </w:rPr>
        <w:t>评标委员会各成员应当独立对每个</w:t>
      </w:r>
      <w:r>
        <w:rPr>
          <w:rFonts w:hint="eastAsia" w:ascii="宋体" w:hAnsi="宋体"/>
          <w:sz w:val="24"/>
        </w:rPr>
        <w:t>有效</w:t>
      </w:r>
      <w:r>
        <w:rPr>
          <w:rFonts w:ascii="宋体" w:hAnsi="宋体"/>
          <w:sz w:val="24"/>
        </w:rPr>
        <w:t>投标人的投标文件进行评</w:t>
      </w:r>
      <w:r>
        <w:rPr>
          <w:rFonts w:hint="eastAsia" w:ascii="宋体" w:hAnsi="宋体"/>
          <w:sz w:val="24"/>
        </w:rPr>
        <w:t>分</w:t>
      </w:r>
      <w:r>
        <w:rPr>
          <w:rFonts w:ascii="宋体" w:hAnsi="宋体"/>
          <w:sz w:val="24"/>
        </w:rPr>
        <w:t>，并汇总每个投</w:t>
      </w:r>
      <w:r>
        <w:rPr>
          <w:rFonts w:hint="eastAsia" w:ascii="宋体" w:hAnsi="宋体"/>
          <w:sz w:val="24"/>
        </w:rPr>
        <w:t>标人的得分。取各位评委评分之平均值（四舍五入保留至小数点后两位数），</w:t>
      </w:r>
      <w:r>
        <w:rPr>
          <w:rFonts w:ascii="宋体" w:hAnsi="宋体"/>
          <w:sz w:val="24"/>
        </w:rPr>
        <w:t>得到该投标</w:t>
      </w:r>
      <w:r>
        <w:rPr>
          <w:rFonts w:hint="eastAsia" w:ascii="宋体" w:hAnsi="宋体"/>
          <w:sz w:val="24"/>
        </w:rPr>
        <w:t>人</w:t>
      </w:r>
      <w:r>
        <w:rPr>
          <w:rFonts w:ascii="宋体" w:hAnsi="宋体"/>
          <w:sz w:val="24"/>
        </w:rPr>
        <w:t>的技术资信分</w:t>
      </w:r>
      <w:r>
        <w:rPr>
          <w:rFonts w:hint="eastAsia" w:ascii="宋体" w:hAnsi="宋体"/>
          <w:sz w:val="24"/>
        </w:rPr>
        <w:t>。</w:t>
      </w:r>
    </w:p>
    <w:p>
      <w:pPr>
        <w:spacing w:line="360" w:lineRule="auto"/>
        <w:ind w:firstLine="435"/>
        <w:rPr>
          <w:rFonts w:hint="eastAsia" w:ascii="宋体" w:hAnsi="宋体"/>
          <w:sz w:val="24"/>
        </w:rPr>
      </w:pPr>
      <w:r>
        <w:rPr>
          <w:rFonts w:hint="eastAsia" w:ascii="宋体" w:hAnsi="宋体"/>
          <w:sz w:val="24"/>
        </w:rPr>
        <w:t>（2）综合总得分</w:t>
      </w:r>
    </w:p>
    <w:p>
      <w:pPr>
        <w:spacing w:line="360" w:lineRule="auto"/>
        <w:ind w:firstLine="435"/>
        <w:rPr>
          <w:rFonts w:ascii="宋体" w:hAnsi="宋体"/>
          <w:sz w:val="24"/>
        </w:rPr>
      </w:pPr>
      <w:r>
        <w:rPr>
          <w:rFonts w:ascii="宋体" w:hAnsi="宋体"/>
          <w:sz w:val="24"/>
        </w:rPr>
        <w:t>将投标</w:t>
      </w:r>
      <w:r>
        <w:rPr>
          <w:rFonts w:hint="eastAsia" w:ascii="宋体" w:hAnsi="宋体"/>
          <w:sz w:val="24"/>
        </w:rPr>
        <w:t>人</w:t>
      </w:r>
      <w:r>
        <w:rPr>
          <w:rFonts w:ascii="宋体" w:hAnsi="宋体"/>
          <w:sz w:val="24"/>
        </w:rPr>
        <w:t>的技术资信分加上根据上述标准计算出的价格分，即为该投标</w:t>
      </w:r>
      <w:r>
        <w:rPr>
          <w:rFonts w:hint="eastAsia" w:ascii="宋体" w:hAnsi="宋体"/>
          <w:sz w:val="24"/>
        </w:rPr>
        <w:t>人</w:t>
      </w:r>
      <w:r>
        <w:rPr>
          <w:rFonts w:ascii="宋体" w:hAnsi="宋体"/>
          <w:sz w:val="24"/>
        </w:rPr>
        <w:t>的综合总得分。</w:t>
      </w:r>
    </w:p>
    <w:p>
      <w:pPr>
        <w:spacing w:line="360" w:lineRule="auto"/>
        <w:jc w:val="center"/>
        <w:outlineLvl w:val="1"/>
        <w:rPr>
          <w:rFonts w:ascii="Arial" w:hAnsi="Arial" w:cs="Arial"/>
          <w:b/>
          <w:sz w:val="28"/>
        </w:rPr>
      </w:pPr>
      <w:r>
        <w:rPr>
          <w:rFonts w:ascii="Arial" w:hAnsi="Arial" w:cs="Arial"/>
          <w:b/>
          <w:sz w:val="28"/>
        </w:rPr>
        <w:br w:type="page"/>
      </w:r>
      <w:bookmarkStart w:id="34" w:name="_Toc26612"/>
      <w:bookmarkStart w:id="35" w:name="_Toc19511"/>
      <w:r>
        <w:rPr>
          <w:rFonts w:hint="eastAsia" w:ascii="Arial" w:hAnsi="Arial" w:cs="Arial"/>
          <w:b/>
          <w:sz w:val="28"/>
        </w:rPr>
        <w:t>第五章</w:t>
      </w:r>
      <w:r>
        <w:rPr>
          <w:rFonts w:ascii="Arial" w:hAnsi="Arial" w:cs="Arial"/>
          <w:b/>
          <w:sz w:val="28"/>
        </w:rPr>
        <w:t xml:space="preserve">  </w:t>
      </w:r>
      <w:bookmarkEnd w:id="34"/>
      <w:r>
        <w:rPr>
          <w:rFonts w:ascii="Arial" w:hAnsi="Arial" w:cs="Arial"/>
          <w:b/>
          <w:sz w:val="28"/>
        </w:rPr>
        <w:t>政府采购合同</w:t>
      </w:r>
      <w:bookmarkEnd w:id="35"/>
    </w:p>
    <w:p>
      <w:pPr>
        <w:spacing w:line="360" w:lineRule="auto"/>
        <w:jc w:val="center"/>
        <w:outlineLvl w:val="1"/>
        <w:rPr>
          <w:rFonts w:ascii="Arial" w:hAnsi="Arial" w:cs="Arial"/>
          <w:b/>
          <w:sz w:val="24"/>
          <w:szCs w:val="24"/>
        </w:rPr>
      </w:pPr>
      <w:bookmarkStart w:id="36" w:name="_Toc1959"/>
      <w:r>
        <w:rPr>
          <w:rFonts w:hint="eastAsia" w:ascii="Arial" w:hAnsi="Arial" w:cs="Arial"/>
          <w:b/>
          <w:sz w:val="28"/>
        </w:rPr>
        <w:t>（仅供参考）</w:t>
      </w:r>
      <w:bookmarkEnd w:id="36"/>
      <w:bookmarkStart w:id="37" w:name="_Hlk11711914"/>
    </w:p>
    <w:p>
      <w:pPr>
        <w:spacing w:line="340" w:lineRule="exact"/>
        <w:jc w:val="left"/>
        <w:rPr>
          <w:rFonts w:hint="eastAsia" w:ascii="宋体" w:hAnsi="宋体" w:cs="宋体"/>
          <w:sz w:val="24"/>
        </w:rPr>
      </w:pPr>
      <w:bookmarkStart w:id="38" w:name="_Toc331685783"/>
      <w:r>
        <w:rPr>
          <w:rFonts w:hint="eastAsia" w:ascii="宋体" w:hAnsi="宋体" w:cs="宋体"/>
          <w:sz w:val="24"/>
        </w:rPr>
        <w:t xml:space="preserve">采购人（甲方）： </w:t>
      </w:r>
      <w:r>
        <w:rPr>
          <w:rFonts w:hint="eastAsia" w:ascii="宋体" w:hAnsi="宋体" w:cs="宋体"/>
          <w:sz w:val="24"/>
          <w:u w:val="single"/>
        </w:rPr>
        <w:t>安徽理工大学</w:t>
      </w:r>
      <w:r>
        <w:rPr>
          <w:rFonts w:hint="eastAsia" w:ascii="宋体" w:hAnsi="宋体" w:cs="宋体"/>
          <w:sz w:val="24"/>
        </w:rPr>
        <w:t xml:space="preserve">     </w:t>
      </w:r>
    </w:p>
    <w:p>
      <w:pPr>
        <w:spacing w:line="340" w:lineRule="exact"/>
        <w:jc w:val="left"/>
        <w:rPr>
          <w:rFonts w:hint="eastAsia" w:ascii="宋体" w:hAnsi="宋体" w:cs="宋体"/>
          <w:sz w:val="24"/>
          <w:u w:val="single"/>
        </w:rPr>
      </w:pPr>
      <w:r>
        <w:rPr>
          <w:rFonts w:hint="eastAsia" w:ascii="宋体" w:hAnsi="宋体" w:cs="宋体"/>
          <w:sz w:val="24"/>
        </w:rPr>
        <w:t>供货人（乙方）：</w:t>
      </w:r>
      <w:r>
        <w:rPr>
          <w:rFonts w:hint="eastAsia" w:ascii="宋体" w:hAnsi="宋体" w:cs="宋体"/>
          <w:sz w:val="24"/>
          <w:u w:val="single"/>
        </w:rPr>
        <w:t xml:space="preserve">                         </w:t>
      </w:r>
    </w:p>
    <w:p>
      <w:pPr>
        <w:spacing w:line="340" w:lineRule="exact"/>
        <w:jc w:val="left"/>
        <w:rPr>
          <w:rFonts w:hint="eastAsia" w:ascii="宋体" w:hAnsi="宋体" w:cs="宋体"/>
          <w:sz w:val="24"/>
        </w:rPr>
      </w:pPr>
      <w:r>
        <w:rPr>
          <w:rFonts w:hint="eastAsia" w:ascii="宋体" w:hAnsi="宋体" w:cs="宋体"/>
          <w:sz w:val="24"/>
        </w:rPr>
        <w:t xml:space="preserve">签订地点：安徽省淮南市山南新区安徽理工大学                   </w:t>
      </w:r>
    </w:p>
    <w:p>
      <w:pPr>
        <w:spacing w:line="340" w:lineRule="exact"/>
        <w:jc w:val="left"/>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安徽理工大学2023年高峰学科仪器设备购置项目（六）</w:t>
      </w:r>
    </w:p>
    <w:p>
      <w:pPr>
        <w:spacing w:line="340" w:lineRule="exact"/>
        <w:jc w:val="left"/>
        <w:rPr>
          <w:rFonts w:hint="eastAsia" w:ascii="宋体" w:hAnsi="宋体" w:cs="宋体"/>
          <w:sz w:val="24"/>
        </w:rPr>
      </w:pPr>
      <w:r>
        <w:rPr>
          <w:rFonts w:hint="eastAsia" w:ascii="宋体" w:hAnsi="宋体" w:cs="宋体"/>
          <w:sz w:val="24"/>
        </w:rPr>
        <w:t>项目编号：</w:t>
      </w:r>
      <w:r>
        <w:rPr>
          <w:rFonts w:hint="eastAsia" w:ascii="宋体" w:hAnsi="宋体" w:cs="宋体"/>
          <w:sz w:val="24"/>
          <w:lang w:eastAsia="zh-CN"/>
        </w:rPr>
        <w:t>FSKY34000120236027</w:t>
      </w:r>
      <w:r>
        <w:rPr>
          <w:rFonts w:hint="eastAsia" w:ascii="宋体" w:hAnsi="宋体" w:cs="宋体"/>
          <w:sz w:val="24"/>
        </w:rPr>
        <w:t>号</w:t>
      </w:r>
    </w:p>
    <w:p>
      <w:pPr>
        <w:spacing w:line="340" w:lineRule="exact"/>
        <w:jc w:val="left"/>
        <w:rPr>
          <w:rFonts w:hint="eastAsia" w:ascii="宋体" w:hAnsi="宋体" w:cs="宋体"/>
          <w:sz w:val="24"/>
        </w:rPr>
      </w:pPr>
      <w:r>
        <w:rPr>
          <w:rFonts w:hint="eastAsia" w:ascii="宋体" w:hAnsi="宋体" w:cs="宋体"/>
          <w:sz w:val="24"/>
        </w:rPr>
        <w:t>财政任务书编号：</w:t>
      </w:r>
      <w:r>
        <w:rPr>
          <w:rFonts w:hint="eastAsia" w:ascii="宋体" w:hAnsi="宋体" w:cs="宋体"/>
          <w:sz w:val="24"/>
          <w:lang w:eastAsia="zh-CN"/>
        </w:rPr>
        <w:t>FSKY34000120236027</w:t>
      </w:r>
      <w:r>
        <w:rPr>
          <w:rFonts w:hint="eastAsia" w:ascii="宋体" w:hAnsi="宋体" w:cs="宋体"/>
          <w:sz w:val="24"/>
        </w:rPr>
        <w:t>号</w:t>
      </w:r>
      <w:r>
        <w:rPr>
          <w:rFonts w:hint="eastAsia" w:ascii="宋体" w:hAnsi="宋体" w:cs="宋体"/>
          <w:sz w:val="24"/>
          <w:u w:val="single"/>
        </w:rPr>
        <w:t xml:space="preserve">              </w:t>
      </w:r>
    </w:p>
    <w:p>
      <w:pPr>
        <w:spacing w:line="340" w:lineRule="exact"/>
        <w:ind w:firstLine="480" w:firstLineChars="200"/>
        <w:jc w:val="left"/>
        <w:rPr>
          <w:rFonts w:hint="eastAsia" w:ascii="宋体" w:hAnsi="宋体" w:cs="宋体"/>
          <w:sz w:val="24"/>
        </w:rPr>
      </w:pPr>
      <w:r>
        <w:rPr>
          <w:rFonts w:hint="eastAsia" w:ascii="宋体" w:hAnsi="宋体" w:cs="宋体"/>
          <w:sz w:val="24"/>
        </w:rPr>
        <w:t>本项目经批准采用公开招标采购方式，经本项目评审委员会认真评审，决定将本项目采购合同授予乙方。为进一步明确双方的责任，确保合同的顺利履行， 根据《中华人民共和国民法典》之规定，经甲乙双方充分协商，特订立本合同，以便共同遵守。</w:t>
      </w:r>
    </w:p>
    <w:p>
      <w:pPr>
        <w:spacing w:line="340" w:lineRule="exact"/>
        <w:jc w:val="left"/>
        <w:rPr>
          <w:rFonts w:hint="eastAsia" w:ascii="宋体" w:hAnsi="宋体" w:cs="宋体"/>
          <w:sz w:val="24"/>
        </w:rPr>
      </w:pPr>
      <w:r>
        <w:rPr>
          <w:rFonts w:hint="eastAsia" w:ascii="宋体" w:hAnsi="宋体" w:cs="宋体"/>
          <w:sz w:val="24"/>
        </w:rPr>
        <w:t>第一条 产品的名称、品种、规格、数量和价格：（若产品过多则见附表，如有附表则必须加盖印章）</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910"/>
        <w:gridCol w:w="1065"/>
        <w:gridCol w:w="720"/>
        <w:gridCol w:w="840"/>
        <w:gridCol w:w="900"/>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noWrap w:val="0"/>
            <w:vAlign w:val="center"/>
          </w:tcPr>
          <w:p>
            <w:pPr>
              <w:spacing w:line="340" w:lineRule="exact"/>
              <w:jc w:val="center"/>
              <w:rPr>
                <w:rFonts w:hint="eastAsia" w:ascii="宋体" w:hAnsi="宋体" w:cs="宋体"/>
                <w:sz w:val="24"/>
              </w:rPr>
            </w:pPr>
            <w:r>
              <w:rPr>
                <w:rFonts w:hint="eastAsia" w:ascii="宋体" w:hAnsi="宋体" w:cs="宋体"/>
                <w:sz w:val="24"/>
              </w:rPr>
              <w:t>产品名称</w:t>
            </w:r>
          </w:p>
        </w:tc>
        <w:tc>
          <w:tcPr>
            <w:tcW w:w="2910" w:type="dxa"/>
            <w:noWrap w:val="0"/>
            <w:vAlign w:val="center"/>
          </w:tcPr>
          <w:p>
            <w:pPr>
              <w:spacing w:line="340" w:lineRule="exact"/>
              <w:jc w:val="center"/>
              <w:rPr>
                <w:rFonts w:hint="eastAsia" w:ascii="宋体" w:hAnsi="宋体" w:cs="宋体"/>
                <w:sz w:val="24"/>
              </w:rPr>
            </w:pPr>
            <w:r>
              <w:rPr>
                <w:rFonts w:hint="eastAsia" w:ascii="宋体" w:hAnsi="宋体" w:cs="宋体"/>
                <w:sz w:val="24"/>
              </w:rPr>
              <w:t>生产厂家/品牌/规格型号</w:t>
            </w:r>
          </w:p>
        </w:tc>
        <w:tc>
          <w:tcPr>
            <w:tcW w:w="1065" w:type="dxa"/>
            <w:noWrap w:val="0"/>
            <w:vAlign w:val="center"/>
          </w:tcPr>
          <w:p>
            <w:pPr>
              <w:spacing w:line="340" w:lineRule="exact"/>
              <w:jc w:val="center"/>
              <w:rPr>
                <w:rFonts w:hint="eastAsia" w:ascii="宋体" w:hAnsi="宋体" w:cs="宋体"/>
                <w:sz w:val="24"/>
              </w:rPr>
            </w:pPr>
            <w:r>
              <w:rPr>
                <w:rFonts w:hint="eastAsia" w:ascii="宋体" w:hAnsi="宋体" w:cs="宋体"/>
                <w:sz w:val="24"/>
              </w:rPr>
              <w:t>单位</w:t>
            </w:r>
          </w:p>
        </w:tc>
        <w:tc>
          <w:tcPr>
            <w:tcW w:w="720" w:type="dxa"/>
            <w:noWrap w:val="0"/>
            <w:vAlign w:val="center"/>
          </w:tcPr>
          <w:p>
            <w:pPr>
              <w:spacing w:line="340" w:lineRule="exact"/>
              <w:jc w:val="center"/>
              <w:rPr>
                <w:rFonts w:hint="eastAsia" w:ascii="宋体" w:hAnsi="宋体" w:cs="宋体"/>
                <w:sz w:val="24"/>
              </w:rPr>
            </w:pPr>
            <w:r>
              <w:rPr>
                <w:rFonts w:hint="eastAsia" w:ascii="宋体" w:hAnsi="宋体" w:cs="宋体"/>
                <w:sz w:val="24"/>
              </w:rPr>
              <w:t>数量</w:t>
            </w:r>
          </w:p>
        </w:tc>
        <w:tc>
          <w:tcPr>
            <w:tcW w:w="840" w:type="dxa"/>
            <w:noWrap w:val="0"/>
            <w:vAlign w:val="center"/>
          </w:tcPr>
          <w:p>
            <w:pPr>
              <w:spacing w:line="340" w:lineRule="exact"/>
              <w:jc w:val="center"/>
              <w:rPr>
                <w:rFonts w:hint="eastAsia" w:ascii="宋体" w:hAnsi="宋体" w:cs="宋体"/>
                <w:sz w:val="24"/>
              </w:rPr>
            </w:pPr>
            <w:r>
              <w:rPr>
                <w:rFonts w:hint="eastAsia" w:ascii="宋体" w:hAnsi="宋体" w:cs="宋体"/>
                <w:sz w:val="24"/>
              </w:rPr>
              <w:t>单价</w:t>
            </w:r>
          </w:p>
        </w:tc>
        <w:tc>
          <w:tcPr>
            <w:tcW w:w="900" w:type="dxa"/>
            <w:noWrap w:val="0"/>
            <w:vAlign w:val="center"/>
          </w:tcPr>
          <w:p>
            <w:pPr>
              <w:spacing w:line="340" w:lineRule="exact"/>
              <w:jc w:val="center"/>
              <w:rPr>
                <w:rFonts w:hint="eastAsia" w:ascii="宋体" w:hAnsi="宋体" w:cs="宋体"/>
                <w:sz w:val="24"/>
              </w:rPr>
            </w:pPr>
            <w:r>
              <w:rPr>
                <w:rFonts w:hint="eastAsia" w:ascii="宋体" w:hAnsi="宋体" w:cs="宋体"/>
                <w:sz w:val="24"/>
              </w:rPr>
              <w:t>小计</w:t>
            </w:r>
          </w:p>
        </w:tc>
        <w:tc>
          <w:tcPr>
            <w:tcW w:w="706" w:type="dxa"/>
            <w:noWrap w:val="0"/>
            <w:vAlign w:val="center"/>
          </w:tcPr>
          <w:p>
            <w:pPr>
              <w:spacing w:line="34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noWrap w:val="0"/>
            <w:vAlign w:val="top"/>
          </w:tcPr>
          <w:p>
            <w:pPr>
              <w:spacing w:line="340" w:lineRule="exact"/>
              <w:jc w:val="left"/>
              <w:rPr>
                <w:rFonts w:hint="eastAsia" w:ascii="宋体" w:hAnsi="宋体" w:cs="宋体"/>
                <w:sz w:val="24"/>
              </w:rPr>
            </w:pPr>
          </w:p>
        </w:tc>
        <w:tc>
          <w:tcPr>
            <w:tcW w:w="2910" w:type="dxa"/>
            <w:noWrap w:val="0"/>
            <w:vAlign w:val="top"/>
          </w:tcPr>
          <w:p>
            <w:pPr>
              <w:spacing w:line="340" w:lineRule="exact"/>
              <w:jc w:val="left"/>
              <w:rPr>
                <w:rFonts w:hint="eastAsia" w:ascii="宋体" w:hAnsi="宋体" w:cs="宋体"/>
                <w:sz w:val="24"/>
              </w:rPr>
            </w:pPr>
          </w:p>
        </w:tc>
        <w:tc>
          <w:tcPr>
            <w:tcW w:w="1065" w:type="dxa"/>
            <w:noWrap w:val="0"/>
            <w:vAlign w:val="top"/>
          </w:tcPr>
          <w:p>
            <w:pPr>
              <w:spacing w:line="340" w:lineRule="exact"/>
              <w:jc w:val="left"/>
              <w:rPr>
                <w:rFonts w:hint="eastAsia" w:ascii="宋体" w:hAnsi="宋体" w:cs="宋体"/>
                <w:sz w:val="24"/>
              </w:rPr>
            </w:pPr>
          </w:p>
        </w:tc>
        <w:tc>
          <w:tcPr>
            <w:tcW w:w="720" w:type="dxa"/>
            <w:noWrap w:val="0"/>
            <w:vAlign w:val="top"/>
          </w:tcPr>
          <w:p>
            <w:pPr>
              <w:spacing w:line="340" w:lineRule="exact"/>
              <w:jc w:val="left"/>
              <w:rPr>
                <w:rFonts w:hint="eastAsia" w:ascii="宋体" w:hAnsi="宋体" w:cs="宋体"/>
                <w:sz w:val="24"/>
              </w:rPr>
            </w:pPr>
          </w:p>
        </w:tc>
        <w:tc>
          <w:tcPr>
            <w:tcW w:w="840" w:type="dxa"/>
            <w:noWrap w:val="0"/>
            <w:vAlign w:val="top"/>
          </w:tcPr>
          <w:p>
            <w:pPr>
              <w:spacing w:line="340" w:lineRule="exact"/>
              <w:jc w:val="left"/>
              <w:rPr>
                <w:rFonts w:hint="eastAsia" w:ascii="宋体" w:hAnsi="宋体" w:cs="宋体"/>
                <w:sz w:val="24"/>
              </w:rPr>
            </w:pPr>
          </w:p>
        </w:tc>
        <w:tc>
          <w:tcPr>
            <w:tcW w:w="900" w:type="dxa"/>
            <w:noWrap w:val="0"/>
            <w:vAlign w:val="top"/>
          </w:tcPr>
          <w:p>
            <w:pPr>
              <w:spacing w:line="340" w:lineRule="exact"/>
              <w:jc w:val="left"/>
              <w:rPr>
                <w:rFonts w:hint="eastAsia" w:ascii="宋体" w:hAnsi="宋体" w:cs="宋体"/>
                <w:sz w:val="24"/>
              </w:rPr>
            </w:pPr>
          </w:p>
        </w:tc>
        <w:tc>
          <w:tcPr>
            <w:tcW w:w="706" w:type="dxa"/>
            <w:noWrap w:val="0"/>
            <w:vAlign w:val="top"/>
          </w:tcPr>
          <w:p>
            <w:pPr>
              <w:spacing w:line="340" w:lineRule="exact"/>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noWrap w:val="0"/>
            <w:vAlign w:val="top"/>
          </w:tcPr>
          <w:p>
            <w:pPr>
              <w:spacing w:line="340" w:lineRule="exact"/>
              <w:jc w:val="left"/>
              <w:rPr>
                <w:rFonts w:hint="eastAsia" w:ascii="宋体" w:hAnsi="宋体" w:cs="宋体"/>
                <w:sz w:val="24"/>
              </w:rPr>
            </w:pPr>
          </w:p>
        </w:tc>
        <w:tc>
          <w:tcPr>
            <w:tcW w:w="2910" w:type="dxa"/>
            <w:noWrap w:val="0"/>
            <w:vAlign w:val="top"/>
          </w:tcPr>
          <w:p>
            <w:pPr>
              <w:spacing w:line="340" w:lineRule="exact"/>
              <w:jc w:val="left"/>
              <w:rPr>
                <w:rFonts w:hint="eastAsia" w:ascii="宋体" w:hAnsi="宋体" w:cs="宋体"/>
                <w:sz w:val="24"/>
              </w:rPr>
            </w:pPr>
          </w:p>
        </w:tc>
        <w:tc>
          <w:tcPr>
            <w:tcW w:w="1065" w:type="dxa"/>
            <w:noWrap w:val="0"/>
            <w:vAlign w:val="top"/>
          </w:tcPr>
          <w:p>
            <w:pPr>
              <w:spacing w:line="340" w:lineRule="exact"/>
              <w:jc w:val="left"/>
              <w:rPr>
                <w:rFonts w:hint="eastAsia" w:ascii="宋体" w:hAnsi="宋体" w:cs="宋体"/>
                <w:sz w:val="24"/>
              </w:rPr>
            </w:pPr>
          </w:p>
        </w:tc>
        <w:tc>
          <w:tcPr>
            <w:tcW w:w="720" w:type="dxa"/>
            <w:noWrap w:val="0"/>
            <w:vAlign w:val="top"/>
          </w:tcPr>
          <w:p>
            <w:pPr>
              <w:spacing w:line="340" w:lineRule="exact"/>
              <w:jc w:val="left"/>
              <w:rPr>
                <w:rFonts w:hint="eastAsia" w:ascii="宋体" w:hAnsi="宋体" w:cs="宋体"/>
                <w:sz w:val="24"/>
              </w:rPr>
            </w:pPr>
          </w:p>
        </w:tc>
        <w:tc>
          <w:tcPr>
            <w:tcW w:w="840" w:type="dxa"/>
            <w:noWrap w:val="0"/>
            <w:vAlign w:val="top"/>
          </w:tcPr>
          <w:p>
            <w:pPr>
              <w:spacing w:line="340" w:lineRule="exact"/>
              <w:jc w:val="left"/>
              <w:rPr>
                <w:rFonts w:hint="eastAsia" w:ascii="宋体" w:hAnsi="宋体" w:cs="宋体"/>
                <w:sz w:val="24"/>
              </w:rPr>
            </w:pPr>
          </w:p>
        </w:tc>
        <w:tc>
          <w:tcPr>
            <w:tcW w:w="900" w:type="dxa"/>
            <w:noWrap w:val="0"/>
            <w:vAlign w:val="top"/>
          </w:tcPr>
          <w:p>
            <w:pPr>
              <w:spacing w:line="340" w:lineRule="exact"/>
              <w:jc w:val="left"/>
              <w:rPr>
                <w:rFonts w:hint="eastAsia" w:ascii="宋体" w:hAnsi="宋体" w:cs="宋体"/>
                <w:sz w:val="24"/>
              </w:rPr>
            </w:pPr>
          </w:p>
        </w:tc>
        <w:tc>
          <w:tcPr>
            <w:tcW w:w="706" w:type="dxa"/>
            <w:noWrap w:val="0"/>
            <w:vAlign w:val="top"/>
          </w:tcPr>
          <w:p>
            <w:pPr>
              <w:spacing w:line="340" w:lineRule="exact"/>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8522" w:type="dxa"/>
            <w:gridSpan w:val="7"/>
            <w:noWrap w:val="0"/>
            <w:vAlign w:val="top"/>
          </w:tcPr>
          <w:p>
            <w:pPr>
              <w:spacing w:line="340" w:lineRule="exact"/>
              <w:jc w:val="left"/>
              <w:rPr>
                <w:rFonts w:hint="eastAsia" w:ascii="宋体" w:hAnsi="宋体" w:cs="宋体"/>
                <w:sz w:val="24"/>
              </w:rPr>
            </w:pPr>
          </w:p>
          <w:p>
            <w:pPr>
              <w:spacing w:line="340" w:lineRule="exact"/>
              <w:jc w:val="left"/>
              <w:rPr>
                <w:rFonts w:hint="eastAsia" w:ascii="宋体" w:hAnsi="宋体" w:cs="宋体"/>
                <w:sz w:val="24"/>
              </w:rPr>
            </w:pPr>
            <w:r>
              <w:rPr>
                <w:rFonts w:hint="eastAsia" w:ascii="宋体" w:hAnsi="宋体" w:cs="宋体"/>
                <w:sz w:val="24"/>
              </w:rPr>
              <w:t>合同总价款（大小写）：</w:t>
            </w:r>
          </w:p>
          <w:p>
            <w:pPr>
              <w:autoSpaceDE w:val="0"/>
              <w:autoSpaceDN w:val="0"/>
              <w:spacing w:line="340" w:lineRule="exact"/>
              <w:jc w:val="left"/>
              <w:rPr>
                <w:rFonts w:hint="eastAsia" w:ascii="宋体" w:hAnsi="宋体" w:cs="宋体"/>
                <w:spacing w:val="-10"/>
                <w:sz w:val="24"/>
              </w:rPr>
            </w:pPr>
          </w:p>
          <w:p>
            <w:pPr>
              <w:spacing w:line="340" w:lineRule="exact"/>
              <w:jc w:val="left"/>
              <w:rPr>
                <w:rFonts w:hint="eastAsia" w:ascii="宋体" w:hAnsi="宋体" w:cs="宋体"/>
                <w:sz w:val="24"/>
              </w:rPr>
            </w:pPr>
            <w:r>
              <w:rPr>
                <w:rFonts w:hint="eastAsia" w:ascii="宋体" w:hAnsi="宋体" w:cs="宋体"/>
                <w:sz w:val="24"/>
              </w:rPr>
              <w:t>备注：</w:t>
            </w:r>
            <w:r>
              <w:rPr>
                <w:rFonts w:hint="eastAsia" w:ascii="宋体" w:hAnsi="宋体" w:cs="宋体"/>
                <w:color w:val="auto"/>
                <w:sz w:val="24"/>
                <w:highlight w:val="none"/>
              </w:rPr>
              <w:t>投标人的报价应包含采购设备价款、运输、装卸、保险、安装调试费、税费（含进口从属税费等）、技术服务费、售后服务、人员培训及其他等一切相</w:t>
            </w:r>
            <w:r>
              <w:rPr>
                <w:rFonts w:hint="eastAsia" w:ascii="宋体" w:hAnsi="宋体" w:cs="宋体"/>
                <w:color w:val="auto"/>
                <w:sz w:val="24"/>
                <w:highlight w:val="none"/>
                <w:lang w:val="en-US" w:eastAsia="zh-CN"/>
              </w:rPr>
              <w:t>关</w:t>
            </w:r>
            <w:bookmarkStart w:id="44" w:name="_GoBack"/>
            <w:bookmarkEnd w:id="44"/>
            <w:r>
              <w:rPr>
                <w:rFonts w:hint="eastAsia" w:ascii="宋体" w:hAnsi="宋体" w:cs="宋体"/>
                <w:color w:val="auto"/>
                <w:sz w:val="24"/>
                <w:highlight w:val="none"/>
              </w:rPr>
              <w:t>费用。</w:t>
            </w:r>
          </w:p>
        </w:tc>
      </w:tr>
    </w:tbl>
    <w:p>
      <w:pPr>
        <w:spacing w:line="340" w:lineRule="exact"/>
        <w:jc w:val="left"/>
        <w:rPr>
          <w:rFonts w:hint="eastAsia" w:ascii="宋体" w:hAnsi="宋体" w:cs="宋体"/>
          <w:sz w:val="24"/>
        </w:rPr>
      </w:pPr>
      <w:r>
        <w:rPr>
          <w:rFonts w:hint="eastAsia" w:ascii="宋体" w:hAnsi="宋体" w:cs="宋体"/>
          <w:sz w:val="24"/>
        </w:rPr>
        <w:t>第二条 产品的技术标准（包括质量要求），按下列第（）项执行：</w:t>
      </w:r>
    </w:p>
    <w:p>
      <w:pPr>
        <w:spacing w:line="340" w:lineRule="exact"/>
        <w:jc w:val="left"/>
        <w:rPr>
          <w:rFonts w:hint="eastAsia" w:ascii="宋体" w:hAnsi="宋体" w:cs="宋体"/>
          <w:sz w:val="24"/>
        </w:rPr>
      </w:pPr>
      <w:r>
        <w:rPr>
          <w:rFonts w:hint="eastAsia" w:ascii="宋体" w:hAnsi="宋体" w:cs="宋体"/>
          <w:sz w:val="24"/>
        </w:rPr>
        <w:t>①按国家标准执行； ②按部颁标准执行； ③若无以上标准，则应不低于同行业质量标准；④有特殊要求的，按甲乙双方在合同中商定的技术条件、样品或补充的技术要求执行；</w:t>
      </w:r>
    </w:p>
    <w:p>
      <w:pPr>
        <w:spacing w:line="340" w:lineRule="exact"/>
        <w:jc w:val="left"/>
        <w:rPr>
          <w:rFonts w:hint="eastAsia" w:ascii="宋体" w:hAnsi="宋体" w:cs="宋体"/>
          <w:sz w:val="24"/>
        </w:rPr>
      </w:pPr>
      <w:r>
        <w:rPr>
          <w:rFonts w:hint="eastAsia" w:ascii="宋体" w:hAnsi="宋体" w:cs="宋体"/>
          <w:sz w:val="24"/>
        </w:rPr>
        <w:t>乙方提供和交付的货物技术标准应与招标文件规定的技术标准相一致。若技术标准中无相应规定，所投货物应符合相应的国际标准或原产地国家有关部门最新颁布的相应的正式标准。</w:t>
      </w:r>
    </w:p>
    <w:p>
      <w:pPr>
        <w:spacing w:line="340" w:lineRule="exact"/>
        <w:jc w:val="left"/>
        <w:rPr>
          <w:rFonts w:hint="eastAsia" w:ascii="宋体" w:hAnsi="宋体" w:cs="宋体"/>
          <w:sz w:val="24"/>
        </w:rPr>
      </w:pPr>
      <w:r>
        <w:rPr>
          <w:rFonts w:hint="eastAsia" w:ascii="宋体" w:hAnsi="宋体" w:cs="宋体"/>
          <w:sz w:val="24"/>
        </w:rPr>
        <w:t>进口产品的质量标准</w:t>
      </w:r>
      <w:r>
        <w:rPr>
          <w:rFonts w:hint="eastAsia" w:ascii="宋体" w:hAnsi="宋体" w:cs="宋体"/>
          <w:sz w:val="24"/>
          <w:u w:val="single"/>
        </w:rPr>
        <w:t xml:space="preserve">                                     </w:t>
      </w:r>
      <w:r>
        <w:rPr>
          <w:rFonts w:hint="eastAsia" w:ascii="宋体" w:hAnsi="宋体" w:cs="宋体"/>
          <w:sz w:val="24"/>
        </w:rPr>
        <w:t>。</w:t>
      </w:r>
    </w:p>
    <w:p>
      <w:pPr>
        <w:spacing w:line="340" w:lineRule="exact"/>
        <w:jc w:val="left"/>
        <w:rPr>
          <w:rFonts w:hint="eastAsia" w:ascii="宋体" w:hAnsi="宋体" w:cs="宋体"/>
          <w:sz w:val="24"/>
        </w:rPr>
      </w:pPr>
      <w:r>
        <w:rPr>
          <w:rFonts w:hint="eastAsia" w:ascii="宋体" w:hAnsi="宋体" w:cs="宋体"/>
          <w:sz w:val="24"/>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340" w:lineRule="exact"/>
        <w:jc w:val="left"/>
        <w:rPr>
          <w:rFonts w:hint="eastAsia" w:ascii="宋体" w:hAnsi="宋体" w:cs="宋体"/>
          <w:sz w:val="24"/>
        </w:rPr>
      </w:pPr>
      <w:r>
        <w:rPr>
          <w:rFonts w:hint="eastAsia" w:ascii="宋体" w:hAnsi="宋体" w:cs="宋体"/>
          <w:sz w:val="24"/>
        </w:rPr>
        <w:t>第三条产品的包装标准和包装物的供应与回收</w:t>
      </w:r>
      <w:r>
        <w:rPr>
          <w:rFonts w:hint="eastAsia" w:ascii="宋体" w:hAnsi="宋体" w:cs="宋体"/>
          <w:sz w:val="24"/>
          <w:u w:val="single"/>
        </w:rPr>
        <w:t xml:space="preserve">                       </w:t>
      </w:r>
      <w:r>
        <w:rPr>
          <w:rFonts w:hint="eastAsia" w:ascii="宋体" w:hAnsi="宋体" w:cs="宋体"/>
          <w:sz w:val="24"/>
        </w:rPr>
        <w:t xml:space="preserve"> 。（国家或业务主管部门有技术规定的，按技术规定执行；国家与业务主管部门无技术规定的，由甲乙双方商定。）</w:t>
      </w:r>
    </w:p>
    <w:p>
      <w:pPr>
        <w:spacing w:line="340" w:lineRule="exact"/>
        <w:jc w:val="left"/>
        <w:rPr>
          <w:rFonts w:hint="eastAsia" w:ascii="宋体" w:hAnsi="宋体" w:cs="宋体"/>
          <w:sz w:val="24"/>
        </w:rPr>
      </w:pPr>
      <w:r>
        <w:rPr>
          <w:rFonts w:hint="eastAsia" w:ascii="宋体" w:hAnsi="宋体" w:cs="宋体"/>
          <w:sz w:val="24"/>
        </w:rPr>
        <w:t>【注：合同中约定的包装标准应与乙方在投标文件中承诺的一致，且投标文件应作为合同附件与合同具有同等法律效力。】</w:t>
      </w:r>
    </w:p>
    <w:p>
      <w:pPr>
        <w:spacing w:line="340" w:lineRule="exact"/>
        <w:jc w:val="left"/>
        <w:rPr>
          <w:rFonts w:hint="eastAsia" w:ascii="宋体" w:hAnsi="宋体" w:cs="宋体"/>
          <w:sz w:val="24"/>
        </w:rPr>
      </w:pPr>
      <w:r>
        <w:rPr>
          <w:rFonts w:hint="eastAsia" w:ascii="宋体" w:hAnsi="宋体" w:cs="宋体"/>
          <w:sz w:val="24"/>
        </w:rPr>
        <w:t>第四条 产品的交货方法、到货地点和交货期限</w:t>
      </w:r>
    </w:p>
    <w:p>
      <w:pPr>
        <w:spacing w:line="340" w:lineRule="exact"/>
        <w:jc w:val="left"/>
        <w:rPr>
          <w:rFonts w:hint="eastAsia" w:ascii="宋体" w:hAnsi="宋体" w:cs="宋体"/>
          <w:sz w:val="24"/>
        </w:rPr>
      </w:pPr>
      <w:r>
        <w:rPr>
          <w:rFonts w:hint="eastAsia" w:ascii="宋体" w:hAnsi="宋体" w:cs="宋体"/>
          <w:sz w:val="24"/>
        </w:rPr>
        <w:t>1.交货方法，按下列第（    ）项执行：</w:t>
      </w:r>
    </w:p>
    <w:p>
      <w:pPr>
        <w:spacing w:line="340" w:lineRule="exact"/>
        <w:jc w:val="left"/>
        <w:rPr>
          <w:rFonts w:hint="eastAsia" w:ascii="宋体" w:hAnsi="宋体" w:cs="宋体"/>
          <w:sz w:val="24"/>
        </w:rPr>
      </w:pPr>
      <w:r>
        <w:rPr>
          <w:rFonts w:hint="eastAsia" w:ascii="宋体" w:hAnsi="宋体" w:cs="宋体"/>
          <w:sz w:val="24"/>
        </w:rPr>
        <w:t>①乙方送货上门；</w:t>
      </w:r>
    </w:p>
    <w:p>
      <w:pPr>
        <w:spacing w:line="340" w:lineRule="exact"/>
        <w:jc w:val="left"/>
        <w:rPr>
          <w:rFonts w:hint="eastAsia" w:ascii="宋体" w:hAnsi="宋体" w:cs="宋体"/>
          <w:sz w:val="24"/>
        </w:rPr>
      </w:pPr>
      <w:r>
        <w:rPr>
          <w:rFonts w:hint="eastAsia" w:ascii="宋体" w:hAnsi="宋体" w:cs="宋体"/>
          <w:sz w:val="24"/>
        </w:rPr>
        <w:t>②乙方代运；</w:t>
      </w:r>
    </w:p>
    <w:p>
      <w:pPr>
        <w:spacing w:line="340" w:lineRule="exact"/>
        <w:jc w:val="left"/>
        <w:rPr>
          <w:rFonts w:hint="eastAsia" w:ascii="宋体" w:hAnsi="宋体" w:cs="宋体"/>
          <w:sz w:val="24"/>
        </w:rPr>
      </w:pPr>
      <w:r>
        <w:rPr>
          <w:rFonts w:hint="eastAsia" w:ascii="宋体" w:hAnsi="宋体" w:cs="宋体"/>
          <w:sz w:val="24"/>
        </w:rPr>
        <w:t>③甲方自提自运。</w:t>
      </w:r>
    </w:p>
    <w:p>
      <w:pPr>
        <w:spacing w:line="340" w:lineRule="exact"/>
        <w:jc w:val="left"/>
        <w:rPr>
          <w:rFonts w:hint="eastAsia" w:ascii="宋体" w:hAnsi="宋体" w:cs="宋体"/>
          <w:sz w:val="24"/>
        </w:rPr>
      </w:pPr>
      <w:r>
        <w:rPr>
          <w:rFonts w:hint="eastAsia" w:ascii="宋体" w:hAnsi="宋体" w:cs="宋体"/>
          <w:sz w:val="24"/>
        </w:rPr>
        <w:t>2.到货地点：</w:t>
      </w:r>
      <w:r>
        <w:rPr>
          <w:rFonts w:hint="eastAsia" w:ascii="宋体" w:hAnsi="宋体" w:cs="宋体"/>
          <w:sz w:val="24"/>
          <w:u w:val="single"/>
        </w:rPr>
        <w:t xml:space="preserve"> 执行招投标文件 </w:t>
      </w:r>
      <w:r>
        <w:rPr>
          <w:rFonts w:hint="eastAsia" w:ascii="宋体" w:hAnsi="宋体" w:cs="宋体"/>
          <w:sz w:val="24"/>
        </w:rPr>
        <w:t>(甲方指定的任何地点，安装并调试.)</w:t>
      </w:r>
    </w:p>
    <w:p>
      <w:pPr>
        <w:spacing w:line="340" w:lineRule="exact"/>
        <w:jc w:val="left"/>
        <w:rPr>
          <w:rFonts w:hint="eastAsia" w:ascii="宋体" w:hAnsi="宋体" w:cs="宋体"/>
          <w:sz w:val="24"/>
        </w:rPr>
      </w:pPr>
      <w:r>
        <w:rPr>
          <w:rFonts w:hint="eastAsia" w:ascii="宋体" w:hAnsi="宋体" w:cs="宋体"/>
          <w:sz w:val="24"/>
        </w:rPr>
        <w:t>3.产品的交货期限 执行招投标文件 。</w:t>
      </w:r>
    </w:p>
    <w:p>
      <w:pPr>
        <w:spacing w:line="340" w:lineRule="exact"/>
        <w:jc w:val="left"/>
        <w:rPr>
          <w:rFonts w:hint="eastAsia" w:ascii="宋体" w:hAnsi="宋体" w:cs="宋体"/>
          <w:sz w:val="24"/>
        </w:rPr>
      </w:pPr>
      <w:r>
        <w:rPr>
          <w:rFonts w:hint="eastAsia" w:ascii="宋体" w:hAnsi="宋体" w:cs="宋体"/>
          <w:sz w:val="24"/>
        </w:rPr>
        <w:t>第五条 合同总价款</w:t>
      </w:r>
    </w:p>
    <w:p>
      <w:pPr>
        <w:spacing w:line="340" w:lineRule="exact"/>
        <w:jc w:val="left"/>
        <w:rPr>
          <w:rFonts w:hint="eastAsia" w:ascii="宋体" w:hAnsi="宋体" w:cs="宋体"/>
          <w:sz w:val="24"/>
        </w:rPr>
      </w:pPr>
      <w:r>
        <w:rPr>
          <w:rFonts w:hint="eastAsia" w:ascii="宋体" w:hAnsi="宋体" w:cs="宋体"/>
          <w:sz w:val="24"/>
        </w:rPr>
        <w:t>合同总价款（大小写）：</w:t>
      </w:r>
    </w:p>
    <w:p>
      <w:pPr>
        <w:spacing w:line="340" w:lineRule="exact"/>
        <w:jc w:val="left"/>
        <w:rPr>
          <w:rFonts w:hint="eastAsia" w:ascii="宋体" w:hAnsi="宋体" w:cs="宋体"/>
          <w:sz w:val="24"/>
        </w:rPr>
      </w:pPr>
      <w:r>
        <w:rPr>
          <w:rFonts w:hint="eastAsia" w:ascii="宋体" w:hAnsi="宋体" w:cs="宋体"/>
          <w:sz w:val="24"/>
        </w:rPr>
        <w:t xml:space="preserve">注：合同总价款包括了含采购设备价款、运输、装卸、保险、安装调试费、验收、税费（含进口从属税费等）、技术服务费、售后服务、人员培训及其他等一切相费用。 </w:t>
      </w:r>
    </w:p>
    <w:p>
      <w:pPr>
        <w:spacing w:line="340" w:lineRule="exact"/>
        <w:jc w:val="left"/>
        <w:rPr>
          <w:rFonts w:hint="eastAsia" w:ascii="宋体" w:hAnsi="宋体" w:cs="宋体"/>
          <w:sz w:val="24"/>
        </w:rPr>
      </w:pPr>
      <w:r>
        <w:rPr>
          <w:rFonts w:hint="eastAsia" w:ascii="宋体" w:hAnsi="宋体" w:cs="宋体"/>
          <w:sz w:val="24"/>
        </w:rPr>
        <w:t>第六条 付款条件 执行招投标文件</w:t>
      </w:r>
    </w:p>
    <w:p>
      <w:pPr>
        <w:spacing w:line="340" w:lineRule="exact"/>
        <w:jc w:val="left"/>
        <w:rPr>
          <w:rFonts w:hint="eastAsia" w:ascii="宋体" w:hAnsi="宋体" w:cs="宋体"/>
          <w:sz w:val="24"/>
        </w:rPr>
      </w:pPr>
      <w:r>
        <w:rPr>
          <w:rFonts w:hint="eastAsia" w:ascii="宋体" w:hAnsi="宋体" w:cs="宋体"/>
          <w:sz w:val="24"/>
        </w:rPr>
        <w:t>本合同以人民币付款。</w:t>
      </w:r>
    </w:p>
    <w:p>
      <w:pPr>
        <w:spacing w:line="340" w:lineRule="exact"/>
        <w:jc w:val="left"/>
        <w:rPr>
          <w:rFonts w:hint="eastAsia" w:ascii="宋体" w:hAnsi="宋体" w:cs="宋体"/>
          <w:sz w:val="24"/>
        </w:rPr>
      </w:pPr>
      <w:r>
        <w:rPr>
          <w:rFonts w:hint="eastAsia" w:ascii="宋体" w:hAnsi="宋体" w:cs="宋体"/>
          <w:sz w:val="24"/>
        </w:rPr>
        <w:t>具体付款方式： 详见投标人须知前附表</w:t>
      </w:r>
    </w:p>
    <w:p>
      <w:pPr>
        <w:spacing w:line="340" w:lineRule="exact"/>
        <w:jc w:val="left"/>
        <w:rPr>
          <w:rFonts w:hint="eastAsia" w:ascii="宋体" w:hAnsi="宋体" w:cs="宋体"/>
          <w:sz w:val="24"/>
        </w:rPr>
      </w:pPr>
      <w:r>
        <w:rPr>
          <w:rFonts w:hint="eastAsia" w:ascii="宋体" w:hAnsi="宋体" w:cs="宋体"/>
          <w:sz w:val="24"/>
        </w:rPr>
        <w:t>第七条 验收方法</w:t>
      </w:r>
    </w:p>
    <w:p>
      <w:pPr>
        <w:spacing w:line="340" w:lineRule="exact"/>
        <w:jc w:val="left"/>
        <w:rPr>
          <w:rFonts w:hint="eastAsia" w:ascii="宋体" w:hAnsi="宋体" w:cs="宋体"/>
          <w:sz w:val="24"/>
        </w:rPr>
      </w:pPr>
      <w:r>
        <w:rPr>
          <w:rFonts w:hint="eastAsia" w:ascii="宋体" w:hAnsi="宋体" w:cs="宋体"/>
          <w:sz w:val="24"/>
        </w:rPr>
        <w:t>1.乙方安装调试后，在</w:t>
      </w:r>
      <w:r>
        <w:rPr>
          <w:rFonts w:hint="eastAsia" w:ascii="宋体" w:hAnsi="宋体" w:cs="宋体"/>
          <w:sz w:val="24"/>
          <w:u w:val="single"/>
        </w:rPr>
        <w:t xml:space="preserve">    </w:t>
      </w:r>
      <w:r>
        <w:rPr>
          <w:rFonts w:hint="eastAsia" w:ascii="宋体" w:hAnsi="宋体" w:cs="宋体"/>
          <w:sz w:val="24"/>
        </w:rPr>
        <w:t>天内通知甲方组织验收验收不合格的，乙方应负责重新提供达到本合同约定的质量要求的产品。</w:t>
      </w:r>
    </w:p>
    <w:p>
      <w:pPr>
        <w:spacing w:line="340" w:lineRule="exact"/>
        <w:jc w:val="left"/>
        <w:rPr>
          <w:rFonts w:hint="eastAsia" w:ascii="宋体" w:hAnsi="宋体" w:cs="宋体"/>
          <w:sz w:val="24"/>
        </w:rPr>
      </w:pPr>
      <w:r>
        <w:rPr>
          <w:rFonts w:hint="eastAsia" w:ascii="宋体" w:hAnsi="宋体" w:cs="宋体"/>
          <w:sz w:val="24"/>
        </w:rPr>
        <w:t>2.甲、乙双方应严格履行合同有关条款，如果验收过程中发现乙方在没有征得采购人同意的情况下擅自变更合同标的物，将拒绝通过验收，由此引起的一切后果及损失由乙方承担。</w:t>
      </w:r>
    </w:p>
    <w:p>
      <w:pPr>
        <w:spacing w:line="340" w:lineRule="exact"/>
        <w:jc w:val="left"/>
        <w:rPr>
          <w:rFonts w:hint="eastAsia" w:ascii="宋体" w:hAnsi="宋体" w:cs="宋体"/>
          <w:color w:val="auto"/>
          <w:sz w:val="24"/>
          <w:highlight w:val="none"/>
        </w:rPr>
      </w:pPr>
      <w:r>
        <w:rPr>
          <w:rFonts w:hint="eastAsia" w:ascii="宋体" w:hAnsi="宋体" w:cs="宋体"/>
          <w:sz w:val="24"/>
        </w:rPr>
        <w:t>3.</w:t>
      </w:r>
      <w:r>
        <w:rPr>
          <w:rFonts w:hint="eastAsia" w:ascii="宋体" w:hAnsi="宋体" w:cs="宋体"/>
          <w:color w:val="auto"/>
          <w:sz w:val="24"/>
          <w:highlight w:val="none"/>
        </w:rPr>
        <w:t>3.甲方验收时，应成立验收小组，明确责任，严格依照采购文件、中标（成交）通知书、政府采购合同及相关验收规范进行核对、验收，形成验收结论，并出具书面验收报告。涉及安全、消防、环保等其他需要由质检或行业主管部门进行验收的项目，必须邀请相关部门或相关专家参与验收。</w:t>
      </w:r>
    </w:p>
    <w:p>
      <w:pPr>
        <w:spacing w:line="340" w:lineRule="exact"/>
        <w:jc w:val="left"/>
        <w:rPr>
          <w:rFonts w:hint="eastAsia" w:ascii="宋体" w:hAnsi="宋体" w:cs="宋体"/>
          <w:sz w:val="24"/>
        </w:rPr>
      </w:pPr>
      <w:r>
        <w:rPr>
          <w:rFonts w:hint="eastAsia" w:ascii="宋体" w:hAnsi="宋体" w:cs="宋体"/>
          <w:sz w:val="24"/>
        </w:rPr>
        <w:t>第八条 对产品提出异议的时间和办法</w:t>
      </w:r>
    </w:p>
    <w:p>
      <w:pPr>
        <w:spacing w:line="340" w:lineRule="exact"/>
        <w:jc w:val="left"/>
        <w:rPr>
          <w:rFonts w:hint="eastAsia" w:ascii="宋体" w:hAnsi="宋体" w:cs="宋体"/>
          <w:sz w:val="24"/>
        </w:rPr>
      </w:pPr>
      <w:r>
        <w:rPr>
          <w:rFonts w:hint="eastAsia" w:ascii="宋体" w:hAnsi="宋体" w:cs="宋体"/>
          <w:sz w:val="24"/>
        </w:rPr>
        <w:t>1.甲方在验收中，如果发现产品不符合合同约定的，应一面妥为保管，一面在工作日内向乙方书面提出异议。 具体说明产品不符合规定的内容并附相关验收材料，同时提出不符合规定产品的处理意见。</w:t>
      </w:r>
    </w:p>
    <w:p>
      <w:pPr>
        <w:spacing w:line="340" w:lineRule="exact"/>
        <w:jc w:val="left"/>
        <w:rPr>
          <w:rFonts w:hint="eastAsia" w:ascii="宋体" w:hAnsi="宋体" w:cs="宋体"/>
          <w:sz w:val="24"/>
        </w:rPr>
      </w:pPr>
      <w:r>
        <w:rPr>
          <w:rFonts w:hint="eastAsia" w:ascii="宋体" w:hAnsi="宋体" w:cs="宋体"/>
          <w:sz w:val="24"/>
        </w:rPr>
        <w:t>2.甲方因使用、保管、保养不善等造成产品质量下降的，不得提出异议。</w:t>
      </w:r>
    </w:p>
    <w:p>
      <w:pPr>
        <w:spacing w:line="340" w:lineRule="exact"/>
        <w:jc w:val="left"/>
        <w:rPr>
          <w:rFonts w:hint="eastAsia" w:ascii="宋体" w:hAnsi="宋体" w:cs="宋体"/>
          <w:sz w:val="24"/>
        </w:rPr>
      </w:pPr>
      <w:r>
        <w:rPr>
          <w:rFonts w:hint="eastAsia" w:ascii="宋体" w:hAnsi="宋体" w:cs="宋体"/>
          <w:sz w:val="24"/>
        </w:rPr>
        <w:t>3.乙方在接到甲方异议后，应在</w:t>
      </w:r>
      <w:r>
        <w:rPr>
          <w:rFonts w:hint="eastAsia" w:ascii="宋体" w:hAnsi="宋体" w:cs="宋体"/>
          <w:sz w:val="24"/>
          <w:u w:val="single"/>
        </w:rPr>
        <w:t xml:space="preserve">       </w:t>
      </w:r>
      <w:r>
        <w:rPr>
          <w:rFonts w:hint="eastAsia" w:ascii="宋体" w:hAnsi="宋体" w:cs="宋体"/>
          <w:sz w:val="24"/>
        </w:rPr>
        <w:t>工作日内负责处理，否则，即视为默认甲方提出的异议和处理意见。</w:t>
      </w:r>
    </w:p>
    <w:p>
      <w:pPr>
        <w:spacing w:line="340" w:lineRule="exact"/>
        <w:jc w:val="left"/>
        <w:rPr>
          <w:rFonts w:hint="eastAsia" w:ascii="宋体" w:hAnsi="宋体" w:cs="宋体"/>
          <w:sz w:val="24"/>
        </w:rPr>
      </w:pPr>
      <w:r>
        <w:rPr>
          <w:rFonts w:hint="eastAsia" w:ascii="宋体" w:hAnsi="宋体" w:cs="宋体"/>
          <w:sz w:val="24"/>
        </w:rPr>
        <w:t>第九条 乙方应提供完善周到的技术支持和售后服务，否则甲方在进行事实调查的基础上，视情节轻重从乙方的履约保证金中扣除部分或全部补偿甲方。</w:t>
      </w:r>
    </w:p>
    <w:p>
      <w:pPr>
        <w:spacing w:line="340" w:lineRule="exact"/>
        <w:jc w:val="left"/>
        <w:rPr>
          <w:rFonts w:hint="eastAsia" w:ascii="宋体" w:hAnsi="宋体" w:cs="宋体"/>
          <w:sz w:val="24"/>
          <w:u w:val="single"/>
        </w:rPr>
      </w:pPr>
      <w:r>
        <w:rPr>
          <w:rFonts w:hint="eastAsia" w:ascii="宋体" w:hAnsi="宋体" w:cs="宋体"/>
          <w:sz w:val="24"/>
          <w:u w:val="single"/>
        </w:rPr>
        <w:t>对应招标质保要求（若乙方投标文件中承诺的优于招标文件要求，按照乙方投标文件中的承诺执行）。</w:t>
      </w:r>
    </w:p>
    <w:p>
      <w:pPr>
        <w:spacing w:line="340" w:lineRule="exact"/>
        <w:jc w:val="left"/>
        <w:rPr>
          <w:rFonts w:hint="eastAsia" w:ascii="宋体" w:hAnsi="宋体" w:cs="宋体"/>
          <w:sz w:val="24"/>
        </w:rPr>
      </w:pPr>
      <w:r>
        <w:rPr>
          <w:rFonts w:hint="eastAsia" w:ascii="宋体" w:hAnsi="宋体" w:cs="宋体"/>
          <w:sz w:val="24"/>
        </w:rPr>
        <w:t>第十条 乙方的违约责任</w:t>
      </w:r>
    </w:p>
    <w:p>
      <w:pPr>
        <w:spacing w:line="340" w:lineRule="exact"/>
        <w:jc w:val="left"/>
        <w:rPr>
          <w:rFonts w:hint="eastAsia" w:ascii="宋体" w:hAnsi="宋体" w:cs="宋体"/>
          <w:sz w:val="24"/>
        </w:rPr>
      </w:pPr>
      <w:r>
        <w:rPr>
          <w:rFonts w:hint="eastAsia" w:ascii="宋体" w:hAnsi="宋体" w:cs="宋体"/>
          <w:sz w:val="24"/>
        </w:rPr>
        <w:t>1. 乙方不能交货的， 甲方有权解除合同。</w:t>
      </w:r>
    </w:p>
    <w:p>
      <w:pPr>
        <w:spacing w:line="340" w:lineRule="exact"/>
        <w:jc w:val="left"/>
        <w:rPr>
          <w:rFonts w:hint="eastAsia" w:ascii="宋体" w:hAnsi="宋体" w:cs="宋体"/>
          <w:sz w:val="24"/>
        </w:rPr>
      </w:pPr>
      <w:r>
        <w:rPr>
          <w:rFonts w:hint="eastAsia" w:ascii="宋体" w:hAnsi="宋体" w:cs="宋体"/>
          <w:sz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 乙方不能修理或者不能调换的，按不能交货处理。</w:t>
      </w:r>
    </w:p>
    <w:p>
      <w:pPr>
        <w:spacing w:line="340" w:lineRule="exact"/>
        <w:jc w:val="left"/>
        <w:rPr>
          <w:rFonts w:hint="eastAsia" w:ascii="宋体" w:hAnsi="宋体" w:cs="宋体"/>
          <w:sz w:val="24"/>
        </w:rPr>
      </w:pPr>
      <w:r>
        <w:rPr>
          <w:rFonts w:hint="eastAsia" w:ascii="宋体" w:hAnsi="宋体" w:cs="宋体"/>
          <w:sz w:val="24"/>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 每件货物包装箱内应附一份详细装箱单和质量证书。为进口件的，应出具报关手续和原产地、原产工厂证明、报关手续和商检证明等。</w:t>
      </w:r>
    </w:p>
    <w:p>
      <w:pPr>
        <w:spacing w:line="340" w:lineRule="exact"/>
        <w:jc w:val="left"/>
        <w:rPr>
          <w:rFonts w:hint="eastAsia" w:ascii="宋体" w:hAnsi="宋体" w:cs="宋体"/>
          <w:sz w:val="24"/>
        </w:rPr>
      </w:pPr>
      <w:r>
        <w:rPr>
          <w:rFonts w:hint="eastAsia" w:ascii="宋体" w:hAnsi="宋体" w:cs="宋体"/>
          <w:sz w:val="24"/>
        </w:rPr>
        <w:t>4.如果乙方没有按照规定的时间交货、完成货物安装和提供服务，应向甲方支付违约金，违约金从货款中扣除。</w:t>
      </w:r>
      <w:r>
        <w:rPr>
          <w:rFonts w:hint="eastAsia" w:ascii="宋体" w:hAnsi="宋体" w:cs="宋体"/>
          <w:b/>
          <w:bCs/>
          <w:sz w:val="24"/>
        </w:rPr>
        <w:t>迟供货一天（含双休）将扣除履约保证金金额的5%</w:t>
      </w:r>
      <w:r>
        <w:rPr>
          <w:rFonts w:hint="eastAsia" w:ascii="宋体" w:hAnsi="宋体" w:cs="宋体"/>
          <w:sz w:val="24"/>
        </w:rPr>
        <w:t>。如果</w:t>
      </w:r>
      <w:r>
        <w:rPr>
          <w:rFonts w:hint="eastAsia" w:ascii="宋体" w:hAnsi="宋体" w:cs="宋体"/>
          <w:b/>
          <w:bCs/>
          <w:sz w:val="24"/>
        </w:rPr>
        <w:t>履约保证金全部扣除</w:t>
      </w:r>
      <w:r>
        <w:rPr>
          <w:rFonts w:hint="eastAsia" w:ascii="宋体" w:hAnsi="宋体" w:cs="宋体"/>
          <w:sz w:val="24"/>
        </w:rPr>
        <w:t>，甲方应考虑终止合同， 由此给甲方造成的损失由乙方承担</w:t>
      </w:r>
      <w:r>
        <w:rPr>
          <w:rFonts w:hint="eastAsia" w:ascii="宋体" w:hAnsi="宋体" w:cs="宋体"/>
          <w:b/>
          <w:sz w:val="24"/>
        </w:rPr>
        <w:t>。因迟交货给甲方造成经济损失的，乙方负全部责任并赔偿甲方的经济损失及承担法律责任。乙方在安装施工过程中出现任何安全事故，责任由乙方自负。</w:t>
      </w:r>
      <w:r>
        <w:rPr>
          <w:rFonts w:hint="eastAsia" w:ascii="宋体" w:hAnsi="宋体" w:cs="宋体"/>
          <w:sz w:val="24"/>
        </w:rPr>
        <w:t>5.乙方提前交货的产品、多交的产品和不符合合同规定的产品，甲方在代保管期内实际支付的保管、保养等费用以及非因甲方保管不善而发生的损失，应当由乙方承担。</w:t>
      </w:r>
    </w:p>
    <w:p>
      <w:pPr>
        <w:spacing w:line="340" w:lineRule="exact"/>
        <w:jc w:val="left"/>
        <w:rPr>
          <w:rFonts w:hint="eastAsia" w:ascii="宋体" w:hAnsi="宋体" w:cs="宋体"/>
          <w:sz w:val="24"/>
        </w:rPr>
      </w:pPr>
      <w:r>
        <w:rPr>
          <w:rFonts w:hint="eastAsia" w:ascii="宋体" w:hAnsi="宋体" w:cs="宋体"/>
          <w:sz w:val="24"/>
        </w:rPr>
        <w:t>6.乙方应对其所提供的货物承担所有权担保责任，并应保证甲方在中华人民共和国内使用该货物时不侵犯第三人的知识产权。否则乙方应承担由此引起的一切法律责任及费用。</w:t>
      </w:r>
    </w:p>
    <w:p>
      <w:pPr>
        <w:spacing w:line="340" w:lineRule="exact"/>
        <w:jc w:val="left"/>
        <w:rPr>
          <w:rFonts w:hint="eastAsia" w:ascii="宋体" w:hAnsi="宋体" w:cs="宋体"/>
          <w:sz w:val="24"/>
        </w:rPr>
      </w:pPr>
      <w:r>
        <w:rPr>
          <w:rFonts w:hint="eastAsia" w:ascii="宋体" w:hAnsi="宋体" w:cs="宋体"/>
          <w:sz w:val="24"/>
        </w:rPr>
        <w:t>7.任何一方未经对方同意而单方面终止合同的，应向对方赔偿相当于本合同总价款</w:t>
      </w:r>
      <w:r>
        <w:rPr>
          <w:rFonts w:hint="eastAsia" w:ascii="宋体" w:hAnsi="宋体" w:cs="宋体"/>
          <w:sz w:val="24"/>
          <w:u w:val="single"/>
        </w:rPr>
        <w:t xml:space="preserve">     </w:t>
      </w:r>
      <w:r>
        <w:rPr>
          <w:rFonts w:hint="eastAsia" w:ascii="宋体" w:hAnsi="宋体" w:cs="宋体"/>
          <w:sz w:val="24"/>
        </w:rPr>
        <w:t>%违约金。</w:t>
      </w:r>
    </w:p>
    <w:p>
      <w:pPr>
        <w:spacing w:line="340" w:lineRule="exact"/>
        <w:jc w:val="left"/>
        <w:rPr>
          <w:rFonts w:hint="eastAsia" w:ascii="宋体" w:hAnsi="宋体" w:cs="宋体"/>
          <w:sz w:val="24"/>
        </w:rPr>
      </w:pPr>
      <w:r>
        <w:rPr>
          <w:rFonts w:hint="eastAsia" w:ascii="宋体" w:hAnsi="宋体" w:cs="宋体"/>
          <w:sz w:val="24"/>
        </w:rPr>
        <w:t>第十一条 甲方的违约责任</w:t>
      </w:r>
    </w:p>
    <w:p>
      <w:pPr>
        <w:spacing w:line="340" w:lineRule="exact"/>
        <w:jc w:val="left"/>
        <w:rPr>
          <w:rFonts w:hint="eastAsia" w:ascii="宋体" w:hAnsi="宋体" w:cs="宋体"/>
          <w:sz w:val="24"/>
        </w:rPr>
      </w:pPr>
      <w:r>
        <w:rPr>
          <w:rFonts w:hint="eastAsia" w:ascii="宋体" w:hAnsi="宋体" w:cs="宋体"/>
          <w:sz w:val="24"/>
        </w:rPr>
        <w:t>1.甲方无故退货，应向乙方偿付退货部分货款</w:t>
      </w:r>
      <w:r>
        <w:rPr>
          <w:rFonts w:hint="eastAsia" w:ascii="宋体" w:hAnsi="宋体" w:cs="宋体"/>
          <w:sz w:val="24"/>
          <w:u w:val="single"/>
        </w:rPr>
        <w:t xml:space="preserve">     </w:t>
      </w:r>
      <w:r>
        <w:rPr>
          <w:rFonts w:hint="eastAsia" w:ascii="宋体" w:hAnsi="宋体" w:cs="宋体"/>
          <w:sz w:val="24"/>
        </w:rPr>
        <w:t xml:space="preserve"> %（通用产品的幅度为 1%-5%，专用产品的幅度为 15%-30%）的违约金。</w:t>
      </w:r>
    </w:p>
    <w:p>
      <w:pPr>
        <w:spacing w:line="340" w:lineRule="exact"/>
        <w:jc w:val="left"/>
        <w:rPr>
          <w:rFonts w:hint="eastAsia" w:ascii="宋体" w:hAnsi="宋体" w:cs="宋体"/>
          <w:sz w:val="24"/>
        </w:rPr>
      </w:pPr>
      <w:r>
        <w:rPr>
          <w:rFonts w:hint="eastAsia" w:ascii="宋体" w:hAnsi="宋体" w:cs="宋体"/>
          <w:sz w:val="24"/>
        </w:rPr>
        <w:t>2.甲方违反合同规定拒绝接货的，应当承担由此造成的损失。</w:t>
      </w:r>
    </w:p>
    <w:p>
      <w:pPr>
        <w:spacing w:line="340" w:lineRule="exact"/>
        <w:jc w:val="left"/>
        <w:rPr>
          <w:rFonts w:hint="eastAsia" w:ascii="宋体" w:hAnsi="宋体" w:cs="宋体"/>
          <w:sz w:val="24"/>
        </w:rPr>
      </w:pPr>
      <w:r>
        <w:rPr>
          <w:rFonts w:hint="eastAsia" w:ascii="宋体" w:hAnsi="宋体" w:cs="宋体"/>
          <w:sz w:val="24"/>
        </w:rPr>
        <w:t>第十二条 不可抗力</w:t>
      </w:r>
    </w:p>
    <w:p>
      <w:pPr>
        <w:spacing w:line="340" w:lineRule="exact"/>
        <w:jc w:val="left"/>
        <w:rPr>
          <w:rFonts w:hint="eastAsia" w:ascii="宋体" w:hAnsi="宋体" w:cs="宋体"/>
          <w:sz w:val="24"/>
        </w:rPr>
      </w:pPr>
      <w:r>
        <w:rPr>
          <w:rFonts w:hint="eastAsia" w:ascii="宋体" w:hAnsi="宋体" w:cs="宋体"/>
          <w:sz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40" w:lineRule="exact"/>
        <w:jc w:val="left"/>
        <w:rPr>
          <w:rFonts w:hint="eastAsia" w:ascii="宋体" w:hAnsi="宋体" w:cs="宋体"/>
          <w:sz w:val="24"/>
        </w:rPr>
      </w:pPr>
      <w:r>
        <w:rPr>
          <w:rFonts w:hint="eastAsia" w:ascii="宋体" w:hAnsi="宋体" w:cs="宋体"/>
          <w:sz w:val="24"/>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40" w:lineRule="exact"/>
        <w:jc w:val="left"/>
        <w:rPr>
          <w:rFonts w:hint="eastAsia" w:ascii="宋体" w:hAnsi="宋体" w:cs="宋体"/>
          <w:sz w:val="24"/>
        </w:rPr>
      </w:pPr>
      <w:r>
        <w:rPr>
          <w:rFonts w:hint="eastAsia" w:ascii="宋体" w:hAnsi="宋体" w:cs="宋体"/>
          <w:sz w:val="24"/>
        </w:rPr>
        <w:t>第十三条 履约保证金</w:t>
      </w:r>
    </w:p>
    <w:p>
      <w:pPr>
        <w:spacing w:line="340" w:lineRule="exact"/>
        <w:jc w:val="left"/>
        <w:rPr>
          <w:rFonts w:hint="eastAsia" w:ascii="宋体" w:hAnsi="宋体" w:cs="宋体"/>
          <w:sz w:val="24"/>
        </w:rPr>
      </w:pPr>
      <w:r>
        <w:rPr>
          <w:rFonts w:hint="eastAsia" w:ascii="宋体" w:hAnsi="宋体" w:cs="宋体"/>
          <w:sz w:val="24"/>
        </w:rPr>
        <w:t>1.本项目履约保证金为</w:t>
      </w:r>
      <w:r>
        <w:rPr>
          <w:rFonts w:hint="eastAsia" w:ascii="宋体" w:hAnsi="宋体" w:cs="宋体"/>
          <w:sz w:val="24"/>
          <w:u w:val="single"/>
        </w:rPr>
        <w:t xml:space="preserve">      </w:t>
      </w:r>
      <w:r>
        <w:rPr>
          <w:rFonts w:hint="eastAsia" w:ascii="宋体" w:hAnsi="宋体" w:cs="宋体"/>
          <w:sz w:val="24"/>
        </w:rPr>
        <w:t xml:space="preserve"> (人民币),收受人为</w:t>
      </w:r>
      <w:r>
        <w:rPr>
          <w:rFonts w:hint="eastAsia" w:ascii="宋体" w:hAnsi="宋体" w:cs="宋体"/>
          <w:sz w:val="24"/>
          <w:u w:val="single"/>
        </w:rPr>
        <w:t xml:space="preserve">       </w:t>
      </w:r>
      <w:r>
        <w:rPr>
          <w:rFonts w:hint="eastAsia" w:ascii="宋体" w:hAnsi="宋体" w:cs="宋体"/>
          <w:sz w:val="24"/>
        </w:rPr>
        <w:t>，期限：</w:t>
      </w:r>
      <w:r>
        <w:rPr>
          <w:rFonts w:hint="eastAsia" w:ascii="Arial" w:hAnsi="Arial" w:cs="Arial"/>
          <w:sz w:val="24"/>
        </w:rPr>
        <w:t>验收合格后退还（无息）。</w:t>
      </w:r>
    </w:p>
    <w:p>
      <w:pPr>
        <w:spacing w:line="340" w:lineRule="exact"/>
        <w:jc w:val="left"/>
        <w:rPr>
          <w:rFonts w:hint="eastAsia" w:ascii="宋体" w:hAnsi="宋体" w:cs="宋体"/>
          <w:sz w:val="24"/>
        </w:rPr>
      </w:pPr>
      <w:r>
        <w:rPr>
          <w:rFonts w:hint="eastAsia" w:ascii="宋体" w:hAnsi="宋体" w:cs="宋体"/>
          <w:sz w:val="24"/>
        </w:rPr>
        <w:t>2.乙方提供的履约保证金按规定格式以银行保函形式提供的，与此有关的费用由卖方承担。</w:t>
      </w:r>
    </w:p>
    <w:p>
      <w:pPr>
        <w:spacing w:line="340" w:lineRule="exact"/>
        <w:jc w:val="left"/>
        <w:rPr>
          <w:rFonts w:hint="eastAsia" w:ascii="宋体" w:hAnsi="宋体" w:cs="宋体"/>
          <w:sz w:val="24"/>
        </w:rPr>
      </w:pPr>
      <w:r>
        <w:rPr>
          <w:rFonts w:hint="eastAsia" w:ascii="宋体" w:hAnsi="宋体" w:cs="宋体"/>
          <w:sz w:val="24"/>
        </w:rPr>
        <w:t>3.如乙方未能履行其合同规定的任何义务，甲方有权从履约保证金中取得补偿。</w:t>
      </w:r>
    </w:p>
    <w:p>
      <w:pPr>
        <w:spacing w:line="340" w:lineRule="exact"/>
        <w:jc w:val="left"/>
        <w:rPr>
          <w:rFonts w:hint="eastAsia" w:ascii="宋体" w:hAnsi="宋体" w:cs="宋体"/>
          <w:sz w:val="24"/>
        </w:rPr>
      </w:pPr>
      <w:r>
        <w:rPr>
          <w:rFonts w:hint="eastAsia" w:ascii="宋体" w:hAnsi="宋体" w:cs="宋体"/>
          <w:sz w:val="24"/>
        </w:rPr>
        <w:t>第十四条 转让与分包</w:t>
      </w:r>
    </w:p>
    <w:p>
      <w:pPr>
        <w:spacing w:line="340" w:lineRule="exact"/>
        <w:jc w:val="left"/>
        <w:rPr>
          <w:rFonts w:hint="eastAsia" w:ascii="宋体" w:hAnsi="宋体" w:cs="宋体"/>
          <w:sz w:val="24"/>
        </w:rPr>
      </w:pPr>
      <w:r>
        <w:rPr>
          <w:rFonts w:hint="eastAsia" w:ascii="宋体" w:hAnsi="宋体" w:cs="宋体"/>
          <w:sz w:val="24"/>
        </w:rPr>
        <w:t>1.除甲方事先书面同意外，乙方不得部分转让或全部转让其应履行的合同义务。</w:t>
      </w:r>
    </w:p>
    <w:p>
      <w:pPr>
        <w:spacing w:line="340" w:lineRule="exact"/>
        <w:jc w:val="left"/>
        <w:rPr>
          <w:rFonts w:hint="eastAsia" w:ascii="宋体" w:hAnsi="宋体" w:cs="宋体"/>
          <w:sz w:val="24"/>
        </w:rPr>
      </w:pPr>
      <w:r>
        <w:rPr>
          <w:rFonts w:hint="eastAsia" w:ascii="宋体" w:hAnsi="宋体" w:cs="宋体"/>
          <w:sz w:val="24"/>
        </w:rPr>
        <w:t>2.乙方应在投标文件中或以其他书面形式对甲方确认本合同项下所授予的所有分包合同。但该确认不解除乙方承担的本合同下的任何责任或义务。意即在本合同项下，乙方对甲方负总责。</w:t>
      </w:r>
    </w:p>
    <w:p>
      <w:pPr>
        <w:spacing w:line="340" w:lineRule="exact"/>
        <w:jc w:val="left"/>
        <w:rPr>
          <w:rFonts w:hint="eastAsia" w:ascii="宋体" w:hAnsi="宋体" w:cs="宋体"/>
          <w:sz w:val="24"/>
        </w:rPr>
      </w:pPr>
      <w:r>
        <w:rPr>
          <w:rFonts w:hint="eastAsia" w:ascii="宋体" w:hAnsi="宋体" w:cs="宋体"/>
          <w:sz w:val="24"/>
        </w:rPr>
        <w:t>第十五条 合同文件及资料的使用</w:t>
      </w:r>
    </w:p>
    <w:p>
      <w:pPr>
        <w:spacing w:line="340" w:lineRule="exact"/>
        <w:jc w:val="left"/>
        <w:rPr>
          <w:rFonts w:hint="eastAsia" w:ascii="宋体" w:hAnsi="宋体" w:cs="宋体"/>
          <w:sz w:val="24"/>
        </w:rPr>
      </w:pPr>
      <w:r>
        <w:rPr>
          <w:rFonts w:hint="eastAsia" w:ascii="宋体" w:hAnsi="宋体" w:cs="宋体"/>
          <w:sz w:val="24"/>
        </w:rPr>
        <w:t>1.乙方在未经甲方同意的情况下，不得将合同、合同中的规定、有关计划、图纸、样本或甲方为上述内容向乙方提供的资料透露给任何人。</w:t>
      </w:r>
    </w:p>
    <w:p>
      <w:pPr>
        <w:spacing w:line="340" w:lineRule="exact"/>
        <w:jc w:val="left"/>
        <w:rPr>
          <w:rFonts w:hint="eastAsia" w:ascii="宋体" w:hAnsi="宋体" w:cs="宋体"/>
          <w:sz w:val="24"/>
        </w:rPr>
      </w:pPr>
      <w:r>
        <w:rPr>
          <w:rFonts w:hint="eastAsia" w:ascii="宋体" w:hAnsi="宋体" w:cs="宋体"/>
          <w:sz w:val="24"/>
        </w:rPr>
        <w:t>2.除非执行合同需要，在事先未得到甲方同意的情况下，乙方不得使用前款所列的任何文件和资料。</w:t>
      </w:r>
    </w:p>
    <w:p>
      <w:pPr>
        <w:spacing w:line="340" w:lineRule="exact"/>
        <w:jc w:val="left"/>
        <w:rPr>
          <w:rFonts w:hint="eastAsia" w:ascii="宋体" w:hAnsi="宋体" w:cs="宋体"/>
          <w:sz w:val="24"/>
        </w:rPr>
      </w:pPr>
      <w:r>
        <w:rPr>
          <w:rFonts w:hint="eastAsia" w:ascii="宋体" w:hAnsi="宋体" w:cs="宋体"/>
          <w:sz w:val="24"/>
        </w:rPr>
        <w:t>第十六条 其他</w:t>
      </w:r>
      <w:r>
        <w:rPr>
          <w:rFonts w:hint="eastAsia" w:ascii="宋体" w:hAnsi="宋体" w:cs="宋体"/>
          <w:sz w:val="24"/>
          <w:u w:val="single"/>
        </w:rPr>
        <w:t xml:space="preserve">                </w:t>
      </w:r>
      <w:r>
        <w:rPr>
          <w:rFonts w:hint="eastAsia" w:ascii="宋体" w:hAnsi="宋体" w:cs="宋体"/>
          <w:sz w:val="24"/>
        </w:rPr>
        <w:t>。</w:t>
      </w:r>
    </w:p>
    <w:p>
      <w:pPr>
        <w:spacing w:line="340" w:lineRule="exact"/>
        <w:jc w:val="left"/>
        <w:rPr>
          <w:rFonts w:hint="eastAsia" w:ascii="宋体" w:hAnsi="宋体" w:cs="宋体"/>
          <w:sz w:val="24"/>
        </w:rPr>
      </w:pPr>
      <w:r>
        <w:rPr>
          <w:rFonts w:hint="eastAsia" w:ascii="宋体" w:hAnsi="宋体" w:cs="宋体"/>
          <w:sz w:val="24"/>
        </w:rPr>
        <w:t>1.按本合同规定应该偿付的违约金、赔偿金、保管保养费和各种经济损失，应当在明确责任后 10 天内，按银行规定的结算办法付清，否则按逾期付款处理。但任何一方不得自行扣发货物或扣付货款来充抵。</w:t>
      </w:r>
    </w:p>
    <w:p>
      <w:pPr>
        <w:spacing w:line="340" w:lineRule="exact"/>
        <w:jc w:val="left"/>
        <w:rPr>
          <w:rFonts w:hint="eastAsia" w:ascii="宋体" w:hAnsi="宋体" w:cs="宋体"/>
          <w:sz w:val="24"/>
        </w:rPr>
      </w:pPr>
      <w:r>
        <w:rPr>
          <w:rFonts w:hint="eastAsia" w:ascii="宋体" w:hAnsi="宋体" w:cs="宋体"/>
          <w:sz w:val="24"/>
        </w:rPr>
        <w:t xml:space="preserve">2.本合同如发生纠纷，当事人双方应当及时协商解决，协商不成时，任何一方均可请采购管理机关调解，调解不成，按以下第（   ）项方式处理： </w:t>
      </w:r>
    </w:p>
    <w:p>
      <w:pPr>
        <w:spacing w:line="340" w:lineRule="exact"/>
        <w:jc w:val="left"/>
        <w:rPr>
          <w:rFonts w:hint="eastAsia" w:ascii="宋体" w:hAnsi="宋体" w:cs="宋体"/>
          <w:sz w:val="24"/>
        </w:rPr>
      </w:pPr>
      <w:r>
        <w:rPr>
          <w:rFonts w:hint="eastAsia" w:ascii="宋体" w:hAnsi="宋体" w:cs="宋体"/>
          <w:sz w:val="24"/>
        </w:rPr>
        <w:t>①根据《中华人民共和国仲裁法》的规定向淮南仲裁委员会申请仲裁。</w:t>
      </w:r>
    </w:p>
    <w:p>
      <w:pPr>
        <w:spacing w:line="340" w:lineRule="exact"/>
        <w:jc w:val="left"/>
        <w:rPr>
          <w:rFonts w:hint="eastAsia" w:ascii="宋体" w:hAnsi="宋体" w:cs="宋体"/>
          <w:sz w:val="24"/>
        </w:rPr>
      </w:pPr>
      <w:r>
        <w:rPr>
          <w:rFonts w:hint="eastAsia" w:ascii="宋体" w:hAnsi="宋体" w:cs="宋体"/>
          <w:sz w:val="24"/>
        </w:rPr>
        <w:t>②向合同签订地有级别管辖权的人民法院起诉。</w:t>
      </w:r>
    </w:p>
    <w:p>
      <w:pPr>
        <w:spacing w:line="340" w:lineRule="exact"/>
        <w:jc w:val="left"/>
        <w:rPr>
          <w:rFonts w:hint="eastAsia" w:ascii="宋体" w:hAnsi="宋体" w:cs="宋体"/>
          <w:sz w:val="24"/>
        </w:rPr>
      </w:pPr>
      <w:r>
        <w:rPr>
          <w:rFonts w:hint="eastAsia" w:ascii="宋体" w:hAnsi="宋体" w:cs="宋体"/>
          <w:sz w:val="24"/>
        </w:rPr>
        <w:t>第十七条 下列关于</w:t>
      </w:r>
      <w:r>
        <w:rPr>
          <w:rFonts w:hint="eastAsia" w:ascii="宋体" w:hAnsi="宋体" w:cs="宋体"/>
          <w:sz w:val="24"/>
          <w:u w:val="single"/>
        </w:rPr>
        <w:t xml:space="preserve"> </w:t>
      </w:r>
      <w:r>
        <w:rPr>
          <w:rFonts w:hint="eastAsia" w:ascii="宋体" w:hAnsi="宋体" w:cs="宋体"/>
          <w:sz w:val="24"/>
          <w:u w:val="single"/>
          <w:lang w:eastAsia="zh-CN"/>
        </w:rPr>
        <w:t>安徽理工大学2023年高峰学科仪器设备购置项目（六）</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u w:val="single"/>
          <w:lang w:eastAsia="zh-CN"/>
        </w:rPr>
        <w:t>FSKY34000120236027</w:t>
      </w:r>
      <w:r>
        <w:rPr>
          <w:rFonts w:hint="eastAsia" w:ascii="宋体" w:hAnsi="宋体" w:cs="宋体"/>
          <w:sz w:val="24"/>
          <w:u w:val="single"/>
        </w:rPr>
        <w:t>号</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包的采购文件及有关附件是本合同不可分割的组成部分，与本合同具有同等法律效力，这些文件包括但不限于：①招标文件；②乙方提供的投标文件；③服务承诺；④甲乙双方商定的其他文件。</w:t>
      </w:r>
    </w:p>
    <w:p>
      <w:pPr>
        <w:spacing w:line="340" w:lineRule="exact"/>
        <w:jc w:val="left"/>
        <w:rPr>
          <w:rFonts w:hint="eastAsia" w:ascii="宋体" w:hAnsi="宋体" w:cs="宋体"/>
          <w:sz w:val="24"/>
        </w:rPr>
      </w:pPr>
      <w:r>
        <w:rPr>
          <w:rFonts w:hint="eastAsia" w:ascii="宋体" w:hAnsi="宋体" w:cs="宋体"/>
          <w:sz w:val="24"/>
        </w:rPr>
        <w:t>本合同一式</w:t>
      </w:r>
      <w:r>
        <w:rPr>
          <w:rFonts w:hint="eastAsia" w:ascii="宋体" w:hAnsi="宋体" w:cs="宋体"/>
          <w:sz w:val="24"/>
          <w:u w:val="single"/>
        </w:rPr>
        <w:t xml:space="preserve">  8  </w:t>
      </w:r>
      <w:r>
        <w:rPr>
          <w:rFonts w:hint="eastAsia" w:ascii="宋体" w:hAnsi="宋体" w:cs="宋体"/>
          <w:sz w:val="24"/>
        </w:rPr>
        <w:t>份，甲乙双方各执</w:t>
      </w:r>
      <w:r>
        <w:rPr>
          <w:rFonts w:hint="eastAsia" w:ascii="宋体" w:hAnsi="宋体" w:cs="宋体"/>
          <w:sz w:val="24"/>
          <w:u w:val="single"/>
        </w:rPr>
        <w:t xml:space="preserve">   3  </w:t>
      </w:r>
      <w:r>
        <w:rPr>
          <w:rFonts w:hint="eastAsia" w:ascii="宋体" w:hAnsi="宋体" w:cs="宋体"/>
          <w:sz w:val="24"/>
        </w:rPr>
        <w:t>份，交招标代理机构留存</w:t>
      </w:r>
      <w:r>
        <w:rPr>
          <w:rFonts w:hint="eastAsia" w:ascii="宋体" w:hAnsi="宋体" w:cs="宋体"/>
          <w:sz w:val="24"/>
          <w:u w:val="single"/>
        </w:rPr>
        <w:t xml:space="preserve">  2 </w:t>
      </w:r>
      <w:r>
        <w:rPr>
          <w:rFonts w:hint="eastAsia" w:ascii="宋体" w:hAnsi="宋体" w:cs="宋体"/>
          <w:sz w:val="24"/>
        </w:rPr>
        <w:t>份用于档案资料归档，自双方当事人签字盖章之日起生效。</w:t>
      </w:r>
    </w:p>
    <w:p>
      <w:pPr>
        <w:spacing w:line="360" w:lineRule="auto"/>
        <w:jc w:val="left"/>
        <w:rPr>
          <w:rFonts w:hint="eastAsia" w:ascii="宋体" w:hAnsi="宋体" w:cs="宋体"/>
          <w:sz w:val="24"/>
        </w:rPr>
      </w:pPr>
      <w:r>
        <w:rPr>
          <w:rFonts w:hint="eastAsia" w:ascii="宋体" w:hAnsi="宋体" w:cs="宋体"/>
          <w:sz w:val="24"/>
        </w:rPr>
        <w:t xml:space="preserve">采购人（甲方）： （公章）            供货人（乙方）：（公章） </w:t>
      </w:r>
    </w:p>
    <w:p>
      <w:pPr>
        <w:spacing w:line="360" w:lineRule="auto"/>
        <w:jc w:val="left"/>
        <w:rPr>
          <w:rFonts w:hint="eastAsia" w:ascii="宋体" w:hAnsi="宋体" w:cs="宋体"/>
          <w:sz w:val="24"/>
        </w:rPr>
      </w:pPr>
      <w:r>
        <w:rPr>
          <w:rFonts w:hint="eastAsia" w:ascii="宋体" w:hAnsi="宋体" w:cs="宋体"/>
          <w:sz w:val="24"/>
        </w:rPr>
        <w:t>地址：                               地址：</w:t>
      </w:r>
    </w:p>
    <w:p>
      <w:pPr>
        <w:spacing w:line="360" w:lineRule="auto"/>
        <w:jc w:val="left"/>
        <w:rPr>
          <w:rFonts w:hint="eastAsia" w:ascii="宋体" w:hAnsi="宋体" w:cs="宋体"/>
          <w:sz w:val="24"/>
        </w:rPr>
      </w:pPr>
      <w:r>
        <w:rPr>
          <w:rFonts w:hint="eastAsia" w:ascii="宋体" w:hAnsi="宋体" w:cs="宋体"/>
          <w:sz w:val="24"/>
        </w:rPr>
        <w:t>法定代表人：                         法定代表人：</w:t>
      </w:r>
    </w:p>
    <w:p>
      <w:pPr>
        <w:spacing w:line="360" w:lineRule="auto"/>
        <w:jc w:val="left"/>
        <w:rPr>
          <w:rFonts w:hint="eastAsia" w:ascii="宋体" w:hAnsi="宋体" w:cs="宋体"/>
          <w:sz w:val="24"/>
        </w:rPr>
      </w:pPr>
      <w:r>
        <w:rPr>
          <w:rFonts w:hint="eastAsia" w:ascii="宋体" w:hAnsi="宋体" w:cs="宋体"/>
          <w:sz w:val="24"/>
        </w:rPr>
        <w:t>委托代理人：                         委托代理人：</w:t>
      </w:r>
    </w:p>
    <w:p>
      <w:pPr>
        <w:spacing w:line="360" w:lineRule="auto"/>
        <w:jc w:val="left"/>
        <w:rPr>
          <w:rFonts w:hint="eastAsia" w:ascii="宋体" w:hAnsi="宋体" w:cs="宋体"/>
          <w:sz w:val="24"/>
        </w:rPr>
      </w:pPr>
      <w:r>
        <w:rPr>
          <w:rFonts w:hint="eastAsia" w:ascii="宋体" w:hAnsi="宋体" w:cs="宋体"/>
          <w:sz w:val="24"/>
        </w:rPr>
        <w:t>电话：                               电话：</w:t>
      </w:r>
    </w:p>
    <w:p>
      <w:pPr>
        <w:spacing w:line="360" w:lineRule="auto"/>
        <w:jc w:val="left"/>
        <w:rPr>
          <w:rFonts w:hint="eastAsia" w:ascii="宋体" w:hAnsi="宋体" w:cs="宋体"/>
          <w:sz w:val="24"/>
        </w:rPr>
      </w:pPr>
      <w:r>
        <w:rPr>
          <w:rFonts w:hint="eastAsia" w:ascii="宋体" w:hAnsi="宋体" w:cs="宋体"/>
          <w:sz w:val="24"/>
        </w:rPr>
        <w:t>开户银行：                           开户银行：</w:t>
      </w:r>
    </w:p>
    <w:p>
      <w:pPr>
        <w:spacing w:line="360" w:lineRule="auto"/>
        <w:jc w:val="left"/>
        <w:rPr>
          <w:rFonts w:hint="eastAsia" w:ascii="宋体" w:hAnsi="宋体" w:cs="宋体"/>
          <w:sz w:val="24"/>
        </w:rPr>
      </w:pPr>
      <w:r>
        <w:rPr>
          <w:rFonts w:hint="eastAsia" w:ascii="宋体" w:hAnsi="宋体" w:cs="宋体"/>
          <w:sz w:val="24"/>
        </w:rPr>
        <w:t>账号：                               账号：</w:t>
      </w:r>
    </w:p>
    <w:p>
      <w:pPr>
        <w:spacing w:line="360" w:lineRule="auto"/>
        <w:jc w:val="left"/>
        <w:rPr>
          <w:rFonts w:hint="eastAsia" w:ascii="宋体" w:hAnsi="宋体" w:cs="宋体"/>
          <w:sz w:val="24"/>
        </w:rPr>
      </w:pPr>
      <w:r>
        <w:rPr>
          <w:rFonts w:hint="eastAsia" w:ascii="宋体" w:hAnsi="宋体" w:cs="宋体"/>
          <w:sz w:val="24"/>
        </w:rPr>
        <w:t>统一社会信用代码：                   统一社会信用代码：</w:t>
      </w:r>
    </w:p>
    <w:p>
      <w:pPr>
        <w:spacing w:line="360" w:lineRule="auto"/>
        <w:jc w:val="left"/>
        <w:rPr>
          <w:rFonts w:hint="eastAsia" w:ascii="宋体" w:hAnsi="宋体" w:cs="宋体"/>
          <w:sz w:val="24"/>
        </w:rPr>
      </w:pPr>
      <w:r>
        <w:rPr>
          <w:rFonts w:hint="eastAsia" w:ascii="宋体" w:hAnsi="宋体" w:cs="宋体"/>
          <w:sz w:val="24"/>
        </w:rPr>
        <w:t>年 月 日                             年 月 日</w:t>
      </w:r>
    </w:p>
    <w:p>
      <w:pPr>
        <w:spacing w:line="340" w:lineRule="exact"/>
        <w:jc w:val="left"/>
        <w:rPr>
          <w:rFonts w:hint="eastAsia" w:ascii="宋体" w:hAnsi="宋体" w:cs="宋体"/>
          <w:sz w:val="24"/>
        </w:rPr>
      </w:pPr>
    </w:p>
    <w:p>
      <w:pPr>
        <w:spacing w:line="340" w:lineRule="exact"/>
        <w:jc w:val="left"/>
        <w:rPr>
          <w:rFonts w:hint="eastAsia" w:ascii="宋体" w:hAnsi="宋体" w:cs="宋体"/>
          <w:sz w:val="24"/>
        </w:rPr>
      </w:pPr>
      <w:r>
        <w:rPr>
          <w:rFonts w:hint="eastAsia" w:ascii="宋体" w:hAnsi="宋体" w:cs="宋体"/>
          <w:sz w:val="24"/>
        </w:rPr>
        <w:t>见证方：淮南众信政府采购代理服务有限公司(盖章)</w:t>
      </w:r>
    </w:p>
    <w:p>
      <w:pPr>
        <w:keepNext/>
        <w:keepLines/>
        <w:spacing w:before="120" w:after="120" w:line="360" w:lineRule="auto"/>
        <w:jc w:val="left"/>
        <w:outlineLvl w:val="2"/>
        <w:rPr>
          <w:rFonts w:hint="eastAsia" w:ascii="黑体" w:hAnsi="黑体" w:eastAsia="黑体" w:cs="Times New Roman"/>
          <w:bCs/>
          <w:sz w:val="24"/>
          <w:szCs w:val="24"/>
        </w:rPr>
      </w:pPr>
      <w:r>
        <w:rPr>
          <w:rFonts w:hint="eastAsia" w:ascii="宋体" w:hAnsi="宋体" w:cs="宋体"/>
          <w:sz w:val="24"/>
        </w:rPr>
        <w:t>年 月 日</w:t>
      </w:r>
      <w:r>
        <w:rPr>
          <w:rFonts w:hint="eastAsia" w:ascii="宋体" w:hAnsi="宋体" w:cs="宋体"/>
          <w:sz w:val="24"/>
        </w:rPr>
        <w:br w:type="page"/>
      </w:r>
      <w:bookmarkEnd w:id="37"/>
      <w:bookmarkEnd w:id="38"/>
      <w:r>
        <w:rPr>
          <w:rFonts w:hint="eastAsia" w:ascii="黑体" w:hAnsi="黑体" w:eastAsia="黑体" w:cs="Times New Roman"/>
          <w:bCs/>
          <w:sz w:val="24"/>
          <w:szCs w:val="24"/>
        </w:rPr>
        <w:t>预付款担保（参考）</w:t>
      </w:r>
    </w:p>
    <w:p>
      <w:pPr>
        <w:adjustRightInd w:val="0"/>
        <w:snapToGrid w:val="0"/>
        <w:spacing w:before="156" w:beforeLines="50" w:after="156" w:afterLines="50" w:line="360" w:lineRule="auto"/>
        <w:jc w:val="center"/>
        <w:rPr>
          <w:rFonts w:ascii="宋体" w:hAnsi="宋体" w:cs="Times New Roman"/>
          <w:b/>
          <w:sz w:val="32"/>
          <w:szCs w:val="32"/>
        </w:rPr>
      </w:pPr>
      <w:r>
        <w:rPr>
          <w:rFonts w:hint="eastAsia" w:ascii="宋体" w:hAnsi="宋体" w:cs="Times New Roman"/>
          <w:b/>
          <w:sz w:val="32"/>
          <w:szCs w:val="32"/>
        </w:rPr>
        <w:t>预付款担保</w:t>
      </w:r>
    </w:p>
    <w:p>
      <w:pPr>
        <w:adjustRightInd w:val="0"/>
        <w:snapToGrid w:val="0"/>
        <w:spacing w:line="360" w:lineRule="auto"/>
        <w:rPr>
          <w:rFonts w:ascii="宋体" w:hAnsi="宋体" w:cs="Times New Roman"/>
          <w:szCs w:val="21"/>
        </w:rPr>
      </w:pPr>
      <w:r>
        <w:rPr>
          <w:rFonts w:ascii="宋体" w:hAnsi="宋体" w:cs="Times New Roman"/>
          <w:szCs w:val="21"/>
          <w:u w:val="single"/>
        </w:rPr>
        <w:t xml:space="preserve">   </w:t>
      </w:r>
      <w:r>
        <w:rPr>
          <w:rFonts w:hint="eastAsia" w:ascii="宋体" w:hAnsi="宋体" w:cs="Times New Roman"/>
          <w:szCs w:val="21"/>
          <w:u w:val="single"/>
        </w:rPr>
        <w:t>安徽理工大学</w:t>
      </w:r>
      <w:r>
        <w:rPr>
          <w:rFonts w:ascii="宋体" w:hAnsi="宋体" w:cs="Times New Roman"/>
          <w:szCs w:val="21"/>
          <w:u w:val="single"/>
        </w:rPr>
        <w:t xml:space="preserve">  </w:t>
      </w:r>
      <w:r>
        <w:rPr>
          <w:rFonts w:hint="eastAsia" w:ascii="宋体" w:hAnsi="宋体" w:cs="Times New Roman"/>
          <w:szCs w:val="21"/>
        </w:rPr>
        <w:t>（采购人名称）：</w:t>
      </w:r>
    </w:p>
    <w:p>
      <w:pPr>
        <w:adjustRightInd w:val="0"/>
        <w:snapToGrid w:val="0"/>
        <w:spacing w:line="360" w:lineRule="auto"/>
        <w:ind w:firstLine="420" w:firstLineChars="200"/>
        <w:rPr>
          <w:rFonts w:ascii="宋体" w:hAnsi="宋体" w:cs="Times New Roman"/>
          <w:szCs w:val="21"/>
        </w:rPr>
      </w:pPr>
      <w:r>
        <w:rPr>
          <w:rFonts w:hint="eastAsia" w:ascii="宋体" w:hAnsi="宋体" w:cs="Times New Roman"/>
          <w:szCs w:val="21"/>
        </w:rPr>
        <w:t>根据</w:t>
      </w:r>
      <w:r>
        <w:rPr>
          <w:rFonts w:ascii="宋体" w:hAnsi="宋体" w:cs="Times New Roman"/>
          <w:szCs w:val="21"/>
          <w:u w:val="single"/>
        </w:rPr>
        <w:t xml:space="preserve">                 </w:t>
      </w:r>
      <w:r>
        <w:rPr>
          <w:rFonts w:hint="eastAsia" w:ascii="宋体" w:hAnsi="宋体" w:cs="Times New Roman"/>
          <w:szCs w:val="21"/>
        </w:rPr>
        <w:t>（中标人名称）（以下称“中标人”）与</w:t>
      </w:r>
      <w:r>
        <w:rPr>
          <w:rFonts w:ascii="宋体" w:hAnsi="宋体" w:cs="Times New Roman"/>
          <w:szCs w:val="21"/>
          <w:u w:val="single"/>
        </w:rPr>
        <w:t xml:space="preserve">                        </w:t>
      </w:r>
      <w:r>
        <w:rPr>
          <w:rFonts w:hint="eastAsia" w:ascii="宋体" w:hAnsi="宋体" w:cs="Times New Roman"/>
          <w:szCs w:val="21"/>
        </w:rPr>
        <w:t>（采购人名称）（以下简称“采购人”）于</w:t>
      </w:r>
      <w:r>
        <w:rPr>
          <w:rFonts w:ascii="宋体" w:hAnsi="宋体" w:cs="Times New Roman"/>
          <w:szCs w:val="21"/>
          <w:u w:val="single"/>
        </w:rPr>
        <w:t xml:space="preserve">     </w:t>
      </w:r>
      <w:r>
        <w:rPr>
          <w:rFonts w:hint="eastAsia" w:ascii="宋体" w:hAnsi="宋体" w:cs="Times New Roman"/>
          <w:szCs w:val="21"/>
        </w:rPr>
        <w:t>年</w:t>
      </w:r>
      <w:r>
        <w:rPr>
          <w:rFonts w:ascii="宋体" w:hAnsi="宋体" w:cs="Times New Roman"/>
          <w:szCs w:val="21"/>
          <w:u w:val="single"/>
        </w:rPr>
        <w:t xml:space="preserve">    </w:t>
      </w:r>
      <w:r>
        <w:rPr>
          <w:rFonts w:hint="eastAsia" w:ascii="宋体" w:hAnsi="宋体" w:cs="Times New Roman"/>
          <w:szCs w:val="21"/>
        </w:rPr>
        <w:t>月</w:t>
      </w:r>
      <w:r>
        <w:rPr>
          <w:rFonts w:ascii="宋体" w:hAnsi="宋体" w:cs="Times New Roman"/>
          <w:szCs w:val="21"/>
          <w:u w:val="single"/>
        </w:rPr>
        <w:t xml:space="preserve">    </w:t>
      </w:r>
      <w:r>
        <w:rPr>
          <w:rFonts w:hint="eastAsia" w:ascii="宋体" w:hAnsi="宋体" w:cs="Times New Roman"/>
          <w:szCs w:val="21"/>
        </w:rPr>
        <w:t>日签订的</w:t>
      </w:r>
      <w:r>
        <w:rPr>
          <w:rFonts w:ascii="宋体" w:hAnsi="宋体" w:cs="Times New Roman"/>
          <w:szCs w:val="21"/>
          <w:u w:val="single"/>
        </w:rPr>
        <w:t xml:space="preserve">                   </w:t>
      </w:r>
      <w:r>
        <w:rPr>
          <w:rFonts w:hint="eastAsia" w:ascii="宋体" w:hAnsi="宋体" w:cs="Times New Roman"/>
          <w:szCs w:val="21"/>
        </w:rPr>
        <w:t>（项目名称）</w:t>
      </w:r>
      <w:r>
        <w:rPr>
          <w:rFonts w:hint="eastAsia" w:ascii="宋体" w:hAnsi="宋体" w:cs="Times New Roman"/>
          <w:szCs w:val="21"/>
          <w:u w:val="single"/>
        </w:rPr>
        <w:t xml:space="preserve">    </w:t>
      </w:r>
      <w:r>
        <w:rPr>
          <w:rFonts w:hint="eastAsia" w:ascii="宋体" w:hAnsi="宋体" w:cs="Times New Roman"/>
          <w:szCs w:val="21"/>
        </w:rPr>
        <w:t>包《政府采购合同》，中标人按约定的金额向你方提交一份预付款担保，即有权得到你方支付相等金额的预付款。我方愿意就你方提供给中标人的预付款为中标人提供连带责任担保。</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1. </w:t>
      </w:r>
      <w:r>
        <w:rPr>
          <w:rFonts w:hint="eastAsia" w:ascii="宋体" w:hAnsi="宋体" w:cs="Times New Roman"/>
          <w:szCs w:val="21"/>
        </w:rPr>
        <w:t>担保金额人民币（大写）</w:t>
      </w:r>
      <w:r>
        <w:rPr>
          <w:rFonts w:ascii="宋体" w:hAnsi="宋体" w:cs="Times New Roman"/>
          <w:szCs w:val="21"/>
          <w:u w:val="single"/>
        </w:rPr>
        <w:t xml:space="preserve">                </w:t>
      </w:r>
      <w:r>
        <w:rPr>
          <w:rFonts w:hint="eastAsia" w:ascii="宋体" w:hAnsi="宋体" w:cs="Times New Roman"/>
          <w:szCs w:val="21"/>
        </w:rPr>
        <w:t>元（</w:t>
      </w:r>
      <w:r>
        <w:rPr>
          <w:rFonts w:ascii="宋体" w:hAnsi="宋体" w:cs="Times New Roman"/>
          <w:szCs w:val="21"/>
        </w:rPr>
        <w:t>¥</w:t>
      </w:r>
      <w:r>
        <w:rPr>
          <w:rFonts w:ascii="宋体" w:hAnsi="宋体" w:cs="Times New Roman"/>
          <w:szCs w:val="21"/>
          <w:u w:val="single"/>
        </w:rPr>
        <w:t xml:space="preserve">             </w:t>
      </w:r>
      <w:r>
        <w:rPr>
          <w:rFonts w:hint="eastAsia" w:ascii="宋体" w:hAnsi="宋体" w:cs="Times New Roman"/>
          <w:szCs w:val="21"/>
        </w:rPr>
        <w:t>）。</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2. </w:t>
      </w:r>
      <w:r>
        <w:rPr>
          <w:rFonts w:hint="eastAsia" w:ascii="宋体" w:hAnsi="宋体" w:cs="Times New Roman"/>
          <w:szCs w:val="21"/>
        </w:rPr>
        <w:t>担保有效期自预付款支付给中标人起生效，至你方签发的进度款支付证书说明已完全扣清止。</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3. </w:t>
      </w:r>
      <w:r>
        <w:rPr>
          <w:rFonts w:hint="eastAsia" w:ascii="宋体" w:hAnsi="宋体" w:cs="Times New Roman"/>
          <w:szCs w:val="21"/>
        </w:rPr>
        <w:t>在本保函有效期内，因中标人违反合同约定的义务而要求收回预付款时，我方在收到你方的书面通知后，在７天内无条件支付。但本保函的担保金额，在任何时候不应超过预付款金额。</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4. </w:t>
      </w:r>
      <w:r>
        <w:rPr>
          <w:rFonts w:hint="eastAsia" w:ascii="宋体" w:hAnsi="宋体" w:cs="Times New Roman"/>
          <w:szCs w:val="21"/>
        </w:rPr>
        <w:t>你方和中标人按合同约定变更合同时，我方承担本保函规定的义务不变。</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5. </w:t>
      </w:r>
      <w:r>
        <w:rPr>
          <w:rFonts w:hint="eastAsia" w:ascii="宋体" w:hAnsi="宋体" w:cs="Times New Roman"/>
          <w:szCs w:val="21"/>
        </w:rPr>
        <w:t>因本保函发生的纠纷，可由双方协商解决，协商不成的，任何一方均可提请</w:t>
      </w:r>
      <w:r>
        <w:rPr>
          <w:rFonts w:ascii="宋体" w:hAnsi="宋体" w:cs="Times New Roman"/>
          <w:szCs w:val="21"/>
          <w:u w:val="single"/>
        </w:rPr>
        <w:t xml:space="preserve"> </w:t>
      </w:r>
      <w:r>
        <w:rPr>
          <w:rFonts w:hint="eastAsia" w:ascii="宋体" w:hAnsi="宋体" w:cs="Times New Roman"/>
          <w:szCs w:val="21"/>
          <w:u w:val="single"/>
        </w:rPr>
        <w:t>淮南市</w:t>
      </w:r>
      <w:r>
        <w:rPr>
          <w:rFonts w:ascii="宋体" w:hAnsi="宋体" w:cs="Times New Roman"/>
          <w:szCs w:val="21"/>
          <w:u w:val="single"/>
        </w:rPr>
        <w:t xml:space="preserve"> </w:t>
      </w:r>
      <w:r>
        <w:rPr>
          <w:rFonts w:hint="eastAsia" w:ascii="宋体" w:hAnsi="宋体" w:cs="Times New Roman"/>
          <w:szCs w:val="21"/>
        </w:rPr>
        <w:t>仲裁委员会仲裁。</w:t>
      </w:r>
    </w:p>
    <w:p>
      <w:pPr>
        <w:adjustRightInd w:val="0"/>
        <w:snapToGrid w:val="0"/>
        <w:spacing w:line="360" w:lineRule="auto"/>
        <w:ind w:firstLine="420" w:firstLineChars="200"/>
        <w:rPr>
          <w:rFonts w:ascii="宋体" w:hAnsi="宋体" w:cs="Times New Roman"/>
          <w:szCs w:val="21"/>
        </w:rPr>
      </w:pPr>
      <w:r>
        <w:rPr>
          <w:rFonts w:ascii="宋体" w:hAnsi="宋体" w:cs="Times New Roman"/>
          <w:szCs w:val="21"/>
        </w:rPr>
        <w:t xml:space="preserve">6. </w:t>
      </w:r>
      <w:r>
        <w:rPr>
          <w:rFonts w:hint="eastAsia" w:ascii="宋体" w:hAnsi="宋体" w:cs="Times New Roman"/>
          <w:szCs w:val="21"/>
        </w:rPr>
        <w:t>本保函自我方法定代表人（或其授权代理人）签字并加盖公章之日起生效。</w:t>
      </w:r>
    </w:p>
    <w:p>
      <w:pPr>
        <w:adjustRightInd w:val="0"/>
        <w:snapToGrid w:val="0"/>
        <w:spacing w:line="360" w:lineRule="auto"/>
        <w:ind w:firstLine="420" w:firstLineChars="200"/>
        <w:rPr>
          <w:rFonts w:ascii="宋体" w:hAnsi="宋体" w:cs="Times New Roman"/>
          <w:szCs w:val="21"/>
        </w:rPr>
      </w:pPr>
    </w:p>
    <w:p>
      <w:pPr>
        <w:adjustRightInd w:val="0"/>
        <w:snapToGrid w:val="0"/>
        <w:spacing w:line="360" w:lineRule="auto"/>
        <w:ind w:firstLine="420" w:firstLineChars="200"/>
        <w:rPr>
          <w:rFonts w:ascii="宋体" w:hAnsi="宋体" w:cs="Times New Roman"/>
          <w:szCs w:val="21"/>
        </w:rPr>
      </w:pPr>
    </w:p>
    <w:p>
      <w:pPr>
        <w:adjustRightInd w:val="0"/>
        <w:snapToGrid w:val="0"/>
        <w:spacing w:line="360" w:lineRule="auto"/>
        <w:rPr>
          <w:rFonts w:ascii="宋体" w:hAnsi="宋体" w:cs="Times New Roman"/>
          <w:szCs w:val="21"/>
        </w:rPr>
      </w:pPr>
      <w:r>
        <w:rPr>
          <w:rFonts w:hint="eastAsia" w:ascii="宋体" w:hAnsi="宋体" w:cs="Times New Roman"/>
          <w:szCs w:val="21"/>
        </w:rPr>
        <w:t>担保人：</w:t>
      </w:r>
      <w:r>
        <w:rPr>
          <w:rFonts w:ascii="宋体" w:hAnsi="宋体" w:cs="Times New Roman"/>
          <w:szCs w:val="21"/>
          <w:u w:val="single"/>
        </w:rPr>
        <w:t xml:space="preserve">                          </w:t>
      </w:r>
      <w:r>
        <w:rPr>
          <w:rFonts w:hint="eastAsia" w:ascii="宋体" w:hAnsi="宋体" w:cs="Times New Roman"/>
          <w:szCs w:val="21"/>
        </w:rPr>
        <w:t>（盖单位章）</w:t>
      </w:r>
    </w:p>
    <w:p>
      <w:pPr>
        <w:adjustRightInd w:val="0"/>
        <w:snapToGrid w:val="0"/>
        <w:spacing w:line="360" w:lineRule="auto"/>
        <w:rPr>
          <w:rFonts w:ascii="宋体" w:hAnsi="宋体" w:cs="Times New Roman"/>
          <w:szCs w:val="21"/>
        </w:rPr>
      </w:pPr>
      <w:r>
        <w:rPr>
          <w:rFonts w:hint="eastAsia" w:ascii="宋体" w:hAnsi="宋体" w:cs="Times New Roman"/>
          <w:szCs w:val="21"/>
        </w:rPr>
        <w:t>法定代表人或其委托代理人：</w:t>
      </w:r>
      <w:r>
        <w:rPr>
          <w:rFonts w:ascii="宋体" w:hAnsi="宋体" w:cs="Times New Roman"/>
          <w:szCs w:val="21"/>
          <w:u w:val="single"/>
        </w:rPr>
        <w:t xml:space="preserve">            </w:t>
      </w:r>
      <w:r>
        <w:rPr>
          <w:rFonts w:hint="eastAsia" w:ascii="宋体" w:hAnsi="宋体" w:cs="Times New Roman"/>
          <w:szCs w:val="21"/>
        </w:rPr>
        <w:t>（签字）</w:t>
      </w:r>
    </w:p>
    <w:p>
      <w:pPr>
        <w:adjustRightInd w:val="0"/>
        <w:snapToGrid w:val="0"/>
        <w:spacing w:line="360" w:lineRule="auto"/>
        <w:rPr>
          <w:rFonts w:ascii="宋体" w:hAnsi="宋体" w:cs="Times New Roman"/>
          <w:szCs w:val="21"/>
        </w:rPr>
      </w:pPr>
      <w:r>
        <w:rPr>
          <w:rFonts w:hint="eastAsia" w:ascii="宋体" w:hAnsi="宋体" w:cs="Times New Roman"/>
          <w:szCs w:val="21"/>
        </w:rPr>
        <w:t>地</w:t>
      </w:r>
      <w:r>
        <w:rPr>
          <w:rFonts w:ascii="宋体" w:hAnsi="宋体" w:cs="Times New Roman"/>
          <w:szCs w:val="21"/>
        </w:rPr>
        <w:t xml:space="preserve">    </w:t>
      </w:r>
      <w:r>
        <w:rPr>
          <w:rFonts w:hint="eastAsia" w:ascii="宋体" w:hAnsi="宋体" w:cs="Times New Roman"/>
          <w:szCs w:val="21"/>
        </w:rPr>
        <w:t>址：</w:t>
      </w:r>
      <w:r>
        <w:rPr>
          <w:rFonts w:hint="eastAsia" w:ascii="宋体" w:hAnsi="宋体" w:cs="Times New Roman"/>
          <w:szCs w:val="21"/>
          <w:u w:val="single"/>
        </w:rPr>
        <w:t xml:space="preserve">                       </w:t>
      </w:r>
    </w:p>
    <w:p>
      <w:pPr>
        <w:adjustRightInd w:val="0"/>
        <w:snapToGrid w:val="0"/>
        <w:spacing w:line="360" w:lineRule="auto"/>
        <w:rPr>
          <w:rFonts w:ascii="宋体" w:hAnsi="宋体" w:cs="Times New Roman"/>
          <w:szCs w:val="21"/>
          <w:u w:val="single"/>
        </w:rPr>
      </w:pPr>
      <w:r>
        <w:rPr>
          <w:rFonts w:hint="eastAsia" w:ascii="宋体" w:hAnsi="宋体" w:cs="Times New Roman"/>
          <w:szCs w:val="21"/>
        </w:rPr>
        <w:t>邮政编码：</w:t>
      </w:r>
      <w:r>
        <w:rPr>
          <w:rFonts w:hint="eastAsia" w:ascii="宋体" w:hAnsi="宋体" w:cs="Times New Roman"/>
          <w:szCs w:val="21"/>
          <w:u w:val="single"/>
        </w:rPr>
        <w:t xml:space="preserve">                       </w:t>
      </w:r>
    </w:p>
    <w:p>
      <w:pPr>
        <w:adjustRightInd w:val="0"/>
        <w:snapToGrid w:val="0"/>
        <w:spacing w:line="360" w:lineRule="auto"/>
        <w:rPr>
          <w:rFonts w:ascii="宋体" w:hAnsi="宋体" w:cs="Times New Roman"/>
          <w:szCs w:val="21"/>
          <w:u w:val="single"/>
        </w:rPr>
      </w:pPr>
      <w:r>
        <w:rPr>
          <w:rFonts w:hint="eastAsia" w:ascii="宋体" w:hAnsi="宋体" w:cs="Times New Roman"/>
          <w:szCs w:val="21"/>
        </w:rPr>
        <w:t>电</w:t>
      </w:r>
      <w:r>
        <w:rPr>
          <w:rFonts w:ascii="宋体" w:hAnsi="宋体" w:cs="Times New Roman"/>
          <w:szCs w:val="21"/>
        </w:rPr>
        <w:t xml:space="preserve">    </w:t>
      </w:r>
      <w:r>
        <w:rPr>
          <w:rFonts w:hint="eastAsia" w:ascii="宋体" w:hAnsi="宋体" w:cs="Times New Roman"/>
          <w:szCs w:val="21"/>
        </w:rPr>
        <w:t>话：</w:t>
      </w:r>
      <w:r>
        <w:rPr>
          <w:rFonts w:hint="eastAsia" w:ascii="宋体" w:hAnsi="宋体" w:cs="Times New Roman"/>
          <w:szCs w:val="21"/>
          <w:u w:val="single"/>
        </w:rPr>
        <w:t xml:space="preserve">                       </w:t>
      </w:r>
    </w:p>
    <w:p>
      <w:pPr>
        <w:adjustRightInd w:val="0"/>
        <w:snapToGrid w:val="0"/>
        <w:spacing w:line="360" w:lineRule="auto"/>
        <w:rPr>
          <w:rFonts w:ascii="宋体" w:hAnsi="宋体" w:cs="Times New Roman"/>
          <w:szCs w:val="21"/>
          <w:u w:val="single"/>
        </w:rPr>
      </w:pPr>
      <w:r>
        <w:rPr>
          <w:rFonts w:hint="eastAsia" w:ascii="宋体" w:hAnsi="宋体" w:cs="Times New Roman"/>
          <w:szCs w:val="21"/>
        </w:rPr>
        <w:t>传</w:t>
      </w:r>
      <w:r>
        <w:rPr>
          <w:rFonts w:ascii="宋体" w:hAnsi="宋体" w:cs="Times New Roman"/>
          <w:szCs w:val="21"/>
        </w:rPr>
        <w:t xml:space="preserve">    </w:t>
      </w:r>
      <w:r>
        <w:rPr>
          <w:rFonts w:hint="eastAsia" w:ascii="宋体" w:hAnsi="宋体" w:cs="Times New Roman"/>
          <w:szCs w:val="21"/>
        </w:rPr>
        <w:t>真：</w:t>
      </w:r>
      <w:r>
        <w:rPr>
          <w:rFonts w:hint="eastAsia" w:ascii="宋体" w:hAnsi="宋体" w:cs="Times New Roman"/>
          <w:szCs w:val="21"/>
          <w:u w:val="single"/>
        </w:rPr>
        <w:t xml:space="preserve">                       </w:t>
      </w:r>
    </w:p>
    <w:p>
      <w:pPr>
        <w:adjustRightInd w:val="0"/>
        <w:snapToGrid w:val="0"/>
        <w:spacing w:line="360" w:lineRule="auto"/>
        <w:rPr>
          <w:rFonts w:ascii="宋体" w:hAnsi="宋体" w:cs="Times New Roman"/>
          <w:szCs w:val="21"/>
        </w:rPr>
      </w:pPr>
      <w:r>
        <w:rPr>
          <w:rFonts w:ascii="宋体" w:hAnsi="宋体" w:cs="Times New Roman"/>
          <w:szCs w:val="21"/>
        </w:rPr>
        <w:t xml:space="preserve">            </w:t>
      </w:r>
      <w:r>
        <w:rPr>
          <w:rFonts w:hint="eastAsia" w:ascii="宋体" w:hAnsi="宋体" w:cs="Times New Roman"/>
          <w:szCs w:val="21"/>
          <w:u w:val="single"/>
        </w:rPr>
        <w:t xml:space="preserve">    </w:t>
      </w:r>
      <w:r>
        <w:rPr>
          <w:rFonts w:hint="eastAsia" w:ascii="宋体" w:hAnsi="宋体" w:cs="Times New Roman"/>
          <w:szCs w:val="21"/>
        </w:rPr>
        <w:t>年</w:t>
      </w:r>
      <w:r>
        <w:rPr>
          <w:rFonts w:hint="eastAsia" w:ascii="宋体" w:hAnsi="宋体" w:cs="Times New Roman"/>
          <w:szCs w:val="21"/>
          <w:u w:val="single"/>
        </w:rPr>
        <w:t xml:space="preserve">   </w:t>
      </w:r>
      <w:r>
        <w:rPr>
          <w:rFonts w:hint="eastAsia" w:ascii="宋体" w:hAnsi="宋体" w:cs="Times New Roman"/>
          <w:szCs w:val="21"/>
        </w:rPr>
        <w:t>月</w:t>
      </w:r>
      <w:r>
        <w:rPr>
          <w:rFonts w:hint="eastAsia" w:ascii="宋体" w:hAnsi="宋体" w:cs="Times New Roman"/>
          <w:szCs w:val="21"/>
          <w:u w:val="single"/>
        </w:rPr>
        <w:t xml:space="preserve">   </w:t>
      </w:r>
      <w:r>
        <w:rPr>
          <w:rFonts w:hint="eastAsia" w:ascii="宋体" w:hAnsi="宋体" w:cs="Times New Roman"/>
          <w:szCs w:val="21"/>
        </w:rPr>
        <w:t>日</w:t>
      </w:r>
    </w:p>
    <w:p>
      <w:pPr>
        <w:widowControl/>
        <w:jc w:val="left"/>
        <w:rPr>
          <w:rFonts w:ascii="Arial" w:hAnsi="Arial" w:cs="Arial"/>
          <w:b/>
          <w:sz w:val="28"/>
        </w:rPr>
      </w:pPr>
      <w:r>
        <w:rPr>
          <w:rFonts w:ascii="Arial" w:hAnsi="Arial" w:cs="Arial"/>
          <w:b/>
          <w:sz w:val="28"/>
        </w:rPr>
        <w:br w:type="page"/>
      </w:r>
    </w:p>
    <w:p>
      <w:pPr>
        <w:spacing w:line="360" w:lineRule="auto"/>
        <w:jc w:val="center"/>
        <w:outlineLvl w:val="1"/>
        <w:rPr>
          <w:rFonts w:ascii="Arial" w:hAnsi="Arial" w:cs="Arial"/>
          <w:b/>
          <w:sz w:val="28"/>
        </w:rPr>
      </w:pPr>
      <w:bookmarkStart w:id="39" w:name="_Toc12697"/>
      <w:bookmarkStart w:id="40" w:name="_Toc32182"/>
      <w:r>
        <w:rPr>
          <w:rFonts w:hint="eastAsia" w:ascii="Arial" w:hAnsi="Arial" w:cs="Arial"/>
          <w:b/>
          <w:sz w:val="28"/>
        </w:rPr>
        <w:t>第六章</w:t>
      </w:r>
      <w:r>
        <w:rPr>
          <w:rFonts w:ascii="Arial" w:hAnsi="Arial" w:cs="Arial"/>
          <w:b/>
          <w:sz w:val="28"/>
        </w:rPr>
        <w:t xml:space="preserve">  </w:t>
      </w:r>
      <w:r>
        <w:rPr>
          <w:rFonts w:hint="eastAsia" w:ascii="Arial" w:hAnsi="Arial" w:cs="Arial"/>
          <w:b/>
          <w:sz w:val="28"/>
        </w:rPr>
        <w:t>投标文件格式</w:t>
      </w:r>
      <w:bookmarkEnd w:id="39"/>
      <w:bookmarkEnd w:id="40"/>
    </w:p>
    <w:p>
      <w:pPr>
        <w:spacing w:line="500" w:lineRule="exact"/>
        <w:jc w:val="right"/>
        <w:rPr>
          <w:rFonts w:ascii="Arial" w:hAnsi="Arial" w:cs="Arial"/>
          <w:b/>
          <w:sz w:val="32"/>
        </w:rPr>
      </w:pPr>
      <w:r>
        <w:rPr>
          <w:rFonts w:hint="eastAsia" w:ascii="Arial" w:hAnsi="Arial" w:cs="Arial"/>
          <w:b/>
          <w:sz w:val="32"/>
        </w:rPr>
        <w:t>【正</w:t>
      </w:r>
      <w:r>
        <w:rPr>
          <w:rFonts w:ascii="Arial" w:hAnsi="Arial" w:cs="Arial"/>
          <w:b/>
          <w:sz w:val="32"/>
        </w:rPr>
        <w:t>/</w:t>
      </w:r>
      <w:r>
        <w:rPr>
          <w:rFonts w:hint="eastAsia" w:ascii="Arial" w:hAnsi="Arial" w:cs="Arial"/>
          <w:b/>
          <w:sz w:val="32"/>
        </w:rPr>
        <w:t>副本】</w:t>
      </w:r>
    </w:p>
    <w:p>
      <w:pPr>
        <w:spacing w:line="500" w:lineRule="exact"/>
        <w:jc w:val="center"/>
        <w:rPr>
          <w:rFonts w:hint="eastAsia" w:ascii="Arial" w:hAnsi="Arial" w:eastAsia="宋体" w:cs="Arial"/>
          <w:b/>
          <w:sz w:val="32"/>
          <w:lang w:eastAsia="zh-CN"/>
        </w:rPr>
      </w:pPr>
      <w:r>
        <w:rPr>
          <w:rFonts w:hint="eastAsia" w:ascii="Arial" w:hAnsi="Arial" w:cs="Arial"/>
          <w:b/>
          <w:sz w:val="32"/>
          <w:lang w:eastAsia="zh-CN"/>
        </w:rPr>
        <w:t>安徽理工大学2023年高峰学科仪器设备购置项目（六）</w:t>
      </w:r>
    </w:p>
    <w:p>
      <w:pPr>
        <w:spacing w:line="500" w:lineRule="exact"/>
        <w:jc w:val="center"/>
        <w:rPr>
          <w:rFonts w:ascii="Arial" w:hAnsi="Arial" w:cs="Arial"/>
          <w:b/>
          <w:sz w:val="32"/>
        </w:rPr>
      </w:pPr>
      <w:r>
        <w:rPr>
          <w:rFonts w:hint="eastAsia" w:ascii="Arial" w:hAnsi="Arial" w:cs="Arial"/>
          <w:b/>
          <w:sz w:val="32"/>
        </w:rPr>
        <w:t>（项目编号：</w:t>
      </w:r>
      <w:r>
        <w:rPr>
          <w:rFonts w:hint="eastAsia" w:ascii="Arial" w:hAnsi="Arial" w:cs="Arial"/>
          <w:b/>
          <w:spacing w:val="20"/>
          <w:kern w:val="0"/>
          <w:sz w:val="32"/>
          <w:szCs w:val="32"/>
          <w:lang w:eastAsia="zh-CN"/>
        </w:rPr>
        <w:t>FSKY34000120236027</w:t>
      </w:r>
      <w:r>
        <w:rPr>
          <w:rFonts w:hint="eastAsia" w:ascii="Arial" w:hAnsi="Arial" w:cs="Arial"/>
          <w:b/>
          <w:spacing w:val="20"/>
          <w:kern w:val="0"/>
          <w:sz w:val="32"/>
          <w:szCs w:val="32"/>
        </w:rPr>
        <w:t>号</w:t>
      </w:r>
      <w:r>
        <w:rPr>
          <w:rFonts w:hint="eastAsia" w:ascii="Arial" w:hAnsi="Arial" w:cs="Arial"/>
          <w:b/>
          <w:sz w:val="32"/>
        </w:rPr>
        <w:t>）</w:t>
      </w:r>
    </w:p>
    <w:p>
      <w:pPr>
        <w:spacing w:line="900" w:lineRule="exact"/>
        <w:rPr>
          <w:rFonts w:ascii="Arial" w:hAnsi="Arial" w:cs="Arial"/>
          <w:b/>
          <w:sz w:val="40"/>
          <w:szCs w:val="40"/>
        </w:rPr>
      </w:pPr>
    </w:p>
    <w:p>
      <w:pPr>
        <w:spacing w:line="900" w:lineRule="exact"/>
        <w:jc w:val="center"/>
        <w:rPr>
          <w:rFonts w:ascii="Arial" w:hAnsi="Arial" w:cs="Arial"/>
          <w:b/>
          <w:sz w:val="72"/>
        </w:rPr>
      </w:pPr>
      <w:r>
        <w:rPr>
          <w:rFonts w:hint="eastAsia" w:ascii="Arial" w:hAnsi="Arial" w:cs="Arial"/>
          <w:b/>
          <w:sz w:val="72"/>
        </w:rPr>
        <w:t>投</w:t>
      </w:r>
    </w:p>
    <w:p>
      <w:pPr>
        <w:spacing w:line="900" w:lineRule="exact"/>
        <w:jc w:val="center"/>
        <w:rPr>
          <w:rFonts w:ascii="Arial" w:hAnsi="Arial" w:cs="Arial"/>
          <w:b/>
          <w:sz w:val="72"/>
        </w:rPr>
      </w:pPr>
    </w:p>
    <w:p>
      <w:pPr>
        <w:spacing w:line="900" w:lineRule="exact"/>
        <w:jc w:val="center"/>
        <w:rPr>
          <w:rFonts w:ascii="Arial" w:hAnsi="Arial" w:cs="Arial"/>
          <w:b/>
          <w:sz w:val="72"/>
        </w:rPr>
      </w:pPr>
      <w:r>
        <w:rPr>
          <w:rFonts w:hint="eastAsia" w:ascii="Arial" w:hAnsi="Arial" w:cs="Arial"/>
          <w:b/>
          <w:sz w:val="72"/>
        </w:rPr>
        <w:t>标</w:t>
      </w:r>
    </w:p>
    <w:p>
      <w:pPr>
        <w:spacing w:line="900" w:lineRule="exact"/>
        <w:jc w:val="center"/>
        <w:rPr>
          <w:rFonts w:ascii="Arial" w:hAnsi="Arial" w:cs="Arial"/>
          <w:b/>
          <w:sz w:val="72"/>
        </w:rPr>
      </w:pPr>
    </w:p>
    <w:p>
      <w:pPr>
        <w:spacing w:line="900" w:lineRule="exact"/>
        <w:jc w:val="center"/>
        <w:rPr>
          <w:rFonts w:ascii="Arial" w:hAnsi="Arial" w:cs="Arial"/>
          <w:b/>
          <w:sz w:val="72"/>
        </w:rPr>
      </w:pPr>
      <w:r>
        <w:rPr>
          <w:rFonts w:hint="eastAsia" w:ascii="Arial" w:hAnsi="Arial" w:cs="Arial"/>
          <w:b/>
          <w:sz w:val="72"/>
        </w:rPr>
        <w:t>文</w:t>
      </w:r>
    </w:p>
    <w:p>
      <w:pPr>
        <w:spacing w:line="900" w:lineRule="exact"/>
        <w:jc w:val="center"/>
        <w:rPr>
          <w:rFonts w:ascii="Arial" w:hAnsi="Arial" w:cs="Arial"/>
          <w:b/>
          <w:sz w:val="72"/>
        </w:rPr>
      </w:pPr>
    </w:p>
    <w:p>
      <w:pPr>
        <w:jc w:val="center"/>
        <w:rPr>
          <w:rFonts w:ascii="Arial" w:hAnsi="Arial" w:cs="Arial"/>
          <w:b/>
          <w:sz w:val="32"/>
          <w:szCs w:val="32"/>
        </w:rPr>
      </w:pPr>
      <w:r>
        <w:rPr>
          <w:rFonts w:hint="eastAsia" w:ascii="Arial" w:hAnsi="Arial" w:cs="Arial"/>
          <w:b/>
          <w:sz w:val="72"/>
        </w:rPr>
        <w:t>件</w:t>
      </w:r>
    </w:p>
    <w:p>
      <w:pPr>
        <w:spacing w:after="156" w:afterLines="50" w:line="500" w:lineRule="exact"/>
        <w:jc w:val="center"/>
        <w:rPr>
          <w:rFonts w:hint="eastAsia" w:ascii="Arial" w:hAnsi="Arial" w:cs="Arial"/>
          <w:b/>
          <w:sz w:val="28"/>
          <w:szCs w:val="28"/>
        </w:rPr>
      </w:pPr>
    </w:p>
    <w:p>
      <w:pPr>
        <w:spacing w:after="156" w:afterLines="50" w:line="500" w:lineRule="exact"/>
        <w:rPr>
          <w:rFonts w:ascii="Arial" w:hAnsi="Arial" w:cs="Arial"/>
          <w:b/>
          <w:sz w:val="72"/>
        </w:rPr>
      </w:pPr>
    </w:p>
    <w:p>
      <w:pPr>
        <w:spacing w:after="156" w:afterLines="50" w:line="500" w:lineRule="exact"/>
        <w:jc w:val="center"/>
        <w:rPr>
          <w:rFonts w:hint="eastAsia" w:ascii="Arial" w:hAnsi="Arial" w:cs="Arial"/>
          <w:b/>
          <w:sz w:val="32"/>
        </w:rPr>
      </w:pPr>
    </w:p>
    <w:p>
      <w:pPr>
        <w:spacing w:after="156" w:afterLines="50" w:line="500" w:lineRule="exact"/>
        <w:jc w:val="center"/>
        <w:rPr>
          <w:rFonts w:ascii="Arial" w:hAnsi="Arial" w:cs="Arial"/>
          <w:b/>
          <w:sz w:val="32"/>
          <w:u w:val="single"/>
        </w:rPr>
      </w:pPr>
      <w:r>
        <w:rPr>
          <w:rFonts w:hint="eastAsia" w:ascii="Arial" w:hAnsi="Arial" w:cs="Arial"/>
          <w:b/>
          <w:sz w:val="32"/>
        </w:rPr>
        <w:t>投标人：</w:t>
      </w:r>
      <w:r>
        <w:rPr>
          <w:rFonts w:ascii="Arial" w:hAnsi="Arial" w:cs="Arial"/>
          <w:b/>
          <w:sz w:val="32"/>
          <w:u w:val="single"/>
        </w:rPr>
        <w:t xml:space="preserve">                     </w:t>
      </w:r>
      <w:r>
        <w:rPr>
          <w:rFonts w:hint="eastAsia" w:ascii="Arial" w:hAnsi="Arial" w:cs="Arial"/>
          <w:b/>
          <w:sz w:val="32"/>
        </w:rPr>
        <w:t>（加盖投标人公章）</w:t>
      </w:r>
    </w:p>
    <w:p>
      <w:pPr>
        <w:spacing w:after="156" w:afterLines="50" w:line="500" w:lineRule="exact"/>
        <w:jc w:val="center"/>
        <w:rPr>
          <w:rFonts w:ascii="Arial" w:hAnsi="Arial" w:cs="Arial"/>
          <w:b/>
          <w:sz w:val="32"/>
        </w:rPr>
      </w:pPr>
      <w:r>
        <w:rPr>
          <w:rFonts w:ascii="Arial" w:hAnsi="Arial" w:cs="Arial"/>
          <w:b/>
          <w:sz w:val="32"/>
          <w:u w:val="single"/>
        </w:rPr>
        <w:t xml:space="preserve">     </w:t>
      </w:r>
      <w:r>
        <w:rPr>
          <w:rFonts w:hint="eastAsia" w:ascii="Arial" w:hAnsi="Arial" w:cs="Arial"/>
          <w:b/>
          <w:sz w:val="32"/>
        </w:rPr>
        <w:t>年</w:t>
      </w:r>
      <w:r>
        <w:rPr>
          <w:rFonts w:ascii="Arial" w:hAnsi="Arial" w:cs="Arial"/>
          <w:b/>
          <w:sz w:val="32"/>
          <w:u w:val="single"/>
        </w:rPr>
        <w:t xml:space="preserve">    </w:t>
      </w:r>
      <w:r>
        <w:rPr>
          <w:rFonts w:hint="eastAsia" w:ascii="Arial" w:hAnsi="Arial" w:cs="Arial"/>
          <w:b/>
          <w:sz w:val="32"/>
        </w:rPr>
        <w:t>月</w:t>
      </w:r>
      <w:r>
        <w:rPr>
          <w:rFonts w:ascii="Arial" w:hAnsi="Arial" w:cs="Arial"/>
          <w:b/>
          <w:sz w:val="32"/>
          <w:u w:val="single"/>
        </w:rPr>
        <w:t xml:space="preserve">    </w:t>
      </w:r>
      <w:r>
        <w:rPr>
          <w:rFonts w:hint="eastAsia" w:ascii="Arial" w:hAnsi="Arial" w:cs="Arial"/>
          <w:b/>
          <w:sz w:val="32"/>
        </w:rPr>
        <w:t>日</w:t>
      </w:r>
    </w:p>
    <w:p>
      <w:pPr>
        <w:widowControl/>
        <w:jc w:val="left"/>
        <w:rPr>
          <w:rFonts w:ascii="Arial" w:hAnsi="Arial" w:cs="Arial"/>
          <w:b/>
          <w:sz w:val="28"/>
        </w:rPr>
      </w:pPr>
      <w:r>
        <w:rPr>
          <w:rFonts w:ascii="Arial" w:hAnsi="Arial" w:cs="Arial"/>
          <w:b/>
          <w:sz w:val="28"/>
        </w:rPr>
        <w:br w:type="page"/>
      </w:r>
    </w:p>
    <w:p>
      <w:pPr>
        <w:pStyle w:val="21"/>
        <w:spacing w:line="240" w:lineRule="atLeast"/>
      </w:pPr>
      <w:r>
        <w:rPr>
          <w:rFonts w:hint="eastAsia"/>
        </w:rPr>
        <w:t>投标文件资料清单</w:t>
      </w:r>
    </w:p>
    <w:tbl>
      <w:tblPr>
        <w:tblStyle w:val="2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spacing w:line="240" w:lineRule="atLeast"/>
              <w:jc w:val="center"/>
              <w:rPr>
                <w:rFonts w:ascii="Arial" w:hAnsi="Arial" w:cs="Arial"/>
                <w:sz w:val="24"/>
              </w:rPr>
            </w:pPr>
            <w:r>
              <w:rPr>
                <w:rFonts w:hint="eastAsia" w:ascii="Arial" w:hAnsi="Arial" w:cs="Arial"/>
                <w:sz w:val="24"/>
              </w:rPr>
              <w:t>序号</w:t>
            </w:r>
          </w:p>
        </w:tc>
        <w:tc>
          <w:tcPr>
            <w:tcW w:w="7052" w:type="dxa"/>
            <w:noWrap w:val="0"/>
            <w:vAlign w:val="center"/>
          </w:tcPr>
          <w:p>
            <w:pPr>
              <w:spacing w:line="240" w:lineRule="atLeast"/>
              <w:jc w:val="center"/>
              <w:rPr>
                <w:rFonts w:ascii="Arial" w:hAnsi="Arial" w:cs="Arial"/>
                <w:sz w:val="24"/>
              </w:rPr>
            </w:pPr>
            <w:r>
              <w:rPr>
                <w:rFonts w:hint="eastAsia" w:ascii="Arial" w:hAnsi="Arial" w:cs="Arial"/>
                <w:sz w:val="24"/>
              </w:rPr>
              <w:t>资料名称</w:t>
            </w:r>
          </w:p>
        </w:tc>
        <w:tc>
          <w:tcPr>
            <w:tcW w:w="1342" w:type="dxa"/>
            <w:noWrap w:val="0"/>
            <w:vAlign w:val="center"/>
          </w:tcPr>
          <w:p>
            <w:pPr>
              <w:spacing w:line="240" w:lineRule="atLeast"/>
              <w:jc w:val="center"/>
              <w:rPr>
                <w:rFonts w:ascii="Arial" w:hAnsi="Arial" w:cs="Arial"/>
                <w:sz w:val="24"/>
              </w:rPr>
            </w:pPr>
            <w:r>
              <w:rPr>
                <w:rFonts w:hint="eastAsia" w:ascii="Arial" w:hAnsi="Arial" w:cs="Arial"/>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u w:val="single"/>
              </w:rPr>
            </w:pPr>
            <w:r>
              <w:rPr>
                <w:rFonts w:hint="eastAsia" w:ascii="Arial" w:hAnsi="Arial" w:cs="Arial"/>
                <w:bCs/>
                <w:sz w:val="24"/>
              </w:rPr>
              <w:t>开标一览表</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bCs/>
                <w:sz w:val="24"/>
              </w:rPr>
            </w:pPr>
            <w:r>
              <w:rPr>
                <w:rFonts w:hint="eastAsia" w:ascii="Arial" w:hAnsi="Arial" w:cs="Arial"/>
                <w:bCs/>
                <w:sz w:val="24"/>
              </w:rPr>
              <w:t>投标函</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bCs/>
                <w:sz w:val="24"/>
              </w:rPr>
            </w:pPr>
            <w:r>
              <w:rPr>
                <w:rFonts w:hint="eastAsia" w:ascii="Arial" w:hAnsi="Arial" w:cs="Arial"/>
                <w:sz w:val="24"/>
              </w:rPr>
              <w:t>无重大违法记录声明函、无不良信用记录声明函</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bCs/>
                <w:sz w:val="24"/>
                <w:szCs w:val="24"/>
              </w:rPr>
            </w:pPr>
          </w:p>
        </w:tc>
        <w:tc>
          <w:tcPr>
            <w:tcW w:w="7052" w:type="dxa"/>
            <w:noWrap w:val="0"/>
            <w:vAlign w:val="center"/>
          </w:tcPr>
          <w:p>
            <w:pPr>
              <w:spacing w:line="240" w:lineRule="atLeast"/>
              <w:rPr>
                <w:rFonts w:ascii="Arial" w:hAnsi="Arial" w:cs="Arial"/>
                <w:bCs/>
                <w:sz w:val="24"/>
              </w:rPr>
            </w:pPr>
            <w:r>
              <w:rPr>
                <w:rFonts w:hint="eastAsia" w:ascii="Arial" w:hAnsi="Arial" w:cs="Arial"/>
                <w:bCs/>
                <w:sz w:val="24"/>
              </w:rPr>
              <w:t>授权书</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bCs/>
                <w:sz w:val="24"/>
              </w:rPr>
            </w:pPr>
            <w:r>
              <w:rPr>
                <w:rFonts w:hint="eastAsia" w:ascii="宋体" w:hAnsi="宋体" w:cs="宋体"/>
                <w:sz w:val="24"/>
              </w:rPr>
              <w:t>投标报价汇总表</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pStyle w:val="85"/>
              <w:spacing w:line="240" w:lineRule="atLeast"/>
              <w:rPr>
                <w:bCs/>
              </w:rPr>
            </w:pPr>
            <w:r>
              <w:rPr>
                <w:rFonts w:hint="eastAsia"/>
                <w:bCs/>
              </w:rPr>
              <w:t>投标响应表</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bCs/>
                <w:sz w:val="24"/>
              </w:rPr>
            </w:pPr>
            <w:r>
              <w:rPr>
                <w:rFonts w:hint="eastAsia" w:ascii="Arial" w:hAnsi="Arial" w:cs="Arial"/>
                <w:sz w:val="24"/>
              </w:rPr>
              <w:t>供货安装（调试）方案</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售后服务与维保方案</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投标业绩承诺函</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联合体协议</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主要中标标的承诺函</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0" w:lineRule="atLeast"/>
              <w:rPr>
                <w:rFonts w:ascii="Arial" w:hAnsi="Arial" w:cs="Arial"/>
                <w:sz w:val="24"/>
              </w:rPr>
            </w:pPr>
            <w:r>
              <w:rPr>
                <w:rFonts w:hint="eastAsia" w:ascii="Arial" w:hAnsi="Arial" w:cs="Arial"/>
                <w:sz w:val="24"/>
              </w:rPr>
              <w:t>中小</w:t>
            </w:r>
            <w:r>
              <w:rPr>
                <w:rFonts w:ascii="Arial" w:hAnsi="Arial" w:cs="Arial"/>
                <w:sz w:val="24"/>
              </w:rPr>
              <w:t>企业声明函</w:t>
            </w:r>
            <w:r>
              <w:rPr>
                <w:rFonts w:hint="eastAsia" w:ascii="Arial" w:hAnsi="Arial" w:cs="Arial"/>
                <w:sz w:val="24"/>
              </w:rPr>
              <w:t>、残疾人福利性单位声明函及监狱企业证明</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0" w:lineRule="atLeast"/>
              <w:rPr>
                <w:rFonts w:ascii="Arial" w:hAnsi="Arial" w:cs="Arial"/>
                <w:sz w:val="24"/>
              </w:rPr>
            </w:pPr>
            <w:r>
              <w:rPr>
                <w:rFonts w:hint="eastAsia" w:ascii="Arial" w:hAnsi="Arial" w:cs="Arial"/>
                <w:sz w:val="24"/>
                <w:szCs w:val="22"/>
              </w:rPr>
              <w:t>所投各产品属于政府采购节能产品、环境标志产品实施品目范围的证明文件</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投标保证金</w:t>
            </w:r>
          </w:p>
        </w:tc>
        <w:tc>
          <w:tcPr>
            <w:tcW w:w="1342" w:type="dxa"/>
            <w:noWrap w:val="0"/>
            <w:vAlign w:val="center"/>
          </w:tcPr>
          <w:p>
            <w:pPr>
              <w:spacing w:line="240" w:lineRule="atLeast"/>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35" w:type="dxa"/>
            <w:noWrap w:val="0"/>
            <w:vAlign w:val="center"/>
          </w:tcPr>
          <w:p>
            <w:pPr>
              <w:numPr>
                <w:ilvl w:val="0"/>
                <w:numId w:val="5"/>
              </w:numPr>
              <w:spacing w:line="240" w:lineRule="atLeast"/>
              <w:jc w:val="center"/>
              <w:rPr>
                <w:rFonts w:ascii="Arial" w:hAnsi="Arial" w:cs="Arial"/>
                <w:sz w:val="24"/>
                <w:szCs w:val="24"/>
              </w:rPr>
            </w:pPr>
          </w:p>
        </w:tc>
        <w:tc>
          <w:tcPr>
            <w:tcW w:w="7052" w:type="dxa"/>
            <w:noWrap w:val="0"/>
            <w:vAlign w:val="center"/>
          </w:tcPr>
          <w:p>
            <w:pPr>
              <w:spacing w:line="240" w:lineRule="atLeast"/>
              <w:rPr>
                <w:rFonts w:ascii="Arial" w:hAnsi="Arial" w:cs="Arial"/>
                <w:sz w:val="24"/>
              </w:rPr>
            </w:pPr>
            <w:r>
              <w:rPr>
                <w:rFonts w:hint="eastAsia" w:ascii="Arial" w:hAnsi="Arial" w:cs="Arial"/>
                <w:sz w:val="24"/>
              </w:rPr>
              <w:t>其他相关证明材料</w:t>
            </w:r>
          </w:p>
        </w:tc>
        <w:tc>
          <w:tcPr>
            <w:tcW w:w="1342" w:type="dxa"/>
            <w:noWrap w:val="0"/>
            <w:vAlign w:val="center"/>
          </w:tcPr>
          <w:p>
            <w:pPr>
              <w:spacing w:line="240" w:lineRule="atLeast"/>
              <w:jc w:val="center"/>
              <w:rPr>
                <w:rFonts w:ascii="Arial" w:hAnsi="Arial" w:cs="Arial"/>
                <w:sz w:val="24"/>
              </w:rPr>
            </w:pPr>
          </w:p>
        </w:tc>
      </w:tr>
    </w:tbl>
    <w:p>
      <w:pPr>
        <w:rPr>
          <w:rFonts w:ascii="Arial" w:hAnsi="Arial" w:cs="Arial"/>
          <w:b/>
          <w:sz w:val="24"/>
        </w:rPr>
      </w:pPr>
      <w:r>
        <w:rPr>
          <w:rFonts w:ascii="Arial" w:hAnsi="Arial" w:cs="Arial"/>
          <w:b/>
          <w:sz w:val="24"/>
        </w:rPr>
        <w:br w:type="page"/>
      </w:r>
    </w:p>
    <w:p>
      <w:pPr>
        <w:spacing w:line="360" w:lineRule="auto"/>
        <w:jc w:val="center"/>
        <w:outlineLvl w:val="2"/>
        <w:rPr>
          <w:rFonts w:ascii="Arial" w:hAnsi="Arial" w:cs="Arial"/>
          <w:b/>
          <w:sz w:val="24"/>
        </w:rPr>
      </w:pPr>
      <w:r>
        <w:rPr>
          <w:rFonts w:hint="eastAsia" w:ascii="Arial" w:hAnsi="Arial" w:cs="Arial"/>
          <w:b/>
          <w:sz w:val="24"/>
        </w:rPr>
        <w:t>一、开标一览表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noWrap w:val="0"/>
            <w:vAlign w:val="center"/>
          </w:tcPr>
          <w:p>
            <w:pPr>
              <w:widowControl/>
              <w:spacing w:line="360" w:lineRule="exact"/>
              <w:jc w:val="center"/>
              <w:rPr>
                <w:rFonts w:ascii="Arial" w:hAnsi="Arial" w:cs="Arial"/>
                <w:b/>
                <w:sz w:val="24"/>
              </w:rPr>
            </w:pPr>
            <w:r>
              <w:rPr>
                <w:rFonts w:hint="eastAsia" w:ascii="Arial" w:hAnsi="Arial" w:cs="Arial"/>
                <w:b/>
                <w:sz w:val="24"/>
              </w:rPr>
              <w:t>项目名称</w:t>
            </w:r>
          </w:p>
        </w:tc>
        <w:tc>
          <w:tcPr>
            <w:tcW w:w="6218" w:type="dxa"/>
            <w:noWrap w:val="0"/>
            <w:vAlign w:val="center"/>
          </w:tcPr>
          <w:p>
            <w:pPr>
              <w:spacing w:line="360" w:lineRule="exact"/>
              <w:jc w:val="left"/>
              <w:rPr>
                <w:rFonts w:hint="eastAsia" w:ascii="Arial" w:hAnsi="Arial" w:eastAsia="宋体" w:cs="Arial"/>
                <w:bCs/>
                <w:sz w:val="24"/>
                <w:u w:val="single"/>
                <w:lang w:eastAsia="zh-CN"/>
              </w:rPr>
            </w:pPr>
            <w:r>
              <w:rPr>
                <w:rFonts w:hint="eastAsia" w:ascii="Arial" w:hAnsi="Arial" w:cs="Arial"/>
                <w:b/>
                <w:sz w:val="24"/>
                <w:lang w:eastAsia="zh-CN"/>
              </w:rPr>
              <w:t>安徽理工大学2023年高峰学科仪器设备购置项目（六）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noWrap w:val="0"/>
            <w:vAlign w:val="center"/>
          </w:tcPr>
          <w:p>
            <w:pPr>
              <w:spacing w:line="360" w:lineRule="exact"/>
              <w:jc w:val="center"/>
              <w:rPr>
                <w:rFonts w:ascii="Arial" w:hAnsi="Arial" w:cs="Arial"/>
                <w:b/>
                <w:sz w:val="24"/>
              </w:rPr>
            </w:pPr>
            <w:r>
              <w:rPr>
                <w:rFonts w:hint="eastAsia" w:ascii="Arial" w:hAnsi="Arial" w:cs="Arial"/>
                <w:b/>
                <w:sz w:val="24"/>
              </w:rPr>
              <w:t>投标人全称</w:t>
            </w:r>
          </w:p>
        </w:tc>
        <w:tc>
          <w:tcPr>
            <w:tcW w:w="6218" w:type="dxa"/>
            <w:tcBorders>
              <w:top w:val="nil"/>
            </w:tcBorders>
            <w:noWrap w:val="0"/>
            <w:vAlign w:val="center"/>
          </w:tcPr>
          <w:p>
            <w:pPr>
              <w:spacing w:line="360" w:lineRule="auto"/>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noWrap w:val="0"/>
            <w:vAlign w:val="center"/>
          </w:tcPr>
          <w:p>
            <w:pPr>
              <w:spacing w:line="360" w:lineRule="exact"/>
              <w:jc w:val="center"/>
              <w:rPr>
                <w:rFonts w:ascii="Arial" w:hAnsi="Arial" w:cs="Arial"/>
                <w:b/>
                <w:sz w:val="24"/>
              </w:rPr>
            </w:pPr>
            <w:r>
              <w:rPr>
                <w:rFonts w:hint="eastAsia" w:ascii="Arial" w:hAnsi="Arial" w:cs="Arial"/>
                <w:b/>
                <w:sz w:val="24"/>
              </w:rPr>
              <w:t>投标范围</w:t>
            </w:r>
          </w:p>
        </w:tc>
        <w:tc>
          <w:tcPr>
            <w:tcW w:w="6218" w:type="dxa"/>
            <w:tcBorders>
              <w:top w:val="nil"/>
            </w:tcBorders>
            <w:noWrap w:val="0"/>
            <w:vAlign w:val="center"/>
          </w:tcPr>
          <w:p>
            <w:pPr>
              <w:widowControl/>
              <w:spacing w:line="360" w:lineRule="exact"/>
              <w:rPr>
                <w:rFonts w:ascii="Arial" w:hAnsi="Arial" w:cs="Arial"/>
                <w:sz w:val="24"/>
              </w:rPr>
            </w:pPr>
            <w:r>
              <w:rPr>
                <w:rFonts w:hint="eastAsia" w:ascii="Arial" w:hAnsi="Arial" w:cs="Arial"/>
                <w:sz w:val="24"/>
              </w:rPr>
              <w:t>第</w:t>
            </w:r>
            <w:r>
              <w:rPr>
                <w:rFonts w:hint="eastAsia" w:ascii="Arial" w:hAnsi="Arial" w:cs="Arial"/>
                <w:sz w:val="24"/>
                <w:u w:val="single"/>
              </w:rPr>
              <w:t xml:space="preserve"> 1</w:t>
            </w:r>
            <w:r>
              <w:rPr>
                <w:rFonts w:hint="eastAsia" w:ascii="Arial" w:hAnsi="Arial" w:cs="Arial"/>
                <w:sz w:val="24"/>
                <w:u w:val="single"/>
                <w:lang w:val="en-US" w:eastAsia="zh-CN"/>
              </w:rPr>
              <w:t>/2/3</w:t>
            </w:r>
            <w:r>
              <w:rPr>
                <w:rFonts w:hint="eastAsia" w:ascii="Arial" w:hAnsi="Arial" w:cs="Arial"/>
                <w:sz w:val="24"/>
                <w:u w:val="single"/>
              </w:rPr>
              <w:t xml:space="preserve"> </w:t>
            </w:r>
            <w:r>
              <w:rPr>
                <w:rFonts w:hint="eastAsia" w:ascii="Arial" w:hAnsi="Arial" w:cs="Arial"/>
                <w:sz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noWrap w:val="0"/>
            <w:vAlign w:val="center"/>
          </w:tcPr>
          <w:p>
            <w:pPr>
              <w:spacing w:line="360" w:lineRule="exact"/>
              <w:jc w:val="center"/>
              <w:rPr>
                <w:rFonts w:ascii="Arial" w:hAnsi="Arial" w:cs="Arial"/>
                <w:b/>
                <w:sz w:val="24"/>
              </w:rPr>
            </w:pPr>
            <w:r>
              <w:rPr>
                <w:rFonts w:hint="eastAsia" w:ascii="Arial" w:hAnsi="Arial" w:cs="Arial"/>
                <w:b/>
                <w:sz w:val="24"/>
              </w:rPr>
              <w:t>投标报价</w:t>
            </w:r>
          </w:p>
        </w:tc>
        <w:tc>
          <w:tcPr>
            <w:tcW w:w="6218" w:type="dxa"/>
            <w:tcBorders>
              <w:top w:val="nil"/>
            </w:tcBorders>
            <w:noWrap w:val="0"/>
            <w:vAlign w:val="center"/>
          </w:tcPr>
          <w:p>
            <w:pPr>
              <w:spacing w:line="360" w:lineRule="exact"/>
              <w:rPr>
                <w:rFonts w:ascii="Arial" w:hAnsi="Arial" w:cs="Arial"/>
                <w:b/>
                <w:sz w:val="24"/>
              </w:rPr>
            </w:pPr>
          </w:p>
          <w:p>
            <w:pPr>
              <w:spacing w:line="360" w:lineRule="exact"/>
              <w:rPr>
                <w:rFonts w:ascii="Arial" w:hAnsi="Arial" w:cs="Arial"/>
                <w:bCs/>
                <w:sz w:val="24"/>
              </w:rPr>
            </w:pPr>
            <w:r>
              <w:rPr>
                <w:rFonts w:hint="eastAsia" w:ascii="Arial" w:hAnsi="Arial" w:cs="Arial"/>
                <w:bCs/>
                <w:sz w:val="24"/>
              </w:rPr>
              <w:t>大写：</w:t>
            </w:r>
            <w:r>
              <w:rPr>
                <w:rFonts w:ascii="Arial" w:hAnsi="Arial" w:cs="Arial"/>
                <w:bCs/>
                <w:sz w:val="24"/>
                <w:u w:val="single"/>
              </w:rPr>
              <w:t xml:space="preserve">                     </w:t>
            </w:r>
            <w:r>
              <w:rPr>
                <w:rFonts w:hint="eastAsia" w:ascii="Arial" w:hAnsi="Arial" w:cs="Arial"/>
                <w:bCs/>
                <w:sz w:val="24"/>
              </w:rPr>
              <w:t>（精确到小数点后两位）</w:t>
            </w:r>
          </w:p>
          <w:p>
            <w:pPr>
              <w:spacing w:line="360" w:lineRule="exact"/>
              <w:rPr>
                <w:rFonts w:ascii="Arial" w:hAnsi="Arial" w:cs="Arial"/>
                <w:bCs/>
                <w:sz w:val="24"/>
              </w:rPr>
            </w:pPr>
          </w:p>
          <w:p>
            <w:pPr>
              <w:spacing w:line="360" w:lineRule="exact"/>
              <w:rPr>
                <w:rFonts w:ascii="Arial" w:hAnsi="Arial" w:cs="Arial"/>
                <w:bCs/>
                <w:sz w:val="24"/>
              </w:rPr>
            </w:pPr>
            <w:r>
              <w:rPr>
                <w:rFonts w:hint="eastAsia" w:ascii="Arial" w:hAnsi="Arial" w:cs="Arial"/>
                <w:bCs/>
                <w:sz w:val="24"/>
              </w:rPr>
              <w:t>小写：</w:t>
            </w:r>
            <w:r>
              <w:rPr>
                <w:rFonts w:ascii="Arial" w:hAnsi="Arial" w:cs="Arial"/>
                <w:bCs/>
                <w:sz w:val="24"/>
                <w:u w:val="single"/>
              </w:rPr>
              <w:t xml:space="preserve">                     </w:t>
            </w:r>
            <w:r>
              <w:rPr>
                <w:rFonts w:hint="eastAsia" w:ascii="Arial" w:hAnsi="Arial" w:cs="Arial"/>
                <w:bCs/>
                <w:sz w:val="24"/>
              </w:rPr>
              <w:t>（精确到小数点后两位）</w:t>
            </w:r>
          </w:p>
          <w:p>
            <w:pPr>
              <w:spacing w:line="360" w:lineRule="auto"/>
              <w:ind w:right="-670"/>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noWrap w:val="0"/>
            <w:vAlign w:val="center"/>
          </w:tcPr>
          <w:p>
            <w:pPr>
              <w:spacing w:line="360" w:lineRule="exact"/>
              <w:jc w:val="center"/>
              <w:rPr>
                <w:rFonts w:hint="eastAsia" w:ascii="Arial" w:hAnsi="Arial" w:cs="Arial"/>
                <w:b/>
                <w:sz w:val="24"/>
              </w:rPr>
            </w:pPr>
            <w:r>
              <w:rPr>
                <w:rFonts w:hint="eastAsia" w:ascii="Arial" w:hAnsi="Arial" w:cs="Arial"/>
                <w:b/>
                <w:sz w:val="24"/>
              </w:rPr>
              <w:t>工期</w:t>
            </w:r>
          </w:p>
        </w:tc>
        <w:tc>
          <w:tcPr>
            <w:tcW w:w="6218" w:type="dxa"/>
            <w:tcBorders>
              <w:top w:val="nil"/>
            </w:tcBorders>
            <w:noWrap w:val="0"/>
            <w:vAlign w:val="center"/>
          </w:tcPr>
          <w:p>
            <w:pPr>
              <w:spacing w:line="360" w:lineRule="auto"/>
              <w:ind w:right="-670"/>
              <w:rPr>
                <w:rFonts w:ascii="Arial" w:hAnsi="Arial" w:cs="Arial"/>
                <w:sz w:val="24"/>
              </w:rPr>
            </w:pPr>
            <w:r>
              <w:rPr>
                <w:rFonts w:hint="eastAsia" w:ascii="Arial" w:hAnsi="Arial" w:cs="Arial"/>
                <w:sz w:val="24"/>
              </w:rPr>
              <w:t>响应招标文件规定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atLeast"/>
          <w:jc w:val="center"/>
        </w:trPr>
        <w:tc>
          <w:tcPr>
            <w:tcW w:w="2304" w:type="dxa"/>
            <w:tcBorders>
              <w:top w:val="nil"/>
            </w:tcBorders>
            <w:noWrap w:val="0"/>
            <w:vAlign w:val="center"/>
          </w:tcPr>
          <w:p>
            <w:pPr>
              <w:spacing w:line="360" w:lineRule="auto"/>
              <w:jc w:val="center"/>
              <w:rPr>
                <w:rFonts w:ascii="Arial" w:hAnsi="Arial" w:cs="Arial"/>
                <w:b/>
                <w:sz w:val="24"/>
              </w:rPr>
            </w:pPr>
            <w:r>
              <w:rPr>
                <w:rFonts w:hint="eastAsia" w:ascii="Arial" w:hAnsi="Arial" w:cs="Arial"/>
                <w:b/>
                <w:sz w:val="24"/>
              </w:rPr>
              <w:t>其他</w:t>
            </w:r>
          </w:p>
        </w:tc>
        <w:tc>
          <w:tcPr>
            <w:tcW w:w="6218" w:type="dxa"/>
            <w:tcBorders>
              <w:top w:val="nil"/>
            </w:tcBorders>
            <w:noWrap w:val="0"/>
            <w:vAlign w:val="center"/>
          </w:tcPr>
          <w:p>
            <w:pPr>
              <w:spacing w:line="360" w:lineRule="auto"/>
              <w:jc w:val="left"/>
              <w:rPr>
                <w:rFonts w:ascii="Arial" w:hAnsi="Arial" w:cs="Arial"/>
                <w:sz w:val="24"/>
                <w:szCs w:val="28"/>
              </w:rPr>
            </w:pPr>
          </w:p>
        </w:tc>
      </w:tr>
    </w:tbl>
    <w:p>
      <w:pPr>
        <w:spacing w:line="360" w:lineRule="auto"/>
        <w:rPr>
          <w:rFonts w:ascii="Arial" w:hAnsi="Arial" w:cs="Arial"/>
          <w:sz w:val="24"/>
        </w:rPr>
      </w:pPr>
      <w:r>
        <w:rPr>
          <w:rFonts w:hint="eastAsia" w:ascii="Arial" w:hAnsi="Arial" w:cs="Arial"/>
          <w:sz w:val="24"/>
        </w:rPr>
        <w:t>投标人公章：</w:t>
      </w:r>
      <w:r>
        <w:rPr>
          <w:rFonts w:ascii="Arial" w:hAnsi="Arial" w:cs="Arial"/>
          <w:sz w:val="24"/>
        </w:rPr>
        <w:t xml:space="preserve">                                           </w:t>
      </w:r>
    </w:p>
    <w:p>
      <w:pPr>
        <w:spacing w:line="400" w:lineRule="exact"/>
        <w:ind w:firstLine="360" w:firstLineChars="150"/>
        <w:rPr>
          <w:rFonts w:ascii="Arial" w:hAnsi="Arial" w:cs="Arial"/>
          <w:sz w:val="24"/>
        </w:rPr>
      </w:pPr>
    </w:p>
    <w:p>
      <w:pPr>
        <w:spacing w:line="400" w:lineRule="exact"/>
        <w:rPr>
          <w:rFonts w:ascii="Arial" w:hAnsi="Arial" w:cs="Arial"/>
          <w:b/>
          <w:sz w:val="24"/>
        </w:rPr>
      </w:pPr>
      <w:r>
        <w:rPr>
          <w:rFonts w:hint="eastAsia" w:ascii="Arial" w:hAnsi="Arial" w:cs="Arial"/>
          <w:b/>
          <w:sz w:val="24"/>
        </w:rPr>
        <w:t>备注：</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此表用于开标唱标之用。</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表中投标报价须与投标报价汇总表保持一致，并作为评审及定标依据。任何有选择或有条件的投标报价，或者表中某一包别填写多个报价，均为无效报价。</w:t>
      </w:r>
    </w:p>
    <w:p>
      <w:pPr>
        <w:widowControl/>
        <w:jc w:val="left"/>
        <w:rPr>
          <w:rFonts w:ascii="Arial" w:hAnsi="Arial" w:cs="Arial"/>
          <w:sz w:val="24"/>
        </w:rPr>
      </w:pPr>
      <w:r>
        <w:rPr>
          <w:rFonts w:ascii="Arial" w:hAnsi="Arial" w:cs="Arial"/>
          <w:sz w:val="24"/>
        </w:rPr>
        <w:br w:type="page"/>
      </w:r>
    </w:p>
    <w:p>
      <w:pPr>
        <w:spacing w:line="360" w:lineRule="auto"/>
        <w:jc w:val="center"/>
        <w:outlineLvl w:val="2"/>
        <w:rPr>
          <w:rFonts w:ascii="Arial" w:hAnsi="Arial" w:cs="Arial"/>
          <w:b/>
          <w:sz w:val="24"/>
        </w:rPr>
      </w:pPr>
      <w:r>
        <w:rPr>
          <w:rFonts w:hint="eastAsia" w:ascii="Arial" w:hAnsi="Arial" w:cs="Arial"/>
          <w:b/>
          <w:sz w:val="24"/>
        </w:rPr>
        <w:t>二、投标函</w:t>
      </w:r>
    </w:p>
    <w:p>
      <w:pPr>
        <w:pStyle w:val="14"/>
        <w:spacing w:line="360" w:lineRule="auto"/>
        <w:rPr>
          <w:sz w:val="24"/>
        </w:rPr>
      </w:pPr>
    </w:p>
    <w:p>
      <w:pPr>
        <w:pStyle w:val="14"/>
        <w:spacing w:line="400" w:lineRule="exact"/>
        <w:rPr>
          <w:sz w:val="24"/>
        </w:rPr>
      </w:pPr>
      <w:r>
        <w:rPr>
          <w:rFonts w:hint="eastAsia"/>
          <w:sz w:val="24"/>
        </w:rPr>
        <w:t>致：</w:t>
      </w:r>
      <w:r>
        <w:rPr>
          <w:rFonts w:hint="eastAsia"/>
          <w:sz w:val="24"/>
          <w:u w:val="single"/>
          <w:lang w:eastAsia="zh-CN"/>
        </w:rPr>
        <w:t>安徽理工大学</w:t>
      </w:r>
    </w:p>
    <w:p>
      <w:pPr>
        <w:pStyle w:val="14"/>
        <w:spacing w:line="400" w:lineRule="exact"/>
        <w:ind w:firstLine="482" w:firstLineChars="200"/>
        <w:rPr>
          <w:rFonts w:hint="eastAsia"/>
          <w:sz w:val="24"/>
          <w:lang w:eastAsia="zh-CN"/>
        </w:rPr>
      </w:pPr>
      <w:r>
        <w:rPr>
          <w:rFonts w:hint="eastAsia"/>
          <w:sz w:val="24"/>
          <w:u w:val="single"/>
          <w:lang w:eastAsia="zh-CN"/>
        </w:rPr>
        <w:t>淮南众信政府采购代理服务有限公司</w:t>
      </w:r>
    </w:p>
    <w:p>
      <w:pPr>
        <w:spacing w:line="400" w:lineRule="exact"/>
        <w:ind w:firstLine="435"/>
        <w:rPr>
          <w:rFonts w:ascii="Arial" w:hAnsi="Arial" w:cs="Arial"/>
          <w:sz w:val="24"/>
        </w:rPr>
      </w:pPr>
      <w:r>
        <w:rPr>
          <w:rFonts w:hint="eastAsia" w:ascii="Arial" w:hAnsi="Arial" w:cs="Arial"/>
          <w:sz w:val="24"/>
        </w:rPr>
        <w:t>根据贵方的招标文件，我方兹宣布同意如下：</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按招标文件规定提供交付的货物（包括安装调试等工作）的最终投标报价见开标一览表，如我方中标，我方承诺愿意按招标文件规定缴纳履约保证金和中标服务费。</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我方根据招标文件的规定，严格履行合同的责任和义务</w:t>
      </w:r>
      <w:r>
        <w:rPr>
          <w:rFonts w:ascii="Arial" w:hAnsi="Arial" w:cs="Arial"/>
          <w:sz w:val="24"/>
        </w:rPr>
        <w:t>,</w:t>
      </w:r>
      <w:r>
        <w:rPr>
          <w:rFonts w:hint="eastAsia" w:ascii="Arial" w:hAnsi="Arial" w:cs="Arial"/>
          <w:sz w:val="24"/>
        </w:rPr>
        <w:t>并保证于买方要求的日期内完成供货、安装及服务，并通过买方验收。</w:t>
      </w:r>
    </w:p>
    <w:p>
      <w:pPr>
        <w:spacing w:line="400" w:lineRule="exact"/>
        <w:ind w:firstLine="435"/>
        <w:rPr>
          <w:rFonts w:ascii="Arial" w:hAnsi="Arial" w:cs="Arial"/>
          <w:sz w:val="24"/>
        </w:rPr>
      </w:pPr>
      <w:r>
        <w:rPr>
          <w:rFonts w:ascii="Arial" w:hAnsi="Arial" w:cs="Arial"/>
          <w:sz w:val="24"/>
        </w:rPr>
        <w:t>3.</w:t>
      </w:r>
      <w:r>
        <w:rPr>
          <w:rFonts w:hint="eastAsia" w:ascii="Arial" w:hAnsi="Arial" w:cs="Arial"/>
          <w:sz w:val="24"/>
        </w:rPr>
        <w:t>我方承诺报价低于同类货物和服务的市场平均价格。</w:t>
      </w:r>
    </w:p>
    <w:p>
      <w:pPr>
        <w:spacing w:line="400" w:lineRule="exact"/>
        <w:ind w:firstLine="435"/>
        <w:rPr>
          <w:rFonts w:ascii="Arial" w:hAnsi="Arial" w:cs="Arial"/>
          <w:sz w:val="24"/>
        </w:rPr>
      </w:pPr>
      <w:r>
        <w:rPr>
          <w:rFonts w:ascii="Arial" w:hAnsi="Arial" w:cs="Arial"/>
          <w:sz w:val="24"/>
        </w:rPr>
        <w:t>4.</w:t>
      </w:r>
      <w:r>
        <w:rPr>
          <w:rFonts w:hint="eastAsia" w:ascii="Arial" w:hAnsi="Arial" w:cs="Arial"/>
          <w:sz w:val="24"/>
        </w:rPr>
        <w:t>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400" w:lineRule="exact"/>
        <w:ind w:firstLine="435"/>
        <w:rPr>
          <w:rFonts w:ascii="Arial" w:hAnsi="Arial" w:cs="Arial"/>
          <w:sz w:val="24"/>
        </w:rPr>
      </w:pPr>
      <w:r>
        <w:rPr>
          <w:rFonts w:ascii="Arial" w:hAnsi="Arial" w:cs="Arial"/>
          <w:sz w:val="24"/>
        </w:rPr>
        <w:t>5.</w:t>
      </w:r>
      <w:r>
        <w:rPr>
          <w:rFonts w:hint="eastAsia" w:ascii="Arial" w:hAnsi="Arial" w:cs="Arial"/>
          <w:sz w:val="24"/>
        </w:rPr>
        <w:t>我方同意从招标文件规定的开标日期起遵循本招标文件，并在招标文件规定的投标有效期之前均具有约束力。</w:t>
      </w:r>
    </w:p>
    <w:p>
      <w:pPr>
        <w:spacing w:line="400" w:lineRule="exact"/>
        <w:ind w:firstLine="435"/>
        <w:rPr>
          <w:rFonts w:ascii="Arial" w:hAnsi="Arial" w:cs="Arial"/>
          <w:sz w:val="24"/>
        </w:rPr>
      </w:pPr>
      <w:r>
        <w:rPr>
          <w:rFonts w:ascii="Arial" w:hAnsi="Arial" w:cs="Arial"/>
          <w:sz w:val="24"/>
        </w:rPr>
        <w:t>6.</w:t>
      </w:r>
      <w:r>
        <w:rPr>
          <w:rFonts w:hint="eastAsia" w:ascii="Arial" w:hAnsi="Arial" w:cs="Arial"/>
          <w:sz w:val="24"/>
        </w:rPr>
        <w:t>我方承诺如投标保证金未在招标文件规定时间前到达贵方指定的账户，我方投标无效，由此产生的一切后果由我方承担</w:t>
      </w:r>
      <w:r>
        <w:rPr>
          <w:rFonts w:hint="eastAsia" w:ascii="Arial" w:hAnsi="Arial" w:cs="Arial"/>
          <w:bCs/>
          <w:sz w:val="24"/>
        </w:rPr>
        <w:t>，且承诺投标保证金转出账户真实有效</w:t>
      </w:r>
      <w:r>
        <w:rPr>
          <w:rFonts w:hint="eastAsia" w:ascii="Arial" w:hAnsi="Arial" w:cs="Arial"/>
          <w:sz w:val="24"/>
        </w:rPr>
        <w:t>。</w:t>
      </w:r>
    </w:p>
    <w:p>
      <w:pPr>
        <w:spacing w:line="400" w:lineRule="exact"/>
        <w:ind w:firstLine="435"/>
        <w:rPr>
          <w:rFonts w:ascii="Arial" w:hAnsi="Arial" w:cs="Arial"/>
          <w:sz w:val="24"/>
        </w:rPr>
      </w:pPr>
      <w:r>
        <w:rPr>
          <w:rFonts w:ascii="Arial" w:hAnsi="Arial" w:cs="Arial"/>
          <w:sz w:val="24"/>
        </w:rPr>
        <w:t>7.</w:t>
      </w:r>
      <w:r>
        <w:rPr>
          <w:rFonts w:hint="eastAsia" w:ascii="Arial" w:hAnsi="Arial" w:cs="Arial"/>
          <w:sz w:val="24"/>
        </w:rPr>
        <w:t>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400" w:lineRule="exact"/>
        <w:ind w:firstLine="435"/>
        <w:rPr>
          <w:rFonts w:ascii="Arial" w:hAnsi="Arial" w:cs="Arial"/>
          <w:sz w:val="24"/>
        </w:rPr>
      </w:pPr>
      <w:r>
        <w:rPr>
          <w:rFonts w:ascii="Arial" w:hAnsi="Arial" w:cs="Arial"/>
          <w:sz w:val="24"/>
        </w:rPr>
        <w:t>8.</w:t>
      </w:r>
      <w:r>
        <w:rPr>
          <w:rFonts w:hint="eastAsia" w:ascii="Arial" w:hAnsi="Arial" w:cs="Arial"/>
          <w:sz w:val="24"/>
        </w:rPr>
        <w:t>我方完全理解贵方不一定接受最低报价的投标。</w:t>
      </w:r>
    </w:p>
    <w:p>
      <w:pPr>
        <w:spacing w:line="400" w:lineRule="exact"/>
        <w:ind w:firstLine="437"/>
        <w:rPr>
          <w:rFonts w:ascii="Arial" w:hAnsi="Arial" w:cs="Arial"/>
          <w:sz w:val="24"/>
        </w:rPr>
      </w:pPr>
      <w:r>
        <w:rPr>
          <w:rFonts w:ascii="Arial" w:hAnsi="Arial" w:cs="Arial"/>
          <w:sz w:val="24"/>
        </w:rPr>
        <w:t>9.我方</w:t>
      </w:r>
      <w:r>
        <w:rPr>
          <w:rFonts w:hint="eastAsia" w:ascii="Arial" w:hAnsi="Arial" w:cs="Arial"/>
          <w:sz w:val="24"/>
        </w:rPr>
        <w:t>同意</w:t>
      </w:r>
      <w:r>
        <w:rPr>
          <w:rFonts w:ascii="Arial" w:hAnsi="Arial" w:cs="Arial"/>
          <w:sz w:val="24"/>
        </w:rPr>
        <w:t>招标文件规定的付款方式、供货及安装期限、供货及安装地点、免费质保要求。</w:t>
      </w:r>
    </w:p>
    <w:p>
      <w:pPr>
        <w:spacing w:line="400" w:lineRule="exact"/>
        <w:ind w:firstLine="437"/>
        <w:rPr>
          <w:rFonts w:ascii="Arial" w:hAnsi="Arial" w:cs="Arial"/>
          <w:sz w:val="24"/>
        </w:rPr>
      </w:pPr>
      <w:r>
        <w:rPr>
          <w:rFonts w:ascii="Arial" w:hAnsi="Arial" w:cs="Arial"/>
          <w:sz w:val="24"/>
        </w:rPr>
        <w:t>10.我方对</w:t>
      </w:r>
      <w:r>
        <w:rPr>
          <w:rFonts w:hint="eastAsia" w:ascii="Arial" w:hAnsi="Arial" w:cs="Arial"/>
          <w:sz w:val="24"/>
        </w:rPr>
        <w:t>投标</w:t>
      </w:r>
      <w:r>
        <w:rPr>
          <w:rFonts w:ascii="Arial" w:hAnsi="Arial" w:cs="Arial"/>
          <w:sz w:val="24"/>
        </w:rPr>
        <w:t>文件中所提供资料、文件、证书及证件的真实性和有效性负责。</w:t>
      </w:r>
    </w:p>
    <w:p>
      <w:pPr>
        <w:spacing w:line="360" w:lineRule="auto"/>
        <w:ind w:firstLine="435"/>
        <w:rPr>
          <w:rFonts w:ascii="Arial" w:hAnsi="Arial" w:cs="Arial"/>
          <w:sz w:val="24"/>
          <w:u w:val="single"/>
        </w:rPr>
      </w:pPr>
      <w:r>
        <w:rPr>
          <w:rFonts w:ascii="Arial" w:hAnsi="Arial" w:cs="Arial"/>
          <w:sz w:val="24"/>
        </w:rPr>
        <w:t>投标人公章：</w:t>
      </w:r>
      <w:r>
        <w:rPr>
          <w:rFonts w:ascii="Arial" w:hAnsi="Arial" w:cs="Arial"/>
          <w:sz w:val="24"/>
          <w:u w:val="single"/>
        </w:rPr>
        <w:t xml:space="preserve">                     </w:t>
      </w:r>
    </w:p>
    <w:p>
      <w:pPr>
        <w:spacing w:line="360" w:lineRule="auto"/>
        <w:ind w:firstLine="435"/>
        <w:rPr>
          <w:rFonts w:ascii="Arial" w:hAnsi="Arial" w:cs="Arial"/>
          <w:sz w:val="24"/>
          <w:u w:val="single"/>
        </w:rPr>
      </w:pPr>
      <w:r>
        <w:rPr>
          <w:rFonts w:ascii="Arial" w:hAnsi="Arial" w:cs="Arial"/>
          <w:sz w:val="24"/>
        </w:rPr>
        <w:t>日      期：</w:t>
      </w:r>
      <w:r>
        <w:rPr>
          <w:rFonts w:ascii="Arial" w:hAnsi="Arial" w:cs="Arial"/>
          <w:sz w:val="24"/>
          <w:u w:val="single"/>
        </w:rPr>
        <w:t xml:space="preserve">                     </w:t>
      </w:r>
    </w:p>
    <w:p>
      <w:pPr>
        <w:spacing w:line="400" w:lineRule="exact"/>
        <w:ind w:firstLine="435"/>
        <w:rPr>
          <w:rFonts w:ascii="Arial" w:hAnsi="Arial" w:cs="Arial"/>
          <w:sz w:val="24"/>
          <w:u w:val="single"/>
        </w:rPr>
      </w:pPr>
      <w:r>
        <w:rPr>
          <w:rFonts w:ascii="Arial" w:hAnsi="Arial" w:cs="Arial"/>
          <w:sz w:val="24"/>
          <w:u w:val="single"/>
        </w:rPr>
        <w:t xml:space="preserve">                        </w:t>
      </w:r>
    </w:p>
    <w:p>
      <w:pPr>
        <w:widowControl/>
        <w:jc w:val="left"/>
        <w:rPr>
          <w:rFonts w:ascii="Arial" w:hAnsi="Arial" w:cs="Arial"/>
          <w:sz w:val="24"/>
          <w:u w:val="single"/>
        </w:rPr>
      </w:pPr>
      <w:r>
        <w:rPr>
          <w:rFonts w:ascii="Arial" w:hAnsi="Arial" w:cs="Arial"/>
          <w:sz w:val="24"/>
          <w:u w:val="single"/>
        </w:rPr>
        <w:br w:type="page"/>
      </w:r>
    </w:p>
    <w:p>
      <w:pPr>
        <w:spacing w:line="360" w:lineRule="auto"/>
        <w:jc w:val="center"/>
        <w:outlineLvl w:val="2"/>
        <w:rPr>
          <w:rFonts w:ascii="Arial" w:hAnsi="Arial" w:cs="Arial"/>
          <w:b/>
          <w:sz w:val="24"/>
        </w:rPr>
      </w:pPr>
      <w:r>
        <w:rPr>
          <w:rFonts w:hint="eastAsia" w:ascii="Arial" w:hAnsi="Arial" w:cs="Arial"/>
          <w:b/>
          <w:sz w:val="24"/>
        </w:rPr>
        <w:t>三、无重大违法记录声明函、无不良信用记录声明函</w:t>
      </w:r>
    </w:p>
    <w:p>
      <w:pPr>
        <w:spacing w:line="360" w:lineRule="auto"/>
        <w:jc w:val="center"/>
        <w:rPr>
          <w:rFonts w:ascii="Arial" w:hAnsi="Arial" w:cs="Arial"/>
          <w:i/>
          <w:sz w:val="24"/>
        </w:rPr>
      </w:pPr>
      <w:r>
        <w:rPr>
          <w:rFonts w:ascii="Arial" w:hAnsi="Arial" w:cs="Arial"/>
          <w:i/>
          <w:sz w:val="24"/>
        </w:rPr>
        <w:t>(</w:t>
      </w:r>
      <w:r>
        <w:rPr>
          <w:rFonts w:hint="eastAsia" w:ascii="Arial" w:hAnsi="Arial" w:cs="Arial"/>
          <w:i/>
          <w:sz w:val="24"/>
        </w:rPr>
        <w:t>联合体参加投标的，联合体各方均须提供）</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本单位郑重声明，我单位无以下不良信用记录情形：</w:t>
      </w:r>
    </w:p>
    <w:p>
      <w:pPr>
        <w:spacing w:line="400" w:lineRule="exact"/>
        <w:ind w:firstLine="435"/>
        <w:rPr>
          <w:rFonts w:ascii="Arial" w:hAnsi="Arial" w:cs="Arial"/>
          <w:sz w:val="24"/>
        </w:rPr>
      </w:pPr>
      <w:r>
        <w:rPr>
          <w:rFonts w:hint="eastAsia" w:ascii="Arial" w:hAnsi="Arial" w:cs="Arial"/>
          <w:sz w:val="24"/>
        </w:rPr>
        <w:t>（</w:t>
      </w:r>
      <w:r>
        <w:rPr>
          <w:rFonts w:ascii="Arial" w:hAnsi="Arial" w:cs="Arial"/>
          <w:sz w:val="24"/>
        </w:rPr>
        <w:t>1</w:t>
      </w:r>
      <w:r>
        <w:rPr>
          <w:rFonts w:hint="eastAsia" w:ascii="Arial" w:hAnsi="Arial" w:cs="Arial"/>
          <w:sz w:val="24"/>
        </w:rPr>
        <w:t>）被人民法院列入失信被执行人；</w:t>
      </w:r>
    </w:p>
    <w:p>
      <w:pPr>
        <w:spacing w:line="400" w:lineRule="exact"/>
        <w:ind w:firstLine="435"/>
        <w:rPr>
          <w:rFonts w:ascii="Arial" w:hAnsi="Arial" w:cs="Arial"/>
          <w:sz w:val="24"/>
        </w:rPr>
      </w:pPr>
      <w:r>
        <w:rPr>
          <w:rFonts w:hint="eastAsia" w:ascii="Arial" w:hAnsi="Arial" w:cs="Arial"/>
          <w:sz w:val="24"/>
        </w:rPr>
        <w:t>（</w:t>
      </w:r>
      <w:r>
        <w:rPr>
          <w:rFonts w:ascii="Arial" w:hAnsi="Arial" w:cs="Arial"/>
          <w:sz w:val="24"/>
        </w:rPr>
        <w:t>2</w:t>
      </w:r>
      <w:r>
        <w:rPr>
          <w:rFonts w:hint="eastAsia" w:ascii="Arial" w:hAnsi="Arial" w:cs="Arial"/>
          <w:sz w:val="24"/>
        </w:rPr>
        <w:t>）被税务部门列入重大税收违法案件当事人名单；</w:t>
      </w:r>
    </w:p>
    <w:p>
      <w:pPr>
        <w:spacing w:line="400" w:lineRule="exact"/>
        <w:ind w:firstLine="435"/>
        <w:rPr>
          <w:rFonts w:ascii="Arial" w:hAnsi="Arial" w:cs="Arial"/>
          <w:sz w:val="24"/>
        </w:rPr>
      </w:pPr>
      <w:r>
        <w:rPr>
          <w:rFonts w:hint="eastAsia" w:ascii="Arial" w:hAnsi="Arial" w:cs="Arial"/>
          <w:sz w:val="24"/>
        </w:rPr>
        <w:t>（</w:t>
      </w:r>
      <w:r>
        <w:rPr>
          <w:rFonts w:ascii="Arial" w:hAnsi="Arial" w:cs="Arial"/>
          <w:sz w:val="24"/>
        </w:rPr>
        <w:t>3</w:t>
      </w:r>
      <w:r>
        <w:rPr>
          <w:rFonts w:hint="eastAsia" w:ascii="Arial" w:hAnsi="Arial" w:cs="Arial"/>
          <w:sz w:val="24"/>
        </w:rPr>
        <w:t>）被政府采购监管部门列入政府采购严重违法失信行为记录名单。</w:t>
      </w:r>
    </w:p>
    <w:p>
      <w:pPr>
        <w:spacing w:line="360" w:lineRule="auto"/>
        <w:ind w:firstLine="435"/>
        <w:rPr>
          <w:rFonts w:ascii="Arial" w:hAnsi="Arial" w:cs="Arial"/>
          <w:sz w:val="24"/>
        </w:rPr>
      </w:pPr>
      <w:r>
        <w:rPr>
          <w:rFonts w:ascii="Arial" w:hAnsi="Arial" w:cs="Arial"/>
          <w:sz w:val="24"/>
        </w:rPr>
        <w:t>3.</w:t>
      </w:r>
      <w:r>
        <w:rPr>
          <w:rFonts w:ascii="Arial" w:hAnsi="Arial" w:cs="Arial"/>
          <w:sz w:val="24"/>
          <w:u w:val="single"/>
        </w:rPr>
        <w:t xml:space="preserve">                                              </w:t>
      </w:r>
      <w:r>
        <w:rPr>
          <w:rFonts w:ascii="Arial" w:hAnsi="Arial" w:cs="Arial"/>
          <w:sz w:val="24"/>
        </w:rPr>
        <w:t>。</w:t>
      </w:r>
    </w:p>
    <w:p>
      <w:pPr>
        <w:spacing w:line="400" w:lineRule="exact"/>
        <w:ind w:firstLine="435"/>
        <w:rPr>
          <w:rFonts w:ascii="Arial" w:hAnsi="Arial" w:cs="Arial"/>
          <w:sz w:val="24"/>
        </w:rPr>
      </w:pPr>
    </w:p>
    <w:p>
      <w:pPr>
        <w:spacing w:line="400" w:lineRule="exact"/>
        <w:ind w:firstLine="435"/>
        <w:rPr>
          <w:rFonts w:ascii="Arial" w:hAnsi="Arial" w:cs="Arial"/>
          <w:sz w:val="24"/>
        </w:rPr>
      </w:pPr>
      <w:r>
        <w:rPr>
          <w:rFonts w:hint="eastAsia" w:ascii="Arial" w:hAnsi="Arial" w:cs="Arial"/>
          <w:sz w:val="24"/>
        </w:rPr>
        <w:t>本单位对上述声明的真实性负责。如有虚假，将依法承担相应责任。</w:t>
      </w:r>
    </w:p>
    <w:p>
      <w:pPr>
        <w:spacing w:line="400" w:lineRule="exact"/>
        <w:ind w:firstLine="4800" w:firstLineChars="2000"/>
        <w:rPr>
          <w:rFonts w:ascii="Arial" w:hAnsi="Arial" w:cs="Arial"/>
          <w:sz w:val="24"/>
          <w:u w:val="single"/>
        </w:rPr>
      </w:pPr>
      <w:r>
        <w:rPr>
          <w:rFonts w:hint="eastAsia" w:ascii="Arial" w:hAnsi="Arial" w:cs="Arial"/>
          <w:sz w:val="24"/>
        </w:rPr>
        <w:t>投标人公章：</w:t>
      </w:r>
      <w:r>
        <w:rPr>
          <w:rFonts w:ascii="Arial" w:hAnsi="Arial" w:cs="Arial"/>
          <w:sz w:val="24"/>
          <w:u w:val="single"/>
        </w:rPr>
        <w:t xml:space="preserve">                 </w:t>
      </w:r>
    </w:p>
    <w:p>
      <w:pPr>
        <w:spacing w:line="400" w:lineRule="exact"/>
        <w:ind w:firstLine="4800" w:firstLineChars="2000"/>
        <w:rPr>
          <w:rFonts w:ascii="Arial" w:hAnsi="Arial" w:cs="Arial"/>
          <w:sz w:val="24"/>
          <w:u w:val="single"/>
        </w:rPr>
      </w:pPr>
      <w:r>
        <w:rPr>
          <w:rFonts w:hint="eastAsia" w:ascii="Arial" w:hAnsi="Arial" w:cs="Arial"/>
          <w:sz w:val="24"/>
        </w:rPr>
        <w:t>日</w:t>
      </w:r>
      <w:r>
        <w:rPr>
          <w:rFonts w:ascii="Arial" w:hAnsi="Arial" w:cs="Arial"/>
          <w:sz w:val="24"/>
        </w:rPr>
        <w:t xml:space="preserve">      </w:t>
      </w:r>
      <w:r>
        <w:rPr>
          <w:rFonts w:hint="eastAsia" w:ascii="Arial" w:hAnsi="Arial" w:cs="Arial"/>
          <w:sz w:val="24"/>
        </w:rPr>
        <w:t>期：</w:t>
      </w:r>
      <w:r>
        <w:rPr>
          <w:rFonts w:ascii="Arial" w:hAnsi="Arial" w:cs="Arial"/>
          <w:sz w:val="24"/>
          <w:u w:val="single"/>
        </w:rPr>
        <w:t xml:space="preserve">                 </w:t>
      </w:r>
    </w:p>
    <w:p>
      <w:pPr>
        <w:rPr>
          <w:rFonts w:ascii="Arial" w:hAnsi="Arial" w:cs="Arial"/>
        </w:rPr>
      </w:pPr>
    </w:p>
    <w:p>
      <w:pPr>
        <w:rPr>
          <w:rFonts w:ascii="Arial" w:hAnsi="Arial" w:cs="Arial"/>
          <w:b/>
          <w:sz w:val="24"/>
        </w:rPr>
      </w:pPr>
      <w:r>
        <w:rPr>
          <w:rFonts w:ascii="Arial" w:hAnsi="Arial" w:cs="Arial"/>
          <w:b/>
          <w:sz w:val="24"/>
        </w:rPr>
        <w:br w:type="page"/>
      </w:r>
    </w:p>
    <w:p>
      <w:pPr>
        <w:spacing w:line="360" w:lineRule="auto"/>
        <w:jc w:val="center"/>
        <w:outlineLvl w:val="2"/>
        <w:rPr>
          <w:rFonts w:ascii="Arial" w:hAnsi="Arial" w:cs="Arial"/>
          <w:b/>
          <w:sz w:val="24"/>
        </w:rPr>
      </w:pPr>
      <w:r>
        <w:rPr>
          <w:rFonts w:hint="eastAsia" w:ascii="Arial" w:hAnsi="Arial" w:cs="Arial"/>
          <w:b/>
          <w:sz w:val="24"/>
        </w:rPr>
        <w:t>四、授权书</w:t>
      </w:r>
    </w:p>
    <w:p>
      <w:pPr>
        <w:pStyle w:val="13"/>
        <w:snapToGrid w:val="0"/>
        <w:spacing w:line="360" w:lineRule="auto"/>
        <w:jc w:val="left"/>
        <w:rPr>
          <w:rFonts w:ascii="Arial" w:hAnsi="Arial" w:cs="Arial"/>
          <w:sz w:val="24"/>
          <w:szCs w:val="28"/>
        </w:rPr>
      </w:pPr>
    </w:p>
    <w:p>
      <w:pPr>
        <w:spacing w:line="400" w:lineRule="exact"/>
        <w:ind w:firstLine="435"/>
        <w:rPr>
          <w:rFonts w:ascii="Arial" w:hAnsi="Arial" w:cs="Arial"/>
          <w:sz w:val="24"/>
          <w:szCs w:val="28"/>
        </w:rPr>
      </w:pPr>
      <w:r>
        <w:rPr>
          <w:rFonts w:hint="eastAsia" w:ascii="Arial" w:hAnsi="Arial" w:cs="Arial"/>
          <w:sz w:val="24"/>
          <w:szCs w:val="28"/>
        </w:rPr>
        <w:t>本</w:t>
      </w:r>
      <w:r>
        <w:rPr>
          <w:rFonts w:hint="eastAsia" w:ascii="Arial" w:hAnsi="Arial" w:cs="Arial"/>
          <w:sz w:val="24"/>
        </w:rPr>
        <w:t>授权</w:t>
      </w:r>
      <w:r>
        <w:rPr>
          <w:rFonts w:hint="eastAsia" w:ascii="Arial" w:hAnsi="Arial" w:cs="Arial"/>
          <w:sz w:val="24"/>
          <w:szCs w:val="28"/>
        </w:rPr>
        <w:t>书声明：</w:t>
      </w:r>
      <w:r>
        <w:rPr>
          <w:rFonts w:ascii="Arial" w:hAnsi="Arial" w:cs="Arial"/>
          <w:sz w:val="24"/>
          <w:szCs w:val="28"/>
          <w:u w:val="single"/>
        </w:rPr>
        <w:t xml:space="preserve">           </w:t>
      </w:r>
      <w:r>
        <w:rPr>
          <w:rFonts w:hint="eastAsia" w:ascii="Arial" w:hAnsi="Arial" w:cs="Arial"/>
          <w:sz w:val="24"/>
          <w:szCs w:val="28"/>
        </w:rPr>
        <w:t>（投标人名称）授权</w:t>
      </w:r>
      <w:r>
        <w:rPr>
          <w:rFonts w:ascii="Arial" w:hAnsi="Arial" w:cs="Arial"/>
          <w:sz w:val="24"/>
          <w:szCs w:val="28"/>
          <w:u w:val="single"/>
        </w:rPr>
        <w:t xml:space="preserve">          </w:t>
      </w:r>
      <w:r>
        <w:rPr>
          <w:rFonts w:hint="eastAsia" w:ascii="Arial" w:hAnsi="Arial" w:cs="Arial"/>
          <w:sz w:val="24"/>
          <w:szCs w:val="28"/>
        </w:rPr>
        <w:t>（投标人授权代表姓名、职务）代表我方参加本项目</w:t>
      </w:r>
      <w:r>
        <w:rPr>
          <w:rFonts w:hint="eastAsia" w:ascii="Arial" w:hAnsi="Arial" w:cs="Arial"/>
          <w:sz w:val="24"/>
        </w:rPr>
        <w:t>第</w:t>
      </w:r>
      <w:r>
        <w:rPr>
          <w:rFonts w:hint="eastAsia" w:ascii="Arial" w:hAnsi="Arial" w:cs="Arial"/>
          <w:sz w:val="24"/>
          <w:u w:val="single"/>
        </w:rPr>
        <w:t xml:space="preserve">    </w:t>
      </w:r>
      <w:r>
        <w:rPr>
          <w:rFonts w:hint="eastAsia" w:ascii="Arial" w:hAnsi="Arial" w:cs="Arial"/>
          <w:sz w:val="24"/>
        </w:rPr>
        <w:t>包</w:t>
      </w:r>
      <w:r>
        <w:rPr>
          <w:rFonts w:hint="eastAsia" w:ascii="Arial" w:hAnsi="Arial" w:cs="Arial"/>
          <w:bCs/>
          <w:sz w:val="24"/>
          <w:szCs w:val="28"/>
        </w:rPr>
        <w:t>采购活动</w:t>
      </w:r>
      <w:r>
        <w:rPr>
          <w:rFonts w:hint="eastAsia" w:ascii="Arial" w:hAnsi="Arial" w:cs="Arial"/>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400" w:lineRule="exact"/>
        <w:ind w:firstLine="435"/>
        <w:rPr>
          <w:rFonts w:ascii="Arial" w:hAnsi="Arial" w:cs="Arial"/>
          <w:sz w:val="24"/>
          <w:szCs w:val="28"/>
        </w:rPr>
      </w:pPr>
      <w:r>
        <w:rPr>
          <w:rFonts w:hint="eastAsia" w:ascii="Arial" w:hAnsi="Arial" w:cs="Arial"/>
          <w:sz w:val="24"/>
          <w:szCs w:val="28"/>
        </w:rPr>
        <w:t>本授权书自出具之日起生效。</w:t>
      </w:r>
    </w:p>
    <w:p>
      <w:pPr>
        <w:spacing w:line="400" w:lineRule="exact"/>
        <w:ind w:firstLine="435"/>
        <w:rPr>
          <w:rFonts w:hint="eastAsia" w:ascii="Arial" w:hAnsi="Arial" w:cs="Arial"/>
          <w:sz w:val="24"/>
        </w:rPr>
      </w:pPr>
      <w:r>
        <w:rPr>
          <w:rFonts w:hint="eastAsia" w:ascii="Arial" w:hAnsi="Arial" w:cs="Arial"/>
          <w:sz w:val="24"/>
          <w:szCs w:val="28"/>
        </w:rPr>
        <w:t>授权</w:t>
      </w:r>
      <w:r>
        <w:rPr>
          <w:rFonts w:hint="eastAsia" w:ascii="Arial" w:hAnsi="Arial" w:cs="Arial"/>
          <w:sz w:val="24"/>
        </w:rPr>
        <w:t>代表身份证明复印件或影印件：</w:t>
      </w:r>
    </w:p>
    <w:p>
      <w:pPr>
        <w:spacing w:line="400" w:lineRule="exact"/>
        <w:ind w:firstLine="435"/>
        <w:rPr>
          <w:rFonts w:hint="eastAsia" w:ascii="Arial" w:hAnsi="Arial" w:cs="Arial"/>
          <w:sz w:val="24"/>
        </w:rPr>
      </w:pPr>
    </w:p>
    <w:p>
      <w:pPr>
        <w:spacing w:line="400" w:lineRule="exact"/>
        <w:ind w:firstLine="435"/>
        <w:rPr>
          <w:rFonts w:ascii="Arial" w:hAnsi="Arial" w:cs="Arial"/>
          <w:sz w:val="24"/>
        </w:rPr>
      </w:pPr>
    </w:p>
    <w:p>
      <w:pPr>
        <w:spacing w:line="400" w:lineRule="exact"/>
        <w:ind w:firstLine="435"/>
        <w:rPr>
          <w:rFonts w:ascii="Arial" w:hAnsi="Arial" w:cs="Arial"/>
          <w:sz w:val="24"/>
          <w:szCs w:val="28"/>
          <w:u w:val="single"/>
        </w:rPr>
      </w:pPr>
      <w:r>
        <w:rPr>
          <w:rFonts w:hint="eastAsia" w:ascii="Arial" w:hAnsi="Arial" w:cs="Arial"/>
          <w:sz w:val="24"/>
          <w:szCs w:val="28"/>
        </w:rPr>
        <w:t>授权代表联系方式：</w:t>
      </w:r>
      <w:r>
        <w:rPr>
          <w:rFonts w:ascii="Arial" w:hAnsi="Arial" w:cs="Arial"/>
          <w:sz w:val="24"/>
          <w:szCs w:val="28"/>
          <w:u w:val="single"/>
        </w:rPr>
        <w:t xml:space="preserve">          </w:t>
      </w:r>
      <w:r>
        <w:rPr>
          <w:rFonts w:hint="eastAsia" w:ascii="Arial" w:hAnsi="Arial" w:cs="Arial"/>
          <w:sz w:val="24"/>
          <w:szCs w:val="28"/>
          <w:u w:val="single"/>
        </w:rPr>
        <w:t>（请填写手机号码）</w:t>
      </w:r>
    </w:p>
    <w:p>
      <w:pPr>
        <w:spacing w:line="400" w:lineRule="exact"/>
        <w:ind w:firstLine="435"/>
        <w:rPr>
          <w:rFonts w:ascii="Arial" w:hAnsi="Arial" w:cs="Arial"/>
          <w:sz w:val="24"/>
          <w:szCs w:val="28"/>
        </w:rPr>
      </w:pPr>
      <w:r>
        <w:rPr>
          <w:rFonts w:hint="eastAsia" w:ascii="Arial" w:hAnsi="Arial" w:cs="Arial"/>
          <w:sz w:val="24"/>
        </w:rPr>
        <w:t>特此</w:t>
      </w:r>
      <w:r>
        <w:rPr>
          <w:rFonts w:hint="eastAsia" w:ascii="Arial" w:hAnsi="Arial" w:cs="Arial"/>
          <w:sz w:val="24"/>
          <w:szCs w:val="28"/>
        </w:rPr>
        <w:t>声明。</w:t>
      </w:r>
    </w:p>
    <w:p>
      <w:pPr>
        <w:spacing w:line="400" w:lineRule="exact"/>
        <w:rPr>
          <w:rFonts w:ascii="Arial" w:hAnsi="Arial" w:cs="Arial"/>
          <w:sz w:val="24"/>
          <w:szCs w:val="28"/>
        </w:rPr>
      </w:pPr>
    </w:p>
    <w:p>
      <w:pPr>
        <w:spacing w:line="400" w:lineRule="exact"/>
        <w:ind w:firstLine="435"/>
        <w:rPr>
          <w:rFonts w:ascii="Arial" w:hAnsi="Arial" w:cs="Arial"/>
          <w:bCs/>
          <w:sz w:val="24"/>
          <w:szCs w:val="28"/>
        </w:rPr>
      </w:pPr>
      <w:r>
        <w:rPr>
          <w:rFonts w:hint="eastAsia" w:ascii="Arial" w:hAnsi="Arial" w:cs="Arial"/>
          <w:bCs/>
          <w:sz w:val="24"/>
          <w:szCs w:val="28"/>
        </w:rPr>
        <w:t>投标人公章：</w:t>
      </w:r>
      <w:r>
        <w:rPr>
          <w:rFonts w:ascii="Arial" w:hAnsi="Arial" w:cs="Arial"/>
          <w:bCs/>
          <w:sz w:val="24"/>
          <w:szCs w:val="28"/>
          <w:u w:val="single"/>
        </w:rPr>
        <w:t xml:space="preserve">                  </w:t>
      </w:r>
    </w:p>
    <w:p>
      <w:pPr>
        <w:spacing w:line="400" w:lineRule="exact"/>
        <w:ind w:firstLine="435"/>
        <w:rPr>
          <w:rFonts w:ascii="Arial" w:hAnsi="Arial" w:cs="Arial"/>
          <w:sz w:val="24"/>
          <w:szCs w:val="28"/>
        </w:rPr>
      </w:pPr>
      <w:r>
        <w:rPr>
          <w:rFonts w:hint="eastAsia" w:ascii="Arial" w:hAnsi="Arial" w:cs="Arial"/>
          <w:sz w:val="24"/>
          <w:szCs w:val="28"/>
        </w:rPr>
        <w:t>日</w:t>
      </w:r>
      <w:r>
        <w:rPr>
          <w:rFonts w:ascii="Arial" w:hAnsi="Arial" w:cs="Arial"/>
          <w:sz w:val="24"/>
          <w:szCs w:val="28"/>
        </w:rPr>
        <w:t xml:space="preserve">      </w:t>
      </w:r>
      <w:r>
        <w:rPr>
          <w:rFonts w:hint="eastAsia" w:ascii="Arial" w:hAnsi="Arial" w:cs="Arial"/>
          <w:sz w:val="24"/>
          <w:szCs w:val="28"/>
        </w:rPr>
        <w:t>期：</w:t>
      </w:r>
      <w:r>
        <w:rPr>
          <w:rFonts w:ascii="Arial" w:hAnsi="Arial" w:cs="Arial"/>
          <w:sz w:val="24"/>
          <w:szCs w:val="28"/>
          <w:u w:val="single"/>
        </w:rPr>
        <w:t xml:space="preserve">                  </w:t>
      </w:r>
    </w:p>
    <w:p>
      <w:pPr>
        <w:spacing w:line="360" w:lineRule="auto"/>
        <w:ind w:firstLine="435"/>
        <w:rPr>
          <w:rFonts w:ascii="Arial" w:hAnsi="Arial" w:cs="Arial"/>
          <w:sz w:val="24"/>
        </w:rPr>
      </w:pPr>
    </w:p>
    <w:p>
      <w:pPr>
        <w:spacing w:line="400" w:lineRule="exact"/>
        <w:rPr>
          <w:rFonts w:ascii="Arial" w:hAnsi="Arial" w:cs="Arial"/>
          <w:sz w:val="24"/>
        </w:rPr>
      </w:pPr>
      <w:r>
        <w:rPr>
          <w:rFonts w:hint="eastAsia" w:ascii="Arial" w:hAnsi="Arial" w:cs="Arial"/>
          <w:sz w:val="24"/>
        </w:rPr>
        <w:t>注：</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本项目只允许有唯一的投标人授权代表，提供身份证明扫描件；</w:t>
      </w:r>
    </w:p>
    <w:p>
      <w:pPr>
        <w:spacing w:line="360" w:lineRule="auto"/>
        <w:ind w:firstLine="480" w:firstLineChars="200"/>
        <w:outlineLvl w:val="2"/>
        <w:rPr>
          <w:rFonts w:hint="eastAsia" w:ascii="Arial" w:hAnsi="Arial" w:cs="Arial"/>
          <w:b/>
          <w:sz w:val="24"/>
        </w:rPr>
      </w:pPr>
      <w:r>
        <w:rPr>
          <w:rFonts w:ascii="Arial" w:hAnsi="Arial" w:cs="Arial"/>
          <w:sz w:val="24"/>
        </w:rPr>
        <w:t>2.</w:t>
      </w:r>
      <w:r>
        <w:rPr>
          <w:rFonts w:hint="eastAsia" w:ascii="Arial" w:hAnsi="Arial" w:cs="Arial"/>
          <w:sz w:val="24"/>
        </w:rPr>
        <w:t>法定代表人参加投标的无需提供授权书，提供身份证明扫描件。</w:t>
      </w:r>
      <w:r>
        <w:rPr>
          <w:rFonts w:ascii="Arial" w:hAnsi="Arial" w:cs="Arial"/>
          <w:sz w:val="24"/>
        </w:rPr>
        <w:br w:type="page"/>
      </w:r>
    </w:p>
    <w:p>
      <w:pPr>
        <w:spacing w:line="360" w:lineRule="auto"/>
        <w:jc w:val="center"/>
        <w:outlineLvl w:val="2"/>
        <w:rPr>
          <w:rFonts w:hint="eastAsia" w:ascii="Arial" w:hAnsi="Arial" w:cs="Arial"/>
          <w:b/>
          <w:sz w:val="24"/>
        </w:rPr>
      </w:pPr>
      <w:r>
        <w:rPr>
          <w:rFonts w:hint="eastAsia" w:ascii="Arial" w:hAnsi="Arial" w:cs="Arial"/>
          <w:b/>
          <w:sz w:val="24"/>
        </w:rPr>
        <w:t>五、投标报价汇总表</w:t>
      </w:r>
    </w:p>
    <w:p>
      <w:pPr>
        <w:spacing w:line="360" w:lineRule="exact"/>
        <w:jc w:val="center"/>
        <w:rPr>
          <w:rFonts w:hint="eastAsia" w:ascii="宋体" w:hAnsi="宋体" w:cs="宋体"/>
          <w:sz w:val="24"/>
        </w:rPr>
      </w:pPr>
    </w:p>
    <w:p>
      <w:pPr>
        <w:spacing w:line="360" w:lineRule="exact"/>
        <w:jc w:val="center"/>
        <w:rPr>
          <w:rFonts w:hint="eastAsia" w:ascii="宋体" w:hAnsi="宋体" w:cs="宋体"/>
          <w:sz w:val="24"/>
        </w:rPr>
      </w:pPr>
      <w:r>
        <w:rPr>
          <w:rFonts w:hint="eastAsia" w:ascii="宋体" w:hAnsi="宋体" w:cs="宋体"/>
          <w:sz w:val="24"/>
        </w:rPr>
        <w:t>标包：</w:t>
      </w:r>
      <w:r>
        <w:rPr>
          <w:rFonts w:hint="eastAsia" w:ascii="宋体" w:hAnsi="宋体" w:cs="宋体"/>
          <w:sz w:val="24"/>
          <w:u w:val="single"/>
        </w:rPr>
        <w:t xml:space="preserve">   1  </w:t>
      </w:r>
      <w:r>
        <w:rPr>
          <w:rFonts w:hint="eastAsia" w:ascii="宋体" w:hAnsi="宋体" w:cs="宋体"/>
          <w:sz w:val="24"/>
        </w:rPr>
        <w:t xml:space="preserve">         项目编号：                  货币单位：人民币元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264"/>
        <w:gridCol w:w="705"/>
        <w:gridCol w:w="705"/>
        <w:gridCol w:w="1095"/>
        <w:gridCol w:w="736"/>
        <w:gridCol w:w="1424"/>
        <w:gridCol w:w="795"/>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spacing w:line="360" w:lineRule="exact"/>
              <w:jc w:val="center"/>
              <w:rPr>
                <w:rFonts w:hint="eastAsia" w:ascii="宋体" w:hAnsi="宋体" w:cs="宋体"/>
                <w:sz w:val="24"/>
              </w:rPr>
            </w:pPr>
            <w:r>
              <w:rPr>
                <w:rFonts w:hint="eastAsia" w:ascii="宋体" w:hAnsi="宋体" w:cs="宋体"/>
                <w:sz w:val="24"/>
              </w:rPr>
              <w:t>序号</w:t>
            </w:r>
          </w:p>
        </w:tc>
        <w:tc>
          <w:tcPr>
            <w:tcW w:w="2264" w:type="dxa"/>
            <w:noWrap w:val="0"/>
            <w:vAlign w:val="center"/>
          </w:tcPr>
          <w:p>
            <w:pPr>
              <w:spacing w:line="360" w:lineRule="exact"/>
              <w:jc w:val="center"/>
              <w:rPr>
                <w:rFonts w:hint="eastAsia" w:ascii="宋体" w:hAnsi="宋体" w:cs="宋体"/>
                <w:sz w:val="24"/>
              </w:rPr>
            </w:pPr>
            <w:r>
              <w:rPr>
                <w:rFonts w:hint="eastAsia" w:ascii="宋体" w:hAnsi="宋体" w:cs="宋体"/>
                <w:sz w:val="24"/>
              </w:rPr>
              <w:t>名称</w:t>
            </w:r>
          </w:p>
        </w:tc>
        <w:tc>
          <w:tcPr>
            <w:tcW w:w="705" w:type="dxa"/>
            <w:noWrap w:val="0"/>
            <w:vAlign w:val="center"/>
          </w:tcPr>
          <w:p>
            <w:pPr>
              <w:spacing w:line="360" w:lineRule="exact"/>
              <w:jc w:val="center"/>
              <w:rPr>
                <w:rFonts w:hint="eastAsia" w:ascii="宋体" w:hAnsi="宋体" w:cs="宋体"/>
                <w:sz w:val="24"/>
              </w:rPr>
            </w:pPr>
            <w:r>
              <w:rPr>
                <w:rFonts w:hint="eastAsia" w:ascii="宋体" w:hAnsi="宋体" w:cs="宋体"/>
                <w:sz w:val="24"/>
              </w:rPr>
              <w:t>数量</w:t>
            </w:r>
          </w:p>
        </w:tc>
        <w:tc>
          <w:tcPr>
            <w:tcW w:w="705" w:type="dxa"/>
            <w:noWrap w:val="0"/>
            <w:vAlign w:val="center"/>
          </w:tcPr>
          <w:p>
            <w:pPr>
              <w:spacing w:line="360" w:lineRule="exact"/>
              <w:jc w:val="center"/>
              <w:rPr>
                <w:rFonts w:hint="eastAsia" w:ascii="宋体" w:hAnsi="宋体" w:cs="宋体"/>
                <w:sz w:val="24"/>
              </w:rPr>
            </w:pPr>
            <w:r>
              <w:rPr>
                <w:rFonts w:hint="eastAsia" w:ascii="宋体" w:hAnsi="宋体" w:cs="宋体"/>
                <w:sz w:val="24"/>
              </w:rPr>
              <w:t>单位</w:t>
            </w:r>
          </w:p>
        </w:tc>
        <w:tc>
          <w:tcPr>
            <w:tcW w:w="1095" w:type="dxa"/>
            <w:noWrap w:val="0"/>
            <w:vAlign w:val="center"/>
          </w:tcPr>
          <w:p>
            <w:pPr>
              <w:spacing w:line="360" w:lineRule="exact"/>
              <w:jc w:val="center"/>
              <w:rPr>
                <w:rFonts w:hint="eastAsia" w:ascii="宋体" w:hAnsi="宋体" w:cs="宋体"/>
                <w:sz w:val="24"/>
              </w:rPr>
            </w:pPr>
            <w:r>
              <w:rPr>
                <w:rFonts w:hint="eastAsia" w:ascii="宋体" w:hAnsi="宋体" w:cs="宋体"/>
                <w:sz w:val="24"/>
              </w:rPr>
              <w:t>品牌</w:t>
            </w:r>
          </w:p>
        </w:tc>
        <w:tc>
          <w:tcPr>
            <w:tcW w:w="736" w:type="dxa"/>
            <w:noWrap w:val="0"/>
            <w:vAlign w:val="center"/>
          </w:tcPr>
          <w:p>
            <w:pPr>
              <w:spacing w:line="360" w:lineRule="exact"/>
              <w:jc w:val="center"/>
              <w:rPr>
                <w:rFonts w:ascii="宋体" w:hAnsi="宋体" w:cs="宋体"/>
                <w:sz w:val="24"/>
              </w:rPr>
            </w:pPr>
            <w:r>
              <w:rPr>
                <w:rFonts w:hint="eastAsia" w:ascii="宋体" w:hAnsi="宋体" w:cs="宋体"/>
                <w:sz w:val="24"/>
              </w:rPr>
              <w:t>规格型号</w:t>
            </w:r>
          </w:p>
        </w:tc>
        <w:tc>
          <w:tcPr>
            <w:tcW w:w="1424" w:type="dxa"/>
            <w:noWrap w:val="0"/>
            <w:vAlign w:val="center"/>
          </w:tcPr>
          <w:p>
            <w:pPr>
              <w:spacing w:line="360" w:lineRule="exact"/>
              <w:jc w:val="center"/>
              <w:rPr>
                <w:rFonts w:hint="eastAsia" w:ascii="宋体" w:hAnsi="宋体" w:cs="宋体"/>
                <w:sz w:val="24"/>
              </w:rPr>
            </w:pPr>
            <w:r>
              <w:rPr>
                <w:rFonts w:hint="eastAsia" w:ascii="宋体" w:hAnsi="宋体" w:cs="宋体"/>
                <w:sz w:val="24"/>
              </w:rPr>
              <w:t>制造商</w:t>
            </w:r>
          </w:p>
        </w:tc>
        <w:tc>
          <w:tcPr>
            <w:tcW w:w="795" w:type="dxa"/>
            <w:noWrap w:val="0"/>
            <w:vAlign w:val="center"/>
          </w:tcPr>
          <w:p>
            <w:pPr>
              <w:spacing w:line="360" w:lineRule="exact"/>
              <w:jc w:val="center"/>
              <w:rPr>
                <w:rFonts w:hint="eastAsia" w:ascii="宋体" w:hAnsi="宋体" w:cs="宋体"/>
                <w:sz w:val="24"/>
              </w:rPr>
            </w:pPr>
            <w:r>
              <w:rPr>
                <w:rFonts w:hint="eastAsia" w:ascii="宋体" w:hAnsi="宋体" w:cs="宋体"/>
                <w:sz w:val="24"/>
              </w:rPr>
              <w:t>单价</w:t>
            </w:r>
          </w:p>
        </w:tc>
        <w:tc>
          <w:tcPr>
            <w:tcW w:w="1032" w:type="dxa"/>
            <w:noWrap w:val="0"/>
            <w:vAlign w:val="center"/>
          </w:tcPr>
          <w:p>
            <w:pPr>
              <w:spacing w:line="360" w:lineRule="exact"/>
              <w:jc w:val="center"/>
              <w:rPr>
                <w:rFonts w:hint="eastAsia"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adjustRightInd w:val="0"/>
              <w:snapToGrid w:val="0"/>
              <w:spacing w:line="360" w:lineRule="exact"/>
              <w:jc w:val="center"/>
              <w:rPr>
                <w:rFonts w:hint="eastAsia" w:ascii="宋体" w:hAnsi="宋体" w:cs="宋体"/>
                <w:sz w:val="24"/>
              </w:rPr>
            </w:pPr>
            <w:r>
              <w:rPr>
                <w:rFonts w:hint="eastAsia" w:ascii="宋体" w:hAnsi="宋体" w:cs="宋体"/>
                <w:sz w:val="24"/>
              </w:rPr>
              <w:t>1</w:t>
            </w:r>
          </w:p>
        </w:tc>
        <w:tc>
          <w:tcPr>
            <w:tcW w:w="2264" w:type="dxa"/>
            <w:noWrap w:val="0"/>
            <w:vAlign w:val="center"/>
          </w:tcPr>
          <w:p>
            <w:pPr>
              <w:spacing w:line="360" w:lineRule="exact"/>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1095" w:type="dxa"/>
            <w:noWrap w:val="0"/>
            <w:vAlign w:val="top"/>
          </w:tcPr>
          <w:p>
            <w:pPr>
              <w:spacing w:line="360" w:lineRule="exact"/>
              <w:jc w:val="center"/>
              <w:rPr>
                <w:rFonts w:hint="eastAsia" w:ascii="宋体" w:hAnsi="宋体" w:cs="宋体"/>
                <w:sz w:val="24"/>
              </w:rPr>
            </w:pPr>
          </w:p>
        </w:tc>
        <w:tc>
          <w:tcPr>
            <w:tcW w:w="736" w:type="dxa"/>
            <w:noWrap w:val="0"/>
            <w:vAlign w:val="top"/>
          </w:tcPr>
          <w:p>
            <w:pPr>
              <w:spacing w:line="360" w:lineRule="exact"/>
              <w:jc w:val="center"/>
              <w:rPr>
                <w:rFonts w:hint="eastAsia" w:ascii="宋体" w:hAnsi="宋体" w:cs="宋体"/>
                <w:sz w:val="24"/>
              </w:rPr>
            </w:pPr>
          </w:p>
        </w:tc>
        <w:tc>
          <w:tcPr>
            <w:tcW w:w="1424" w:type="dxa"/>
            <w:noWrap w:val="0"/>
            <w:vAlign w:val="top"/>
          </w:tcPr>
          <w:p>
            <w:pPr>
              <w:spacing w:line="360" w:lineRule="exact"/>
              <w:jc w:val="center"/>
              <w:rPr>
                <w:rFonts w:hint="eastAsia" w:ascii="宋体" w:hAnsi="宋体" w:cs="宋体"/>
                <w:sz w:val="24"/>
              </w:rPr>
            </w:pPr>
          </w:p>
        </w:tc>
        <w:tc>
          <w:tcPr>
            <w:tcW w:w="795" w:type="dxa"/>
            <w:noWrap w:val="0"/>
            <w:vAlign w:val="top"/>
          </w:tcPr>
          <w:p>
            <w:pPr>
              <w:spacing w:line="360" w:lineRule="exact"/>
              <w:jc w:val="center"/>
              <w:rPr>
                <w:rFonts w:hint="eastAsia" w:ascii="宋体" w:hAnsi="宋体" w:cs="宋体"/>
                <w:sz w:val="24"/>
              </w:rPr>
            </w:pPr>
          </w:p>
        </w:tc>
        <w:tc>
          <w:tcPr>
            <w:tcW w:w="1032" w:type="dxa"/>
            <w:noWrap w:val="0"/>
            <w:vAlign w:val="top"/>
          </w:tcPr>
          <w:p>
            <w:pPr>
              <w:spacing w:line="3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adjustRightInd w:val="0"/>
              <w:snapToGrid w:val="0"/>
              <w:spacing w:line="360" w:lineRule="exact"/>
              <w:jc w:val="center"/>
              <w:rPr>
                <w:rFonts w:hint="eastAsia" w:ascii="宋体" w:hAnsi="宋体" w:cs="宋体"/>
                <w:sz w:val="24"/>
              </w:rPr>
            </w:pPr>
            <w:r>
              <w:rPr>
                <w:rFonts w:hint="eastAsia" w:ascii="宋体" w:hAnsi="宋体" w:cs="宋体"/>
                <w:sz w:val="24"/>
              </w:rPr>
              <w:t>2</w:t>
            </w:r>
          </w:p>
        </w:tc>
        <w:tc>
          <w:tcPr>
            <w:tcW w:w="2264" w:type="dxa"/>
            <w:noWrap w:val="0"/>
            <w:vAlign w:val="center"/>
          </w:tcPr>
          <w:p>
            <w:pPr>
              <w:spacing w:line="360" w:lineRule="exact"/>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1095" w:type="dxa"/>
            <w:noWrap w:val="0"/>
            <w:vAlign w:val="top"/>
          </w:tcPr>
          <w:p>
            <w:pPr>
              <w:spacing w:line="360" w:lineRule="exact"/>
              <w:jc w:val="center"/>
              <w:rPr>
                <w:rFonts w:hint="eastAsia" w:ascii="宋体" w:hAnsi="宋体" w:cs="宋体"/>
                <w:sz w:val="24"/>
              </w:rPr>
            </w:pPr>
          </w:p>
        </w:tc>
        <w:tc>
          <w:tcPr>
            <w:tcW w:w="736" w:type="dxa"/>
            <w:noWrap w:val="0"/>
            <w:vAlign w:val="top"/>
          </w:tcPr>
          <w:p>
            <w:pPr>
              <w:spacing w:line="360" w:lineRule="exact"/>
              <w:jc w:val="center"/>
              <w:rPr>
                <w:rFonts w:hint="eastAsia" w:ascii="宋体" w:hAnsi="宋体" w:cs="宋体"/>
                <w:sz w:val="24"/>
              </w:rPr>
            </w:pPr>
          </w:p>
        </w:tc>
        <w:tc>
          <w:tcPr>
            <w:tcW w:w="1424" w:type="dxa"/>
            <w:noWrap w:val="0"/>
            <w:vAlign w:val="top"/>
          </w:tcPr>
          <w:p>
            <w:pPr>
              <w:spacing w:line="360" w:lineRule="exact"/>
              <w:jc w:val="center"/>
              <w:rPr>
                <w:rFonts w:hint="eastAsia" w:ascii="宋体" w:hAnsi="宋体" w:cs="宋体"/>
                <w:sz w:val="24"/>
              </w:rPr>
            </w:pPr>
          </w:p>
        </w:tc>
        <w:tc>
          <w:tcPr>
            <w:tcW w:w="795" w:type="dxa"/>
            <w:noWrap w:val="0"/>
            <w:vAlign w:val="top"/>
          </w:tcPr>
          <w:p>
            <w:pPr>
              <w:spacing w:line="360" w:lineRule="exact"/>
              <w:jc w:val="center"/>
              <w:rPr>
                <w:rFonts w:hint="eastAsia" w:ascii="宋体" w:hAnsi="宋体" w:cs="宋体"/>
                <w:sz w:val="24"/>
              </w:rPr>
            </w:pPr>
          </w:p>
        </w:tc>
        <w:tc>
          <w:tcPr>
            <w:tcW w:w="1032" w:type="dxa"/>
            <w:noWrap w:val="0"/>
            <w:vAlign w:val="top"/>
          </w:tcPr>
          <w:p>
            <w:pPr>
              <w:spacing w:line="3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adjustRightInd w:val="0"/>
              <w:snapToGrid w:val="0"/>
              <w:spacing w:line="360" w:lineRule="exact"/>
              <w:jc w:val="center"/>
              <w:rPr>
                <w:rFonts w:hint="eastAsia" w:ascii="宋体" w:hAnsi="宋体" w:cs="宋体"/>
                <w:sz w:val="24"/>
              </w:rPr>
            </w:pPr>
            <w:r>
              <w:rPr>
                <w:rFonts w:hint="eastAsia" w:ascii="宋体" w:hAnsi="宋体" w:cs="宋体"/>
                <w:sz w:val="24"/>
              </w:rPr>
              <w:t>……</w:t>
            </w:r>
          </w:p>
        </w:tc>
        <w:tc>
          <w:tcPr>
            <w:tcW w:w="2264" w:type="dxa"/>
            <w:noWrap w:val="0"/>
            <w:vAlign w:val="center"/>
          </w:tcPr>
          <w:p>
            <w:pPr>
              <w:spacing w:line="360" w:lineRule="exact"/>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705" w:type="dxa"/>
            <w:noWrap w:val="0"/>
            <w:vAlign w:val="center"/>
          </w:tcPr>
          <w:p>
            <w:pPr>
              <w:widowControl/>
              <w:spacing w:line="360" w:lineRule="exact"/>
              <w:jc w:val="center"/>
              <w:textAlignment w:val="center"/>
              <w:rPr>
                <w:rFonts w:hint="eastAsia" w:ascii="宋体" w:hAnsi="宋体" w:cs="宋体"/>
                <w:sz w:val="24"/>
              </w:rPr>
            </w:pPr>
          </w:p>
        </w:tc>
        <w:tc>
          <w:tcPr>
            <w:tcW w:w="1095" w:type="dxa"/>
            <w:noWrap w:val="0"/>
            <w:vAlign w:val="top"/>
          </w:tcPr>
          <w:p>
            <w:pPr>
              <w:spacing w:line="360" w:lineRule="exact"/>
              <w:jc w:val="center"/>
              <w:rPr>
                <w:rFonts w:hint="eastAsia" w:ascii="宋体" w:hAnsi="宋体" w:cs="宋体"/>
                <w:sz w:val="24"/>
              </w:rPr>
            </w:pPr>
          </w:p>
        </w:tc>
        <w:tc>
          <w:tcPr>
            <w:tcW w:w="736" w:type="dxa"/>
            <w:noWrap w:val="0"/>
            <w:vAlign w:val="top"/>
          </w:tcPr>
          <w:p>
            <w:pPr>
              <w:spacing w:line="360" w:lineRule="exact"/>
              <w:jc w:val="center"/>
              <w:rPr>
                <w:rFonts w:hint="eastAsia" w:ascii="宋体" w:hAnsi="宋体" w:cs="宋体"/>
                <w:sz w:val="24"/>
              </w:rPr>
            </w:pPr>
          </w:p>
        </w:tc>
        <w:tc>
          <w:tcPr>
            <w:tcW w:w="1424" w:type="dxa"/>
            <w:noWrap w:val="0"/>
            <w:vAlign w:val="top"/>
          </w:tcPr>
          <w:p>
            <w:pPr>
              <w:spacing w:line="360" w:lineRule="exact"/>
              <w:jc w:val="center"/>
              <w:rPr>
                <w:rFonts w:hint="eastAsia" w:ascii="宋体" w:hAnsi="宋体" w:cs="宋体"/>
                <w:sz w:val="24"/>
              </w:rPr>
            </w:pPr>
          </w:p>
        </w:tc>
        <w:tc>
          <w:tcPr>
            <w:tcW w:w="795" w:type="dxa"/>
            <w:noWrap w:val="0"/>
            <w:vAlign w:val="top"/>
          </w:tcPr>
          <w:p>
            <w:pPr>
              <w:spacing w:line="360" w:lineRule="exact"/>
              <w:jc w:val="center"/>
              <w:rPr>
                <w:rFonts w:hint="eastAsia" w:ascii="宋体" w:hAnsi="宋体" w:cs="宋体"/>
                <w:sz w:val="24"/>
              </w:rPr>
            </w:pPr>
          </w:p>
        </w:tc>
        <w:tc>
          <w:tcPr>
            <w:tcW w:w="1032" w:type="dxa"/>
            <w:noWrap w:val="0"/>
            <w:vAlign w:val="top"/>
          </w:tcPr>
          <w:p>
            <w:pPr>
              <w:spacing w:line="3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2" w:type="dxa"/>
            <w:gridSpan w:val="8"/>
            <w:noWrap w:val="0"/>
            <w:vAlign w:val="top"/>
          </w:tcPr>
          <w:p>
            <w:pPr>
              <w:spacing w:line="360" w:lineRule="exact"/>
              <w:rPr>
                <w:rFonts w:hint="eastAsia" w:ascii="宋体" w:hAnsi="宋体" w:cs="宋体"/>
                <w:sz w:val="24"/>
              </w:rPr>
            </w:pPr>
            <w:r>
              <w:rPr>
                <w:rFonts w:hint="eastAsia" w:ascii="宋体" w:hAnsi="宋体" w:cs="宋体"/>
                <w:sz w:val="24"/>
              </w:rPr>
              <w:t>投标总价大写：</w:t>
            </w:r>
          </w:p>
        </w:tc>
        <w:tc>
          <w:tcPr>
            <w:tcW w:w="1032" w:type="dxa"/>
            <w:noWrap w:val="0"/>
            <w:vAlign w:val="top"/>
          </w:tcPr>
          <w:p>
            <w:pPr>
              <w:spacing w:line="360" w:lineRule="exact"/>
              <w:jc w:val="center"/>
              <w:rPr>
                <w:rFonts w:hint="eastAsia" w:ascii="宋体" w:hAnsi="宋体" w:cs="宋体"/>
                <w:sz w:val="24"/>
              </w:rPr>
            </w:pPr>
          </w:p>
        </w:tc>
      </w:tr>
    </w:tbl>
    <w:p>
      <w:pPr>
        <w:spacing w:line="360" w:lineRule="exact"/>
        <w:jc w:val="center"/>
        <w:rPr>
          <w:rFonts w:hint="eastAsia" w:ascii="宋体" w:hAnsi="宋体" w:cs="宋体"/>
          <w:sz w:val="24"/>
        </w:rPr>
      </w:pPr>
    </w:p>
    <w:p>
      <w:pPr>
        <w:spacing w:line="360" w:lineRule="exact"/>
        <w:ind w:firstLine="220" w:firstLineChars="100"/>
        <w:rPr>
          <w:rStyle w:val="59"/>
          <w:rFonts w:hint="eastAsia" w:cs="宋体"/>
          <w:color w:val="auto"/>
        </w:rPr>
      </w:pPr>
      <w:r>
        <w:rPr>
          <w:rStyle w:val="59"/>
          <w:rFonts w:hint="eastAsia" w:cs="宋体"/>
          <w:color w:val="auto"/>
        </w:rPr>
        <w:t>投标人承诺：</w:t>
      </w:r>
    </w:p>
    <w:p>
      <w:pPr>
        <w:spacing w:line="360" w:lineRule="exact"/>
        <w:ind w:firstLine="220" w:firstLineChars="100"/>
        <w:rPr>
          <w:rStyle w:val="59"/>
          <w:rFonts w:hint="eastAsia" w:cs="宋体"/>
          <w:color w:val="auto"/>
        </w:rPr>
      </w:pPr>
      <w:r>
        <w:rPr>
          <w:rStyle w:val="59"/>
          <w:rFonts w:hint="eastAsia" w:cs="宋体"/>
          <w:color w:val="auto"/>
        </w:rPr>
        <w:t>1.售后服务、免费质保期响应招标文件规定；</w:t>
      </w:r>
    </w:p>
    <w:p>
      <w:pPr>
        <w:spacing w:line="360" w:lineRule="exact"/>
        <w:ind w:firstLine="220" w:firstLineChars="100"/>
        <w:rPr>
          <w:rStyle w:val="59"/>
          <w:rFonts w:hint="eastAsia" w:cs="宋体"/>
          <w:color w:val="auto"/>
        </w:rPr>
      </w:pPr>
      <w:r>
        <w:rPr>
          <w:rStyle w:val="59"/>
          <w:rFonts w:hint="eastAsia" w:cs="宋体"/>
          <w:color w:val="auto"/>
        </w:rPr>
        <w:t xml:space="preserve">免费质保期在满足招标文件的基础上延长 </w:t>
      </w:r>
      <w:r>
        <w:rPr>
          <w:rStyle w:val="59"/>
          <w:rFonts w:hint="eastAsia" w:cs="宋体"/>
          <w:color w:val="auto"/>
          <w:u w:val="single"/>
        </w:rPr>
        <w:t xml:space="preserve">   </w:t>
      </w:r>
      <w:r>
        <w:rPr>
          <w:rStyle w:val="59"/>
          <w:rFonts w:hint="eastAsia" w:cs="宋体"/>
          <w:color w:val="auto"/>
        </w:rPr>
        <w:t>年（0、 1、 2 年，选择填列）</w:t>
      </w:r>
      <w:r>
        <w:rPr>
          <w:rFonts w:hint="eastAsia" w:ascii="宋体" w:hAnsi="宋体" w:cs="宋体"/>
          <w:sz w:val="24"/>
        </w:rPr>
        <w:t xml:space="preserve"> </w:t>
      </w:r>
    </w:p>
    <w:p>
      <w:pPr>
        <w:spacing w:line="360" w:lineRule="exact"/>
        <w:ind w:firstLine="220" w:firstLineChars="100"/>
        <w:rPr>
          <w:rStyle w:val="59"/>
          <w:rFonts w:hint="eastAsia" w:cs="宋体"/>
          <w:color w:val="auto"/>
        </w:rPr>
      </w:pPr>
      <w:r>
        <w:rPr>
          <w:rStyle w:val="59"/>
          <w:rFonts w:hint="eastAsia" w:cs="宋体"/>
          <w:color w:val="auto"/>
        </w:rPr>
        <w:t>2.交货期响应招标文件规定；</w:t>
      </w:r>
    </w:p>
    <w:p>
      <w:pPr>
        <w:spacing w:line="360" w:lineRule="exact"/>
        <w:ind w:firstLine="220" w:firstLineChars="100"/>
        <w:rPr>
          <w:rStyle w:val="59"/>
          <w:rFonts w:hint="eastAsia" w:cs="宋体"/>
          <w:color w:val="auto"/>
        </w:rPr>
      </w:pPr>
      <w:r>
        <w:rPr>
          <w:rStyle w:val="59"/>
          <w:rFonts w:hint="eastAsia" w:cs="宋体"/>
          <w:color w:val="auto"/>
        </w:rPr>
        <w:t>3.付款条件、履约保证金响应招标文件规定。</w:t>
      </w:r>
    </w:p>
    <w:p>
      <w:pPr>
        <w:spacing w:line="360" w:lineRule="exact"/>
        <w:ind w:firstLine="220" w:firstLineChars="100"/>
        <w:rPr>
          <w:rFonts w:hint="eastAsia"/>
        </w:rPr>
      </w:pPr>
      <w:r>
        <w:rPr>
          <w:rStyle w:val="59"/>
          <w:rFonts w:hint="eastAsia" w:cs="宋体"/>
          <w:color w:val="auto"/>
        </w:rPr>
        <w:t>4.投标人承诺按签订的采购合同供货时间节点按时或提前完成供货、安装及服务等工作。我方完全响应每迟供货一天（含双休）将扣除履约保证金金额的5%，如果履约保证金全部扣除，采购人可考虑终止合同，给采购人造成的损失由我方承担。</w:t>
      </w:r>
    </w:p>
    <w:p>
      <w:pPr>
        <w:spacing w:line="360" w:lineRule="exact"/>
        <w:ind w:firstLine="220" w:firstLineChars="100"/>
        <w:rPr>
          <w:rStyle w:val="59"/>
          <w:rFonts w:hint="eastAsia" w:ascii="宋体" w:hAnsi="宋体" w:eastAsia="宋体" w:cs="宋体"/>
          <w:color w:val="auto"/>
          <w:highlight w:val="none"/>
        </w:rPr>
      </w:pPr>
      <w:r>
        <w:rPr>
          <w:rStyle w:val="59"/>
          <w:rFonts w:hint="eastAsia" w:cs="宋体"/>
          <w:color w:val="auto"/>
        </w:rPr>
        <w:t>注：</w:t>
      </w:r>
      <w:r>
        <w:rPr>
          <w:rStyle w:val="59"/>
          <w:rFonts w:hint="eastAsia" w:ascii="宋体" w:hAnsi="宋体" w:eastAsia="宋体" w:cs="宋体"/>
          <w:color w:val="auto"/>
          <w:highlight w:val="none"/>
        </w:rPr>
        <w:t>1.报价均包括了含采购设备价款、运输、装卸、保险、安装调试费、税费（含进口从属税费等）、技术服务费、售后服务、人员培训及其他等一切相费用。</w:t>
      </w:r>
    </w:p>
    <w:p>
      <w:pPr>
        <w:spacing w:line="360" w:lineRule="exact"/>
        <w:ind w:firstLine="220" w:firstLineChars="100"/>
        <w:rPr>
          <w:rStyle w:val="59"/>
          <w:rFonts w:hint="eastAsia" w:cs="宋体"/>
          <w:color w:val="auto"/>
        </w:rPr>
      </w:pPr>
      <w:r>
        <w:rPr>
          <w:rStyle w:val="59"/>
          <w:rFonts w:hint="eastAsia" w:cs="宋体"/>
          <w:color w:val="auto"/>
        </w:rPr>
        <w:t xml:space="preserve">2.上表单价必须填列；如果采购数量发生变化，按实际数量结算，单价不变。 </w:t>
      </w:r>
    </w:p>
    <w:p>
      <w:pPr>
        <w:spacing w:line="360" w:lineRule="exact"/>
        <w:ind w:firstLine="660" w:firstLineChars="300"/>
        <w:rPr>
          <w:rStyle w:val="59"/>
          <w:rFonts w:hint="eastAsia" w:cs="宋体"/>
          <w:color w:val="auto"/>
        </w:rPr>
      </w:pPr>
    </w:p>
    <w:p>
      <w:pPr>
        <w:spacing w:line="360" w:lineRule="exact"/>
        <w:ind w:firstLine="660" w:firstLineChars="300"/>
        <w:rPr>
          <w:rStyle w:val="59"/>
          <w:rFonts w:hint="eastAsia" w:cs="宋体"/>
          <w:color w:val="auto"/>
        </w:rPr>
      </w:pPr>
      <w:r>
        <w:rPr>
          <w:rStyle w:val="59"/>
          <w:rFonts w:hint="eastAsia" w:cs="宋体"/>
          <w:color w:val="auto"/>
        </w:rPr>
        <w:t>投标人：（全称并加盖公章）：</w:t>
      </w:r>
    </w:p>
    <w:p>
      <w:pPr>
        <w:spacing w:line="360" w:lineRule="exact"/>
        <w:ind w:firstLine="660" w:firstLineChars="300"/>
        <w:rPr>
          <w:rStyle w:val="59"/>
          <w:rFonts w:hint="eastAsia" w:cs="宋体"/>
          <w:color w:val="auto"/>
        </w:rPr>
      </w:pPr>
    </w:p>
    <w:p>
      <w:pPr>
        <w:spacing w:line="360" w:lineRule="exact"/>
        <w:ind w:firstLine="660" w:firstLineChars="300"/>
        <w:rPr>
          <w:rFonts w:hint="eastAsia" w:ascii="宋体" w:hAnsi="宋体" w:cs="宋体"/>
          <w:sz w:val="24"/>
        </w:rPr>
      </w:pPr>
      <w:r>
        <w:rPr>
          <w:rStyle w:val="59"/>
          <w:rFonts w:hint="eastAsia" w:cs="宋体"/>
          <w:color w:val="auto"/>
        </w:rPr>
        <w:t>日 期： 年 月 日</w:t>
      </w:r>
      <w:r>
        <w:rPr>
          <w:rFonts w:hint="eastAsia" w:ascii="宋体" w:hAnsi="宋体" w:cs="宋体"/>
          <w:sz w:val="24"/>
        </w:rPr>
        <w:t xml:space="preserve"> </w:t>
      </w:r>
    </w:p>
    <w:p>
      <w:pPr>
        <w:spacing w:line="400" w:lineRule="exact"/>
        <w:ind w:firstLine="435"/>
        <w:rPr>
          <w:rFonts w:ascii="Arial" w:hAnsi="Arial" w:cs="Arial"/>
          <w:sz w:val="24"/>
        </w:rPr>
      </w:pPr>
    </w:p>
    <w:p>
      <w:pPr>
        <w:widowControl/>
        <w:jc w:val="left"/>
        <w:rPr>
          <w:rFonts w:ascii="Arial" w:hAnsi="Arial" w:cs="Arial"/>
          <w:sz w:val="24"/>
        </w:rPr>
      </w:pPr>
      <w:r>
        <w:rPr>
          <w:rFonts w:ascii="Arial" w:hAnsi="Arial" w:cs="Arial"/>
          <w:sz w:val="24"/>
        </w:rPr>
        <w:br w:type="page"/>
      </w:r>
    </w:p>
    <w:p>
      <w:pPr>
        <w:spacing w:line="360" w:lineRule="auto"/>
        <w:jc w:val="center"/>
        <w:outlineLvl w:val="2"/>
        <w:rPr>
          <w:rFonts w:ascii="Arial" w:hAnsi="Arial" w:cs="Arial"/>
          <w:b/>
          <w:sz w:val="24"/>
        </w:rPr>
      </w:pPr>
      <w:r>
        <w:rPr>
          <w:rFonts w:hint="eastAsia" w:ascii="Arial" w:hAnsi="Arial" w:cs="Arial"/>
          <w:b/>
          <w:sz w:val="24"/>
        </w:rPr>
        <w:t>六、投标响应表</w:t>
      </w:r>
    </w:p>
    <w:p>
      <w:pPr>
        <w:spacing w:line="360" w:lineRule="auto"/>
        <w:ind w:firstLine="435"/>
        <w:rPr>
          <w:rFonts w:ascii="Arial" w:hAnsi="Arial" w:cs="Arial"/>
          <w:b/>
          <w:sz w:val="24"/>
        </w:rPr>
      </w:pPr>
      <w:r>
        <w:rPr>
          <w:rFonts w:ascii="Arial" w:hAnsi="Arial" w:cs="Arial"/>
          <w:b/>
          <w:sz w:val="24"/>
        </w:rPr>
        <w:t>6.1</w:t>
      </w:r>
      <w:r>
        <w:rPr>
          <w:rFonts w:hint="eastAsia" w:ascii="Arial" w:hAnsi="Arial" w:cs="Arial"/>
          <w:b/>
          <w:sz w:val="24"/>
        </w:rPr>
        <w:t>商务响应表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序号</w:t>
            </w:r>
          </w:p>
        </w:tc>
        <w:tc>
          <w:tcPr>
            <w:tcW w:w="1916" w:type="dxa"/>
            <w:noWrap w:val="0"/>
            <w:vAlign w:val="center"/>
          </w:tcPr>
          <w:p>
            <w:pPr>
              <w:pStyle w:val="13"/>
              <w:jc w:val="center"/>
              <w:rPr>
                <w:rFonts w:ascii="Arial" w:hAnsi="Arial" w:cs="Arial"/>
                <w:b/>
                <w:kern w:val="2"/>
                <w:sz w:val="24"/>
                <w:szCs w:val="22"/>
                <w:lang w:val="en-US" w:eastAsia="zh-CN"/>
              </w:rPr>
            </w:pPr>
            <w:r>
              <w:rPr>
                <w:rFonts w:hint="eastAsia" w:ascii="Arial" w:hAnsi="Arial" w:cs="Arial"/>
                <w:b/>
                <w:bCs/>
                <w:kern w:val="2"/>
                <w:sz w:val="24"/>
                <w:szCs w:val="24"/>
                <w:lang w:val="en-US" w:eastAsia="zh-CN"/>
              </w:rPr>
              <w:t>商务条款</w:t>
            </w:r>
          </w:p>
        </w:tc>
        <w:tc>
          <w:tcPr>
            <w:tcW w:w="2497"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招标文件要求</w:t>
            </w:r>
          </w:p>
        </w:tc>
        <w:tc>
          <w:tcPr>
            <w:tcW w:w="2575"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投标人承诺</w:t>
            </w:r>
          </w:p>
        </w:tc>
        <w:tc>
          <w:tcPr>
            <w:tcW w:w="810"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ascii="Arial" w:hAnsi="Arial" w:cs="Arial"/>
                <w:sz w:val="24"/>
              </w:rPr>
            </w:pPr>
            <w:r>
              <w:rPr>
                <w:rFonts w:ascii="Arial" w:hAnsi="Arial" w:cs="Arial"/>
                <w:sz w:val="24"/>
              </w:rPr>
              <w:t>1</w:t>
            </w:r>
          </w:p>
        </w:tc>
        <w:tc>
          <w:tcPr>
            <w:tcW w:w="1916" w:type="dxa"/>
            <w:noWrap w:val="0"/>
            <w:vAlign w:val="center"/>
          </w:tcPr>
          <w:p>
            <w:pPr>
              <w:jc w:val="center"/>
              <w:rPr>
                <w:rFonts w:ascii="Arial" w:hAnsi="Arial" w:cs="Arial"/>
                <w:sz w:val="24"/>
              </w:rPr>
            </w:pPr>
            <w:r>
              <w:rPr>
                <w:rFonts w:hint="eastAsia" w:ascii="Arial" w:hAnsi="Arial" w:cs="Arial"/>
                <w:sz w:val="24"/>
              </w:rPr>
              <w:t>付款方式</w:t>
            </w:r>
          </w:p>
        </w:tc>
        <w:tc>
          <w:tcPr>
            <w:tcW w:w="2497" w:type="dxa"/>
            <w:noWrap w:val="0"/>
            <w:vAlign w:val="center"/>
          </w:tcPr>
          <w:p>
            <w:pPr>
              <w:jc w:val="center"/>
              <w:rPr>
                <w:rFonts w:ascii="Arial" w:hAnsi="Arial" w:cs="Arial"/>
                <w:sz w:val="24"/>
              </w:rPr>
            </w:pPr>
          </w:p>
        </w:tc>
        <w:tc>
          <w:tcPr>
            <w:tcW w:w="2575" w:type="dxa"/>
            <w:noWrap w:val="0"/>
            <w:vAlign w:val="center"/>
          </w:tcPr>
          <w:p>
            <w:pPr>
              <w:jc w:val="center"/>
              <w:rPr>
                <w:rFonts w:ascii="Arial" w:hAnsi="Arial" w:cs="Arial"/>
                <w:sz w:val="24"/>
              </w:rPr>
            </w:pPr>
          </w:p>
        </w:tc>
        <w:tc>
          <w:tcPr>
            <w:tcW w:w="810"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ascii="Arial" w:hAnsi="Arial" w:cs="Arial"/>
                <w:sz w:val="24"/>
              </w:rPr>
            </w:pPr>
            <w:r>
              <w:rPr>
                <w:rFonts w:ascii="Arial" w:hAnsi="Arial" w:cs="Arial"/>
                <w:sz w:val="24"/>
              </w:rPr>
              <w:t>2</w:t>
            </w:r>
          </w:p>
        </w:tc>
        <w:tc>
          <w:tcPr>
            <w:tcW w:w="1916" w:type="dxa"/>
            <w:noWrap w:val="0"/>
            <w:vAlign w:val="center"/>
          </w:tcPr>
          <w:p>
            <w:pPr>
              <w:jc w:val="center"/>
              <w:rPr>
                <w:rFonts w:ascii="Arial" w:hAnsi="Arial" w:cs="Arial"/>
                <w:sz w:val="24"/>
              </w:rPr>
            </w:pPr>
            <w:r>
              <w:rPr>
                <w:rFonts w:hint="eastAsia" w:ascii="Arial" w:hAnsi="Arial" w:cs="Arial"/>
                <w:sz w:val="24"/>
              </w:rPr>
              <w:t>供货及安装地点</w:t>
            </w:r>
          </w:p>
        </w:tc>
        <w:tc>
          <w:tcPr>
            <w:tcW w:w="2497" w:type="dxa"/>
            <w:noWrap w:val="0"/>
            <w:vAlign w:val="center"/>
          </w:tcPr>
          <w:p>
            <w:pPr>
              <w:jc w:val="center"/>
              <w:rPr>
                <w:rFonts w:ascii="Arial" w:hAnsi="Arial" w:cs="Arial"/>
                <w:sz w:val="24"/>
              </w:rPr>
            </w:pPr>
          </w:p>
        </w:tc>
        <w:tc>
          <w:tcPr>
            <w:tcW w:w="2575" w:type="dxa"/>
            <w:noWrap w:val="0"/>
            <w:vAlign w:val="center"/>
          </w:tcPr>
          <w:p>
            <w:pPr>
              <w:jc w:val="center"/>
              <w:rPr>
                <w:rFonts w:ascii="Arial" w:hAnsi="Arial" w:cs="Arial"/>
                <w:sz w:val="24"/>
              </w:rPr>
            </w:pPr>
          </w:p>
        </w:tc>
        <w:tc>
          <w:tcPr>
            <w:tcW w:w="810"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ascii="Arial" w:hAnsi="Arial" w:cs="Arial"/>
                <w:sz w:val="24"/>
              </w:rPr>
            </w:pPr>
            <w:r>
              <w:rPr>
                <w:rFonts w:ascii="Arial" w:hAnsi="Arial" w:cs="Arial"/>
                <w:sz w:val="24"/>
              </w:rPr>
              <w:t>3</w:t>
            </w:r>
          </w:p>
        </w:tc>
        <w:tc>
          <w:tcPr>
            <w:tcW w:w="1916" w:type="dxa"/>
            <w:noWrap w:val="0"/>
            <w:vAlign w:val="center"/>
          </w:tcPr>
          <w:p>
            <w:pPr>
              <w:jc w:val="center"/>
              <w:rPr>
                <w:rFonts w:ascii="Arial" w:hAnsi="Arial" w:cs="Arial"/>
                <w:sz w:val="24"/>
              </w:rPr>
            </w:pPr>
            <w:r>
              <w:rPr>
                <w:rFonts w:hint="eastAsia" w:ascii="Arial" w:hAnsi="Arial" w:cs="Arial"/>
                <w:sz w:val="24"/>
              </w:rPr>
              <w:t>供货及安装期限</w:t>
            </w:r>
          </w:p>
        </w:tc>
        <w:tc>
          <w:tcPr>
            <w:tcW w:w="2497" w:type="dxa"/>
            <w:noWrap w:val="0"/>
            <w:vAlign w:val="center"/>
          </w:tcPr>
          <w:p>
            <w:pPr>
              <w:jc w:val="center"/>
              <w:rPr>
                <w:rFonts w:ascii="Arial" w:hAnsi="Arial" w:cs="Arial"/>
                <w:sz w:val="24"/>
              </w:rPr>
            </w:pPr>
          </w:p>
        </w:tc>
        <w:tc>
          <w:tcPr>
            <w:tcW w:w="2575" w:type="dxa"/>
            <w:noWrap w:val="0"/>
            <w:vAlign w:val="center"/>
          </w:tcPr>
          <w:p>
            <w:pPr>
              <w:pStyle w:val="85"/>
              <w:jc w:val="center"/>
            </w:pPr>
          </w:p>
        </w:tc>
        <w:tc>
          <w:tcPr>
            <w:tcW w:w="810"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ascii="Arial" w:hAnsi="Arial" w:cs="Arial"/>
                <w:sz w:val="24"/>
              </w:rPr>
            </w:pPr>
            <w:r>
              <w:rPr>
                <w:rFonts w:ascii="Arial" w:hAnsi="Arial" w:cs="Arial"/>
                <w:sz w:val="24"/>
              </w:rPr>
              <w:t>4</w:t>
            </w:r>
          </w:p>
        </w:tc>
        <w:tc>
          <w:tcPr>
            <w:tcW w:w="1916" w:type="dxa"/>
            <w:noWrap w:val="0"/>
            <w:vAlign w:val="center"/>
          </w:tcPr>
          <w:p>
            <w:pPr>
              <w:jc w:val="center"/>
              <w:rPr>
                <w:rFonts w:ascii="Arial" w:hAnsi="Arial" w:cs="Arial"/>
                <w:sz w:val="24"/>
              </w:rPr>
            </w:pPr>
            <w:r>
              <w:rPr>
                <w:rFonts w:hint="eastAsia" w:ascii="Arial" w:hAnsi="Arial" w:cs="Arial"/>
                <w:sz w:val="24"/>
              </w:rPr>
              <w:t>免费质保期</w:t>
            </w:r>
          </w:p>
        </w:tc>
        <w:tc>
          <w:tcPr>
            <w:tcW w:w="2497" w:type="dxa"/>
            <w:noWrap w:val="0"/>
            <w:vAlign w:val="center"/>
          </w:tcPr>
          <w:p>
            <w:pPr>
              <w:jc w:val="center"/>
              <w:rPr>
                <w:rFonts w:ascii="Arial" w:hAnsi="Arial" w:cs="Arial"/>
                <w:sz w:val="24"/>
              </w:rPr>
            </w:pPr>
          </w:p>
        </w:tc>
        <w:tc>
          <w:tcPr>
            <w:tcW w:w="2575" w:type="dxa"/>
            <w:noWrap w:val="0"/>
            <w:vAlign w:val="center"/>
          </w:tcPr>
          <w:p>
            <w:pPr>
              <w:jc w:val="center"/>
              <w:rPr>
                <w:rFonts w:ascii="Arial" w:hAnsi="Arial" w:cs="Arial"/>
                <w:sz w:val="24"/>
              </w:rPr>
            </w:pPr>
          </w:p>
        </w:tc>
        <w:tc>
          <w:tcPr>
            <w:tcW w:w="810"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hint="eastAsia" w:ascii="Arial" w:hAnsi="Arial" w:cs="Arial"/>
                <w:sz w:val="24"/>
              </w:rPr>
            </w:pPr>
            <w:r>
              <w:rPr>
                <w:rFonts w:hint="eastAsia" w:ascii="Arial" w:hAnsi="Arial" w:cs="Arial"/>
                <w:sz w:val="24"/>
              </w:rPr>
              <w:t>5</w:t>
            </w:r>
          </w:p>
        </w:tc>
        <w:tc>
          <w:tcPr>
            <w:tcW w:w="1916" w:type="dxa"/>
            <w:noWrap w:val="0"/>
            <w:vAlign w:val="center"/>
          </w:tcPr>
          <w:p>
            <w:pPr>
              <w:jc w:val="center"/>
              <w:rPr>
                <w:rFonts w:hint="eastAsia" w:ascii="Arial" w:hAnsi="Arial" w:cs="Arial"/>
                <w:sz w:val="24"/>
              </w:rPr>
            </w:pPr>
            <w:r>
              <w:rPr>
                <w:rFonts w:hint="eastAsia" w:ascii="Arial" w:hAnsi="Arial" w:cs="Arial"/>
                <w:sz w:val="24"/>
              </w:rPr>
              <w:t>其他（如有）</w:t>
            </w:r>
          </w:p>
        </w:tc>
        <w:tc>
          <w:tcPr>
            <w:tcW w:w="2497" w:type="dxa"/>
            <w:noWrap w:val="0"/>
            <w:vAlign w:val="center"/>
          </w:tcPr>
          <w:p>
            <w:pPr>
              <w:jc w:val="center"/>
              <w:rPr>
                <w:rFonts w:ascii="Arial" w:hAnsi="Arial" w:cs="Arial"/>
                <w:sz w:val="24"/>
              </w:rPr>
            </w:pPr>
          </w:p>
        </w:tc>
        <w:tc>
          <w:tcPr>
            <w:tcW w:w="2575" w:type="dxa"/>
            <w:noWrap w:val="0"/>
            <w:vAlign w:val="center"/>
          </w:tcPr>
          <w:p>
            <w:pPr>
              <w:jc w:val="center"/>
              <w:rPr>
                <w:rFonts w:ascii="Arial" w:hAnsi="Arial" w:cs="Arial"/>
                <w:sz w:val="24"/>
              </w:rPr>
            </w:pPr>
          </w:p>
        </w:tc>
        <w:tc>
          <w:tcPr>
            <w:tcW w:w="810" w:type="dxa"/>
            <w:noWrap w:val="0"/>
            <w:vAlign w:val="center"/>
          </w:tcPr>
          <w:p>
            <w:pPr>
              <w:jc w:val="center"/>
              <w:rPr>
                <w:rFonts w:ascii="Arial" w:hAnsi="Arial" w:cs="Arial"/>
                <w:sz w:val="24"/>
              </w:rPr>
            </w:pPr>
          </w:p>
        </w:tc>
      </w:tr>
    </w:tbl>
    <w:p>
      <w:pPr>
        <w:spacing w:line="360" w:lineRule="auto"/>
        <w:ind w:firstLine="435"/>
        <w:rPr>
          <w:rFonts w:ascii="Arial" w:hAnsi="Arial" w:cs="Arial"/>
          <w:b/>
          <w:sz w:val="24"/>
        </w:rPr>
      </w:pPr>
      <w:r>
        <w:rPr>
          <w:rFonts w:ascii="Arial" w:hAnsi="Arial" w:cs="Arial"/>
          <w:b/>
          <w:sz w:val="24"/>
        </w:rPr>
        <w:t>6.2</w:t>
      </w:r>
      <w:r>
        <w:rPr>
          <w:rFonts w:hint="eastAsia" w:ascii="Arial" w:hAnsi="Arial" w:cs="Arial"/>
          <w:b/>
          <w:sz w:val="24"/>
        </w:rPr>
        <w:t>技术响应表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序号</w:t>
            </w:r>
          </w:p>
        </w:tc>
        <w:tc>
          <w:tcPr>
            <w:tcW w:w="1560" w:type="dxa"/>
            <w:noWrap w:val="0"/>
            <w:vAlign w:val="center"/>
          </w:tcPr>
          <w:p>
            <w:pPr>
              <w:pStyle w:val="13"/>
              <w:jc w:val="center"/>
              <w:rPr>
                <w:rFonts w:ascii="Arial" w:hAnsi="Arial" w:cs="Arial"/>
                <w:b/>
                <w:kern w:val="2"/>
                <w:sz w:val="24"/>
                <w:szCs w:val="22"/>
                <w:lang w:val="en-US" w:eastAsia="zh-CN"/>
              </w:rPr>
            </w:pPr>
            <w:r>
              <w:rPr>
                <w:rFonts w:hint="eastAsia" w:ascii="Arial" w:hAnsi="Arial" w:cs="Arial"/>
                <w:b/>
                <w:bCs/>
                <w:kern w:val="2"/>
                <w:sz w:val="24"/>
                <w:szCs w:val="24"/>
                <w:lang w:val="en-US" w:eastAsia="zh-CN"/>
              </w:rPr>
              <w:t>货物名称</w:t>
            </w:r>
          </w:p>
        </w:tc>
        <w:tc>
          <w:tcPr>
            <w:tcW w:w="2863"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招标文件规定的技术参数要求</w:t>
            </w:r>
          </w:p>
        </w:tc>
        <w:tc>
          <w:tcPr>
            <w:tcW w:w="2482"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所投产品的品牌、型号及技术参数</w:t>
            </w:r>
          </w:p>
        </w:tc>
        <w:tc>
          <w:tcPr>
            <w:tcW w:w="856" w:type="dxa"/>
            <w:noWrap w:val="0"/>
            <w:vAlign w:val="center"/>
          </w:tcPr>
          <w:p>
            <w:pPr>
              <w:pStyle w:val="13"/>
              <w:jc w:val="center"/>
              <w:rPr>
                <w:rFonts w:ascii="Arial" w:hAnsi="Arial" w:cs="Arial"/>
                <w:b/>
                <w:kern w:val="2"/>
                <w:sz w:val="24"/>
                <w:szCs w:val="22"/>
                <w:lang w:val="en-US" w:eastAsia="zh-CN"/>
              </w:rPr>
            </w:pPr>
            <w:r>
              <w:rPr>
                <w:rFonts w:hint="eastAsia" w:ascii="Arial" w:hAnsi="Arial" w:cs="Arial"/>
                <w:b/>
                <w:kern w:val="2"/>
                <w:sz w:val="24"/>
                <w:szCs w:val="22"/>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noWrap w:val="0"/>
            <w:vAlign w:val="center"/>
          </w:tcPr>
          <w:p>
            <w:pPr>
              <w:jc w:val="center"/>
              <w:rPr>
                <w:rFonts w:ascii="Arial" w:hAnsi="Arial" w:cs="Arial"/>
                <w:sz w:val="24"/>
              </w:rPr>
            </w:pPr>
            <w:r>
              <w:rPr>
                <w:rFonts w:ascii="Arial" w:hAnsi="Arial" w:cs="Arial"/>
                <w:sz w:val="24"/>
              </w:rPr>
              <w:t>1</w:t>
            </w:r>
          </w:p>
        </w:tc>
        <w:tc>
          <w:tcPr>
            <w:tcW w:w="1560" w:type="dxa"/>
            <w:noWrap w:val="0"/>
            <w:vAlign w:val="center"/>
          </w:tcPr>
          <w:p>
            <w:pPr>
              <w:jc w:val="center"/>
              <w:rPr>
                <w:rFonts w:ascii="Arial" w:hAnsi="Arial" w:cs="Arial"/>
                <w:sz w:val="24"/>
              </w:rPr>
            </w:pPr>
          </w:p>
        </w:tc>
        <w:tc>
          <w:tcPr>
            <w:tcW w:w="2863" w:type="dxa"/>
            <w:noWrap w:val="0"/>
            <w:vAlign w:val="center"/>
          </w:tcPr>
          <w:p>
            <w:pPr>
              <w:jc w:val="center"/>
              <w:rPr>
                <w:rFonts w:ascii="Arial" w:hAnsi="Arial" w:cs="Arial"/>
                <w:sz w:val="24"/>
              </w:rPr>
            </w:pPr>
          </w:p>
        </w:tc>
        <w:tc>
          <w:tcPr>
            <w:tcW w:w="2482" w:type="dxa"/>
            <w:noWrap w:val="0"/>
            <w:vAlign w:val="center"/>
          </w:tcPr>
          <w:p>
            <w:pPr>
              <w:jc w:val="center"/>
              <w:rPr>
                <w:rFonts w:ascii="Arial" w:hAnsi="Arial" w:cs="Arial"/>
                <w:sz w:val="24"/>
              </w:rPr>
            </w:pPr>
          </w:p>
        </w:tc>
        <w:tc>
          <w:tcPr>
            <w:tcW w:w="856"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noWrap w:val="0"/>
            <w:vAlign w:val="center"/>
          </w:tcPr>
          <w:p>
            <w:pPr>
              <w:jc w:val="center"/>
              <w:rPr>
                <w:rFonts w:ascii="Arial" w:hAnsi="Arial" w:cs="Arial"/>
                <w:sz w:val="24"/>
              </w:rPr>
            </w:pPr>
            <w:r>
              <w:rPr>
                <w:rFonts w:ascii="Arial" w:hAnsi="Arial" w:cs="Arial"/>
                <w:sz w:val="24"/>
              </w:rPr>
              <w:t>2</w:t>
            </w:r>
          </w:p>
        </w:tc>
        <w:tc>
          <w:tcPr>
            <w:tcW w:w="1560" w:type="dxa"/>
            <w:noWrap w:val="0"/>
            <w:vAlign w:val="center"/>
          </w:tcPr>
          <w:p>
            <w:pPr>
              <w:jc w:val="center"/>
              <w:rPr>
                <w:rFonts w:ascii="Arial" w:hAnsi="Arial" w:cs="Arial"/>
                <w:sz w:val="24"/>
              </w:rPr>
            </w:pPr>
          </w:p>
        </w:tc>
        <w:tc>
          <w:tcPr>
            <w:tcW w:w="2863" w:type="dxa"/>
            <w:noWrap w:val="0"/>
            <w:vAlign w:val="center"/>
          </w:tcPr>
          <w:p>
            <w:pPr>
              <w:jc w:val="center"/>
              <w:rPr>
                <w:rFonts w:ascii="Arial" w:hAnsi="Arial" w:cs="Arial"/>
                <w:sz w:val="24"/>
              </w:rPr>
            </w:pPr>
          </w:p>
        </w:tc>
        <w:tc>
          <w:tcPr>
            <w:tcW w:w="2482" w:type="dxa"/>
            <w:noWrap w:val="0"/>
            <w:vAlign w:val="center"/>
          </w:tcPr>
          <w:p>
            <w:pPr>
              <w:jc w:val="center"/>
              <w:rPr>
                <w:rFonts w:ascii="Arial" w:hAnsi="Arial" w:cs="Arial"/>
                <w:sz w:val="24"/>
              </w:rPr>
            </w:pPr>
          </w:p>
        </w:tc>
        <w:tc>
          <w:tcPr>
            <w:tcW w:w="856"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noWrap w:val="0"/>
            <w:vAlign w:val="center"/>
          </w:tcPr>
          <w:p>
            <w:pPr>
              <w:jc w:val="center"/>
              <w:rPr>
                <w:rFonts w:ascii="Arial" w:hAnsi="Arial" w:cs="Arial"/>
                <w:sz w:val="24"/>
              </w:rPr>
            </w:pPr>
            <w:r>
              <w:rPr>
                <w:rFonts w:ascii="Arial" w:hAnsi="Arial" w:cs="Arial"/>
                <w:sz w:val="24"/>
              </w:rPr>
              <w:t>3</w:t>
            </w:r>
          </w:p>
        </w:tc>
        <w:tc>
          <w:tcPr>
            <w:tcW w:w="1560" w:type="dxa"/>
            <w:noWrap w:val="0"/>
            <w:vAlign w:val="center"/>
          </w:tcPr>
          <w:p>
            <w:pPr>
              <w:jc w:val="center"/>
              <w:rPr>
                <w:rFonts w:ascii="Arial" w:hAnsi="Arial" w:cs="Arial"/>
                <w:sz w:val="24"/>
              </w:rPr>
            </w:pPr>
          </w:p>
        </w:tc>
        <w:tc>
          <w:tcPr>
            <w:tcW w:w="2863" w:type="dxa"/>
            <w:noWrap w:val="0"/>
            <w:vAlign w:val="center"/>
          </w:tcPr>
          <w:p>
            <w:pPr>
              <w:jc w:val="center"/>
              <w:rPr>
                <w:rFonts w:ascii="Arial" w:hAnsi="Arial" w:cs="Arial"/>
                <w:sz w:val="24"/>
              </w:rPr>
            </w:pPr>
          </w:p>
        </w:tc>
        <w:tc>
          <w:tcPr>
            <w:tcW w:w="2482" w:type="dxa"/>
            <w:noWrap w:val="0"/>
            <w:vAlign w:val="center"/>
          </w:tcPr>
          <w:p>
            <w:pPr>
              <w:pStyle w:val="85"/>
              <w:jc w:val="center"/>
            </w:pPr>
          </w:p>
        </w:tc>
        <w:tc>
          <w:tcPr>
            <w:tcW w:w="856"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noWrap w:val="0"/>
            <w:vAlign w:val="center"/>
          </w:tcPr>
          <w:p>
            <w:pPr>
              <w:jc w:val="center"/>
              <w:rPr>
                <w:rFonts w:ascii="Arial" w:hAnsi="Arial" w:cs="Arial"/>
                <w:sz w:val="24"/>
              </w:rPr>
            </w:pPr>
            <w:r>
              <w:rPr>
                <w:rFonts w:ascii="Arial" w:hAnsi="Arial" w:cs="Arial"/>
                <w:sz w:val="24"/>
              </w:rPr>
              <w:t>4</w:t>
            </w:r>
          </w:p>
        </w:tc>
        <w:tc>
          <w:tcPr>
            <w:tcW w:w="1560" w:type="dxa"/>
            <w:noWrap w:val="0"/>
            <w:vAlign w:val="center"/>
          </w:tcPr>
          <w:p>
            <w:pPr>
              <w:jc w:val="center"/>
              <w:rPr>
                <w:rFonts w:ascii="Arial" w:hAnsi="Arial" w:cs="Arial"/>
                <w:sz w:val="24"/>
              </w:rPr>
            </w:pPr>
          </w:p>
        </w:tc>
        <w:tc>
          <w:tcPr>
            <w:tcW w:w="2863" w:type="dxa"/>
            <w:noWrap w:val="0"/>
            <w:vAlign w:val="center"/>
          </w:tcPr>
          <w:p>
            <w:pPr>
              <w:jc w:val="center"/>
              <w:rPr>
                <w:rFonts w:ascii="Arial" w:hAnsi="Arial" w:cs="Arial"/>
                <w:sz w:val="24"/>
              </w:rPr>
            </w:pPr>
          </w:p>
        </w:tc>
        <w:tc>
          <w:tcPr>
            <w:tcW w:w="2482" w:type="dxa"/>
            <w:noWrap w:val="0"/>
            <w:vAlign w:val="center"/>
          </w:tcPr>
          <w:p>
            <w:pPr>
              <w:pStyle w:val="85"/>
              <w:jc w:val="center"/>
            </w:pPr>
          </w:p>
        </w:tc>
        <w:tc>
          <w:tcPr>
            <w:tcW w:w="856" w:type="dxa"/>
            <w:noWrap w:val="0"/>
            <w:vAlign w:val="center"/>
          </w:tcPr>
          <w:p>
            <w:pPr>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noWrap w:val="0"/>
            <w:vAlign w:val="center"/>
          </w:tcPr>
          <w:p>
            <w:pPr>
              <w:jc w:val="center"/>
              <w:rPr>
                <w:rFonts w:ascii="Arial" w:hAnsi="Arial" w:cs="Arial"/>
                <w:sz w:val="24"/>
              </w:rPr>
            </w:pPr>
            <w:r>
              <w:rPr>
                <w:rFonts w:ascii="Arial" w:hAnsi="Arial" w:cs="Arial"/>
                <w:sz w:val="24"/>
              </w:rPr>
              <w:t>…</w:t>
            </w:r>
          </w:p>
        </w:tc>
        <w:tc>
          <w:tcPr>
            <w:tcW w:w="1560" w:type="dxa"/>
            <w:noWrap w:val="0"/>
            <w:vAlign w:val="center"/>
          </w:tcPr>
          <w:p>
            <w:pPr>
              <w:jc w:val="center"/>
              <w:rPr>
                <w:rFonts w:ascii="Arial" w:hAnsi="Arial" w:cs="Arial"/>
                <w:sz w:val="24"/>
              </w:rPr>
            </w:pPr>
          </w:p>
        </w:tc>
        <w:tc>
          <w:tcPr>
            <w:tcW w:w="2863" w:type="dxa"/>
            <w:noWrap w:val="0"/>
            <w:vAlign w:val="center"/>
          </w:tcPr>
          <w:p>
            <w:pPr>
              <w:jc w:val="center"/>
              <w:rPr>
                <w:rFonts w:ascii="Arial" w:hAnsi="Arial" w:cs="Arial"/>
                <w:sz w:val="24"/>
              </w:rPr>
            </w:pPr>
          </w:p>
        </w:tc>
        <w:tc>
          <w:tcPr>
            <w:tcW w:w="2482" w:type="dxa"/>
            <w:noWrap w:val="0"/>
            <w:vAlign w:val="center"/>
          </w:tcPr>
          <w:p>
            <w:pPr>
              <w:jc w:val="center"/>
              <w:rPr>
                <w:rFonts w:ascii="Arial" w:hAnsi="Arial" w:cs="Arial"/>
                <w:sz w:val="24"/>
              </w:rPr>
            </w:pPr>
          </w:p>
        </w:tc>
        <w:tc>
          <w:tcPr>
            <w:tcW w:w="856" w:type="dxa"/>
            <w:noWrap w:val="0"/>
            <w:vAlign w:val="center"/>
          </w:tcPr>
          <w:p>
            <w:pPr>
              <w:jc w:val="center"/>
              <w:rPr>
                <w:rFonts w:ascii="Arial" w:hAnsi="Arial" w:cs="Arial"/>
                <w:sz w:val="24"/>
              </w:rPr>
            </w:pPr>
          </w:p>
        </w:tc>
      </w:tr>
    </w:tbl>
    <w:p>
      <w:pPr>
        <w:adjustRightInd w:val="0"/>
        <w:snapToGrid w:val="0"/>
        <w:spacing w:line="0" w:lineRule="atLeast"/>
        <w:rPr>
          <w:rFonts w:ascii="宋体" w:hAnsi="宋体" w:cs="宋体"/>
          <w:b/>
          <w:bCs/>
          <w:sz w:val="24"/>
          <w:szCs w:val="28"/>
        </w:rPr>
      </w:pPr>
      <w:r>
        <w:rPr>
          <w:rFonts w:hint="eastAsia" w:ascii="宋体" w:hAnsi="宋体" w:cs="宋体"/>
          <w:b/>
          <w:bCs/>
          <w:sz w:val="24"/>
          <w:szCs w:val="28"/>
        </w:rPr>
        <w:t>备注：</w:t>
      </w:r>
    </w:p>
    <w:p>
      <w:pPr>
        <w:adjustRightInd w:val="0"/>
        <w:snapToGrid w:val="0"/>
        <w:spacing w:line="0" w:lineRule="atLeast"/>
        <w:rPr>
          <w:rFonts w:ascii="宋体" w:hAnsi="宋体" w:cs="宋体"/>
          <w:b/>
          <w:bCs/>
          <w:sz w:val="24"/>
          <w:szCs w:val="28"/>
        </w:rPr>
      </w:pPr>
      <w:r>
        <w:rPr>
          <w:rFonts w:hint="eastAsia" w:ascii="宋体" w:hAnsi="宋体" w:cs="宋体"/>
          <w:b/>
          <w:bCs/>
          <w:sz w:val="24"/>
          <w:szCs w:val="28"/>
        </w:rPr>
        <w:t>1、投标人必须根据采购需求逐项对应描述投标的具体内容，如投标货物主要参数、材质、配置及服务要求等，否则可能导致投标无效；</w:t>
      </w:r>
    </w:p>
    <w:p>
      <w:pPr>
        <w:adjustRightInd w:val="0"/>
        <w:snapToGrid w:val="0"/>
        <w:spacing w:line="0" w:lineRule="atLeast"/>
        <w:rPr>
          <w:rFonts w:ascii="宋体" w:hAnsi="宋体" w:cs="宋体"/>
          <w:b/>
          <w:bCs/>
          <w:sz w:val="24"/>
          <w:szCs w:val="28"/>
        </w:rPr>
      </w:pPr>
      <w:r>
        <w:rPr>
          <w:rFonts w:hint="eastAsia" w:ascii="宋体" w:hAnsi="宋体" w:cs="宋体"/>
          <w:b/>
          <w:bCs/>
          <w:sz w:val="24"/>
          <w:szCs w:val="28"/>
        </w:rPr>
        <w:t>2、投标人所投产品如与招标文件要求的主要参数、材质、配置及服务要求等不一致的，则须在上表“偏离说明”栏中详细注明；</w:t>
      </w:r>
    </w:p>
    <w:p>
      <w:pPr>
        <w:adjustRightInd w:val="0"/>
        <w:snapToGrid w:val="0"/>
        <w:spacing w:line="0" w:lineRule="atLeast"/>
        <w:rPr>
          <w:rFonts w:ascii="宋体" w:hAnsi="宋体" w:cs="宋体"/>
          <w:b/>
          <w:bCs/>
          <w:sz w:val="24"/>
          <w:szCs w:val="28"/>
        </w:rPr>
      </w:pPr>
      <w:r>
        <w:rPr>
          <w:rFonts w:hint="eastAsia" w:ascii="宋体" w:hAnsi="宋体" w:cs="宋体"/>
          <w:b/>
          <w:bCs/>
          <w:sz w:val="24"/>
          <w:szCs w:val="28"/>
        </w:rPr>
        <w:t>3、“按投标人所投内容填写”部分可后附详细说明及技术资料。</w:t>
      </w:r>
    </w:p>
    <w:p>
      <w:pPr>
        <w:spacing w:line="360" w:lineRule="auto"/>
        <w:ind w:firstLine="435"/>
        <w:rPr>
          <w:rFonts w:ascii="Arial" w:hAnsi="Arial" w:cs="Arial"/>
          <w:b/>
          <w:sz w:val="24"/>
        </w:rPr>
      </w:pPr>
      <w:r>
        <w:rPr>
          <w:rFonts w:ascii="Arial" w:hAnsi="Arial" w:cs="Arial"/>
          <w:b/>
          <w:sz w:val="24"/>
        </w:rPr>
        <w:t>6.3</w:t>
      </w:r>
      <w:r>
        <w:rPr>
          <w:rFonts w:hint="eastAsia" w:ascii="Arial" w:hAnsi="Arial" w:cs="Arial"/>
          <w:b/>
          <w:sz w:val="24"/>
        </w:rPr>
        <w:t>货物说明一览表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noWrap w:val="0"/>
            <w:vAlign w:val="center"/>
          </w:tcPr>
          <w:p>
            <w:pPr>
              <w:pStyle w:val="13"/>
              <w:jc w:val="center"/>
              <w:rPr>
                <w:rFonts w:ascii="Arial" w:hAnsi="Arial" w:cs="Arial"/>
                <w:b/>
                <w:kern w:val="2"/>
                <w:sz w:val="24"/>
                <w:szCs w:val="22"/>
                <w:lang w:val="en-US" w:eastAsia="zh-CN"/>
              </w:rPr>
            </w:pPr>
            <w:r>
              <w:rPr>
                <w:rFonts w:hint="eastAsia" w:ascii="Arial" w:hAnsi="Arial" w:cs="Arial"/>
                <w:b/>
                <w:bCs/>
                <w:kern w:val="2"/>
                <w:sz w:val="24"/>
                <w:szCs w:val="24"/>
                <w:lang w:val="en-US" w:eastAsia="zh-CN"/>
              </w:rPr>
              <w:t>货物名称</w:t>
            </w:r>
          </w:p>
        </w:tc>
        <w:tc>
          <w:tcPr>
            <w:tcW w:w="1420" w:type="dxa"/>
            <w:noWrap w:val="0"/>
            <w:vAlign w:val="center"/>
          </w:tcPr>
          <w:p>
            <w:pPr>
              <w:pStyle w:val="13"/>
              <w:jc w:val="center"/>
              <w:rPr>
                <w:rFonts w:ascii="Arial" w:hAnsi="Arial" w:cs="Arial"/>
                <w:b/>
                <w:kern w:val="2"/>
                <w:sz w:val="24"/>
                <w:szCs w:val="22"/>
                <w:lang w:val="en-US" w:eastAsia="zh-CN"/>
              </w:rPr>
            </w:pPr>
          </w:p>
        </w:tc>
        <w:tc>
          <w:tcPr>
            <w:tcW w:w="1421" w:type="dxa"/>
            <w:noWrap w:val="0"/>
            <w:vAlign w:val="center"/>
          </w:tcPr>
          <w:p>
            <w:pPr>
              <w:pStyle w:val="13"/>
              <w:jc w:val="center"/>
              <w:rPr>
                <w:rFonts w:ascii="Arial" w:hAnsi="Arial" w:cs="Arial"/>
                <w:b/>
                <w:kern w:val="2"/>
                <w:sz w:val="24"/>
                <w:szCs w:val="22"/>
                <w:lang w:val="en-US" w:eastAsia="zh-CN"/>
              </w:rPr>
            </w:pPr>
            <w:r>
              <w:rPr>
                <w:rFonts w:hint="eastAsia" w:ascii="Arial" w:hAnsi="Arial" w:cs="Arial"/>
                <w:b/>
                <w:bCs/>
                <w:kern w:val="2"/>
                <w:sz w:val="24"/>
                <w:szCs w:val="24"/>
                <w:lang w:val="en-US" w:eastAsia="zh-CN"/>
              </w:rPr>
              <w:t>品牌型号</w:t>
            </w:r>
          </w:p>
        </w:tc>
        <w:tc>
          <w:tcPr>
            <w:tcW w:w="4261" w:type="dxa"/>
            <w:noWrap w:val="0"/>
            <w:vAlign w:val="center"/>
          </w:tcPr>
          <w:p>
            <w:pPr>
              <w:pStyle w:val="13"/>
              <w:jc w:val="center"/>
              <w:rPr>
                <w:rFonts w:ascii="Arial" w:hAnsi="Arial" w:cs="Arial"/>
                <w:b/>
                <w:kern w:val="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8522" w:type="dxa"/>
            <w:gridSpan w:val="4"/>
            <w:noWrap w:val="0"/>
            <w:vAlign w:val="top"/>
          </w:tcPr>
          <w:p>
            <w:pPr>
              <w:rPr>
                <w:rFonts w:ascii="Arial" w:hAnsi="Arial" w:cs="Arial"/>
                <w:sz w:val="24"/>
              </w:rPr>
            </w:pPr>
            <w:r>
              <w:rPr>
                <w:rFonts w:hint="eastAsia" w:ascii="Arial" w:hAnsi="Arial" w:cs="Arial"/>
                <w:sz w:val="24"/>
              </w:rPr>
              <w:t>所投产品的技术参数及性能说明：</w:t>
            </w:r>
          </w:p>
        </w:tc>
      </w:tr>
    </w:tbl>
    <w:p>
      <w:pPr>
        <w:pStyle w:val="14"/>
        <w:spacing w:line="360" w:lineRule="auto"/>
        <w:rPr>
          <w:b w:val="0"/>
          <w:sz w:val="24"/>
        </w:rPr>
      </w:pPr>
      <w:r>
        <w:rPr>
          <w:rFonts w:hint="eastAsia"/>
          <w:b w:val="0"/>
          <w:sz w:val="24"/>
        </w:rPr>
        <w:t>投标人公章：</w:t>
      </w:r>
      <w:r>
        <w:rPr>
          <w:b w:val="0"/>
          <w:sz w:val="24"/>
        </w:rPr>
        <w:br w:type="page"/>
      </w:r>
    </w:p>
    <w:p>
      <w:pPr>
        <w:spacing w:line="360" w:lineRule="auto"/>
        <w:jc w:val="center"/>
        <w:outlineLvl w:val="2"/>
        <w:rPr>
          <w:rFonts w:ascii="Arial" w:hAnsi="Arial" w:cs="Arial"/>
          <w:b/>
          <w:sz w:val="24"/>
        </w:rPr>
      </w:pPr>
      <w:r>
        <w:rPr>
          <w:rFonts w:hint="eastAsia" w:ascii="Arial" w:hAnsi="Arial" w:cs="Arial"/>
          <w:b/>
          <w:sz w:val="24"/>
        </w:rPr>
        <w:t>七、实施方案及售后服务</w:t>
      </w:r>
    </w:p>
    <w:p>
      <w:pPr>
        <w:spacing w:line="360" w:lineRule="auto"/>
        <w:jc w:val="center"/>
        <w:rPr>
          <w:rFonts w:ascii="Arial" w:hAnsi="Arial" w:cs="Arial"/>
          <w:i/>
          <w:sz w:val="24"/>
        </w:rPr>
      </w:pPr>
      <w:r>
        <w:rPr>
          <w:rFonts w:ascii="Arial" w:hAnsi="Arial" w:cs="Arial"/>
          <w:i/>
          <w:sz w:val="24"/>
        </w:rPr>
        <w:t>(</w:t>
      </w:r>
      <w:r>
        <w:rPr>
          <w:rFonts w:hint="eastAsia" w:ascii="Arial" w:hAnsi="Arial" w:cs="Arial"/>
          <w:i/>
          <w:sz w:val="24"/>
        </w:rPr>
        <w:t>投标人可自行制作格式</w:t>
      </w:r>
      <w:r>
        <w:rPr>
          <w:rFonts w:ascii="Arial" w:hAnsi="Arial" w:cs="Arial"/>
          <w:i/>
          <w:sz w:val="24"/>
        </w:rPr>
        <w:t>)</w:t>
      </w:r>
    </w:p>
    <w:p>
      <w:pPr>
        <w:widowControl/>
        <w:jc w:val="left"/>
        <w:rPr>
          <w:rFonts w:ascii="Arial" w:hAnsi="Arial" w:cs="Arial"/>
          <w:sz w:val="24"/>
        </w:rPr>
      </w:pPr>
    </w:p>
    <w:p>
      <w:pPr>
        <w:widowControl/>
        <w:jc w:val="left"/>
        <w:rPr>
          <w:rFonts w:ascii="Arial" w:hAnsi="Arial" w:cs="Arial"/>
          <w:sz w:val="24"/>
        </w:rPr>
      </w:pPr>
    </w:p>
    <w:p>
      <w:pPr>
        <w:spacing w:line="360" w:lineRule="auto"/>
        <w:jc w:val="center"/>
        <w:outlineLvl w:val="2"/>
        <w:rPr>
          <w:rFonts w:hint="eastAsia" w:ascii="Arial" w:hAnsi="Arial" w:eastAsia="宋体" w:cs="Arial"/>
          <w:b/>
          <w:sz w:val="24"/>
          <w:lang w:eastAsia="zh-CN"/>
        </w:rPr>
      </w:pPr>
      <w:r>
        <w:rPr>
          <w:rFonts w:hint="eastAsia" w:ascii="Arial" w:hAnsi="Arial" w:cs="Arial"/>
          <w:b/>
          <w:sz w:val="24"/>
        </w:rPr>
        <w:t>八、</w:t>
      </w:r>
      <w:r>
        <w:rPr>
          <w:rFonts w:hint="eastAsia" w:ascii="Arial" w:hAnsi="Arial" w:cs="Arial"/>
          <w:b/>
          <w:sz w:val="24"/>
          <w:lang w:val="en-US" w:eastAsia="zh-CN"/>
        </w:rPr>
        <w:t>认证</w:t>
      </w:r>
    </w:p>
    <w:p>
      <w:pPr>
        <w:spacing w:line="360" w:lineRule="auto"/>
        <w:jc w:val="center"/>
        <w:rPr>
          <w:rFonts w:ascii="Arial" w:hAnsi="Arial" w:cs="Arial"/>
          <w:i/>
          <w:sz w:val="24"/>
        </w:rPr>
      </w:pPr>
      <w:r>
        <w:rPr>
          <w:rFonts w:ascii="Arial" w:hAnsi="Arial" w:cs="Arial"/>
          <w:i/>
          <w:sz w:val="24"/>
        </w:rPr>
        <w:t>(</w:t>
      </w:r>
      <w:r>
        <w:rPr>
          <w:rFonts w:hint="eastAsia" w:ascii="Arial" w:hAnsi="Arial" w:cs="Arial"/>
          <w:i/>
          <w:sz w:val="24"/>
        </w:rPr>
        <w:t>投标人可自行制作格式</w:t>
      </w:r>
      <w:r>
        <w:rPr>
          <w:rFonts w:ascii="Arial" w:hAnsi="Arial" w:cs="Arial"/>
          <w:i/>
          <w:sz w:val="24"/>
        </w:rPr>
        <w:t>)</w:t>
      </w:r>
    </w:p>
    <w:p>
      <w:pPr>
        <w:widowControl/>
        <w:jc w:val="left"/>
        <w:rPr>
          <w:rFonts w:ascii="Arial" w:hAnsi="Arial" w:cs="Arial"/>
          <w:sz w:val="24"/>
        </w:rPr>
      </w:pPr>
    </w:p>
    <w:p>
      <w:pPr>
        <w:widowControl/>
        <w:jc w:val="left"/>
        <w:rPr>
          <w:rFonts w:ascii="Arial" w:hAnsi="Arial" w:cs="Arial"/>
          <w:sz w:val="24"/>
        </w:rPr>
      </w:pPr>
    </w:p>
    <w:p>
      <w:pPr>
        <w:spacing w:line="360" w:lineRule="auto"/>
        <w:jc w:val="center"/>
        <w:outlineLvl w:val="2"/>
        <w:rPr>
          <w:rFonts w:ascii="Arial" w:hAnsi="Arial" w:cs="Arial"/>
          <w:b/>
          <w:sz w:val="24"/>
        </w:rPr>
      </w:pPr>
      <w:r>
        <w:rPr>
          <w:rFonts w:hint="eastAsia" w:ascii="Arial" w:hAnsi="Arial" w:cs="Arial"/>
          <w:b/>
          <w:sz w:val="24"/>
        </w:rPr>
        <w:t>九、投标业绩承诺函</w:t>
      </w:r>
    </w:p>
    <w:p>
      <w:pPr>
        <w:spacing w:line="360" w:lineRule="auto"/>
        <w:ind w:firstLine="435"/>
        <w:rPr>
          <w:rFonts w:ascii="Arial" w:hAnsi="Arial" w:cs="Arial"/>
          <w:sz w:val="24"/>
        </w:rPr>
      </w:pPr>
    </w:p>
    <w:p>
      <w:pPr>
        <w:spacing w:line="400" w:lineRule="exact"/>
        <w:ind w:firstLine="435"/>
        <w:rPr>
          <w:rFonts w:ascii="Arial" w:hAnsi="Arial" w:cs="Arial"/>
          <w:sz w:val="24"/>
        </w:rPr>
      </w:pPr>
      <w:r>
        <w:rPr>
          <w:rFonts w:hint="eastAsia" w:ascii="Arial" w:hAnsi="Arial" w:cs="Arial"/>
          <w:sz w:val="24"/>
        </w:rPr>
        <w:t>我单位同意中标公告中公示以下业绩并承诺：投标文件中所提供的业绩均真实有效，若被发现存在任何虚假、隐瞒情况，我单位承担由此产生的一切后果。</w:t>
      </w:r>
    </w:p>
    <w:p>
      <w:pPr>
        <w:spacing w:line="400" w:lineRule="exact"/>
        <w:ind w:firstLine="435"/>
        <w:rPr>
          <w:rFonts w:ascii="Arial" w:hAnsi="Arial" w:cs="Arial"/>
          <w:sz w:val="24"/>
        </w:rPr>
      </w:pPr>
    </w:p>
    <w:p>
      <w:pPr>
        <w:spacing w:line="400" w:lineRule="exact"/>
        <w:ind w:firstLine="4228" w:firstLineChars="1762"/>
        <w:rPr>
          <w:rFonts w:ascii="Arial" w:hAnsi="Arial" w:cs="Arial"/>
          <w:sz w:val="24"/>
          <w:u w:val="single"/>
        </w:rPr>
      </w:pPr>
      <w:r>
        <w:rPr>
          <w:rFonts w:hint="eastAsia" w:ascii="Arial" w:hAnsi="Arial" w:cs="Arial"/>
          <w:sz w:val="24"/>
        </w:rPr>
        <w:t>投标人公章：</w:t>
      </w:r>
      <w:r>
        <w:rPr>
          <w:rFonts w:ascii="Arial" w:hAnsi="Arial" w:cs="Arial"/>
          <w:sz w:val="24"/>
          <w:u w:val="single"/>
        </w:rPr>
        <w:t xml:space="preserve">                      </w:t>
      </w:r>
    </w:p>
    <w:p>
      <w:pPr>
        <w:tabs>
          <w:tab w:val="left" w:pos="630"/>
        </w:tabs>
        <w:spacing w:line="400" w:lineRule="exact"/>
        <w:ind w:firstLine="4228" w:firstLineChars="1762"/>
        <w:rPr>
          <w:rFonts w:ascii="Arial" w:hAnsi="Arial" w:cs="Arial"/>
          <w:sz w:val="24"/>
          <w:u w:val="single"/>
        </w:rPr>
      </w:pPr>
      <w:r>
        <w:rPr>
          <w:rFonts w:hint="eastAsia" w:ascii="Arial" w:hAnsi="Arial" w:cs="Arial"/>
          <w:sz w:val="24"/>
        </w:rPr>
        <w:t>日</w:t>
      </w:r>
      <w:r>
        <w:rPr>
          <w:rFonts w:ascii="Arial" w:hAnsi="Arial" w:cs="Arial"/>
          <w:sz w:val="24"/>
        </w:rPr>
        <w:t xml:space="preserve">      </w:t>
      </w:r>
      <w:r>
        <w:rPr>
          <w:rFonts w:hint="eastAsia" w:ascii="Arial" w:hAnsi="Arial" w:cs="Arial"/>
          <w:sz w:val="24"/>
        </w:rPr>
        <w:t>期：</w:t>
      </w:r>
      <w:r>
        <w:rPr>
          <w:rFonts w:ascii="Arial" w:hAnsi="Arial" w:cs="Arial"/>
          <w:sz w:val="24"/>
          <w:u w:val="single"/>
        </w:rPr>
        <w:t xml:space="preserve">                      </w:t>
      </w:r>
    </w:p>
    <w:p>
      <w:pPr>
        <w:tabs>
          <w:tab w:val="left" w:pos="630"/>
        </w:tabs>
        <w:spacing w:line="360" w:lineRule="auto"/>
        <w:ind w:firstLine="3700" w:firstLineChars="1762"/>
        <w:rPr>
          <w:rFonts w:ascii="Arial" w:hAnsi="Arial" w:cs="Arial"/>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0" w:type="dxa"/>
            <w:noWrap w:val="0"/>
            <w:vAlign w:val="center"/>
          </w:tcPr>
          <w:p>
            <w:pPr>
              <w:spacing w:line="360" w:lineRule="auto"/>
              <w:jc w:val="center"/>
              <w:rPr>
                <w:rFonts w:ascii="Arial" w:hAnsi="Arial" w:cs="Arial"/>
                <w:sz w:val="24"/>
                <w:szCs w:val="24"/>
              </w:rPr>
            </w:pPr>
            <w:r>
              <w:rPr>
                <w:rFonts w:hint="eastAsia" w:ascii="Arial" w:hAnsi="Arial" w:cs="Arial"/>
                <w:sz w:val="24"/>
                <w:szCs w:val="24"/>
              </w:rPr>
              <w:t>序号</w:t>
            </w:r>
          </w:p>
        </w:tc>
        <w:tc>
          <w:tcPr>
            <w:tcW w:w="4106" w:type="dxa"/>
            <w:noWrap w:val="0"/>
            <w:vAlign w:val="center"/>
          </w:tcPr>
          <w:p>
            <w:pPr>
              <w:spacing w:line="360" w:lineRule="auto"/>
              <w:jc w:val="center"/>
              <w:rPr>
                <w:rFonts w:ascii="Arial" w:hAnsi="Arial" w:cs="Arial"/>
                <w:sz w:val="24"/>
                <w:szCs w:val="24"/>
              </w:rPr>
            </w:pPr>
            <w:r>
              <w:rPr>
                <w:rFonts w:hint="eastAsia" w:ascii="Arial" w:hAnsi="Arial" w:cs="Arial"/>
                <w:sz w:val="24"/>
                <w:szCs w:val="24"/>
              </w:rPr>
              <w:t>项目名称</w:t>
            </w:r>
          </w:p>
        </w:tc>
        <w:tc>
          <w:tcPr>
            <w:tcW w:w="2528" w:type="dxa"/>
            <w:noWrap w:val="0"/>
            <w:vAlign w:val="center"/>
          </w:tcPr>
          <w:p>
            <w:pPr>
              <w:widowControl/>
              <w:jc w:val="center"/>
              <w:rPr>
                <w:rFonts w:ascii="Arial" w:hAnsi="Arial" w:cs="Arial"/>
                <w:sz w:val="24"/>
                <w:szCs w:val="24"/>
              </w:rPr>
            </w:pPr>
            <w:r>
              <w:rPr>
                <w:rFonts w:hint="eastAsia" w:ascii="Arial" w:hAnsi="Arial" w:cs="Arial"/>
                <w:sz w:val="24"/>
                <w:szCs w:val="24"/>
              </w:rPr>
              <w:t>供货范围</w:t>
            </w:r>
          </w:p>
        </w:tc>
        <w:tc>
          <w:tcPr>
            <w:tcW w:w="948" w:type="dxa"/>
            <w:noWrap w:val="0"/>
            <w:vAlign w:val="center"/>
          </w:tcPr>
          <w:p>
            <w:pPr>
              <w:spacing w:line="360" w:lineRule="auto"/>
              <w:jc w:val="center"/>
              <w:rPr>
                <w:rFonts w:ascii="Arial" w:hAnsi="Arial" w:cs="Arial"/>
                <w:sz w:val="24"/>
                <w:szCs w:val="24"/>
              </w:rPr>
            </w:pPr>
            <w:r>
              <w:rPr>
                <w:rFonts w:hint="eastAsia" w:ascii="Arial" w:hAnsi="Arial"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1</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2</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3</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4</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5</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ascii="Arial" w:hAnsi="Arial" w:cs="Arial"/>
                <w:sz w:val="24"/>
                <w:szCs w:val="24"/>
              </w:rPr>
            </w:pPr>
            <w:r>
              <w:rPr>
                <w:rFonts w:ascii="Arial" w:hAnsi="Arial" w:cs="Arial"/>
                <w:sz w:val="24"/>
                <w:szCs w:val="24"/>
              </w:rPr>
              <w:t>……</w:t>
            </w:r>
          </w:p>
        </w:tc>
        <w:tc>
          <w:tcPr>
            <w:tcW w:w="4106" w:type="dxa"/>
            <w:noWrap w:val="0"/>
            <w:vAlign w:val="center"/>
          </w:tcPr>
          <w:p>
            <w:pPr>
              <w:spacing w:line="360" w:lineRule="auto"/>
              <w:rPr>
                <w:rFonts w:ascii="Arial" w:hAnsi="Arial" w:cs="Arial"/>
                <w:sz w:val="24"/>
                <w:szCs w:val="24"/>
              </w:rPr>
            </w:pPr>
          </w:p>
        </w:tc>
        <w:tc>
          <w:tcPr>
            <w:tcW w:w="2528" w:type="dxa"/>
            <w:noWrap w:val="0"/>
            <w:vAlign w:val="center"/>
          </w:tcPr>
          <w:p>
            <w:pPr>
              <w:spacing w:line="360" w:lineRule="auto"/>
              <w:rPr>
                <w:rFonts w:ascii="Arial" w:hAnsi="Arial" w:cs="Arial"/>
                <w:sz w:val="24"/>
                <w:szCs w:val="24"/>
              </w:rPr>
            </w:pPr>
          </w:p>
        </w:tc>
        <w:tc>
          <w:tcPr>
            <w:tcW w:w="948" w:type="dxa"/>
            <w:noWrap w:val="0"/>
            <w:vAlign w:val="center"/>
          </w:tcPr>
          <w:p>
            <w:pPr>
              <w:spacing w:line="360" w:lineRule="auto"/>
              <w:rPr>
                <w:rFonts w:ascii="Arial" w:hAnsi="Arial" w:cs="Arial"/>
                <w:sz w:val="24"/>
                <w:szCs w:val="24"/>
              </w:rPr>
            </w:pPr>
          </w:p>
        </w:tc>
      </w:tr>
    </w:tbl>
    <w:p>
      <w:pPr>
        <w:adjustRightInd w:val="0"/>
        <w:snapToGrid w:val="0"/>
        <w:spacing w:line="360" w:lineRule="auto"/>
        <w:rPr>
          <w:rFonts w:ascii="Arial" w:hAnsi="Arial" w:cs="Arial"/>
          <w:b/>
          <w:bCs/>
          <w:sz w:val="24"/>
          <w:szCs w:val="28"/>
        </w:rPr>
      </w:pPr>
    </w:p>
    <w:p>
      <w:pPr>
        <w:adjustRightInd w:val="0"/>
        <w:snapToGrid w:val="0"/>
        <w:spacing w:line="400" w:lineRule="exact"/>
        <w:rPr>
          <w:rFonts w:ascii="Arial" w:hAnsi="Arial" w:cs="Arial"/>
          <w:b/>
          <w:bCs/>
          <w:sz w:val="24"/>
          <w:szCs w:val="28"/>
        </w:rPr>
      </w:pPr>
      <w:r>
        <w:rPr>
          <w:rFonts w:hint="eastAsia" w:ascii="Arial" w:hAnsi="Arial" w:cs="Arial"/>
          <w:b/>
          <w:bCs/>
          <w:sz w:val="24"/>
          <w:szCs w:val="28"/>
        </w:rPr>
        <w:t>备注：</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表中所列业绩应为投标人满足招标文件要求的业绩；</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中标人提供的以上业绩情况，如招标文件《投标人须知前附表》有约定的，将按约定随评审结果公告。</w:t>
      </w:r>
    </w:p>
    <w:p>
      <w:pPr>
        <w:widowControl/>
        <w:jc w:val="left"/>
        <w:rPr>
          <w:rFonts w:ascii="Arial" w:hAnsi="Arial" w:cs="Arial"/>
          <w:sz w:val="24"/>
        </w:rPr>
      </w:pPr>
      <w:r>
        <w:rPr>
          <w:rFonts w:ascii="Arial" w:hAnsi="Arial" w:cs="Arial"/>
          <w:sz w:val="24"/>
        </w:rPr>
        <w:br w:type="page"/>
      </w:r>
    </w:p>
    <w:p>
      <w:pPr>
        <w:spacing w:line="360" w:lineRule="auto"/>
        <w:jc w:val="center"/>
        <w:outlineLvl w:val="2"/>
        <w:rPr>
          <w:rFonts w:ascii="Arial" w:hAnsi="Arial" w:cs="Arial"/>
          <w:b/>
          <w:sz w:val="24"/>
        </w:rPr>
      </w:pPr>
      <w:r>
        <w:rPr>
          <w:rFonts w:hint="eastAsia" w:ascii="Arial" w:hAnsi="Arial" w:cs="Arial"/>
          <w:b/>
          <w:sz w:val="24"/>
        </w:rPr>
        <w:t>十、联合体协议</w:t>
      </w:r>
    </w:p>
    <w:p>
      <w:pPr>
        <w:pStyle w:val="21"/>
        <w:spacing w:line="400" w:lineRule="exact"/>
        <w:rPr>
          <w:sz w:val="24"/>
        </w:rPr>
      </w:pPr>
      <w:r>
        <w:rPr>
          <w:rFonts w:hint="eastAsia"/>
          <w:b w:val="0"/>
          <w:i/>
          <w:sz w:val="24"/>
        </w:rPr>
        <w:t>（不允许联合体投标或未组成联合体投标，不需此件）</w:t>
      </w:r>
    </w:p>
    <w:p>
      <w:pPr>
        <w:spacing w:line="400" w:lineRule="exact"/>
        <w:ind w:firstLine="435"/>
        <w:rPr>
          <w:rFonts w:ascii="Arial" w:hAnsi="Arial" w:cs="Arial"/>
          <w:sz w:val="24"/>
          <w:u w:val="single"/>
        </w:rPr>
      </w:pPr>
      <w:r>
        <w:rPr>
          <w:rFonts w:hint="eastAsia" w:ascii="Arial" w:hAnsi="Arial" w:cs="Arial"/>
          <w:sz w:val="24"/>
        </w:rPr>
        <w:t>联合体成员一名称：</w:t>
      </w:r>
      <w:r>
        <w:rPr>
          <w:rFonts w:ascii="Arial" w:hAnsi="Arial" w:cs="Arial"/>
          <w:sz w:val="24"/>
          <w:u w:val="single"/>
        </w:rPr>
        <w:t xml:space="preserve">                    </w:t>
      </w:r>
      <w:r>
        <w:rPr>
          <w:rFonts w:hint="eastAsia" w:ascii="Arial" w:hAnsi="Arial" w:cs="Arial"/>
          <w:sz w:val="24"/>
        </w:rPr>
        <w:t>；</w:t>
      </w:r>
    </w:p>
    <w:p>
      <w:pPr>
        <w:spacing w:line="400" w:lineRule="exact"/>
        <w:ind w:firstLine="435"/>
        <w:rPr>
          <w:rFonts w:ascii="Arial" w:hAnsi="Arial" w:cs="Arial"/>
          <w:sz w:val="24"/>
          <w:u w:val="single"/>
        </w:rPr>
      </w:pPr>
      <w:r>
        <w:rPr>
          <w:rFonts w:hint="eastAsia" w:ascii="Arial" w:hAnsi="Arial" w:cs="Arial"/>
          <w:sz w:val="24"/>
        </w:rPr>
        <w:t>联合体成员二名称：</w:t>
      </w:r>
      <w:r>
        <w:rPr>
          <w:rFonts w:ascii="Arial" w:hAnsi="Arial" w:cs="Arial"/>
          <w:sz w:val="24"/>
          <w:u w:val="single"/>
        </w:rPr>
        <w:t xml:space="preserve">                    </w:t>
      </w:r>
      <w:r>
        <w:rPr>
          <w:rFonts w:hint="eastAsia" w:ascii="Arial" w:hAnsi="Arial" w:cs="Arial"/>
          <w:sz w:val="24"/>
        </w:rPr>
        <w:t>；</w:t>
      </w:r>
    </w:p>
    <w:p>
      <w:pPr>
        <w:spacing w:line="400" w:lineRule="exact"/>
        <w:ind w:firstLine="435"/>
        <w:rPr>
          <w:rFonts w:ascii="Arial" w:hAnsi="Arial" w:cs="Arial"/>
          <w:sz w:val="24"/>
          <w:u w:val="single"/>
        </w:rPr>
      </w:pPr>
      <w:r>
        <w:rPr>
          <w:rFonts w:ascii="Arial" w:hAnsi="Arial" w:cs="Arial"/>
          <w:sz w:val="24"/>
        </w:rPr>
        <w:t>……</w:t>
      </w:r>
    </w:p>
    <w:p>
      <w:pPr>
        <w:spacing w:line="400" w:lineRule="exact"/>
        <w:ind w:firstLine="435"/>
        <w:rPr>
          <w:rFonts w:ascii="Arial" w:hAnsi="Arial" w:cs="Arial"/>
          <w:sz w:val="24"/>
        </w:rPr>
      </w:pPr>
      <w:r>
        <w:rPr>
          <w:rFonts w:hint="eastAsia" w:ascii="Arial" w:hAnsi="Arial" w:cs="Arial"/>
          <w:sz w:val="24"/>
        </w:rPr>
        <w:t>上述各成员单位经过友好协商，自愿组成联合体，共同参加本项目的投标，现就联合体投标事宜订立如下协议：</w:t>
      </w:r>
    </w:p>
    <w:p>
      <w:pPr>
        <w:spacing w:line="400" w:lineRule="exact"/>
        <w:ind w:firstLine="435"/>
        <w:rPr>
          <w:rFonts w:ascii="Arial" w:hAnsi="Arial" w:cs="Arial"/>
          <w:sz w:val="24"/>
        </w:rPr>
      </w:pPr>
      <w:r>
        <w:rPr>
          <w:rFonts w:ascii="Arial" w:hAnsi="Arial" w:cs="Arial"/>
          <w:sz w:val="24"/>
        </w:rPr>
        <w:t>1.</w:t>
      </w:r>
      <w:r>
        <w:rPr>
          <w:rFonts w:ascii="Arial" w:hAnsi="Arial" w:cs="Arial"/>
          <w:sz w:val="24"/>
          <w:u w:val="single"/>
        </w:rPr>
        <w:t xml:space="preserve">                 </w:t>
      </w:r>
      <w:r>
        <w:rPr>
          <w:rFonts w:hint="eastAsia" w:ascii="Arial" w:hAnsi="Arial" w:cs="Arial"/>
          <w:sz w:val="24"/>
        </w:rPr>
        <w:t>（某成员单位名称）为联合体牵头人。</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400" w:lineRule="exact"/>
        <w:ind w:firstLine="435"/>
        <w:rPr>
          <w:rFonts w:ascii="Arial" w:hAnsi="Arial" w:cs="Arial"/>
          <w:sz w:val="24"/>
        </w:rPr>
      </w:pPr>
      <w:r>
        <w:rPr>
          <w:rFonts w:ascii="Arial" w:hAnsi="Arial" w:cs="Arial"/>
          <w:sz w:val="24"/>
        </w:rPr>
        <w:t>3.</w:t>
      </w:r>
      <w:r>
        <w:rPr>
          <w:rFonts w:hint="eastAsia" w:ascii="Arial" w:hAnsi="Arial" w:cs="Arial"/>
          <w:sz w:val="24"/>
        </w:rPr>
        <w:t>联合体各成员单位内部的职责分工及各方负责内容的合同金额占总合同金额的百分比如下：</w:t>
      </w:r>
    </w:p>
    <w:p>
      <w:pPr>
        <w:spacing w:line="400" w:lineRule="exact"/>
        <w:ind w:firstLine="435"/>
        <w:rPr>
          <w:rFonts w:ascii="Arial" w:hAnsi="Arial" w:cs="Arial"/>
          <w:sz w:val="24"/>
          <w:u w:val="single"/>
        </w:rPr>
      </w:pPr>
      <w:r>
        <w:rPr>
          <w:rFonts w:hint="eastAsia" w:ascii="Arial" w:hAnsi="Arial" w:cs="Arial"/>
          <w:sz w:val="24"/>
        </w:rPr>
        <w:t>联合体成员一名称：</w:t>
      </w:r>
      <w:r>
        <w:rPr>
          <w:rFonts w:ascii="Arial" w:hAnsi="Arial" w:cs="Arial"/>
          <w:sz w:val="24"/>
          <w:u w:val="single"/>
        </w:rPr>
        <w:t xml:space="preserve">              </w:t>
      </w:r>
      <w:r>
        <w:rPr>
          <w:rFonts w:hint="eastAsia" w:ascii="Arial" w:hAnsi="Arial" w:cs="Arial"/>
          <w:sz w:val="24"/>
        </w:rPr>
        <w:t>，承担工作，负责内容的合同金额占总合同金额的百分比：</w:t>
      </w:r>
      <w:r>
        <w:rPr>
          <w:rFonts w:ascii="Arial" w:hAnsi="Arial" w:cs="Arial"/>
          <w:sz w:val="24"/>
          <w:u w:val="single"/>
        </w:rPr>
        <w:t xml:space="preserve">      </w:t>
      </w:r>
      <w:r>
        <w:rPr>
          <w:rFonts w:ascii="Arial" w:hAnsi="Arial" w:cs="Arial"/>
          <w:sz w:val="24"/>
        </w:rPr>
        <w:t>%</w:t>
      </w:r>
      <w:r>
        <w:rPr>
          <w:rFonts w:hint="eastAsia" w:ascii="Arial" w:hAnsi="Arial" w:cs="Arial"/>
          <w:sz w:val="24"/>
        </w:rPr>
        <w:t>；</w:t>
      </w:r>
    </w:p>
    <w:p>
      <w:pPr>
        <w:spacing w:line="400" w:lineRule="exact"/>
        <w:ind w:firstLine="435"/>
        <w:rPr>
          <w:rFonts w:ascii="Arial" w:hAnsi="Arial" w:cs="Arial"/>
          <w:sz w:val="24"/>
          <w:u w:val="single"/>
        </w:rPr>
      </w:pPr>
      <w:r>
        <w:rPr>
          <w:rFonts w:hint="eastAsia" w:ascii="Arial" w:hAnsi="Arial" w:cs="Arial"/>
          <w:sz w:val="24"/>
        </w:rPr>
        <w:t>联合体成员二名称：</w:t>
      </w:r>
      <w:r>
        <w:rPr>
          <w:rFonts w:ascii="Arial" w:hAnsi="Arial" w:cs="Arial"/>
          <w:sz w:val="24"/>
          <w:u w:val="single"/>
        </w:rPr>
        <w:t xml:space="preserve">              </w:t>
      </w:r>
      <w:r>
        <w:rPr>
          <w:rFonts w:hint="eastAsia" w:ascii="Arial" w:hAnsi="Arial" w:cs="Arial"/>
          <w:sz w:val="24"/>
        </w:rPr>
        <w:t>，承担工作，负责内容的合同金额占总合同金额的百分比：</w:t>
      </w:r>
      <w:r>
        <w:rPr>
          <w:rFonts w:ascii="Arial" w:hAnsi="Arial" w:cs="Arial"/>
          <w:sz w:val="24"/>
          <w:u w:val="single"/>
        </w:rPr>
        <w:t xml:space="preserve">      </w:t>
      </w:r>
      <w:r>
        <w:rPr>
          <w:rFonts w:ascii="Arial" w:hAnsi="Arial" w:cs="Arial"/>
          <w:sz w:val="24"/>
        </w:rPr>
        <w:t>%</w:t>
      </w:r>
      <w:r>
        <w:rPr>
          <w:rFonts w:hint="eastAsia" w:ascii="Arial" w:hAnsi="Arial" w:cs="Arial"/>
          <w:sz w:val="24"/>
        </w:rPr>
        <w:t>；</w:t>
      </w:r>
    </w:p>
    <w:p>
      <w:pPr>
        <w:spacing w:line="400" w:lineRule="exact"/>
        <w:ind w:firstLine="435"/>
        <w:rPr>
          <w:rFonts w:ascii="Arial" w:hAnsi="Arial" w:cs="Arial"/>
          <w:sz w:val="24"/>
          <w:u w:val="single"/>
        </w:rPr>
      </w:pPr>
      <w:r>
        <w:rPr>
          <w:rFonts w:ascii="Arial" w:hAnsi="Arial" w:cs="Arial"/>
          <w:sz w:val="24"/>
        </w:rPr>
        <w:t>…………</w:t>
      </w:r>
    </w:p>
    <w:p>
      <w:pPr>
        <w:spacing w:line="400" w:lineRule="exact"/>
        <w:ind w:firstLine="435"/>
        <w:rPr>
          <w:rFonts w:ascii="Arial" w:hAnsi="Arial" w:cs="Arial"/>
          <w:sz w:val="24"/>
        </w:rPr>
      </w:pPr>
      <w:r>
        <w:rPr>
          <w:rFonts w:ascii="Arial" w:hAnsi="Arial" w:cs="Arial"/>
          <w:sz w:val="24"/>
        </w:rPr>
        <w:t>4</w:t>
      </w:r>
      <w:r>
        <w:rPr>
          <w:rFonts w:hint="eastAsia" w:ascii="Arial" w:hAnsi="Arial" w:cs="Arial"/>
          <w:sz w:val="24"/>
        </w:rPr>
        <w:t>．投标工作和联合体在中标后项目实施过程中的有关费用按各自承担的工作量分摊。</w:t>
      </w:r>
    </w:p>
    <w:p>
      <w:pPr>
        <w:spacing w:line="400" w:lineRule="exact"/>
        <w:ind w:firstLine="435"/>
        <w:rPr>
          <w:rFonts w:ascii="Arial" w:hAnsi="Arial" w:cs="Arial"/>
          <w:sz w:val="24"/>
        </w:rPr>
      </w:pPr>
      <w:r>
        <w:rPr>
          <w:rFonts w:ascii="Arial" w:hAnsi="Arial" w:cs="Arial"/>
          <w:sz w:val="24"/>
        </w:rPr>
        <w:t>5</w:t>
      </w:r>
      <w:r>
        <w:rPr>
          <w:rFonts w:hint="eastAsia" w:ascii="Arial" w:hAnsi="Arial" w:cs="Arial"/>
          <w:sz w:val="24"/>
        </w:rPr>
        <w:t>．联合体中标后，本联合体协议是合同的附件，对联合体各成员单位有合同约束力。</w:t>
      </w:r>
    </w:p>
    <w:p>
      <w:pPr>
        <w:spacing w:line="400" w:lineRule="exact"/>
        <w:ind w:firstLine="435"/>
        <w:rPr>
          <w:rFonts w:ascii="Arial" w:hAnsi="Arial" w:cs="Arial"/>
          <w:sz w:val="24"/>
        </w:rPr>
      </w:pPr>
      <w:r>
        <w:rPr>
          <w:rFonts w:ascii="Arial" w:hAnsi="Arial" w:cs="Arial"/>
          <w:sz w:val="24"/>
        </w:rPr>
        <w:t>6</w:t>
      </w:r>
      <w:r>
        <w:rPr>
          <w:rFonts w:hint="eastAsia" w:ascii="Arial" w:hAnsi="Arial" w:cs="Arial"/>
          <w:sz w:val="24"/>
        </w:rPr>
        <w:t>．本协议书自签署之日起生效，联合体未中标或者合同履行完毕后自动失效。</w:t>
      </w:r>
    </w:p>
    <w:p>
      <w:pPr>
        <w:spacing w:line="400" w:lineRule="exact"/>
        <w:ind w:firstLine="435"/>
        <w:rPr>
          <w:rFonts w:ascii="Arial" w:hAnsi="Arial" w:cs="Arial"/>
          <w:sz w:val="24"/>
        </w:rPr>
      </w:pPr>
      <w:r>
        <w:rPr>
          <w:rFonts w:hint="eastAsia" w:ascii="Arial" w:hAnsi="Arial" w:cs="Arial"/>
          <w:sz w:val="24"/>
        </w:rPr>
        <w:t>联合体成员一：</w:t>
      </w:r>
      <w:r>
        <w:rPr>
          <w:rFonts w:ascii="Arial" w:hAnsi="Arial" w:cs="Arial"/>
          <w:sz w:val="24"/>
          <w:u w:val="single"/>
        </w:rPr>
        <w:t xml:space="preserve">               </w:t>
      </w:r>
      <w:r>
        <w:rPr>
          <w:rFonts w:hint="eastAsia" w:ascii="Arial" w:hAnsi="Arial" w:cs="Arial"/>
          <w:sz w:val="24"/>
        </w:rPr>
        <w:t>（公章）</w:t>
      </w:r>
    </w:p>
    <w:p>
      <w:pPr>
        <w:spacing w:line="400" w:lineRule="exact"/>
        <w:ind w:firstLine="435"/>
        <w:rPr>
          <w:rFonts w:ascii="Arial" w:hAnsi="Arial" w:cs="Arial"/>
          <w:sz w:val="24"/>
        </w:rPr>
      </w:pPr>
      <w:r>
        <w:rPr>
          <w:rFonts w:hint="eastAsia" w:ascii="Arial" w:hAnsi="Arial" w:cs="Arial"/>
          <w:sz w:val="24"/>
        </w:rPr>
        <w:t>法定代表人：</w:t>
      </w:r>
      <w:r>
        <w:rPr>
          <w:rFonts w:ascii="Arial" w:hAnsi="Arial" w:cs="Arial"/>
          <w:sz w:val="24"/>
          <w:u w:val="single"/>
        </w:rPr>
        <w:t xml:space="preserve">                 </w:t>
      </w:r>
      <w:r>
        <w:rPr>
          <w:rFonts w:hint="eastAsia" w:ascii="Arial" w:hAnsi="Arial" w:cs="Arial"/>
          <w:sz w:val="24"/>
        </w:rPr>
        <w:t>（签字或盖章）</w:t>
      </w:r>
    </w:p>
    <w:p>
      <w:pPr>
        <w:spacing w:line="400" w:lineRule="exact"/>
        <w:ind w:firstLine="435"/>
        <w:rPr>
          <w:rFonts w:ascii="Arial" w:hAnsi="Arial" w:cs="Arial"/>
          <w:sz w:val="24"/>
        </w:rPr>
      </w:pPr>
      <w:r>
        <w:rPr>
          <w:rFonts w:hint="eastAsia" w:ascii="Arial" w:hAnsi="Arial" w:cs="Arial"/>
          <w:sz w:val="24"/>
        </w:rPr>
        <w:t>联合体成员二：</w:t>
      </w:r>
      <w:r>
        <w:rPr>
          <w:rFonts w:ascii="Arial" w:hAnsi="Arial" w:cs="Arial"/>
          <w:sz w:val="24"/>
          <w:u w:val="single"/>
        </w:rPr>
        <w:t xml:space="preserve">               </w:t>
      </w:r>
      <w:r>
        <w:rPr>
          <w:rFonts w:hint="eastAsia" w:ascii="Arial" w:hAnsi="Arial" w:cs="Arial"/>
          <w:sz w:val="24"/>
        </w:rPr>
        <w:t>（公章）</w:t>
      </w:r>
    </w:p>
    <w:p>
      <w:pPr>
        <w:spacing w:line="400" w:lineRule="exact"/>
        <w:ind w:firstLine="435"/>
        <w:rPr>
          <w:rFonts w:ascii="Arial" w:hAnsi="Arial" w:cs="Arial"/>
          <w:sz w:val="24"/>
        </w:rPr>
      </w:pPr>
      <w:r>
        <w:rPr>
          <w:rFonts w:hint="eastAsia" w:ascii="Arial" w:hAnsi="Arial" w:cs="Arial"/>
          <w:sz w:val="24"/>
        </w:rPr>
        <w:t>法定代表人：</w:t>
      </w:r>
      <w:r>
        <w:rPr>
          <w:rFonts w:ascii="Arial" w:hAnsi="Arial" w:cs="Arial"/>
          <w:sz w:val="24"/>
          <w:u w:val="single"/>
        </w:rPr>
        <w:t xml:space="preserve">                 </w:t>
      </w:r>
      <w:r>
        <w:rPr>
          <w:rFonts w:hint="eastAsia" w:ascii="Arial" w:hAnsi="Arial" w:cs="Arial"/>
          <w:sz w:val="24"/>
        </w:rPr>
        <w:t>（签字或盖章）</w:t>
      </w:r>
    </w:p>
    <w:p>
      <w:pPr>
        <w:spacing w:line="400" w:lineRule="exact"/>
        <w:ind w:firstLine="435"/>
        <w:rPr>
          <w:rFonts w:ascii="Arial" w:hAnsi="Arial" w:cs="Arial"/>
          <w:sz w:val="24"/>
        </w:rPr>
      </w:pPr>
      <w:r>
        <w:rPr>
          <w:rFonts w:ascii="Arial" w:hAnsi="Arial" w:cs="Arial"/>
          <w:sz w:val="24"/>
        </w:rPr>
        <w:t>…………</w:t>
      </w:r>
    </w:p>
    <w:p>
      <w:pPr>
        <w:pStyle w:val="21"/>
        <w:spacing w:line="400" w:lineRule="exact"/>
        <w:rPr>
          <w:sz w:val="24"/>
        </w:rPr>
      </w:pPr>
    </w:p>
    <w:p>
      <w:pPr>
        <w:spacing w:line="400" w:lineRule="exact"/>
        <w:ind w:right="480" w:firstLine="4680" w:firstLineChars="1950"/>
        <w:rPr>
          <w:rFonts w:ascii="Arial" w:hAnsi="Arial" w:cs="Arial"/>
          <w:sz w:val="24"/>
        </w:rPr>
      </w:pPr>
      <w:r>
        <w:rPr>
          <w:rFonts w:hint="eastAsia" w:ascii="Arial" w:hAnsi="Arial" w:cs="Arial"/>
          <w:sz w:val="24"/>
        </w:rPr>
        <w:t>签订日期</w:t>
      </w:r>
      <w:r>
        <w:rPr>
          <w:rFonts w:ascii="Arial" w:hAnsi="Arial" w:cs="Arial"/>
          <w:sz w:val="24"/>
        </w:rPr>
        <w:t>:</w:t>
      </w:r>
      <w:r>
        <w:rPr>
          <w:rFonts w:ascii="Arial" w:hAnsi="Arial" w:cs="Arial"/>
          <w:sz w:val="24"/>
          <w:u w:val="single"/>
        </w:rPr>
        <w:t xml:space="preserve">      </w:t>
      </w:r>
      <w:r>
        <w:rPr>
          <w:rFonts w:hint="eastAsia" w:ascii="Arial" w:hAnsi="Arial" w:cs="Arial"/>
          <w:sz w:val="24"/>
        </w:rPr>
        <w:t>年</w:t>
      </w:r>
      <w:r>
        <w:rPr>
          <w:rFonts w:ascii="Arial" w:hAnsi="Arial" w:cs="Arial"/>
          <w:sz w:val="24"/>
          <w:u w:val="single"/>
        </w:rPr>
        <w:t xml:space="preserve">      </w:t>
      </w:r>
      <w:r>
        <w:rPr>
          <w:rFonts w:hint="eastAsia" w:ascii="Arial" w:hAnsi="Arial" w:cs="Arial"/>
          <w:sz w:val="24"/>
        </w:rPr>
        <w:t>月</w:t>
      </w:r>
      <w:r>
        <w:rPr>
          <w:rFonts w:ascii="Arial" w:hAnsi="Arial" w:cs="Arial"/>
          <w:sz w:val="24"/>
          <w:u w:val="single"/>
        </w:rPr>
        <w:t xml:space="preserve">      </w:t>
      </w:r>
      <w:r>
        <w:rPr>
          <w:rFonts w:hint="eastAsia" w:ascii="Arial" w:hAnsi="Arial" w:cs="Arial"/>
          <w:sz w:val="24"/>
        </w:rPr>
        <w:t>日</w:t>
      </w:r>
    </w:p>
    <w:p>
      <w:pPr>
        <w:spacing w:line="400" w:lineRule="exact"/>
        <w:ind w:right="480" w:firstLine="5460" w:firstLineChars="1950"/>
        <w:rPr>
          <w:rFonts w:ascii="Arial" w:hAnsi="Arial" w:cs="Arial"/>
          <w:sz w:val="28"/>
        </w:rPr>
      </w:pPr>
    </w:p>
    <w:p>
      <w:pPr>
        <w:widowControl/>
        <w:spacing w:line="400" w:lineRule="exact"/>
        <w:jc w:val="left"/>
        <w:rPr>
          <w:rFonts w:ascii="Arial" w:hAnsi="Arial" w:cs="Arial"/>
          <w:sz w:val="24"/>
        </w:rPr>
      </w:pPr>
      <w:r>
        <w:rPr>
          <w:rFonts w:ascii="Arial" w:hAnsi="Arial" w:cs="Arial"/>
          <w:sz w:val="24"/>
        </w:rPr>
        <w:br w:type="page"/>
      </w:r>
    </w:p>
    <w:p>
      <w:pPr>
        <w:spacing w:line="360" w:lineRule="auto"/>
        <w:jc w:val="center"/>
        <w:outlineLvl w:val="2"/>
        <w:rPr>
          <w:rFonts w:ascii="Arial" w:hAnsi="Arial" w:cs="Arial"/>
          <w:b/>
          <w:sz w:val="24"/>
        </w:rPr>
      </w:pPr>
      <w:bookmarkStart w:id="41" w:name="_Hlk11531103"/>
      <w:r>
        <w:rPr>
          <w:rFonts w:hint="eastAsia" w:ascii="Arial" w:hAnsi="Arial" w:cs="Arial"/>
          <w:b/>
          <w:sz w:val="24"/>
        </w:rPr>
        <w:t>十一、主要中标标的承诺函</w:t>
      </w:r>
    </w:p>
    <w:p>
      <w:pPr>
        <w:spacing w:line="360" w:lineRule="auto"/>
        <w:ind w:firstLine="435"/>
        <w:rPr>
          <w:rFonts w:ascii="Arial" w:hAnsi="Arial" w:cs="Arial"/>
          <w:sz w:val="24"/>
          <w:szCs w:val="24"/>
        </w:rPr>
      </w:pPr>
    </w:p>
    <w:p>
      <w:pPr>
        <w:spacing w:line="400" w:lineRule="exact"/>
        <w:ind w:firstLine="435"/>
        <w:rPr>
          <w:rFonts w:ascii="Arial" w:hAnsi="Arial" w:cs="Arial"/>
          <w:sz w:val="24"/>
          <w:szCs w:val="24"/>
        </w:rPr>
      </w:pPr>
      <w:r>
        <w:rPr>
          <w:rFonts w:hint="eastAsia" w:ascii="Arial" w:hAnsi="Arial" w:cs="Arial"/>
          <w:sz w:val="24"/>
          <w:szCs w:val="24"/>
        </w:rPr>
        <w:t>我单位</w:t>
      </w:r>
      <w:r>
        <w:rPr>
          <w:rFonts w:hint="eastAsia" w:ascii="Arial" w:hAnsi="Arial" w:cs="Arial"/>
          <w:sz w:val="24"/>
        </w:rPr>
        <w:t>同意中标</w:t>
      </w:r>
      <w:r>
        <w:rPr>
          <w:rFonts w:hint="eastAsia" w:ascii="Arial" w:hAnsi="Arial" w:cs="Arial"/>
          <w:sz w:val="24"/>
          <w:szCs w:val="24"/>
        </w:rPr>
        <w:t>公告中公示以下主要中标标的并承诺：投标文件中所提供的主要中标标的均真实有效。若被发现存在任何虚假、隐瞒情况，我单位承担由此产生的一切后果。</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03"/>
        <w:gridCol w:w="2633"/>
        <w:gridCol w:w="1560"/>
        <w:gridCol w:w="149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8" w:type="dxa"/>
            <w:noWrap w:val="0"/>
            <w:vAlign w:val="center"/>
          </w:tcPr>
          <w:p>
            <w:pPr>
              <w:widowControl/>
              <w:jc w:val="center"/>
              <w:rPr>
                <w:rFonts w:ascii="Arial" w:hAnsi="Arial" w:cs="Arial"/>
                <w:sz w:val="24"/>
                <w:szCs w:val="24"/>
              </w:rPr>
            </w:pPr>
            <w:r>
              <w:rPr>
                <w:rFonts w:hint="eastAsia" w:ascii="Arial" w:hAnsi="Arial" w:cs="Arial"/>
                <w:sz w:val="24"/>
                <w:szCs w:val="24"/>
              </w:rPr>
              <w:t>序号</w:t>
            </w:r>
          </w:p>
        </w:tc>
        <w:tc>
          <w:tcPr>
            <w:tcW w:w="1303" w:type="dxa"/>
            <w:noWrap w:val="0"/>
            <w:vAlign w:val="center"/>
          </w:tcPr>
          <w:p>
            <w:pPr>
              <w:widowControl/>
              <w:jc w:val="center"/>
              <w:rPr>
                <w:rFonts w:ascii="Arial" w:hAnsi="Arial" w:cs="Arial"/>
                <w:sz w:val="24"/>
                <w:szCs w:val="24"/>
              </w:rPr>
            </w:pPr>
            <w:r>
              <w:rPr>
                <w:rFonts w:hint="eastAsia" w:ascii="Arial" w:hAnsi="Arial" w:cs="Arial"/>
                <w:sz w:val="24"/>
                <w:szCs w:val="24"/>
              </w:rPr>
              <w:t>货物名称</w:t>
            </w:r>
          </w:p>
        </w:tc>
        <w:tc>
          <w:tcPr>
            <w:tcW w:w="2633" w:type="dxa"/>
            <w:noWrap w:val="0"/>
            <w:vAlign w:val="center"/>
          </w:tcPr>
          <w:p>
            <w:pPr>
              <w:widowControl/>
              <w:jc w:val="center"/>
              <w:rPr>
                <w:rFonts w:ascii="Arial" w:hAnsi="Arial" w:cs="Arial"/>
                <w:sz w:val="24"/>
                <w:szCs w:val="24"/>
              </w:rPr>
            </w:pPr>
            <w:r>
              <w:rPr>
                <w:rFonts w:hint="eastAsia" w:ascii="Arial" w:hAnsi="Arial" w:cs="Arial"/>
                <w:sz w:val="24"/>
                <w:szCs w:val="24"/>
              </w:rPr>
              <w:t>品牌及规格型号</w:t>
            </w:r>
          </w:p>
        </w:tc>
        <w:tc>
          <w:tcPr>
            <w:tcW w:w="1560" w:type="dxa"/>
            <w:noWrap w:val="0"/>
            <w:vAlign w:val="center"/>
          </w:tcPr>
          <w:p>
            <w:pPr>
              <w:widowControl/>
              <w:jc w:val="center"/>
              <w:rPr>
                <w:rFonts w:ascii="Arial" w:hAnsi="Arial" w:cs="Arial"/>
                <w:sz w:val="24"/>
                <w:szCs w:val="24"/>
              </w:rPr>
            </w:pPr>
            <w:r>
              <w:rPr>
                <w:rFonts w:hint="eastAsia" w:ascii="Arial" w:hAnsi="Arial" w:cs="Arial"/>
                <w:sz w:val="24"/>
                <w:szCs w:val="24"/>
              </w:rPr>
              <w:t>数量</w:t>
            </w:r>
          </w:p>
        </w:tc>
        <w:tc>
          <w:tcPr>
            <w:tcW w:w="1490" w:type="dxa"/>
            <w:noWrap w:val="0"/>
            <w:vAlign w:val="center"/>
          </w:tcPr>
          <w:p>
            <w:pPr>
              <w:widowControl/>
              <w:jc w:val="center"/>
              <w:rPr>
                <w:rFonts w:ascii="Arial" w:hAnsi="Arial" w:cs="Arial"/>
                <w:sz w:val="24"/>
                <w:szCs w:val="24"/>
              </w:rPr>
            </w:pPr>
            <w:r>
              <w:rPr>
                <w:rFonts w:hint="eastAsia" w:ascii="Arial" w:hAnsi="Arial" w:cs="Arial"/>
                <w:sz w:val="24"/>
                <w:szCs w:val="24"/>
              </w:rPr>
              <w:t>单价</w:t>
            </w:r>
          </w:p>
        </w:tc>
        <w:tc>
          <w:tcPr>
            <w:tcW w:w="828" w:type="dxa"/>
            <w:noWrap w:val="0"/>
            <w:vAlign w:val="center"/>
          </w:tcPr>
          <w:p>
            <w:pPr>
              <w:widowControl/>
              <w:jc w:val="center"/>
              <w:rPr>
                <w:rFonts w:ascii="Arial" w:hAnsi="Arial" w:cs="Arial"/>
                <w:sz w:val="24"/>
                <w:szCs w:val="24"/>
              </w:rPr>
            </w:pPr>
            <w:r>
              <w:rPr>
                <w:rFonts w:hint="eastAsia" w:ascii="Arial" w:hAnsi="Arial"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1</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2</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3</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4</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5</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ascii="Arial" w:hAnsi="Arial" w:cs="Arial"/>
                <w:sz w:val="24"/>
                <w:szCs w:val="24"/>
              </w:rPr>
            </w:pPr>
            <w:r>
              <w:rPr>
                <w:rFonts w:ascii="Arial" w:hAnsi="Arial" w:cs="Arial"/>
                <w:sz w:val="24"/>
                <w:szCs w:val="24"/>
              </w:rPr>
              <w:t>……</w:t>
            </w:r>
          </w:p>
        </w:tc>
        <w:tc>
          <w:tcPr>
            <w:tcW w:w="1303" w:type="dxa"/>
            <w:noWrap w:val="0"/>
            <w:vAlign w:val="center"/>
          </w:tcPr>
          <w:p>
            <w:pPr>
              <w:spacing w:line="360" w:lineRule="auto"/>
              <w:rPr>
                <w:rFonts w:ascii="Arial" w:hAnsi="Arial" w:cs="Arial"/>
                <w:sz w:val="24"/>
                <w:szCs w:val="24"/>
              </w:rPr>
            </w:pPr>
          </w:p>
        </w:tc>
        <w:tc>
          <w:tcPr>
            <w:tcW w:w="2633" w:type="dxa"/>
            <w:noWrap w:val="0"/>
            <w:vAlign w:val="center"/>
          </w:tcPr>
          <w:p>
            <w:pPr>
              <w:spacing w:line="360" w:lineRule="auto"/>
              <w:rPr>
                <w:rFonts w:ascii="Arial" w:hAnsi="Arial" w:cs="Arial"/>
                <w:sz w:val="24"/>
                <w:szCs w:val="24"/>
              </w:rPr>
            </w:pPr>
          </w:p>
        </w:tc>
        <w:tc>
          <w:tcPr>
            <w:tcW w:w="1560" w:type="dxa"/>
            <w:noWrap w:val="0"/>
            <w:vAlign w:val="center"/>
          </w:tcPr>
          <w:p>
            <w:pPr>
              <w:spacing w:line="360" w:lineRule="auto"/>
              <w:rPr>
                <w:rFonts w:ascii="Arial" w:hAnsi="Arial" w:cs="Arial"/>
                <w:sz w:val="24"/>
                <w:szCs w:val="24"/>
              </w:rPr>
            </w:pPr>
          </w:p>
        </w:tc>
        <w:tc>
          <w:tcPr>
            <w:tcW w:w="1490" w:type="dxa"/>
            <w:noWrap w:val="0"/>
            <w:vAlign w:val="center"/>
          </w:tcPr>
          <w:p>
            <w:pPr>
              <w:spacing w:line="360" w:lineRule="auto"/>
              <w:rPr>
                <w:rFonts w:ascii="Arial" w:hAnsi="Arial" w:cs="Arial"/>
                <w:sz w:val="24"/>
                <w:szCs w:val="24"/>
              </w:rPr>
            </w:pPr>
          </w:p>
        </w:tc>
        <w:tc>
          <w:tcPr>
            <w:tcW w:w="828" w:type="dxa"/>
            <w:noWrap w:val="0"/>
            <w:vAlign w:val="center"/>
          </w:tcPr>
          <w:p>
            <w:pPr>
              <w:spacing w:line="360" w:lineRule="auto"/>
              <w:rPr>
                <w:rFonts w:ascii="Arial" w:hAnsi="Arial" w:cs="Arial"/>
                <w:sz w:val="24"/>
                <w:szCs w:val="24"/>
              </w:rPr>
            </w:pPr>
          </w:p>
        </w:tc>
      </w:tr>
    </w:tbl>
    <w:p>
      <w:pPr>
        <w:spacing w:line="360" w:lineRule="auto"/>
        <w:ind w:firstLine="4245" w:firstLineChars="1762"/>
        <w:rPr>
          <w:rFonts w:ascii="Arial" w:hAnsi="Arial" w:cs="Arial"/>
          <w:b/>
          <w:sz w:val="24"/>
        </w:rPr>
      </w:pPr>
    </w:p>
    <w:p>
      <w:pPr>
        <w:spacing w:line="400" w:lineRule="exact"/>
        <w:ind w:firstLine="4228" w:firstLineChars="1762"/>
        <w:rPr>
          <w:rFonts w:ascii="Arial" w:hAnsi="Arial" w:cs="Arial"/>
          <w:sz w:val="24"/>
          <w:u w:val="single"/>
        </w:rPr>
      </w:pPr>
      <w:r>
        <w:rPr>
          <w:rFonts w:hint="eastAsia" w:ascii="Arial" w:hAnsi="Arial" w:cs="Arial"/>
          <w:sz w:val="24"/>
        </w:rPr>
        <w:t>投标人公章：</w:t>
      </w:r>
      <w:r>
        <w:rPr>
          <w:rFonts w:ascii="Arial" w:hAnsi="Arial" w:cs="Arial"/>
          <w:sz w:val="24"/>
          <w:u w:val="single"/>
        </w:rPr>
        <w:t xml:space="preserve">                 </w:t>
      </w:r>
    </w:p>
    <w:p>
      <w:pPr>
        <w:tabs>
          <w:tab w:val="left" w:pos="630"/>
        </w:tabs>
        <w:spacing w:line="400" w:lineRule="exact"/>
        <w:ind w:firstLine="4228" w:firstLineChars="1762"/>
        <w:rPr>
          <w:rFonts w:ascii="Arial" w:hAnsi="Arial" w:cs="Arial"/>
          <w:sz w:val="24"/>
          <w:u w:val="single"/>
        </w:rPr>
      </w:pPr>
      <w:r>
        <w:rPr>
          <w:rFonts w:hint="eastAsia" w:ascii="Arial" w:hAnsi="Arial" w:cs="Arial"/>
          <w:sz w:val="24"/>
        </w:rPr>
        <w:t>日</w:t>
      </w:r>
      <w:r>
        <w:rPr>
          <w:rFonts w:ascii="Arial" w:hAnsi="Arial" w:cs="Arial"/>
          <w:sz w:val="24"/>
        </w:rPr>
        <w:t xml:space="preserve">      </w:t>
      </w:r>
      <w:r>
        <w:rPr>
          <w:rFonts w:hint="eastAsia" w:ascii="Arial" w:hAnsi="Arial" w:cs="Arial"/>
          <w:sz w:val="24"/>
        </w:rPr>
        <w:t>期：</w:t>
      </w:r>
      <w:r>
        <w:rPr>
          <w:rFonts w:ascii="Arial" w:hAnsi="Arial" w:cs="Arial"/>
          <w:sz w:val="24"/>
          <w:u w:val="single"/>
        </w:rPr>
        <w:t xml:space="preserve">                 </w:t>
      </w:r>
    </w:p>
    <w:p>
      <w:pPr>
        <w:adjustRightInd w:val="0"/>
        <w:snapToGrid w:val="0"/>
        <w:spacing w:line="400" w:lineRule="exact"/>
        <w:rPr>
          <w:rFonts w:ascii="Arial" w:hAnsi="Arial" w:cs="Arial"/>
          <w:b/>
          <w:bCs/>
          <w:sz w:val="24"/>
          <w:szCs w:val="24"/>
        </w:rPr>
      </w:pPr>
    </w:p>
    <w:p>
      <w:pPr>
        <w:adjustRightInd w:val="0"/>
        <w:snapToGrid w:val="0"/>
        <w:spacing w:line="400" w:lineRule="exact"/>
        <w:rPr>
          <w:rFonts w:ascii="Arial" w:hAnsi="Arial" w:cs="Arial"/>
          <w:b/>
          <w:bCs/>
          <w:sz w:val="24"/>
          <w:szCs w:val="24"/>
        </w:rPr>
      </w:pPr>
      <w:r>
        <w:rPr>
          <w:rFonts w:hint="eastAsia" w:ascii="Arial" w:hAnsi="Arial" w:cs="Arial"/>
          <w:b/>
          <w:bCs/>
          <w:sz w:val="24"/>
          <w:szCs w:val="24"/>
        </w:rPr>
        <w:t>备注：</w:t>
      </w:r>
    </w:p>
    <w:p>
      <w:pPr>
        <w:spacing w:line="400" w:lineRule="exact"/>
        <w:ind w:firstLine="435"/>
        <w:rPr>
          <w:rFonts w:ascii="Arial" w:hAnsi="Arial" w:cs="Arial"/>
          <w:bCs/>
          <w:sz w:val="24"/>
          <w:szCs w:val="24"/>
        </w:rPr>
      </w:pPr>
      <w:r>
        <w:rPr>
          <w:rFonts w:ascii="Arial" w:hAnsi="Arial" w:cs="Arial"/>
          <w:bCs/>
          <w:sz w:val="24"/>
          <w:szCs w:val="24"/>
        </w:rPr>
        <w:t>1.</w:t>
      </w:r>
      <w:r>
        <w:rPr>
          <w:rFonts w:hint="eastAsia" w:ascii="Arial" w:hAnsi="Arial" w:cs="Arial"/>
          <w:sz w:val="24"/>
          <w:szCs w:val="24"/>
        </w:rPr>
        <w:t>表中所列内容为满足本项目要求的</w:t>
      </w:r>
      <w:r>
        <w:rPr>
          <w:rFonts w:hint="eastAsia" w:ascii="Arial" w:hAnsi="Arial" w:cs="Arial"/>
          <w:bCs/>
          <w:sz w:val="24"/>
          <w:szCs w:val="24"/>
        </w:rPr>
        <w:t>主要中标标的；</w:t>
      </w:r>
    </w:p>
    <w:p>
      <w:pPr>
        <w:spacing w:line="400" w:lineRule="exact"/>
        <w:ind w:firstLine="435"/>
        <w:rPr>
          <w:rFonts w:ascii="Arial" w:hAnsi="Arial" w:cs="Arial"/>
          <w:sz w:val="24"/>
          <w:szCs w:val="24"/>
        </w:rPr>
      </w:pPr>
      <w:r>
        <w:rPr>
          <w:rFonts w:ascii="Arial" w:hAnsi="Arial" w:cs="Arial"/>
          <w:bCs/>
          <w:sz w:val="24"/>
          <w:szCs w:val="24"/>
        </w:rPr>
        <w:t>2.</w:t>
      </w:r>
      <w:r>
        <w:rPr>
          <w:rFonts w:hint="eastAsia" w:ascii="Arial" w:hAnsi="Arial" w:cs="Arial"/>
          <w:sz w:val="24"/>
          <w:szCs w:val="24"/>
        </w:rPr>
        <w:t>中标人提供的以上承诺情况（含货物名称、品牌、规格、型号、数量、单价），将按约定随</w:t>
      </w:r>
      <w:r>
        <w:rPr>
          <w:rFonts w:hint="eastAsia" w:ascii="Arial" w:hAnsi="Arial" w:cs="Arial"/>
          <w:sz w:val="24"/>
        </w:rPr>
        <w:t>中标</w:t>
      </w:r>
      <w:r>
        <w:rPr>
          <w:rFonts w:hint="eastAsia" w:ascii="Arial" w:hAnsi="Arial" w:cs="Arial"/>
          <w:sz w:val="24"/>
          <w:szCs w:val="24"/>
        </w:rPr>
        <w:t>公告同时公告。</w:t>
      </w:r>
    </w:p>
    <w:p>
      <w:pPr>
        <w:spacing w:line="400" w:lineRule="exact"/>
        <w:ind w:firstLine="435"/>
        <w:rPr>
          <w:rFonts w:ascii="Arial" w:hAnsi="Arial" w:cs="Arial"/>
          <w:bCs/>
          <w:sz w:val="24"/>
          <w:szCs w:val="24"/>
        </w:rPr>
      </w:pPr>
      <w:r>
        <w:rPr>
          <w:rFonts w:ascii="Arial" w:hAnsi="Arial" w:cs="Arial"/>
          <w:sz w:val="24"/>
          <w:szCs w:val="24"/>
        </w:rPr>
        <w:t>3.</w:t>
      </w:r>
      <w:r>
        <w:rPr>
          <w:rFonts w:hint="eastAsia" w:ascii="Arial" w:hAnsi="Arial" w:cs="Arial"/>
          <w:bCs/>
          <w:sz w:val="24"/>
          <w:szCs w:val="24"/>
        </w:rPr>
        <w:t>本页</w:t>
      </w:r>
      <w:r>
        <w:rPr>
          <w:rFonts w:hint="eastAsia" w:ascii="Arial" w:hAnsi="Arial" w:cs="Arial"/>
          <w:sz w:val="24"/>
        </w:rPr>
        <w:t>《主要中标标的承诺函》</w:t>
      </w:r>
      <w:r>
        <w:rPr>
          <w:rFonts w:hint="eastAsia" w:ascii="Arial" w:hAnsi="Arial" w:cs="Arial"/>
          <w:bCs/>
          <w:sz w:val="24"/>
          <w:szCs w:val="24"/>
        </w:rPr>
        <w:t>由投标人准确填写。</w:t>
      </w:r>
    </w:p>
    <w:bookmarkEnd w:id="41"/>
    <w:p>
      <w:pPr>
        <w:widowControl/>
        <w:jc w:val="left"/>
        <w:rPr>
          <w:rFonts w:ascii="Arial" w:hAnsi="Arial" w:cs="Arial"/>
          <w:sz w:val="24"/>
        </w:rPr>
      </w:pPr>
      <w:r>
        <w:rPr>
          <w:rFonts w:ascii="Arial" w:hAnsi="Arial" w:cs="Arial"/>
          <w:sz w:val="24"/>
        </w:rPr>
        <w:br w:type="page"/>
      </w:r>
    </w:p>
    <w:p>
      <w:pPr>
        <w:spacing w:line="360" w:lineRule="auto"/>
        <w:jc w:val="center"/>
        <w:outlineLvl w:val="2"/>
        <w:rPr>
          <w:rFonts w:ascii="Arial" w:hAnsi="Arial" w:cs="Arial"/>
          <w:b/>
          <w:sz w:val="24"/>
        </w:rPr>
      </w:pPr>
      <w:r>
        <w:rPr>
          <w:rFonts w:hint="eastAsia" w:ascii="Arial" w:hAnsi="Arial" w:cs="Arial"/>
          <w:b/>
          <w:sz w:val="24"/>
        </w:rPr>
        <w:t>十二、中小企业声明函</w:t>
      </w:r>
    </w:p>
    <w:p>
      <w:pPr>
        <w:spacing w:line="400" w:lineRule="exact"/>
        <w:jc w:val="center"/>
        <w:rPr>
          <w:rFonts w:ascii="Arial" w:hAnsi="Arial" w:cs="Arial"/>
          <w:i/>
          <w:sz w:val="24"/>
          <w:szCs w:val="24"/>
          <w:lang w:val="zh-CN"/>
        </w:rPr>
      </w:pPr>
      <w:r>
        <w:rPr>
          <w:rFonts w:ascii="Arial" w:hAnsi="Arial" w:cs="Arial"/>
          <w:i/>
          <w:sz w:val="24"/>
          <w:szCs w:val="24"/>
          <w:lang w:val="zh-CN"/>
        </w:rPr>
        <w:t>（非中小企业投标，不需此件）</w:t>
      </w:r>
    </w:p>
    <w:p>
      <w:pPr>
        <w:spacing w:line="400" w:lineRule="exact"/>
        <w:jc w:val="center"/>
        <w:rPr>
          <w:rFonts w:ascii="Arial" w:hAnsi="Arial" w:cs="Arial"/>
          <w:i/>
          <w:sz w:val="24"/>
          <w:szCs w:val="24"/>
          <w:lang w:val="zh-CN"/>
        </w:rPr>
      </w:pPr>
      <w:r>
        <w:rPr>
          <w:rFonts w:ascii="Arial" w:hAnsi="Arial" w:cs="Arial"/>
          <w:b/>
          <w:i/>
          <w:sz w:val="24"/>
        </w:rPr>
        <w:t>(联合体参加</w:t>
      </w:r>
      <w:r>
        <w:rPr>
          <w:rFonts w:hint="eastAsia" w:ascii="Arial" w:hAnsi="Arial" w:cs="Arial"/>
          <w:b/>
          <w:i/>
          <w:sz w:val="24"/>
        </w:rPr>
        <w:t>投标</w:t>
      </w:r>
      <w:r>
        <w:rPr>
          <w:rFonts w:ascii="Arial" w:hAnsi="Arial" w:cs="Arial"/>
          <w:b/>
          <w:i/>
          <w:sz w:val="24"/>
        </w:rPr>
        <w:t>的，联合体双方均须提供）</w:t>
      </w:r>
    </w:p>
    <w:p>
      <w:pPr>
        <w:spacing w:line="400" w:lineRule="exact"/>
        <w:rPr>
          <w:rFonts w:ascii="Arial" w:hAnsi="Arial" w:cs="Arial"/>
          <w:sz w:val="24"/>
          <w:szCs w:val="24"/>
        </w:rPr>
      </w:pPr>
    </w:p>
    <w:p>
      <w:pPr>
        <w:spacing w:line="360" w:lineRule="auto"/>
        <w:ind w:firstLine="435"/>
        <w:rPr>
          <w:rFonts w:ascii="宋体" w:hAnsi="宋体"/>
          <w:sz w:val="24"/>
          <w:szCs w:val="24"/>
          <w:lang w:val="zh-CN"/>
        </w:rPr>
      </w:pPr>
      <w:r>
        <w:rPr>
          <w:rFonts w:hint="eastAsia" w:ascii="宋体" w:hAnsi="宋体"/>
          <w:sz w:val="24"/>
          <w:szCs w:val="24"/>
          <w:lang w:val="zh-CN"/>
        </w:rPr>
        <w:t>本公司（联合体）郑重声明，根据《政府采购促进中小企业发展管理办法》（财库﹝2020﹞46号）的规定，本公司（联合体）参加</w:t>
      </w:r>
      <w:r>
        <w:rPr>
          <w:rFonts w:hint="eastAsia" w:ascii="宋体" w:hAnsi="宋体"/>
          <w:sz w:val="24"/>
          <w:szCs w:val="24"/>
          <w:u w:val="single"/>
        </w:rPr>
        <w:t xml:space="preserve">  </w:t>
      </w:r>
      <w:r>
        <w:rPr>
          <w:rFonts w:hint="eastAsia" w:ascii="宋体" w:hAnsi="宋体"/>
          <w:sz w:val="24"/>
          <w:szCs w:val="24"/>
          <w:u w:val="single"/>
          <w:lang w:val="zh-CN"/>
        </w:rPr>
        <w:t>某采购单位</w:t>
      </w:r>
      <w:r>
        <w:rPr>
          <w:rFonts w:hint="eastAsia" w:ascii="宋体" w:hAnsi="宋体"/>
          <w:sz w:val="24"/>
          <w:szCs w:val="24"/>
          <w:u w:val="single"/>
        </w:rPr>
        <w:t xml:space="preserve">  </w:t>
      </w:r>
      <w:r>
        <w:rPr>
          <w:rFonts w:hint="eastAsia" w:ascii="宋体" w:hAnsi="宋体"/>
          <w:sz w:val="24"/>
          <w:szCs w:val="24"/>
          <w:lang w:val="zh-CN"/>
        </w:rPr>
        <w:t>的</w:t>
      </w:r>
      <w:r>
        <w:rPr>
          <w:rFonts w:hint="eastAsia" w:ascii="宋体" w:hAnsi="宋体"/>
          <w:sz w:val="24"/>
          <w:szCs w:val="24"/>
          <w:u w:val="single"/>
        </w:rPr>
        <w:t xml:space="preserve">  </w:t>
      </w:r>
      <w:r>
        <w:rPr>
          <w:rFonts w:hint="eastAsia" w:ascii="宋体" w:hAnsi="宋体"/>
          <w:sz w:val="24"/>
          <w:szCs w:val="24"/>
          <w:u w:val="single"/>
          <w:lang w:val="zh-CN"/>
        </w:rPr>
        <w:t>某项目</w:t>
      </w:r>
      <w:r>
        <w:rPr>
          <w:rFonts w:hint="eastAsia" w:ascii="宋体" w:hAnsi="宋体"/>
          <w:sz w:val="24"/>
          <w:szCs w:val="24"/>
          <w:u w:val="single"/>
        </w:rPr>
        <w:t xml:space="preserve">  </w:t>
      </w:r>
      <w:r>
        <w:rPr>
          <w:rFonts w:hint="eastAsia" w:ascii="宋体" w:hAnsi="宋体"/>
          <w:sz w:val="24"/>
          <w:szCs w:val="24"/>
          <w:lang w:val="zh-CN"/>
        </w:rPr>
        <w:t xml:space="preserve">采购活动，提供的货物全部由符合政策要求的中小企业制造。相关企业（含联合体中的中小企业、签订分包意向协议的中小企业）的具体情况如下： </w:t>
      </w:r>
    </w:p>
    <w:p>
      <w:pPr>
        <w:spacing w:line="360" w:lineRule="auto"/>
        <w:ind w:firstLine="435"/>
        <w:rPr>
          <w:rFonts w:ascii="宋体" w:hAnsi="宋体"/>
          <w:sz w:val="24"/>
          <w:szCs w:val="24"/>
          <w:lang w:val="zh-CN"/>
        </w:rPr>
      </w:pPr>
      <w:r>
        <w:rPr>
          <w:rFonts w:hint="eastAsia" w:ascii="宋体" w:hAnsi="宋体"/>
          <w:sz w:val="24"/>
          <w:szCs w:val="24"/>
          <w:lang w:val="zh-CN"/>
        </w:rPr>
        <w:t>1.</w:t>
      </w:r>
      <w:r>
        <w:rPr>
          <w:rFonts w:hint="eastAsia" w:ascii="宋体" w:hAnsi="宋体"/>
          <w:sz w:val="24"/>
          <w:szCs w:val="24"/>
          <w:u w:val="single"/>
          <w:lang w:val="zh-CN"/>
        </w:rPr>
        <w:t xml:space="preserve"> （标的名称） </w:t>
      </w:r>
      <w:r>
        <w:rPr>
          <w:rFonts w:hint="eastAsia" w:ascii="宋体" w:hAnsi="宋体"/>
          <w:sz w:val="24"/>
          <w:szCs w:val="24"/>
          <w:lang w:val="zh-CN"/>
        </w:rPr>
        <w:t>，属于</w:t>
      </w:r>
      <w:r>
        <w:rPr>
          <w:rFonts w:hint="eastAsia" w:ascii="宋体" w:hAnsi="宋体"/>
          <w:sz w:val="24"/>
          <w:szCs w:val="24"/>
          <w:u w:val="single"/>
          <w:lang w:val="zh-CN"/>
        </w:rPr>
        <w:t>（采购文件中明确的所属行业）</w:t>
      </w:r>
      <w:r>
        <w:rPr>
          <w:rFonts w:hint="eastAsia" w:ascii="宋体" w:hAnsi="宋体"/>
          <w:sz w:val="24"/>
          <w:szCs w:val="24"/>
          <w:lang w:val="zh-CN"/>
        </w:rPr>
        <w:t>行业；制造商为</w:t>
      </w:r>
      <w:r>
        <w:rPr>
          <w:rFonts w:hint="eastAsia" w:ascii="宋体" w:hAnsi="宋体"/>
          <w:sz w:val="24"/>
          <w:szCs w:val="24"/>
          <w:u w:val="single"/>
          <w:lang w:val="zh-CN"/>
        </w:rPr>
        <w:t>（企业名称）</w:t>
      </w:r>
      <w:r>
        <w:rPr>
          <w:rFonts w:hint="eastAsia" w:ascii="宋体" w:hAnsi="宋体"/>
          <w:sz w:val="24"/>
          <w:szCs w:val="24"/>
          <w:lang w:val="zh-CN"/>
        </w:rPr>
        <w:t>，从业人员</w:t>
      </w:r>
      <w:r>
        <w:rPr>
          <w:rFonts w:hint="eastAsia" w:ascii="宋体" w:hAnsi="宋体"/>
          <w:sz w:val="24"/>
          <w:szCs w:val="24"/>
          <w:u w:val="single"/>
          <w:lang w:val="zh-CN"/>
        </w:rPr>
        <w:t xml:space="preserve">     </w:t>
      </w:r>
      <w:r>
        <w:rPr>
          <w:rFonts w:hint="eastAsia" w:ascii="宋体" w:hAnsi="宋体"/>
          <w:sz w:val="24"/>
          <w:szCs w:val="24"/>
          <w:lang w:val="zh-CN"/>
        </w:rPr>
        <w:t>人，营业收入为</w:t>
      </w:r>
      <w:r>
        <w:rPr>
          <w:rFonts w:hint="eastAsia" w:ascii="宋体" w:hAnsi="宋体"/>
          <w:sz w:val="24"/>
          <w:szCs w:val="24"/>
          <w:u w:val="single"/>
          <w:lang w:val="zh-CN"/>
        </w:rPr>
        <w:t xml:space="preserve">     </w:t>
      </w:r>
      <w:r>
        <w:rPr>
          <w:rFonts w:hint="eastAsia" w:ascii="宋体" w:hAnsi="宋体"/>
          <w:sz w:val="24"/>
          <w:szCs w:val="24"/>
          <w:lang w:val="zh-CN"/>
        </w:rPr>
        <w:t>万元，资产总额为</w:t>
      </w:r>
      <w:r>
        <w:rPr>
          <w:rFonts w:hint="eastAsia" w:ascii="宋体" w:hAnsi="宋体"/>
          <w:sz w:val="24"/>
          <w:szCs w:val="24"/>
          <w:u w:val="single"/>
          <w:lang w:val="zh-CN"/>
        </w:rPr>
        <w:t xml:space="preserve">     </w:t>
      </w:r>
      <w:r>
        <w:rPr>
          <w:rFonts w:hint="eastAsia" w:ascii="宋体" w:hAnsi="宋体"/>
          <w:sz w:val="24"/>
          <w:szCs w:val="24"/>
          <w:lang w:val="zh-CN"/>
        </w:rPr>
        <w:t>万元，属于</w:t>
      </w:r>
      <w:r>
        <w:rPr>
          <w:rFonts w:hint="eastAsia" w:ascii="宋体" w:hAnsi="宋体"/>
          <w:sz w:val="24"/>
          <w:szCs w:val="24"/>
          <w:u w:val="single"/>
          <w:lang w:val="zh-CN"/>
        </w:rPr>
        <w:t>（中型企业、小型企业、微型企业）</w:t>
      </w:r>
      <w:r>
        <w:rPr>
          <w:rFonts w:hint="eastAsia" w:ascii="宋体" w:hAnsi="宋体"/>
          <w:sz w:val="24"/>
          <w:szCs w:val="24"/>
          <w:lang w:val="zh-CN"/>
        </w:rPr>
        <w:t xml:space="preserve">； </w:t>
      </w:r>
    </w:p>
    <w:p>
      <w:pPr>
        <w:spacing w:line="360" w:lineRule="auto"/>
        <w:ind w:firstLine="435"/>
        <w:rPr>
          <w:rFonts w:ascii="宋体" w:hAnsi="宋体"/>
          <w:sz w:val="24"/>
          <w:szCs w:val="24"/>
          <w:lang w:val="zh-CN"/>
        </w:rPr>
      </w:pPr>
      <w:r>
        <w:rPr>
          <w:rFonts w:hint="eastAsia" w:ascii="宋体" w:hAnsi="宋体"/>
          <w:sz w:val="24"/>
          <w:szCs w:val="24"/>
          <w:lang w:val="zh-CN"/>
        </w:rPr>
        <w:t>2.</w:t>
      </w:r>
      <w:r>
        <w:rPr>
          <w:rFonts w:hint="eastAsia" w:ascii="宋体" w:hAnsi="宋体"/>
          <w:sz w:val="24"/>
          <w:szCs w:val="24"/>
          <w:u w:val="single"/>
          <w:lang w:val="zh-CN"/>
        </w:rPr>
        <w:t xml:space="preserve"> （标的名称） </w:t>
      </w:r>
      <w:r>
        <w:rPr>
          <w:rFonts w:hint="eastAsia" w:ascii="宋体" w:hAnsi="宋体"/>
          <w:sz w:val="24"/>
          <w:szCs w:val="24"/>
          <w:lang w:val="zh-CN"/>
        </w:rPr>
        <w:t>，属于</w:t>
      </w:r>
      <w:r>
        <w:rPr>
          <w:rFonts w:hint="eastAsia" w:ascii="宋体" w:hAnsi="宋体"/>
          <w:sz w:val="24"/>
          <w:szCs w:val="24"/>
          <w:u w:val="single"/>
          <w:lang w:val="zh-CN"/>
        </w:rPr>
        <w:t>（采购文件中明确的所属行业）</w:t>
      </w:r>
      <w:r>
        <w:rPr>
          <w:rFonts w:hint="eastAsia" w:ascii="宋体" w:hAnsi="宋体"/>
          <w:sz w:val="24"/>
          <w:szCs w:val="24"/>
          <w:lang w:val="zh-CN"/>
        </w:rPr>
        <w:t>行业；制造商为</w:t>
      </w:r>
      <w:r>
        <w:rPr>
          <w:rFonts w:hint="eastAsia" w:ascii="宋体" w:hAnsi="宋体"/>
          <w:sz w:val="24"/>
          <w:szCs w:val="24"/>
          <w:u w:val="single"/>
          <w:lang w:val="zh-CN"/>
        </w:rPr>
        <w:t>（企业名称）</w:t>
      </w:r>
      <w:r>
        <w:rPr>
          <w:rFonts w:hint="eastAsia" w:ascii="宋体" w:hAnsi="宋体"/>
          <w:sz w:val="24"/>
          <w:szCs w:val="24"/>
          <w:lang w:val="zh-CN"/>
        </w:rPr>
        <w:t>，从业人员</w:t>
      </w:r>
      <w:r>
        <w:rPr>
          <w:rFonts w:hint="eastAsia" w:ascii="宋体" w:hAnsi="宋体"/>
          <w:sz w:val="24"/>
          <w:szCs w:val="24"/>
          <w:u w:val="single"/>
          <w:lang w:val="zh-CN"/>
        </w:rPr>
        <w:t xml:space="preserve">     </w:t>
      </w:r>
      <w:r>
        <w:rPr>
          <w:rFonts w:hint="eastAsia" w:ascii="宋体" w:hAnsi="宋体"/>
          <w:sz w:val="24"/>
          <w:szCs w:val="24"/>
          <w:lang w:val="zh-CN"/>
        </w:rPr>
        <w:t>人，营业收入为</w:t>
      </w:r>
      <w:r>
        <w:rPr>
          <w:rFonts w:hint="eastAsia" w:ascii="宋体" w:hAnsi="宋体"/>
          <w:sz w:val="24"/>
          <w:szCs w:val="24"/>
          <w:u w:val="single"/>
          <w:lang w:val="zh-CN"/>
        </w:rPr>
        <w:t xml:space="preserve">     </w:t>
      </w:r>
      <w:r>
        <w:rPr>
          <w:rFonts w:hint="eastAsia" w:ascii="宋体" w:hAnsi="宋体"/>
          <w:sz w:val="24"/>
          <w:szCs w:val="24"/>
          <w:lang w:val="zh-CN"/>
        </w:rPr>
        <w:t>万元，资产总额为</w:t>
      </w:r>
      <w:r>
        <w:rPr>
          <w:rFonts w:hint="eastAsia" w:ascii="宋体" w:hAnsi="宋体"/>
          <w:sz w:val="24"/>
          <w:szCs w:val="24"/>
          <w:u w:val="single"/>
          <w:lang w:val="zh-CN"/>
        </w:rPr>
        <w:t xml:space="preserve">     </w:t>
      </w:r>
      <w:r>
        <w:rPr>
          <w:rFonts w:hint="eastAsia" w:ascii="宋体" w:hAnsi="宋体"/>
          <w:sz w:val="24"/>
          <w:szCs w:val="24"/>
          <w:lang w:val="zh-CN"/>
        </w:rPr>
        <w:t>万元，属于</w:t>
      </w:r>
      <w:r>
        <w:rPr>
          <w:rFonts w:hint="eastAsia" w:ascii="宋体" w:hAnsi="宋体"/>
          <w:sz w:val="24"/>
          <w:szCs w:val="24"/>
          <w:u w:val="single"/>
          <w:lang w:val="zh-CN"/>
        </w:rPr>
        <w:t>（中型企业、小型企业、微型企业）</w:t>
      </w:r>
      <w:r>
        <w:rPr>
          <w:rFonts w:hint="eastAsia" w:ascii="宋体" w:hAnsi="宋体"/>
          <w:sz w:val="24"/>
          <w:szCs w:val="24"/>
          <w:lang w:val="zh-CN"/>
        </w:rPr>
        <w:t xml:space="preserve">； </w:t>
      </w:r>
    </w:p>
    <w:p>
      <w:pPr>
        <w:spacing w:line="360" w:lineRule="auto"/>
        <w:ind w:firstLine="435"/>
        <w:rPr>
          <w:rFonts w:ascii="宋体" w:hAnsi="宋体"/>
          <w:sz w:val="24"/>
          <w:szCs w:val="24"/>
          <w:lang w:val="zh-CN"/>
        </w:rPr>
      </w:pPr>
      <w:r>
        <w:rPr>
          <w:rFonts w:hint="eastAsia" w:ascii="宋体" w:hAnsi="宋体"/>
          <w:sz w:val="24"/>
          <w:szCs w:val="24"/>
          <w:lang w:val="zh-CN"/>
        </w:rPr>
        <w:t>……</w:t>
      </w:r>
    </w:p>
    <w:p>
      <w:pPr>
        <w:spacing w:line="360" w:lineRule="auto"/>
        <w:ind w:firstLine="435"/>
        <w:rPr>
          <w:rFonts w:ascii="宋体" w:hAnsi="宋体"/>
          <w:sz w:val="24"/>
          <w:szCs w:val="24"/>
          <w:lang w:val="zh-CN"/>
        </w:rPr>
      </w:pPr>
      <w:r>
        <w:rPr>
          <w:rFonts w:hint="eastAsia" w:ascii="宋体" w:hAnsi="宋体"/>
          <w:sz w:val="24"/>
          <w:szCs w:val="24"/>
          <w:lang w:val="zh-CN"/>
        </w:rPr>
        <w:t>以上企业，不属于大企业的分支机构，不存在控股股东为大企业的情形，也不存在与大企业的负责人为同一人的情形。</w:t>
      </w:r>
    </w:p>
    <w:p>
      <w:pPr>
        <w:spacing w:line="360" w:lineRule="auto"/>
        <w:ind w:firstLine="435"/>
        <w:rPr>
          <w:rFonts w:ascii="宋体" w:hAnsi="宋体"/>
          <w:sz w:val="24"/>
          <w:szCs w:val="24"/>
          <w:lang w:val="zh-CN"/>
        </w:rPr>
      </w:pPr>
      <w:r>
        <w:rPr>
          <w:rFonts w:hint="eastAsia" w:ascii="宋体" w:hAnsi="宋体"/>
          <w:sz w:val="24"/>
          <w:szCs w:val="24"/>
          <w:lang w:val="zh-CN"/>
        </w:rPr>
        <w:t xml:space="preserve">本企业对上述声明内容的真实性负责。如有虚假，将依法承担相应责任。 </w:t>
      </w:r>
    </w:p>
    <w:p>
      <w:pPr>
        <w:spacing w:line="400" w:lineRule="exact"/>
        <w:ind w:firstLine="435"/>
        <w:rPr>
          <w:rFonts w:ascii="Arial" w:hAnsi="Arial" w:cs="Arial"/>
          <w:sz w:val="24"/>
          <w:szCs w:val="24"/>
          <w:lang w:val="zh-CN"/>
        </w:rPr>
      </w:pPr>
      <w:r>
        <w:rPr>
          <w:rFonts w:ascii="Arial" w:hAnsi="Arial" w:cs="Arial"/>
          <w:sz w:val="24"/>
          <w:szCs w:val="24"/>
          <w:lang w:val="zh-CN"/>
        </w:rPr>
        <w:t xml:space="preserve"> </w:t>
      </w:r>
    </w:p>
    <w:p>
      <w:pPr>
        <w:spacing w:line="400" w:lineRule="exact"/>
        <w:ind w:firstLine="435"/>
        <w:rPr>
          <w:rFonts w:ascii="Arial" w:hAnsi="Arial" w:cs="Arial"/>
          <w:sz w:val="24"/>
          <w:szCs w:val="24"/>
        </w:rPr>
      </w:pPr>
    </w:p>
    <w:p>
      <w:pPr>
        <w:spacing w:line="400" w:lineRule="exact"/>
        <w:ind w:firstLine="435"/>
        <w:rPr>
          <w:rFonts w:ascii="Arial" w:hAnsi="Arial" w:cs="Arial"/>
          <w:sz w:val="24"/>
          <w:szCs w:val="24"/>
        </w:rPr>
      </w:pPr>
    </w:p>
    <w:p>
      <w:pPr>
        <w:spacing w:line="400" w:lineRule="exact"/>
        <w:ind w:firstLine="4228" w:firstLineChars="1762"/>
        <w:rPr>
          <w:rFonts w:ascii="Arial" w:hAnsi="Arial" w:cs="Arial"/>
          <w:sz w:val="24"/>
          <w:szCs w:val="24"/>
          <w:u w:val="single"/>
        </w:rPr>
      </w:pPr>
      <w:r>
        <w:rPr>
          <w:rFonts w:ascii="Arial" w:hAnsi="Arial" w:cs="Arial"/>
          <w:sz w:val="24"/>
          <w:szCs w:val="24"/>
        </w:rPr>
        <w:t>投标人盖章：</w:t>
      </w:r>
      <w:r>
        <w:rPr>
          <w:rFonts w:ascii="Arial" w:hAnsi="Arial" w:cs="Arial"/>
          <w:sz w:val="24"/>
          <w:szCs w:val="24"/>
          <w:u w:val="single"/>
        </w:rPr>
        <w:t xml:space="preserve">             </w:t>
      </w:r>
    </w:p>
    <w:p>
      <w:pPr>
        <w:tabs>
          <w:tab w:val="left" w:pos="4620"/>
        </w:tabs>
        <w:spacing w:line="400" w:lineRule="exact"/>
        <w:ind w:firstLine="4252" w:firstLineChars="1772"/>
        <w:rPr>
          <w:rFonts w:ascii="Arial" w:hAnsi="Arial" w:cs="Arial"/>
          <w:sz w:val="24"/>
          <w:szCs w:val="24"/>
          <w:u w:val="single"/>
        </w:rPr>
      </w:pPr>
      <w:r>
        <w:rPr>
          <w:rFonts w:ascii="Arial" w:hAnsi="Arial" w:cs="Arial"/>
          <w:sz w:val="24"/>
          <w:szCs w:val="24"/>
        </w:rPr>
        <w:t>日      期：</w:t>
      </w:r>
      <w:r>
        <w:rPr>
          <w:rFonts w:ascii="Arial" w:hAnsi="Arial" w:cs="Arial"/>
          <w:sz w:val="24"/>
          <w:szCs w:val="24"/>
          <w:u w:val="single"/>
        </w:rPr>
        <w:t xml:space="preserve">            </w:t>
      </w:r>
    </w:p>
    <w:p>
      <w:pPr>
        <w:tabs>
          <w:tab w:val="left" w:pos="4620"/>
        </w:tabs>
        <w:spacing w:line="400" w:lineRule="exact"/>
        <w:ind w:firstLine="4252" w:firstLineChars="1772"/>
        <w:rPr>
          <w:rFonts w:ascii="Arial" w:hAnsi="Arial" w:cs="Arial"/>
          <w:sz w:val="24"/>
          <w:szCs w:val="24"/>
          <w:u w:val="single"/>
        </w:rPr>
      </w:pPr>
    </w:p>
    <w:p>
      <w:pPr>
        <w:tabs>
          <w:tab w:val="left" w:pos="4620"/>
        </w:tabs>
        <w:spacing w:line="400" w:lineRule="exact"/>
        <w:ind w:firstLine="4252" w:firstLineChars="1772"/>
        <w:rPr>
          <w:rFonts w:ascii="Arial" w:hAnsi="Arial" w:cs="Arial"/>
          <w:sz w:val="24"/>
          <w:szCs w:val="24"/>
        </w:rPr>
      </w:pPr>
    </w:p>
    <w:p>
      <w:pPr>
        <w:tabs>
          <w:tab w:val="left" w:pos="4620"/>
        </w:tabs>
        <w:spacing w:line="400" w:lineRule="exact"/>
        <w:ind w:firstLine="4252" w:firstLineChars="1772"/>
        <w:rPr>
          <w:rFonts w:ascii="Arial" w:hAnsi="Arial" w:cs="Arial"/>
          <w:sz w:val="24"/>
          <w:szCs w:val="24"/>
        </w:rPr>
      </w:pPr>
    </w:p>
    <w:p>
      <w:pPr>
        <w:tabs>
          <w:tab w:val="left" w:pos="4620"/>
        </w:tabs>
        <w:spacing w:line="400" w:lineRule="exact"/>
        <w:rPr>
          <w:rFonts w:ascii="Arial" w:hAnsi="Arial" w:cs="Arial"/>
          <w:sz w:val="24"/>
          <w:szCs w:val="24"/>
        </w:rPr>
      </w:pPr>
    </w:p>
    <w:p>
      <w:pPr>
        <w:tabs>
          <w:tab w:val="left" w:pos="4620"/>
        </w:tabs>
        <w:spacing w:line="400" w:lineRule="exact"/>
        <w:ind w:firstLine="4252" w:firstLineChars="1772"/>
        <w:rPr>
          <w:rFonts w:ascii="Arial" w:hAnsi="Arial" w:cs="Arial"/>
          <w:sz w:val="24"/>
          <w:szCs w:val="24"/>
        </w:rPr>
      </w:pPr>
    </w:p>
    <w:p>
      <w:pPr>
        <w:tabs>
          <w:tab w:val="left" w:pos="4620"/>
        </w:tabs>
        <w:spacing w:line="400" w:lineRule="exact"/>
        <w:jc w:val="left"/>
        <w:rPr>
          <w:rFonts w:ascii="Arial" w:hAnsi="Arial" w:cs="Arial"/>
          <w:sz w:val="24"/>
          <w:szCs w:val="24"/>
        </w:rPr>
      </w:pPr>
      <w:r>
        <w:rPr>
          <w:rFonts w:ascii="Arial" w:hAnsi="Arial" w:cs="Arial"/>
          <w:sz w:val="24"/>
          <w:szCs w:val="24"/>
        </w:rPr>
        <w:t>注：从业人员、营业收入、资产总额填报上一年数据，无上一年数据的新成立企业可不填报。</w:t>
      </w:r>
    </w:p>
    <w:p>
      <w:pPr>
        <w:spacing w:line="360" w:lineRule="auto"/>
        <w:jc w:val="center"/>
        <w:outlineLvl w:val="2"/>
        <w:rPr>
          <w:rFonts w:ascii="Arial" w:hAnsi="Arial" w:cs="Arial"/>
          <w:b/>
          <w:sz w:val="24"/>
        </w:rPr>
      </w:pPr>
      <w:r>
        <w:rPr>
          <w:rFonts w:hint="eastAsia" w:ascii="Arial" w:hAnsi="Arial" w:cs="Arial"/>
          <w:b/>
          <w:sz w:val="24"/>
        </w:rPr>
        <w:br w:type="page"/>
      </w:r>
      <w:r>
        <w:rPr>
          <w:rFonts w:hint="eastAsia" w:ascii="Arial" w:hAnsi="Arial" w:cs="Arial"/>
          <w:b/>
          <w:sz w:val="24"/>
        </w:rPr>
        <w:t>残疾人福利性单位声明函</w:t>
      </w:r>
    </w:p>
    <w:p>
      <w:pPr>
        <w:pStyle w:val="14"/>
        <w:spacing w:line="400" w:lineRule="exact"/>
        <w:ind w:firstLine="461"/>
        <w:jc w:val="center"/>
        <w:rPr>
          <w:rFonts w:cs="Arial"/>
          <w:b w:val="0"/>
          <w:i/>
          <w:sz w:val="24"/>
          <w:szCs w:val="24"/>
        </w:rPr>
      </w:pPr>
      <w:r>
        <w:rPr>
          <w:rFonts w:cs="Arial"/>
          <w:b w:val="0"/>
          <w:i/>
          <w:sz w:val="24"/>
          <w:szCs w:val="24"/>
        </w:rPr>
        <w:t>（非残疾人福利性单位投标，不需此件）</w:t>
      </w:r>
    </w:p>
    <w:p>
      <w:pPr>
        <w:spacing w:line="360" w:lineRule="auto"/>
        <w:jc w:val="center"/>
        <w:rPr>
          <w:rFonts w:ascii="Arial" w:hAnsi="Arial" w:cs="Arial"/>
        </w:rPr>
      </w:pPr>
      <w:r>
        <w:rPr>
          <w:rFonts w:ascii="Arial" w:hAnsi="Arial" w:cs="Arial"/>
          <w:b/>
          <w:i/>
          <w:sz w:val="24"/>
        </w:rPr>
        <w:t>(联合体参加</w:t>
      </w:r>
      <w:r>
        <w:rPr>
          <w:rFonts w:hint="eastAsia" w:ascii="Arial" w:hAnsi="Arial" w:cs="Arial"/>
          <w:b/>
          <w:i/>
          <w:sz w:val="24"/>
        </w:rPr>
        <w:t>投标</w:t>
      </w:r>
      <w:r>
        <w:rPr>
          <w:rFonts w:ascii="Arial" w:hAnsi="Arial" w:cs="Arial"/>
          <w:b/>
          <w:i/>
          <w:sz w:val="24"/>
        </w:rPr>
        <w:t>的，联合体双方均须提供）</w:t>
      </w:r>
    </w:p>
    <w:p>
      <w:pPr>
        <w:spacing w:line="400" w:lineRule="exact"/>
        <w:ind w:firstLine="435"/>
        <w:rPr>
          <w:rFonts w:ascii="Arial" w:hAnsi="Arial" w:cs="Arial"/>
          <w:spacing w:val="6"/>
          <w:sz w:val="24"/>
          <w:szCs w:val="24"/>
        </w:rPr>
      </w:pPr>
    </w:p>
    <w:p>
      <w:pPr>
        <w:spacing w:line="360" w:lineRule="auto"/>
        <w:ind w:firstLine="435"/>
        <w:rPr>
          <w:rFonts w:ascii="宋体" w:hAnsi="宋体"/>
          <w:spacing w:val="6"/>
          <w:sz w:val="24"/>
          <w:szCs w:val="24"/>
        </w:rPr>
      </w:pPr>
      <w:r>
        <w:rPr>
          <w:rFonts w:hint="eastAsia" w:ascii="宋体" w:hAnsi="宋体"/>
          <w:spacing w:val="6"/>
          <w:sz w:val="24"/>
          <w:szCs w:val="24"/>
        </w:rPr>
        <w:t>本单位</w:t>
      </w:r>
      <w:r>
        <w:rPr>
          <w:rFonts w:hint="eastAsia" w:ascii="宋体" w:hAnsi="宋体"/>
          <w:sz w:val="24"/>
        </w:rPr>
        <w:t>郑重</w:t>
      </w:r>
      <w:r>
        <w:rPr>
          <w:rFonts w:hint="eastAsia" w:ascii="宋体" w:hAnsi="宋体"/>
          <w:spacing w:val="6"/>
          <w:sz w:val="24"/>
          <w:szCs w:val="24"/>
        </w:rPr>
        <w:t>声明，根据《财政部 民政部 中国残疾人联合会关于促进残疾人就业政府采购政策的通知》（财库</w:t>
      </w:r>
      <w:r>
        <w:rPr>
          <w:rFonts w:hint="eastAsia" w:ascii="宋体" w:hAnsi="宋体"/>
          <w:sz w:val="24"/>
          <w:szCs w:val="24"/>
        </w:rPr>
        <w:t>〔2017〕141</w:t>
      </w:r>
      <w:r>
        <w:rPr>
          <w:rFonts w:hint="eastAsia" w:ascii="宋体" w:hAnsi="宋体"/>
          <w:spacing w:val="6"/>
          <w:sz w:val="24"/>
          <w:szCs w:val="24"/>
        </w:rPr>
        <w:t>号）的规定，本单位为</w:t>
      </w:r>
      <w:r>
        <w:rPr>
          <w:rFonts w:hint="eastAsia" w:ascii="宋体" w:hAnsi="宋体"/>
          <w:b/>
          <w:bCs/>
          <w:sz w:val="24"/>
          <w:szCs w:val="24"/>
        </w:rPr>
        <w:t>符合</w:t>
      </w:r>
      <w:r>
        <w:rPr>
          <w:rFonts w:hint="eastAsia" w:ascii="宋体" w:hAnsi="宋体"/>
          <w:b/>
          <w:spacing w:val="6"/>
          <w:sz w:val="24"/>
          <w:szCs w:val="24"/>
        </w:rPr>
        <w:t>条件</w:t>
      </w:r>
      <w:r>
        <w:rPr>
          <w:rFonts w:hint="eastAsia" w:ascii="宋体" w:hAnsi="宋体"/>
          <w:spacing w:val="6"/>
          <w:sz w:val="24"/>
          <w:szCs w:val="24"/>
        </w:rPr>
        <w:t>的残疾人福利性单位，且本单位参加</w:t>
      </w:r>
      <w:r>
        <w:rPr>
          <w:rFonts w:hint="eastAsia" w:ascii="宋体" w:hAnsi="宋体"/>
          <w:sz w:val="24"/>
          <w:szCs w:val="24"/>
          <w:u w:val="single"/>
        </w:rPr>
        <w:t xml:space="preserve">  </w:t>
      </w:r>
      <w:r>
        <w:rPr>
          <w:rFonts w:hint="eastAsia" w:ascii="宋体" w:hAnsi="宋体"/>
          <w:sz w:val="24"/>
          <w:szCs w:val="24"/>
          <w:u w:val="single"/>
          <w:lang w:val="zh-CN"/>
        </w:rPr>
        <w:t>某采购单位</w:t>
      </w:r>
      <w:r>
        <w:rPr>
          <w:rFonts w:hint="eastAsia" w:ascii="宋体" w:hAnsi="宋体"/>
          <w:sz w:val="24"/>
          <w:szCs w:val="24"/>
          <w:u w:val="single"/>
        </w:rPr>
        <w:t xml:space="preserve">  </w:t>
      </w:r>
      <w:r>
        <w:rPr>
          <w:rFonts w:hint="eastAsia" w:ascii="宋体" w:hAnsi="宋体"/>
          <w:sz w:val="24"/>
          <w:szCs w:val="24"/>
          <w:lang w:val="zh-CN"/>
        </w:rPr>
        <w:t>的</w:t>
      </w:r>
      <w:r>
        <w:rPr>
          <w:rFonts w:hint="eastAsia" w:ascii="宋体" w:hAnsi="宋体"/>
          <w:sz w:val="24"/>
          <w:szCs w:val="24"/>
          <w:u w:val="single"/>
        </w:rPr>
        <w:t xml:space="preserve">  </w:t>
      </w:r>
      <w:r>
        <w:rPr>
          <w:rFonts w:hint="eastAsia" w:ascii="宋体" w:hAnsi="宋体"/>
          <w:sz w:val="24"/>
          <w:szCs w:val="24"/>
          <w:u w:val="single"/>
          <w:lang w:val="zh-CN"/>
        </w:rPr>
        <w:t>某项目</w:t>
      </w:r>
      <w:r>
        <w:rPr>
          <w:rFonts w:hint="eastAsia" w:ascii="宋体" w:hAnsi="宋体"/>
          <w:sz w:val="24"/>
          <w:szCs w:val="24"/>
          <w:u w:val="single"/>
        </w:rPr>
        <w:t xml:space="preserve">  </w:t>
      </w:r>
      <w:r>
        <w:rPr>
          <w:rFonts w:hint="eastAsia" w:ascii="宋体" w:hAnsi="宋体"/>
          <w:spacing w:val="6"/>
          <w:sz w:val="24"/>
          <w:szCs w:val="24"/>
        </w:rPr>
        <w:t>采购活动提供本单位制造的货物，或者提供其他残疾人福利性单位制造的货物（不包括使用非残疾人福利性单位注册商标的货物）。</w:t>
      </w:r>
    </w:p>
    <w:p>
      <w:pPr>
        <w:spacing w:line="360" w:lineRule="auto"/>
        <w:ind w:firstLine="435"/>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spacing w:line="400" w:lineRule="exact"/>
        <w:ind w:firstLine="4228" w:firstLineChars="1762"/>
        <w:rPr>
          <w:rFonts w:ascii="Arial" w:hAnsi="Arial" w:cs="Arial"/>
          <w:sz w:val="24"/>
          <w:szCs w:val="24"/>
        </w:rPr>
      </w:pPr>
    </w:p>
    <w:p>
      <w:pPr>
        <w:spacing w:line="400" w:lineRule="exact"/>
        <w:ind w:firstLine="4228" w:firstLineChars="1762"/>
        <w:rPr>
          <w:rFonts w:ascii="Arial" w:hAnsi="Arial" w:cs="Arial"/>
          <w:sz w:val="24"/>
          <w:szCs w:val="24"/>
        </w:rPr>
      </w:pPr>
    </w:p>
    <w:p>
      <w:pPr>
        <w:spacing w:line="400" w:lineRule="exact"/>
        <w:ind w:firstLine="4228" w:firstLineChars="1762"/>
        <w:rPr>
          <w:rFonts w:ascii="Arial" w:hAnsi="Arial" w:cs="Arial"/>
          <w:sz w:val="24"/>
          <w:szCs w:val="24"/>
          <w:u w:val="single"/>
        </w:rPr>
      </w:pPr>
      <w:r>
        <w:rPr>
          <w:rFonts w:ascii="Arial" w:hAnsi="Arial" w:cs="Arial"/>
          <w:sz w:val="24"/>
          <w:szCs w:val="24"/>
        </w:rPr>
        <w:t>投标人盖章：</w:t>
      </w:r>
      <w:r>
        <w:rPr>
          <w:rFonts w:ascii="Arial" w:hAnsi="Arial" w:cs="Arial"/>
          <w:sz w:val="24"/>
          <w:szCs w:val="24"/>
          <w:u w:val="single"/>
        </w:rPr>
        <w:t xml:space="preserve">             </w:t>
      </w:r>
    </w:p>
    <w:p>
      <w:pPr>
        <w:tabs>
          <w:tab w:val="left" w:pos="4620"/>
        </w:tabs>
        <w:spacing w:line="400" w:lineRule="exact"/>
        <w:ind w:firstLine="4252" w:firstLineChars="1772"/>
        <w:rPr>
          <w:rFonts w:ascii="Arial" w:hAnsi="Arial" w:cs="Arial"/>
          <w:sz w:val="24"/>
          <w:szCs w:val="24"/>
          <w:u w:val="single"/>
        </w:rPr>
      </w:pPr>
      <w:r>
        <w:rPr>
          <w:rFonts w:ascii="Arial" w:hAnsi="Arial" w:cs="Arial"/>
          <w:sz w:val="24"/>
          <w:szCs w:val="24"/>
        </w:rPr>
        <w:t>日      期：</w:t>
      </w:r>
      <w:r>
        <w:rPr>
          <w:rFonts w:ascii="Arial" w:hAnsi="Arial" w:cs="Arial"/>
          <w:sz w:val="24"/>
          <w:szCs w:val="24"/>
          <w:u w:val="single"/>
        </w:rPr>
        <w:t xml:space="preserve">             </w:t>
      </w:r>
    </w:p>
    <w:p>
      <w:pPr>
        <w:spacing w:line="400" w:lineRule="exact"/>
        <w:ind w:firstLine="435"/>
        <w:rPr>
          <w:rFonts w:ascii="Arial" w:hAnsi="Arial" w:cs="Arial"/>
          <w:b/>
          <w:sz w:val="24"/>
          <w:szCs w:val="24"/>
        </w:rPr>
      </w:pPr>
    </w:p>
    <w:p>
      <w:pPr>
        <w:jc w:val="center"/>
        <w:rPr>
          <w:rFonts w:hint="eastAsia" w:ascii="Arial" w:hAnsi="Arial" w:cs="Arial"/>
          <w:b/>
          <w:sz w:val="24"/>
        </w:rPr>
      </w:pPr>
      <w:r>
        <w:rPr>
          <w:rFonts w:hint="eastAsia" w:ascii="Arial" w:hAnsi="Arial" w:cs="Arial"/>
          <w:b/>
          <w:sz w:val="24"/>
        </w:rPr>
        <w:br w:type="page"/>
      </w:r>
    </w:p>
    <w:p>
      <w:pPr>
        <w:jc w:val="center"/>
        <w:rPr>
          <w:rFonts w:hint="eastAsia" w:ascii="Arial" w:hAnsi="Arial" w:cs="Arial"/>
          <w:b/>
          <w:sz w:val="24"/>
        </w:rPr>
      </w:pPr>
    </w:p>
    <w:p>
      <w:pPr>
        <w:spacing w:line="360" w:lineRule="auto"/>
        <w:jc w:val="center"/>
        <w:rPr>
          <w:rFonts w:hint="eastAsia" w:ascii="Arial" w:hAnsi="Arial" w:cs="Arial"/>
          <w:b/>
          <w:sz w:val="24"/>
        </w:rPr>
      </w:pPr>
      <w:r>
        <w:rPr>
          <w:rFonts w:hint="eastAsia" w:ascii="Arial" w:hAnsi="Arial" w:cs="Arial"/>
          <w:b/>
          <w:sz w:val="24"/>
        </w:rPr>
        <w:t>监狱企业证明</w:t>
      </w:r>
    </w:p>
    <w:p>
      <w:pPr>
        <w:pStyle w:val="14"/>
        <w:spacing w:line="400" w:lineRule="exact"/>
        <w:ind w:firstLine="461"/>
        <w:jc w:val="center"/>
        <w:rPr>
          <w:rFonts w:cs="Arial"/>
          <w:b w:val="0"/>
          <w:i/>
          <w:sz w:val="24"/>
          <w:szCs w:val="24"/>
        </w:rPr>
      </w:pPr>
      <w:r>
        <w:rPr>
          <w:rFonts w:cs="Arial"/>
          <w:b w:val="0"/>
          <w:i/>
          <w:sz w:val="24"/>
          <w:szCs w:val="24"/>
        </w:rPr>
        <w:t>（非</w:t>
      </w:r>
      <w:r>
        <w:rPr>
          <w:rFonts w:hint="eastAsia" w:cs="Arial"/>
          <w:b w:val="0"/>
          <w:i/>
          <w:sz w:val="24"/>
          <w:szCs w:val="24"/>
          <w:lang w:eastAsia="zh-CN"/>
        </w:rPr>
        <w:t>监狱企业</w:t>
      </w:r>
      <w:r>
        <w:rPr>
          <w:rFonts w:cs="Arial"/>
          <w:b w:val="0"/>
          <w:i/>
          <w:sz w:val="24"/>
          <w:szCs w:val="24"/>
        </w:rPr>
        <w:t>投标，不需此件）</w:t>
      </w:r>
    </w:p>
    <w:p>
      <w:pPr>
        <w:rPr>
          <w:rFonts w:ascii="Arial" w:hAnsi="Arial" w:cs="Arial"/>
          <w:b/>
          <w:sz w:val="24"/>
        </w:rPr>
      </w:pPr>
    </w:p>
    <w:p>
      <w:pP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spacing w:line="360" w:lineRule="auto"/>
        <w:jc w:val="center"/>
        <w:rPr>
          <w:rFonts w:ascii="Arial" w:hAnsi="Arial" w:cs="Arial"/>
          <w:b/>
          <w:sz w:val="24"/>
        </w:rPr>
      </w:pPr>
    </w:p>
    <w:p>
      <w:pPr>
        <w:tabs>
          <w:tab w:val="left" w:pos="4620"/>
        </w:tabs>
        <w:spacing w:line="360" w:lineRule="auto"/>
        <w:jc w:val="left"/>
        <w:rPr>
          <w:rFonts w:hint="eastAsia" w:ascii="宋体" w:hAnsi="宋体"/>
          <w:szCs w:val="24"/>
        </w:rPr>
      </w:pPr>
    </w:p>
    <w:p>
      <w:pPr>
        <w:tabs>
          <w:tab w:val="left" w:pos="4620"/>
        </w:tabs>
        <w:spacing w:line="360" w:lineRule="auto"/>
        <w:jc w:val="left"/>
        <w:rPr>
          <w:rFonts w:hint="eastAsia" w:ascii="宋体" w:hAnsi="宋体"/>
          <w:szCs w:val="24"/>
        </w:rPr>
      </w:pPr>
    </w:p>
    <w:p>
      <w:pPr>
        <w:tabs>
          <w:tab w:val="left" w:pos="4620"/>
        </w:tabs>
        <w:spacing w:line="360" w:lineRule="auto"/>
        <w:jc w:val="left"/>
        <w:rPr>
          <w:rFonts w:hint="eastAsia" w:ascii="宋体" w:hAnsi="宋体"/>
          <w:szCs w:val="24"/>
        </w:rPr>
      </w:pPr>
    </w:p>
    <w:p>
      <w:pPr>
        <w:tabs>
          <w:tab w:val="left" w:pos="4620"/>
        </w:tabs>
        <w:spacing w:line="360" w:lineRule="auto"/>
        <w:jc w:val="left"/>
        <w:rPr>
          <w:rFonts w:hint="eastAsia" w:ascii="宋体" w:hAnsi="宋体"/>
          <w:szCs w:val="24"/>
        </w:rPr>
      </w:pPr>
    </w:p>
    <w:p>
      <w:pPr>
        <w:tabs>
          <w:tab w:val="left" w:pos="4620"/>
        </w:tabs>
        <w:spacing w:line="360" w:lineRule="auto"/>
        <w:jc w:val="left"/>
        <w:rPr>
          <w:rFonts w:ascii="宋体" w:hAnsi="宋体"/>
          <w:szCs w:val="24"/>
        </w:rPr>
      </w:pPr>
      <w:r>
        <w:rPr>
          <w:rFonts w:hint="eastAsia" w:ascii="宋体" w:hAnsi="宋体"/>
          <w:szCs w:val="24"/>
        </w:rPr>
        <w:t>注：提供省级以上监狱管理局、戒毒管理局（含新疆生产建设兵团）出具的属于监狱企业的证明文件</w:t>
      </w:r>
    </w:p>
    <w:p>
      <w:pPr>
        <w:jc w:val="center"/>
        <w:outlineLvl w:val="2"/>
        <w:rPr>
          <w:rFonts w:ascii="Arial" w:hAnsi="Arial" w:cs="Arial"/>
          <w:b/>
          <w:sz w:val="24"/>
        </w:rPr>
      </w:pPr>
      <w:r>
        <w:rPr>
          <w:rFonts w:hint="eastAsia" w:ascii="Arial" w:hAnsi="Arial" w:cs="Arial"/>
          <w:b/>
          <w:sz w:val="24"/>
        </w:rPr>
        <w:br w:type="page"/>
      </w:r>
      <w:r>
        <w:rPr>
          <w:rFonts w:hint="eastAsia" w:ascii="Arial" w:hAnsi="Arial" w:cs="Arial"/>
          <w:b/>
          <w:sz w:val="24"/>
        </w:rPr>
        <w:t>十三、所投各产品属于政府采购节能产品、环境标志产品清单的证明文件</w:t>
      </w:r>
    </w:p>
    <w:p>
      <w:pPr>
        <w:spacing w:line="240" w:lineRule="atLeast"/>
        <w:jc w:val="center"/>
        <w:rPr>
          <w:rFonts w:ascii="Arial" w:hAnsi="Arial" w:cs="Arial"/>
          <w:sz w:val="24"/>
          <w:szCs w:val="28"/>
        </w:rPr>
      </w:pPr>
      <w:r>
        <w:rPr>
          <w:rFonts w:hint="eastAsia" w:ascii="Arial" w:hAnsi="Arial" w:cs="Arial"/>
          <w:sz w:val="24"/>
          <w:szCs w:val="28"/>
        </w:rPr>
        <w:t>（非节能、环保产品，不需此件）</w:t>
      </w:r>
    </w:p>
    <w:p>
      <w:pPr>
        <w:spacing w:line="240" w:lineRule="atLeast"/>
        <w:rPr>
          <w:rFonts w:ascii="Arial" w:hAnsi="Arial" w:cs="Arial"/>
          <w:sz w:val="24"/>
        </w:rPr>
      </w:pPr>
    </w:p>
    <w:p>
      <w:pPr>
        <w:snapToGrid w:val="0"/>
        <w:spacing w:line="240" w:lineRule="atLeast"/>
        <w:rPr>
          <w:rFonts w:hint="eastAsia" w:ascii="Arial" w:hAnsi="Arial" w:cs="Arial"/>
          <w:sz w:val="24"/>
          <w:szCs w:val="24"/>
        </w:rPr>
      </w:pPr>
      <w:r>
        <w:rPr>
          <w:rFonts w:hint="eastAsia" w:ascii="Arial" w:hAnsi="Arial" w:cs="Arial"/>
          <w:sz w:val="24"/>
          <w:szCs w:val="24"/>
        </w:rPr>
        <w:t>附件</w:t>
      </w:r>
      <w:r>
        <w:rPr>
          <w:rFonts w:ascii="Arial" w:hAnsi="Arial" w:cs="Arial"/>
          <w:sz w:val="24"/>
          <w:szCs w:val="24"/>
        </w:rPr>
        <w:t>1.</w:t>
      </w:r>
      <w:r>
        <w:rPr>
          <w:rFonts w:hint="eastAsia" w:ascii="Arial" w:hAnsi="Arial" w:cs="Arial"/>
          <w:sz w:val="24"/>
          <w:szCs w:val="24"/>
        </w:rPr>
        <w:t>节能产品证明材料</w:t>
      </w:r>
    </w:p>
    <w:p>
      <w:pPr>
        <w:pStyle w:val="4"/>
        <w:rPr>
          <w:rFonts w:hint="eastAsia"/>
          <w:lang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141"/>
        <w:gridCol w:w="220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629" w:type="dxa"/>
            <w:gridSpan w:val="4"/>
            <w:noWrap w:val="0"/>
            <w:vAlign w:val="center"/>
          </w:tcPr>
          <w:p>
            <w:pPr>
              <w:snapToGrid w:val="0"/>
              <w:spacing w:line="240" w:lineRule="atLeast"/>
              <w:jc w:val="center"/>
              <w:rPr>
                <w:rFonts w:ascii="Arial" w:hAnsi="Arial" w:cs="Arial"/>
                <w:sz w:val="24"/>
                <w:szCs w:val="24"/>
              </w:rPr>
            </w:pPr>
            <w:r>
              <w:rPr>
                <w:rFonts w:hint="eastAsia" w:ascii="Arial" w:hAnsi="Arial" w:cs="Arial"/>
                <w:sz w:val="24"/>
                <w:szCs w:val="24"/>
              </w:rPr>
              <w:t>强制节能产品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产品名称</w:t>
            </w:r>
          </w:p>
        </w:tc>
        <w:tc>
          <w:tcPr>
            <w:tcW w:w="2141"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品牌</w:t>
            </w:r>
          </w:p>
        </w:tc>
        <w:tc>
          <w:tcPr>
            <w:tcW w:w="2209"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产品型号</w:t>
            </w:r>
          </w:p>
        </w:tc>
        <w:tc>
          <w:tcPr>
            <w:tcW w:w="3544"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r>
              <w:rPr>
                <w:rFonts w:ascii="Arial" w:hAnsi="Arial" w:cs="Arial"/>
                <w:sz w:val="24"/>
                <w:szCs w:val="24"/>
              </w:rPr>
              <w:t>......</w:t>
            </w: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629" w:type="dxa"/>
            <w:gridSpan w:val="4"/>
            <w:noWrap w:val="0"/>
            <w:vAlign w:val="center"/>
          </w:tcPr>
          <w:p>
            <w:pPr>
              <w:snapToGrid w:val="0"/>
              <w:spacing w:line="240" w:lineRule="atLeast"/>
              <w:jc w:val="center"/>
              <w:rPr>
                <w:rFonts w:ascii="Arial" w:hAnsi="Arial" w:cs="Arial"/>
                <w:sz w:val="24"/>
                <w:szCs w:val="24"/>
              </w:rPr>
            </w:pPr>
            <w:r>
              <w:rPr>
                <w:rFonts w:hint="eastAsia" w:ascii="Arial" w:hAnsi="Arial" w:cs="Arial"/>
                <w:sz w:val="24"/>
                <w:szCs w:val="24"/>
              </w:rPr>
              <w:t>优先节能产品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产品名称</w:t>
            </w:r>
          </w:p>
        </w:tc>
        <w:tc>
          <w:tcPr>
            <w:tcW w:w="2141"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品牌</w:t>
            </w:r>
          </w:p>
        </w:tc>
        <w:tc>
          <w:tcPr>
            <w:tcW w:w="2209"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产品型号</w:t>
            </w:r>
          </w:p>
        </w:tc>
        <w:tc>
          <w:tcPr>
            <w:tcW w:w="3544"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r>
              <w:rPr>
                <w:rFonts w:ascii="Arial" w:hAnsi="Arial" w:cs="Arial"/>
                <w:sz w:val="24"/>
                <w:szCs w:val="24"/>
              </w:rPr>
              <w:t>......</w:t>
            </w: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bl>
    <w:p>
      <w:pPr>
        <w:snapToGrid w:val="0"/>
        <w:spacing w:line="240" w:lineRule="atLeast"/>
        <w:rPr>
          <w:rFonts w:ascii="Arial" w:hAnsi="Arial" w:cs="Arial"/>
          <w:sz w:val="24"/>
          <w:szCs w:val="24"/>
        </w:rPr>
      </w:pPr>
    </w:p>
    <w:p>
      <w:pPr>
        <w:snapToGrid w:val="0"/>
        <w:spacing w:line="240" w:lineRule="atLeast"/>
        <w:rPr>
          <w:rFonts w:ascii="Arial" w:hAnsi="Arial" w:cs="Arial"/>
          <w:sz w:val="24"/>
          <w:szCs w:val="24"/>
        </w:rPr>
      </w:pPr>
      <w:r>
        <w:rPr>
          <w:rFonts w:hint="eastAsia" w:ascii="Arial" w:hAnsi="Arial" w:cs="Arial"/>
          <w:sz w:val="24"/>
          <w:szCs w:val="21"/>
        </w:rPr>
        <w:t>注：</w:t>
      </w:r>
      <w:r>
        <w:rPr>
          <w:rFonts w:hint="eastAsia" w:ascii="Arial" w:hAnsi="Arial" w:cs="Arial"/>
          <w:sz w:val="24"/>
          <w:szCs w:val="24"/>
        </w:rPr>
        <w:t>所投产品属于节能产品的，投标文件中须提供市场监管总局发布的《参与实施政府采购节能产品认证机构名录》中的认证机构出具的、处于有效期之内的节能产品认证证书扫描件，否则评审时不予认可。</w:t>
      </w:r>
    </w:p>
    <w:p>
      <w:pPr>
        <w:snapToGrid w:val="0"/>
        <w:spacing w:line="240" w:lineRule="atLeast"/>
        <w:rPr>
          <w:rFonts w:ascii="Arial" w:hAnsi="Arial" w:cs="Arial"/>
          <w:sz w:val="24"/>
          <w:szCs w:val="24"/>
        </w:rPr>
      </w:pPr>
    </w:p>
    <w:p>
      <w:pPr>
        <w:snapToGrid w:val="0"/>
        <w:spacing w:line="240" w:lineRule="atLeast"/>
        <w:rPr>
          <w:rFonts w:ascii="Arial" w:hAnsi="Arial" w:cs="Arial"/>
          <w:sz w:val="24"/>
          <w:szCs w:val="24"/>
        </w:rPr>
      </w:pPr>
    </w:p>
    <w:p>
      <w:pPr>
        <w:snapToGrid w:val="0"/>
        <w:spacing w:line="240" w:lineRule="atLeast"/>
        <w:rPr>
          <w:rFonts w:hint="eastAsia" w:ascii="Arial" w:hAnsi="Arial" w:cs="Arial"/>
          <w:sz w:val="24"/>
          <w:szCs w:val="24"/>
        </w:rPr>
      </w:pPr>
      <w:r>
        <w:rPr>
          <w:rFonts w:hint="eastAsia" w:ascii="Arial" w:hAnsi="Arial" w:cs="Arial"/>
          <w:sz w:val="24"/>
          <w:szCs w:val="24"/>
        </w:rPr>
        <w:t>附件</w:t>
      </w:r>
      <w:r>
        <w:rPr>
          <w:rFonts w:ascii="Arial" w:hAnsi="Arial" w:cs="Arial"/>
          <w:sz w:val="24"/>
          <w:szCs w:val="24"/>
        </w:rPr>
        <w:t>2.</w:t>
      </w:r>
      <w:r>
        <w:rPr>
          <w:rFonts w:hint="eastAsia" w:ascii="Arial" w:hAnsi="Arial" w:cs="Arial"/>
          <w:sz w:val="24"/>
          <w:szCs w:val="24"/>
        </w:rPr>
        <w:t>环境标志产品证明材料</w:t>
      </w:r>
    </w:p>
    <w:p>
      <w:pPr>
        <w:pStyle w:val="4"/>
        <w:rPr>
          <w:rFonts w:hint="eastAsia"/>
          <w:lang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141"/>
        <w:gridCol w:w="220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产品名称</w:t>
            </w:r>
          </w:p>
        </w:tc>
        <w:tc>
          <w:tcPr>
            <w:tcW w:w="2141"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品牌</w:t>
            </w:r>
          </w:p>
        </w:tc>
        <w:tc>
          <w:tcPr>
            <w:tcW w:w="2209"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产品型号</w:t>
            </w:r>
          </w:p>
        </w:tc>
        <w:tc>
          <w:tcPr>
            <w:tcW w:w="3544" w:type="dxa"/>
            <w:noWrap w:val="0"/>
            <w:vAlign w:val="center"/>
          </w:tcPr>
          <w:p>
            <w:pPr>
              <w:snapToGrid w:val="0"/>
              <w:spacing w:line="240" w:lineRule="atLeast"/>
              <w:jc w:val="center"/>
              <w:rPr>
                <w:rFonts w:ascii="Arial" w:hAnsi="Arial" w:cs="Arial"/>
                <w:bCs/>
                <w:sz w:val="24"/>
                <w:szCs w:val="24"/>
              </w:rPr>
            </w:pPr>
            <w:r>
              <w:rPr>
                <w:rFonts w:hint="eastAsia" w:ascii="Arial" w:hAnsi="Arial" w:cs="Arial"/>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noWrap w:val="0"/>
            <w:vAlign w:val="center"/>
          </w:tcPr>
          <w:p>
            <w:pPr>
              <w:snapToGrid w:val="0"/>
              <w:spacing w:line="240" w:lineRule="atLeast"/>
              <w:jc w:val="center"/>
              <w:rPr>
                <w:rFonts w:ascii="Arial" w:hAnsi="Arial" w:cs="Arial"/>
                <w:sz w:val="24"/>
                <w:szCs w:val="24"/>
              </w:rPr>
            </w:pPr>
            <w:r>
              <w:rPr>
                <w:rFonts w:ascii="Arial" w:hAnsi="Arial" w:cs="Arial"/>
                <w:sz w:val="24"/>
                <w:szCs w:val="24"/>
              </w:rPr>
              <w:t>......</w:t>
            </w:r>
          </w:p>
        </w:tc>
        <w:tc>
          <w:tcPr>
            <w:tcW w:w="2141" w:type="dxa"/>
            <w:noWrap w:val="0"/>
            <w:vAlign w:val="center"/>
          </w:tcPr>
          <w:p>
            <w:pPr>
              <w:snapToGrid w:val="0"/>
              <w:spacing w:line="240" w:lineRule="atLeast"/>
              <w:jc w:val="center"/>
              <w:rPr>
                <w:rFonts w:ascii="Arial" w:hAnsi="Arial" w:cs="Arial"/>
                <w:sz w:val="24"/>
                <w:szCs w:val="24"/>
              </w:rPr>
            </w:pPr>
          </w:p>
        </w:tc>
        <w:tc>
          <w:tcPr>
            <w:tcW w:w="2209" w:type="dxa"/>
            <w:noWrap w:val="0"/>
            <w:vAlign w:val="center"/>
          </w:tcPr>
          <w:p>
            <w:pPr>
              <w:snapToGrid w:val="0"/>
              <w:spacing w:line="240" w:lineRule="atLeast"/>
              <w:jc w:val="center"/>
              <w:rPr>
                <w:rFonts w:ascii="Arial" w:hAnsi="Arial" w:cs="Arial"/>
                <w:sz w:val="24"/>
                <w:szCs w:val="24"/>
              </w:rPr>
            </w:pPr>
          </w:p>
        </w:tc>
        <w:tc>
          <w:tcPr>
            <w:tcW w:w="3544" w:type="dxa"/>
            <w:noWrap w:val="0"/>
            <w:vAlign w:val="center"/>
          </w:tcPr>
          <w:p>
            <w:pPr>
              <w:snapToGrid w:val="0"/>
              <w:spacing w:line="240" w:lineRule="atLeast"/>
              <w:jc w:val="center"/>
              <w:rPr>
                <w:rFonts w:ascii="Arial" w:hAnsi="Arial" w:cs="Arial"/>
                <w:sz w:val="24"/>
                <w:szCs w:val="24"/>
              </w:rPr>
            </w:pPr>
          </w:p>
        </w:tc>
      </w:tr>
    </w:tbl>
    <w:p>
      <w:pPr>
        <w:snapToGrid w:val="0"/>
        <w:spacing w:line="240" w:lineRule="atLeast"/>
        <w:rPr>
          <w:rFonts w:ascii="Arial" w:hAnsi="Arial" w:cs="Arial"/>
          <w:sz w:val="24"/>
          <w:szCs w:val="24"/>
        </w:rPr>
      </w:pPr>
    </w:p>
    <w:p>
      <w:pPr>
        <w:snapToGrid w:val="0"/>
        <w:spacing w:line="240" w:lineRule="atLeast"/>
        <w:rPr>
          <w:rFonts w:ascii="Arial" w:hAnsi="Arial" w:cs="Arial"/>
          <w:sz w:val="24"/>
          <w:szCs w:val="24"/>
        </w:rPr>
      </w:pPr>
      <w:r>
        <w:rPr>
          <w:rFonts w:hint="eastAsia" w:ascii="Arial" w:hAnsi="Arial" w:cs="Arial"/>
          <w:sz w:val="24"/>
          <w:szCs w:val="21"/>
        </w:rPr>
        <w:t>注：</w:t>
      </w:r>
      <w:r>
        <w:rPr>
          <w:rFonts w:hint="eastAsia" w:ascii="Arial" w:hAnsi="Arial" w:cs="Arial"/>
          <w:sz w:val="24"/>
          <w:szCs w:val="24"/>
        </w:rPr>
        <w:t>所投产品属于环境标志产品的，投标文件中须提供市场监管总局发布的《参与实施政府采购环境标志产品认证机构名录》中的认证机构出具的、处于有效期之内的环境标志产品认证证书扫描件，否则评审时不予认可。</w:t>
      </w:r>
    </w:p>
    <w:p>
      <w:pPr>
        <w:tabs>
          <w:tab w:val="left" w:pos="4620"/>
        </w:tabs>
        <w:spacing w:line="240" w:lineRule="atLeast"/>
        <w:jc w:val="left"/>
        <w:rPr>
          <w:rFonts w:ascii="Arial" w:hAnsi="Arial" w:cs="Arial"/>
          <w:sz w:val="24"/>
        </w:rPr>
      </w:pPr>
    </w:p>
    <w:p>
      <w:pPr>
        <w:spacing w:line="360" w:lineRule="auto"/>
        <w:ind w:firstLine="435"/>
        <w:rPr>
          <w:rFonts w:ascii="Arial" w:hAnsi="Arial" w:cs="Arial"/>
          <w:sz w:val="24"/>
          <w:szCs w:val="24"/>
        </w:rPr>
      </w:pPr>
    </w:p>
    <w:p>
      <w:pPr>
        <w:widowControl/>
        <w:jc w:val="left"/>
        <w:rPr>
          <w:rFonts w:ascii="Arial" w:hAnsi="Arial" w:cs="Arial"/>
          <w:sz w:val="24"/>
        </w:rPr>
      </w:pPr>
      <w:r>
        <w:rPr>
          <w:rFonts w:ascii="Arial" w:hAnsi="Arial" w:cs="Arial"/>
          <w:sz w:val="24"/>
        </w:rPr>
        <w:br w:type="page"/>
      </w:r>
    </w:p>
    <w:p>
      <w:pPr>
        <w:spacing w:line="360" w:lineRule="auto"/>
        <w:jc w:val="center"/>
        <w:outlineLvl w:val="2"/>
        <w:rPr>
          <w:rFonts w:hint="eastAsia" w:ascii="Arial" w:hAnsi="Arial" w:cs="Arial"/>
          <w:b/>
          <w:sz w:val="24"/>
        </w:rPr>
      </w:pPr>
      <w:r>
        <w:rPr>
          <w:rFonts w:hint="eastAsia" w:ascii="Arial" w:hAnsi="Arial" w:cs="Arial"/>
          <w:b/>
          <w:sz w:val="24"/>
        </w:rPr>
        <w:t>十四、投标保证金（本项目不适用）</w:t>
      </w:r>
    </w:p>
    <w:p>
      <w:pPr>
        <w:pStyle w:val="21"/>
        <w:spacing w:line="240" w:lineRule="atLeast"/>
        <w:rPr>
          <w:b w:val="0"/>
          <w:sz w:val="24"/>
        </w:rPr>
      </w:pPr>
      <w:r>
        <w:rPr>
          <w:rFonts w:hint="eastAsia"/>
          <w:b w:val="0"/>
          <w:sz w:val="24"/>
        </w:rPr>
        <w:t>附：凭证复印件或影印件（加盖公章）</w:t>
      </w:r>
    </w:p>
    <w:p>
      <w:pPr>
        <w:pStyle w:val="21"/>
        <w:spacing w:line="240" w:lineRule="atLeast"/>
        <w:jc w:val="both"/>
        <w:rPr>
          <w:b w:val="0"/>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spacing w:line="360" w:lineRule="auto"/>
        <w:jc w:val="center"/>
        <w:outlineLvl w:val="2"/>
        <w:rPr>
          <w:rFonts w:ascii="Arial" w:hAnsi="Arial" w:cs="Arial"/>
          <w:b/>
          <w:sz w:val="24"/>
        </w:rPr>
      </w:pPr>
      <w:r>
        <w:rPr>
          <w:rFonts w:hint="eastAsia" w:ascii="Arial" w:hAnsi="Arial" w:cs="Arial"/>
          <w:b/>
          <w:sz w:val="24"/>
        </w:rPr>
        <w:t>十五、其他相关证明材料</w:t>
      </w:r>
    </w:p>
    <w:p>
      <w:pPr>
        <w:spacing w:line="360" w:lineRule="auto"/>
        <w:ind w:firstLine="435"/>
        <w:rPr>
          <w:rFonts w:ascii="Arial" w:hAnsi="Arial" w:cs="Arial"/>
          <w:sz w:val="24"/>
        </w:rPr>
      </w:pPr>
      <w:r>
        <w:rPr>
          <w:rFonts w:hint="eastAsia" w:ascii="Arial" w:hAnsi="Arial" w:cs="Arial"/>
          <w:sz w:val="24"/>
        </w:rPr>
        <w:t>提供符合招标公告、采购需求及评标方法和标准规定的相关证明文件。</w:t>
      </w:r>
    </w:p>
    <w:p>
      <w:pPr>
        <w:spacing w:line="360" w:lineRule="auto"/>
        <w:ind w:firstLine="480" w:firstLineChars="200"/>
        <w:rPr>
          <w:rFonts w:ascii="Arial" w:hAnsi="Arial" w:cs="Arial"/>
          <w:sz w:val="24"/>
        </w:rPr>
      </w:pPr>
    </w:p>
    <w:p>
      <w:pPr>
        <w:spacing w:line="360" w:lineRule="auto"/>
        <w:jc w:val="center"/>
        <w:outlineLvl w:val="2"/>
        <w:rPr>
          <w:rFonts w:ascii="Arial" w:hAnsi="Arial" w:cs="Arial"/>
          <w:sz w:val="24"/>
        </w:rPr>
      </w:pPr>
      <w:r>
        <w:rPr>
          <w:rFonts w:hint="eastAsia" w:ascii="Arial" w:hAnsi="Arial" w:cs="Arial"/>
          <w:b/>
          <w:sz w:val="24"/>
        </w:rPr>
        <w:t>特别提示：</w:t>
      </w:r>
      <w:r>
        <w:rPr>
          <w:rFonts w:hint="eastAsia" w:ascii="Arial" w:hAnsi="Arial" w:cs="Arial"/>
          <w:sz w:val="24"/>
        </w:rPr>
        <w:t>如营业执照、税务登记证、产品彩页、证书、检测报告、产品图片、授权承诺书等。</w:t>
      </w:r>
    </w:p>
    <w:p>
      <w:pPr>
        <w:widowControl/>
        <w:jc w:val="left"/>
        <w:rPr>
          <w:rFonts w:ascii="Arial" w:hAnsi="Arial" w:cs="Arial"/>
          <w:bCs/>
          <w:sz w:val="24"/>
        </w:rPr>
      </w:pPr>
      <w:r>
        <w:rPr>
          <w:rFonts w:ascii="Arial" w:hAnsi="Arial" w:cs="Arial"/>
          <w:sz w:val="24"/>
        </w:rPr>
        <w:br w:type="page"/>
      </w:r>
    </w:p>
    <w:p>
      <w:pPr>
        <w:spacing w:line="360" w:lineRule="auto"/>
        <w:jc w:val="center"/>
        <w:outlineLvl w:val="1"/>
        <w:rPr>
          <w:rFonts w:ascii="Arial" w:hAnsi="Arial" w:cs="Arial"/>
          <w:b/>
          <w:sz w:val="52"/>
        </w:rPr>
      </w:pPr>
      <w:bookmarkStart w:id="42" w:name="_Toc4932"/>
      <w:bookmarkStart w:id="43" w:name="_Toc3953"/>
      <w:r>
        <w:rPr>
          <w:rFonts w:hint="eastAsia" w:ascii="Arial" w:hAnsi="Arial" w:cs="Arial"/>
          <w:b/>
          <w:bCs/>
          <w:sz w:val="28"/>
        </w:rPr>
        <w:t>第七章</w:t>
      </w:r>
      <w:r>
        <w:rPr>
          <w:rFonts w:ascii="Arial" w:hAnsi="Arial" w:cs="Arial"/>
          <w:b/>
          <w:bCs/>
          <w:sz w:val="28"/>
        </w:rPr>
        <w:t xml:space="preserve">  </w:t>
      </w:r>
      <w:r>
        <w:rPr>
          <w:rFonts w:hint="eastAsia" w:ascii="Arial" w:hAnsi="Arial" w:cs="Arial"/>
          <w:b/>
          <w:bCs/>
          <w:sz w:val="28"/>
        </w:rPr>
        <w:t>政府采购</w:t>
      </w:r>
      <w:r>
        <w:rPr>
          <w:rFonts w:hint="eastAsia" w:ascii="Arial" w:hAnsi="Arial" w:cs="Arial"/>
          <w:b/>
          <w:sz w:val="28"/>
        </w:rPr>
        <w:t>投标人</w:t>
      </w:r>
      <w:r>
        <w:rPr>
          <w:rFonts w:hint="eastAsia" w:ascii="Arial" w:hAnsi="Arial" w:cs="Arial"/>
          <w:b/>
          <w:bCs/>
          <w:sz w:val="28"/>
        </w:rPr>
        <w:t>质疑函范本</w:t>
      </w:r>
      <w:bookmarkEnd w:id="42"/>
      <w:bookmarkEnd w:id="43"/>
    </w:p>
    <w:p>
      <w:pPr>
        <w:jc w:val="center"/>
        <w:rPr>
          <w:rFonts w:ascii="Arial" w:hAnsi="Arial" w:cs="Arial"/>
          <w:b/>
          <w:bCs/>
          <w:sz w:val="32"/>
          <w:szCs w:val="44"/>
        </w:rPr>
      </w:pPr>
      <w:r>
        <w:rPr>
          <w:rFonts w:hint="eastAsia" w:ascii="Arial" w:hAnsi="Arial" w:cs="Arial"/>
          <w:b/>
          <w:bCs/>
          <w:sz w:val="32"/>
          <w:szCs w:val="44"/>
        </w:rPr>
        <w:t>质疑函范本</w:t>
      </w:r>
    </w:p>
    <w:p>
      <w:pPr>
        <w:adjustRightInd w:val="0"/>
        <w:snapToGrid w:val="0"/>
        <w:spacing w:before="312" w:beforeLines="100" w:line="400" w:lineRule="exact"/>
        <w:rPr>
          <w:rFonts w:ascii="Arial" w:hAnsi="Arial" w:cs="Arial"/>
          <w:b/>
          <w:bCs/>
          <w:sz w:val="24"/>
          <w:szCs w:val="24"/>
        </w:rPr>
      </w:pPr>
      <w:r>
        <w:rPr>
          <w:rFonts w:hint="eastAsia" w:ascii="Arial" w:hAnsi="Arial" w:cs="Arial"/>
          <w:b/>
          <w:bCs/>
          <w:sz w:val="24"/>
          <w:szCs w:val="24"/>
        </w:rPr>
        <w:t>一、质疑投标人基本信息</w:t>
      </w:r>
    </w:p>
    <w:p>
      <w:pPr>
        <w:adjustRightInd w:val="0"/>
        <w:snapToGrid w:val="0"/>
        <w:spacing w:line="400" w:lineRule="exact"/>
        <w:rPr>
          <w:rFonts w:ascii="Arial" w:hAnsi="Arial" w:cs="Arial"/>
          <w:sz w:val="24"/>
          <w:szCs w:val="24"/>
          <w:u w:val="dotted"/>
        </w:rPr>
      </w:pPr>
      <w:r>
        <w:rPr>
          <w:rFonts w:hint="eastAsia" w:ascii="Arial" w:hAnsi="Arial" w:cs="Arial"/>
          <w:sz w:val="24"/>
          <w:szCs w:val="24"/>
        </w:rPr>
        <w:t>质疑投标人：</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地址：</w:t>
      </w:r>
      <w:r>
        <w:rPr>
          <w:rFonts w:ascii="Arial" w:hAnsi="Arial" w:cs="Arial"/>
          <w:sz w:val="24"/>
          <w:szCs w:val="24"/>
          <w:u w:val="dotted"/>
        </w:rPr>
        <w:t xml:space="preserve">                          </w:t>
      </w:r>
      <w:r>
        <w:rPr>
          <w:rFonts w:hint="eastAsia" w:ascii="Arial" w:hAnsi="Arial" w:cs="Arial"/>
          <w:sz w:val="24"/>
          <w:szCs w:val="24"/>
        </w:rPr>
        <w:t>邮编：</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联系人：</w:t>
      </w:r>
      <w:r>
        <w:rPr>
          <w:rFonts w:ascii="Arial" w:hAnsi="Arial" w:cs="Arial"/>
          <w:sz w:val="24"/>
          <w:szCs w:val="24"/>
          <w:u w:val="dotted"/>
        </w:rPr>
        <w:t xml:space="preserve">                      </w:t>
      </w:r>
      <w:r>
        <w:rPr>
          <w:rFonts w:hint="eastAsia" w:ascii="Arial" w:hAnsi="Arial" w:cs="Arial"/>
          <w:sz w:val="24"/>
          <w:szCs w:val="24"/>
        </w:rPr>
        <w:t>联系电话：</w:t>
      </w: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hint="eastAsia" w:ascii="Arial" w:hAnsi="Arial" w:cs="Arial"/>
          <w:sz w:val="24"/>
          <w:szCs w:val="24"/>
        </w:rPr>
        <w:t>授权代表：</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联系电话：</w:t>
      </w:r>
      <w:r>
        <w:rPr>
          <w:rFonts w:ascii="Arial" w:hAnsi="Arial" w:cs="Arial"/>
          <w:sz w:val="24"/>
          <w:szCs w:val="24"/>
          <w:u w:val="dotted"/>
        </w:rPr>
        <w:t xml:space="preserve">                                           </w:t>
      </w:r>
      <w:r>
        <w:rPr>
          <w:rFonts w:ascii="Arial" w:hAnsi="Arial" w:cs="Arial"/>
          <w:sz w:val="24"/>
          <w:szCs w:val="24"/>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地址：</w:t>
      </w:r>
      <w:r>
        <w:rPr>
          <w:rFonts w:ascii="Arial" w:hAnsi="Arial" w:cs="Arial"/>
          <w:sz w:val="24"/>
          <w:szCs w:val="24"/>
        </w:rPr>
        <w:t xml:space="preserve"> </w:t>
      </w:r>
      <w:r>
        <w:rPr>
          <w:rFonts w:ascii="Arial" w:hAnsi="Arial" w:cs="Arial"/>
          <w:sz w:val="24"/>
          <w:szCs w:val="24"/>
          <w:u w:val="dotted"/>
        </w:rPr>
        <w:t xml:space="preserve">                        </w:t>
      </w:r>
      <w:r>
        <w:rPr>
          <w:rFonts w:hint="eastAsia" w:ascii="Arial" w:hAnsi="Arial" w:cs="Arial"/>
          <w:sz w:val="24"/>
          <w:szCs w:val="24"/>
        </w:rPr>
        <w:t>邮编：</w:t>
      </w:r>
      <w:r>
        <w:rPr>
          <w:rFonts w:ascii="Arial" w:hAnsi="Arial" w:cs="Arial"/>
          <w:sz w:val="24"/>
          <w:szCs w:val="24"/>
          <w:u w:val="dotted"/>
        </w:rPr>
        <w:t xml:space="preserve">                                                </w:t>
      </w:r>
    </w:p>
    <w:p>
      <w:pPr>
        <w:adjustRightInd w:val="0"/>
        <w:snapToGrid w:val="0"/>
        <w:spacing w:line="400" w:lineRule="exact"/>
        <w:rPr>
          <w:rFonts w:ascii="Arial" w:hAnsi="Arial" w:cs="Arial"/>
          <w:b/>
          <w:bCs/>
          <w:sz w:val="24"/>
          <w:szCs w:val="24"/>
        </w:rPr>
      </w:pPr>
      <w:r>
        <w:rPr>
          <w:rFonts w:hint="eastAsia" w:ascii="Arial" w:hAnsi="Arial" w:cs="Arial"/>
          <w:b/>
          <w:bCs/>
          <w:sz w:val="24"/>
          <w:szCs w:val="24"/>
        </w:rPr>
        <w:t>二、质疑项目基本情况</w:t>
      </w:r>
    </w:p>
    <w:p>
      <w:pPr>
        <w:adjustRightInd w:val="0"/>
        <w:snapToGrid w:val="0"/>
        <w:spacing w:line="400" w:lineRule="exact"/>
        <w:rPr>
          <w:rFonts w:ascii="Arial" w:hAnsi="Arial" w:cs="Arial"/>
          <w:sz w:val="24"/>
          <w:szCs w:val="24"/>
        </w:rPr>
      </w:pPr>
      <w:r>
        <w:rPr>
          <w:rFonts w:hint="eastAsia" w:ascii="Arial" w:hAnsi="Arial" w:cs="Arial"/>
          <w:sz w:val="24"/>
          <w:szCs w:val="24"/>
        </w:rPr>
        <w:t>质疑项目的名称：</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质疑项目的编号：</w:t>
      </w:r>
      <w:r>
        <w:rPr>
          <w:rFonts w:ascii="Arial" w:hAnsi="Arial" w:cs="Arial"/>
          <w:sz w:val="24"/>
          <w:szCs w:val="24"/>
          <w:u w:val="dotted"/>
        </w:rPr>
        <w:t xml:space="preserve">               </w:t>
      </w:r>
      <w:r>
        <w:rPr>
          <w:rFonts w:hint="eastAsia" w:ascii="Arial" w:hAnsi="Arial" w:cs="Arial"/>
          <w:sz w:val="24"/>
          <w:szCs w:val="24"/>
        </w:rPr>
        <w:t>包号：</w:t>
      </w: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hint="eastAsia" w:ascii="Arial" w:hAnsi="Arial" w:cs="Arial"/>
          <w:sz w:val="24"/>
          <w:szCs w:val="24"/>
        </w:rPr>
        <w:t>采购人名称：</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hint="eastAsia" w:ascii="Arial" w:hAnsi="Arial" w:cs="Arial"/>
          <w:sz w:val="24"/>
          <w:szCs w:val="24"/>
        </w:rPr>
        <w:t>采购文件获取日期：</w:t>
      </w:r>
      <w:r>
        <w:rPr>
          <w:rFonts w:ascii="Arial" w:hAnsi="Arial" w:cs="Arial"/>
          <w:sz w:val="24"/>
          <w:szCs w:val="24"/>
          <w:u w:val="dotted"/>
        </w:rPr>
        <w:t xml:space="preserve">                                           </w:t>
      </w:r>
    </w:p>
    <w:p>
      <w:pPr>
        <w:adjustRightInd w:val="0"/>
        <w:snapToGrid w:val="0"/>
        <w:spacing w:line="400" w:lineRule="exact"/>
        <w:rPr>
          <w:rFonts w:ascii="Arial" w:hAnsi="Arial" w:cs="Arial"/>
          <w:b/>
          <w:bCs/>
          <w:sz w:val="24"/>
          <w:szCs w:val="24"/>
        </w:rPr>
      </w:pPr>
      <w:r>
        <w:rPr>
          <w:rFonts w:hint="eastAsia" w:ascii="Arial" w:hAnsi="Arial" w:cs="Arial"/>
          <w:b/>
          <w:bCs/>
          <w:sz w:val="24"/>
          <w:szCs w:val="24"/>
        </w:rPr>
        <w:t>三、质疑事项具体内容</w:t>
      </w:r>
    </w:p>
    <w:p>
      <w:pPr>
        <w:adjustRightInd w:val="0"/>
        <w:snapToGrid w:val="0"/>
        <w:spacing w:line="400" w:lineRule="exact"/>
        <w:rPr>
          <w:rFonts w:ascii="Arial" w:hAnsi="Arial" w:cs="Arial"/>
          <w:sz w:val="24"/>
          <w:szCs w:val="24"/>
          <w:u w:val="dotted"/>
        </w:rPr>
      </w:pPr>
      <w:r>
        <w:rPr>
          <w:rFonts w:hint="eastAsia" w:ascii="Arial" w:hAnsi="Arial" w:cs="Arial"/>
          <w:sz w:val="24"/>
          <w:szCs w:val="24"/>
        </w:rPr>
        <w:t>质疑事项</w:t>
      </w:r>
      <w:r>
        <w:rPr>
          <w:rFonts w:ascii="Arial" w:hAnsi="Arial" w:cs="Arial"/>
          <w:sz w:val="24"/>
          <w:szCs w:val="24"/>
        </w:rPr>
        <w:t>1</w:t>
      </w:r>
      <w:r>
        <w:rPr>
          <w:rFonts w:hint="eastAsia" w:ascii="Arial" w:hAnsi="Arial" w:cs="Arial"/>
          <w:sz w:val="24"/>
          <w:szCs w:val="24"/>
        </w:rPr>
        <w:t>：</w:t>
      </w: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hint="eastAsia" w:ascii="Arial" w:hAnsi="Arial" w:cs="Arial"/>
          <w:sz w:val="24"/>
          <w:szCs w:val="24"/>
        </w:rPr>
        <w:t>事实依据：</w:t>
      </w:r>
      <w:r>
        <w:rPr>
          <w:rFonts w:ascii="Arial" w:hAnsi="Arial" w:cs="Arial"/>
          <w:sz w:val="24"/>
          <w:szCs w:val="24"/>
          <w:u w:val="dotted"/>
        </w:rPr>
        <w:t xml:space="preserve">                                          </w:t>
      </w:r>
    </w:p>
    <w:p>
      <w:pPr>
        <w:adjustRightInd w:val="0"/>
        <w:snapToGrid w:val="0"/>
        <w:spacing w:line="400" w:lineRule="exact"/>
        <w:rPr>
          <w:rFonts w:ascii="Arial" w:hAnsi="Arial" w:cs="Arial"/>
          <w:sz w:val="24"/>
          <w:szCs w:val="24"/>
        </w:rPr>
      </w:pP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hint="eastAsia" w:ascii="Arial" w:hAnsi="Arial" w:cs="Arial"/>
          <w:sz w:val="24"/>
          <w:szCs w:val="24"/>
        </w:rPr>
        <w:t>法律依据：</w:t>
      </w: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ascii="Arial" w:hAnsi="Arial" w:cs="Arial"/>
          <w:sz w:val="24"/>
          <w:szCs w:val="24"/>
          <w:u w:val="dotted"/>
        </w:rPr>
        <w:t xml:space="preserve">                                                     </w:t>
      </w:r>
    </w:p>
    <w:p>
      <w:pPr>
        <w:adjustRightInd w:val="0"/>
        <w:snapToGrid w:val="0"/>
        <w:spacing w:line="400" w:lineRule="exact"/>
        <w:rPr>
          <w:rFonts w:ascii="Arial" w:hAnsi="Arial" w:cs="Arial"/>
          <w:sz w:val="24"/>
          <w:szCs w:val="24"/>
          <w:u w:val="dotted"/>
        </w:rPr>
      </w:pPr>
      <w:r>
        <w:rPr>
          <w:rFonts w:hint="eastAsia" w:ascii="Arial" w:hAnsi="Arial" w:cs="Arial"/>
          <w:sz w:val="24"/>
          <w:szCs w:val="24"/>
        </w:rPr>
        <w:t>质疑事项</w:t>
      </w:r>
      <w:r>
        <w:rPr>
          <w:rFonts w:ascii="Arial" w:hAnsi="Arial" w:cs="Arial"/>
          <w:sz w:val="24"/>
          <w:szCs w:val="24"/>
        </w:rPr>
        <w:t>2</w:t>
      </w:r>
    </w:p>
    <w:p>
      <w:pPr>
        <w:adjustRightInd w:val="0"/>
        <w:snapToGrid w:val="0"/>
        <w:spacing w:line="400" w:lineRule="exact"/>
        <w:rPr>
          <w:rFonts w:ascii="Arial" w:hAnsi="Arial" w:cs="Arial"/>
          <w:sz w:val="24"/>
          <w:szCs w:val="24"/>
        </w:rPr>
      </w:pPr>
      <w:r>
        <w:rPr>
          <w:rFonts w:ascii="Arial" w:hAnsi="Arial" w:cs="Arial"/>
          <w:sz w:val="24"/>
          <w:szCs w:val="24"/>
        </w:rPr>
        <w:t>……</w:t>
      </w:r>
    </w:p>
    <w:p>
      <w:pPr>
        <w:adjustRightInd w:val="0"/>
        <w:snapToGrid w:val="0"/>
        <w:spacing w:line="400" w:lineRule="exact"/>
        <w:rPr>
          <w:rFonts w:ascii="Arial" w:hAnsi="Arial" w:cs="Arial"/>
          <w:b/>
          <w:bCs/>
          <w:sz w:val="24"/>
          <w:szCs w:val="24"/>
        </w:rPr>
      </w:pPr>
      <w:r>
        <w:rPr>
          <w:rFonts w:hint="eastAsia" w:ascii="Arial" w:hAnsi="Arial" w:cs="Arial"/>
          <w:b/>
          <w:bCs/>
          <w:sz w:val="24"/>
          <w:szCs w:val="24"/>
        </w:rPr>
        <w:t>四、与质疑事项相关的质疑请求</w:t>
      </w:r>
    </w:p>
    <w:p>
      <w:pPr>
        <w:adjustRightInd w:val="0"/>
        <w:snapToGrid w:val="0"/>
        <w:spacing w:line="400" w:lineRule="exact"/>
        <w:rPr>
          <w:rFonts w:ascii="Arial" w:hAnsi="Arial" w:cs="Arial"/>
          <w:sz w:val="24"/>
          <w:szCs w:val="24"/>
          <w:u w:val="dotted"/>
        </w:rPr>
      </w:pPr>
      <w:r>
        <w:rPr>
          <w:rFonts w:hint="eastAsia" w:ascii="Arial" w:hAnsi="Arial" w:cs="Arial"/>
          <w:sz w:val="24"/>
          <w:szCs w:val="24"/>
        </w:rPr>
        <w:t>请求：</w:t>
      </w:r>
      <w:r>
        <w:rPr>
          <w:rFonts w:ascii="Arial" w:hAnsi="Arial" w:cs="Arial"/>
          <w:sz w:val="24"/>
          <w:szCs w:val="24"/>
          <w:u w:val="dotted"/>
        </w:rPr>
        <w:t xml:space="preserve">                                               </w:t>
      </w:r>
    </w:p>
    <w:p>
      <w:pPr>
        <w:spacing w:line="400" w:lineRule="exact"/>
        <w:rPr>
          <w:rFonts w:ascii="Arial" w:hAnsi="Arial" w:cs="Arial"/>
          <w:sz w:val="24"/>
          <w:szCs w:val="24"/>
        </w:rPr>
      </w:pPr>
      <w:r>
        <w:rPr>
          <w:rFonts w:hint="eastAsia" w:ascii="Arial" w:hAnsi="Arial" w:cs="Arial"/>
          <w:sz w:val="24"/>
          <w:szCs w:val="24"/>
        </w:rPr>
        <w:t>签字</w:t>
      </w:r>
      <w:r>
        <w:rPr>
          <w:rFonts w:ascii="Arial" w:hAnsi="Arial" w:cs="Arial"/>
          <w:sz w:val="24"/>
          <w:szCs w:val="24"/>
        </w:rPr>
        <w:t>(</w:t>
      </w:r>
      <w:r>
        <w:rPr>
          <w:rFonts w:hint="eastAsia" w:ascii="Arial" w:hAnsi="Arial" w:cs="Arial"/>
          <w:sz w:val="24"/>
          <w:szCs w:val="24"/>
        </w:rPr>
        <w:t>签章</w:t>
      </w:r>
      <w:r>
        <w:rPr>
          <w:rFonts w:ascii="Arial" w:hAnsi="Arial" w:cs="Arial"/>
          <w:sz w:val="24"/>
          <w:szCs w:val="24"/>
        </w:rPr>
        <w:t>)</w:t>
      </w:r>
      <w:r>
        <w:rPr>
          <w:rFonts w:hint="eastAsia" w:ascii="Arial" w:hAnsi="Arial" w:cs="Arial"/>
          <w:sz w:val="24"/>
          <w:szCs w:val="24"/>
        </w:rPr>
        <w:t>：</w:t>
      </w:r>
      <w:r>
        <w:rPr>
          <w:rFonts w:ascii="Arial" w:hAnsi="Arial" w:cs="Arial"/>
          <w:sz w:val="24"/>
          <w:szCs w:val="24"/>
        </w:rPr>
        <w:t xml:space="preserve">                   </w:t>
      </w:r>
      <w:r>
        <w:rPr>
          <w:rFonts w:hint="eastAsia" w:ascii="Arial" w:hAnsi="Arial" w:cs="Arial"/>
          <w:sz w:val="24"/>
          <w:szCs w:val="24"/>
        </w:rPr>
        <w:t>公章：</w:t>
      </w:r>
      <w:r>
        <w:rPr>
          <w:rFonts w:ascii="Arial" w:hAnsi="Arial" w:cs="Arial"/>
          <w:sz w:val="24"/>
          <w:szCs w:val="24"/>
        </w:rPr>
        <w:t xml:space="preserve">                      </w:t>
      </w:r>
    </w:p>
    <w:p>
      <w:pPr>
        <w:spacing w:line="400" w:lineRule="exact"/>
        <w:rPr>
          <w:rFonts w:ascii="Arial" w:hAnsi="Arial" w:cs="Arial"/>
          <w:sz w:val="24"/>
          <w:szCs w:val="24"/>
        </w:rPr>
      </w:pPr>
      <w:r>
        <w:rPr>
          <w:rFonts w:hint="eastAsia" w:ascii="Arial" w:hAnsi="Arial" w:cs="Arial"/>
          <w:sz w:val="24"/>
          <w:szCs w:val="24"/>
        </w:rPr>
        <w:t>日期：</w:t>
      </w:r>
      <w:r>
        <w:rPr>
          <w:rFonts w:ascii="Arial" w:hAnsi="Arial" w:cs="Arial"/>
          <w:sz w:val="24"/>
          <w:szCs w:val="24"/>
        </w:rPr>
        <w:t xml:space="preserve">    </w:t>
      </w:r>
    </w:p>
    <w:p>
      <w:pPr>
        <w:widowControl/>
        <w:spacing w:line="400" w:lineRule="exact"/>
        <w:jc w:val="left"/>
        <w:rPr>
          <w:rFonts w:ascii="Arial" w:hAnsi="Arial" w:cs="Arial"/>
          <w:sz w:val="32"/>
          <w:szCs w:val="32"/>
        </w:rPr>
      </w:pPr>
      <w:r>
        <w:rPr>
          <w:rFonts w:ascii="Arial" w:hAnsi="Arial" w:cs="Arial"/>
          <w:sz w:val="32"/>
          <w:szCs w:val="32"/>
        </w:rPr>
        <w:br w:type="page"/>
      </w:r>
    </w:p>
    <w:p>
      <w:pPr>
        <w:spacing w:line="400" w:lineRule="exact"/>
        <w:rPr>
          <w:rFonts w:ascii="Arial" w:hAnsi="Arial" w:cs="Arial"/>
          <w:b/>
          <w:sz w:val="28"/>
          <w:szCs w:val="32"/>
        </w:rPr>
      </w:pPr>
      <w:r>
        <w:rPr>
          <w:rFonts w:hint="eastAsia" w:ascii="Arial" w:hAnsi="Arial" w:cs="Arial"/>
          <w:b/>
          <w:sz w:val="28"/>
          <w:szCs w:val="32"/>
        </w:rPr>
        <w:t>质疑函制作说明：</w:t>
      </w:r>
    </w:p>
    <w:p>
      <w:pPr>
        <w:spacing w:line="400" w:lineRule="exact"/>
        <w:ind w:firstLine="435"/>
        <w:rPr>
          <w:rFonts w:ascii="Arial" w:hAnsi="Arial" w:cs="Arial"/>
          <w:sz w:val="24"/>
        </w:rPr>
      </w:pPr>
      <w:r>
        <w:rPr>
          <w:rFonts w:ascii="Arial" w:hAnsi="Arial" w:cs="Arial"/>
          <w:sz w:val="24"/>
        </w:rPr>
        <w:t>1.</w:t>
      </w:r>
      <w:r>
        <w:rPr>
          <w:rFonts w:hint="eastAsia" w:ascii="Arial" w:hAnsi="Arial" w:cs="Arial"/>
          <w:sz w:val="24"/>
        </w:rPr>
        <w:t>投标人提出质疑时，应提交质疑函和必要的证明材料。</w:t>
      </w:r>
    </w:p>
    <w:p>
      <w:pPr>
        <w:spacing w:line="400" w:lineRule="exact"/>
        <w:ind w:firstLine="435"/>
        <w:rPr>
          <w:rFonts w:ascii="Arial" w:hAnsi="Arial" w:cs="Arial"/>
          <w:sz w:val="24"/>
        </w:rPr>
      </w:pPr>
      <w:r>
        <w:rPr>
          <w:rFonts w:ascii="Arial" w:hAnsi="Arial" w:cs="Arial"/>
          <w:sz w:val="24"/>
        </w:rPr>
        <w:t>2.</w:t>
      </w:r>
      <w:r>
        <w:rPr>
          <w:rFonts w:hint="eastAsia" w:ascii="Arial" w:hAnsi="Arial" w:cs="Arial"/>
          <w:sz w:val="24"/>
        </w:rPr>
        <w:t>质疑投标人若委托代理人进行质疑的，质疑函应按要求列明</w:t>
      </w:r>
      <w:r>
        <w:rPr>
          <w:rFonts w:ascii="Arial" w:hAnsi="Arial" w:cs="Arial"/>
          <w:sz w:val="24"/>
        </w:rPr>
        <w:t>“</w:t>
      </w:r>
      <w:r>
        <w:rPr>
          <w:rFonts w:hint="eastAsia" w:ascii="Arial" w:hAnsi="Arial" w:cs="Arial"/>
          <w:sz w:val="24"/>
        </w:rPr>
        <w:t>授权代表</w:t>
      </w:r>
      <w:r>
        <w:rPr>
          <w:rFonts w:ascii="Arial" w:hAnsi="Arial" w:cs="Arial"/>
          <w:sz w:val="24"/>
        </w:rPr>
        <w:t>”</w:t>
      </w:r>
      <w:r>
        <w:rPr>
          <w:rFonts w:hint="eastAsia" w:ascii="Arial" w:hAnsi="Arial" w:cs="Arial"/>
          <w:sz w:val="24"/>
        </w:rPr>
        <w:t>的有关内容，并在附件中提交由质疑投标人签署的授权委托书。授权委托书应载明代理人的姓名或者名称、代理事项、具体权限、期限和相关事项。</w:t>
      </w:r>
    </w:p>
    <w:p>
      <w:pPr>
        <w:spacing w:line="400" w:lineRule="exact"/>
        <w:ind w:firstLine="435"/>
        <w:rPr>
          <w:rFonts w:ascii="Arial" w:hAnsi="Arial" w:cs="Arial"/>
          <w:sz w:val="24"/>
        </w:rPr>
      </w:pPr>
      <w:r>
        <w:rPr>
          <w:rFonts w:ascii="Arial" w:hAnsi="Arial" w:cs="Arial"/>
          <w:sz w:val="24"/>
        </w:rPr>
        <w:t>3.</w:t>
      </w:r>
      <w:r>
        <w:rPr>
          <w:rFonts w:hint="eastAsia" w:ascii="Arial" w:hAnsi="Arial" w:cs="Arial"/>
          <w:sz w:val="24"/>
        </w:rPr>
        <w:t>质疑投标人若对项目的某一分包进行质疑，质疑函中应列明具体分包号。</w:t>
      </w:r>
    </w:p>
    <w:p>
      <w:pPr>
        <w:spacing w:line="400" w:lineRule="exact"/>
        <w:ind w:firstLine="435"/>
        <w:rPr>
          <w:rFonts w:ascii="Arial" w:hAnsi="Arial" w:cs="Arial"/>
          <w:sz w:val="24"/>
        </w:rPr>
      </w:pPr>
      <w:r>
        <w:rPr>
          <w:rFonts w:ascii="Arial" w:hAnsi="Arial" w:cs="Arial"/>
          <w:sz w:val="24"/>
        </w:rPr>
        <w:t>4.</w:t>
      </w:r>
      <w:r>
        <w:rPr>
          <w:rFonts w:hint="eastAsia" w:ascii="Arial" w:hAnsi="Arial" w:cs="Arial"/>
          <w:sz w:val="24"/>
        </w:rPr>
        <w:t>质疑函的质疑事项应具体、明确，并有必要的事实依据和法律依据。</w:t>
      </w:r>
    </w:p>
    <w:p>
      <w:pPr>
        <w:spacing w:line="400" w:lineRule="exact"/>
        <w:ind w:firstLine="435"/>
        <w:rPr>
          <w:rFonts w:ascii="Arial" w:hAnsi="Arial" w:cs="Arial"/>
          <w:sz w:val="24"/>
        </w:rPr>
      </w:pPr>
      <w:r>
        <w:rPr>
          <w:rFonts w:ascii="Arial" w:hAnsi="Arial" w:cs="Arial"/>
          <w:sz w:val="24"/>
        </w:rPr>
        <w:t>5.</w:t>
      </w:r>
      <w:r>
        <w:rPr>
          <w:rFonts w:hint="eastAsia" w:ascii="Arial" w:hAnsi="Arial" w:cs="Arial"/>
          <w:sz w:val="24"/>
        </w:rPr>
        <w:t>质疑函的质疑请求应与质疑事项相关。</w:t>
      </w:r>
    </w:p>
    <w:p>
      <w:pPr>
        <w:spacing w:line="400" w:lineRule="exact"/>
        <w:ind w:firstLine="435"/>
        <w:rPr>
          <w:rFonts w:ascii="Arial" w:hAnsi="Arial" w:cs="Arial"/>
          <w:sz w:val="24"/>
        </w:rPr>
      </w:pPr>
      <w:r>
        <w:rPr>
          <w:rFonts w:ascii="Arial" w:hAnsi="Arial" w:cs="Arial"/>
          <w:sz w:val="24"/>
        </w:rPr>
        <w:t>6.</w:t>
      </w:r>
      <w:r>
        <w:rPr>
          <w:rFonts w:hint="eastAsia" w:ascii="Arial" w:hAnsi="Arial" w:cs="Arial"/>
          <w:sz w:val="24"/>
        </w:rPr>
        <w:t>质疑投标人为自然人的，质疑函应由本人签字；质疑投标人为法人或者其他组织的，质疑函应由法定代表人、主要负责人，或者其授权代表签字或者盖章</w:t>
      </w:r>
    </w:p>
    <w:sectPr>
      <w:footerReference r:id="rId7"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00001" w:csb1="00000000"/>
  </w:font>
  <w:font w:name="Sylfaen">
    <w:panose1 w:val="010A0502050306030303"/>
    <w:charset w:val="00"/>
    <w:family w:val="roman"/>
    <w:pitch w:val="default"/>
    <w:sig w:usb0="04000687" w:usb1="00000000" w:usb2="00000000" w:usb3="00000000" w:csb0="2000009F" w:csb1="00000000"/>
  </w:font>
  <w:font w:name="MingLiUfalt">
    <w:altName w:val="MingLiU-ExtB"/>
    <w:panose1 w:val="00000000000000000000"/>
    <w:charset w:val="88"/>
    <w:family w:val="auto"/>
    <w:pitch w:val="default"/>
    <w:sig w:usb0="00000000" w:usb1="00000000" w:usb2="00000010" w:usb3="00000000" w:csb0="00100000" w:csb1="00000000"/>
  </w:font>
  <w:font w:name="Helvetica Neu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ans-serif">
    <w:altName w:val="Arial Unicode MS"/>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Arial" w:hAnsi="Arial" w:cs="Arial"/>
        <w:b/>
        <w:bCs/>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cs="Arial"/>
        <w:b/>
        <w:bCs/>
        <w:szCs w:val="21"/>
      </w:rPr>
    </w:pPr>
    <w:r>
      <w:rPr>
        <w:rFonts w:ascii="Arial" w:hAnsi="Arial" w:cs="Arial"/>
        <w:sz w:val="22"/>
        <w:szCs w:val="22"/>
      </w:rPr>
      <w:t xml:space="preserve">第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sz w:val="22"/>
        <w:szCs w:val="22"/>
      </w:rPr>
      <w:t>34</w:t>
    </w:r>
    <w:r>
      <w:rPr>
        <w:rFonts w:ascii="Arial" w:hAnsi="Arial" w:cs="Arial"/>
        <w:sz w:val="22"/>
        <w:szCs w:val="22"/>
      </w:rPr>
      <w:fldChar w:fldCharType="end"/>
    </w:r>
    <w:r>
      <w:rPr>
        <w:rFonts w:ascii="Arial" w:hAnsi="Arial" w:cs="Arial"/>
        <w:sz w:val="22"/>
        <w:szCs w:val="22"/>
      </w:rPr>
      <w:t xml:space="preserve"> 页 共 </w:t>
    </w:r>
    <w:r>
      <w:rPr>
        <w:rFonts w:ascii="Arial" w:hAnsi="Arial" w:cs="Arial"/>
        <w:sz w:val="22"/>
        <w:szCs w:val="22"/>
      </w:rPr>
      <w:fldChar w:fldCharType="begin"/>
    </w:r>
    <w:r>
      <w:rPr>
        <w:rFonts w:hint="eastAsia" w:ascii="Arial" w:hAnsi="Arial" w:cs="Arial"/>
        <w:sz w:val="22"/>
        <w:szCs w:val="22"/>
      </w:rPr>
      <w:instrText xml:space="preserve">=</w:instrText>
    </w:r>
    <w:r>
      <w:rPr>
        <w:rFonts w:hint="eastAsia" w:ascii="Arial" w:hAnsi="Arial" w:cs="Arial"/>
        <w:sz w:val="22"/>
        <w:szCs w:val="22"/>
      </w:rPr>
      <w:fldChar w:fldCharType="begin"/>
    </w:r>
    <w:r>
      <w:rPr>
        <w:rFonts w:hint="eastAsia" w:ascii="Arial" w:hAnsi="Arial" w:cs="Arial"/>
        <w:sz w:val="22"/>
        <w:szCs w:val="22"/>
      </w:rPr>
      <w:instrText xml:space="preserve"> numpages </w:instrText>
    </w:r>
    <w:r>
      <w:rPr>
        <w:rFonts w:hint="eastAsia" w:ascii="Arial" w:hAnsi="Arial" w:cs="Arial"/>
        <w:sz w:val="22"/>
        <w:szCs w:val="22"/>
      </w:rPr>
      <w:fldChar w:fldCharType="separate"/>
    </w:r>
    <w:r>
      <w:rPr>
        <w:rFonts w:ascii="Arial" w:hAnsi="Arial" w:cs="Arial"/>
        <w:sz w:val="22"/>
        <w:szCs w:val="22"/>
      </w:rPr>
      <w:instrText xml:space="preserve">72</w:instrText>
    </w:r>
    <w:r>
      <w:rPr>
        <w:rFonts w:hint="eastAsia" w:ascii="Arial" w:hAnsi="Arial" w:cs="Arial"/>
        <w:sz w:val="22"/>
        <w:szCs w:val="22"/>
      </w:rPr>
      <w:fldChar w:fldCharType="end"/>
    </w:r>
    <w:r>
      <w:rPr>
        <w:rFonts w:hint="eastAsia" w:ascii="Arial" w:hAnsi="Arial" w:cs="Arial"/>
        <w:sz w:val="22"/>
        <w:szCs w:val="22"/>
      </w:rPr>
      <w:instrText xml:space="preserve">-2</w:instrText>
    </w:r>
    <w:r>
      <w:rPr>
        <w:rFonts w:hint="eastAsia" w:ascii="Arial" w:hAnsi="Arial" w:cs="Arial"/>
        <w:sz w:val="22"/>
        <w:szCs w:val="22"/>
      </w:rPr>
      <w:fldChar w:fldCharType="begin"/>
    </w:r>
    <w:r>
      <w:rPr>
        <w:rFonts w:hint="eastAsia" w:ascii="Arial" w:hAnsi="Arial" w:cs="Arial"/>
        <w:sz w:val="22"/>
        <w:szCs w:val="22"/>
      </w:rPr>
      <w:instrText xml:space="preserve">2</w:instrText>
    </w:r>
    <w:r>
      <w:rPr>
        <w:rFonts w:hint="eastAsia" w:ascii="Arial" w:hAnsi="Arial" w:cs="Arial"/>
        <w:sz w:val="22"/>
        <w:szCs w:val="22"/>
      </w:rPr>
      <w:fldChar w:fldCharType="separate"/>
    </w:r>
    <w:r>
      <w:rPr>
        <w:rFonts w:hint="eastAsia" w:ascii="Arial" w:hAnsi="Arial" w:cs="Arial"/>
        <w:sz w:val="22"/>
        <w:szCs w:val="22"/>
      </w:rPr>
      <w:fldChar w:fldCharType="end"/>
    </w:r>
    <w:r>
      <w:rPr>
        <w:rFonts w:ascii="Arial" w:hAnsi="Arial" w:cs="Arial"/>
        <w:sz w:val="22"/>
        <w:szCs w:val="22"/>
      </w:rPr>
      <w:fldChar w:fldCharType="separate"/>
    </w:r>
    <w:r>
      <w:rPr>
        <w:rFonts w:ascii="Arial" w:hAnsi="Arial" w:cs="Arial"/>
        <w:sz w:val="22"/>
        <w:szCs w:val="22"/>
      </w:rPr>
      <w:t>70</w:t>
    </w:r>
    <w:r>
      <w:rPr>
        <w:rFonts w:ascii="Arial" w:hAnsi="Arial" w:cs="Arial"/>
        <w:sz w:val="22"/>
        <w:szCs w:val="22"/>
      </w:rPr>
      <w:fldChar w:fldCharType="end"/>
    </w:r>
    <w:r>
      <w:rPr>
        <w:rFonts w:ascii="Arial" w:hAnsi="Arial" w:cs="Arial"/>
        <w:sz w:val="22"/>
        <w:szCs w:val="22"/>
      </w:rPr>
      <w:t xml:space="preserve"> 页</w:t>
    </w:r>
  </w:p>
  <w:p>
    <w:pPr>
      <w:snapToGrid w:val="0"/>
      <w:rPr>
        <w:rFonts w:ascii="Arial" w:hAnsi="Arial" w:cs="Arial"/>
        <w:b/>
        <w:bCs/>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宋体" w:hAnsi="宋体" w:eastAsia="宋体"/>
      </w:rPr>
    </w:pPr>
    <w:r>
      <w:rPr>
        <w:rFonts w:hint="eastAsia" w:ascii="宋体" w:hAnsi="宋体" w:eastAsia="宋体"/>
        <w:lang w:val="en-US" w:eastAsia="zh-CN"/>
      </w:rPr>
      <w:t xml:space="preserve">淮南众信政府采购代理服务有限公司  </w:t>
    </w:r>
    <w:r>
      <w:rPr>
        <w:rFonts w:ascii="宋体" w:hAnsi="宋体" w:eastAsia="宋体"/>
      </w:rPr>
      <w:t xml:space="preserve">                                                          </w:t>
    </w:r>
    <w:r>
      <w:rPr>
        <w:rFonts w:hint="eastAsia" w:ascii="宋体" w:hAnsi="宋体" w:eastAsia="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E0A14"/>
    <w:multiLevelType w:val="singleLevel"/>
    <w:tmpl w:val="F98E0A14"/>
    <w:lvl w:ilvl="0" w:tentative="0">
      <w:start w:val="1"/>
      <w:numFmt w:val="chineseCounting"/>
      <w:suff w:val="nothing"/>
      <w:lvlText w:val="%1、"/>
      <w:lvlJc w:val="left"/>
      <w:rPr>
        <w:rFonts w:hint="eastAsia"/>
      </w:rPr>
    </w:lvl>
  </w:abstractNum>
  <w:abstractNum w:abstractNumId="1">
    <w:nsid w:val="010A14B0"/>
    <w:multiLevelType w:val="multilevel"/>
    <w:tmpl w:val="010A14B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DE624F6"/>
    <w:multiLevelType w:val="multilevel"/>
    <w:tmpl w:val="1DE624F6"/>
    <w:lvl w:ilvl="0" w:tentative="0">
      <w:start w:val="1"/>
      <w:numFmt w:val="chineseCountingThousand"/>
      <w:suff w:val="nothing"/>
      <w:lvlText w:val="%1"/>
      <w:lvlJc w:val="left"/>
      <w:pPr>
        <w:ind w:left="420" w:hanging="420"/>
      </w:pPr>
      <w:rPr>
        <w:rFonts w:hint="eastAsia" w:cs="Times New Roman"/>
        <w:b w:val="0"/>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45F51F1A"/>
    <w:multiLevelType w:val="singleLevel"/>
    <w:tmpl w:val="45F51F1A"/>
    <w:lvl w:ilvl="0" w:tentative="0">
      <w:start w:val="1"/>
      <w:numFmt w:val="decimal"/>
      <w:suff w:val="nothing"/>
      <w:lvlText w:val="（%1）"/>
      <w:lvlJc w:val="left"/>
    </w:lvl>
  </w:abstractNum>
  <w:abstractNum w:abstractNumId="4">
    <w:nsid w:val="5DD49D45"/>
    <w:multiLevelType w:val="singleLevel"/>
    <w:tmpl w:val="5DD49D45"/>
    <w:lvl w:ilvl="0" w:tentative="0">
      <w:start w:val="1"/>
      <w:numFmt w:val="decimal"/>
      <w:suff w:val="nothing"/>
      <w:lvlText w:val="（%1）"/>
      <w:lvlJc w:val="left"/>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jNmN2NhMWNhZGM2OTg5OWExYTdhZmQ1MGYyOTEifQ=="/>
  </w:docVars>
  <w:rsids>
    <w:rsidRoot w:val="00276BA1"/>
    <w:rsid w:val="0000043F"/>
    <w:rsid w:val="00002F93"/>
    <w:rsid w:val="000049DA"/>
    <w:rsid w:val="000056B7"/>
    <w:rsid w:val="000078E6"/>
    <w:rsid w:val="00012A13"/>
    <w:rsid w:val="000131F7"/>
    <w:rsid w:val="00016B6C"/>
    <w:rsid w:val="00017E47"/>
    <w:rsid w:val="00020B57"/>
    <w:rsid w:val="00030851"/>
    <w:rsid w:val="00037DBE"/>
    <w:rsid w:val="00042139"/>
    <w:rsid w:val="00042B14"/>
    <w:rsid w:val="00044F49"/>
    <w:rsid w:val="000450C3"/>
    <w:rsid w:val="00050A3F"/>
    <w:rsid w:val="000530EC"/>
    <w:rsid w:val="000544DE"/>
    <w:rsid w:val="00057A5D"/>
    <w:rsid w:val="000636F5"/>
    <w:rsid w:val="000648CF"/>
    <w:rsid w:val="000648D2"/>
    <w:rsid w:val="00064FD0"/>
    <w:rsid w:val="00066FF3"/>
    <w:rsid w:val="00070E0E"/>
    <w:rsid w:val="0007292E"/>
    <w:rsid w:val="0007666F"/>
    <w:rsid w:val="00076DB7"/>
    <w:rsid w:val="00076F10"/>
    <w:rsid w:val="00080FEB"/>
    <w:rsid w:val="00081A7B"/>
    <w:rsid w:val="000839AB"/>
    <w:rsid w:val="00084909"/>
    <w:rsid w:val="000868D6"/>
    <w:rsid w:val="00091FF1"/>
    <w:rsid w:val="00094D41"/>
    <w:rsid w:val="00097CB9"/>
    <w:rsid w:val="000A1D45"/>
    <w:rsid w:val="000A3773"/>
    <w:rsid w:val="000A4640"/>
    <w:rsid w:val="000A6345"/>
    <w:rsid w:val="000A6693"/>
    <w:rsid w:val="000A6B73"/>
    <w:rsid w:val="000A7D94"/>
    <w:rsid w:val="000B1511"/>
    <w:rsid w:val="000B54F4"/>
    <w:rsid w:val="000C1DB1"/>
    <w:rsid w:val="000D1A26"/>
    <w:rsid w:val="000D39BB"/>
    <w:rsid w:val="000D3F37"/>
    <w:rsid w:val="000D6F42"/>
    <w:rsid w:val="000E3C74"/>
    <w:rsid w:val="000E3F9B"/>
    <w:rsid w:val="000E6689"/>
    <w:rsid w:val="000E7345"/>
    <w:rsid w:val="000F014C"/>
    <w:rsid w:val="000F16FB"/>
    <w:rsid w:val="000F172B"/>
    <w:rsid w:val="000F2198"/>
    <w:rsid w:val="000F39B6"/>
    <w:rsid w:val="000F6B7B"/>
    <w:rsid w:val="000F7386"/>
    <w:rsid w:val="00100B0F"/>
    <w:rsid w:val="0010187C"/>
    <w:rsid w:val="001037E3"/>
    <w:rsid w:val="00110911"/>
    <w:rsid w:val="00112B58"/>
    <w:rsid w:val="00116A70"/>
    <w:rsid w:val="0012143A"/>
    <w:rsid w:val="001222C6"/>
    <w:rsid w:val="00126CF2"/>
    <w:rsid w:val="00127BCF"/>
    <w:rsid w:val="001363BB"/>
    <w:rsid w:val="00136D80"/>
    <w:rsid w:val="00137C7C"/>
    <w:rsid w:val="00140687"/>
    <w:rsid w:val="00141707"/>
    <w:rsid w:val="00146421"/>
    <w:rsid w:val="001479CF"/>
    <w:rsid w:val="00147C18"/>
    <w:rsid w:val="00155F64"/>
    <w:rsid w:val="001562EB"/>
    <w:rsid w:val="00157856"/>
    <w:rsid w:val="00157A33"/>
    <w:rsid w:val="00160729"/>
    <w:rsid w:val="00160D83"/>
    <w:rsid w:val="001644D1"/>
    <w:rsid w:val="00166ED8"/>
    <w:rsid w:val="00170C62"/>
    <w:rsid w:val="001714C9"/>
    <w:rsid w:val="00173207"/>
    <w:rsid w:val="001751E5"/>
    <w:rsid w:val="0018119B"/>
    <w:rsid w:val="001826D0"/>
    <w:rsid w:val="00183897"/>
    <w:rsid w:val="001844AB"/>
    <w:rsid w:val="00186864"/>
    <w:rsid w:val="00190F1F"/>
    <w:rsid w:val="00191EF0"/>
    <w:rsid w:val="001944B8"/>
    <w:rsid w:val="00195FBF"/>
    <w:rsid w:val="00196DA3"/>
    <w:rsid w:val="001973CE"/>
    <w:rsid w:val="00197AC4"/>
    <w:rsid w:val="001A5D34"/>
    <w:rsid w:val="001A68E5"/>
    <w:rsid w:val="001B1B1A"/>
    <w:rsid w:val="001B21DF"/>
    <w:rsid w:val="001B2A54"/>
    <w:rsid w:val="001B377F"/>
    <w:rsid w:val="001B5014"/>
    <w:rsid w:val="001B6D61"/>
    <w:rsid w:val="001B7327"/>
    <w:rsid w:val="001C4743"/>
    <w:rsid w:val="001C67F2"/>
    <w:rsid w:val="001C7780"/>
    <w:rsid w:val="001D3409"/>
    <w:rsid w:val="001D53B4"/>
    <w:rsid w:val="001D6740"/>
    <w:rsid w:val="001D7626"/>
    <w:rsid w:val="001E5383"/>
    <w:rsid w:val="001F0268"/>
    <w:rsid w:val="001F28D2"/>
    <w:rsid w:val="001F2F45"/>
    <w:rsid w:val="001F3023"/>
    <w:rsid w:val="001F35F6"/>
    <w:rsid w:val="001F57AD"/>
    <w:rsid w:val="001F74CA"/>
    <w:rsid w:val="002003B6"/>
    <w:rsid w:val="0020287A"/>
    <w:rsid w:val="00204022"/>
    <w:rsid w:val="002049B4"/>
    <w:rsid w:val="0020520B"/>
    <w:rsid w:val="00210B1E"/>
    <w:rsid w:val="00213C55"/>
    <w:rsid w:val="002163CF"/>
    <w:rsid w:val="0021678B"/>
    <w:rsid w:val="002168C4"/>
    <w:rsid w:val="00217148"/>
    <w:rsid w:val="002178B1"/>
    <w:rsid w:val="00223CF4"/>
    <w:rsid w:val="00224C4A"/>
    <w:rsid w:val="0022769B"/>
    <w:rsid w:val="0023407E"/>
    <w:rsid w:val="00236F8C"/>
    <w:rsid w:val="002401CA"/>
    <w:rsid w:val="00240B40"/>
    <w:rsid w:val="002440D8"/>
    <w:rsid w:val="00244182"/>
    <w:rsid w:val="00247222"/>
    <w:rsid w:val="00252659"/>
    <w:rsid w:val="00260B94"/>
    <w:rsid w:val="0026362D"/>
    <w:rsid w:val="00264F2E"/>
    <w:rsid w:val="00271245"/>
    <w:rsid w:val="00272E6E"/>
    <w:rsid w:val="00274A9E"/>
    <w:rsid w:val="00276292"/>
    <w:rsid w:val="00276BA1"/>
    <w:rsid w:val="00277094"/>
    <w:rsid w:val="00281B25"/>
    <w:rsid w:val="00293F49"/>
    <w:rsid w:val="002941FE"/>
    <w:rsid w:val="002A0204"/>
    <w:rsid w:val="002A0372"/>
    <w:rsid w:val="002A0C9D"/>
    <w:rsid w:val="002A1A1D"/>
    <w:rsid w:val="002A28AD"/>
    <w:rsid w:val="002A3AEE"/>
    <w:rsid w:val="002B29EA"/>
    <w:rsid w:val="002B2F5A"/>
    <w:rsid w:val="002B5318"/>
    <w:rsid w:val="002B6D27"/>
    <w:rsid w:val="002C4BA9"/>
    <w:rsid w:val="002C73E2"/>
    <w:rsid w:val="002D1258"/>
    <w:rsid w:val="002D2837"/>
    <w:rsid w:val="002D2965"/>
    <w:rsid w:val="002D3D02"/>
    <w:rsid w:val="002D4CB5"/>
    <w:rsid w:val="002D5712"/>
    <w:rsid w:val="002D684B"/>
    <w:rsid w:val="002E24F4"/>
    <w:rsid w:val="002E3578"/>
    <w:rsid w:val="002E3B26"/>
    <w:rsid w:val="002E4AB8"/>
    <w:rsid w:val="002F092B"/>
    <w:rsid w:val="00300808"/>
    <w:rsid w:val="00303462"/>
    <w:rsid w:val="00307A22"/>
    <w:rsid w:val="00310070"/>
    <w:rsid w:val="003110EC"/>
    <w:rsid w:val="003149DA"/>
    <w:rsid w:val="00327C92"/>
    <w:rsid w:val="003322E9"/>
    <w:rsid w:val="00333292"/>
    <w:rsid w:val="003344E7"/>
    <w:rsid w:val="0033580B"/>
    <w:rsid w:val="0033628B"/>
    <w:rsid w:val="003365E7"/>
    <w:rsid w:val="003378D5"/>
    <w:rsid w:val="003442BD"/>
    <w:rsid w:val="003447AE"/>
    <w:rsid w:val="003473D7"/>
    <w:rsid w:val="00351AC8"/>
    <w:rsid w:val="00353075"/>
    <w:rsid w:val="003548C2"/>
    <w:rsid w:val="00363E02"/>
    <w:rsid w:val="00364A1E"/>
    <w:rsid w:val="00373A96"/>
    <w:rsid w:val="00382384"/>
    <w:rsid w:val="003826C2"/>
    <w:rsid w:val="00383728"/>
    <w:rsid w:val="00391586"/>
    <w:rsid w:val="00392055"/>
    <w:rsid w:val="00394128"/>
    <w:rsid w:val="003947A4"/>
    <w:rsid w:val="00395235"/>
    <w:rsid w:val="0039561A"/>
    <w:rsid w:val="00397BC3"/>
    <w:rsid w:val="00397C7D"/>
    <w:rsid w:val="003A004F"/>
    <w:rsid w:val="003A237E"/>
    <w:rsid w:val="003B0F90"/>
    <w:rsid w:val="003B11FE"/>
    <w:rsid w:val="003B4130"/>
    <w:rsid w:val="003B67D3"/>
    <w:rsid w:val="003B715B"/>
    <w:rsid w:val="003C605E"/>
    <w:rsid w:val="003D19E1"/>
    <w:rsid w:val="003D1D14"/>
    <w:rsid w:val="003D3B55"/>
    <w:rsid w:val="003D6C7C"/>
    <w:rsid w:val="003D6EFB"/>
    <w:rsid w:val="003D7E52"/>
    <w:rsid w:val="003E2010"/>
    <w:rsid w:val="003E25C6"/>
    <w:rsid w:val="003E7ED5"/>
    <w:rsid w:val="003F145B"/>
    <w:rsid w:val="003F721F"/>
    <w:rsid w:val="004011AA"/>
    <w:rsid w:val="00401546"/>
    <w:rsid w:val="0040202C"/>
    <w:rsid w:val="00406508"/>
    <w:rsid w:val="0041456E"/>
    <w:rsid w:val="00414761"/>
    <w:rsid w:val="00414F7E"/>
    <w:rsid w:val="004164F8"/>
    <w:rsid w:val="00420B7F"/>
    <w:rsid w:val="00422B35"/>
    <w:rsid w:val="00427FE7"/>
    <w:rsid w:val="00432609"/>
    <w:rsid w:val="004427B7"/>
    <w:rsid w:val="0044349F"/>
    <w:rsid w:val="00445F1F"/>
    <w:rsid w:val="00451F60"/>
    <w:rsid w:val="00452BB2"/>
    <w:rsid w:val="0045656D"/>
    <w:rsid w:val="00462B44"/>
    <w:rsid w:val="00462D98"/>
    <w:rsid w:val="00470681"/>
    <w:rsid w:val="00471F7A"/>
    <w:rsid w:val="00472A44"/>
    <w:rsid w:val="00473A89"/>
    <w:rsid w:val="00475899"/>
    <w:rsid w:val="00482C78"/>
    <w:rsid w:val="004874AE"/>
    <w:rsid w:val="00490480"/>
    <w:rsid w:val="0049201E"/>
    <w:rsid w:val="00492F27"/>
    <w:rsid w:val="004945B4"/>
    <w:rsid w:val="00494D24"/>
    <w:rsid w:val="004951D1"/>
    <w:rsid w:val="004A27D0"/>
    <w:rsid w:val="004A4D67"/>
    <w:rsid w:val="004B2811"/>
    <w:rsid w:val="004B2D4C"/>
    <w:rsid w:val="004C047B"/>
    <w:rsid w:val="004C3350"/>
    <w:rsid w:val="004C36E8"/>
    <w:rsid w:val="004C5D01"/>
    <w:rsid w:val="004D3D4B"/>
    <w:rsid w:val="004D4017"/>
    <w:rsid w:val="004D5498"/>
    <w:rsid w:val="004D66A5"/>
    <w:rsid w:val="004D6B00"/>
    <w:rsid w:val="004E1D50"/>
    <w:rsid w:val="004E75DC"/>
    <w:rsid w:val="004F0396"/>
    <w:rsid w:val="004F264B"/>
    <w:rsid w:val="004F30FA"/>
    <w:rsid w:val="005003A4"/>
    <w:rsid w:val="00501382"/>
    <w:rsid w:val="005054B9"/>
    <w:rsid w:val="00506E4F"/>
    <w:rsid w:val="00510798"/>
    <w:rsid w:val="00515F12"/>
    <w:rsid w:val="0052202B"/>
    <w:rsid w:val="00522EA5"/>
    <w:rsid w:val="00524A11"/>
    <w:rsid w:val="00526424"/>
    <w:rsid w:val="00527768"/>
    <w:rsid w:val="005327FB"/>
    <w:rsid w:val="00533FCA"/>
    <w:rsid w:val="00536624"/>
    <w:rsid w:val="00540FD6"/>
    <w:rsid w:val="00541FE2"/>
    <w:rsid w:val="00546D49"/>
    <w:rsid w:val="005613F0"/>
    <w:rsid w:val="005616B5"/>
    <w:rsid w:val="00582075"/>
    <w:rsid w:val="00585EB3"/>
    <w:rsid w:val="0058703D"/>
    <w:rsid w:val="00590BCF"/>
    <w:rsid w:val="00591214"/>
    <w:rsid w:val="00592509"/>
    <w:rsid w:val="00593F7B"/>
    <w:rsid w:val="00597B15"/>
    <w:rsid w:val="005A044C"/>
    <w:rsid w:val="005A0CF1"/>
    <w:rsid w:val="005A1BD0"/>
    <w:rsid w:val="005A2C07"/>
    <w:rsid w:val="005B5328"/>
    <w:rsid w:val="005B5C95"/>
    <w:rsid w:val="005B7D26"/>
    <w:rsid w:val="005D0200"/>
    <w:rsid w:val="005D3870"/>
    <w:rsid w:val="005D44EF"/>
    <w:rsid w:val="005D4814"/>
    <w:rsid w:val="005D4CB2"/>
    <w:rsid w:val="005D5112"/>
    <w:rsid w:val="005E5AF3"/>
    <w:rsid w:val="005F3914"/>
    <w:rsid w:val="005F3B5A"/>
    <w:rsid w:val="005F44C8"/>
    <w:rsid w:val="005F6AB4"/>
    <w:rsid w:val="0060254D"/>
    <w:rsid w:val="00610A66"/>
    <w:rsid w:val="00613177"/>
    <w:rsid w:val="00613F7C"/>
    <w:rsid w:val="00614BF2"/>
    <w:rsid w:val="006208CB"/>
    <w:rsid w:val="00623DE2"/>
    <w:rsid w:val="00623F4D"/>
    <w:rsid w:val="00627601"/>
    <w:rsid w:val="006300D0"/>
    <w:rsid w:val="00630771"/>
    <w:rsid w:val="00632012"/>
    <w:rsid w:val="00634447"/>
    <w:rsid w:val="00634694"/>
    <w:rsid w:val="00635F9D"/>
    <w:rsid w:val="00636517"/>
    <w:rsid w:val="00637690"/>
    <w:rsid w:val="00640700"/>
    <w:rsid w:val="00640E1E"/>
    <w:rsid w:val="00641A46"/>
    <w:rsid w:val="0064389A"/>
    <w:rsid w:val="00645442"/>
    <w:rsid w:val="0065099F"/>
    <w:rsid w:val="006525CD"/>
    <w:rsid w:val="00653F7F"/>
    <w:rsid w:val="00656AB2"/>
    <w:rsid w:val="006609F5"/>
    <w:rsid w:val="00662EE8"/>
    <w:rsid w:val="00663813"/>
    <w:rsid w:val="00663C3B"/>
    <w:rsid w:val="00664AFD"/>
    <w:rsid w:val="00667567"/>
    <w:rsid w:val="0067391A"/>
    <w:rsid w:val="00674173"/>
    <w:rsid w:val="0067535A"/>
    <w:rsid w:val="006817B6"/>
    <w:rsid w:val="0068207B"/>
    <w:rsid w:val="00682770"/>
    <w:rsid w:val="00683CA0"/>
    <w:rsid w:val="00690DB1"/>
    <w:rsid w:val="00693404"/>
    <w:rsid w:val="006953D9"/>
    <w:rsid w:val="006A1AA2"/>
    <w:rsid w:val="006B1242"/>
    <w:rsid w:val="006B1DBC"/>
    <w:rsid w:val="006B597A"/>
    <w:rsid w:val="006B63B7"/>
    <w:rsid w:val="006B77A2"/>
    <w:rsid w:val="006B7D9A"/>
    <w:rsid w:val="006C0487"/>
    <w:rsid w:val="006C06D9"/>
    <w:rsid w:val="006C2B83"/>
    <w:rsid w:val="006C5716"/>
    <w:rsid w:val="006C6B81"/>
    <w:rsid w:val="006C74A9"/>
    <w:rsid w:val="006D07DE"/>
    <w:rsid w:val="006D394E"/>
    <w:rsid w:val="006E06D9"/>
    <w:rsid w:val="006E1D40"/>
    <w:rsid w:val="006E2E1F"/>
    <w:rsid w:val="006E39DC"/>
    <w:rsid w:val="006F4326"/>
    <w:rsid w:val="006F5FFF"/>
    <w:rsid w:val="006F6E33"/>
    <w:rsid w:val="006F7AF3"/>
    <w:rsid w:val="007054AA"/>
    <w:rsid w:val="00705637"/>
    <w:rsid w:val="00707B8C"/>
    <w:rsid w:val="00710018"/>
    <w:rsid w:val="0071062C"/>
    <w:rsid w:val="00710804"/>
    <w:rsid w:val="00711FC6"/>
    <w:rsid w:val="007130B1"/>
    <w:rsid w:val="00715071"/>
    <w:rsid w:val="007169C4"/>
    <w:rsid w:val="007200D3"/>
    <w:rsid w:val="00720459"/>
    <w:rsid w:val="007231E9"/>
    <w:rsid w:val="0072602E"/>
    <w:rsid w:val="00727C59"/>
    <w:rsid w:val="0073379E"/>
    <w:rsid w:val="00734B06"/>
    <w:rsid w:val="00734E5D"/>
    <w:rsid w:val="00736013"/>
    <w:rsid w:val="00737661"/>
    <w:rsid w:val="00741BD0"/>
    <w:rsid w:val="00750594"/>
    <w:rsid w:val="00752746"/>
    <w:rsid w:val="00755D75"/>
    <w:rsid w:val="00756245"/>
    <w:rsid w:val="00761662"/>
    <w:rsid w:val="00764043"/>
    <w:rsid w:val="007757CF"/>
    <w:rsid w:val="00776FFC"/>
    <w:rsid w:val="007770AF"/>
    <w:rsid w:val="007805E4"/>
    <w:rsid w:val="0078128F"/>
    <w:rsid w:val="00782083"/>
    <w:rsid w:val="007822C4"/>
    <w:rsid w:val="0078683C"/>
    <w:rsid w:val="00790EDB"/>
    <w:rsid w:val="00791538"/>
    <w:rsid w:val="0079326E"/>
    <w:rsid w:val="00794392"/>
    <w:rsid w:val="00796EDE"/>
    <w:rsid w:val="007A27A9"/>
    <w:rsid w:val="007A5A58"/>
    <w:rsid w:val="007A6740"/>
    <w:rsid w:val="007B1C56"/>
    <w:rsid w:val="007B1C62"/>
    <w:rsid w:val="007B4996"/>
    <w:rsid w:val="007C3CD5"/>
    <w:rsid w:val="007C61EF"/>
    <w:rsid w:val="007D000A"/>
    <w:rsid w:val="007D120F"/>
    <w:rsid w:val="007D1C0D"/>
    <w:rsid w:val="007D2D23"/>
    <w:rsid w:val="007E27D6"/>
    <w:rsid w:val="007E3921"/>
    <w:rsid w:val="007E62FC"/>
    <w:rsid w:val="007F0311"/>
    <w:rsid w:val="007F6FA6"/>
    <w:rsid w:val="00801028"/>
    <w:rsid w:val="00803793"/>
    <w:rsid w:val="008149FD"/>
    <w:rsid w:val="00817A01"/>
    <w:rsid w:val="00822ADF"/>
    <w:rsid w:val="00825E35"/>
    <w:rsid w:val="008317C6"/>
    <w:rsid w:val="008334F8"/>
    <w:rsid w:val="008341AA"/>
    <w:rsid w:val="00835D8E"/>
    <w:rsid w:val="00841F4D"/>
    <w:rsid w:val="00844D03"/>
    <w:rsid w:val="00847B0F"/>
    <w:rsid w:val="00851E11"/>
    <w:rsid w:val="00852111"/>
    <w:rsid w:val="008577E7"/>
    <w:rsid w:val="00860A6D"/>
    <w:rsid w:val="0086781A"/>
    <w:rsid w:val="008700FC"/>
    <w:rsid w:val="00872115"/>
    <w:rsid w:val="00876659"/>
    <w:rsid w:val="0087734C"/>
    <w:rsid w:val="00882141"/>
    <w:rsid w:val="00883012"/>
    <w:rsid w:val="00883667"/>
    <w:rsid w:val="008922A8"/>
    <w:rsid w:val="00894A96"/>
    <w:rsid w:val="00895BD5"/>
    <w:rsid w:val="008A16C4"/>
    <w:rsid w:val="008A6D32"/>
    <w:rsid w:val="008A6FED"/>
    <w:rsid w:val="008B39C5"/>
    <w:rsid w:val="008B51AA"/>
    <w:rsid w:val="008B5FA7"/>
    <w:rsid w:val="008C67F2"/>
    <w:rsid w:val="008D064A"/>
    <w:rsid w:val="008D2B0F"/>
    <w:rsid w:val="008D7986"/>
    <w:rsid w:val="008E0FD6"/>
    <w:rsid w:val="008E3265"/>
    <w:rsid w:val="008E32ED"/>
    <w:rsid w:val="008E449E"/>
    <w:rsid w:val="008E67F2"/>
    <w:rsid w:val="008F169B"/>
    <w:rsid w:val="008F187F"/>
    <w:rsid w:val="008F3815"/>
    <w:rsid w:val="008F3EB3"/>
    <w:rsid w:val="008F402F"/>
    <w:rsid w:val="008F55FA"/>
    <w:rsid w:val="008F76E8"/>
    <w:rsid w:val="008F7CD0"/>
    <w:rsid w:val="00902902"/>
    <w:rsid w:val="009078A1"/>
    <w:rsid w:val="00911E9C"/>
    <w:rsid w:val="00915083"/>
    <w:rsid w:val="00917405"/>
    <w:rsid w:val="00920F7C"/>
    <w:rsid w:val="009247A2"/>
    <w:rsid w:val="00934CAE"/>
    <w:rsid w:val="0094257D"/>
    <w:rsid w:val="00942F60"/>
    <w:rsid w:val="0095467C"/>
    <w:rsid w:val="00954A61"/>
    <w:rsid w:val="00955C6F"/>
    <w:rsid w:val="00966C7B"/>
    <w:rsid w:val="009701DC"/>
    <w:rsid w:val="009715D8"/>
    <w:rsid w:val="009733C7"/>
    <w:rsid w:val="00983350"/>
    <w:rsid w:val="00985C4B"/>
    <w:rsid w:val="0099126D"/>
    <w:rsid w:val="009943C1"/>
    <w:rsid w:val="00995BF9"/>
    <w:rsid w:val="009A0CAF"/>
    <w:rsid w:val="009A1474"/>
    <w:rsid w:val="009A2207"/>
    <w:rsid w:val="009A780F"/>
    <w:rsid w:val="009B5CB7"/>
    <w:rsid w:val="009B6C42"/>
    <w:rsid w:val="009D31F7"/>
    <w:rsid w:val="009D32C2"/>
    <w:rsid w:val="009D50DB"/>
    <w:rsid w:val="009E3A0A"/>
    <w:rsid w:val="009F3E91"/>
    <w:rsid w:val="009F4442"/>
    <w:rsid w:val="009F5CAD"/>
    <w:rsid w:val="009F6CE7"/>
    <w:rsid w:val="00A06ACD"/>
    <w:rsid w:val="00A1225F"/>
    <w:rsid w:val="00A1499B"/>
    <w:rsid w:val="00A159D6"/>
    <w:rsid w:val="00A15F2D"/>
    <w:rsid w:val="00A20475"/>
    <w:rsid w:val="00A20879"/>
    <w:rsid w:val="00A22F0E"/>
    <w:rsid w:val="00A24824"/>
    <w:rsid w:val="00A24E55"/>
    <w:rsid w:val="00A314C2"/>
    <w:rsid w:val="00A4479F"/>
    <w:rsid w:val="00A456C2"/>
    <w:rsid w:val="00A45813"/>
    <w:rsid w:val="00A53155"/>
    <w:rsid w:val="00A53780"/>
    <w:rsid w:val="00A56A84"/>
    <w:rsid w:val="00A62740"/>
    <w:rsid w:val="00A63E86"/>
    <w:rsid w:val="00A65A1C"/>
    <w:rsid w:val="00A700EB"/>
    <w:rsid w:val="00A757C3"/>
    <w:rsid w:val="00A75E5B"/>
    <w:rsid w:val="00A7684A"/>
    <w:rsid w:val="00A77977"/>
    <w:rsid w:val="00A81D9A"/>
    <w:rsid w:val="00A82AED"/>
    <w:rsid w:val="00A83B69"/>
    <w:rsid w:val="00A86533"/>
    <w:rsid w:val="00A9176A"/>
    <w:rsid w:val="00A91CA2"/>
    <w:rsid w:val="00A92FB8"/>
    <w:rsid w:val="00A948F1"/>
    <w:rsid w:val="00AA1D7D"/>
    <w:rsid w:val="00AB139D"/>
    <w:rsid w:val="00AB2C46"/>
    <w:rsid w:val="00AB3EFB"/>
    <w:rsid w:val="00AC010B"/>
    <w:rsid w:val="00AC0B05"/>
    <w:rsid w:val="00AC11E1"/>
    <w:rsid w:val="00AC4477"/>
    <w:rsid w:val="00AD079A"/>
    <w:rsid w:val="00AD1890"/>
    <w:rsid w:val="00AD3F94"/>
    <w:rsid w:val="00AE0DB2"/>
    <w:rsid w:val="00AE2149"/>
    <w:rsid w:val="00AE33AE"/>
    <w:rsid w:val="00AE3785"/>
    <w:rsid w:val="00AE3CB7"/>
    <w:rsid w:val="00AE3F91"/>
    <w:rsid w:val="00AE452F"/>
    <w:rsid w:val="00AE76E6"/>
    <w:rsid w:val="00AF07BC"/>
    <w:rsid w:val="00AF27BD"/>
    <w:rsid w:val="00AF3BEE"/>
    <w:rsid w:val="00B02317"/>
    <w:rsid w:val="00B039E3"/>
    <w:rsid w:val="00B043C1"/>
    <w:rsid w:val="00B141B9"/>
    <w:rsid w:val="00B22838"/>
    <w:rsid w:val="00B24B6F"/>
    <w:rsid w:val="00B25D07"/>
    <w:rsid w:val="00B315CA"/>
    <w:rsid w:val="00B31CE4"/>
    <w:rsid w:val="00B32BC1"/>
    <w:rsid w:val="00B3355B"/>
    <w:rsid w:val="00B33E95"/>
    <w:rsid w:val="00B3720B"/>
    <w:rsid w:val="00B40EE3"/>
    <w:rsid w:val="00B41BB4"/>
    <w:rsid w:val="00B420A5"/>
    <w:rsid w:val="00B55271"/>
    <w:rsid w:val="00B5558A"/>
    <w:rsid w:val="00B56513"/>
    <w:rsid w:val="00B56B2E"/>
    <w:rsid w:val="00B62FAF"/>
    <w:rsid w:val="00B64376"/>
    <w:rsid w:val="00B71F23"/>
    <w:rsid w:val="00B73039"/>
    <w:rsid w:val="00B7401F"/>
    <w:rsid w:val="00B7428F"/>
    <w:rsid w:val="00B806C3"/>
    <w:rsid w:val="00B80B59"/>
    <w:rsid w:val="00B81285"/>
    <w:rsid w:val="00B84FCA"/>
    <w:rsid w:val="00B9089F"/>
    <w:rsid w:val="00B91AEE"/>
    <w:rsid w:val="00B95F5A"/>
    <w:rsid w:val="00B963CA"/>
    <w:rsid w:val="00B96EAD"/>
    <w:rsid w:val="00BA1D89"/>
    <w:rsid w:val="00BA79F5"/>
    <w:rsid w:val="00BB02E8"/>
    <w:rsid w:val="00BB3AB6"/>
    <w:rsid w:val="00BB5D2E"/>
    <w:rsid w:val="00BB766D"/>
    <w:rsid w:val="00BC007B"/>
    <w:rsid w:val="00BC26BA"/>
    <w:rsid w:val="00BC35F8"/>
    <w:rsid w:val="00BC5A08"/>
    <w:rsid w:val="00BD3944"/>
    <w:rsid w:val="00BD40E7"/>
    <w:rsid w:val="00BD4F81"/>
    <w:rsid w:val="00BD6513"/>
    <w:rsid w:val="00BD7BDF"/>
    <w:rsid w:val="00BE2C0D"/>
    <w:rsid w:val="00BE57CE"/>
    <w:rsid w:val="00BE5E1B"/>
    <w:rsid w:val="00BF1AD3"/>
    <w:rsid w:val="00BF376F"/>
    <w:rsid w:val="00BF46A6"/>
    <w:rsid w:val="00BF62CF"/>
    <w:rsid w:val="00BF73D6"/>
    <w:rsid w:val="00C01623"/>
    <w:rsid w:val="00C025D4"/>
    <w:rsid w:val="00C06545"/>
    <w:rsid w:val="00C06689"/>
    <w:rsid w:val="00C1161C"/>
    <w:rsid w:val="00C20E53"/>
    <w:rsid w:val="00C220FC"/>
    <w:rsid w:val="00C22429"/>
    <w:rsid w:val="00C24DFA"/>
    <w:rsid w:val="00C26FFF"/>
    <w:rsid w:val="00C3455E"/>
    <w:rsid w:val="00C4202A"/>
    <w:rsid w:val="00C46A36"/>
    <w:rsid w:val="00C46C5C"/>
    <w:rsid w:val="00C47037"/>
    <w:rsid w:val="00C53625"/>
    <w:rsid w:val="00C602C1"/>
    <w:rsid w:val="00C63EA5"/>
    <w:rsid w:val="00C63FC0"/>
    <w:rsid w:val="00C66392"/>
    <w:rsid w:val="00C7170A"/>
    <w:rsid w:val="00C74C5E"/>
    <w:rsid w:val="00C827A2"/>
    <w:rsid w:val="00C82B69"/>
    <w:rsid w:val="00C90921"/>
    <w:rsid w:val="00C91B28"/>
    <w:rsid w:val="00C91F3A"/>
    <w:rsid w:val="00CA06E3"/>
    <w:rsid w:val="00CA778B"/>
    <w:rsid w:val="00CB4180"/>
    <w:rsid w:val="00CB5797"/>
    <w:rsid w:val="00CC03A5"/>
    <w:rsid w:val="00CC1202"/>
    <w:rsid w:val="00CC62DC"/>
    <w:rsid w:val="00CD09E1"/>
    <w:rsid w:val="00CD6202"/>
    <w:rsid w:val="00CE1F92"/>
    <w:rsid w:val="00CE2486"/>
    <w:rsid w:val="00CE3B60"/>
    <w:rsid w:val="00CE4913"/>
    <w:rsid w:val="00CE4EF9"/>
    <w:rsid w:val="00CE66BD"/>
    <w:rsid w:val="00CF0671"/>
    <w:rsid w:val="00CF07F1"/>
    <w:rsid w:val="00CF15B3"/>
    <w:rsid w:val="00CF2038"/>
    <w:rsid w:val="00CF44AD"/>
    <w:rsid w:val="00CF4FC0"/>
    <w:rsid w:val="00CF7069"/>
    <w:rsid w:val="00D103DB"/>
    <w:rsid w:val="00D1072F"/>
    <w:rsid w:val="00D108A5"/>
    <w:rsid w:val="00D11DAC"/>
    <w:rsid w:val="00D14585"/>
    <w:rsid w:val="00D20EFF"/>
    <w:rsid w:val="00D24FED"/>
    <w:rsid w:val="00D30FC0"/>
    <w:rsid w:val="00D34F0D"/>
    <w:rsid w:val="00D3516E"/>
    <w:rsid w:val="00D4064C"/>
    <w:rsid w:val="00D53ED8"/>
    <w:rsid w:val="00D60338"/>
    <w:rsid w:val="00D64857"/>
    <w:rsid w:val="00D6493A"/>
    <w:rsid w:val="00D67875"/>
    <w:rsid w:val="00D71CBD"/>
    <w:rsid w:val="00D71E86"/>
    <w:rsid w:val="00D731C6"/>
    <w:rsid w:val="00D745C5"/>
    <w:rsid w:val="00D75327"/>
    <w:rsid w:val="00D80C36"/>
    <w:rsid w:val="00D822B2"/>
    <w:rsid w:val="00D86779"/>
    <w:rsid w:val="00D86D5E"/>
    <w:rsid w:val="00D86DF1"/>
    <w:rsid w:val="00D86EE1"/>
    <w:rsid w:val="00D936BC"/>
    <w:rsid w:val="00D942FE"/>
    <w:rsid w:val="00D96126"/>
    <w:rsid w:val="00DA10C6"/>
    <w:rsid w:val="00DB4B1C"/>
    <w:rsid w:val="00DB5085"/>
    <w:rsid w:val="00DB7706"/>
    <w:rsid w:val="00DC1062"/>
    <w:rsid w:val="00DC132C"/>
    <w:rsid w:val="00DC2A4F"/>
    <w:rsid w:val="00DD36A6"/>
    <w:rsid w:val="00DD43F0"/>
    <w:rsid w:val="00DD44DE"/>
    <w:rsid w:val="00DE09AB"/>
    <w:rsid w:val="00DE12D3"/>
    <w:rsid w:val="00DE4A3F"/>
    <w:rsid w:val="00DE5639"/>
    <w:rsid w:val="00DE6583"/>
    <w:rsid w:val="00DF01C5"/>
    <w:rsid w:val="00DF4367"/>
    <w:rsid w:val="00DF6C1D"/>
    <w:rsid w:val="00E0574A"/>
    <w:rsid w:val="00E1243D"/>
    <w:rsid w:val="00E12742"/>
    <w:rsid w:val="00E146D4"/>
    <w:rsid w:val="00E20976"/>
    <w:rsid w:val="00E21F00"/>
    <w:rsid w:val="00E22063"/>
    <w:rsid w:val="00E22B44"/>
    <w:rsid w:val="00E22E08"/>
    <w:rsid w:val="00E255FE"/>
    <w:rsid w:val="00E30ACD"/>
    <w:rsid w:val="00E30B85"/>
    <w:rsid w:val="00E32735"/>
    <w:rsid w:val="00E32994"/>
    <w:rsid w:val="00E337E9"/>
    <w:rsid w:val="00E359A3"/>
    <w:rsid w:val="00E417E4"/>
    <w:rsid w:val="00E42A29"/>
    <w:rsid w:val="00E42D45"/>
    <w:rsid w:val="00E45A83"/>
    <w:rsid w:val="00E5285C"/>
    <w:rsid w:val="00E5391D"/>
    <w:rsid w:val="00E66552"/>
    <w:rsid w:val="00E66E36"/>
    <w:rsid w:val="00E702ED"/>
    <w:rsid w:val="00E709A4"/>
    <w:rsid w:val="00E73822"/>
    <w:rsid w:val="00E772DB"/>
    <w:rsid w:val="00E86012"/>
    <w:rsid w:val="00E86BAB"/>
    <w:rsid w:val="00E94203"/>
    <w:rsid w:val="00E94E10"/>
    <w:rsid w:val="00E954BD"/>
    <w:rsid w:val="00E96743"/>
    <w:rsid w:val="00E96A42"/>
    <w:rsid w:val="00EA0A36"/>
    <w:rsid w:val="00EA49C5"/>
    <w:rsid w:val="00EB5027"/>
    <w:rsid w:val="00EC1836"/>
    <w:rsid w:val="00EC3990"/>
    <w:rsid w:val="00EC3EDA"/>
    <w:rsid w:val="00EC484B"/>
    <w:rsid w:val="00ED140A"/>
    <w:rsid w:val="00ED15FA"/>
    <w:rsid w:val="00ED6472"/>
    <w:rsid w:val="00EE1D6D"/>
    <w:rsid w:val="00EE6E9A"/>
    <w:rsid w:val="00EF0BF1"/>
    <w:rsid w:val="00EF2AC4"/>
    <w:rsid w:val="00EF397E"/>
    <w:rsid w:val="00EF7AA0"/>
    <w:rsid w:val="00F05FD0"/>
    <w:rsid w:val="00F06F68"/>
    <w:rsid w:val="00F07241"/>
    <w:rsid w:val="00F136A5"/>
    <w:rsid w:val="00F1713B"/>
    <w:rsid w:val="00F171E6"/>
    <w:rsid w:val="00F17F1C"/>
    <w:rsid w:val="00F212CB"/>
    <w:rsid w:val="00F243DB"/>
    <w:rsid w:val="00F24C2D"/>
    <w:rsid w:val="00F24F1B"/>
    <w:rsid w:val="00F27356"/>
    <w:rsid w:val="00F31609"/>
    <w:rsid w:val="00F31BDA"/>
    <w:rsid w:val="00F32034"/>
    <w:rsid w:val="00F32A81"/>
    <w:rsid w:val="00F34EA8"/>
    <w:rsid w:val="00F430F6"/>
    <w:rsid w:val="00F45C48"/>
    <w:rsid w:val="00F4680A"/>
    <w:rsid w:val="00F46998"/>
    <w:rsid w:val="00F47100"/>
    <w:rsid w:val="00F5382D"/>
    <w:rsid w:val="00F53D9C"/>
    <w:rsid w:val="00F5462B"/>
    <w:rsid w:val="00F55D91"/>
    <w:rsid w:val="00F634AD"/>
    <w:rsid w:val="00F63677"/>
    <w:rsid w:val="00F72BFC"/>
    <w:rsid w:val="00F75B81"/>
    <w:rsid w:val="00F804C4"/>
    <w:rsid w:val="00F82F83"/>
    <w:rsid w:val="00F832E5"/>
    <w:rsid w:val="00F90087"/>
    <w:rsid w:val="00F90F40"/>
    <w:rsid w:val="00F92B30"/>
    <w:rsid w:val="00F933B9"/>
    <w:rsid w:val="00F94674"/>
    <w:rsid w:val="00F94919"/>
    <w:rsid w:val="00F94A59"/>
    <w:rsid w:val="00F97942"/>
    <w:rsid w:val="00FA25B6"/>
    <w:rsid w:val="00FA2DF3"/>
    <w:rsid w:val="00FA2FAF"/>
    <w:rsid w:val="00FA5CCF"/>
    <w:rsid w:val="00FA64B1"/>
    <w:rsid w:val="00FA70F3"/>
    <w:rsid w:val="00FA71CD"/>
    <w:rsid w:val="00FB0453"/>
    <w:rsid w:val="00FB0C07"/>
    <w:rsid w:val="00FB298D"/>
    <w:rsid w:val="00FC1439"/>
    <w:rsid w:val="00FC35D5"/>
    <w:rsid w:val="00FC724B"/>
    <w:rsid w:val="00FC7910"/>
    <w:rsid w:val="00FD1A52"/>
    <w:rsid w:val="00FD4DFE"/>
    <w:rsid w:val="00FE0CF4"/>
    <w:rsid w:val="00FE37E2"/>
    <w:rsid w:val="00FE531E"/>
    <w:rsid w:val="00FE72A6"/>
    <w:rsid w:val="00FE7B34"/>
    <w:rsid w:val="00FF0B24"/>
    <w:rsid w:val="00FF0DA7"/>
    <w:rsid w:val="00FF44E0"/>
    <w:rsid w:val="00FF6C72"/>
    <w:rsid w:val="017659F6"/>
    <w:rsid w:val="01A21D3D"/>
    <w:rsid w:val="01AF35D1"/>
    <w:rsid w:val="01D07389"/>
    <w:rsid w:val="01DD66A6"/>
    <w:rsid w:val="01E6582A"/>
    <w:rsid w:val="02754234"/>
    <w:rsid w:val="029562F4"/>
    <w:rsid w:val="02AA6CEC"/>
    <w:rsid w:val="02D45932"/>
    <w:rsid w:val="03071604"/>
    <w:rsid w:val="030F336D"/>
    <w:rsid w:val="031E451D"/>
    <w:rsid w:val="03A34D06"/>
    <w:rsid w:val="03BB23AC"/>
    <w:rsid w:val="03DB0D29"/>
    <w:rsid w:val="03E92F21"/>
    <w:rsid w:val="044F4E1E"/>
    <w:rsid w:val="04527D38"/>
    <w:rsid w:val="04581455"/>
    <w:rsid w:val="045B0C31"/>
    <w:rsid w:val="04732647"/>
    <w:rsid w:val="04946E70"/>
    <w:rsid w:val="04F07A37"/>
    <w:rsid w:val="04F668B1"/>
    <w:rsid w:val="050D5021"/>
    <w:rsid w:val="051A35ED"/>
    <w:rsid w:val="054E05C4"/>
    <w:rsid w:val="055211C9"/>
    <w:rsid w:val="056676B0"/>
    <w:rsid w:val="057E3312"/>
    <w:rsid w:val="05C33399"/>
    <w:rsid w:val="05CB3411"/>
    <w:rsid w:val="05D4629F"/>
    <w:rsid w:val="05DB122B"/>
    <w:rsid w:val="06691CB2"/>
    <w:rsid w:val="0693538B"/>
    <w:rsid w:val="06B86512"/>
    <w:rsid w:val="06C15EB9"/>
    <w:rsid w:val="06E4582D"/>
    <w:rsid w:val="06FF202E"/>
    <w:rsid w:val="07071B14"/>
    <w:rsid w:val="07534192"/>
    <w:rsid w:val="0758422B"/>
    <w:rsid w:val="07684DE8"/>
    <w:rsid w:val="07D337E6"/>
    <w:rsid w:val="07D85B56"/>
    <w:rsid w:val="08280CF2"/>
    <w:rsid w:val="084F3130"/>
    <w:rsid w:val="086B4C5E"/>
    <w:rsid w:val="0889683A"/>
    <w:rsid w:val="08AB21C5"/>
    <w:rsid w:val="08AC7C46"/>
    <w:rsid w:val="08AE4799"/>
    <w:rsid w:val="08B420FB"/>
    <w:rsid w:val="08B50556"/>
    <w:rsid w:val="08C635EA"/>
    <w:rsid w:val="096B4801"/>
    <w:rsid w:val="097D251D"/>
    <w:rsid w:val="09837CAA"/>
    <w:rsid w:val="09CE1022"/>
    <w:rsid w:val="09D77B23"/>
    <w:rsid w:val="0A2F3489"/>
    <w:rsid w:val="0A5237FA"/>
    <w:rsid w:val="0A603E15"/>
    <w:rsid w:val="0A757D2C"/>
    <w:rsid w:val="0A9D483E"/>
    <w:rsid w:val="0AB35E1D"/>
    <w:rsid w:val="0B2360D1"/>
    <w:rsid w:val="0B756753"/>
    <w:rsid w:val="0BF91921"/>
    <w:rsid w:val="0C02376F"/>
    <w:rsid w:val="0C36608D"/>
    <w:rsid w:val="0C7F2E0F"/>
    <w:rsid w:val="0C95107B"/>
    <w:rsid w:val="0CB21B3E"/>
    <w:rsid w:val="0CD94122"/>
    <w:rsid w:val="0CF93AD9"/>
    <w:rsid w:val="0D0904F0"/>
    <w:rsid w:val="0D19047D"/>
    <w:rsid w:val="0D19658C"/>
    <w:rsid w:val="0D4912D9"/>
    <w:rsid w:val="0D491A13"/>
    <w:rsid w:val="0D541619"/>
    <w:rsid w:val="0D91606D"/>
    <w:rsid w:val="0DA32C6D"/>
    <w:rsid w:val="0DDE3C1C"/>
    <w:rsid w:val="0DE154D2"/>
    <w:rsid w:val="0E1958F3"/>
    <w:rsid w:val="0E300265"/>
    <w:rsid w:val="0E3C53EA"/>
    <w:rsid w:val="0E4137D5"/>
    <w:rsid w:val="0E554C8F"/>
    <w:rsid w:val="0E583695"/>
    <w:rsid w:val="0E924011"/>
    <w:rsid w:val="0EE4513B"/>
    <w:rsid w:val="0EED198A"/>
    <w:rsid w:val="0EFC76B5"/>
    <w:rsid w:val="0F1A32E4"/>
    <w:rsid w:val="0F527130"/>
    <w:rsid w:val="0F634E4C"/>
    <w:rsid w:val="0F95411B"/>
    <w:rsid w:val="0FC05C84"/>
    <w:rsid w:val="102A1392"/>
    <w:rsid w:val="103A2BC7"/>
    <w:rsid w:val="107D7EC3"/>
    <w:rsid w:val="1162612A"/>
    <w:rsid w:val="11651D6F"/>
    <w:rsid w:val="1180339F"/>
    <w:rsid w:val="11876BC7"/>
    <w:rsid w:val="11C20E7B"/>
    <w:rsid w:val="12310269"/>
    <w:rsid w:val="12582E7C"/>
    <w:rsid w:val="1266673E"/>
    <w:rsid w:val="13247DF6"/>
    <w:rsid w:val="13C85080"/>
    <w:rsid w:val="13E5499C"/>
    <w:rsid w:val="14145721"/>
    <w:rsid w:val="14293E20"/>
    <w:rsid w:val="14895447"/>
    <w:rsid w:val="148A09C2"/>
    <w:rsid w:val="148D73C8"/>
    <w:rsid w:val="14B02E00"/>
    <w:rsid w:val="150F2E19"/>
    <w:rsid w:val="1537146E"/>
    <w:rsid w:val="157D344D"/>
    <w:rsid w:val="15C838CC"/>
    <w:rsid w:val="15D20959"/>
    <w:rsid w:val="15DC256D"/>
    <w:rsid w:val="15DE21ED"/>
    <w:rsid w:val="164420C9"/>
    <w:rsid w:val="164F652A"/>
    <w:rsid w:val="165F2ACF"/>
    <w:rsid w:val="16795C6E"/>
    <w:rsid w:val="16873848"/>
    <w:rsid w:val="1688508D"/>
    <w:rsid w:val="169A03A1"/>
    <w:rsid w:val="16B831D5"/>
    <w:rsid w:val="16FE00C6"/>
    <w:rsid w:val="171F3E7E"/>
    <w:rsid w:val="17712A16"/>
    <w:rsid w:val="17BC6C53"/>
    <w:rsid w:val="17C90A93"/>
    <w:rsid w:val="17D27279"/>
    <w:rsid w:val="180453F5"/>
    <w:rsid w:val="18664544"/>
    <w:rsid w:val="18752231"/>
    <w:rsid w:val="18966EE2"/>
    <w:rsid w:val="189A58E9"/>
    <w:rsid w:val="18A90101"/>
    <w:rsid w:val="18B72C9A"/>
    <w:rsid w:val="18D05DC3"/>
    <w:rsid w:val="19124A56"/>
    <w:rsid w:val="19345AE7"/>
    <w:rsid w:val="19846B6B"/>
    <w:rsid w:val="19962308"/>
    <w:rsid w:val="19D807F3"/>
    <w:rsid w:val="1A0D324C"/>
    <w:rsid w:val="1A21370F"/>
    <w:rsid w:val="1A337C08"/>
    <w:rsid w:val="1A34568A"/>
    <w:rsid w:val="1A3C6319"/>
    <w:rsid w:val="1A8B6099"/>
    <w:rsid w:val="1ABC6868"/>
    <w:rsid w:val="1AE07720"/>
    <w:rsid w:val="1AF236B2"/>
    <w:rsid w:val="1B084573"/>
    <w:rsid w:val="1B0D0BF0"/>
    <w:rsid w:val="1B1C3409"/>
    <w:rsid w:val="1B280050"/>
    <w:rsid w:val="1B951DCE"/>
    <w:rsid w:val="1BB42683"/>
    <w:rsid w:val="1BCA6A25"/>
    <w:rsid w:val="1BF34F36"/>
    <w:rsid w:val="1BFB4FF6"/>
    <w:rsid w:val="1C3C7107"/>
    <w:rsid w:val="1C6211BB"/>
    <w:rsid w:val="1CAA0ED7"/>
    <w:rsid w:val="1CE6265A"/>
    <w:rsid w:val="1CEC21B5"/>
    <w:rsid w:val="1CF63F94"/>
    <w:rsid w:val="1D024523"/>
    <w:rsid w:val="1D290A09"/>
    <w:rsid w:val="1D484C98"/>
    <w:rsid w:val="1DAD6C9C"/>
    <w:rsid w:val="1DEB44A1"/>
    <w:rsid w:val="1DEB7D24"/>
    <w:rsid w:val="1E0A4D56"/>
    <w:rsid w:val="1E1E7279"/>
    <w:rsid w:val="1E2B2D0C"/>
    <w:rsid w:val="1E6F24FC"/>
    <w:rsid w:val="1E79668E"/>
    <w:rsid w:val="1E944CBA"/>
    <w:rsid w:val="1EC2007A"/>
    <w:rsid w:val="1EDD2B2F"/>
    <w:rsid w:val="1EDF52CD"/>
    <w:rsid w:val="1EFC33E4"/>
    <w:rsid w:val="1F3879C6"/>
    <w:rsid w:val="1FC972B5"/>
    <w:rsid w:val="1FF02946"/>
    <w:rsid w:val="1FF21DBA"/>
    <w:rsid w:val="203330E1"/>
    <w:rsid w:val="2033565F"/>
    <w:rsid w:val="203F2948"/>
    <w:rsid w:val="204B48FC"/>
    <w:rsid w:val="205739C6"/>
    <w:rsid w:val="207728D1"/>
    <w:rsid w:val="20A0585F"/>
    <w:rsid w:val="20C65ED3"/>
    <w:rsid w:val="20D25717"/>
    <w:rsid w:val="20E71C8B"/>
    <w:rsid w:val="20F860E8"/>
    <w:rsid w:val="210C2DC4"/>
    <w:rsid w:val="2116228F"/>
    <w:rsid w:val="211A595D"/>
    <w:rsid w:val="21365104"/>
    <w:rsid w:val="21610AEE"/>
    <w:rsid w:val="21A93F11"/>
    <w:rsid w:val="21D81213"/>
    <w:rsid w:val="21E253A6"/>
    <w:rsid w:val="22114721"/>
    <w:rsid w:val="22274816"/>
    <w:rsid w:val="226136F6"/>
    <w:rsid w:val="226E2F19"/>
    <w:rsid w:val="22865903"/>
    <w:rsid w:val="22AA736D"/>
    <w:rsid w:val="22B41E7B"/>
    <w:rsid w:val="22BD058C"/>
    <w:rsid w:val="23114793"/>
    <w:rsid w:val="23205730"/>
    <w:rsid w:val="23657AA0"/>
    <w:rsid w:val="23A67CAE"/>
    <w:rsid w:val="23C11CD8"/>
    <w:rsid w:val="23D941DC"/>
    <w:rsid w:val="243472A5"/>
    <w:rsid w:val="24364576"/>
    <w:rsid w:val="24F536AF"/>
    <w:rsid w:val="252D0165"/>
    <w:rsid w:val="25A65A51"/>
    <w:rsid w:val="25B47837"/>
    <w:rsid w:val="25D02118"/>
    <w:rsid w:val="260C6EE0"/>
    <w:rsid w:val="26241BA3"/>
    <w:rsid w:val="26876717"/>
    <w:rsid w:val="26BE651E"/>
    <w:rsid w:val="273B35E6"/>
    <w:rsid w:val="27472F8E"/>
    <w:rsid w:val="276C016D"/>
    <w:rsid w:val="27BC6441"/>
    <w:rsid w:val="27D172E0"/>
    <w:rsid w:val="28A03DAF"/>
    <w:rsid w:val="28A279B8"/>
    <w:rsid w:val="28D95914"/>
    <w:rsid w:val="296632DA"/>
    <w:rsid w:val="29710F8A"/>
    <w:rsid w:val="29AF20F4"/>
    <w:rsid w:val="2A3736C4"/>
    <w:rsid w:val="2A3C3ED6"/>
    <w:rsid w:val="2A8E3CE0"/>
    <w:rsid w:val="2ACA7B37"/>
    <w:rsid w:val="2B5327A4"/>
    <w:rsid w:val="2B664944"/>
    <w:rsid w:val="2B683643"/>
    <w:rsid w:val="2B7B2664"/>
    <w:rsid w:val="2BA12465"/>
    <w:rsid w:val="2BB172BB"/>
    <w:rsid w:val="2BBA59CC"/>
    <w:rsid w:val="2BE12008"/>
    <w:rsid w:val="2BF92F32"/>
    <w:rsid w:val="2C094CD7"/>
    <w:rsid w:val="2C4320AD"/>
    <w:rsid w:val="2C850598"/>
    <w:rsid w:val="2CF07C47"/>
    <w:rsid w:val="2D005CE3"/>
    <w:rsid w:val="2D9F2369"/>
    <w:rsid w:val="2DA26152"/>
    <w:rsid w:val="2DB77A10"/>
    <w:rsid w:val="2E601123"/>
    <w:rsid w:val="2EA632D1"/>
    <w:rsid w:val="2EAA029D"/>
    <w:rsid w:val="2EB17C28"/>
    <w:rsid w:val="2EB30BAD"/>
    <w:rsid w:val="2EC52700"/>
    <w:rsid w:val="2F010CAC"/>
    <w:rsid w:val="2F140E80"/>
    <w:rsid w:val="2F29425D"/>
    <w:rsid w:val="2F6509D0"/>
    <w:rsid w:val="2F995607"/>
    <w:rsid w:val="2FA462E3"/>
    <w:rsid w:val="2FF119C0"/>
    <w:rsid w:val="30005EB5"/>
    <w:rsid w:val="30062758"/>
    <w:rsid w:val="302E54D6"/>
    <w:rsid w:val="302E5E9B"/>
    <w:rsid w:val="304D2ECC"/>
    <w:rsid w:val="30594760"/>
    <w:rsid w:val="30670D55"/>
    <w:rsid w:val="30CD5C90"/>
    <w:rsid w:val="3118389A"/>
    <w:rsid w:val="313E4BD7"/>
    <w:rsid w:val="315462C3"/>
    <w:rsid w:val="31A93189"/>
    <w:rsid w:val="31EF3541"/>
    <w:rsid w:val="32005D96"/>
    <w:rsid w:val="32055AA1"/>
    <w:rsid w:val="320D1A34"/>
    <w:rsid w:val="3218123E"/>
    <w:rsid w:val="3219746E"/>
    <w:rsid w:val="32363E2D"/>
    <w:rsid w:val="32373CF1"/>
    <w:rsid w:val="326A2A2B"/>
    <w:rsid w:val="327515D8"/>
    <w:rsid w:val="32B545C0"/>
    <w:rsid w:val="32DB1ACF"/>
    <w:rsid w:val="32E0315E"/>
    <w:rsid w:val="32EC6E38"/>
    <w:rsid w:val="330F4047"/>
    <w:rsid w:val="331E076C"/>
    <w:rsid w:val="332848FF"/>
    <w:rsid w:val="33286A99"/>
    <w:rsid w:val="334D3839"/>
    <w:rsid w:val="335F3754"/>
    <w:rsid w:val="33814F8D"/>
    <w:rsid w:val="33937854"/>
    <w:rsid w:val="33A2020C"/>
    <w:rsid w:val="33A75169"/>
    <w:rsid w:val="33B466E1"/>
    <w:rsid w:val="33FB1855"/>
    <w:rsid w:val="34046BA5"/>
    <w:rsid w:val="345F6B7A"/>
    <w:rsid w:val="3468528B"/>
    <w:rsid w:val="34904B3C"/>
    <w:rsid w:val="34A857DB"/>
    <w:rsid w:val="34C043EE"/>
    <w:rsid w:val="34C837C4"/>
    <w:rsid w:val="34CA6229"/>
    <w:rsid w:val="34E857D9"/>
    <w:rsid w:val="34EF5164"/>
    <w:rsid w:val="35085D0E"/>
    <w:rsid w:val="350C3D13"/>
    <w:rsid w:val="3511441F"/>
    <w:rsid w:val="353C07B9"/>
    <w:rsid w:val="35527407"/>
    <w:rsid w:val="355754E9"/>
    <w:rsid w:val="35926234"/>
    <w:rsid w:val="363B2C08"/>
    <w:rsid w:val="36897924"/>
    <w:rsid w:val="36D70189"/>
    <w:rsid w:val="36D76309"/>
    <w:rsid w:val="36E5781D"/>
    <w:rsid w:val="373906AF"/>
    <w:rsid w:val="373C022C"/>
    <w:rsid w:val="37445638"/>
    <w:rsid w:val="37702892"/>
    <w:rsid w:val="37CA6F98"/>
    <w:rsid w:val="37CD2791"/>
    <w:rsid w:val="37D54F27"/>
    <w:rsid w:val="37F457DC"/>
    <w:rsid w:val="380037ED"/>
    <w:rsid w:val="38007070"/>
    <w:rsid w:val="38034772"/>
    <w:rsid w:val="380D2B03"/>
    <w:rsid w:val="382251B0"/>
    <w:rsid w:val="38326CF2"/>
    <w:rsid w:val="386E18A2"/>
    <w:rsid w:val="388A594F"/>
    <w:rsid w:val="389F2071"/>
    <w:rsid w:val="38D75378"/>
    <w:rsid w:val="38F52E00"/>
    <w:rsid w:val="39530C1B"/>
    <w:rsid w:val="397336CF"/>
    <w:rsid w:val="399509FB"/>
    <w:rsid w:val="39A47721"/>
    <w:rsid w:val="3A02117F"/>
    <w:rsid w:val="3A1B4DE1"/>
    <w:rsid w:val="3A216CEA"/>
    <w:rsid w:val="3A34378D"/>
    <w:rsid w:val="3A5E609D"/>
    <w:rsid w:val="3A5F2C69"/>
    <w:rsid w:val="3A6F3347"/>
    <w:rsid w:val="3A7A2BFC"/>
    <w:rsid w:val="3AFD7FAC"/>
    <w:rsid w:val="3B54210E"/>
    <w:rsid w:val="3C5A6922"/>
    <w:rsid w:val="3CA05E05"/>
    <w:rsid w:val="3CA171A9"/>
    <w:rsid w:val="3CA80C93"/>
    <w:rsid w:val="3D053D82"/>
    <w:rsid w:val="3D2306F4"/>
    <w:rsid w:val="3D3251B2"/>
    <w:rsid w:val="3D3529CC"/>
    <w:rsid w:val="3D4E1420"/>
    <w:rsid w:val="3D820C29"/>
    <w:rsid w:val="3D864DFE"/>
    <w:rsid w:val="3D9D02A6"/>
    <w:rsid w:val="3DA82DB4"/>
    <w:rsid w:val="3DAD2ABF"/>
    <w:rsid w:val="3DB36BC6"/>
    <w:rsid w:val="3DB628DC"/>
    <w:rsid w:val="3DC50166"/>
    <w:rsid w:val="3DCB6662"/>
    <w:rsid w:val="3DF56736"/>
    <w:rsid w:val="3E1127E3"/>
    <w:rsid w:val="3E243A02"/>
    <w:rsid w:val="3E277FAF"/>
    <w:rsid w:val="3E690C74"/>
    <w:rsid w:val="3E931AB8"/>
    <w:rsid w:val="3EB5502E"/>
    <w:rsid w:val="3EC30417"/>
    <w:rsid w:val="3F432AC6"/>
    <w:rsid w:val="3F476FDD"/>
    <w:rsid w:val="3F7C1A35"/>
    <w:rsid w:val="3F8935FB"/>
    <w:rsid w:val="3F8A67CD"/>
    <w:rsid w:val="3F9D1F6A"/>
    <w:rsid w:val="3FAF225A"/>
    <w:rsid w:val="3FB34507"/>
    <w:rsid w:val="403E20AE"/>
    <w:rsid w:val="40600DAE"/>
    <w:rsid w:val="40643F31"/>
    <w:rsid w:val="406B6B39"/>
    <w:rsid w:val="40B717BD"/>
    <w:rsid w:val="40E46DC7"/>
    <w:rsid w:val="40F3031D"/>
    <w:rsid w:val="40FF1D0C"/>
    <w:rsid w:val="40FF48AB"/>
    <w:rsid w:val="41052BE0"/>
    <w:rsid w:val="41267873"/>
    <w:rsid w:val="4127184F"/>
    <w:rsid w:val="412874F2"/>
    <w:rsid w:val="414A7C5C"/>
    <w:rsid w:val="414F2C35"/>
    <w:rsid w:val="41975CEE"/>
    <w:rsid w:val="419E0A72"/>
    <w:rsid w:val="41D07EFC"/>
    <w:rsid w:val="41D50910"/>
    <w:rsid w:val="4221770A"/>
    <w:rsid w:val="428761B5"/>
    <w:rsid w:val="42AF6075"/>
    <w:rsid w:val="42F83EEA"/>
    <w:rsid w:val="4314381B"/>
    <w:rsid w:val="431B7D31"/>
    <w:rsid w:val="434D4F4B"/>
    <w:rsid w:val="434E308B"/>
    <w:rsid w:val="436C2EAD"/>
    <w:rsid w:val="43722C21"/>
    <w:rsid w:val="43737B57"/>
    <w:rsid w:val="4377721A"/>
    <w:rsid w:val="43A97591"/>
    <w:rsid w:val="447446DC"/>
    <w:rsid w:val="44C35AE0"/>
    <w:rsid w:val="44C766E4"/>
    <w:rsid w:val="44C9546A"/>
    <w:rsid w:val="44FD06B0"/>
    <w:rsid w:val="45A36615"/>
    <w:rsid w:val="45B63DEE"/>
    <w:rsid w:val="45CC5F92"/>
    <w:rsid w:val="462A180E"/>
    <w:rsid w:val="469324D8"/>
    <w:rsid w:val="46AF18D6"/>
    <w:rsid w:val="46F721FC"/>
    <w:rsid w:val="473C166C"/>
    <w:rsid w:val="474C7367"/>
    <w:rsid w:val="47682E4F"/>
    <w:rsid w:val="47783A4F"/>
    <w:rsid w:val="47B3102E"/>
    <w:rsid w:val="48110F7C"/>
    <w:rsid w:val="484F022F"/>
    <w:rsid w:val="487A0336"/>
    <w:rsid w:val="48CC544E"/>
    <w:rsid w:val="48D43D0B"/>
    <w:rsid w:val="48F17A38"/>
    <w:rsid w:val="494F4AD5"/>
    <w:rsid w:val="49904A86"/>
    <w:rsid w:val="49F66C27"/>
    <w:rsid w:val="49F75640"/>
    <w:rsid w:val="4A0E6F0B"/>
    <w:rsid w:val="4A0F63D2"/>
    <w:rsid w:val="4A8B1168"/>
    <w:rsid w:val="4ABD3895"/>
    <w:rsid w:val="4AE5116D"/>
    <w:rsid w:val="4B434D8A"/>
    <w:rsid w:val="4B6452BE"/>
    <w:rsid w:val="4B7145D4"/>
    <w:rsid w:val="4B924B09"/>
    <w:rsid w:val="4BA17322"/>
    <w:rsid w:val="4BB275BC"/>
    <w:rsid w:val="4BBA024C"/>
    <w:rsid w:val="4BC30B5B"/>
    <w:rsid w:val="4BCC2E5F"/>
    <w:rsid w:val="4BD258F2"/>
    <w:rsid w:val="4C310BEA"/>
    <w:rsid w:val="4C534E19"/>
    <w:rsid w:val="4C5D1163"/>
    <w:rsid w:val="4C667650"/>
    <w:rsid w:val="4D2630DE"/>
    <w:rsid w:val="4D8465BE"/>
    <w:rsid w:val="4D967D9A"/>
    <w:rsid w:val="4DCD4433"/>
    <w:rsid w:val="4E65437B"/>
    <w:rsid w:val="4E730444"/>
    <w:rsid w:val="4E7D2F52"/>
    <w:rsid w:val="4E8314AE"/>
    <w:rsid w:val="4F531CB1"/>
    <w:rsid w:val="4F5361B6"/>
    <w:rsid w:val="4F6841D5"/>
    <w:rsid w:val="4F6C4039"/>
    <w:rsid w:val="4F8C0F11"/>
    <w:rsid w:val="4F97214F"/>
    <w:rsid w:val="4FA20670"/>
    <w:rsid w:val="4FB01626"/>
    <w:rsid w:val="4FD32755"/>
    <w:rsid w:val="4FFF7BCB"/>
    <w:rsid w:val="501E6390"/>
    <w:rsid w:val="50283646"/>
    <w:rsid w:val="506A2AFE"/>
    <w:rsid w:val="509129BD"/>
    <w:rsid w:val="50A329EA"/>
    <w:rsid w:val="50C229D3"/>
    <w:rsid w:val="511A4EA0"/>
    <w:rsid w:val="51463765"/>
    <w:rsid w:val="51787ED6"/>
    <w:rsid w:val="518B2A9F"/>
    <w:rsid w:val="51A1590D"/>
    <w:rsid w:val="51AB0F0B"/>
    <w:rsid w:val="51B9241F"/>
    <w:rsid w:val="51F50086"/>
    <w:rsid w:val="52126331"/>
    <w:rsid w:val="521B6C41"/>
    <w:rsid w:val="52892AF8"/>
    <w:rsid w:val="52903485"/>
    <w:rsid w:val="529F4C9C"/>
    <w:rsid w:val="52BB6B4A"/>
    <w:rsid w:val="52DE64B1"/>
    <w:rsid w:val="53425701"/>
    <w:rsid w:val="53AA093D"/>
    <w:rsid w:val="53C66AC7"/>
    <w:rsid w:val="544D5C5C"/>
    <w:rsid w:val="546116D4"/>
    <w:rsid w:val="54743D13"/>
    <w:rsid w:val="54C85DC4"/>
    <w:rsid w:val="54CA432C"/>
    <w:rsid w:val="54F93BCB"/>
    <w:rsid w:val="5508638F"/>
    <w:rsid w:val="55425616"/>
    <w:rsid w:val="554503F2"/>
    <w:rsid w:val="55487179"/>
    <w:rsid w:val="556F228D"/>
    <w:rsid w:val="5590756D"/>
    <w:rsid w:val="55CE28D5"/>
    <w:rsid w:val="55EB2205"/>
    <w:rsid w:val="56420506"/>
    <w:rsid w:val="569A1AA7"/>
    <w:rsid w:val="56BC04AD"/>
    <w:rsid w:val="56CB5566"/>
    <w:rsid w:val="56DC7584"/>
    <w:rsid w:val="56E31118"/>
    <w:rsid w:val="570F4566"/>
    <w:rsid w:val="57194E75"/>
    <w:rsid w:val="576C60D3"/>
    <w:rsid w:val="57714ECD"/>
    <w:rsid w:val="577675F9"/>
    <w:rsid w:val="5782579E"/>
    <w:rsid w:val="579C53FB"/>
    <w:rsid w:val="57C73222"/>
    <w:rsid w:val="57D342A4"/>
    <w:rsid w:val="57D82B62"/>
    <w:rsid w:val="57FA79E6"/>
    <w:rsid w:val="57FE32A7"/>
    <w:rsid w:val="58156012"/>
    <w:rsid w:val="582165A1"/>
    <w:rsid w:val="582A2734"/>
    <w:rsid w:val="58366D2E"/>
    <w:rsid w:val="5860738B"/>
    <w:rsid w:val="58661294"/>
    <w:rsid w:val="5879777B"/>
    <w:rsid w:val="58AA4307"/>
    <w:rsid w:val="58B51252"/>
    <w:rsid w:val="58B82EA3"/>
    <w:rsid w:val="58BA0D1E"/>
    <w:rsid w:val="58DD7FD9"/>
    <w:rsid w:val="58F86605"/>
    <w:rsid w:val="58FC2A8C"/>
    <w:rsid w:val="59373B6B"/>
    <w:rsid w:val="59882670"/>
    <w:rsid w:val="5989184E"/>
    <w:rsid w:val="598F587E"/>
    <w:rsid w:val="59C93716"/>
    <w:rsid w:val="59D64366"/>
    <w:rsid w:val="59D836F4"/>
    <w:rsid w:val="59E35308"/>
    <w:rsid w:val="5A134C79"/>
    <w:rsid w:val="5A1D0965"/>
    <w:rsid w:val="5A20736C"/>
    <w:rsid w:val="5A284778"/>
    <w:rsid w:val="5A445CDF"/>
    <w:rsid w:val="5A5703F2"/>
    <w:rsid w:val="5AB6785F"/>
    <w:rsid w:val="5B126EFE"/>
    <w:rsid w:val="5B1851F5"/>
    <w:rsid w:val="5B242BF3"/>
    <w:rsid w:val="5B3F5F54"/>
    <w:rsid w:val="5B4D6AD9"/>
    <w:rsid w:val="5B792E20"/>
    <w:rsid w:val="5B836FB3"/>
    <w:rsid w:val="5BC11016"/>
    <w:rsid w:val="5BCD28AA"/>
    <w:rsid w:val="5C6C6F31"/>
    <w:rsid w:val="5D0D2E0E"/>
    <w:rsid w:val="5D3D1807"/>
    <w:rsid w:val="5D527CF5"/>
    <w:rsid w:val="5D905890"/>
    <w:rsid w:val="5D951E96"/>
    <w:rsid w:val="5D967166"/>
    <w:rsid w:val="5DDF75F2"/>
    <w:rsid w:val="5DE77780"/>
    <w:rsid w:val="5DEC5C92"/>
    <w:rsid w:val="5DF866B7"/>
    <w:rsid w:val="5E0B78D6"/>
    <w:rsid w:val="5E230800"/>
    <w:rsid w:val="5E3728DB"/>
    <w:rsid w:val="5E4766FC"/>
    <w:rsid w:val="5E485536"/>
    <w:rsid w:val="5E5003CB"/>
    <w:rsid w:val="5E5E62CC"/>
    <w:rsid w:val="5EBF6480"/>
    <w:rsid w:val="5EC82DA0"/>
    <w:rsid w:val="5ED73B27"/>
    <w:rsid w:val="5EE40997"/>
    <w:rsid w:val="5EE77F28"/>
    <w:rsid w:val="5EEB76C0"/>
    <w:rsid w:val="5EF06C4F"/>
    <w:rsid w:val="5F104F86"/>
    <w:rsid w:val="5F3738A6"/>
    <w:rsid w:val="5F7E77B8"/>
    <w:rsid w:val="5F84662B"/>
    <w:rsid w:val="5F93775D"/>
    <w:rsid w:val="5F94195C"/>
    <w:rsid w:val="5FB51E90"/>
    <w:rsid w:val="60073D58"/>
    <w:rsid w:val="60385CED"/>
    <w:rsid w:val="603A11F0"/>
    <w:rsid w:val="604C110A"/>
    <w:rsid w:val="60680A3A"/>
    <w:rsid w:val="60893243"/>
    <w:rsid w:val="609C3848"/>
    <w:rsid w:val="60AF5551"/>
    <w:rsid w:val="60E455D3"/>
    <w:rsid w:val="61063993"/>
    <w:rsid w:val="6124673B"/>
    <w:rsid w:val="61310CB5"/>
    <w:rsid w:val="61747C73"/>
    <w:rsid w:val="617C17FC"/>
    <w:rsid w:val="619C1D31"/>
    <w:rsid w:val="61AC454A"/>
    <w:rsid w:val="621C160E"/>
    <w:rsid w:val="623F4DBD"/>
    <w:rsid w:val="625B7DCD"/>
    <w:rsid w:val="62F77025"/>
    <w:rsid w:val="632B1543"/>
    <w:rsid w:val="6333694F"/>
    <w:rsid w:val="638379D3"/>
    <w:rsid w:val="63857653"/>
    <w:rsid w:val="638A1049"/>
    <w:rsid w:val="638C2861"/>
    <w:rsid w:val="64087C2C"/>
    <w:rsid w:val="64765773"/>
    <w:rsid w:val="64AB2CB8"/>
    <w:rsid w:val="653C6255"/>
    <w:rsid w:val="654249E7"/>
    <w:rsid w:val="654548FA"/>
    <w:rsid w:val="65D571DE"/>
    <w:rsid w:val="65E036DE"/>
    <w:rsid w:val="66030CEB"/>
    <w:rsid w:val="664571D6"/>
    <w:rsid w:val="667E4DB2"/>
    <w:rsid w:val="66E35DDB"/>
    <w:rsid w:val="6729654F"/>
    <w:rsid w:val="673D776E"/>
    <w:rsid w:val="679E2C8B"/>
    <w:rsid w:val="67EC408F"/>
    <w:rsid w:val="67FD6528"/>
    <w:rsid w:val="681364CD"/>
    <w:rsid w:val="6823055E"/>
    <w:rsid w:val="683A063B"/>
    <w:rsid w:val="68490BA5"/>
    <w:rsid w:val="689506E8"/>
    <w:rsid w:val="68A869C0"/>
    <w:rsid w:val="68C462F1"/>
    <w:rsid w:val="69243D8C"/>
    <w:rsid w:val="693225A2"/>
    <w:rsid w:val="69DE6A3D"/>
    <w:rsid w:val="6A285BB8"/>
    <w:rsid w:val="6AD92158"/>
    <w:rsid w:val="6B0A2259"/>
    <w:rsid w:val="6B1E709E"/>
    <w:rsid w:val="6B211560"/>
    <w:rsid w:val="6B5A5AF4"/>
    <w:rsid w:val="6B616BB9"/>
    <w:rsid w:val="6B650E43"/>
    <w:rsid w:val="6B6C4F4A"/>
    <w:rsid w:val="6BCF71ED"/>
    <w:rsid w:val="6BD623FB"/>
    <w:rsid w:val="6BF825B0"/>
    <w:rsid w:val="6C094140"/>
    <w:rsid w:val="6C5B2654"/>
    <w:rsid w:val="6C662BE4"/>
    <w:rsid w:val="6CB37257"/>
    <w:rsid w:val="6CD336F8"/>
    <w:rsid w:val="6CF11629"/>
    <w:rsid w:val="6D4425D2"/>
    <w:rsid w:val="6D474A00"/>
    <w:rsid w:val="6D601F02"/>
    <w:rsid w:val="6D9F08D2"/>
    <w:rsid w:val="6DA203ED"/>
    <w:rsid w:val="6DB34381"/>
    <w:rsid w:val="6DD03F18"/>
    <w:rsid w:val="6DD4663E"/>
    <w:rsid w:val="6DE11E05"/>
    <w:rsid w:val="6DF26CB3"/>
    <w:rsid w:val="6DFF299A"/>
    <w:rsid w:val="6E023C8A"/>
    <w:rsid w:val="6EAB66A1"/>
    <w:rsid w:val="6EAE7626"/>
    <w:rsid w:val="6ED177DA"/>
    <w:rsid w:val="6F3B421B"/>
    <w:rsid w:val="6F3E67F6"/>
    <w:rsid w:val="6F803689"/>
    <w:rsid w:val="6F94661F"/>
    <w:rsid w:val="6F9B6422"/>
    <w:rsid w:val="6FD00A02"/>
    <w:rsid w:val="6FE518A1"/>
    <w:rsid w:val="6FEF5A34"/>
    <w:rsid w:val="705D0266"/>
    <w:rsid w:val="706C3EBF"/>
    <w:rsid w:val="70D511A9"/>
    <w:rsid w:val="70D746AC"/>
    <w:rsid w:val="70D828C7"/>
    <w:rsid w:val="70DC43B7"/>
    <w:rsid w:val="70F03058"/>
    <w:rsid w:val="71117CC3"/>
    <w:rsid w:val="713A0D84"/>
    <w:rsid w:val="7191735E"/>
    <w:rsid w:val="71DB1D5C"/>
    <w:rsid w:val="720B2C6B"/>
    <w:rsid w:val="7235591C"/>
    <w:rsid w:val="725D1030"/>
    <w:rsid w:val="727B3E8C"/>
    <w:rsid w:val="72EE6D5B"/>
    <w:rsid w:val="732706F9"/>
    <w:rsid w:val="736949E6"/>
    <w:rsid w:val="737705A9"/>
    <w:rsid w:val="73A92208"/>
    <w:rsid w:val="740837BC"/>
    <w:rsid w:val="740B1FF0"/>
    <w:rsid w:val="74216E32"/>
    <w:rsid w:val="742B4AA4"/>
    <w:rsid w:val="745942EE"/>
    <w:rsid w:val="745F1A7B"/>
    <w:rsid w:val="746B43B1"/>
    <w:rsid w:val="747D102B"/>
    <w:rsid w:val="74807A31"/>
    <w:rsid w:val="74B00017"/>
    <w:rsid w:val="753352D6"/>
    <w:rsid w:val="75335845"/>
    <w:rsid w:val="75653364"/>
    <w:rsid w:val="759A6034"/>
    <w:rsid w:val="75BE5F9B"/>
    <w:rsid w:val="75CD1C51"/>
    <w:rsid w:val="76461C2E"/>
    <w:rsid w:val="766F725C"/>
    <w:rsid w:val="76E934EC"/>
    <w:rsid w:val="76FD7DC5"/>
    <w:rsid w:val="77162EED"/>
    <w:rsid w:val="7734199B"/>
    <w:rsid w:val="777D3B96"/>
    <w:rsid w:val="77A66FCD"/>
    <w:rsid w:val="77B030EB"/>
    <w:rsid w:val="77B073A5"/>
    <w:rsid w:val="77C86594"/>
    <w:rsid w:val="77CE686F"/>
    <w:rsid w:val="784A43A5"/>
    <w:rsid w:val="786F2225"/>
    <w:rsid w:val="79435A80"/>
    <w:rsid w:val="794B58BC"/>
    <w:rsid w:val="79630533"/>
    <w:rsid w:val="79880773"/>
    <w:rsid w:val="79B160B4"/>
    <w:rsid w:val="79D9611D"/>
    <w:rsid w:val="79F71442"/>
    <w:rsid w:val="7A03263B"/>
    <w:rsid w:val="7A2902FC"/>
    <w:rsid w:val="7A3A4D14"/>
    <w:rsid w:val="7A427BA1"/>
    <w:rsid w:val="7A5B2CCA"/>
    <w:rsid w:val="7AA80FC8"/>
    <w:rsid w:val="7ADF6C8C"/>
    <w:rsid w:val="7BC24B9B"/>
    <w:rsid w:val="7BC86AA4"/>
    <w:rsid w:val="7BD712BD"/>
    <w:rsid w:val="7BE42B14"/>
    <w:rsid w:val="7BEC215B"/>
    <w:rsid w:val="7C005D0A"/>
    <w:rsid w:val="7C1843DD"/>
    <w:rsid w:val="7C230B55"/>
    <w:rsid w:val="7C276ABD"/>
    <w:rsid w:val="7C3D0C61"/>
    <w:rsid w:val="7C4D0EFB"/>
    <w:rsid w:val="7C544109"/>
    <w:rsid w:val="7C6A62AD"/>
    <w:rsid w:val="7C7A0AC6"/>
    <w:rsid w:val="7CB0319E"/>
    <w:rsid w:val="7CE92FE8"/>
    <w:rsid w:val="7D1868D9"/>
    <w:rsid w:val="7D1B74E7"/>
    <w:rsid w:val="7D25141C"/>
    <w:rsid w:val="7D496FF2"/>
    <w:rsid w:val="7D5C493C"/>
    <w:rsid w:val="7DA12E4B"/>
    <w:rsid w:val="7DB62A4C"/>
    <w:rsid w:val="7DCD2671"/>
    <w:rsid w:val="7DDD290B"/>
    <w:rsid w:val="7DF2702E"/>
    <w:rsid w:val="7DF471D5"/>
    <w:rsid w:val="7E2F4C2E"/>
    <w:rsid w:val="7E3F4F2E"/>
    <w:rsid w:val="7EDD5D31"/>
    <w:rsid w:val="7F083D06"/>
    <w:rsid w:val="7F2A03AF"/>
    <w:rsid w:val="7F9E036E"/>
    <w:rsid w:val="7FA80C7D"/>
    <w:rsid w:val="7FD34C5B"/>
    <w:rsid w:val="7FDB49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宋体" w:cs="@仿宋_GB2312"/>
      <w:kern w:val="2"/>
      <w:sz w:val="21"/>
      <w:lang w:val="en-US" w:eastAsia="zh-CN" w:bidi="ar-SA"/>
    </w:rPr>
  </w:style>
  <w:style w:type="paragraph" w:styleId="4">
    <w:name w:val="heading 1"/>
    <w:basedOn w:val="1"/>
    <w:next w:val="1"/>
    <w:link w:val="40"/>
    <w:qFormat/>
    <w:uiPriority w:val="99"/>
    <w:pPr>
      <w:keepNext/>
      <w:keepLines/>
      <w:spacing w:before="340" w:after="330" w:line="578" w:lineRule="auto"/>
      <w:outlineLvl w:val="0"/>
    </w:pPr>
    <w:rPr>
      <w:rFonts w:eastAsia="@仿宋_GB2312" w:cs="Times New Roman"/>
      <w:b/>
      <w:bCs/>
      <w:kern w:val="44"/>
      <w:sz w:val="44"/>
      <w:szCs w:val="44"/>
    </w:rPr>
  </w:style>
  <w:style w:type="paragraph" w:styleId="5">
    <w:name w:val="heading 2"/>
    <w:basedOn w:val="1"/>
    <w:next w:val="1"/>
    <w:link w:val="41"/>
    <w:qFormat/>
    <w:uiPriority w:val="9"/>
    <w:pPr>
      <w:keepNext/>
      <w:spacing w:line="300" w:lineRule="exact"/>
      <w:jc w:val="center"/>
      <w:outlineLvl w:val="1"/>
    </w:pPr>
    <w:rPr>
      <w:rFonts w:ascii="Cambria" w:hAnsi="Cambria" w:cs="Times New Roman"/>
      <w:b/>
      <w:bCs/>
      <w:kern w:val="0"/>
      <w:sz w:val="32"/>
      <w:szCs w:val="32"/>
    </w:rPr>
  </w:style>
  <w:style w:type="paragraph" w:styleId="6">
    <w:name w:val="heading 3"/>
    <w:basedOn w:val="1"/>
    <w:next w:val="1"/>
    <w:link w:val="42"/>
    <w:qFormat/>
    <w:uiPriority w:val="99"/>
    <w:pPr>
      <w:keepNext/>
      <w:keepLines/>
      <w:spacing w:before="260" w:after="260" w:line="416" w:lineRule="auto"/>
      <w:outlineLvl w:val="2"/>
    </w:pPr>
    <w:rPr>
      <w:rFonts w:eastAsia="@仿宋_GB2312" w:cs="Times New Roman"/>
      <w:b/>
      <w:bCs/>
      <w:kern w:val="0"/>
      <w:sz w:val="32"/>
      <w:szCs w:val="32"/>
    </w:rPr>
  </w:style>
  <w:style w:type="paragraph" w:styleId="7">
    <w:name w:val="heading 4"/>
    <w:basedOn w:val="1"/>
    <w:next w:val="8"/>
    <w:link w:val="43"/>
    <w:qFormat/>
    <w:uiPriority w:val="99"/>
    <w:pPr>
      <w:keepNext/>
      <w:keepLines/>
      <w:spacing w:before="280" w:after="290" w:line="376" w:lineRule="auto"/>
      <w:outlineLvl w:val="3"/>
    </w:pPr>
    <w:rPr>
      <w:rFonts w:eastAsia="@仿宋_GB2312" w:cs="Times New Roman"/>
      <w:b/>
      <w:kern w:val="0"/>
      <w:sz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45"/>
    <w:qFormat/>
    <w:uiPriority w:val="99"/>
    <w:rPr>
      <w:rFonts w:eastAsia="@仿宋_GB2312" w:cs="Times New Roman"/>
      <w:kern w:val="0"/>
      <w:sz w:val="20"/>
    </w:rPr>
  </w:style>
  <w:style w:type="paragraph" w:styleId="3">
    <w:name w:val="Body Text First Indent"/>
    <w:basedOn w:val="2"/>
    <w:unhideWhenUsed/>
    <w:qFormat/>
    <w:uiPriority w:val="99"/>
    <w:pPr>
      <w:ind w:firstLine="420" w:firstLineChars="100"/>
    </w:pPr>
  </w:style>
  <w:style w:type="paragraph" w:styleId="8">
    <w:name w:val="Normal Indent"/>
    <w:basedOn w:val="1"/>
    <w:qFormat/>
    <w:uiPriority w:val="99"/>
    <w:pPr>
      <w:autoSpaceDE w:val="0"/>
      <w:autoSpaceDN w:val="0"/>
      <w:adjustRightInd w:val="0"/>
      <w:ind w:firstLine="420"/>
      <w:jc w:val="left"/>
    </w:pPr>
    <w:rPr>
      <w:rFonts w:ascii="宋体" w:hAnsi="Times New Roman" w:eastAsia="宋体" w:cs="Times New Roman"/>
      <w:kern w:val="0"/>
      <w:sz w:val="24"/>
    </w:rPr>
  </w:style>
  <w:style w:type="paragraph" w:styleId="9">
    <w:name w:val="annotation text"/>
    <w:basedOn w:val="1"/>
    <w:link w:val="44"/>
    <w:qFormat/>
    <w:uiPriority w:val="99"/>
    <w:pPr>
      <w:jc w:val="left"/>
    </w:pPr>
    <w:rPr>
      <w:rFonts w:ascii="Arial" w:hAnsi="Arial" w:eastAsia="黑体" w:cs="Times New Roman"/>
      <w:kern w:val="0"/>
      <w:sz w:val="20"/>
    </w:rPr>
  </w:style>
  <w:style w:type="paragraph" w:styleId="10">
    <w:name w:val="Body Text Indent"/>
    <w:basedOn w:val="1"/>
    <w:next w:val="11"/>
    <w:qFormat/>
    <w:uiPriority w:val="0"/>
    <w:pPr>
      <w:spacing w:after="120"/>
      <w:ind w:left="420" w:leftChars="200"/>
    </w:pPr>
  </w:style>
  <w:style w:type="paragraph" w:styleId="11">
    <w:name w:val="envelope return"/>
    <w:basedOn w:val="1"/>
    <w:qFormat/>
    <w:uiPriority w:val="0"/>
    <w:pPr>
      <w:widowControl/>
    </w:pPr>
    <w:rPr>
      <w:rFonts w:ascii="Times New Roman" w:hAnsi="Times New Roman" w:eastAsia="宋体" w:cs="Times New Roman"/>
      <w:kern w:val="0"/>
      <w:sz w:val="22"/>
      <w:lang w:val="en-GB" w:eastAsia="en-US"/>
    </w:rPr>
  </w:style>
  <w:style w:type="paragraph" w:styleId="12">
    <w:name w:val="toc 3"/>
    <w:basedOn w:val="1"/>
    <w:next w:val="1"/>
    <w:qFormat/>
    <w:uiPriority w:val="99"/>
    <w:pPr>
      <w:widowControl/>
      <w:spacing w:after="100" w:line="276" w:lineRule="auto"/>
      <w:ind w:left="440"/>
      <w:jc w:val="left"/>
    </w:pPr>
    <w:rPr>
      <w:rFonts w:ascii="Calibri" w:hAnsi="Calibri" w:eastAsia="宋体" w:cs="黑体"/>
      <w:kern w:val="0"/>
      <w:sz w:val="22"/>
      <w:szCs w:val="22"/>
    </w:rPr>
  </w:style>
  <w:style w:type="paragraph" w:styleId="13">
    <w:name w:val="Plain Text"/>
    <w:basedOn w:val="1"/>
    <w:link w:val="46"/>
    <w:qFormat/>
    <w:uiPriority w:val="99"/>
    <w:rPr>
      <w:rFonts w:ascii="宋体" w:hAnsi="Courier New" w:cs="Times New Roman"/>
      <w:kern w:val="0"/>
      <w:sz w:val="20"/>
    </w:rPr>
  </w:style>
  <w:style w:type="paragraph" w:styleId="14">
    <w:name w:val="Date"/>
    <w:basedOn w:val="1"/>
    <w:next w:val="1"/>
    <w:link w:val="47"/>
    <w:qFormat/>
    <w:uiPriority w:val="99"/>
    <w:rPr>
      <w:rFonts w:ascii="Arial" w:hAnsi="Arial" w:cs="Times New Roman"/>
      <w:b/>
      <w:kern w:val="0"/>
      <w:sz w:val="20"/>
    </w:rPr>
  </w:style>
  <w:style w:type="paragraph" w:styleId="15">
    <w:name w:val="Balloon Text"/>
    <w:basedOn w:val="1"/>
    <w:link w:val="48"/>
    <w:qFormat/>
    <w:uiPriority w:val="99"/>
    <w:rPr>
      <w:rFonts w:eastAsia="@仿宋_GB2312" w:cs="Times New Roman"/>
      <w:kern w:val="0"/>
      <w:sz w:val="18"/>
      <w:szCs w:val="18"/>
    </w:rPr>
  </w:style>
  <w:style w:type="paragraph" w:styleId="16">
    <w:name w:val="footer"/>
    <w:basedOn w:val="1"/>
    <w:link w:val="49"/>
    <w:qFormat/>
    <w:uiPriority w:val="99"/>
    <w:pPr>
      <w:tabs>
        <w:tab w:val="center" w:pos="4153"/>
        <w:tab w:val="right" w:pos="8306"/>
      </w:tabs>
      <w:snapToGrid w:val="0"/>
      <w:jc w:val="left"/>
    </w:pPr>
    <w:rPr>
      <w:rFonts w:eastAsia="@仿宋_GB2312" w:cs="Times New Roman"/>
      <w:kern w:val="0"/>
      <w:sz w:val="18"/>
      <w:szCs w:val="18"/>
    </w:rPr>
  </w:style>
  <w:style w:type="paragraph" w:styleId="17">
    <w:name w:val="header"/>
    <w:basedOn w:val="1"/>
    <w:link w:val="50"/>
    <w:qFormat/>
    <w:uiPriority w:val="99"/>
    <w:pPr>
      <w:pBdr>
        <w:bottom w:val="single" w:color="auto" w:sz="6" w:space="1"/>
      </w:pBdr>
      <w:tabs>
        <w:tab w:val="center" w:pos="4153"/>
        <w:tab w:val="right" w:pos="8306"/>
      </w:tabs>
      <w:snapToGrid w:val="0"/>
      <w:jc w:val="center"/>
    </w:pPr>
    <w:rPr>
      <w:rFonts w:eastAsia="@仿宋_GB2312" w:cs="Times New Roman"/>
      <w:kern w:val="0"/>
      <w:sz w:val="18"/>
      <w:szCs w:val="18"/>
    </w:rPr>
  </w:style>
  <w:style w:type="paragraph" w:styleId="18">
    <w:name w:val="toc 1"/>
    <w:basedOn w:val="1"/>
    <w:next w:val="1"/>
    <w:qFormat/>
    <w:uiPriority w:val="99"/>
    <w:pPr>
      <w:widowControl/>
      <w:spacing w:after="100" w:line="276" w:lineRule="auto"/>
      <w:jc w:val="left"/>
    </w:pPr>
    <w:rPr>
      <w:rFonts w:ascii="Calibri" w:hAnsi="Calibri" w:eastAsia="宋体" w:cs="黑体"/>
      <w:kern w:val="0"/>
      <w:sz w:val="22"/>
      <w:szCs w:val="22"/>
    </w:rPr>
  </w:style>
  <w:style w:type="paragraph" w:styleId="19">
    <w:name w:val="toc 2"/>
    <w:basedOn w:val="1"/>
    <w:next w:val="1"/>
    <w:qFormat/>
    <w:uiPriority w:val="99"/>
    <w:pPr>
      <w:widowControl/>
      <w:spacing w:after="100" w:line="276" w:lineRule="auto"/>
      <w:ind w:left="220"/>
      <w:jc w:val="left"/>
    </w:pPr>
    <w:rPr>
      <w:rFonts w:ascii="Calibri" w:hAnsi="Calibri" w:eastAsia="宋体" w:cs="黑体"/>
      <w:kern w:val="0"/>
      <w:sz w:val="22"/>
      <w:szCs w:val="22"/>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index 1"/>
    <w:basedOn w:val="1"/>
    <w:next w:val="1"/>
    <w:qFormat/>
    <w:uiPriority w:val="99"/>
    <w:pPr>
      <w:jc w:val="center"/>
    </w:pPr>
    <w:rPr>
      <w:rFonts w:ascii="Arial" w:hAnsi="Arial" w:eastAsia="宋体" w:cs="Arial"/>
      <w:b/>
      <w:bCs/>
      <w:sz w:val="28"/>
    </w:rPr>
  </w:style>
  <w:style w:type="paragraph" w:styleId="22">
    <w:name w:val="Title"/>
    <w:basedOn w:val="1"/>
    <w:qFormat/>
    <w:locked/>
    <w:uiPriority w:val="0"/>
    <w:pPr>
      <w:widowControl/>
      <w:jc w:val="center"/>
    </w:pPr>
    <w:rPr>
      <w:rFonts w:ascii="Times New Roman" w:hAnsi="Times New Roman"/>
      <w:kern w:val="0"/>
      <w:sz w:val="30"/>
      <w:szCs w:val="30"/>
    </w:rPr>
  </w:style>
  <w:style w:type="paragraph" w:styleId="23">
    <w:name w:val="annotation subject"/>
    <w:basedOn w:val="9"/>
    <w:next w:val="9"/>
    <w:link w:val="51"/>
    <w:qFormat/>
    <w:uiPriority w:val="99"/>
    <w:rPr>
      <w:rFonts w:ascii="@仿宋_GB2312" w:hAnsi="@仿宋_GB2312" w:eastAsia="@仿宋_GB2312"/>
      <w:b/>
      <w:bCs/>
    </w:rPr>
  </w:style>
  <w:style w:type="paragraph" w:styleId="24">
    <w:name w:val="Body Text First Indent 2"/>
    <w:basedOn w:val="10"/>
    <w:next w:val="3"/>
    <w:unhideWhenUsed/>
    <w:qFormat/>
    <w:uiPriority w:val="99"/>
    <w:pPr>
      <w:ind w:firstLine="420" w:firstLineChars="200"/>
    </w:pPr>
  </w:style>
  <w:style w:type="table" w:styleId="26">
    <w:name w:val="Table Grid"/>
    <w:basedOn w:val="2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rFonts w:cs="Times New Roman"/>
      <w:b/>
    </w:rPr>
  </w:style>
  <w:style w:type="character" w:styleId="29">
    <w:name w:val="page number"/>
    <w:basedOn w:val="27"/>
    <w:qFormat/>
    <w:uiPriority w:val="99"/>
    <w:rPr>
      <w:rFonts w:cs="Times New Roman"/>
    </w:rPr>
  </w:style>
  <w:style w:type="character" w:styleId="30">
    <w:name w:val="FollowedHyperlink"/>
    <w:basedOn w:val="27"/>
    <w:unhideWhenUsed/>
    <w:qFormat/>
    <w:uiPriority w:val="99"/>
    <w:rPr>
      <w:color w:val="505050"/>
      <w:sz w:val="21"/>
      <w:szCs w:val="21"/>
      <w:u w:val="none"/>
    </w:rPr>
  </w:style>
  <w:style w:type="character" w:styleId="31">
    <w:name w:val="Emphasis"/>
    <w:basedOn w:val="27"/>
    <w:qFormat/>
    <w:locked/>
    <w:uiPriority w:val="0"/>
  </w:style>
  <w:style w:type="character" w:styleId="32">
    <w:name w:val="HTML Definition"/>
    <w:basedOn w:val="27"/>
    <w:unhideWhenUsed/>
    <w:qFormat/>
    <w:uiPriority w:val="99"/>
  </w:style>
  <w:style w:type="character" w:styleId="33">
    <w:name w:val="HTML Acronym"/>
    <w:basedOn w:val="27"/>
    <w:unhideWhenUsed/>
    <w:qFormat/>
    <w:uiPriority w:val="99"/>
  </w:style>
  <w:style w:type="character" w:styleId="34">
    <w:name w:val="HTML Variable"/>
    <w:basedOn w:val="27"/>
    <w:unhideWhenUsed/>
    <w:qFormat/>
    <w:uiPriority w:val="99"/>
  </w:style>
  <w:style w:type="character" w:styleId="35">
    <w:name w:val="Hyperlink"/>
    <w:qFormat/>
    <w:uiPriority w:val="99"/>
    <w:rPr>
      <w:rFonts w:cs="Times New Roman"/>
      <w:color w:val="0000FF"/>
      <w:u w:val="single"/>
    </w:rPr>
  </w:style>
  <w:style w:type="character" w:styleId="36">
    <w:name w:val="HTML Code"/>
    <w:basedOn w:val="27"/>
    <w:unhideWhenUsed/>
    <w:qFormat/>
    <w:uiPriority w:val="99"/>
    <w:rPr>
      <w:rFonts w:ascii="Courier New" w:hAnsi="Courier New"/>
      <w:color w:val="505050"/>
      <w:sz w:val="24"/>
      <w:szCs w:val="24"/>
    </w:rPr>
  </w:style>
  <w:style w:type="character" w:styleId="37">
    <w:name w:val="annotation reference"/>
    <w:qFormat/>
    <w:uiPriority w:val="99"/>
    <w:rPr>
      <w:rFonts w:cs="Times New Roman"/>
      <w:sz w:val="21"/>
      <w:szCs w:val="21"/>
    </w:rPr>
  </w:style>
  <w:style w:type="character" w:styleId="38">
    <w:name w:val="HTML Cite"/>
    <w:basedOn w:val="27"/>
    <w:unhideWhenUsed/>
    <w:qFormat/>
    <w:uiPriority w:val="99"/>
  </w:style>
  <w:style w:type="character" w:styleId="39">
    <w:name w:val="HTML Sample"/>
    <w:basedOn w:val="27"/>
    <w:unhideWhenUsed/>
    <w:qFormat/>
    <w:uiPriority w:val="99"/>
    <w:rPr>
      <w:rFonts w:ascii="Courier New" w:hAnsi="Courier New"/>
    </w:rPr>
  </w:style>
  <w:style w:type="character" w:customStyle="1" w:styleId="40">
    <w:name w:val="标题 1 Char"/>
    <w:link w:val="4"/>
    <w:qFormat/>
    <w:locked/>
    <w:uiPriority w:val="99"/>
    <w:rPr>
      <w:rFonts w:ascii="@仿宋_GB2312" w:hAnsi="@仿宋_GB2312" w:eastAsia="@仿宋_GB2312" w:cs="@仿宋_GB2312"/>
      <w:b/>
      <w:bCs/>
      <w:kern w:val="44"/>
      <w:sz w:val="44"/>
      <w:szCs w:val="44"/>
    </w:rPr>
  </w:style>
  <w:style w:type="character" w:customStyle="1" w:styleId="41">
    <w:name w:val="标题 2 Char"/>
    <w:link w:val="5"/>
    <w:semiHidden/>
    <w:qFormat/>
    <w:uiPriority w:val="9"/>
    <w:rPr>
      <w:rFonts w:ascii="Cambria" w:hAnsi="Cambria" w:eastAsia="宋体" w:cs="Times New Roman"/>
      <w:b/>
      <w:bCs/>
      <w:sz w:val="32"/>
      <w:szCs w:val="32"/>
    </w:rPr>
  </w:style>
  <w:style w:type="character" w:customStyle="1" w:styleId="42">
    <w:name w:val="标题 3 Char"/>
    <w:link w:val="6"/>
    <w:semiHidden/>
    <w:qFormat/>
    <w:locked/>
    <w:uiPriority w:val="99"/>
    <w:rPr>
      <w:rFonts w:ascii="@仿宋_GB2312" w:hAnsi="@仿宋_GB2312" w:eastAsia="@仿宋_GB2312" w:cs="@仿宋_GB2312"/>
      <w:b/>
      <w:bCs/>
      <w:sz w:val="32"/>
      <w:szCs w:val="32"/>
    </w:rPr>
  </w:style>
  <w:style w:type="character" w:customStyle="1" w:styleId="43">
    <w:name w:val="标题 4 Char1"/>
    <w:link w:val="7"/>
    <w:qFormat/>
    <w:locked/>
    <w:uiPriority w:val="99"/>
    <w:rPr>
      <w:rFonts w:ascii="@仿宋_GB2312" w:hAnsi="@仿宋_GB2312" w:eastAsia="@仿宋_GB2312"/>
      <w:b/>
      <w:sz w:val="28"/>
    </w:rPr>
  </w:style>
  <w:style w:type="character" w:customStyle="1" w:styleId="44">
    <w:name w:val="批注文字 Char1"/>
    <w:link w:val="9"/>
    <w:qFormat/>
    <w:locked/>
    <w:uiPriority w:val="99"/>
    <w:rPr>
      <w:rFonts w:ascii="Arial" w:hAnsi="Arial" w:eastAsia="黑体"/>
      <w:sz w:val="20"/>
    </w:rPr>
  </w:style>
  <w:style w:type="character" w:customStyle="1" w:styleId="45">
    <w:name w:val="正文文本 Char"/>
    <w:link w:val="2"/>
    <w:semiHidden/>
    <w:qFormat/>
    <w:uiPriority w:val="99"/>
    <w:rPr>
      <w:rFonts w:ascii="@仿宋_GB2312" w:hAnsi="@仿宋_GB2312" w:eastAsia="@仿宋_GB2312" w:cs="@仿宋_GB2312"/>
      <w:szCs w:val="20"/>
    </w:rPr>
  </w:style>
  <w:style w:type="character" w:customStyle="1" w:styleId="46">
    <w:name w:val="纯文本 Char"/>
    <w:link w:val="13"/>
    <w:qFormat/>
    <w:locked/>
    <w:uiPriority w:val="99"/>
    <w:rPr>
      <w:rFonts w:ascii="宋体" w:hAnsi="Courier New"/>
    </w:rPr>
  </w:style>
  <w:style w:type="character" w:customStyle="1" w:styleId="47">
    <w:name w:val="日期 Char"/>
    <w:link w:val="14"/>
    <w:qFormat/>
    <w:locked/>
    <w:uiPriority w:val="99"/>
    <w:rPr>
      <w:rFonts w:ascii="Arial" w:hAnsi="Arial" w:eastAsia="宋体"/>
      <w:b/>
      <w:sz w:val="20"/>
    </w:rPr>
  </w:style>
  <w:style w:type="character" w:customStyle="1" w:styleId="48">
    <w:name w:val="批注框文本 Char"/>
    <w:link w:val="15"/>
    <w:semiHidden/>
    <w:qFormat/>
    <w:locked/>
    <w:uiPriority w:val="99"/>
    <w:rPr>
      <w:rFonts w:ascii="@仿宋_GB2312" w:hAnsi="@仿宋_GB2312" w:eastAsia="@仿宋_GB2312" w:cs="@仿宋_GB2312"/>
      <w:sz w:val="18"/>
      <w:szCs w:val="18"/>
    </w:rPr>
  </w:style>
  <w:style w:type="character" w:customStyle="1" w:styleId="49">
    <w:name w:val="页脚 Char"/>
    <w:link w:val="16"/>
    <w:qFormat/>
    <w:locked/>
    <w:uiPriority w:val="99"/>
    <w:rPr>
      <w:rFonts w:ascii="@仿宋_GB2312" w:hAnsi="@仿宋_GB2312" w:eastAsia="@仿宋_GB2312" w:cs="@仿宋_GB2312"/>
      <w:sz w:val="18"/>
      <w:szCs w:val="18"/>
    </w:rPr>
  </w:style>
  <w:style w:type="character" w:customStyle="1" w:styleId="50">
    <w:name w:val="页眉 Char"/>
    <w:link w:val="17"/>
    <w:qFormat/>
    <w:locked/>
    <w:uiPriority w:val="99"/>
    <w:rPr>
      <w:rFonts w:ascii="@仿宋_GB2312" w:hAnsi="@仿宋_GB2312" w:eastAsia="@仿宋_GB2312" w:cs="@仿宋_GB2312"/>
      <w:sz w:val="18"/>
      <w:szCs w:val="18"/>
    </w:rPr>
  </w:style>
  <w:style w:type="character" w:customStyle="1" w:styleId="51">
    <w:name w:val="批注主题 Char"/>
    <w:link w:val="23"/>
    <w:semiHidden/>
    <w:qFormat/>
    <w:locked/>
    <w:uiPriority w:val="99"/>
    <w:rPr>
      <w:rFonts w:ascii="@仿宋_GB2312" w:hAnsi="@仿宋_GB2312" w:eastAsia="@仿宋_GB2312" w:cs="@仿宋_GB2312"/>
      <w:b/>
      <w:bCs/>
      <w:sz w:val="20"/>
      <w:szCs w:val="20"/>
    </w:rPr>
  </w:style>
  <w:style w:type="character" w:customStyle="1" w:styleId="52">
    <w:name w:val="未处理的提及1"/>
    <w:qFormat/>
    <w:uiPriority w:val="99"/>
    <w:rPr>
      <w:rFonts w:cs="Times New Roman"/>
      <w:color w:val="605E5C"/>
      <w:shd w:val="clear" w:color="auto" w:fill="E1DFDD"/>
    </w:rPr>
  </w:style>
  <w:style w:type="character" w:customStyle="1" w:styleId="53">
    <w:name w:val="font21"/>
    <w:basedOn w:val="27"/>
    <w:qFormat/>
    <w:uiPriority w:val="0"/>
    <w:rPr>
      <w:rFonts w:hint="eastAsia" w:ascii="宋体" w:hAnsi="宋体" w:eastAsia="宋体" w:cs="宋体"/>
      <w:color w:val="000000"/>
      <w:sz w:val="22"/>
      <w:szCs w:val="22"/>
      <w:u w:val="none"/>
    </w:rPr>
  </w:style>
  <w:style w:type="character" w:customStyle="1" w:styleId="54">
    <w:name w:val="标题 4 字符"/>
    <w:semiHidden/>
    <w:qFormat/>
    <w:uiPriority w:val="99"/>
    <w:rPr>
      <w:rFonts w:ascii="Cambria" w:hAnsi="Cambria" w:eastAsia="宋体" w:cs="黑体"/>
      <w:b/>
      <w:bCs/>
      <w:sz w:val="28"/>
      <w:szCs w:val="28"/>
    </w:rPr>
  </w:style>
  <w:style w:type="character" w:customStyle="1" w:styleId="55">
    <w:name w:val="纯文本 Char1"/>
    <w:qFormat/>
    <w:locked/>
    <w:uiPriority w:val="99"/>
    <w:rPr>
      <w:rFonts w:ascii="Arial" w:hAnsi="Arial" w:eastAsia="Times New Roman"/>
      <w:kern w:val="2"/>
      <w:sz w:val="21"/>
      <w:lang w:val="en-US" w:eastAsia="zh-CN"/>
    </w:rPr>
  </w:style>
  <w:style w:type="character" w:customStyle="1" w:styleId="56">
    <w:name w:val="font51"/>
    <w:basedOn w:val="27"/>
    <w:qFormat/>
    <w:uiPriority w:val="0"/>
    <w:rPr>
      <w:rFonts w:hint="default" w:ascii="Times New Roman" w:hAnsi="Times New Roman" w:cs="Times New Roman"/>
      <w:color w:val="000000"/>
      <w:sz w:val="22"/>
      <w:szCs w:val="22"/>
      <w:u w:val="none"/>
    </w:rPr>
  </w:style>
  <w:style w:type="character" w:customStyle="1" w:styleId="57">
    <w:name w:val="标题 4 Char"/>
    <w:qFormat/>
    <w:uiPriority w:val="99"/>
    <w:rPr>
      <w:rFonts w:ascii="Arial" w:hAnsi="Arial" w:eastAsia="Times New Roman"/>
      <w:b/>
      <w:kern w:val="2"/>
      <w:sz w:val="28"/>
      <w:lang w:val="en-US" w:eastAsia="zh-CN"/>
    </w:rPr>
  </w:style>
  <w:style w:type="character" w:customStyle="1" w:styleId="58">
    <w:name w:val="fontstyle21"/>
    <w:qFormat/>
    <w:uiPriority w:val="99"/>
    <w:rPr>
      <w:rFonts w:ascii="TimesNewRomanPSMT" w:hAnsi="TimesNewRomanPSMT" w:cs="Times New Roman"/>
      <w:color w:val="000000"/>
      <w:sz w:val="22"/>
      <w:szCs w:val="22"/>
    </w:rPr>
  </w:style>
  <w:style w:type="character" w:customStyle="1" w:styleId="59">
    <w:name w:val="fontstyle01"/>
    <w:qFormat/>
    <w:uiPriority w:val="99"/>
    <w:rPr>
      <w:rFonts w:ascii="宋体" w:hAnsi="宋体" w:eastAsia="宋体" w:cs="Times New Roman"/>
      <w:color w:val="000000"/>
      <w:sz w:val="22"/>
      <w:szCs w:val="22"/>
    </w:rPr>
  </w:style>
  <w:style w:type="character" w:customStyle="1" w:styleId="60">
    <w:name w:val="font31"/>
    <w:basedOn w:val="27"/>
    <w:qFormat/>
    <w:uiPriority w:val="0"/>
    <w:rPr>
      <w:rFonts w:ascii="Arial" w:hAnsi="Arial" w:eastAsia="宋体" w:cs="Arial"/>
      <w:color w:val="000000"/>
      <w:sz w:val="21"/>
      <w:szCs w:val="21"/>
      <w:u w:val="none"/>
    </w:rPr>
  </w:style>
  <w:style w:type="character" w:customStyle="1" w:styleId="61">
    <w:name w:val="fontstyle11"/>
    <w:qFormat/>
    <w:uiPriority w:val="99"/>
    <w:rPr>
      <w:rFonts w:ascii="宋体" w:hAnsi="宋体" w:eastAsia="宋体" w:cs="Times New Roman"/>
      <w:color w:val="000000"/>
      <w:sz w:val="22"/>
      <w:szCs w:val="22"/>
    </w:rPr>
  </w:style>
  <w:style w:type="character" w:customStyle="1" w:styleId="62">
    <w:name w:val="正文文本 (2) + Sylfaen2"/>
    <w:qFormat/>
    <w:uiPriority w:val="99"/>
    <w:rPr>
      <w:rFonts w:ascii="Sylfaen" w:hAnsi="Sylfaen" w:eastAsia="MingLiUfalt"/>
      <w:spacing w:val="0"/>
      <w:sz w:val="23"/>
      <w:shd w:val="clear" w:color="auto" w:fill="FFFFFF"/>
      <w:lang w:val="en-US" w:eastAsia="en-US"/>
    </w:rPr>
  </w:style>
  <w:style w:type="character" w:customStyle="1" w:styleId="63">
    <w:name w:val="纯文本 字符1"/>
    <w:semiHidden/>
    <w:qFormat/>
    <w:uiPriority w:val="99"/>
    <w:rPr>
      <w:rFonts w:ascii="宋体" w:hAnsi="Courier New" w:cs="Courier New"/>
      <w:sz w:val="20"/>
      <w:szCs w:val="20"/>
    </w:rPr>
  </w:style>
  <w:style w:type="character" w:customStyle="1" w:styleId="64">
    <w:name w:val="font01"/>
    <w:basedOn w:val="27"/>
    <w:qFormat/>
    <w:uiPriority w:val="0"/>
    <w:rPr>
      <w:rFonts w:hint="eastAsia" w:ascii="宋体" w:hAnsi="宋体" w:eastAsia="宋体" w:cs="宋体"/>
      <w:color w:val="000000"/>
      <w:sz w:val="24"/>
      <w:szCs w:val="24"/>
      <w:u w:val="none"/>
    </w:rPr>
  </w:style>
  <w:style w:type="character" w:customStyle="1" w:styleId="65">
    <w:name w:val="批注文字 Char"/>
    <w:qFormat/>
    <w:uiPriority w:val="99"/>
    <w:rPr>
      <w:rFonts w:ascii="@仿宋_GB2312" w:hAnsi="@仿宋_GB2312" w:eastAsia="@仿宋_GB2312" w:cs="@仿宋_GB2312"/>
      <w:sz w:val="20"/>
      <w:szCs w:val="20"/>
    </w:rPr>
  </w:style>
  <w:style w:type="character" w:customStyle="1" w:styleId="66">
    <w:name w:val="日期 字符"/>
    <w:semiHidden/>
    <w:qFormat/>
    <w:uiPriority w:val="99"/>
    <w:rPr>
      <w:rFonts w:ascii="@仿宋_GB2312" w:hAnsi="@仿宋_GB2312" w:eastAsia="@仿宋_GB2312" w:cs="@仿宋_GB2312"/>
      <w:sz w:val="20"/>
      <w:szCs w:val="20"/>
    </w:rPr>
  </w:style>
  <w:style w:type="character" w:customStyle="1" w:styleId="67">
    <w:name w:val="font11"/>
    <w:basedOn w:val="27"/>
    <w:qFormat/>
    <w:uiPriority w:val="0"/>
    <w:rPr>
      <w:rFonts w:hint="eastAsia" w:ascii="宋体" w:hAnsi="宋体" w:eastAsia="宋体" w:cs="宋体"/>
      <w:color w:val="000000"/>
      <w:sz w:val="21"/>
      <w:szCs w:val="21"/>
      <w:u w:val="none"/>
    </w:rPr>
  </w:style>
  <w:style w:type="character" w:customStyle="1" w:styleId="68">
    <w:name w:val="font41"/>
    <w:basedOn w:val="27"/>
    <w:qFormat/>
    <w:uiPriority w:val="0"/>
    <w:rPr>
      <w:rFonts w:hint="default" w:ascii="Times New Roman" w:hAnsi="Times New Roman" w:cs="Times New Roman"/>
      <w:color w:val="000000"/>
      <w:sz w:val="22"/>
      <w:szCs w:val="22"/>
      <w:u w:val="none"/>
    </w:rPr>
  </w:style>
  <w:style w:type="paragraph" w:customStyle="1" w:styleId="69">
    <w:name w:val="列出段落11"/>
    <w:basedOn w:val="1"/>
    <w:qFormat/>
    <w:uiPriority w:val="99"/>
    <w:pPr>
      <w:adjustRightInd w:val="0"/>
      <w:spacing w:line="360" w:lineRule="atLeast"/>
      <w:ind w:firstLine="420" w:firstLineChars="200"/>
      <w:jc w:val="left"/>
    </w:pPr>
    <w:rPr>
      <w:kern w:val="0"/>
      <w:sz w:val="24"/>
    </w:rPr>
  </w:style>
  <w:style w:type="paragraph" w:customStyle="1" w:styleId="70">
    <w:name w:val="p1"/>
    <w:basedOn w:val="1"/>
    <w:qFormat/>
    <w:uiPriority w:val="99"/>
    <w:pPr>
      <w:spacing w:line="320" w:lineRule="atLeast"/>
      <w:jc w:val="left"/>
    </w:pPr>
    <w:rPr>
      <w:rFonts w:ascii="Helvetica Neue" w:hAnsi="Helvetica Neue" w:eastAsia="宋体"/>
      <w:kern w:val="0"/>
      <w:sz w:val="22"/>
      <w:szCs w:val="22"/>
    </w:rPr>
  </w:style>
  <w:style w:type="paragraph" w:customStyle="1" w:styleId="71">
    <w:name w:val="_Style 28"/>
    <w:basedOn w:val="1"/>
    <w:qFormat/>
    <w:uiPriority w:val="99"/>
    <w:pPr>
      <w:ind w:firstLine="420" w:firstLineChars="200"/>
    </w:pPr>
    <w:rPr>
      <w:rFonts w:ascii="Calibri" w:hAnsi="Calibri"/>
    </w:rPr>
  </w:style>
  <w:style w:type="paragraph" w:styleId="72">
    <w:name w:val="List Paragraph"/>
    <w:basedOn w:val="1"/>
    <w:qFormat/>
    <w:uiPriority w:val="0"/>
    <w:pPr>
      <w:ind w:firstLine="420" w:firstLineChars="200"/>
    </w:pPr>
  </w:style>
  <w:style w:type="paragraph" w:customStyle="1" w:styleId="7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
    <w:basedOn w:val="1"/>
    <w:qFormat/>
    <w:uiPriority w:val="0"/>
    <w:pPr>
      <w:spacing w:line="360" w:lineRule="auto"/>
      <w:ind w:firstLine="200" w:firstLineChars="200"/>
    </w:pPr>
    <w:rPr>
      <w:rFonts w:ascii="华文细黑" w:hAnsi="华文细黑" w:eastAsia="华文细黑"/>
      <w:kern w:val="0"/>
      <w:sz w:val="24"/>
    </w:rPr>
  </w:style>
  <w:style w:type="paragraph" w:customStyle="1" w:styleId="75">
    <w:name w:val="D&amp;L"/>
    <w:basedOn w:val="17"/>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76">
    <w:name w:val="列表段落1"/>
    <w:basedOn w:val="1"/>
    <w:qFormat/>
    <w:uiPriority w:val="34"/>
    <w:pPr>
      <w:ind w:firstLine="420" w:firstLineChars="200"/>
    </w:pPr>
    <w:rPr>
      <w:rFonts w:ascii="Times New Roman" w:hAnsi="Times New Roman"/>
      <w:szCs w:val="24"/>
    </w:rPr>
  </w:style>
  <w:style w:type="paragraph" w:customStyle="1" w:styleId="77">
    <w:name w:val="xl31"/>
    <w:basedOn w:val="1"/>
    <w:qFormat/>
    <w:uiPriority w:val="99"/>
    <w:pPr>
      <w:widowControl/>
      <w:spacing w:before="100" w:beforeAutospacing="1" w:after="100" w:afterAutospacing="1"/>
      <w:jc w:val="center"/>
    </w:pPr>
    <w:rPr>
      <w:b/>
      <w:bCs/>
      <w:kern w:val="0"/>
      <w:sz w:val="28"/>
      <w:szCs w:val="28"/>
    </w:rPr>
  </w:style>
  <w:style w:type="paragraph" w:customStyle="1" w:styleId="78">
    <w:name w:val="列出段落1"/>
    <w:basedOn w:val="1"/>
    <w:qFormat/>
    <w:uiPriority w:val="99"/>
    <w:pPr>
      <w:ind w:firstLine="420" w:firstLineChars="200"/>
    </w:pPr>
  </w:style>
  <w:style w:type="paragraph" w:customStyle="1" w:styleId="79">
    <w:name w:val="纯文本 New"/>
    <w:basedOn w:val="73"/>
    <w:qFormat/>
    <w:uiPriority w:val="0"/>
    <w:rPr>
      <w:rFonts w:ascii="宋体" w:hAnsi="Courier New" w:eastAsia="宋体" w:cs="Times New Roman"/>
    </w:rPr>
  </w:style>
  <w:style w:type="paragraph" w:customStyle="1" w:styleId="80">
    <w:name w:val="_Style 25"/>
    <w:basedOn w:val="1"/>
    <w:qFormat/>
    <w:uiPriority w:val="99"/>
    <w:pPr>
      <w:ind w:firstLine="420" w:firstLineChars="200"/>
    </w:pPr>
  </w:style>
  <w:style w:type="paragraph" w:customStyle="1" w:styleId="81">
    <w:name w:val="正文（缩进）"/>
    <w:basedOn w:val="1"/>
    <w:qFormat/>
    <w:uiPriority w:val="99"/>
    <w:pPr>
      <w:widowControl/>
      <w:spacing w:before="156" w:after="156"/>
      <w:ind w:firstLine="480" w:firstLineChars="200"/>
      <w:jc w:val="left"/>
    </w:pPr>
    <w:rPr>
      <w:kern w:val="0"/>
      <w:sz w:val="24"/>
      <w:szCs w:val="24"/>
    </w:rPr>
  </w:style>
  <w:style w:type="paragraph" w:customStyle="1" w:styleId="82">
    <w:name w:val="Char"/>
    <w:basedOn w:val="1"/>
    <w:qFormat/>
    <w:uiPriority w:val="99"/>
    <w:rPr>
      <w:rFonts w:ascii="Tahoma" w:hAnsi="Tahoma"/>
      <w:sz w:val="24"/>
    </w:rPr>
  </w:style>
  <w:style w:type="paragraph" w:styleId="8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修订1"/>
    <w:semiHidden/>
    <w:qFormat/>
    <w:uiPriority w:val="99"/>
    <w:rPr>
      <w:rFonts w:ascii="@仿宋_GB2312" w:hAnsi="@仿宋_GB2312" w:eastAsia="@仿宋_GB2312" w:cs="@仿宋_GB2312"/>
      <w:kern w:val="2"/>
      <w:sz w:val="21"/>
      <w:lang w:val="en-US" w:eastAsia="zh-CN" w:bidi="ar-SA"/>
    </w:rPr>
  </w:style>
  <w:style w:type="paragraph" w:customStyle="1" w:styleId="85">
    <w:name w:val="Char Char Char Char Char Char Char1 Char"/>
    <w:basedOn w:val="1"/>
    <w:qFormat/>
    <w:uiPriority w:val="99"/>
    <w:rPr>
      <w:rFonts w:ascii="Arial" w:hAnsi="Arial" w:eastAsia="宋体" w:cs="Arial"/>
      <w:sz w:val="24"/>
    </w:rPr>
  </w:style>
  <w:style w:type="paragraph" w:customStyle="1" w:styleId="86">
    <w:name w:val="_Style 85"/>
    <w:semiHidden/>
    <w:qFormat/>
    <w:uiPriority w:val="99"/>
    <w:rPr>
      <w:rFonts w:ascii="@仿宋_GB2312" w:hAnsi="@仿宋_GB2312" w:eastAsia="@仿宋_GB2312" w:cs="@仿宋_GB2312"/>
      <w:kern w:val="2"/>
      <w:sz w:val="21"/>
      <w:lang w:val="en-US" w:eastAsia="zh-CN" w:bidi="ar-SA"/>
    </w:rPr>
  </w:style>
  <w:style w:type="paragraph" w:customStyle="1" w:styleId="87">
    <w:name w:val="List Paragraph11"/>
    <w:basedOn w:val="1"/>
    <w:qFormat/>
    <w:uiPriority w:val="0"/>
    <w:pPr>
      <w:ind w:firstLine="420" w:firstLineChars="200"/>
      <w:jc w:val="both"/>
    </w:pPr>
    <w:rPr>
      <w:rFonts w:ascii="Times New Roman" w:hAnsi="Times New Roman" w:eastAsia="宋体" w:cs="Times New Roman"/>
      <w:sz w:val="21"/>
      <w:lang w:eastAsia="zh-CN"/>
    </w:rPr>
  </w:style>
  <w:style w:type="paragraph" w:customStyle="1" w:styleId="88">
    <w:name w:val="TOC 标题1"/>
    <w:basedOn w:val="4"/>
    <w:next w:val="1"/>
    <w:qFormat/>
    <w:uiPriority w:val="99"/>
    <w:pPr>
      <w:widowControl/>
      <w:spacing w:before="480" w:after="0" w:line="276" w:lineRule="auto"/>
      <w:jc w:val="left"/>
      <w:outlineLvl w:val="9"/>
    </w:pPr>
    <w:rPr>
      <w:rFonts w:ascii="Cambria" w:hAnsi="Cambria" w:eastAsia="宋体" w:cs="黑体"/>
      <w:color w:val="365F90"/>
      <w:kern w:val="0"/>
      <w:sz w:val="28"/>
      <w:szCs w:val="28"/>
    </w:rPr>
  </w:style>
  <w:style w:type="table" w:customStyle="1" w:styleId="89">
    <w:name w:val="网格型1"/>
    <w:basedOn w:val="25"/>
    <w:qFormat/>
    <w:uiPriority w:val="9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网格表 1 浅色1"/>
    <w:qFormat/>
    <w:uiPriority w:val="99"/>
    <w:rPr>
      <w:lang w:val="en-US" w:eastAsia="zh-CN" w:bidi="ar-SA"/>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style>
  <w:style w:type="paragraph" w:customStyle="1" w:styleId="91">
    <w:name w:val="Other|1"/>
    <w:basedOn w:val="1"/>
    <w:qFormat/>
    <w:uiPriority w:val="0"/>
    <w:pPr>
      <w:widowControl w:val="0"/>
      <w:shd w:val="clear" w:color="auto" w:fill="auto"/>
      <w:spacing w:line="315" w:lineRule="exact"/>
    </w:pPr>
    <w:rPr>
      <w:rFonts w:ascii="宋体" w:hAnsi="宋体" w:eastAsia="宋体" w:cs="宋体"/>
      <w:sz w:val="22"/>
      <w:szCs w:val="22"/>
      <w:u w:val="none"/>
      <w:shd w:val="clear" w:color="auto" w:fill="auto"/>
      <w:lang w:val="zh-TW" w:eastAsia="zh-TW" w:bidi="zh-TW"/>
    </w:rPr>
  </w:style>
  <w:style w:type="character" w:customStyle="1" w:styleId="92">
    <w:name w:val="first-child"/>
    <w:basedOn w:val="27"/>
    <w:qFormat/>
    <w:uiPriority w:val="0"/>
  </w:style>
  <w:style w:type="character" w:customStyle="1" w:styleId="93">
    <w:name w:val="layui-this"/>
    <w:basedOn w:val="27"/>
    <w:qFormat/>
    <w:uiPriority w:val="0"/>
    <w:rPr>
      <w:bdr w:val="single" w:color="EEEEEE" w:sz="6" w:space="0"/>
      <w:shd w:val="clear" w:color="auto" w:fill="FFFFFF"/>
    </w:rPr>
  </w:style>
  <w:style w:type="paragraph" w:customStyle="1" w:styleId="94">
    <w:name w:val="_Style 93"/>
    <w:basedOn w:val="1"/>
    <w:next w:val="1"/>
    <w:qFormat/>
    <w:uiPriority w:val="0"/>
    <w:pPr>
      <w:pBdr>
        <w:bottom w:val="single" w:color="auto" w:sz="6" w:space="1"/>
      </w:pBdr>
      <w:jc w:val="center"/>
    </w:pPr>
    <w:rPr>
      <w:rFonts w:ascii="Arial" w:eastAsia="宋体"/>
      <w:vanish/>
      <w:sz w:val="16"/>
    </w:rPr>
  </w:style>
  <w:style w:type="paragraph" w:customStyle="1" w:styleId="95">
    <w:name w:val="_Style 94"/>
    <w:basedOn w:val="1"/>
    <w:next w:val="1"/>
    <w:qFormat/>
    <w:uiPriority w:val="0"/>
    <w:pPr>
      <w:pBdr>
        <w:top w:val="single" w:color="auto" w:sz="6" w:space="1"/>
      </w:pBdr>
      <w:jc w:val="center"/>
    </w:pPr>
    <w:rPr>
      <w:rFonts w:ascii="Arial" w:eastAsia="宋体"/>
      <w:vanish/>
      <w:sz w:val="16"/>
    </w:rPr>
  </w:style>
  <w:style w:type="paragraph" w:customStyle="1" w:styleId="96">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customStyle="1" w:styleId="97">
    <w:name w:val="List Paragraph1"/>
    <w:basedOn w:val="1"/>
    <w:qFormat/>
    <w:uiPriority w:val="99"/>
    <w:pPr>
      <w:ind w:left="720"/>
      <w:contextualSpacing/>
    </w:pPr>
  </w:style>
  <w:style w:type="paragraph" w:customStyle="1" w:styleId="98">
    <w:name w:val="List Paragraph_acadf8ab-c796-44f0-a482-2472202c8154"/>
    <w:basedOn w:val="1"/>
    <w:qFormat/>
    <w:uiPriority w:val="99"/>
    <w:pPr>
      <w:ind w:firstLine="420" w:firstLineChars="200"/>
    </w:pPr>
  </w:style>
  <w:style w:type="paragraph" w:customStyle="1" w:styleId="99">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00">
    <w:name w:val="font141"/>
    <w:qFormat/>
    <w:uiPriority w:val="0"/>
    <w:rPr>
      <w:rFonts w:hint="default" w:ascii="Times New Roman" w:hAnsi="Times New Roman" w:cs="Times New Roman"/>
      <w:color w:val="000000"/>
      <w:sz w:val="22"/>
      <w:szCs w:val="22"/>
      <w:u w:val="none"/>
    </w:rPr>
  </w:style>
  <w:style w:type="character" w:customStyle="1" w:styleId="101">
    <w:name w:val="font61"/>
    <w:basedOn w:val="27"/>
    <w:qFormat/>
    <w:uiPriority w:val="0"/>
    <w:rPr>
      <w:rFonts w:hint="eastAsia" w:ascii="宋体" w:hAnsi="宋体" w:eastAsia="宋体" w:cs="宋体"/>
      <w:color w:val="000000"/>
      <w:sz w:val="22"/>
      <w:szCs w:val="22"/>
      <w:u w:val="none"/>
    </w:rPr>
  </w:style>
  <w:style w:type="character" w:customStyle="1" w:styleId="102">
    <w:name w:val="font71"/>
    <w:qFormat/>
    <w:uiPriority w:val="0"/>
    <w:rPr>
      <w:rFonts w:hint="default" w:ascii="Times New Roman" w:hAnsi="Times New Roman" w:cs="Times New Roman"/>
      <w:color w:val="000000"/>
      <w:sz w:val="22"/>
      <w:szCs w:val="22"/>
      <w:u w:val="none"/>
    </w:rPr>
  </w:style>
  <w:style w:type="character" w:customStyle="1" w:styleId="103">
    <w:name w:val="font12"/>
    <w:qFormat/>
    <w:uiPriority w:val="0"/>
    <w:rPr>
      <w:rFonts w:hint="default" w:ascii="Times New Roman" w:hAnsi="Times New Roman" w:cs="Times New Roman"/>
      <w:color w:val="000000"/>
      <w:sz w:val="22"/>
      <w:szCs w:val="22"/>
      <w:u w:val="none"/>
    </w:rPr>
  </w:style>
  <w:style w:type="character" w:customStyle="1" w:styleId="104">
    <w:name w:val="font12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akoosky</Company>
  <Pages>72</Pages>
  <Words>39641</Words>
  <Characters>43434</Characters>
  <Lines>375</Lines>
  <Paragraphs>105</Paragraphs>
  <TotalTime>1</TotalTime>
  <ScaleCrop>false</ScaleCrop>
  <LinksUpToDate>false</LinksUpToDate>
  <CharactersWithSpaces>46938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2020-12-16T15:04:00Z</dcterms:created>
  <dc:creator>Anakin</dc:creator>
  <cp:lastModifiedBy>灬咆哮の娃娃菜</cp:lastModifiedBy>
  <cp:lastPrinted>2021-06-03T04:20:00Z</cp:lastPrinted>
  <dcterms:modified xsi:type="dcterms:W3CDTF">2023-07-21T07:49:23Z</dcterms:modified>
  <dc:title>某项目（项目编号：某编号）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10CD3F6F215C4B8391C6150A92826D37_13</vt:lpwstr>
  </property>
</Properties>
</file>