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napToGrid w:val="0"/>
        <w:spacing w:before="0" w:after="0" w:line="360" w:lineRule="auto"/>
        <w:jc w:val="center"/>
        <w:rPr>
          <w:rFonts w:hint="eastAsia" w:ascii="宋体" w:hAnsi="宋体"/>
        </w:rPr>
      </w:pPr>
      <w:bookmarkStart w:id="0" w:name="_Toc445554746"/>
      <w:bookmarkStart w:id="1" w:name="_Toc31131"/>
      <w:bookmarkStart w:id="2" w:name="_Toc4571425"/>
      <w:bookmarkStart w:id="3" w:name="_Toc466024555"/>
      <w:bookmarkStart w:id="7" w:name="_GoBack"/>
      <w:r>
        <w:rPr>
          <w:rFonts w:hint="eastAsia" w:ascii="宋体" w:hAnsi="宋体"/>
        </w:rPr>
        <w:t>安徽电气工程职业技术学院错误接线虚拟培训系统</w:t>
      </w:r>
      <w:r>
        <w:rPr>
          <w:rFonts w:hint="eastAsia" w:ascii="宋体" w:hAnsi="宋体"/>
          <w:lang w:val="en-US" w:eastAsia="zh-CN"/>
        </w:rPr>
        <w:t>项目</w:t>
      </w:r>
      <w:r>
        <w:rPr>
          <w:rFonts w:hint="eastAsia" w:ascii="宋体" w:hAnsi="宋体"/>
        </w:rPr>
        <w:t>采购需求</w:t>
      </w:r>
      <w:bookmarkEnd w:id="0"/>
      <w:bookmarkEnd w:id="1"/>
      <w:bookmarkEnd w:id="2"/>
      <w:bookmarkEnd w:id="3"/>
    </w:p>
    <w:bookmarkEnd w:id="7"/>
    <w:p>
      <w:pPr>
        <w:widowControl/>
        <w:rPr>
          <w:rFonts w:hint="eastAsia"/>
        </w:rPr>
      </w:pPr>
    </w:p>
    <w:p>
      <w:pPr>
        <w:jc w:val="left"/>
        <w:rPr>
          <w:rFonts w:hint="eastAsia" w:ascii="黑体" w:hAnsi="黑体" w:eastAsia="黑体"/>
          <w:sz w:val="28"/>
        </w:rPr>
      </w:pPr>
      <w:r>
        <w:rPr>
          <w:rFonts w:hint="eastAsia" w:ascii="黑体" w:hAnsi="黑体" w:eastAsia="黑体"/>
          <w:sz w:val="28"/>
        </w:rPr>
        <w:t>一、采购需求前附表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100"/>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96" w:beforeLines="40" w:after="96" w:afterLines="40" w:line="400" w:lineRule="exact"/>
              <w:jc w:val="center"/>
              <w:rPr>
                <w:rFonts w:hint="eastAsia" w:ascii="宋体" w:hAnsi="宋体"/>
                <w:b/>
                <w:szCs w:val="21"/>
              </w:rPr>
            </w:pPr>
            <w:r>
              <w:rPr>
                <w:rFonts w:hint="eastAsia" w:ascii="宋体" w:hAnsi="宋体"/>
                <w:b/>
                <w:szCs w:val="21"/>
              </w:rPr>
              <w:t>序号</w:t>
            </w:r>
          </w:p>
        </w:tc>
        <w:tc>
          <w:tcPr>
            <w:tcW w:w="2100" w:type="dxa"/>
            <w:noWrap w:val="0"/>
            <w:vAlign w:val="top"/>
          </w:tcPr>
          <w:p>
            <w:pPr>
              <w:spacing w:before="96" w:beforeLines="40" w:after="96" w:afterLines="40" w:line="400" w:lineRule="exact"/>
              <w:jc w:val="center"/>
              <w:rPr>
                <w:rFonts w:hint="eastAsia"/>
                <w:b/>
                <w:szCs w:val="21"/>
              </w:rPr>
            </w:pPr>
            <w:r>
              <w:rPr>
                <w:rFonts w:hint="eastAsia" w:ascii="宋体" w:hAnsi="宋体"/>
                <w:b/>
                <w:szCs w:val="21"/>
              </w:rPr>
              <w:t>条款名称</w:t>
            </w:r>
          </w:p>
        </w:tc>
        <w:tc>
          <w:tcPr>
            <w:tcW w:w="5985" w:type="dxa"/>
            <w:noWrap w:val="0"/>
            <w:vAlign w:val="top"/>
          </w:tcPr>
          <w:p>
            <w:pPr>
              <w:spacing w:before="96" w:beforeLines="40" w:after="96" w:afterLines="40" w:line="400" w:lineRule="exact"/>
              <w:jc w:val="center"/>
              <w:rPr>
                <w:rFonts w:hint="eastAsia"/>
                <w:b/>
                <w:szCs w:val="21"/>
              </w:rPr>
            </w:pPr>
            <w:r>
              <w:rPr>
                <w:rFonts w:hint="eastAsia"/>
                <w:b/>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40" w:type="dxa"/>
            <w:noWrap w:val="0"/>
            <w:vAlign w:val="top"/>
          </w:tcPr>
          <w:p>
            <w:pPr>
              <w:spacing w:before="96" w:beforeLines="40" w:after="96" w:afterLines="40" w:line="400" w:lineRule="exact"/>
              <w:jc w:val="center"/>
              <w:rPr>
                <w:rFonts w:hint="eastAsia" w:ascii="宋体" w:hAnsi="宋体"/>
                <w:szCs w:val="21"/>
              </w:rPr>
            </w:pPr>
            <w:r>
              <w:rPr>
                <w:rFonts w:hint="eastAsia" w:ascii="宋体" w:hAnsi="宋体"/>
                <w:szCs w:val="21"/>
              </w:rPr>
              <w:t>1</w:t>
            </w:r>
          </w:p>
        </w:tc>
        <w:tc>
          <w:tcPr>
            <w:tcW w:w="2100" w:type="dxa"/>
            <w:noWrap w:val="0"/>
            <w:vAlign w:val="center"/>
          </w:tcPr>
          <w:p>
            <w:pPr>
              <w:spacing w:before="96" w:beforeLines="40" w:after="96" w:afterLines="40" w:line="400" w:lineRule="exact"/>
              <w:jc w:val="center"/>
              <w:rPr>
                <w:rFonts w:hint="eastAsia"/>
                <w:szCs w:val="21"/>
              </w:rPr>
            </w:pPr>
            <w:r>
              <w:rPr>
                <w:rFonts w:hint="eastAsia"/>
                <w:szCs w:val="21"/>
              </w:rPr>
              <w:t>付款方式</w:t>
            </w:r>
          </w:p>
        </w:tc>
        <w:tc>
          <w:tcPr>
            <w:tcW w:w="5985" w:type="dxa"/>
            <w:noWrap w:val="0"/>
            <w:vAlign w:val="top"/>
          </w:tcPr>
          <w:p>
            <w:pPr>
              <w:spacing w:before="96" w:beforeLines="40" w:after="96" w:afterLines="40" w:line="400" w:lineRule="exact"/>
              <w:rPr>
                <w:szCs w:val="21"/>
              </w:rPr>
            </w:pPr>
            <w:r>
              <w:rPr>
                <w:rFonts w:hint="eastAsia"/>
                <w:szCs w:val="21"/>
              </w:rPr>
              <w:t xml:space="preserve">详见供应商须知前附表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96" w:beforeLines="40" w:after="96" w:afterLines="40" w:line="400" w:lineRule="exact"/>
              <w:jc w:val="center"/>
              <w:rPr>
                <w:rFonts w:hint="eastAsia" w:ascii="宋体" w:hAnsi="宋体"/>
                <w:szCs w:val="21"/>
              </w:rPr>
            </w:pPr>
            <w:r>
              <w:rPr>
                <w:rFonts w:hint="eastAsia" w:ascii="宋体" w:hAnsi="宋体"/>
                <w:szCs w:val="21"/>
              </w:rPr>
              <w:t>2</w:t>
            </w:r>
          </w:p>
        </w:tc>
        <w:tc>
          <w:tcPr>
            <w:tcW w:w="2100" w:type="dxa"/>
            <w:noWrap w:val="0"/>
            <w:vAlign w:val="center"/>
          </w:tcPr>
          <w:p>
            <w:pPr>
              <w:spacing w:before="96" w:beforeLines="40" w:after="96" w:afterLines="40" w:line="400" w:lineRule="exact"/>
              <w:jc w:val="center"/>
              <w:rPr>
                <w:rFonts w:hint="eastAsia"/>
                <w:szCs w:val="21"/>
              </w:rPr>
            </w:pPr>
            <w:r>
              <w:rPr>
                <w:rFonts w:hint="eastAsia"/>
                <w:szCs w:val="21"/>
              </w:rPr>
              <w:t>交货期</w:t>
            </w:r>
          </w:p>
        </w:tc>
        <w:tc>
          <w:tcPr>
            <w:tcW w:w="5985" w:type="dxa"/>
            <w:noWrap w:val="0"/>
            <w:vAlign w:val="top"/>
          </w:tcPr>
          <w:p>
            <w:pPr>
              <w:spacing w:before="96" w:beforeLines="40" w:after="96" w:afterLines="40" w:line="400" w:lineRule="exact"/>
              <w:rPr>
                <w:rFonts w:hint="eastAsia"/>
                <w:szCs w:val="21"/>
              </w:rPr>
            </w:pPr>
            <w:r>
              <w:rPr>
                <w:rFonts w:hint="eastAsia"/>
                <w:szCs w:val="21"/>
              </w:rPr>
              <w:t xml:space="preserve">详见供应商须知前附表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40" w:type="dxa"/>
            <w:noWrap w:val="0"/>
            <w:vAlign w:val="top"/>
          </w:tcPr>
          <w:p>
            <w:pPr>
              <w:spacing w:before="96" w:beforeLines="40" w:after="96" w:afterLines="40" w:line="400" w:lineRule="exact"/>
              <w:jc w:val="center"/>
              <w:rPr>
                <w:rFonts w:hint="eastAsia" w:ascii="宋体" w:hAnsi="宋体"/>
                <w:szCs w:val="21"/>
              </w:rPr>
            </w:pPr>
            <w:r>
              <w:rPr>
                <w:rFonts w:hint="eastAsia" w:ascii="宋体" w:hAnsi="宋体"/>
                <w:szCs w:val="21"/>
              </w:rPr>
              <w:t>3</w:t>
            </w:r>
          </w:p>
        </w:tc>
        <w:tc>
          <w:tcPr>
            <w:tcW w:w="2100" w:type="dxa"/>
            <w:noWrap w:val="0"/>
            <w:vAlign w:val="center"/>
          </w:tcPr>
          <w:p>
            <w:pPr>
              <w:spacing w:before="96" w:beforeLines="40" w:after="96" w:afterLines="40" w:line="400" w:lineRule="exact"/>
              <w:jc w:val="center"/>
              <w:rPr>
                <w:rFonts w:hint="eastAsia"/>
                <w:szCs w:val="21"/>
              </w:rPr>
            </w:pPr>
            <w:r>
              <w:rPr>
                <w:rFonts w:hint="eastAsia"/>
                <w:szCs w:val="21"/>
              </w:rPr>
              <w:t>质保期</w:t>
            </w:r>
          </w:p>
        </w:tc>
        <w:tc>
          <w:tcPr>
            <w:tcW w:w="5985" w:type="dxa"/>
            <w:noWrap w:val="0"/>
            <w:vAlign w:val="top"/>
          </w:tcPr>
          <w:p>
            <w:pPr>
              <w:spacing w:before="96" w:beforeLines="40" w:after="96" w:afterLines="40" w:line="400" w:lineRule="exact"/>
              <w:rPr>
                <w:rFonts w:hint="eastAsia"/>
                <w:szCs w:val="21"/>
              </w:rPr>
            </w:pPr>
            <w:r>
              <w:rPr>
                <w:rFonts w:hint="eastAsia"/>
                <w:szCs w:val="21"/>
              </w:rPr>
              <w:t xml:space="preserve">详见供应商须知前附表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96" w:beforeLines="40" w:after="96" w:afterLines="40" w:line="400" w:lineRule="exact"/>
              <w:jc w:val="center"/>
              <w:rPr>
                <w:rFonts w:hint="eastAsia"/>
                <w:szCs w:val="21"/>
              </w:rPr>
            </w:pPr>
            <w:r>
              <w:rPr>
                <w:rFonts w:hint="eastAsia"/>
                <w:szCs w:val="21"/>
              </w:rPr>
              <w:t>4</w:t>
            </w:r>
          </w:p>
        </w:tc>
        <w:tc>
          <w:tcPr>
            <w:tcW w:w="2100" w:type="dxa"/>
            <w:noWrap w:val="0"/>
            <w:vAlign w:val="center"/>
          </w:tcPr>
          <w:p>
            <w:pPr>
              <w:spacing w:before="96" w:beforeLines="40" w:after="96" w:afterLines="40" w:line="400" w:lineRule="exact"/>
              <w:jc w:val="center"/>
              <w:rPr>
                <w:rFonts w:hint="eastAsia"/>
                <w:szCs w:val="21"/>
              </w:rPr>
            </w:pPr>
            <w:r>
              <w:rPr>
                <w:rFonts w:hint="eastAsia"/>
                <w:szCs w:val="21"/>
              </w:rPr>
              <w:t>本项目采购标的所属行业</w:t>
            </w:r>
          </w:p>
        </w:tc>
        <w:tc>
          <w:tcPr>
            <w:tcW w:w="5985" w:type="dxa"/>
            <w:noWrap w:val="0"/>
            <w:vAlign w:val="top"/>
          </w:tcPr>
          <w:p>
            <w:pPr>
              <w:spacing w:before="96" w:beforeLines="40" w:after="96" w:afterLines="40" w:line="400" w:lineRule="exact"/>
              <w:rPr>
                <w:rFonts w:hint="default" w:eastAsia="宋体"/>
                <w:szCs w:val="21"/>
                <w:highlight w:val="none"/>
                <w:lang w:val="en-US" w:eastAsia="zh-CN"/>
              </w:rPr>
            </w:pPr>
            <w:r>
              <w:rPr>
                <w:rFonts w:hint="default" w:ascii="Times New Roman" w:hAnsi="Times New Roman" w:eastAsia="宋体" w:cs="Times New Roman"/>
                <w:szCs w:val="21"/>
                <w:highlight w:val="none"/>
                <w:lang w:val="en-US" w:eastAsia="zh-CN"/>
              </w:rPr>
              <w:t>电气机械和器材制造业</w:t>
            </w:r>
          </w:p>
        </w:tc>
      </w:tr>
    </w:tbl>
    <w:p>
      <w:pPr>
        <w:jc w:val="left"/>
        <w:rPr>
          <w:rFonts w:hint="eastAsia" w:ascii="黑体" w:hAnsi="黑体" w:eastAsia="黑体"/>
          <w:sz w:val="28"/>
        </w:rPr>
      </w:pPr>
    </w:p>
    <w:p>
      <w:pPr>
        <w:numPr>
          <w:ilvl w:val="0"/>
          <w:numId w:val="1"/>
        </w:numPr>
        <w:jc w:val="left"/>
        <w:rPr>
          <w:rFonts w:hint="eastAsia" w:ascii="黑体" w:hAnsi="黑体" w:eastAsia="黑体"/>
          <w:sz w:val="28"/>
        </w:rPr>
      </w:pPr>
      <w:r>
        <w:rPr>
          <w:rFonts w:hint="eastAsia" w:ascii="黑体" w:hAnsi="黑体" w:eastAsia="黑体"/>
          <w:sz w:val="28"/>
        </w:rPr>
        <w:t>货物需求</w:t>
      </w:r>
    </w:p>
    <w:tbl>
      <w:tblPr>
        <w:tblStyle w:val="4"/>
        <w:tblW w:w="10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077"/>
        <w:gridCol w:w="6473"/>
        <w:gridCol w:w="980"/>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8" w:type="dxa"/>
            <w:noWrap w:val="0"/>
            <w:vAlign w:val="center"/>
          </w:tcPr>
          <w:p>
            <w:pPr>
              <w:jc w:val="center"/>
              <w:rPr>
                <w:rFonts w:hint="eastAsia" w:ascii="宋体" w:hAnsi="宋体" w:eastAsia="宋体" w:cs="宋体"/>
                <w:b/>
                <w:sz w:val="28"/>
                <w:u w:val="none"/>
              </w:rPr>
            </w:pPr>
            <w:r>
              <w:rPr>
                <w:rFonts w:hint="eastAsia" w:ascii="宋体" w:hAnsi="宋体" w:eastAsia="宋体" w:cs="宋体"/>
                <w:b/>
                <w:sz w:val="28"/>
                <w:u w:val="none"/>
              </w:rPr>
              <w:t>序号</w:t>
            </w:r>
          </w:p>
        </w:tc>
        <w:tc>
          <w:tcPr>
            <w:tcW w:w="1077" w:type="dxa"/>
            <w:noWrap w:val="0"/>
            <w:vAlign w:val="center"/>
          </w:tcPr>
          <w:p>
            <w:pPr>
              <w:jc w:val="center"/>
              <w:rPr>
                <w:rFonts w:hint="eastAsia" w:ascii="宋体" w:hAnsi="宋体" w:eastAsia="宋体" w:cs="宋体"/>
                <w:b/>
                <w:sz w:val="28"/>
                <w:u w:val="none"/>
              </w:rPr>
            </w:pPr>
            <w:r>
              <w:rPr>
                <w:rFonts w:hint="eastAsia" w:ascii="宋体" w:hAnsi="宋体" w:eastAsia="宋体" w:cs="宋体"/>
                <w:b/>
                <w:sz w:val="28"/>
                <w:u w:val="none"/>
              </w:rPr>
              <w:t>名 称</w:t>
            </w:r>
          </w:p>
        </w:tc>
        <w:tc>
          <w:tcPr>
            <w:tcW w:w="6473" w:type="dxa"/>
            <w:noWrap w:val="0"/>
            <w:vAlign w:val="center"/>
          </w:tcPr>
          <w:p>
            <w:pPr>
              <w:jc w:val="center"/>
              <w:rPr>
                <w:rFonts w:hint="eastAsia" w:ascii="宋体" w:hAnsi="宋体" w:eastAsia="宋体" w:cs="宋体"/>
                <w:b/>
                <w:sz w:val="28"/>
                <w:u w:val="none"/>
                <w:lang w:eastAsia="zh-CN"/>
              </w:rPr>
            </w:pPr>
            <w:r>
              <w:rPr>
                <w:rFonts w:hint="eastAsia" w:ascii="宋体" w:hAnsi="宋体" w:eastAsia="宋体" w:cs="宋体"/>
                <w:b/>
                <w:sz w:val="28"/>
                <w:u w:val="none"/>
              </w:rPr>
              <w:t>主要技术参数</w:t>
            </w:r>
            <w:r>
              <w:rPr>
                <w:rFonts w:hint="eastAsia" w:ascii="宋体" w:hAnsi="宋体" w:eastAsia="宋体" w:cs="宋体"/>
                <w:b/>
                <w:sz w:val="28"/>
                <w:u w:val="none"/>
                <w:lang w:eastAsia="zh-CN"/>
              </w:rPr>
              <w:t>及要求</w:t>
            </w:r>
          </w:p>
        </w:tc>
        <w:tc>
          <w:tcPr>
            <w:tcW w:w="980" w:type="dxa"/>
            <w:noWrap w:val="0"/>
            <w:vAlign w:val="center"/>
          </w:tcPr>
          <w:p>
            <w:pPr>
              <w:jc w:val="center"/>
              <w:rPr>
                <w:rFonts w:hint="eastAsia" w:ascii="宋体" w:hAnsi="宋体" w:eastAsia="宋体" w:cs="宋体"/>
                <w:b/>
                <w:sz w:val="28"/>
                <w:u w:val="none"/>
              </w:rPr>
            </w:pPr>
            <w:r>
              <w:rPr>
                <w:rFonts w:hint="eastAsia" w:ascii="宋体" w:hAnsi="宋体" w:eastAsia="宋体" w:cs="宋体"/>
                <w:b/>
                <w:sz w:val="28"/>
                <w:u w:val="none"/>
              </w:rPr>
              <w:t>数量</w:t>
            </w:r>
          </w:p>
        </w:tc>
        <w:tc>
          <w:tcPr>
            <w:tcW w:w="980" w:type="dxa"/>
            <w:noWrap w:val="0"/>
            <w:vAlign w:val="center"/>
          </w:tcPr>
          <w:p>
            <w:pPr>
              <w:jc w:val="center"/>
              <w:rPr>
                <w:rFonts w:hint="eastAsia" w:ascii="宋体" w:hAnsi="宋体" w:eastAsia="宋体" w:cs="宋体"/>
                <w:b/>
                <w:sz w:val="28"/>
                <w:u w:val="none"/>
                <w:lang w:val="en-US" w:eastAsia="zh-CN"/>
              </w:rPr>
            </w:pPr>
            <w:r>
              <w:rPr>
                <w:rFonts w:hint="eastAsia" w:ascii="宋体" w:hAnsi="宋体" w:eastAsia="宋体" w:cs="宋体"/>
                <w:b/>
                <w:sz w:val="28"/>
                <w:u w:val="no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928" w:type="dxa"/>
            <w:noWrap w:val="0"/>
            <w:vAlign w:val="center"/>
          </w:tcPr>
          <w:p>
            <w:pPr>
              <w:jc w:val="center"/>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w:t>
            </w:r>
          </w:p>
        </w:tc>
        <w:tc>
          <w:tcPr>
            <w:tcW w:w="1077" w:type="dxa"/>
            <w:noWrap w:val="0"/>
            <w:vAlign w:val="center"/>
          </w:tcPr>
          <w:p>
            <w:pPr>
              <w:autoSpaceDE w:val="0"/>
              <w:autoSpaceDN w:val="0"/>
              <w:adjustRightInd w:val="0"/>
              <w:spacing w:line="360" w:lineRule="auto"/>
              <w:jc w:val="center"/>
              <w:rPr>
                <w:rFonts w:hint="eastAsia" w:ascii="宋体" w:hAnsi="宋体" w:eastAsia="宋体" w:cs="Times New Roman"/>
                <w:sz w:val="24"/>
                <w:u w:val="none"/>
                <w:lang w:val="en-US" w:eastAsia="zh-CN"/>
              </w:rPr>
            </w:pPr>
            <w:r>
              <w:rPr>
                <w:rFonts w:hint="eastAsia" w:ascii="宋体" w:hAnsi="宋体" w:eastAsia="宋体" w:cs="Times New Roman"/>
                <w:sz w:val="24"/>
                <w:u w:val="none"/>
                <w:lang w:val="en-US" w:eastAsia="zh-CN"/>
              </w:rPr>
              <w:t>▲</w:t>
            </w:r>
          </w:p>
          <w:p>
            <w:pPr>
              <w:adjustRightInd w:val="0"/>
              <w:snapToGrid w:val="0"/>
              <w:spacing w:line="360" w:lineRule="auto"/>
              <w:rPr>
                <w:rFonts w:hint="eastAsia" w:ascii="宋体" w:hAnsi="宋体" w:eastAsia="宋体" w:cs="宋体"/>
                <w:sz w:val="21"/>
                <w:szCs w:val="21"/>
                <w:u w:val="none"/>
              </w:rPr>
            </w:pPr>
            <w:r>
              <w:rPr>
                <w:rFonts w:hint="eastAsia" w:ascii="宋体" w:hAnsi="宋体" w:eastAsia="宋体" w:cs="宋体"/>
                <w:color w:val="000000"/>
                <w:sz w:val="21"/>
                <w:szCs w:val="21"/>
              </w:rPr>
              <w:t>低压计量培训装置</w:t>
            </w:r>
          </w:p>
        </w:tc>
        <w:tc>
          <w:tcPr>
            <w:tcW w:w="6473" w:type="dxa"/>
            <w:noWrap w:val="0"/>
            <w:vAlign w:val="top"/>
          </w:tcPr>
          <w:p>
            <w:pPr>
              <w:adjustRightInd w:val="0"/>
              <w:snapToGrid w:val="0"/>
              <w:spacing w:line="360" w:lineRule="auto"/>
              <w:rPr>
                <w:rFonts w:hint="eastAsia" w:ascii="宋体" w:hAnsi="宋体" w:eastAsia="宋体" w:cs="宋体"/>
                <w:color w:val="000000"/>
                <w:sz w:val="21"/>
                <w:szCs w:val="21"/>
              </w:rPr>
            </w:pPr>
            <w:bookmarkStart w:id="4" w:name="_Hlk96011037"/>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装置的系统组成</w:t>
            </w:r>
          </w:p>
          <w:bookmarkEnd w:id="4"/>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（1）虚负荷程控电源</w:t>
            </w:r>
          </w:p>
          <w:p>
            <w:pPr>
              <w:widowControl w:val="0"/>
              <w:tabs>
                <w:tab w:val="left" w:pos="360"/>
              </w:tabs>
              <w:adjustRightInd w:val="0"/>
              <w:snapToGrid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（2）控制转换部分</w:t>
            </w:r>
          </w:p>
          <w:p>
            <w:pPr>
              <w:widowControl w:val="0"/>
              <w:tabs>
                <w:tab w:val="left" w:pos="360"/>
              </w:tabs>
              <w:adjustRightInd w:val="0"/>
              <w:snapToGrid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（3）电能表联合接线盒</w:t>
            </w:r>
          </w:p>
          <w:p>
            <w:pPr>
              <w:widowControl w:val="0"/>
              <w:tabs>
                <w:tab w:val="left" w:pos="360"/>
              </w:tabs>
              <w:adjustRightInd w:val="0"/>
              <w:snapToGrid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（4）电流互感器</w:t>
            </w:r>
          </w:p>
          <w:p>
            <w:pPr>
              <w:widowControl w:val="0"/>
              <w:tabs>
                <w:tab w:val="left" w:pos="360"/>
              </w:tabs>
              <w:adjustRightInd w:val="0"/>
              <w:snapToGrid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（5）控制开关、负荷开关</w:t>
            </w:r>
          </w:p>
          <w:p>
            <w:pPr>
              <w:widowControl w:val="0"/>
              <w:tabs>
                <w:tab w:val="left" w:pos="360"/>
              </w:tabs>
              <w:adjustRightInd w:val="0"/>
              <w:snapToGrid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（6）电压和电流指示表</w:t>
            </w:r>
          </w:p>
          <w:p>
            <w:pPr>
              <w:widowControl w:val="0"/>
              <w:tabs>
                <w:tab w:val="left" w:pos="360"/>
              </w:tabs>
              <w:adjustRightInd w:val="0"/>
              <w:snapToGrid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（7）可拆卸仪表安装板</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（8）控制开关、负荷开关</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（9）双钳相位伏安表</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（10）三相四线智能电表</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（11）专变采集终端</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（12）学生机</w:t>
            </w:r>
          </w:p>
          <w:p>
            <w:pPr>
              <w:widowControl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主要功能</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（1）采用虚负荷电子程控源与控制继电器及开关、监视仪表、互感器等组合形成一套高度模拟真实用电现场的低压计量柜／计量箱培训装置；</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（2）虚负荷电源能很好的模拟阻性、容性和感性负荷下三相四线表的计量运行情况；</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（3）低压计量柜采用标准GGD柜，可选择挂接直接接入式三相四线智能电表或经电流互感器接入式三相四线智能电表和集中器，计量箱和计量柜一体化设计，前面为计量箱，后面为计量柜；</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（4）低压计量培训装置的电压、电流、功率因数、相位、频率均能实现连续可调；</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（5）有电压短路、电流开路、漏电故障时，设备可迅速报警并切断操作面供电，以确保操作人员的安全；</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（6）有电压短路、电流开路故障时，设备可迅速准确报警，软件实时回传报警信息，还可通过软件清除报警；</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（7）可进行三相四线表及集中器的接线工艺练习；</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（8）可以挂接三相四线电能表及其它计量设备，观察运行现象，分析正确与错误，并排查与处理等；</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（9）可以在计算机上看到接线是否正确；</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（10）可进行低压计量装置导线、电流互感器和电能表选择的技术练习；</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（11）可进行低压计量装置的典型故障分析与处理的练习；</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（12）通过仪表安装板可以进行对电能表、Ⅲ型专变终端、联合接线盒等器件根据国家相关规程的要求进行安装练习；</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（13）配备有虚负荷电源特性功能演示功能；</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（14）通过一键启停开关，可自行通过对所接线路通电，进行检查是否有错接、虚接方面的错误。</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性能指标</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（1）电压：三相0～220V 连续可调，调节细度1%；</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（2）电流：三相0～5A 连续可调，调节细度1%；</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（3）频率：45~65Hz，连续可调0.05Hz；</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（4）相位：0～359.5°；调节细度0.5°；</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（5）供电电源：单相220V +7%~-10%，50Hz；</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（6）电流表、电压表0.5级；</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（7）尺寸：不大于800×660×2300mm｛（长×深×高）｝；</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（8）学生机：CPU：AMD5700G，电源：500w，固态硬盘：500G，机械硬盘：1T，内存：8G，主板：B550，显卡：核显，显示器：23寸；</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（9）三相四线智能电表：3*100，3*1.5（6）A，支持DL645-2007通讯；</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（10）三相四线智能电表：3*220，3*5（80）A，支持DL645-2007通讯；</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（11）集中器：3*220V，1.5/6A，Q/GDW 1376.1-2013标准；</w:t>
            </w:r>
          </w:p>
          <w:p>
            <w:pPr>
              <w:adjustRightInd w:val="0"/>
              <w:snapToGrid w:val="0"/>
              <w:spacing w:line="360" w:lineRule="auto"/>
              <w:rPr>
                <w:rFonts w:hint="eastAsia" w:ascii="宋体" w:hAnsi="宋体" w:eastAsia="宋体" w:cs="宋体"/>
                <w:sz w:val="21"/>
                <w:szCs w:val="21"/>
                <w:u w:val="none"/>
              </w:rPr>
            </w:pPr>
            <w:r>
              <w:rPr>
                <w:rFonts w:hint="eastAsia" w:ascii="宋体" w:hAnsi="宋体" w:eastAsia="宋体" w:cs="宋体"/>
                <w:color w:val="000000"/>
                <w:sz w:val="21"/>
                <w:szCs w:val="21"/>
              </w:rPr>
              <w:t>（12）双钳相位伏安表：相位分辨率1°，交流电压分辨率0.01V,交流电流分辨率0.1mA。</w:t>
            </w:r>
          </w:p>
        </w:tc>
        <w:tc>
          <w:tcPr>
            <w:tcW w:w="980" w:type="dxa"/>
            <w:noWrap w:val="0"/>
            <w:vAlign w:val="center"/>
          </w:tcPr>
          <w:p>
            <w:pPr>
              <w:pStyle w:val="6"/>
              <w:adjustRightInd w:val="0"/>
              <w:spacing w:before="0" w:after="0" w:line="360" w:lineRule="auto"/>
              <w:ind w:firstLine="0" w:firstLineChars="0"/>
              <w:rPr>
                <w:rFonts w:hint="eastAsia" w:ascii="宋体" w:hAnsi="宋体" w:eastAsia="宋体" w:cs="宋体"/>
                <w:sz w:val="21"/>
                <w:szCs w:val="21"/>
                <w:u w:val="none"/>
                <w:lang w:val="en-US" w:eastAsia="zh-CN"/>
              </w:rPr>
            </w:pPr>
            <w:r>
              <w:rPr>
                <w:rFonts w:hint="eastAsia" w:ascii="宋体" w:hAnsi="宋体" w:eastAsia="宋体" w:cs="宋体"/>
                <w:color w:val="000000"/>
                <w:sz w:val="21"/>
                <w:szCs w:val="21"/>
              </w:rPr>
              <w:t>4</w:t>
            </w:r>
          </w:p>
        </w:tc>
        <w:tc>
          <w:tcPr>
            <w:tcW w:w="980" w:type="dxa"/>
            <w:noWrap w:val="0"/>
            <w:vAlign w:val="center"/>
          </w:tcPr>
          <w:p>
            <w:pPr>
              <w:adjustRightInd w:val="0"/>
              <w:snapToGrid w:val="0"/>
              <w:spacing w:line="360" w:lineRule="auto"/>
              <w:jc w:val="center"/>
              <w:rPr>
                <w:rFonts w:hint="eastAsia" w:ascii="宋体" w:hAnsi="宋体" w:eastAsia="宋体" w:cs="宋体"/>
                <w:sz w:val="21"/>
                <w:szCs w:val="21"/>
                <w:u w:val="none"/>
                <w:lang w:val="en-US" w:eastAsia="zh-CN"/>
              </w:rPr>
            </w:pPr>
            <w:r>
              <w:rPr>
                <w:rFonts w:hint="eastAsia" w:ascii="宋体" w:hAnsi="宋体" w:eastAsia="宋体" w:cs="宋体"/>
                <w:snapToGrid w:val="0"/>
                <w:color w:val="000000"/>
                <w:kern w:val="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jc w:val="center"/>
        </w:trPr>
        <w:tc>
          <w:tcPr>
            <w:tcW w:w="928" w:type="dxa"/>
            <w:noWrap w:val="0"/>
            <w:vAlign w:val="center"/>
          </w:tcPr>
          <w:p>
            <w:pPr>
              <w:jc w:val="center"/>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2</w:t>
            </w:r>
          </w:p>
        </w:tc>
        <w:tc>
          <w:tcPr>
            <w:tcW w:w="1077" w:type="dxa"/>
            <w:noWrap w:val="0"/>
            <w:vAlign w:val="center"/>
          </w:tcPr>
          <w:p>
            <w:pPr>
              <w:adjustRightInd w:val="0"/>
              <w:snapToGrid w:val="0"/>
              <w:spacing w:line="360" w:lineRule="auto"/>
              <w:rPr>
                <w:rFonts w:hint="eastAsia" w:ascii="宋体" w:hAnsi="宋体" w:eastAsia="宋体" w:cs="宋体"/>
                <w:sz w:val="21"/>
                <w:szCs w:val="21"/>
                <w:u w:val="none"/>
              </w:rPr>
            </w:pPr>
            <w:r>
              <w:rPr>
                <w:rFonts w:hint="eastAsia" w:ascii="宋体" w:hAnsi="宋体" w:eastAsia="宋体" w:cs="宋体"/>
                <w:color w:val="000000"/>
                <w:sz w:val="21"/>
                <w:szCs w:val="21"/>
              </w:rPr>
              <w:t>高压计量培训装置</w:t>
            </w:r>
          </w:p>
        </w:tc>
        <w:tc>
          <w:tcPr>
            <w:tcW w:w="6473" w:type="dxa"/>
            <w:noWrap w:val="0"/>
            <w:vAlign w:val="center"/>
          </w:tcPr>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装置的系统组成</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（1）虚负荷程控电源</w:t>
            </w:r>
          </w:p>
          <w:p>
            <w:pPr>
              <w:widowControl w:val="0"/>
              <w:tabs>
                <w:tab w:val="left" w:pos="360"/>
              </w:tabs>
              <w:adjustRightInd w:val="0"/>
              <w:snapToGrid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（2）控制转换部分</w:t>
            </w:r>
          </w:p>
          <w:p>
            <w:pPr>
              <w:widowControl w:val="0"/>
              <w:tabs>
                <w:tab w:val="left" w:pos="360"/>
              </w:tabs>
              <w:adjustRightInd w:val="0"/>
              <w:snapToGrid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（3）电能表联合接线盒</w:t>
            </w:r>
          </w:p>
          <w:p>
            <w:pPr>
              <w:widowControl w:val="0"/>
              <w:tabs>
                <w:tab w:val="left" w:pos="360"/>
              </w:tabs>
              <w:adjustRightInd w:val="0"/>
              <w:snapToGrid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（4）电流互感器、电压互感器</w:t>
            </w:r>
          </w:p>
          <w:p>
            <w:pPr>
              <w:widowControl w:val="0"/>
              <w:tabs>
                <w:tab w:val="left" w:pos="360"/>
              </w:tabs>
              <w:adjustRightInd w:val="0"/>
              <w:snapToGrid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（5）高压熔断器</w:t>
            </w:r>
          </w:p>
          <w:p>
            <w:pPr>
              <w:widowControl w:val="0"/>
              <w:tabs>
                <w:tab w:val="left" w:pos="360"/>
              </w:tabs>
              <w:adjustRightInd w:val="0"/>
              <w:snapToGrid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（6）电压和电流指示表</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（7）双钳相位伏安表</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（8）三相三线智能电表</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（9）专变采集终端</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（10）学生机</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（11）路由器</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（12）摄像头</w:t>
            </w:r>
          </w:p>
          <w:p>
            <w:pPr>
              <w:widowControl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主要功能</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（1）采用虚负荷电子程控源与控制继电器及开关、监视仪表、互感器等组合形成一套高度模拟真实用电现场的高压计量培训装置；</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（2）虚负荷电源能很好的模拟阻性、容性和感性负荷下三相三线表的计量运行情况；</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（3）高压计量柜采用标准GGD柜，可选择挂接三相三线有功表和无功表以及智能电表；</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（4）高压计量培训装置的电压、电流、功率因数、相位、频率均能实现连续可调；</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（5）有电压短路、电流开路、漏电故障时，设备可迅速报警并切断操作面供电，以确保操作人员的安全；</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（6）有电压短路、电流开路故障时，设备可迅速准确报警，软件实时回传报警信息，还可通过软件清除报警；</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（7）设备设有专门的过载保护报警功能，当负载过大时，设备会有安全报警提示；</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（8）通过设备可学习三相三相电能表的结构组成、工作原理、性能特点、安装、运行及维护等；</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（9）通过高压计量柜配接各类三相三线有功及无功电能表，可以观察运行现象，分析正确与错误，并排查与处理等目的；</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（10）可以在计算机上看到接线是否正确；</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（11）可进行高压计量导线、电流互感器和电能表选择的技术练习；</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（12）可以通过计算机设置高压计量柜的典型接线错误；</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（13）采用LAN通讯实现多机联调，一台计算机可控制多台高压计量柜；</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（14）配备有虚负荷电源特性功能演示功能；</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（15）可以通过计算机设置高压计量柜的典型相序错误；</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主要技术参数</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（1）电压：0～100V连续可调，可以模拟0~10kV高压，调节细度1%；</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（2）电流：0～5A，连续可调，调节细度1%；</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（3）频率：45~65Hz，连续可调，调节细度0.05Hz；</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（4）相位：0～359.5°；调节细度0.5°；</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（5）供电电源：单相220V +7%~-10%，50Hz；</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（6）尺寸：不大于800×660×2300mm｛（长×深×高）｝；</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（7）电流表、电压表0.5级；</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（8）三相三线智能电表：</w:t>
            </w:r>
            <w:bookmarkStart w:id="5" w:name="_Hlk96003911"/>
            <w:r>
              <w:rPr>
                <w:rFonts w:hint="eastAsia" w:ascii="宋体" w:hAnsi="宋体" w:eastAsia="宋体" w:cs="宋体"/>
                <w:color w:val="000000"/>
                <w:sz w:val="21"/>
                <w:szCs w:val="21"/>
              </w:rPr>
              <w:t>3*100V 3*1.5（6）A</w:t>
            </w:r>
            <w:bookmarkEnd w:id="5"/>
            <w:r>
              <w:rPr>
                <w:rFonts w:hint="eastAsia" w:ascii="宋体" w:hAnsi="宋体" w:eastAsia="宋体" w:cs="宋体"/>
                <w:color w:val="000000"/>
                <w:sz w:val="21"/>
                <w:szCs w:val="21"/>
              </w:rPr>
              <w:t>，支持DL645-2007通讯；</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（9）专变采集终端：3*100V，3*1.5/6A，Q/GDW 1376.1-2013标准；</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（10）双钳相位伏安表：相位分辨率1°，交流电压分辨率0.01V，交流电流分辨率0.1mA；</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（11）学生机：CPU：AMD5950X，电源：850W，固态硬盘：2T，机械硬盘：8T，内存：16G*2，主板：X570，显卡：3060ti，显示器：34寸；</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（12）摄像头：1/2.8英寸传感器、300万像素、64G存储卡；</w:t>
            </w:r>
          </w:p>
          <w:p>
            <w:pPr>
              <w:adjustRightInd w:val="0"/>
              <w:snapToGrid w:val="0"/>
              <w:spacing w:line="360" w:lineRule="auto"/>
              <w:rPr>
                <w:rFonts w:hint="eastAsia" w:ascii="宋体" w:hAnsi="宋体" w:eastAsia="宋体" w:cs="宋体"/>
                <w:sz w:val="21"/>
                <w:szCs w:val="21"/>
                <w:u w:val="none"/>
              </w:rPr>
            </w:pPr>
            <w:r>
              <w:rPr>
                <w:rFonts w:hint="eastAsia" w:ascii="宋体" w:hAnsi="宋体" w:eastAsia="宋体" w:cs="宋体"/>
                <w:color w:val="000000"/>
                <w:sz w:val="21"/>
                <w:szCs w:val="21"/>
              </w:rPr>
              <w:t>（13）路由器： 2.4GHz+5GHz，支持IPv6，支持Mesh</w:t>
            </w:r>
          </w:p>
        </w:tc>
        <w:tc>
          <w:tcPr>
            <w:tcW w:w="980" w:type="dxa"/>
            <w:noWrap w:val="0"/>
            <w:vAlign w:val="center"/>
          </w:tcPr>
          <w:p>
            <w:pPr>
              <w:pStyle w:val="6"/>
              <w:adjustRightInd w:val="0"/>
              <w:spacing w:before="0" w:after="0" w:line="360" w:lineRule="auto"/>
              <w:ind w:firstLine="0" w:firstLineChars="0"/>
              <w:rPr>
                <w:rFonts w:hint="eastAsia" w:ascii="宋体" w:hAnsi="宋体" w:eastAsia="宋体" w:cs="宋体"/>
                <w:sz w:val="21"/>
                <w:szCs w:val="21"/>
                <w:u w:val="none"/>
                <w:lang w:val="en-US" w:eastAsia="zh-CN"/>
              </w:rPr>
            </w:pPr>
            <w:r>
              <w:rPr>
                <w:rFonts w:hint="eastAsia" w:ascii="宋体" w:hAnsi="宋体" w:eastAsia="宋体" w:cs="宋体"/>
                <w:color w:val="000000"/>
                <w:sz w:val="21"/>
                <w:szCs w:val="21"/>
              </w:rPr>
              <w:t>2</w:t>
            </w:r>
          </w:p>
        </w:tc>
        <w:tc>
          <w:tcPr>
            <w:tcW w:w="980" w:type="dxa"/>
            <w:noWrap w:val="0"/>
            <w:vAlign w:val="center"/>
          </w:tcPr>
          <w:p>
            <w:pPr>
              <w:adjustRightInd w:val="0"/>
              <w:snapToGrid w:val="0"/>
              <w:spacing w:line="360" w:lineRule="auto"/>
              <w:jc w:val="center"/>
              <w:rPr>
                <w:rFonts w:hint="eastAsia" w:ascii="宋体" w:hAnsi="宋体" w:eastAsia="宋体" w:cs="宋体"/>
                <w:sz w:val="21"/>
                <w:szCs w:val="21"/>
                <w:u w:val="none"/>
                <w:lang w:val="en-US" w:eastAsia="zh-CN"/>
              </w:rPr>
            </w:pPr>
            <w:r>
              <w:rPr>
                <w:rFonts w:hint="eastAsia" w:ascii="宋体" w:hAnsi="宋体" w:eastAsia="宋体" w:cs="宋体"/>
                <w:snapToGrid w:val="0"/>
                <w:color w:val="000000"/>
                <w:kern w:val="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928" w:type="dxa"/>
            <w:noWrap w:val="0"/>
            <w:vAlign w:val="center"/>
          </w:tcPr>
          <w:p>
            <w:pPr>
              <w:adjustRightInd w:val="0"/>
              <w:snapToGrid w:val="0"/>
              <w:spacing w:line="36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077" w:type="dxa"/>
            <w:noWrap w:val="0"/>
            <w:vAlign w:val="center"/>
          </w:tcPr>
          <w:p>
            <w:pPr>
              <w:adjustRightInd w:val="0"/>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智能教育电视机</w:t>
            </w:r>
          </w:p>
        </w:tc>
        <w:tc>
          <w:tcPr>
            <w:tcW w:w="6473" w:type="dxa"/>
            <w:noWrap w:val="0"/>
            <w:vAlign w:val="center"/>
          </w:tcPr>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装置的系统组成</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（1）75英寸液晶显示屏</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（2）移动电视落地支架</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规格参数</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（1）屏幕尺寸：</w:t>
            </w:r>
            <w:bookmarkStart w:id="6" w:name="_Hlk96014728"/>
            <w:r>
              <w:rPr>
                <w:rFonts w:hint="eastAsia" w:ascii="宋体" w:hAnsi="宋体" w:eastAsia="宋体" w:cs="宋体"/>
                <w:color w:val="000000"/>
                <w:sz w:val="21"/>
                <w:szCs w:val="21"/>
              </w:rPr>
              <w:t>75英寸</w:t>
            </w:r>
            <w:bookmarkEnd w:id="6"/>
            <w:r>
              <w:rPr>
                <w:rFonts w:hint="eastAsia" w:ascii="宋体" w:hAnsi="宋体" w:eastAsia="宋体" w:cs="宋体"/>
                <w:color w:val="000000"/>
                <w:sz w:val="21"/>
                <w:szCs w:val="21"/>
              </w:rPr>
              <w:t>；</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（2）显示类型：LED显示；</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（3）分辨率：超高清4K；</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（4）CPU核数：四核； </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（5）存储内存：16GB；</w:t>
            </w: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（6）运行内存/RAM：2GB；</w:t>
            </w:r>
          </w:p>
          <w:p>
            <w:pPr>
              <w:adjustRightInd w:val="0"/>
              <w:snapToGrid w:val="0"/>
              <w:spacing w:line="360" w:lineRule="auto"/>
              <w:rPr>
                <w:rFonts w:hint="eastAsia" w:ascii="宋体" w:hAnsi="宋体" w:eastAsia="宋体" w:cs="宋体"/>
                <w:sz w:val="21"/>
                <w:szCs w:val="21"/>
                <w:u w:val="none"/>
              </w:rPr>
            </w:pPr>
            <w:r>
              <w:rPr>
                <w:rFonts w:hint="eastAsia" w:ascii="宋体" w:hAnsi="宋体" w:eastAsia="宋体" w:cs="宋体"/>
                <w:color w:val="000000"/>
                <w:sz w:val="21"/>
                <w:szCs w:val="21"/>
              </w:rPr>
              <w:t>（7）USB接口数：2个。</w:t>
            </w:r>
          </w:p>
        </w:tc>
        <w:tc>
          <w:tcPr>
            <w:tcW w:w="980" w:type="dxa"/>
            <w:noWrap w:val="0"/>
            <w:vAlign w:val="center"/>
          </w:tcPr>
          <w:p>
            <w:pPr>
              <w:pStyle w:val="6"/>
              <w:adjustRightInd w:val="0"/>
              <w:spacing w:before="0" w:after="0" w:line="360" w:lineRule="auto"/>
              <w:ind w:firstLine="0" w:firstLineChars="0"/>
              <w:rPr>
                <w:rFonts w:hint="eastAsia" w:ascii="宋体" w:hAnsi="宋体" w:eastAsia="宋体" w:cs="宋体"/>
                <w:sz w:val="21"/>
                <w:szCs w:val="21"/>
                <w:u w:val="none"/>
                <w:lang w:val="en-US" w:eastAsia="zh-CN"/>
              </w:rPr>
            </w:pPr>
            <w:r>
              <w:rPr>
                <w:rFonts w:hint="eastAsia" w:ascii="宋体" w:hAnsi="宋体" w:eastAsia="宋体" w:cs="宋体"/>
                <w:color w:val="000000"/>
                <w:sz w:val="21"/>
                <w:szCs w:val="21"/>
              </w:rPr>
              <w:t>2</w:t>
            </w:r>
          </w:p>
        </w:tc>
        <w:tc>
          <w:tcPr>
            <w:tcW w:w="980" w:type="dxa"/>
            <w:noWrap w:val="0"/>
            <w:vAlign w:val="center"/>
          </w:tcPr>
          <w:p>
            <w:pPr>
              <w:adjustRightInd w:val="0"/>
              <w:snapToGrid w:val="0"/>
              <w:spacing w:line="360" w:lineRule="auto"/>
              <w:jc w:val="center"/>
              <w:rPr>
                <w:rFonts w:hint="eastAsia" w:ascii="宋体" w:hAnsi="宋体" w:eastAsia="宋体" w:cs="宋体"/>
                <w:sz w:val="21"/>
                <w:szCs w:val="21"/>
                <w:u w:val="none"/>
                <w:lang w:val="en-US" w:eastAsia="zh-CN"/>
              </w:rPr>
            </w:pPr>
            <w:r>
              <w:rPr>
                <w:rFonts w:hint="eastAsia" w:ascii="宋体" w:hAnsi="宋体" w:eastAsia="宋体" w:cs="宋体"/>
                <w:snapToGrid w:val="0"/>
                <w:color w:val="000000"/>
                <w:kern w:val="0"/>
                <w:sz w:val="21"/>
                <w:szCs w:val="21"/>
              </w:rPr>
              <w:t>台</w:t>
            </w:r>
          </w:p>
        </w:tc>
      </w:tr>
    </w:tbl>
    <w:p>
      <w:pPr>
        <w:jc w:val="left"/>
        <w:rPr>
          <w:rFonts w:hint="eastAsia" w:ascii="黑体" w:hAnsi="黑体" w:eastAsia="黑体"/>
          <w:sz w:val="28"/>
          <w:szCs w:val="28"/>
        </w:rPr>
      </w:pPr>
    </w:p>
    <w:p>
      <w:pPr>
        <w:jc w:val="left"/>
        <w:rPr>
          <w:rFonts w:hint="eastAsia" w:ascii="黑体" w:hAnsi="黑体" w:eastAsia="黑体" w:cs="Times New Roman"/>
          <w:sz w:val="28"/>
        </w:rPr>
      </w:pPr>
      <w:r>
        <w:rPr>
          <w:rFonts w:hint="eastAsia" w:ascii="黑体" w:hAnsi="黑体" w:eastAsia="黑体" w:cs="Times New Roman"/>
          <w:sz w:val="28"/>
          <w:lang w:val="en-US" w:eastAsia="zh-CN"/>
        </w:rPr>
        <w:t>三、</w:t>
      </w:r>
      <w:r>
        <w:rPr>
          <w:rFonts w:hint="eastAsia" w:ascii="黑体" w:hAnsi="黑体" w:eastAsia="黑体" w:cs="Times New Roman"/>
          <w:sz w:val="28"/>
        </w:rPr>
        <w:t>服务要求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 w:val="21"/>
          <w:szCs w:val="21"/>
        </w:rPr>
      </w:pPr>
      <w:r>
        <w:rPr>
          <w:rFonts w:hint="eastAsia" w:ascii="宋体" w:hAnsi="宋体" w:cs="宋体"/>
          <w:sz w:val="21"/>
          <w:szCs w:val="21"/>
        </w:rPr>
        <w:t>（1）选用符合招标合同要求的适宜包装，保证产品在存储、运输过程中完好无损。</w:t>
      </w:r>
    </w:p>
    <w:p>
      <w:pPr>
        <w:keepNext w:val="0"/>
        <w:keepLines w:val="0"/>
        <w:pageBreakBefore w:val="0"/>
        <w:widowControl w:val="0"/>
        <w:kinsoku/>
        <w:wordWrap/>
        <w:overflowPunct/>
        <w:topLinePunct w:val="0"/>
        <w:autoSpaceDE/>
        <w:autoSpaceDN/>
        <w:bidi w:val="0"/>
        <w:adjustRightInd w:val="0"/>
        <w:snapToGrid w:val="0"/>
        <w:spacing w:line="360" w:lineRule="auto"/>
        <w:ind w:right="-88" w:rightChars="-42" w:firstLine="420" w:firstLineChars="200"/>
        <w:jc w:val="left"/>
        <w:textAlignment w:val="auto"/>
        <w:rPr>
          <w:rFonts w:ascii="宋体" w:hAnsi="宋体" w:cs="宋体"/>
          <w:sz w:val="21"/>
          <w:szCs w:val="21"/>
        </w:rPr>
      </w:pPr>
      <w:r>
        <w:rPr>
          <w:rFonts w:hint="eastAsia" w:ascii="宋体" w:hAnsi="宋体" w:cs="宋体"/>
          <w:sz w:val="21"/>
          <w:szCs w:val="21"/>
        </w:rPr>
        <w:t>（2）提供设备应符合IEC及国标、行标的有关规范，并提供型式试验、出厂试验及现场投运试验三种类型试验报告。</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sz w:val="21"/>
          <w:szCs w:val="21"/>
        </w:rPr>
      </w:pPr>
      <w:r>
        <w:rPr>
          <w:rFonts w:hint="eastAsia" w:ascii="宋体" w:hAnsi="宋体" w:cs="宋体"/>
          <w:sz w:val="21"/>
          <w:szCs w:val="21"/>
        </w:rPr>
        <w:t>（3）提供设备安装服务，按设计图纸要求摆放到位。</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）提供设备调试、软件调试服务。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 w:val="21"/>
          <w:szCs w:val="21"/>
        </w:rPr>
      </w:pPr>
      <w:r>
        <w:rPr>
          <w:rFonts w:hint="eastAsia" w:ascii="宋体" w:hAnsi="宋体" w:cs="宋体"/>
          <w:sz w:val="21"/>
          <w:szCs w:val="21"/>
        </w:rPr>
        <w:t>（</w:t>
      </w:r>
      <w:r>
        <w:rPr>
          <w:rFonts w:ascii="宋体" w:hAnsi="宋体" w:cs="宋体"/>
          <w:sz w:val="21"/>
          <w:szCs w:val="21"/>
        </w:rPr>
        <w:t>5</w:t>
      </w:r>
      <w:r>
        <w:rPr>
          <w:rFonts w:hint="eastAsia" w:ascii="宋体" w:hAnsi="宋体" w:cs="宋体"/>
          <w:sz w:val="21"/>
          <w:szCs w:val="21"/>
        </w:rPr>
        <w:t>）提供设备现场技术培训。</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 w:val="21"/>
          <w:szCs w:val="21"/>
        </w:rPr>
      </w:pPr>
      <w:r>
        <w:rPr>
          <w:rFonts w:hint="eastAsia" w:ascii="宋体" w:hAnsi="宋体" w:cs="宋体"/>
          <w:sz w:val="21"/>
          <w:szCs w:val="21"/>
        </w:rPr>
        <w:t>（</w:t>
      </w:r>
      <w:r>
        <w:rPr>
          <w:rFonts w:ascii="宋体" w:hAnsi="宋体" w:cs="宋体"/>
          <w:sz w:val="21"/>
          <w:szCs w:val="21"/>
        </w:rPr>
        <w:t>6</w:t>
      </w:r>
      <w:r>
        <w:rPr>
          <w:rFonts w:hint="eastAsia" w:ascii="宋体" w:hAnsi="宋体" w:cs="宋体"/>
          <w:sz w:val="21"/>
          <w:szCs w:val="21"/>
        </w:rPr>
        <w:t>）产品免费保修</w:t>
      </w:r>
      <w:r>
        <w:rPr>
          <w:rFonts w:ascii="宋体" w:hAnsi="宋体" w:cs="宋体"/>
          <w:sz w:val="21"/>
          <w:szCs w:val="21"/>
        </w:rPr>
        <w:t>60</w:t>
      </w:r>
      <w:r>
        <w:rPr>
          <w:rFonts w:hint="eastAsia" w:ascii="宋体" w:hAnsi="宋体" w:cs="宋体"/>
          <w:sz w:val="21"/>
          <w:szCs w:val="21"/>
        </w:rPr>
        <w:t>个月，终身维修服务。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（7）提供产品的各种软件（免费）、硬件升级服务。</w:t>
      </w:r>
    </w:p>
    <w:p>
      <w:pPr>
        <w:jc w:val="left"/>
        <w:rPr>
          <w:rFonts w:hint="eastAsia" w:ascii="黑体" w:hAnsi="黑体" w:eastAsia="黑体" w:cs="Times New Roman"/>
          <w:sz w:val="28"/>
          <w:lang w:val="en-US" w:eastAsia="zh-CN"/>
        </w:rPr>
      </w:pPr>
      <w:r>
        <w:rPr>
          <w:rFonts w:hint="eastAsia" w:ascii="黑体" w:hAnsi="黑体" w:eastAsia="黑体" w:cs="Times New Roman"/>
          <w:sz w:val="28"/>
          <w:lang w:val="en-US" w:eastAsia="zh-CN"/>
        </w:rPr>
        <w:t>四、质量标准</w:t>
      </w:r>
    </w:p>
    <w:p>
      <w:pPr>
        <w:adjustRightInd w:val="0"/>
        <w:snapToGrid w:val="0"/>
        <w:spacing w:line="360" w:lineRule="auto"/>
        <w:ind w:firstLine="420" w:firstLineChars="200"/>
        <w:rPr>
          <w:rFonts w:ascii="宋体" w:hAnsi="宋体" w:cs="宋体"/>
          <w:sz w:val="21"/>
          <w:szCs w:val="21"/>
        </w:rPr>
      </w:pPr>
      <w:r>
        <w:rPr>
          <w:rFonts w:hint="eastAsia" w:ascii="Times New Roman" w:hAnsi="Times New Roman" w:eastAsia="宋体" w:cs="宋体"/>
          <w:sz w:val="21"/>
          <w:szCs w:val="21"/>
        </w:rPr>
        <w:t>（1）卖方应保证制造过程中的所有工艺、材料、试验等（包括卖方的外购件在内）均应符合本规范的规定。若买方根据运行经验指定卖方提供某种外购零部件，卖方应积极配合。卖方对所购配套部件设备质量负责，采购前向买方提供主要国产元器件报价表，采购中</w:t>
      </w:r>
      <w:r>
        <w:rPr>
          <w:rFonts w:hint="eastAsia" w:ascii="宋体" w:hAnsi="宋体" w:cs="宋体"/>
          <w:sz w:val="21"/>
          <w:szCs w:val="21"/>
        </w:rPr>
        <w:t>应进行严格的质量检验，交货时必须向买方提供其产品质量合格证书及有关安装使用等技术文件资料。</w:t>
      </w:r>
    </w:p>
    <w:p>
      <w:pPr>
        <w:adjustRightInd w:val="0"/>
        <w:snapToGrid w:val="0"/>
        <w:spacing w:line="360" w:lineRule="auto"/>
        <w:ind w:firstLine="420" w:firstLineChars="200"/>
        <w:rPr>
          <w:rFonts w:ascii="宋体" w:hAnsi="宋体" w:cs="宋体"/>
          <w:sz w:val="21"/>
          <w:szCs w:val="21"/>
        </w:rPr>
      </w:pPr>
      <w:r>
        <w:rPr>
          <w:rFonts w:hint="eastAsia" w:cs="宋体"/>
          <w:sz w:val="21"/>
          <w:szCs w:val="21"/>
        </w:rPr>
        <w:t>（2）</w:t>
      </w:r>
      <w:r>
        <w:rPr>
          <w:rFonts w:hint="eastAsia" w:ascii="宋体" w:hAnsi="宋体" w:cs="宋体"/>
          <w:sz w:val="21"/>
          <w:szCs w:val="21"/>
        </w:rPr>
        <w:t>对于采用引进技术的设备、元器件，卖方在采购前应向买方提供主要进口元器件报价表。引进的设备、元器件应符合引进国的技术标准或</w:t>
      </w:r>
      <w:r>
        <w:rPr>
          <w:rFonts w:ascii="宋体" w:hAnsi="宋体" w:cs="宋体"/>
          <w:sz w:val="21"/>
          <w:szCs w:val="21"/>
        </w:rPr>
        <w:t>IEC</w:t>
      </w:r>
      <w:r>
        <w:rPr>
          <w:rFonts w:hint="eastAsia" w:ascii="宋体" w:hAnsi="宋体" w:cs="宋体"/>
          <w:sz w:val="21"/>
          <w:szCs w:val="21"/>
        </w:rPr>
        <w:t>标准，当标准与本规范有矛盾时，卖方应将处理意见书面通知买方，由买卖双方协商解决。假若卖方有更优越或更为经济的设计和材料，足以使卖方的产品更为安全、可靠、灵活、适应时，卖方可提出并经买方的认可，然而必须遵循现行的国家工业标准，并且有成熟的设计和工艺要求以及工程实践经验。</w:t>
      </w:r>
    </w:p>
    <w:p>
      <w:pPr>
        <w:adjustRightInd w:val="0"/>
        <w:snapToGrid w:val="0"/>
        <w:spacing w:line="360" w:lineRule="auto"/>
        <w:ind w:firstLine="420" w:firstLineChars="200"/>
        <w:rPr>
          <w:rFonts w:ascii="宋体" w:hAnsi="宋体" w:cs="宋体"/>
          <w:sz w:val="21"/>
          <w:szCs w:val="21"/>
        </w:rPr>
      </w:pPr>
      <w:r>
        <w:rPr>
          <w:rFonts w:hint="eastAsia" w:cs="宋体"/>
          <w:sz w:val="21"/>
          <w:szCs w:val="21"/>
        </w:rPr>
        <w:t>（3）</w:t>
      </w:r>
      <w:r>
        <w:rPr>
          <w:rFonts w:hint="eastAsia" w:ascii="宋体" w:hAnsi="宋体" w:cs="宋体"/>
          <w:sz w:val="21"/>
          <w:szCs w:val="21"/>
        </w:rPr>
        <w:t>双方签订合同后，卖方应按工程设计及施工进度分批提交技术文件和图纸。必要时，买卖双方尚需进行技术联络，以讨论合同范围内的有关技术问题。</w:t>
      </w:r>
    </w:p>
    <w:p>
      <w:pPr>
        <w:adjustRightInd w:val="0"/>
        <w:snapToGrid w:val="0"/>
        <w:spacing w:line="360" w:lineRule="auto"/>
        <w:ind w:firstLine="420" w:firstLineChars="200"/>
        <w:rPr>
          <w:rFonts w:ascii="宋体" w:hAnsi="宋体" w:cs="宋体"/>
          <w:sz w:val="21"/>
          <w:szCs w:val="21"/>
        </w:rPr>
      </w:pPr>
      <w:r>
        <w:rPr>
          <w:rFonts w:hint="eastAsia" w:cs="宋体"/>
          <w:sz w:val="21"/>
          <w:szCs w:val="21"/>
        </w:rPr>
        <w:t>（4）</w:t>
      </w:r>
      <w:r>
        <w:rPr>
          <w:rFonts w:hint="eastAsia" w:ascii="宋体" w:hAnsi="宋体" w:cs="宋体"/>
          <w:sz w:val="21"/>
          <w:szCs w:val="21"/>
        </w:rPr>
        <w:t>卖方应保证所提供的设备为由最适宜的原材料并采用先进工艺制成，且未经使用过的全新产品；保证产品的质量、规格和性能与投标文件所述一致。</w:t>
      </w:r>
    </w:p>
    <w:p>
      <w:pPr>
        <w:adjustRightInd w:val="0"/>
        <w:snapToGrid w:val="0"/>
        <w:spacing w:line="360" w:lineRule="auto"/>
        <w:ind w:firstLine="420" w:firstLineChars="200"/>
        <w:rPr>
          <w:rFonts w:ascii="宋体" w:hAnsi="宋体" w:cs="宋体"/>
          <w:sz w:val="21"/>
          <w:szCs w:val="21"/>
        </w:rPr>
      </w:pPr>
      <w:r>
        <w:rPr>
          <w:rFonts w:hint="eastAsia" w:cs="宋体"/>
          <w:sz w:val="21"/>
          <w:szCs w:val="21"/>
        </w:rPr>
        <w:t>（5）</w:t>
      </w:r>
      <w:r>
        <w:rPr>
          <w:rFonts w:hint="eastAsia" w:ascii="宋体" w:hAnsi="宋体" w:cs="宋体"/>
          <w:sz w:val="21"/>
          <w:szCs w:val="21"/>
        </w:rPr>
        <w:t>卖方提供的设备平均无故障运行时间26000h。</w:t>
      </w:r>
    </w:p>
    <w:p>
      <w:pPr>
        <w:adjustRightInd w:val="0"/>
        <w:snapToGrid w:val="0"/>
        <w:spacing w:line="360" w:lineRule="auto"/>
        <w:ind w:firstLine="420" w:firstLineChars="200"/>
        <w:rPr>
          <w:rFonts w:ascii="宋体" w:hAnsi="宋体" w:cs="宋体"/>
          <w:sz w:val="21"/>
          <w:szCs w:val="21"/>
        </w:rPr>
      </w:pPr>
      <w:r>
        <w:rPr>
          <w:rFonts w:hint="eastAsia" w:cs="宋体"/>
          <w:sz w:val="21"/>
          <w:szCs w:val="21"/>
        </w:rPr>
        <w:t>（6）</w:t>
      </w:r>
      <w:r>
        <w:rPr>
          <w:rFonts w:hint="eastAsia" w:ascii="宋体" w:hAnsi="宋体" w:cs="宋体"/>
          <w:sz w:val="21"/>
          <w:szCs w:val="21"/>
        </w:rPr>
        <w:t>卖方保证所提供的设备在各个方面符合招标文件规定的质量、规格和性能。在合同规定的质量保证期内，卖方对由于设计、制造和材料、外购零部件的缺陷而造成所供设备的任何破坏、缺陷故障，当卖方收到买方的书面通知后，卖方在</w:t>
      </w:r>
      <w:r>
        <w:rPr>
          <w:rFonts w:ascii="宋体" w:hAnsi="宋体" w:cs="宋体"/>
          <w:sz w:val="21"/>
          <w:szCs w:val="21"/>
        </w:rPr>
        <w:t>2</w:t>
      </w:r>
      <w:r>
        <w:rPr>
          <w:rFonts w:hint="eastAsia" w:ascii="宋体" w:hAnsi="宋体" w:cs="宋体"/>
          <w:sz w:val="21"/>
          <w:szCs w:val="21"/>
        </w:rPr>
        <w:t>天内免费负责修理或更换有缺陷的设备，以达到技术规范书的要求。质保期以合同商务部分为准。质保期后发生质量问题，卖方应提供维修服务。</w:t>
      </w:r>
    </w:p>
    <w:p>
      <w:pPr>
        <w:jc w:val="left"/>
        <w:rPr>
          <w:rFonts w:hint="eastAsia" w:ascii="黑体" w:hAnsi="黑体" w:eastAsia="黑体" w:cs="Times New Roman"/>
          <w:sz w:val="28"/>
          <w:lang w:val="en-US" w:eastAsia="zh-CN"/>
        </w:rPr>
      </w:pPr>
      <w:r>
        <w:rPr>
          <w:rFonts w:hint="eastAsia" w:ascii="黑体" w:hAnsi="黑体" w:eastAsia="黑体" w:cs="Times New Roman"/>
          <w:sz w:val="28"/>
          <w:lang w:val="en-US" w:eastAsia="zh-CN"/>
        </w:rPr>
        <w:t>五、引用标准</w:t>
      </w:r>
    </w:p>
    <w:p>
      <w:pPr>
        <w:widowControl w:val="0"/>
        <w:adjustRightInd w:val="0"/>
        <w:snapToGrid w:val="0"/>
        <w:spacing w:line="360" w:lineRule="auto"/>
        <w:ind w:firstLine="420" w:firstLineChars="200"/>
        <w:textAlignment w:val="auto"/>
        <w:rPr>
          <w:rFonts w:ascii="宋体" w:hAnsi="宋体" w:cs="宋体"/>
          <w:sz w:val="21"/>
          <w:szCs w:val="21"/>
        </w:rPr>
      </w:pPr>
      <w:r>
        <w:rPr>
          <w:rFonts w:hint="eastAsia" w:ascii="宋体" w:hAnsi="宋体" w:cs="宋体"/>
          <w:sz w:val="21"/>
          <w:szCs w:val="21"/>
        </w:rPr>
        <w:t>L/T448-20</w:t>
      </w:r>
      <w:r>
        <w:rPr>
          <w:rFonts w:ascii="宋体" w:hAnsi="宋体" w:cs="宋体"/>
          <w:sz w:val="21"/>
          <w:szCs w:val="21"/>
        </w:rPr>
        <w:t>16</w:t>
      </w:r>
      <w:r>
        <w:rPr>
          <w:rFonts w:hint="eastAsia" w:ascii="宋体" w:hAnsi="宋体" w:cs="宋体"/>
          <w:sz w:val="21"/>
          <w:szCs w:val="21"/>
        </w:rPr>
        <w:t>电能计量装置管理规程</w:t>
      </w:r>
    </w:p>
    <w:p>
      <w:pPr>
        <w:widowControl w:val="0"/>
        <w:adjustRightInd w:val="0"/>
        <w:snapToGrid w:val="0"/>
        <w:spacing w:line="360" w:lineRule="auto"/>
        <w:ind w:firstLine="420" w:firstLineChars="200"/>
        <w:textAlignment w:val="auto"/>
        <w:rPr>
          <w:rFonts w:ascii="宋体" w:hAnsi="宋体" w:cs="宋体"/>
          <w:sz w:val="21"/>
          <w:szCs w:val="21"/>
        </w:rPr>
      </w:pPr>
      <w:r>
        <w:rPr>
          <w:rFonts w:hint="eastAsia" w:ascii="宋体" w:hAnsi="宋体" w:cs="宋体"/>
          <w:sz w:val="21"/>
          <w:szCs w:val="21"/>
        </w:rPr>
        <w:t>L/T825-2002 电能计量装置安装接线规则</w:t>
      </w:r>
    </w:p>
    <w:p>
      <w:pPr>
        <w:widowControl w:val="0"/>
        <w:adjustRightInd w:val="0"/>
        <w:snapToGrid w:val="0"/>
        <w:spacing w:line="360" w:lineRule="auto"/>
        <w:ind w:firstLine="420" w:firstLineChars="200"/>
        <w:textAlignment w:val="auto"/>
        <w:rPr>
          <w:rFonts w:ascii="宋体" w:hAnsi="宋体" w:cs="宋体"/>
          <w:sz w:val="21"/>
          <w:szCs w:val="21"/>
        </w:rPr>
      </w:pPr>
      <w:r>
        <w:rPr>
          <w:rFonts w:hint="eastAsia" w:ascii="宋体" w:hAnsi="宋体" w:cs="宋体"/>
          <w:sz w:val="21"/>
          <w:szCs w:val="21"/>
        </w:rPr>
        <w:t>B/T16934-1997 电能计量柜</w:t>
      </w:r>
    </w:p>
    <w:p>
      <w:pPr>
        <w:widowControl w:val="0"/>
        <w:adjustRightInd w:val="0"/>
        <w:snapToGrid w:val="0"/>
        <w:spacing w:line="360" w:lineRule="auto"/>
        <w:ind w:firstLine="420" w:firstLineChars="200"/>
        <w:textAlignment w:val="auto"/>
        <w:rPr>
          <w:rFonts w:ascii="宋体" w:hAnsi="宋体" w:cs="宋体"/>
          <w:sz w:val="21"/>
          <w:szCs w:val="21"/>
        </w:rPr>
      </w:pPr>
      <w:r>
        <w:rPr>
          <w:rFonts w:hint="eastAsia" w:ascii="宋体" w:hAnsi="宋体" w:cs="宋体"/>
          <w:sz w:val="21"/>
          <w:szCs w:val="21"/>
        </w:rPr>
        <w:t>D109-1983 电能计量装置检验规程</w:t>
      </w:r>
    </w:p>
    <w:p>
      <w:pPr>
        <w:widowControl w:val="0"/>
        <w:adjustRightInd w:val="0"/>
        <w:snapToGrid w:val="0"/>
        <w:spacing w:line="360" w:lineRule="auto"/>
        <w:ind w:firstLine="420" w:firstLineChars="200"/>
        <w:textAlignment w:val="auto"/>
        <w:rPr>
          <w:rFonts w:ascii="宋体" w:hAnsi="宋体" w:cs="宋体"/>
          <w:sz w:val="21"/>
          <w:szCs w:val="21"/>
        </w:rPr>
      </w:pPr>
      <w:r>
        <w:rPr>
          <w:rFonts w:hint="eastAsia" w:ascii="宋体" w:hAnsi="宋体" w:cs="宋体"/>
          <w:sz w:val="21"/>
          <w:szCs w:val="21"/>
        </w:rPr>
        <w:t>B/T17215-1998  1、2级直接接入式有功电能表</w:t>
      </w:r>
    </w:p>
    <w:p>
      <w:pPr>
        <w:widowControl w:val="0"/>
        <w:adjustRightInd w:val="0"/>
        <w:snapToGrid w:val="0"/>
        <w:spacing w:line="360" w:lineRule="auto"/>
        <w:ind w:firstLine="420" w:firstLineChars="200"/>
        <w:textAlignment w:val="auto"/>
        <w:rPr>
          <w:rFonts w:ascii="宋体" w:hAnsi="宋体" w:cs="宋体"/>
          <w:sz w:val="21"/>
          <w:szCs w:val="21"/>
        </w:rPr>
      </w:pPr>
      <w:r>
        <w:rPr>
          <w:rFonts w:hint="eastAsia" w:ascii="宋体" w:hAnsi="宋体" w:cs="宋体"/>
          <w:sz w:val="21"/>
          <w:szCs w:val="21"/>
        </w:rPr>
        <w:t>B/T17882-1999  2、3静止式交流无功电度表</w:t>
      </w:r>
    </w:p>
    <w:p>
      <w:pPr>
        <w:widowControl w:val="0"/>
        <w:adjustRightInd w:val="0"/>
        <w:snapToGrid w:val="0"/>
        <w:spacing w:line="360" w:lineRule="auto"/>
        <w:ind w:firstLine="420" w:firstLineChars="200"/>
        <w:textAlignment w:val="auto"/>
        <w:rPr>
          <w:rFonts w:ascii="宋体" w:hAnsi="宋体" w:cs="宋体"/>
          <w:sz w:val="21"/>
          <w:szCs w:val="21"/>
        </w:rPr>
      </w:pPr>
      <w:r>
        <w:rPr>
          <w:rFonts w:ascii="宋体" w:hAnsi="宋体" w:cs="宋体"/>
          <w:sz w:val="21"/>
          <w:szCs w:val="21"/>
        </w:rPr>
        <w:t>GB/T 2423.4</w:t>
      </w:r>
      <w:r>
        <w:rPr>
          <w:rFonts w:hint="eastAsia" w:ascii="宋体" w:hAnsi="宋体" w:cs="宋体"/>
          <w:sz w:val="21"/>
          <w:szCs w:val="21"/>
        </w:rPr>
        <w:t xml:space="preserve">电工电子产品基本环境 试验规程 </w:t>
      </w:r>
      <w:r>
        <w:rPr>
          <w:rFonts w:ascii="宋体" w:hAnsi="宋体" w:cs="宋体"/>
          <w:sz w:val="21"/>
          <w:szCs w:val="21"/>
        </w:rPr>
        <w:t xml:space="preserve"> </w:t>
      </w:r>
      <w:r>
        <w:rPr>
          <w:rFonts w:hint="eastAsia" w:ascii="宋体" w:hAnsi="宋体" w:cs="宋体"/>
          <w:sz w:val="21"/>
          <w:szCs w:val="21"/>
        </w:rPr>
        <w:t>交变湿热试验方法</w:t>
      </w:r>
    </w:p>
    <w:p>
      <w:pPr>
        <w:widowControl w:val="0"/>
        <w:adjustRightInd w:val="0"/>
        <w:snapToGrid w:val="0"/>
        <w:spacing w:line="360" w:lineRule="auto"/>
        <w:ind w:firstLine="420" w:firstLineChars="200"/>
        <w:textAlignment w:val="auto"/>
        <w:rPr>
          <w:rFonts w:ascii="宋体" w:hAnsi="宋体" w:cs="宋体"/>
          <w:sz w:val="21"/>
          <w:szCs w:val="21"/>
        </w:rPr>
      </w:pPr>
      <w:r>
        <w:rPr>
          <w:rFonts w:ascii="宋体" w:hAnsi="宋体" w:cs="宋体"/>
          <w:sz w:val="21"/>
          <w:szCs w:val="21"/>
        </w:rPr>
        <w:t>GB/T 2423.5</w:t>
      </w:r>
      <w:r>
        <w:rPr>
          <w:rFonts w:hint="eastAsia" w:ascii="宋体" w:hAnsi="宋体" w:cs="宋体"/>
          <w:sz w:val="21"/>
          <w:szCs w:val="21"/>
        </w:rPr>
        <w:t>电工电子产品环境试验第2部分：试验方法 试验</w:t>
      </w:r>
      <w:r>
        <w:rPr>
          <w:rFonts w:ascii="宋体" w:hAnsi="宋体" w:cs="宋体"/>
          <w:sz w:val="21"/>
          <w:szCs w:val="21"/>
        </w:rPr>
        <w:t>Ea</w:t>
      </w:r>
      <w:r>
        <w:rPr>
          <w:rFonts w:hint="eastAsia" w:ascii="宋体" w:hAnsi="宋体" w:cs="宋体"/>
          <w:sz w:val="21"/>
          <w:szCs w:val="21"/>
        </w:rPr>
        <w:t>和导则</w:t>
      </w:r>
      <w:r>
        <w:rPr>
          <w:rFonts w:ascii="宋体" w:hAnsi="宋体" w:cs="宋体"/>
          <w:sz w:val="21"/>
          <w:szCs w:val="21"/>
        </w:rPr>
        <w:t>：</w:t>
      </w:r>
      <w:r>
        <w:rPr>
          <w:rFonts w:hint="eastAsia" w:ascii="宋体" w:hAnsi="宋体" w:cs="宋体"/>
          <w:sz w:val="21"/>
          <w:szCs w:val="21"/>
        </w:rPr>
        <w:t>冲击</w:t>
      </w:r>
    </w:p>
    <w:p>
      <w:pPr>
        <w:widowControl w:val="0"/>
        <w:adjustRightInd w:val="0"/>
        <w:snapToGrid w:val="0"/>
        <w:spacing w:line="360" w:lineRule="auto"/>
        <w:ind w:firstLine="420" w:firstLineChars="200"/>
        <w:textAlignment w:val="auto"/>
        <w:rPr>
          <w:rFonts w:ascii="宋体" w:hAnsi="宋体" w:cs="宋体"/>
          <w:sz w:val="21"/>
          <w:szCs w:val="21"/>
        </w:rPr>
      </w:pPr>
      <w:r>
        <w:rPr>
          <w:rFonts w:ascii="宋体" w:hAnsi="宋体" w:cs="宋体"/>
          <w:sz w:val="21"/>
          <w:szCs w:val="21"/>
        </w:rPr>
        <w:t>GB/T 2423.10</w:t>
      </w:r>
      <w:r>
        <w:rPr>
          <w:rFonts w:hint="eastAsia" w:ascii="宋体" w:hAnsi="宋体" w:cs="宋体"/>
          <w:sz w:val="21"/>
          <w:szCs w:val="21"/>
        </w:rPr>
        <w:t>电工电子产品环境试验</w:t>
      </w:r>
      <w:r>
        <w:rPr>
          <w:rFonts w:ascii="宋体" w:hAnsi="宋体" w:cs="宋体"/>
          <w:sz w:val="21"/>
          <w:szCs w:val="21"/>
        </w:rPr>
        <w:t xml:space="preserve"> </w:t>
      </w:r>
      <w:r>
        <w:rPr>
          <w:rFonts w:hint="eastAsia" w:ascii="宋体" w:hAnsi="宋体" w:cs="宋体"/>
          <w:sz w:val="21"/>
          <w:szCs w:val="21"/>
        </w:rPr>
        <w:t>第2部分：试验方法 试验</w:t>
      </w:r>
      <w:r>
        <w:rPr>
          <w:rFonts w:ascii="宋体" w:hAnsi="宋体" w:cs="宋体"/>
          <w:sz w:val="21"/>
          <w:szCs w:val="21"/>
        </w:rPr>
        <w:t>Fc</w:t>
      </w:r>
      <w:r>
        <w:rPr>
          <w:rFonts w:hint="eastAsia" w:ascii="宋体" w:hAnsi="宋体" w:cs="宋体"/>
          <w:sz w:val="21"/>
          <w:szCs w:val="21"/>
        </w:rPr>
        <w:t>和导则</w:t>
      </w:r>
      <w:r>
        <w:rPr>
          <w:rFonts w:ascii="宋体" w:hAnsi="宋体" w:cs="宋体"/>
          <w:sz w:val="21"/>
          <w:szCs w:val="21"/>
        </w:rPr>
        <w:t>：</w:t>
      </w:r>
      <w:r>
        <w:rPr>
          <w:rFonts w:hint="eastAsia" w:ascii="宋体" w:hAnsi="宋体" w:cs="宋体"/>
          <w:sz w:val="21"/>
          <w:szCs w:val="21"/>
        </w:rPr>
        <w:t>振动</w:t>
      </w:r>
    </w:p>
    <w:p>
      <w:pPr>
        <w:widowControl w:val="0"/>
        <w:adjustRightInd w:val="0"/>
        <w:snapToGrid w:val="0"/>
        <w:spacing w:line="360" w:lineRule="auto"/>
        <w:ind w:firstLine="420" w:firstLineChars="200"/>
        <w:textAlignment w:val="auto"/>
        <w:rPr>
          <w:rFonts w:ascii="宋体" w:hAnsi="宋体" w:cs="宋体"/>
          <w:sz w:val="21"/>
          <w:szCs w:val="21"/>
        </w:rPr>
      </w:pPr>
      <w:r>
        <w:rPr>
          <w:rFonts w:hint="eastAsia" w:ascii="宋体" w:hAnsi="宋体" w:cs="宋体"/>
          <w:sz w:val="21"/>
          <w:szCs w:val="21"/>
        </w:rPr>
        <w:t>JJG596-2012 电子式交流电能表检定规程</w:t>
      </w:r>
    </w:p>
    <w:p>
      <w:pPr>
        <w:widowControl w:val="0"/>
        <w:adjustRightInd w:val="0"/>
        <w:snapToGrid w:val="0"/>
        <w:spacing w:line="360" w:lineRule="auto"/>
        <w:textAlignment w:val="auto"/>
        <w:rPr>
          <w:rFonts w:ascii="宋体" w:hAnsi="宋体" w:cs="宋体"/>
          <w:sz w:val="21"/>
          <w:szCs w:val="21"/>
        </w:rPr>
      </w:pPr>
      <w:r>
        <w:rPr>
          <w:rFonts w:hint="eastAsia" w:ascii="宋体" w:hAnsi="宋体" w:cs="宋体"/>
          <w:sz w:val="21"/>
          <w:szCs w:val="21"/>
        </w:rPr>
        <w:t>注:</w:t>
      </w:r>
      <w:r>
        <w:rPr>
          <w:rFonts w:ascii="宋体" w:hAnsi="宋体" w:cs="宋体"/>
          <w:sz w:val="21"/>
          <w:szCs w:val="21"/>
        </w:rPr>
        <w:t xml:space="preserve"> </w:t>
      </w:r>
      <w:r>
        <w:rPr>
          <w:rFonts w:hint="eastAsia" w:ascii="宋体" w:hAnsi="宋体" w:cs="宋体"/>
          <w:sz w:val="21"/>
          <w:szCs w:val="21"/>
        </w:rPr>
        <w:t>1. 若国家颁布最新相关技术规范须以最新规范为准。</w:t>
      </w:r>
    </w:p>
    <w:p>
      <w:pPr>
        <w:widowControl w:val="0"/>
        <w:adjustRightInd w:val="0"/>
        <w:snapToGrid w:val="0"/>
        <w:spacing w:line="360" w:lineRule="auto"/>
        <w:ind w:firstLine="420" w:firstLineChars="200"/>
        <w:textAlignment w:val="auto"/>
        <w:rPr>
          <w:rFonts w:ascii="宋体" w:hAnsi="宋体" w:cs="宋体"/>
          <w:sz w:val="21"/>
          <w:szCs w:val="21"/>
        </w:rPr>
      </w:pPr>
      <w:r>
        <w:rPr>
          <w:rFonts w:hint="eastAsia" w:ascii="宋体" w:hAnsi="宋体" w:cs="宋体"/>
          <w:sz w:val="21"/>
          <w:szCs w:val="21"/>
        </w:rPr>
        <w:t>2. 若装置中出现跟上述技术规范相违背的地方，须以上述国家规范为准。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88336"/>
    <w:multiLevelType w:val="singleLevel"/>
    <w:tmpl w:val="8888833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NGM0NzhmYTY5Y2EyNmZjNWMzYzc5NTQ0YjQ0YmQifQ=="/>
  </w:docVars>
  <w:rsids>
    <w:rsidRoot w:val="5E3E6AC7"/>
    <w:rsid w:val="5E3E6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2">
    <w:name w:val="heading 2"/>
    <w:basedOn w:val="1"/>
    <w:next w:val="1"/>
    <w:qFormat/>
    <w:uiPriority w:val="0"/>
    <w:pPr>
      <w:keepNext/>
      <w:keepLines/>
      <w:spacing w:before="260" w:beforeLines="0" w:after="260" w:afterLines="0" w:line="416" w:lineRule="auto"/>
      <w:outlineLvl w:val="1"/>
    </w:pPr>
    <w:rPr>
      <w:rFonts w:ascii="Cambria" w:hAnsi="Cambria"/>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r"/>
    <w:basedOn w:val="1"/>
    <w:qFormat/>
    <w:uiPriority w:val="0"/>
    <w:pPr>
      <w:topLinePunct/>
      <w:snapToGrid w:val="0"/>
      <w:spacing w:before="60" w:after="60" w:line="600" w:lineRule="exact"/>
      <w:ind w:firstLine="200" w:firstLineChars="200"/>
      <w:jc w:val="center"/>
      <w:textAlignment w:val="auto"/>
    </w:pPr>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2022-04-29T01:23:00Z</dcterms:created>
  <dc:creator>Administrator</dc:creator>
  <cp:lastModifiedBy>Administrator</cp:lastModifiedBy>
  <dcterms:modified xsi:type="dcterms:W3CDTF">2022-04-29T01:24:22Z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3479E8C086A14C3F9857E1FF5CF47FA7</vt:lpwstr>
  </property>
</Properties>
</file>