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C997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color w:val="auto"/>
          <w:spacing w:val="0"/>
          <w:w w:val="100"/>
          <w:position w:val="0"/>
          <w:sz w:val="44"/>
          <w:szCs w:val="44"/>
          <w:highlight w:val="none"/>
          <w:lang w:eastAsia="zh-CN"/>
        </w:rPr>
      </w:pPr>
    </w:p>
    <w:p w14:paraId="579E3BDD">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highlight w:val="none"/>
          <w:lang w:eastAsia="zh-CN"/>
        </w:rPr>
      </w:pPr>
      <w:r>
        <w:rPr>
          <w:rFonts w:hint="eastAsia" w:ascii="华文中宋" w:hAnsi="华文中宋" w:eastAsia="华文中宋" w:cs="华文中宋"/>
          <w:b/>
          <w:bCs/>
          <w:color w:val="auto"/>
          <w:spacing w:val="0"/>
          <w:w w:val="100"/>
          <w:position w:val="0"/>
          <w:sz w:val="44"/>
          <w:szCs w:val="44"/>
          <w:highlight w:val="none"/>
          <w:lang w:eastAsia="zh-CN"/>
        </w:rPr>
        <w:t>阜阳市本级2025-2027年土地出让（收储）评估服务机构框架协议采购项目（二次）</w:t>
      </w:r>
    </w:p>
    <w:p w14:paraId="5C95737D">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6AA2DD3B">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5B27C1D0">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r>
        <w:rPr>
          <w:rFonts w:hint="eastAsia" w:ascii="华文中宋" w:hAnsi="华文中宋" w:eastAsia="华文中宋" w:cs="华文中宋"/>
          <w:b w:val="0"/>
          <w:bCs w:val="0"/>
          <w:color w:val="auto"/>
          <w:spacing w:val="0"/>
          <w:w w:val="100"/>
          <w:position w:val="0"/>
          <w:sz w:val="32"/>
          <w:szCs w:val="32"/>
          <w:highlight w:val="none"/>
          <w:lang w:eastAsia="zh-CN"/>
        </w:rPr>
        <w:t>征 集 文 件</w:t>
      </w:r>
    </w:p>
    <w:p w14:paraId="741F2E2E">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p>
    <w:p w14:paraId="23324C85">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default" w:ascii="华文中宋" w:hAnsi="华文中宋" w:eastAsia="华文中宋" w:cs="华文中宋"/>
          <w:b w:val="0"/>
          <w:bCs w:val="0"/>
          <w:color w:val="auto"/>
          <w:spacing w:val="0"/>
          <w:w w:val="100"/>
          <w:position w:val="0"/>
          <w:sz w:val="32"/>
          <w:szCs w:val="32"/>
          <w:highlight w:val="none"/>
          <w:lang w:val="en-US" w:eastAsia="zh-CN"/>
        </w:rPr>
      </w:pPr>
      <w:r>
        <w:rPr>
          <w:rFonts w:hint="eastAsia" w:ascii="华文中宋" w:hAnsi="华文中宋" w:eastAsia="华文中宋" w:cs="华文中宋"/>
          <w:b w:val="0"/>
          <w:bCs w:val="0"/>
          <w:color w:val="auto"/>
          <w:spacing w:val="0"/>
          <w:w w:val="100"/>
          <w:position w:val="0"/>
          <w:sz w:val="32"/>
          <w:szCs w:val="32"/>
          <w:highlight w:val="none"/>
          <w:lang w:eastAsia="zh-CN"/>
        </w:rPr>
        <w:t>项目编号: KJXY202510130513-1-Z1</w:t>
      </w:r>
    </w:p>
    <w:p w14:paraId="4F80C582">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p>
    <w:p w14:paraId="2D80D8A0">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p>
    <w:p w14:paraId="3798DEB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p>
    <w:p w14:paraId="70E71A9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p>
    <w:p w14:paraId="2660A92D">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p>
    <w:p w14:paraId="713CF043">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p>
    <w:p w14:paraId="73D123CA">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p>
    <w:p w14:paraId="6AE281C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p>
    <w:p w14:paraId="0D7171A8">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lang w:eastAsia="zh-CN"/>
        </w:rPr>
      </w:pPr>
      <w:r>
        <w:rPr>
          <w:rFonts w:hint="eastAsia" w:ascii="华文中宋" w:hAnsi="华文中宋" w:eastAsia="华文中宋" w:cs="华文中宋"/>
          <w:b w:val="0"/>
          <w:bCs w:val="0"/>
          <w:color w:val="auto"/>
          <w:spacing w:val="0"/>
          <w:w w:val="100"/>
          <w:position w:val="0"/>
          <w:sz w:val="32"/>
          <w:szCs w:val="32"/>
          <w:highlight w:val="none"/>
          <w:lang w:eastAsia="zh-CN"/>
        </w:rPr>
        <w:t>征集人: 阜阳市自然资源和规划局 (单位盖章)</w:t>
      </w:r>
    </w:p>
    <w:p w14:paraId="5D8DB3FF">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val="0"/>
          <w:bCs w:val="0"/>
          <w:color w:val="auto"/>
          <w:spacing w:val="0"/>
          <w:w w:val="100"/>
          <w:position w:val="0"/>
          <w:sz w:val="32"/>
          <w:szCs w:val="32"/>
          <w:highlight w:val="none"/>
        </w:rPr>
      </w:pPr>
      <w:r>
        <w:rPr>
          <w:rFonts w:hint="eastAsia" w:ascii="华文中宋" w:hAnsi="华文中宋" w:eastAsia="华文中宋" w:cs="华文中宋"/>
          <w:b w:val="0"/>
          <w:bCs w:val="0"/>
          <w:color w:val="auto"/>
          <w:spacing w:val="0"/>
          <w:w w:val="100"/>
          <w:position w:val="0"/>
          <w:sz w:val="32"/>
          <w:szCs w:val="32"/>
          <w:highlight w:val="none"/>
          <w:lang w:eastAsia="zh-CN"/>
        </w:rPr>
        <w:t>202</w:t>
      </w:r>
      <w:r>
        <w:rPr>
          <w:rFonts w:hint="eastAsia" w:ascii="华文中宋" w:hAnsi="华文中宋" w:eastAsia="华文中宋" w:cs="华文中宋"/>
          <w:b w:val="0"/>
          <w:bCs w:val="0"/>
          <w:color w:val="auto"/>
          <w:spacing w:val="0"/>
          <w:w w:val="100"/>
          <w:position w:val="0"/>
          <w:sz w:val="32"/>
          <w:szCs w:val="32"/>
          <w:highlight w:val="none"/>
          <w:lang w:val="en-US" w:eastAsia="zh-CN"/>
        </w:rPr>
        <w:t>6</w:t>
      </w:r>
      <w:r>
        <w:rPr>
          <w:rFonts w:hint="eastAsia" w:ascii="华文中宋" w:hAnsi="华文中宋" w:eastAsia="华文中宋" w:cs="华文中宋"/>
          <w:b w:val="0"/>
          <w:bCs w:val="0"/>
          <w:color w:val="auto"/>
          <w:spacing w:val="0"/>
          <w:w w:val="100"/>
          <w:position w:val="0"/>
          <w:sz w:val="32"/>
          <w:szCs w:val="32"/>
          <w:highlight w:val="none"/>
          <w:lang w:eastAsia="zh-CN"/>
        </w:rPr>
        <w:t>年</w:t>
      </w:r>
      <w:r>
        <w:rPr>
          <w:rFonts w:hint="eastAsia" w:ascii="华文中宋" w:hAnsi="华文中宋" w:eastAsia="华文中宋" w:cs="华文中宋"/>
          <w:b w:val="0"/>
          <w:bCs w:val="0"/>
          <w:color w:val="auto"/>
          <w:spacing w:val="0"/>
          <w:w w:val="100"/>
          <w:position w:val="0"/>
          <w:sz w:val="32"/>
          <w:szCs w:val="32"/>
          <w:highlight w:val="none"/>
          <w:lang w:val="en-US" w:eastAsia="zh-CN"/>
        </w:rPr>
        <w:t>1</w:t>
      </w:r>
      <w:r>
        <w:rPr>
          <w:rFonts w:hint="eastAsia" w:ascii="华文中宋" w:hAnsi="华文中宋" w:eastAsia="华文中宋" w:cs="华文中宋"/>
          <w:b w:val="0"/>
          <w:bCs w:val="0"/>
          <w:color w:val="auto"/>
          <w:spacing w:val="0"/>
          <w:w w:val="100"/>
          <w:position w:val="0"/>
          <w:sz w:val="32"/>
          <w:szCs w:val="32"/>
          <w:highlight w:val="none"/>
          <w:lang w:eastAsia="zh-CN"/>
        </w:rPr>
        <w:t>月</w:t>
      </w:r>
    </w:p>
    <w:p w14:paraId="047E5D0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5" w:type="default"/>
          <w:pgSz w:w="11922" w:h="16849"/>
          <w:pgMar w:top="1440" w:right="1803" w:bottom="1440" w:left="1803" w:header="1134" w:footer="1253" w:gutter="0"/>
          <w:pgNumType w:fmt="decimal" w:start="1"/>
          <w:cols w:space="0" w:num="1"/>
          <w:rtlGutter w:val="0"/>
          <w:docGrid w:linePitch="0" w:charSpace="0"/>
        </w:sectPr>
      </w:pPr>
    </w:p>
    <w:sdt>
      <w:sdtPr>
        <w:rPr>
          <w:rFonts w:hint="eastAsia" w:ascii="仿宋" w:hAnsi="仿宋" w:eastAsia="仿宋" w:cs="仿宋"/>
          <w:b/>
          <w:bCs/>
          <w:snapToGrid w:val="0"/>
          <w:color w:val="auto"/>
          <w:spacing w:val="0"/>
          <w:w w:val="100"/>
          <w:kern w:val="0"/>
          <w:position w:val="0"/>
          <w:sz w:val="30"/>
          <w:szCs w:val="30"/>
          <w:highlight w:val="none"/>
          <w:lang w:val="en-US" w:eastAsia="en-US" w:bidi="ar-SA"/>
        </w:rPr>
        <w:id w:val="147481467"/>
        <w15:color w:val="DBDBDB"/>
        <w:docPartObj>
          <w:docPartGallery w:val="Table of Contents"/>
          <w:docPartUnique/>
        </w:docPartObj>
      </w:sdtPr>
      <w:sdtEndPr>
        <w:rPr>
          <w:rFonts w:hint="eastAsia" w:ascii="仿宋" w:hAnsi="仿宋" w:eastAsia="仿宋" w:cs="仿宋"/>
          <w:b/>
          <w:bCs/>
          <w:snapToGrid w:val="0"/>
          <w:color w:val="auto"/>
          <w:spacing w:val="0"/>
          <w:w w:val="100"/>
          <w:kern w:val="0"/>
          <w:position w:val="0"/>
          <w:sz w:val="21"/>
          <w:szCs w:val="28"/>
          <w:highlight w:val="none"/>
          <w:lang w:val="en-US" w:eastAsia="en-US" w:bidi="ar-SA"/>
        </w:rPr>
      </w:sdtEndPr>
      <w:sdtContent>
        <w:p w14:paraId="03D7C820">
          <w:pPr>
            <w:pageBreakBefore w:val="0"/>
            <w:kinsoku w:val="0"/>
            <w:wordWrap/>
            <w:overflowPunct/>
            <w:topLinePunct w:val="0"/>
            <w:bidi w:val="0"/>
            <w:adjustRightInd w:val="0"/>
            <w:snapToGrid w:val="0"/>
            <w:spacing w:line="360" w:lineRule="auto"/>
            <w:ind w:left="0" w:leftChars="0" w:right="0" w:rightChars="0" w:firstLine="0" w:firstLineChars="0"/>
            <w:jc w:val="center"/>
            <w:textAlignment w:val="baseline"/>
            <w:rPr>
              <w:rFonts w:hint="eastAsia" w:ascii="仿宋" w:hAnsi="仿宋" w:eastAsia="仿宋" w:cs="仿宋"/>
              <w:b/>
              <w:bCs/>
              <w:color w:val="auto"/>
              <w:spacing w:val="0"/>
              <w:w w:val="100"/>
              <w:position w:val="0"/>
              <w:sz w:val="30"/>
              <w:szCs w:val="30"/>
              <w:highlight w:val="none"/>
            </w:rPr>
          </w:pPr>
          <w:r>
            <w:rPr>
              <w:rFonts w:hint="eastAsia" w:ascii="仿宋" w:hAnsi="仿宋" w:eastAsia="仿宋" w:cs="仿宋"/>
              <w:b/>
              <w:bCs/>
              <w:color w:val="auto"/>
              <w:spacing w:val="0"/>
              <w:w w:val="100"/>
              <w:position w:val="0"/>
              <w:sz w:val="30"/>
              <w:szCs w:val="30"/>
              <w:highlight w:val="none"/>
            </w:rPr>
            <w:t>目</w:t>
          </w:r>
          <w:r>
            <w:rPr>
              <w:rFonts w:hint="eastAsia" w:ascii="仿宋" w:hAnsi="仿宋" w:eastAsia="仿宋" w:cs="仿宋"/>
              <w:b/>
              <w:bCs/>
              <w:color w:val="auto"/>
              <w:spacing w:val="0"/>
              <w:w w:val="100"/>
              <w:position w:val="0"/>
              <w:sz w:val="30"/>
              <w:szCs w:val="30"/>
              <w:highlight w:val="none"/>
              <w:lang w:val="en-US" w:eastAsia="zh-CN"/>
            </w:rPr>
            <w:t xml:space="preserve"> </w:t>
          </w:r>
          <w:r>
            <w:rPr>
              <w:rFonts w:hint="eastAsia" w:ascii="仿宋" w:hAnsi="仿宋" w:eastAsia="仿宋" w:cs="仿宋"/>
              <w:b/>
              <w:bCs/>
              <w:color w:val="auto"/>
              <w:spacing w:val="0"/>
              <w:w w:val="100"/>
              <w:position w:val="0"/>
              <w:sz w:val="30"/>
              <w:szCs w:val="30"/>
              <w:highlight w:val="none"/>
            </w:rPr>
            <w:t>录</w:t>
          </w:r>
        </w:p>
        <w:p w14:paraId="1FC60E8A">
          <w:pPr>
            <w:pStyle w:val="17"/>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fldChar w:fldCharType="begin"/>
          </w:r>
          <w:r>
            <w:rPr>
              <w:rFonts w:hint="eastAsia" w:ascii="仿宋" w:hAnsi="仿宋" w:eastAsia="仿宋" w:cs="仿宋"/>
              <w:color w:val="auto"/>
              <w:spacing w:val="0"/>
              <w:w w:val="100"/>
              <w:position w:val="0"/>
              <w:sz w:val="28"/>
              <w:szCs w:val="28"/>
              <w:highlight w:val="none"/>
            </w:rPr>
            <w:instrText xml:space="preserve">TOC \o "1-3" \h \u </w:instrText>
          </w:r>
          <w:r>
            <w:rPr>
              <w:rFonts w:hint="eastAsia" w:ascii="仿宋" w:hAnsi="仿宋" w:eastAsia="仿宋" w:cs="仿宋"/>
              <w:color w:val="auto"/>
              <w:spacing w:val="0"/>
              <w:w w:val="100"/>
              <w:position w:val="0"/>
              <w:sz w:val="28"/>
              <w:szCs w:val="28"/>
              <w:highlight w:val="none"/>
            </w:rPr>
            <w:fldChar w:fldCharType="separate"/>
          </w:r>
          <w:r>
            <w:rPr>
              <w:rFonts w:hint="eastAsia" w:ascii="仿宋" w:hAnsi="仿宋" w:eastAsia="仿宋" w:cs="仿宋"/>
              <w:color w:val="auto"/>
              <w:spacing w:val="0"/>
              <w:w w:val="100"/>
              <w:position w:val="0"/>
              <w:sz w:val="28"/>
              <w:szCs w:val="40"/>
              <w:highlight w:val="none"/>
            </w:rPr>
            <w:fldChar w:fldCharType="begin"/>
          </w:r>
          <w:r>
            <w:rPr>
              <w:rFonts w:hint="eastAsia" w:ascii="仿宋" w:hAnsi="仿宋" w:eastAsia="仿宋" w:cs="仿宋"/>
              <w:color w:val="auto"/>
              <w:spacing w:val="0"/>
              <w:w w:val="100"/>
              <w:position w:val="0"/>
              <w:sz w:val="28"/>
              <w:szCs w:val="40"/>
              <w:highlight w:val="none"/>
            </w:rPr>
            <w:instrText xml:space="preserve"> HYPERLINK \l _Toc13141 </w:instrText>
          </w:r>
          <w:r>
            <w:rPr>
              <w:rFonts w:hint="eastAsia" w:ascii="仿宋" w:hAnsi="仿宋" w:eastAsia="仿宋" w:cs="仿宋"/>
              <w:color w:val="auto"/>
              <w:spacing w:val="0"/>
              <w:w w:val="100"/>
              <w:position w:val="0"/>
              <w:sz w:val="28"/>
              <w:szCs w:val="40"/>
              <w:highlight w:val="none"/>
            </w:rPr>
            <w:fldChar w:fldCharType="separate"/>
          </w:r>
          <w:r>
            <w:rPr>
              <w:rFonts w:hint="eastAsia" w:ascii="仿宋" w:hAnsi="仿宋" w:eastAsia="仿宋" w:cs="仿宋"/>
              <w:bCs/>
              <w:color w:val="auto"/>
              <w:spacing w:val="0"/>
              <w:w w:val="100"/>
              <w:position w:val="0"/>
              <w:sz w:val="28"/>
              <w:szCs w:val="56"/>
              <w:highlight w:val="none"/>
            </w:rPr>
            <w:t>第一章 征集公告</w:t>
          </w:r>
          <w:r>
            <w:rPr>
              <w:rFonts w:hint="eastAsia" w:ascii="仿宋" w:hAnsi="仿宋" w:eastAsia="仿宋" w:cs="仿宋"/>
              <w:color w:val="auto"/>
              <w:spacing w:val="0"/>
              <w:w w:val="100"/>
              <w:position w:val="0"/>
              <w:sz w:val="28"/>
              <w:szCs w:val="28"/>
              <w:highlight w:val="none"/>
            </w:rPr>
            <w:tab/>
          </w:r>
          <w:r>
            <w:rPr>
              <w:rFonts w:hint="eastAsia" w:ascii="仿宋" w:hAnsi="仿宋" w:eastAsia="仿宋" w:cs="仿宋"/>
              <w:color w:val="auto"/>
              <w:spacing w:val="0"/>
              <w:w w:val="100"/>
              <w:position w:val="0"/>
              <w:sz w:val="28"/>
              <w:szCs w:val="28"/>
              <w:highlight w:val="none"/>
            </w:rPr>
            <w:fldChar w:fldCharType="begin"/>
          </w:r>
          <w:r>
            <w:rPr>
              <w:rFonts w:hint="eastAsia" w:ascii="仿宋" w:hAnsi="仿宋" w:eastAsia="仿宋" w:cs="仿宋"/>
              <w:color w:val="auto"/>
              <w:spacing w:val="0"/>
              <w:w w:val="100"/>
              <w:position w:val="0"/>
              <w:sz w:val="28"/>
              <w:szCs w:val="28"/>
              <w:highlight w:val="none"/>
            </w:rPr>
            <w:instrText xml:space="preserve"> PAGEREF _Toc13141 \h </w:instrText>
          </w:r>
          <w:r>
            <w:rPr>
              <w:rFonts w:hint="eastAsia" w:ascii="仿宋" w:hAnsi="仿宋" w:eastAsia="仿宋" w:cs="仿宋"/>
              <w:color w:val="auto"/>
              <w:spacing w:val="0"/>
              <w:w w:val="100"/>
              <w:position w:val="0"/>
              <w:sz w:val="28"/>
              <w:szCs w:val="28"/>
              <w:highlight w:val="none"/>
            </w:rPr>
            <w:fldChar w:fldCharType="separate"/>
          </w:r>
          <w:r>
            <w:rPr>
              <w:rFonts w:hint="eastAsia" w:ascii="仿宋" w:hAnsi="仿宋" w:eastAsia="仿宋" w:cs="仿宋"/>
              <w:color w:val="auto"/>
              <w:spacing w:val="0"/>
              <w:w w:val="100"/>
              <w:position w:val="0"/>
              <w:sz w:val="28"/>
              <w:szCs w:val="28"/>
              <w:highlight w:val="none"/>
            </w:rPr>
            <w:t>3</w:t>
          </w:r>
          <w:r>
            <w:rPr>
              <w:rFonts w:hint="eastAsia" w:ascii="仿宋" w:hAnsi="仿宋" w:eastAsia="仿宋" w:cs="仿宋"/>
              <w:color w:val="auto"/>
              <w:spacing w:val="0"/>
              <w:w w:val="100"/>
              <w:position w:val="0"/>
              <w:sz w:val="28"/>
              <w:szCs w:val="28"/>
              <w:highlight w:val="none"/>
            </w:rPr>
            <w:fldChar w:fldCharType="end"/>
          </w:r>
          <w:r>
            <w:rPr>
              <w:rFonts w:hint="eastAsia" w:ascii="仿宋" w:hAnsi="仿宋" w:eastAsia="仿宋" w:cs="仿宋"/>
              <w:color w:val="auto"/>
              <w:spacing w:val="0"/>
              <w:w w:val="100"/>
              <w:position w:val="0"/>
              <w:sz w:val="28"/>
              <w:szCs w:val="40"/>
              <w:highlight w:val="none"/>
            </w:rPr>
            <w:fldChar w:fldCharType="end"/>
          </w:r>
        </w:p>
        <w:p w14:paraId="7D4502CC">
          <w:pPr>
            <w:pStyle w:val="17"/>
            <w:keepNext w:val="0"/>
            <w:keepLines w:val="0"/>
            <w:pageBreakBefore w:val="0"/>
            <w:widowControl/>
            <w:tabs>
              <w:tab w:val="right" w:leader="dot" w:pos="8316"/>
            </w:tabs>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40"/>
              <w:highlight w:val="none"/>
            </w:rPr>
          </w:pPr>
        </w:p>
        <w:p w14:paraId="6A54FF89">
          <w:pPr>
            <w:pStyle w:val="17"/>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40"/>
              <w:highlight w:val="none"/>
            </w:rPr>
          </w:pPr>
          <w:r>
            <w:rPr>
              <w:rFonts w:hint="eastAsia" w:ascii="仿宋" w:hAnsi="仿宋" w:eastAsia="仿宋" w:cs="仿宋"/>
              <w:color w:val="auto"/>
              <w:spacing w:val="0"/>
              <w:w w:val="100"/>
              <w:position w:val="0"/>
              <w:sz w:val="28"/>
              <w:szCs w:val="40"/>
              <w:highlight w:val="none"/>
            </w:rPr>
            <w:fldChar w:fldCharType="begin"/>
          </w:r>
          <w:r>
            <w:rPr>
              <w:rFonts w:hint="eastAsia" w:ascii="仿宋" w:hAnsi="仿宋" w:eastAsia="仿宋" w:cs="仿宋"/>
              <w:color w:val="auto"/>
              <w:spacing w:val="0"/>
              <w:w w:val="100"/>
              <w:position w:val="0"/>
              <w:sz w:val="28"/>
              <w:szCs w:val="40"/>
              <w:highlight w:val="none"/>
            </w:rPr>
            <w:instrText xml:space="preserve"> HYPERLINK \l _Toc27469 </w:instrText>
          </w:r>
          <w:r>
            <w:rPr>
              <w:rFonts w:hint="eastAsia" w:ascii="仿宋" w:hAnsi="仿宋" w:eastAsia="仿宋" w:cs="仿宋"/>
              <w:color w:val="auto"/>
              <w:spacing w:val="0"/>
              <w:w w:val="100"/>
              <w:position w:val="0"/>
              <w:sz w:val="28"/>
              <w:szCs w:val="40"/>
              <w:highlight w:val="none"/>
            </w:rPr>
            <w:fldChar w:fldCharType="separate"/>
          </w:r>
          <w:r>
            <w:rPr>
              <w:rFonts w:hint="eastAsia" w:ascii="仿宋" w:hAnsi="仿宋" w:eastAsia="仿宋" w:cs="仿宋"/>
              <w:bCs/>
              <w:color w:val="auto"/>
              <w:spacing w:val="0"/>
              <w:w w:val="100"/>
              <w:position w:val="0"/>
              <w:sz w:val="28"/>
              <w:szCs w:val="56"/>
              <w:highlight w:val="none"/>
            </w:rPr>
            <w:t>第二章 供应商须知</w:t>
          </w:r>
          <w:r>
            <w:rPr>
              <w:rFonts w:hint="eastAsia" w:ascii="仿宋" w:hAnsi="仿宋" w:eastAsia="仿宋" w:cs="仿宋"/>
              <w:color w:val="auto"/>
              <w:spacing w:val="0"/>
              <w:w w:val="100"/>
              <w:position w:val="0"/>
              <w:sz w:val="28"/>
              <w:szCs w:val="28"/>
              <w:highlight w:val="none"/>
            </w:rPr>
            <w:tab/>
          </w:r>
          <w:r>
            <w:rPr>
              <w:rFonts w:hint="eastAsia" w:ascii="仿宋" w:hAnsi="仿宋" w:eastAsia="仿宋" w:cs="仿宋"/>
              <w:color w:val="auto"/>
              <w:spacing w:val="0"/>
              <w:w w:val="100"/>
              <w:position w:val="0"/>
              <w:sz w:val="28"/>
              <w:szCs w:val="28"/>
              <w:highlight w:val="none"/>
            </w:rPr>
            <w:fldChar w:fldCharType="begin"/>
          </w:r>
          <w:r>
            <w:rPr>
              <w:rFonts w:hint="eastAsia" w:ascii="仿宋" w:hAnsi="仿宋" w:eastAsia="仿宋" w:cs="仿宋"/>
              <w:color w:val="auto"/>
              <w:spacing w:val="0"/>
              <w:w w:val="100"/>
              <w:position w:val="0"/>
              <w:sz w:val="28"/>
              <w:szCs w:val="28"/>
              <w:highlight w:val="none"/>
            </w:rPr>
            <w:instrText xml:space="preserve"> PAGEREF _Toc27469 \h </w:instrText>
          </w:r>
          <w:r>
            <w:rPr>
              <w:rFonts w:hint="eastAsia" w:ascii="仿宋" w:hAnsi="仿宋" w:eastAsia="仿宋" w:cs="仿宋"/>
              <w:color w:val="auto"/>
              <w:spacing w:val="0"/>
              <w:w w:val="100"/>
              <w:position w:val="0"/>
              <w:sz w:val="28"/>
              <w:szCs w:val="28"/>
              <w:highlight w:val="none"/>
            </w:rPr>
            <w:fldChar w:fldCharType="separate"/>
          </w:r>
          <w:r>
            <w:rPr>
              <w:rFonts w:hint="eastAsia" w:ascii="仿宋" w:hAnsi="仿宋" w:eastAsia="仿宋" w:cs="仿宋"/>
              <w:color w:val="auto"/>
              <w:spacing w:val="0"/>
              <w:w w:val="100"/>
              <w:position w:val="0"/>
              <w:sz w:val="28"/>
              <w:szCs w:val="28"/>
              <w:highlight w:val="none"/>
            </w:rPr>
            <w:t>6</w:t>
          </w:r>
          <w:r>
            <w:rPr>
              <w:rFonts w:hint="eastAsia" w:ascii="仿宋" w:hAnsi="仿宋" w:eastAsia="仿宋" w:cs="仿宋"/>
              <w:color w:val="auto"/>
              <w:spacing w:val="0"/>
              <w:w w:val="100"/>
              <w:position w:val="0"/>
              <w:sz w:val="28"/>
              <w:szCs w:val="28"/>
              <w:highlight w:val="none"/>
            </w:rPr>
            <w:fldChar w:fldCharType="end"/>
          </w:r>
          <w:r>
            <w:rPr>
              <w:rFonts w:hint="eastAsia" w:ascii="仿宋" w:hAnsi="仿宋" w:eastAsia="仿宋" w:cs="仿宋"/>
              <w:color w:val="auto"/>
              <w:spacing w:val="0"/>
              <w:w w:val="100"/>
              <w:position w:val="0"/>
              <w:sz w:val="28"/>
              <w:szCs w:val="40"/>
              <w:highlight w:val="none"/>
            </w:rPr>
            <w:fldChar w:fldCharType="end"/>
          </w:r>
        </w:p>
        <w:p w14:paraId="693982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color w:val="auto"/>
              <w:spacing w:val="0"/>
              <w:w w:val="100"/>
              <w:position w:val="0"/>
              <w:highlight w:val="none"/>
            </w:rPr>
          </w:pPr>
        </w:p>
        <w:p w14:paraId="1D629A2C">
          <w:pPr>
            <w:pStyle w:val="17"/>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40"/>
              <w:highlight w:val="none"/>
            </w:rPr>
            <w:fldChar w:fldCharType="begin"/>
          </w:r>
          <w:r>
            <w:rPr>
              <w:rFonts w:hint="eastAsia" w:ascii="仿宋" w:hAnsi="仿宋" w:eastAsia="仿宋" w:cs="仿宋"/>
              <w:color w:val="auto"/>
              <w:spacing w:val="0"/>
              <w:w w:val="100"/>
              <w:position w:val="0"/>
              <w:sz w:val="28"/>
              <w:szCs w:val="40"/>
              <w:highlight w:val="none"/>
            </w:rPr>
            <w:instrText xml:space="preserve"> HYPERLINK \l _Toc21744 </w:instrText>
          </w:r>
          <w:r>
            <w:rPr>
              <w:rFonts w:hint="eastAsia" w:ascii="仿宋" w:hAnsi="仿宋" w:eastAsia="仿宋" w:cs="仿宋"/>
              <w:color w:val="auto"/>
              <w:spacing w:val="0"/>
              <w:w w:val="100"/>
              <w:position w:val="0"/>
              <w:sz w:val="28"/>
              <w:szCs w:val="40"/>
              <w:highlight w:val="none"/>
            </w:rPr>
            <w:fldChar w:fldCharType="separate"/>
          </w:r>
          <w:r>
            <w:rPr>
              <w:rFonts w:hint="eastAsia" w:ascii="仿宋" w:hAnsi="仿宋" w:eastAsia="仿宋" w:cs="仿宋"/>
              <w:bCs/>
              <w:color w:val="auto"/>
              <w:spacing w:val="0"/>
              <w:w w:val="100"/>
              <w:position w:val="0"/>
              <w:sz w:val="28"/>
              <w:szCs w:val="56"/>
              <w:highlight w:val="none"/>
            </w:rPr>
            <w:t>第三章 采购需求</w:t>
          </w:r>
          <w:r>
            <w:rPr>
              <w:rFonts w:hint="eastAsia" w:ascii="仿宋" w:hAnsi="仿宋" w:eastAsia="仿宋" w:cs="仿宋"/>
              <w:color w:val="auto"/>
              <w:spacing w:val="0"/>
              <w:w w:val="100"/>
              <w:position w:val="0"/>
              <w:sz w:val="28"/>
              <w:szCs w:val="28"/>
              <w:highlight w:val="none"/>
            </w:rPr>
            <w:tab/>
          </w:r>
          <w:r>
            <w:rPr>
              <w:rFonts w:hint="eastAsia" w:ascii="仿宋" w:hAnsi="仿宋" w:eastAsia="仿宋" w:cs="仿宋"/>
              <w:color w:val="auto"/>
              <w:spacing w:val="0"/>
              <w:w w:val="100"/>
              <w:position w:val="0"/>
              <w:sz w:val="28"/>
              <w:szCs w:val="28"/>
              <w:highlight w:val="none"/>
            </w:rPr>
            <w:fldChar w:fldCharType="begin"/>
          </w:r>
          <w:r>
            <w:rPr>
              <w:rFonts w:hint="eastAsia" w:ascii="仿宋" w:hAnsi="仿宋" w:eastAsia="仿宋" w:cs="仿宋"/>
              <w:color w:val="auto"/>
              <w:spacing w:val="0"/>
              <w:w w:val="100"/>
              <w:position w:val="0"/>
              <w:sz w:val="28"/>
              <w:szCs w:val="28"/>
              <w:highlight w:val="none"/>
            </w:rPr>
            <w:instrText xml:space="preserve"> PAGEREF _Toc21744 \h </w:instrText>
          </w:r>
          <w:r>
            <w:rPr>
              <w:rFonts w:hint="eastAsia" w:ascii="仿宋" w:hAnsi="仿宋" w:eastAsia="仿宋" w:cs="仿宋"/>
              <w:color w:val="auto"/>
              <w:spacing w:val="0"/>
              <w:w w:val="100"/>
              <w:position w:val="0"/>
              <w:sz w:val="28"/>
              <w:szCs w:val="28"/>
              <w:highlight w:val="none"/>
            </w:rPr>
            <w:fldChar w:fldCharType="separate"/>
          </w:r>
          <w:r>
            <w:rPr>
              <w:rFonts w:hint="eastAsia" w:ascii="仿宋" w:hAnsi="仿宋" w:eastAsia="仿宋" w:cs="仿宋"/>
              <w:color w:val="auto"/>
              <w:spacing w:val="0"/>
              <w:w w:val="100"/>
              <w:position w:val="0"/>
              <w:sz w:val="28"/>
              <w:szCs w:val="28"/>
              <w:highlight w:val="none"/>
            </w:rPr>
            <w:t>26</w:t>
          </w:r>
          <w:r>
            <w:rPr>
              <w:rFonts w:hint="eastAsia" w:ascii="仿宋" w:hAnsi="仿宋" w:eastAsia="仿宋" w:cs="仿宋"/>
              <w:color w:val="auto"/>
              <w:spacing w:val="0"/>
              <w:w w:val="100"/>
              <w:position w:val="0"/>
              <w:sz w:val="28"/>
              <w:szCs w:val="28"/>
              <w:highlight w:val="none"/>
            </w:rPr>
            <w:fldChar w:fldCharType="end"/>
          </w:r>
          <w:r>
            <w:rPr>
              <w:rFonts w:hint="eastAsia" w:ascii="仿宋" w:hAnsi="仿宋" w:eastAsia="仿宋" w:cs="仿宋"/>
              <w:color w:val="auto"/>
              <w:spacing w:val="0"/>
              <w:w w:val="100"/>
              <w:position w:val="0"/>
              <w:sz w:val="28"/>
              <w:szCs w:val="40"/>
              <w:highlight w:val="none"/>
            </w:rPr>
            <w:fldChar w:fldCharType="end"/>
          </w:r>
        </w:p>
        <w:p w14:paraId="58952F1E">
          <w:pPr>
            <w:pStyle w:val="17"/>
            <w:keepNext w:val="0"/>
            <w:keepLines w:val="0"/>
            <w:pageBreakBefore w:val="0"/>
            <w:widowControl/>
            <w:tabs>
              <w:tab w:val="right" w:leader="dot" w:pos="8316"/>
            </w:tabs>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40"/>
              <w:highlight w:val="none"/>
            </w:rPr>
          </w:pPr>
        </w:p>
        <w:p w14:paraId="43A07028">
          <w:pPr>
            <w:pStyle w:val="17"/>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40"/>
              <w:highlight w:val="none"/>
            </w:rPr>
            <w:fldChar w:fldCharType="begin"/>
          </w:r>
          <w:r>
            <w:rPr>
              <w:rFonts w:hint="eastAsia" w:ascii="仿宋" w:hAnsi="仿宋" w:eastAsia="仿宋" w:cs="仿宋"/>
              <w:color w:val="auto"/>
              <w:spacing w:val="0"/>
              <w:w w:val="100"/>
              <w:position w:val="0"/>
              <w:sz w:val="28"/>
              <w:szCs w:val="40"/>
              <w:highlight w:val="none"/>
            </w:rPr>
            <w:instrText xml:space="preserve"> HYPERLINK \l _Toc28157 </w:instrText>
          </w:r>
          <w:r>
            <w:rPr>
              <w:rFonts w:hint="eastAsia" w:ascii="仿宋" w:hAnsi="仿宋" w:eastAsia="仿宋" w:cs="仿宋"/>
              <w:color w:val="auto"/>
              <w:spacing w:val="0"/>
              <w:w w:val="100"/>
              <w:position w:val="0"/>
              <w:sz w:val="28"/>
              <w:szCs w:val="40"/>
              <w:highlight w:val="none"/>
            </w:rPr>
            <w:fldChar w:fldCharType="separate"/>
          </w:r>
          <w:r>
            <w:rPr>
              <w:rFonts w:hint="eastAsia" w:ascii="仿宋" w:hAnsi="仿宋" w:eastAsia="仿宋" w:cs="仿宋"/>
              <w:bCs/>
              <w:color w:val="auto"/>
              <w:spacing w:val="0"/>
              <w:w w:val="100"/>
              <w:position w:val="0"/>
              <w:sz w:val="28"/>
              <w:szCs w:val="56"/>
              <w:highlight w:val="none"/>
            </w:rPr>
            <w:t>第四章 评标办法</w:t>
          </w:r>
          <w:r>
            <w:rPr>
              <w:rFonts w:hint="eastAsia" w:ascii="仿宋" w:hAnsi="仿宋" w:eastAsia="仿宋" w:cs="仿宋"/>
              <w:color w:val="auto"/>
              <w:spacing w:val="0"/>
              <w:w w:val="100"/>
              <w:position w:val="0"/>
              <w:sz w:val="28"/>
              <w:szCs w:val="28"/>
              <w:highlight w:val="none"/>
            </w:rPr>
            <w:tab/>
          </w:r>
          <w:r>
            <w:rPr>
              <w:rFonts w:hint="eastAsia" w:ascii="仿宋" w:hAnsi="仿宋" w:eastAsia="仿宋" w:cs="仿宋"/>
              <w:color w:val="auto"/>
              <w:spacing w:val="0"/>
              <w:w w:val="100"/>
              <w:position w:val="0"/>
              <w:sz w:val="28"/>
              <w:szCs w:val="28"/>
              <w:highlight w:val="none"/>
            </w:rPr>
            <w:fldChar w:fldCharType="begin"/>
          </w:r>
          <w:r>
            <w:rPr>
              <w:rFonts w:hint="eastAsia" w:ascii="仿宋" w:hAnsi="仿宋" w:eastAsia="仿宋" w:cs="仿宋"/>
              <w:color w:val="auto"/>
              <w:spacing w:val="0"/>
              <w:w w:val="100"/>
              <w:position w:val="0"/>
              <w:sz w:val="28"/>
              <w:szCs w:val="28"/>
              <w:highlight w:val="none"/>
            </w:rPr>
            <w:instrText xml:space="preserve"> PAGEREF _Toc28157 \h </w:instrText>
          </w:r>
          <w:r>
            <w:rPr>
              <w:rFonts w:hint="eastAsia" w:ascii="仿宋" w:hAnsi="仿宋" w:eastAsia="仿宋" w:cs="仿宋"/>
              <w:color w:val="auto"/>
              <w:spacing w:val="0"/>
              <w:w w:val="100"/>
              <w:position w:val="0"/>
              <w:sz w:val="28"/>
              <w:szCs w:val="28"/>
              <w:highlight w:val="none"/>
            </w:rPr>
            <w:fldChar w:fldCharType="separate"/>
          </w:r>
          <w:r>
            <w:rPr>
              <w:rFonts w:hint="eastAsia" w:ascii="仿宋" w:hAnsi="仿宋" w:eastAsia="仿宋" w:cs="仿宋"/>
              <w:color w:val="auto"/>
              <w:spacing w:val="0"/>
              <w:w w:val="100"/>
              <w:position w:val="0"/>
              <w:sz w:val="28"/>
              <w:szCs w:val="28"/>
              <w:highlight w:val="none"/>
            </w:rPr>
            <w:t>28</w:t>
          </w:r>
          <w:r>
            <w:rPr>
              <w:rFonts w:hint="eastAsia" w:ascii="仿宋" w:hAnsi="仿宋" w:eastAsia="仿宋" w:cs="仿宋"/>
              <w:color w:val="auto"/>
              <w:spacing w:val="0"/>
              <w:w w:val="100"/>
              <w:position w:val="0"/>
              <w:sz w:val="28"/>
              <w:szCs w:val="28"/>
              <w:highlight w:val="none"/>
            </w:rPr>
            <w:fldChar w:fldCharType="end"/>
          </w:r>
          <w:r>
            <w:rPr>
              <w:rFonts w:hint="eastAsia" w:ascii="仿宋" w:hAnsi="仿宋" w:eastAsia="仿宋" w:cs="仿宋"/>
              <w:color w:val="auto"/>
              <w:spacing w:val="0"/>
              <w:w w:val="100"/>
              <w:position w:val="0"/>
              <w:sz w:val="28"/>
              <w:szCs w:val="40"/>
              <w:highlight w:val="none"/>
            </w:rPr>
            <w:fldChar w:fldCharType="end"/>
          </w:r>
        </w:p>
        <w:p w14:paraId="5475F065">
          <w:pPr>
            <w:pStyle w:val="13"/>
            <w:keepNext w:val="0"/>
            <w:keepLines w:val="0"/>
            <w:pageBreakBefore w:val="0"/>
            <w:widowControl/>
            <w:tabs>
              <w:tab w:val="right" w:leader="dot" w:pos="8316"/>
            </w:tabs>
            <w:kinsoku w:val="0"/>
            <w:wordWrap/>
            <w:overflowPunct/>
            <w:topLinePunct w:val="0"/>
            <w:autoSpaceDE w:val="0"/>
            <w:autoSpaceDN w:val="0"/>
            <w:bidi w:val="0"/>
            <w:adjustRightInd w:val="0"/>
            <w:snapToGrid w:val="0"/>
            <w:spacing w:line="360" w:lineRule="auto"/>
            <w:ind w:left="0" w:leftChars="0" w:right="0" w:rightChars="0" w:firstLine="0" w:firstLineChars="0"/>
            <w:textAlignment w:val="baseline"/>
            <w:rPr>
              <w:rFonts w:hint="eastAsia" w:ascii="仿宋" w:hAnsi="仿宋" w:eastAsia="仿宋" w:cs="仿宋"/>
              <w:color w:val="auto"/>
              <w:spacing w:val="0"/>
              <w:w w:val="100"/>
              <w:position w:val="0"/>
              <w:sz w:val="28"/>
              <w:szCs w:val="40"/>
              <w:highlight w:val="none"/>
            </w:rPr>
          </w:pPr>
        </w:p>
        <w:p w14:paraId="3AE6CFC8">
          <w:pPr>
            <w:pStyle w:val="13"/>
            <w:pageBreakBefore w:val="0"/>
            <w:tabs>
              <w:tab w:val="right" w:leader="dot" w:pos="8316"/>
            </w:tabs>
            <w:kinsoku w:val="0"/>
            <w:wordWrap/>
            <w:overflowPunct/>
            <w:topLinePunct w:val="0"/>
            <w:bidi w:val="0"/>
            <w:adjustRightInd w:val="0"/>
            <w:snapToGrid w:val="0"/>
            <w:spacing w:line="360" w:lineRule="auto"/>
            <w:ind w:left="0" w:leftChars="0" w:right="0" w:rightChars="0" w:firstLine="0" w:firstLineChars="0"/>
            <w:textAlignment w:val="baseline"/>
            <w:rPr>
              <w:rFonts w:hint="eastAsia" w:ascii="仿宋" w:hAnsi="仿宋" w:eastAsia="仿宋" w:cs="仿宋"/>
              <w:color w:val="auto"/>
              <w:spacing w:val="0"/>
              <w:w w:val="100"/>
              <w:position w:val="0"/>
              <w:sz w:val="28"/>
              <w:szCs w:val="40"/>
              <w:highlight w:val="none"/>
            </w:rPr>
          </w:pPr>
          <w:r>
            <w:rPr>
              <w:rFonts w:hint="eastAsia" w:ascii="仿宋" w:hAnsi="仿宋" w:eastAsia="仿宋" w:cs="仿宋"/>
              <w:color w:val="auto"/>
              <w:spacing w:val="0"/>
              <w:w w:val="100"/>
              <w:position w:val="0"/>
              <w:sz w:val="28"/>
              <w:szCs w:val="40"/>
              <w:highlight w:val="none"/>
            </w:rPr>
            <w:fldChar w:fldCharType="begin"/>
          </w:r>
          <w:r>
            <w:rPr>
              <w:rFonts w:hint="eastAsia" w:ascii="仿宋" w:hAnsi="仿宋" w:eastAsia="仿宋" w:cs="仿宋"/>
              <w:color w:val="auto"/>
              <w:spacing w:val="0"/>
              <w:w w:val="100"/>
              <w:position w:val="0"/>
              <w:sz w:val="28"/>
              <w:szCs w:val="40"/>
              <w:highlight w:val="none"/>
            </w:rPr>
            <w:instrText xml:space="preserve"> HYPERLINK \l _Toc6589 </w:instrText>
          </w:r>
          <w:r>
            <w:rPr>
              <w:rFonts w:hint="eastAsia" w:ascii="仿宋" w:hAnsi="仿宋" w:eastAsia="仿宋" w:cs="仿宋"/>
              <w:color w:val="auto"/>
              <w:spacing w:val="0"/>
              <w:w w:val="100"/>
              <w:position w:val="0"/>
              <w:sz w:val="28"/>
              <w:szCs w:val="40"/>
              <w:highlight w:val="none"/>
            </w:rPr>
            <w:fldChar w:fldCharType="separate"/>
          </w:r>
          <w:r>
            <w:rPr>
              <w:rFonts w:hint="eastAsia" w:ascii="仿宋" w:hAnsi="仿宋" w:eastAsia="仿宋" w:cs="仿宋"/>
              <w:color w:val="auto"/>
              <w:spacing w:val="0"/>
              <w:w w:val="100"/>
              <w:position w:val="0"/>
              <w:sz w:val="28"/>
              <w:szCs w:val="28"/>
              <w:highlight w:val="none"/>
              <w:lang w:val="en-US" w:eastAsia="en-US"/>
            </w:rPr>
            <w:t>第五章</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框架协议</w:t>
          </w:r>
          <w:r>
            <w:rPr>
              <w:rFonts w:hint="eastAsia" w:ascii="仿宋" w:hAnsi="仿宋" w:eastAsia="仿宋" w:cs="仿宋"/>
              <w:color w:val="auto"/>
              <w:spacing w:val="0"/>
              <w:w w:val="100"/>
              <w:position w:val="0"/>
              <w:sz w:val="28"/>
              <w:szCs w:val="28"/>
              <w:highlight w:val="none"/>
            </w:rPr>
            <w:tab/>
          </w:r>
          <w:r>
            <w:rPr>
              <w:rFonts w:hint="eastAsia" w:ascii="仿宋" w:hAnsi="仿宋" w:eastAsia="仿宋" w:cs="仿宋"/>
              <w:color w:val="auto"/>
              <w:spacing w:val="0"/>
              <w:w w:val="100"/>
              <w:position w:val="0"/>
              <w:sz w:val="28"/>
              <w:szCs w:val="28"/>
              <w:highlight w:val="none"/>
            </w:rPr>
            <w:fldChar w:fldCharType="begin"/>
          </w:r>
          <w:r>
            <w:rPr>
              <w:rFonts w:hint="eastAsia" w:ascii="仿宋" w:hAnsi="仿宋" w:eastAsia="仿宋" w:cs="仿宋"/>
              <w:color w:val="auto"/>
              <w:spacing w:val="0"/>
              <w:w w:val="100"/>
              <w:position w:val="0"/>
              <w:sz w:val="28"/>
              <w:szCs w:val="28"/>
              <w:highlight w:val="none"/>
            </w:rPr>
            <w:instrText xml:space="preserve"> PAGEREF _Toc6589 \h </w:instrText>
          </w:r>
          <w:r>
            <w:rPr>
              <w:rFonts w:hint="eastAsia" w:ascii="仿宋" w:hAnsi="仿宋" w:eastAsia="仿宋" w:cs="仿宋"/>
              <w:color w:val="auto"/>
              <w:spacing w:val="0"/>
              <w:w w:val="100"/>
              <w:position w:val="0"/>
              <w:sz w:val="28"/>
              <w:szCs w:val="28"/>
              <w:highlight w:val="none"/>
            </w:rPr>
            <w:fldChar w:fldCharType="separate"/>
          </w:r>
          <w:r>
            <w:rPr>
              <w:rFonts w:hint="eastAsia" w:ascii="仿宋" w:hAnsi="仿宋" w:eastAsia="仿宋" w:cs="仿宋"/>
              <w:color w:val="auto"/>
              <w:spacing w:val="0"/>
              <w:w w:val="100"/>
              <w:position w:val="0"/>
              <w:sz w:val="28"/>
              <w:szCs w:val="28"/>
              <w:highlight w:val="none"/>
            </w:rPr>
            <w:t>37</w:t>
          </w:r>
          <w:r>
            <w:rPr>
              <w:rFonts w:hint="eastAsia" w:ascii="仿宋" w:hAnsi="仿宋" w:eastAsia="仿宋" w:cs="仿宋"/>
              <w:color w:val="auto"/>
              <w:spacing w:val="0"/>
              <w:w w:val="100"/>
              <w:position w:val="0"/>
              <w:sz w:val="28"/>
              <w:szCs w:val="28"/>
              <w:highlight w:val="none"/>
            </w:rPr>
            <w:fldChar w:fldCharType="end"/>
          </w:r>
          <w:r>
            <w:rPr>
              <w:rFonts w:hint="eastAsia" w:ascii="仿宋" w:hAnsi="仿宋" w:eastAsia="仿宋" w:cs="仿宋"/>
              <w:color w:val="auto"/>
              <w:spacing w:val="0"/>
              <w:w w:val="100"/>
              <w:position w:val="0"/>
              <w:sz w:val="28"/>
              <w:szCs w:val="40"/>
              <w:highlight w:val="none"/>
            </w:rPr>
            <w:fldChar w:fldCharType="end"/>
          </w:r>
        </w:p>
        <w:p w14:paraId="15D5DB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color w:val="auto"/>
              <w:spacing w:val="0"/>
              <w:w w:val="100"/>
              <w:position w:val="0"/>
              <w:highlight w:val="none"/>
            </w:rPr>
          </w:pPr>
        </w:p>
        <w:p w14:paraId="50E0030F">
          <w:pPr>
            <w:pStyle w:val="17"/>
            <w:pageBreakBefore w:val="0"/>
            <w:tabs>
              <w:tab w:val="right" w:leader="dot" w:pos="8316"/>
            </w:tabs>
            <w:kinsoku w:val="0"/>
            <w:wordWrap/>
            <w:overflowPunct/>
            <w:topLinePunct w:val="0"/>
            <w:bidi w:val="0"/>
            <w:adjustRightInd w:val="0"/>
            <w:snapToGrid w:val="0"/>
            <w:spacing w:line="360" w:lineRule="auto"/>
            <w:ind w:left="0" w:leftChars="0" w:right="0" w:rightChars="0"/>
            <w:textAlignment w:val="baseline"/>
            <w:rPr>
              <w:color w:val="auto"/>
              <w:spacing w:val="0"/>
              <w:w w:val="100"/>
              <w:position w:val="0"/>
              <w:highlight w:val="none"/>
            </w:rPr>
          </w:pPr>
          <w:r>
            <w:rPr>
              <w:rFonts w:hint="eastAsia" w:ascii="仿宋" w:hAnsi="仿宋" w:eastAsia="仿宋" w:cs="仿宋"/>
              <w:color w:val="auto"/>
              <w:spacing w:val="0"/>
              <w:w w:val="100"/>
              <w:position w:val="0"/>
              <w:sz w:val="28"/>
              <w:szCs w:val="40"/>
              <w:highlight w:val="none"/>
            </w:rPr>
            <w:fldChar w:fldCharType="begin"/>
          </w:r>
          <w:r>
            <w:rPr>
              <w:rFonts w:hint="eastAsia" w:ascii="仿宋" w:hAnsi="仿宋" w:eastAsia="仿宋" w:cs="仿宋"/>
              <w:color w:val="auto"/>
              <w:spacing w:val="0"/>
              <w:w w:val="100"/>
              <w:position w:val="0"/>
              <w:sz w:val="28"/>
              <w:szCs w:val="40"/>
              <w:highlight w:val="none"/>
            </w:rPr>
            <w:instrText xml:space="preserve"> HYPERLINK \l _Toc16469 </w:instrText>
          </w:r>
          <w:r>
            <w:rPr>
              <w:rFonts w:hint="eastAsia" w:ascii="仿宋" w:hAnsi="仿宋" w:eastAsia="仿宋" w:cs="仿宋"/>
              <w:color w:val="auto"/>
              <w:spacing w:val="0"/>
              <w:w w:val="100"/>
              <w:position w:val="0"/>
              <w:sz w:val="28"/>
              <w:szCs w:val="40"/>
              <w:highlight w:val="none"/>
            </w:rPr>
            <w:fldChar w:fldCharType="separate"/>
          </w:r>
          <w:r>
            <w:rPr>
              <w:rFonts w:hint="eastAsia" w:ascii="仿宋" w:hAnsi="仿宋" w:eastAsia="仿宋" w:cs="仿宋"/>
              <w:bCs/>
              <w:color w:val="auto"/>
              <w:spacing w:val="0"/>
              <w:w w:val="100"/>
              <w:position w:val="0"/>
              <w:sz w:val="28"/>
              <w:szCs w:val="56"/>
              <w:highlight w:val="none"/>
              <w:lang w:val="en-US" w:eastAsia="en-US"/>
            </w:rPr>
            <w:t>第六章 响应文件格式</w:t>
          </w:r>
          <w:r>
            <w:rPr>
              <w:rFonts w:hint="eastAsia" w:ascii="仿宋" w:hAnsi="仿宋" w:eastAsia="仿宋" w:cs="仿宋"/>
              <w:color w:val="auto"/>
              <w:spacing w:val="0"/>
              <w:w w:val="100"/>
              <w:position w:val="0"/>
              <w:sz w:val="28"/>
              <w:szCs w:val="28"/>
              <w:highlight w:val="none"/>
            </w:rPr>
            <w:tab/>
          </w:r>
          <w:r>
            <w:rPr>
              <w:rFonts w:hint="eastAsia" w:ascii="仿宋" w:hAnsi="仿宋" w:eastAsia="仿宋" w:cs="仿宋"/>
              <w:color w:val="auto"/>
              <w:spacing w:val="0"/>
              <w:w w:val="100"/>
              <w:position w:val="0"/>
              <w:sz w:val="28"/>
              <w:szCs w:val="28"/>
              <w:highlight w:val="none"/>
            </w:rPr>
            <w:fldChar w:fldCharType="begin"/>
          </w:r>
          <w:r>
            <w:rPr>
              <w:rFonts w:hint="eastAsia" w:ascii="仿宋" w:hAnsi="仿宋" w:eastAsia="仿宋" w:cs="仿宋"/>
              <w:color w:val="auto"/>
              <w:spacing w:val="0"/>
              <w:w w:val="100"/>
              <w:position w:val="0"/>
              <w:sz w:val="28"/>
              <w:szCs w:val="28"/>
              <w:highlight w:val="none"/>
            </w:rPr>
            <w:instrText xml:space="preserve"> PAGEREF _Toc16469 \h </w:instrText>
          </w:r>
          <w:r>
            <w:rPr>
              <w:rFonts w:hint="eastAsia" w:ascii="仿宋" w:hAnsi="仿宋" w:eastAsia="仿宋" w:cs="仿宋"/>
              <w:color w:val="auto"/>
              <w:spacing w:val="0"/>
              <w:w w:val="100"/>
              <w:position w:val="0"/>
              <w:sz w:val="28"/>
              <w:szCs w:val="28"/>
              <w:highlight w:val="none"/>
            </w:rPr>
            <w:fldChar w:fldCharType="separate"/>
          </w:r>
          <w:r>
            <w:rPr>
              <w:rFonts w:hint="eastAsia" w:ascii="仿宋" w:hAnsi="仿宋" w:eastAsia="仿宋" w:cs="仿宋"/>
              <w:color w:val="auto"/>
              <w:spacing w:val="0"/>
              <w:w w:val="100"/>
              <w:position w:val="0"/>
              <w:sz w:val="28"/>
              <w:szCs w:val="28"/>
              <w:highlight w:val="none"/>
            </w:rPr>
            <w:t>47</w:t>
          </w:r>
          <w:r>
            <w:rPr>
              <w:rFonts w:hint="eastAsia" w:ascii="仿宋" w:hAnsi="仿宋" w:eastAsia="仿宋" w:cs="仿宋"/>
              <w:color w:val="auto"/>
              <w:spacing w:val="0"/>
              <w:w w:val="100"/>
              <w:position w:val="0"/>
              <w:sz w:val="28"/>
              <w:szCs w:val="28"/>
              <w:highlight w:val="none"/>
            </w:rPr>
            <w:fldChar w:fldCharType="end"/>
          </w:r>
          <w:r>
            <w:rPr>
              <w:rFonts w:hint="eastAsia" w:ascii="仿宋" w:hAnsi="仿宋" w:eastAsia="仿宋" w:cs="仿宋"/>
              <w:color w:val="auto"/>
              <w:spacing w:val="0"/>
              <w:w w:val="100"/>
              <w:position w:val="0"/>
              <w:sz w:val="28"/>
              <w:szCs w:val="40"/>
              <w:highlight w:val="none"/>
            </w:rPr>
            <w:fldChar w:fldCharType="end"/>
          </w:r>
        </w:p>
        <w:p w14:paraId="72E8684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snapToGrid w:val="0"/>
              <w:color w:val="auto"/>
              <w:spacing w:val="0"/>
              <w:w w:val="100"/>
              <w:kern w:val="0"/>
              <w:position w:val="0"/>
              <w:sz w:val="21"/>
              <w:szCs w:val="28"/>
              <w:highlight w:val="none"/>
              <w:lang w:val="en-US" w:eastAsia="en-US" w:bidi="ar-SA"/>
            </w:rPr>
          </w:pPr>
          <w:r>
            <w:rPr>
              <w:rFonts w:hint="eastAsia" w:ascii="仿宋" w:hAnsi="仿宋" w:eastAsia="仿宋" w:cs="仿宋"/>
              <w:color w:val="auto"/>
              <w:spacing w:val="0"/>
              <w:w w:val="100"/>
              <w:position w:val="0"/>
              <w:szCs w:val="28"/>
              <w:highlight w:val="none"/>
            </w:rPr>
            <w:fldChar w:fldCharType="end"/>
          </w:r>
        </w:p>
      </w:sdtContent>
    </w:sdt>
    <w:p w14:paraId="2154163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snapToGrid w:val="0"/>
          <w:color w:val="auto"/>
          <w:spacing w:val="0"/>
          <w:w w:val="100"/>
          <w:kern w:val="0"/>
          <w:position w:val="0"/>
          <w:sz w:val="21"/>
          <w:szCs w:val="28"/>
          <w:highlight w:val="none"/>
          <w:lang w:val="en-US" w:eastAsia="en-US" w:bidi="ar-SA"/>
        </w:rPr>
        <w:sectPr>
          <w:footerReference r:id="rId6" w:type="default"/>
          <w:pgSz w:w="11922" w:h="16849"/>
          <w:pgMar w:top="1440" w:right="1803" w:bottom="1440" w:left="1803" w:header="1134" w:footer="1253" w:gutter="0"/>
          <w:pgNumType w:fmt="decimal"/>
          <w:cols w:space="0" w:num="1"/>
          <w:rtlGutter w:val="0"/>
          <w:docGrid w:linePitch="0" w:charSpace="0"/>
        </w:sectPr>
      </w:pPr>
    </w:p>
    <w:p w14:paraId="03851AD2">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仿宋" w:hAnsi="仿宋" w:eastAsia="仿宋" w:cs="仿宋"/>
          <w:b/>
          <w:bCs/>
          <w:color w:val="auto"/>
          <w:spacing w:val="0"/>
          <w:w w:val="100"/>
          <w:position w:val="0"/>
          <w:sz w:val="28"/>
          <w:szCs w:val="28"/>
          <w:highlight w:val="none"/>
        </w:rPr>
      </w:pPr>
      <w:bookmarkStart w:id="0" w:name="_Toc13141"/>
      <w:r>
        <w:rPr>
          <w:rFonts w:hint="eastAsia" w:ascii="华文中宋" w:hAnsi="华文中宋" w:eastAsia="华文中宋" w:cs="华文中宋"/>
          <w:b/>
          <w:bCs/>
          <w:color w:val="auto"/>
          <w:spacing w:val="0"/>
          <w:w w:val="100"/>
          <w:position w:val="0"/>
          <w:sz w:val="44"/>
          <w:szCs w:val="44"/>
          <w:highlight w:val="none"/>
        </w:rPr>
        <w:t>第一章 征集公告</w:t>
      </w:r>
      <w:bookmarkEnd w:id="0"/>
    </w:p>
    <w:p w14:paraId="36DDF9F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highlight w:val="none"/>
        </w:rPr>
      </w:pPr>
      <w:r>
        <w:rPr>
          <w:rFonts w:hint="eastAsia" w:ascii="黑体" w:hAnsi="黑体" w:eastAsia="黑体" w:cs="黑体"/>
          <w:color w:val="auto"/>
          <w:spacing w:val="0"/>
          <w:w w:val="100"/>
          <w:position w:val="0"/>
          <w:sz w:val="28"/>
          <w:szCs w:val="28"/>
          <w:highlight w:val="none"/>
        </w:rPr>
        <w:t>一、项目基本情况</w:t>
      </w:r>
    </w:p>
    <w:p w14:paraId="674A90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1.项目名称：</w:t>
      </w:r>
      <w:r>
        <w:rPr>
          <w:rFonts w:hint="eastAsia" w:ascii="仿宋" w:hAnsi="仿宋" w:eastAsia="仿宋" w:cs="仿宋"/>
          <w:color w:val="auto"/>
          <w:spacing w:val="0"/>
          <w:w w:val="100"/>
          <w:position w:val="0"/>
          <w:sz w:val="28"/>
          <w:szCs w:val="28"/>
          <w:highlight w:val="none"/>
          <w:lang w:eastAsia="zh-CN"/>
        </w:rPr>
        <w:t>阜阳市本级2025-2027年土地出让（收储）评估服务机构框架协议采购项目（</w:t>
      </w:r>
      <w:r>
        <w:rPr>
          <w:rFonts w:hint="eastAsia" w:ascii="仿宋" w:hAnsi="仿宋" w:eastAsia="仿宋" w:cs="仿宋"/>
          <w:color w:val="auto"/>
          <w:spacing w:val="0"/>
          <w:w w:val="100"/>
          <w:position w:val="0"/>
          <w:sz w:val="28"/>
          <w:szCs w:val="28"/>
          <w:highlight w:val="none"/>
          <w:lang w:val="en-US" w:eastAsia="zh-CN"/>
        </w:rPr>
        <w:t>二次</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 xml:space="preserve"> </w:t>
      </w:r>
    </w:p>
    <w:p w14:paraId="61CFCE2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rPr>
        <w:t>2.项目编号：</w:t>
      </w:r>
      <w:r>
        <w:rPr>
          <w:rFonts w:hint="eastAsia" w:ascii="仿宋" w:hAnsi="仿宋" w:eastAsia="仿宋" w:cs="仿宋"/>
          <w:color w:val="auto"/>
          <w:spacing w:val="0"/>
          <w:w w:val="100"/>
          <w:position w:val="0"/>
          <w:sz w:val="28"/>
          <w:szCs w:val="28"/>
          <w:highlight w:val="none"/>
          <w:lang w:eastAsia="zh-CN"/>
        </w:rPr>
        <w:t>KJXY202510130513-1-Z1</w:t>
      </w:r>
    </w:p>
    <w:p w14:paraId="425AF2E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3.采购需求：拟采用框架协议征集10家土地评估服务机构，从事市本级经营性土地出让（收储）地价评估业务。</w:t>
      </w:r>
    </w:p>
    <w:p w14:paraId="1409041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rPr>
        <w:t>4.适用本次采购框架协议的征集人或服务对象：</w:t>
      </w:r>
      <w:r>
        <w:rPr>
          <w:rFonts w:hint="eastAsia" w:ascii="仿宋" w:hAnsi="仿宋" w:eastAsia="仿宋" w:cs="仿宋"/>
          <w:color w:val="auto"/>
          <w:spacing w:val="0"/>
          <w:w w:val="100"/>
          <w:position w:val="0"/>
          <w:sz w:val="28"/>
          <w:szCs w:val="28"/>
          <w:highlight w:val="none"/>
          <w:lang w:eastAsia="zh-CN"/>
        </w:rPr>
        <w:t>阜阳市自然资源和规划局。</w:t>
      </w:r>
    </w:p>
    <w:p w14:paraId="52637B2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5.框架协议期限：</w:t>
      </w:r>
      <w:r>
        <w:rPr>
          <w:rFonts w:hint="eastAsia" w:ascii="仿宋" w:hAnsi="仿宋" w:eastAsia="仿宋" w:cs="仿宋"/>
          <w:color w:val="auto"/>
          <w:spacing w:val="0"/>
          <w:w w:val="100"/>
          <w:position w:val="0"/>
          <w:sz w:val="28"/>
          <w:szCs w:val="28"/>
          <w:highlight w:val="none"/>
          <w:lang w:eastAsia="zh-CN"/>
        </w:rPr>
        <w:t>自框架协议签订之日起2年。采用“1+1”模式，1年服务期满后，对成交供应商进行考核，考核不合格即时终止合同。</w:t>
      </w:r>
      <w:r>
        <w:rPr>
          <w:rFonts w:hint="eastAsia" w:ascii="仿宋" w:hAnsi="仿宋" w:eastAsia="仿宋" w:cs="仿宋"/>
          <w:color w:val="auto"/>
          <w:spacing w:val="0"/>
          <w:w w:val="100"/>
          <w:position w:val="0"/>
          <w:sz w:val="28"/>
          <w:szCs w:val="28"/>
          <w:highlight w:val="none"/>
        </w:rPr>
        <w:t xml:space="preserve"> </w:t>
      </w:r>
    </w:p>
    <w:p w14:paraId="2709EB8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6.资金来源：财政资金</w:t>
      </w:r>
    </w:p>
    <w:p w14:paraId="4F0E2E1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7.标段划分：共分1个标段</w:t>
      </w:r>
    </w:p>
    <w:p w14:paraId="4F84AE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8.本项目是否接受联合体：否</w:t>
      </w:r>
    </w:p>
    <w:p w14:paraId="38F426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val="en-US" w:eastAsia="zh-CN"/>
        </w:rPr>
        <w:t>9.最高限制单价：本项目为固定报价，公管公服、公用设施、工业用地、仓储物流和交通运输用地评估费计费标准为每宗地3000元，商服、住宅等经营性用地及特殊项目评估收费计算见征集文件，折扣率统一为30%，单宗土地评估总费用最高不超过3万元（“一地多评”暨多家评估出报告的，费用均摊）。</w:t>
      </w:r>
    </w:p>
    <w:p w14:paraId="440B9EA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highlight w:val="none"/>
        </w:rPr>
      </w:pPr>
      <w:r>
        <w:rPr>
          <w:rFonts w:hint="eastAsia" w:ascii="黑体" w:hAnsi="黑体" w:eastAsia="黑体" w:cs="黑体"/>
          <w:color w:val="auto"/>
          <w:spacing w:val="0"/>
          <w:w w:val="100"/>
          <w:position w:val="0"/>
          <w:sz w:val="28"/>
          <w:szCs w:val="28"/>
          <w:highlight w:val="none"/>
        </w:rPr>
        <w:t>二、 申请人的资格要求：</w:t>
      </w:r>
    </w:p>
    <w:p w14:paraId="04FB768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1.满足《中华人民共和国政府采购法》第二十二条规定；</w:t>
      </w:r>
    </w:p>
    <w:p w14:paraId="79EB26E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2.落实政府采购政策需满足的资格要求：本项目符合财政部、工业和信息化部制定的《政府采购促进中小企业发展管理办法》第六条第4款之规定：框架协议采购项目。因此，本项目不专门面向中小企业采购。如对此项内容有疑问，可通过电子交易系统在线提出或书面方式向</w:t>
      </w:r>
      <w:r>
        <w:rPr>
          <w:rFonts w:hint="eastAsia" w:ascii="仿宋" w:hAnsi="仿宋" w:eastAsia="仿宋" w:cs="仿宋"/>
          <w:color w:val="auto"/>
          <w:spacing w:val="0"/>
          <w:w w:val="100"/>
          <w:position w:val="0"/>
          <w:sz w:val="28"/>
          <w:szCs w:val="28"/>
          <w:highlight w:val="none"/>
          <w:lang w:val="en-US" w:eastAsia="zh-CN"/>
        </w:rPr>
        <w:t>采购</w:t>
      </w:r>
      <w:r>
        <w:rPr>
          <w:rFonts w:hint="eastAsia" w:ascii="仿宋" w:hAnsi="仿宋" w:eastAsia="仿宋" w:cs="仿宋"/>
          <w:color w:val="auto"/>
          <w:spacing w:val="0"/>
          <w:w w:val="100"/>
          <w:position w:val="0"/>
          <w:sz w:val="28"/>
          <w:szCs w:val="28"/>
          <w:highlight w:val="none"/>
          <w:lang w:eastAsia="zh-CN"/>
        </w:rPr>
        <w:t>代理机构或征集人提出询问或质疑。</w:t>
      </w:r>
    </w:p>
    <w:p w14:paraId="1048127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b/>
          <w:bCs/>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3.本项目的特定资格要求：取得</w:t>
      </w:r>
      <w:r>
        <w:rPr>
          <w:rFonts w:hint="eastAsia" w:ascii="仿宋" w:hAnsi="仿宋" w:eastAsia="仿宋" w:cs="仿宋"/>
          <w:b/>
          <w:bCs/>
          <w:color w:val="auto"/>
          <w:spacing w:val="0"/>
          <w:w w:val="100"/>
          <w:position w:val="0"/>
          <w:sz w:val="28"/>
          <w:szCs w:val="28"/>
          <w:highlight w:val="none"/>
          <w:lang w:eastAsia="zh-CN"/>
        </w:rPr>
        <w:t>省级自然资源部门核发的土地估价机构备案有效文件；</w:t>
      </w:r>
    </w:p>
    <w:p w14:paraId="4ACEC3C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highlight w:val="none"/>
        </w:rPr>
      </w:pPr>
      <w:r>
        <w:rPr>
          <w:rFonts w:hint="eastAsia" w:ascii="黑体" w:hAnsi="黑体" w:eastAsia="黑体" w:cs="黑体"/>
          <w:color w:val="auto"/>
          <w:spacing w:val="0"/>
          <w:w w:val="100"/>
          <w:position w:val="0"/>
          <w:sz w:val="28"/>
          <w:szCs w:val="28"/>
          <w:highlight w:val="none"/>
        </w:rPr>
        <w:t>三、获取征集文件</w:t>
      </w:r>
    </w:p>
    <w:p w14:paraId="0CCE484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1.时间：</w:t>
      </w:r>
      <w:r>
        <w:rPr>
          <w:rFonts w:hint="eastAsia" w:ascii="仿宋" w:hAnsi="仿宋" w:eastAsia="仿宋" w:cs="仿宋"/>
          <w:color w:val="auto"/>
          <w:spacing w:val="0"/>
          <w:w w:val="100"/>
          <w:position w:val="0"/>
          <w:sz w:val="28"/>
          <w:szCs w:val="28"/>
          <w:highlight w:val="none"/>
          <w:lang w:eastAsia="zh-CN"/>
        </w:rPr>
        <w:t>202</w:t>
      </w:r>
      <w:r>
        <w:rPr>
          <w:rFonts w:hint="default" w:ascii="仿宋" w:hAnsi="仿宋" w:eastAsia="仿宋" w:cs="仿宋"/>
          <w:color w:val="auto"/>
          <w:spacing w:val="0"/>
          <w:w w:val="100"/>
          <w:position w:val="0"/>
          <w:sz w:val="28"/>
          <w:szCs w:val="28"/>
          <w:highlight w:val="none"/>
          <w:lang w:val="en-US" w:eastAsia="zh-CN"/>
        </w:rPr>
        <w:t>6</w:t>
      </w:r>
      <w:r>
        <w:rPr>
          <w:rFonts w:hint="eastAsia" w:ascii="仿宋" w:hAnsi="仿宋" w:eastAsia="仿宋" w:cs="仿宋"/>
          <w:color w:val="auto"/>
          <w:spacing w:val="0"/>
          <w:w w:val="100"/>
          <w:position w:val="0"/>
          <w:sz w:val="28"/>
          <w:szCs w:val="28"/>
          <w:highlight w:val="none"/>
          <w:lang w:eastAsia="zh-CN"/>
        </w:rPr>
        <w:t>年</w:t>
      </w:r>
      <w:r>
        <w:rPr>
          <w:rFonts w:hint="eastAsia" w:ascii="仿宋" w:hAnsi="仿宋" w:eastAsia="仿宋" w:cs="仿宋"/>
          <w:color w:val="auto"/>
          <w:spacing w:val="0"/>
          <w:w w:val="100"/>
          <w:position w:val="0"/>
          <w:sz w:val="28"/>
          <w:szCs w:val="28"/>
          <w:highlight w:val="none"/>
          <w:lang w:val="en-US" w:eastAsia="zh-CN"/>
        </w:rPr>
        <w:t>1</w:t>
      </w:r>
      <w:r>
        <w:rPr>
          <w:rFonts w:hint="eastAsia" w:ascii="仿宋" w:hAnsi="仿宋" w:eastAsia="仿宋" w:cs="仿宋"/>
          <w:color w:val="auto"/>
          <w:spacing w:val="0"/>
          <w:w w:val="100"/>
          <w:position w:val="0"/>
          <w:sz w:val="28"/>
          <w:szCs w:val="28"/>
          <w:highlight w:val="none"/>
          <w:lang w:eastAsia="zh-CN"/>
        </w:rPr>
        <w:t>月</w:t>
      </w:r>
      <w:r>
        <w:rPr>
          <w:rFonts w:hint="eastAsia" w:ascii="仿宋" w:hAnsi="仿宋" w:eastAsia="仿宋" w:cs="仿宋"/>
          <w:color w:val="auto"/>
          <w:spacing w:val="0"/>
          <w:w w:val="100"/>
          <w:position w:val="0"/>
          <w:sz w:val="28"/>
          <w:szCs w:val="28"/>
          <w:highlight w:val="none"/>
          <w:lang w:val="en-US" w:eastAsia="zh-CN"/>
        </w:rPr>
        <w:t>5</w:t>
      </w:r>
      <w:r>
        <w:rPr>
          <w:rFonts w:hint="eastAsia" w:ascii="仿宋" w:hAnsi="仿宋" w:eastAsia="仿宋" w:cs="仿宋"/>
          <w:color w:val="auto"/>
          <w:spacing w:val="0"/>
          <w:w w:val="100"/>
          <w:position w:val="0"/>
          <w:sz w:val="28"/>
          <w:szCs w:val="28"/>
          <w:highlight w:val="none"/>
          <w:lang w:eastAsia="zh-CN"/>
        </w:rPr>
        <w:t>日至</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lang w:eastAsia="zh-CN"/>
        </w:rPr>
        <w:t>202</w:t>
      </w:r>
      <w:r>
        <w:rPr>
          <w:rFonts w:hint="eastAsia" w:ascii="仿宋" w:hAnsi="仿宋" w:eastAsia="仿宋" w:cs="仿宋"/>
          <w:color w:val="auto"/>
          <w:spacing w:val="0"/>
          <w:w w:val="100"/>
          <w:position w:val="0"/>
          <w:sz w:val="28"/>
          <w:szCs w:val="28"/>
          <w:highlight w:val="none"/>
          <w:lang w:val="en-US" w:eastAsia="zh-CN"/>
        </w:rPr>
        <w:t>6</w:t>
      </w:r>
      <w:r>
        <w:rPr>
          <w:rFonts w:hint="eastAsia" w:ascii="仿宋" w:hAnsi="仿宋" w:eastAsia="仿宋" w:cs="仿宋"/>
          <w:color w:val="auto"/>
          <w:spacing w:val="0"/>
          <w:w w:val="100"/>
          <w:position w:val="0"/>
          <w:sz w:val="28"/>
          <w:szCs w:val="28"/>
          <w:highlight w:val="none"/>
          <w:lang w:eastAsia="zh-CN"/>
        </w:rPr>
        <w:t>年</w:t>
      </w:r>
      <w:r>
        <w:rPr>
          <w:rFonts w:hint="eastAsia" w:ascii="仿宋" w:hAnsi="仿宋" w:eastAsia="仿宋" w:cs="仿宋"/>
          <w:color w:val="auto"/>
          <w:spacing w:val="0"/>
          <w:w w:val="100"/>
          <w:position w:val="0"/>
          <w:sz w:val="28"/>
          <w:szCs w:val="28"/>
          <w:highlight w:val="none"/>
          <w:lang w:val="en-US" w:eastAsia="zh-CN"/>
        </w:rPr>
        <w:t>1</w:t>
      </w:r>
      <w:r>
        <w:rPr>
          <w:rFonts w:hint="eastAsia" w:ascii="仿宋" w:hAnsi="仿宋" w:eastAsia="仿宋" w:cs="仿宋"/>
          <w:color w:val="auto"/>
          <w:spacing w:val="0"/>
          <w:w w:val="100"/>
          <w:position w:val="0"/>
          <w:sz w:val="28"/>
          <w:szCs w:val="28"/>
          <w:highlight w:val="none"/>
          <w:lang w:eastAsia="zh-CN"/>
        </w:rPr>
        <w:t>月</w:t>
      </w:r>
      <w:r>
        <w:rPr>
          <w:rFonts w:hint="eastAsia" w:ascii="仿宋" w:hAnsi="仿宋" w:eastAsia="仿宋" w:cs="仿宋"/>
          <w:color w:val="auto"/>
          <w:spacing w:val="0"/>
          <w:w w:val="100"/>
          <w:position w:val="0"/>
          <w:sz w:val="28"/>
          <w:szCs w:val="28"/>
          <w:highlight w:val="none"/>
          <w:lang w:val="en-US" w:eastAsia="zh-CN"/>
        </w:rPr>
        <w:t>26</w:t>
      </w:r>
      <w:r>
        <w:rPr>
          <w:rFonts w:hint="eastAsia" w:ascii="仿宋" w:hAnsi="仿宋" w:eastAsia="仿宋" w:cs="仿宋"/>
          <w:color w:val="auto"/>
          <w:spacing w:val="0"/>
          <w:w w:val="100"/>
          <w:position w:val="0"/>
          <w:sz w:val="28"/>
          <w:szCs w:val="28"/>
          <w:highlight w:val="none"/>
          <w:lang w:eastAsia="zh-CN"/>
        </w:rPr>
        <w:t>日</w:t>
      </w:r>
      <w:r>
        <w:rPr>
          <w:rFonts w:hint="eastAsia" w:ascii="仿宋" w:hAnsi="仿宋" w:eastAsia="仿宋" w:cs="仿宋"/>
          <w:color w:val="auto"/>
          <w:spacing w:val="0"/>
          <w:w w:val="100"/>
          <w:position w:val="0"/>
          <w:sz w:val="28"/>
          <w:szCs w:val="28"/>
          <w:highlight w:val="none"/>
          <w:lang w:eastAsia="zh-CN"/>
        </w:rPr>
        <w:t>，每天上午00:00</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lang w:eastAsia="zh-CN"/>
        </w:rPr>
        <w:t>至12:00，下午12:00至23:59（北京时间，法定节假日除外）。</w:t>
      </w:r>
    </w:p>
    <w:p w14:paraId="1C82E3E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2.地点：“徽采云”电子交易系统。</w:t>
      </w:r>
    </w:p>
    <w:p w14:paraId="41B5C8F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3.方式：供应商登录“徽采云”电子交易系统在线获取征集文件。</w:t>
      </w:r>
    </w:p>
    <w:p w14:paraId="269781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highlight w:val="none"/>
        </w:rPr>
      </w:pPr>
      <w:r>
        <w:rPr>
          <w:rFonts w:hint="eastAsia" w:ascii="黑体" w:hAnsi="黑体" w:eastAsia="黑体" w:cs="黑体"/>
          <w:color w:val="auto"/>
          <w:spacing w:val="0"/>
          <w:w w:val="100"/>
          <w:position w:val="0"/>
          <w:sz w:val="28"/>
          <w:szCs w:val="28"/>
          <w:highlight w:val="none"/>
        </w:rPr>
        <w:t>四、提交征集响应文件截止时间、开标时间和地点</w:t>
      </w:r>
    </w:p>
    <w:p w14:paraId="132E301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1.响应文件提交截止时间：</w:t>
      </w:r>
      <w:r>
        <w:rPr>
          <w:rFonts w:hint="eastAsia" w:ascii="仿宋" w:hAnsi="仿宋" w:eastAsia="仿宋" w:cs="仿宋"/>
          <w:color w:val="auto"/>
          <w:spacing w:val="0"/>
          <w:w w:val="100"/>
          <w:position w:val="0"/>
          <w:sz w:val="28"/>
          <w:szCs w:val="28"/>
          <w:highlight w:val="none"/>
          <w:lang w:eastAsia="zh-CN"/>
        </w:rPr>
        <w:t>202</w:t>
      </w:r>
      <w:r>
        <w:rPr>
          <w:rFonts w:hint="eastAsia" w:ascii="仿宋" w:hAnsi="仿宋" w:eastAsia="仿宋" w:cs="仿宋"/>
          <w:color w:val="auto"/>
          <w:spacing w:val="0"/>
          <w:w w:val="100"/>
          <w:position w:val="0"/>
          <w:sz w:val="28"/>
          <w:szCs w:val="28"/>
          <w:highlight w:val="none"/>
          <w:lang w:val="en-US" w:eastAsia="zh-CN"/>
        </w:rPr>
        <w:t>6</w:t>
      </w:r>
      <w:r>
        <w:rPr>
          <w:rFonts w:hint="eastAsia" w:ascii="仿宋" w:hAnsi="仿宋" w:eastAsia="仿宋" w:cs="仿宋"/>
          <w:color w:val="auto"/>
          <w:spacing w:val="0"/>
          <w:w w:val="100"/>
          <w:position w:val="0"/>
          <w:sz w:val="28"/>
          <w:szCs w:val="28"/>
          <w:highlight w:val="none"/>
          <w:lang w:eastAsia="zh-CN"/>
        </w:rPr>
        <w:t>年</w:t>
      </w:r>
      <w:r>
        <w:rPr>
          <w:rFonts w:hint="eastAsia" w:ascii="仿宋" w:hAnsi="仿宋" w:eastAsia="仿宋" w:cs="仿宋"/>
          <w:color w:val="auto"/>
          <w:spacing w:val="0"/>
          <w:w w:val="100"/>
          <w:position w:val="0"/>
          <w:sz w:val="28"/>
          <w:szCs w:val="28"/>
          <w:highlight w:val="none"/>
          <w:lang w:val="en-US" w:eastAsia="zh-CN"/>
        </w:rPr>
        <w:t>1</w:t>
      </w:r>
      <w:r>
        <w:rPr>
          <w:rFonts w:hint="eastAsia" w:ascii="仿宋" w:hAnsi="仿宋" w:eastAsia="仿宋" w:cs="仿宋"/>
          <w:color w:val="auto"/>
          <w:spacing w:val="0"/>
          <w:w w:val="100"/>
          <w:position w:val="0"/>
          <w:sz w:val="28"/>
          <w:szCs w:val="28"/>
          <w:highlight w:val="none"/>
          <w:lang w:eastAsia="zh-CN"/>
        </w:rPr>
        <w:t>月</w:t>
      </w:r>
      <w:r>
        <w:rPr>
          <w:rFonts w:hint="eastAsia" w:ascii="仿宋" w:hAnsi="仿宋" w:eastAsia="仿宋" w:cs="仿宋"/>
          <w:color w:val="auto"/>
          <w:spacing w:val="0"/>
          <w:w w:val="100"/>
          <w:position w:val="0"/>
          <w:sz w:val="28"/>
          <w:szCs w:val="28"/>
          <w:highlight w:val="none"/>
          <w:lang w:val="en-US" w:eastAsia="zh-CN"/>
        </w:rPr>
        <w:t>26</w:t>
      </w:r>
      <w:r>
        <w:rPr>
          <w:rFonts w:hint="eastAsia" w:ascii="仿宋" w:hAnsi="仿宋" w:eastAsia="仿宋" w:cs="仿宋"/>
          <w:color w:val="auto"/>
          <w:spacing w:val="0"/>
          <w:w w:val="100"/>
          <w:position w:val="0"/>
          <w:sz w:val="28"/>
          <w:szCs w:val="28"/>
          <w:highlight w:val="none"/>
          <w:lang w:eastAsia="zh-CN"/>
        </w:rPr>
        <w:t>日09:00</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lang w:eastAsia="zh-CN"/>
        </w:rPr>
        <w:t>(北京时间)。</w:t>
      </w:r>
    </w:p>
    <w:p w14:paraId="154002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2.响应文件提交地点（网址）：请登录“徽采云”投标客户端投标。</w:t>
      </w:r>
    </w:p>
    <w:p w14:paraId="1623FA8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3.响应文件开启时间：</w:t>
      </w:r>
      <w:r>
        <w:rPr>
          <w:rFonts w:hint="eastAsia" w:ascii="仿宋" w:hAnsi="仿宋" w:eastAsia="仿宋" w:cs="仿宋"/>
          <w:color w:val="auto"/>
          <w:spacing w:val="0"/>
          <w:w w:val="100"/>
          <w:position w:val="0"/>
          <w:sz w:val="28"/>
          <w:szCs w:val="28"/>
          <w:highlight w:val="none"/>
          <w:lang w:eastAsia="zh-CN"/>
        </w:rPr>
        <w:t>202</w:t>
      </w:r>
      <w:r>
        <w:rPr>
          <w:rFonts w:hint="eastAsia" w:ascii="仿宋" w:hAnsi="仿宋" w:eastAsia="仿宋" w:cs="仿宋"/>
          <w:color w:val="auto"/>
          <w:spacing w:val="0"/>
          <w:w w:val="100"/>
          <w:position w:val="0"/>
          <w:sz w:val="28"/>
          <w:szCs w:val="28"/>
          <w:highlight w:val="none"/>
          <w:lang w:val="en-US" w:eastAsia="zh-CN"/>
        </w:rPr>
        <w:t>6</w:t>
      </w:r>
      <w:r>
        <w:rPr>
          <w:rFonts w:hint="eastAsia" w:ascii="仿宋" w:hAnsi="仿宋" w:eastAsia="仿宋" w:cs="仿宋"/>
          <w:color w:val="auto"/>
          <w:spacing w:val="0"/>
          <w:w w:val="100"/>
          <w:position w:val="0"/>
          <w:sz w:val="28"/>
          <w:szCs w:val="28"/>
          <w:highlight w:val="none"/>
          <w:lang w:eastAsia="zh-CN"/>
        </w:rPr>
        <w:t>年</w:t>
      </w:r>
      <w:r>
        <w:rPr>
          <w:rFonts w:hint="eastAsia" w:ascii="仿宋" w:hAnsi="仿宋" w:eastAsia="仿宋" w:cs="仿宋"/>
          <w:color w:val="auto"/>
          <w:spacing w:val="0"/>
          <w:w w:val="100"/>
          <w:position w:val="0"/>
          <w:sz w:val="28"/>
          <w:szCs w:val="28"/>
          <w:highlight w:val="none"/>
          <w:lang w:val="en-US" w:eastAsia="zh-CN"/>
        </w:rPr>
        <w:t>1</w:t>
      </w:r>
      <w:r>
        <w:rPr>
          <w:rFonts w:hint="eastAsia" w:ascii="仿宋" w:hAnsi="仿宋" w:eastAsia="仿宋" w:cs="仿宋"/>
          <w:color w:val="auto"/>
          <w:spacing w:val="0"/>
          <w:w w:val="100"/>
          <w:position w:val="0"/>
          <w:sz w:val="28"/>
          <w:szCs w:val="28"/>
          <w:highlight w:val="none"/>
          <w:lang w:eastAsia="zh-CN"/>
        </w:rPr>
        <w:t>月</w:t>
      </w:r>
      <w:r>
        <w:rPr>
          <w:rFonts w:hint="eastAsia" w:ascii="仿宋" w:hAnsi="仿宋" w:eastAsia="仿宋" w:cs="仿宋"/>
          <w:color w:val="auto"/>
          <w:spacing w:val="0"/>
          <w:w w:val="100"/>
          <w:position w:val="0"/>
          <w:sz w:val="28"/>
          <w:szCs w:val="28"/>
          <w:highlight w:val="none"/>
          <w:lang w:val="en-US" w:eastAsia="zh-CN"/>
        </w:rPr>
        <w:t>26</w:t>
      </w:r>
      <w:r>
        <w:rPr>
          <w:rFonts w:hint="eastAsia" w:ascii="仿宋" w:hAnsi="仿宋" w:eastAsia="仿宋" w:cs="仿宋"/>
          <w:color w:val="auto"/>
          <w:spacing w:val="0"/>
          <w:w w:val="100"/>
          <w:position w:val="0"/>
          <w:sz w:val="28"/>
          <w:szCs w:val="28"/>
          <w:highlight w:val="none"/>
          <w:lang w:eastAsia="zh-CN"/>
        </w:rPr>
        <w:t>日09:00</w:t>
      </w:r>
      <w:r>
        <w:rPr>
          <w:rFonts w:hint="eastAsia" w:ascii="仿宋" w:hAnsi="仿宋" w:eastAsia="仿宋" w:cs="仿宋"/>
          <w:color w:val="auto"/>
          <w:spacing w:val="0"/>
          <w:w w:val="100"/>
          <w:position w:val="0"/>
          <w:sz w:val="28"/>
          <w:szCs w:val="28"/>
          <w:highlight w:val="none"/>
          <w:lang w:eastAsia="zh-CN"/>
        </w:rPr>
        <w:t>（北京时间）。</w:t>
      </w:r>
    </w:p>
    <w:p w14:paraId="1C1C23D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4.响应文件开启地点：阜阳市公共资源交易中心开标</w:t>
      </w:r>
      <w:r>
        <w:rPr>
          <w:rFonts w:hint="eastAsia" w:ascii="仿宋" w:hAnsi="仿宋" w:eastAsia="仿宋" w:cs="仿宋"/>
          <w:color w:val="auto"/>
          <w:spacing w:val="0"/>
          <w:w w:val="100"/>
          <w:position w:val="0"/>
          <w:sz w:val="28"/>
          <w:szCs w:val="28"/>
          <w:highlight w:val="none"/>
          <w:lang w:val="en-US" w:eastAsia="zh-CN"/>
        </w:rPr>
        <w:t>4</w:t>
      </w:r>
      <w:r>
        <w:rPr>
          <w:rFonts w:hint="eastAsia" w:ascii="仿宋" w:hAnsi="仿宋" w:eastAsia="仿宋" w:cs="仿宋"/>
          <w:color w:val="auto"/>
          <w:spacing w:val="0"/>
          <w:w w:val="100"/>
          <w:position w:val="0"/>
          <w:sz w:val="28"/>
          <w:szCs w:val="28"/>
          <w:highlight w:val="none"/>
          <w:lang w:eastAsia="zh-CN"/>
        </w:rPr>
        <w:t>室（</w:t>
      </w:r>
      <w:r>
        <w:rPr>
          <w:rFonts w:hint="eastAsia" w:ascii="仿宋" w:hAnsi="仿宋" w:eastAsia="仿宋" w:cs="仿宋"/>
          <w:color w:val="auto"/>
          <w:spacing w:val="0"/>
          <w:w w:val="100"/>
          <w:position w:val="0"/>
          <w:sz w:val="28"/>
          <w:szCs w:val="28"/>
          <w:highlight w:val="none"/>
          <w:lang w:val="en-US" w:eastAsia="zh-CN"/>
        </w:rPr>
        <w:t>阜阳市</w:t>
      </w:r>
      <w:r>
        <w:rPr>
          <w:rFonts w:hint="eastAsia" w:ascii="仿宋" w:hAnsi="仿宋" w:eastAsia="仿宋" w:cs="仿宋"/>
          <w:color w:val="auto"/>
          <w:spacing w:val="0"/>
          <w:w w:val="100"/>
          <w:position w:val="0"/>
          <w:sz w:val="28"/>
          <w:szCs w:val="28"/>
          <w:highlight w:val="none"/>
          <w:lang w:eastAsia="zh-CN"/>
        </w:rPr>
        <w:t>城南新区三清路666号阜阳市民中心五楼）。</w:t>
      </w:r>
    </w:p>
    <w:p w14:paraId="0C5C7BD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highlight w:val="none"/>
        </w:rPr>
      </w:pPr>
      <w:r>
        <w:rPr>
          <w:rFonts w:hint="eastAsia" w:ascii="黑体" w:hAnsi="黑体" w:eastAsia="黑体" w:cs="黑体"/>
          <w:color w:val="auto"/>
          <w:spacing w:val="0"/>
          <w:w w:val="100"/>
          <w:position w:val="0"/>
          <w:sz w:val="28"/>
          <w:szCs w:val="28"/>
          <w:highlight w:val="none"/>
        </w:rPr>
        <w:t>五、公告期限</w:t>
      </w:r>
    </w:p>
    <w:p w14:paraId="17376A9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自本公告发布之日起 5 个工作日。</w:t>
      </w:r>
    </w:p>
    <w:p w14:paraId="46F996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highlight w:val="none"/>
        </w:rPr>
      </w:pPr>
      <w:r>
        <w:rPr>
          <w:rFonts w:hint="eastAsia" w:ascii="黑体" w:hAnsi="黑体" w:eastAsia="黑体" w:cs="黑体"/>
          <w:color w:val="auto"/>
          <w:spacing w:val="0"/>
          <w:w w:val="100"/>
          <w:position w:val="0"/>
          <w:sz w:val="28"/>
          <w:szCs w:val="28"/>
          <w:highlight w:val="none"/>
        </w:rPr>
        <w:t>六、其他补充事宜</w:t>
      </w:r>
    </w:p>
    <w:p w14:paraId="77EE5DE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1.本次征集公告在安徽省政府采购网</w:t>
      </w:r>
      <w:r>
        <w:rPr>
          <w:rFonts w:hint="eastAsia" w:ascii="仿宋" w:hAnsi="仿宋" w:eastAsia="仿宋" w:cs="仿宋"/>
          <w:color w:val="auto"/>
          <w:spacing w:val="0"/>
          <w:w w:val="100"/>
          <w:position w:val="0"/>
          <w:sz w:val="28"/>
          <w:szCs w:val="28"/>
          <w:highlight w:val="none"/>
          <w:lang w:eastAsia="zh-CN"/>
        </w:rPr>
        <w:fldChar w:fldCharType="begin"/>
      </w:r>
      <w:r>
        <w:rPr>
          <w:rFonts w:hint="eastAsia" w:ascii="仿宋" w:hAnsi="仿宋" w:eastAsia="仿宋" w:cs="仿宋"/>
          <w:color w:val="auto"/>
          <w:spacing w:val="0"/>
          <w:w w:val="100"/>
          <w:position w:val="0"/>
          <w:sz w:val="28"/>
          <w:szCs w:val="28"/>
          <w:highlight w:val="none"/>
          <w:lang w:eastAsia="zh-CN"/>
        </w:rPr>
        <w:instrText xml:space="preserve"> HYPERLINK "http://www.ccgp-anhui.gov.cn/" </w:instrText>
      </w:r>
      <w:r>
        <w:rPr>
          <w:rFonts w:hint="eastAsia" w:ascii="仿宋" w:hAnsi="仿宋" w:eastAsia="仿宋" w:cs="仿宋"/>
          <w:color w:val="auto"/>
          <w:spacing w:val="0"/>
          <w:w w:val="100"/>
          <w:position w:val="0"/>
          <w:sz w:val="28"/>
          <w:szCs w:val="28"/>
          <w:highlight w:val="none"/>
          <w:lang w:eastAsia="zh-CN"/>
        </w:rPr>
        <w:fldChar w:fldCharType="separate"/>
      </w:r>
      <w:r>
        <w:rPr>
          <w:rFonts w:hint="eastAsia" w:ascii="仿宋" w:hAnsi="仿宋" w:eastAsia="仿宋" w:cs="仿宋"/>
          <w:color w:val="auto"/>
          <w:spacing w:val="0"/>
          <w:w w:val="100"/>
          <w:position w:val="0"/>
          <w:sz w:val="28"/>
          <w:szCs w:val="28"/>
          <w:highlight w:val="none"/>
          <w:lang w:eastAsia="zh-CN"/>
        </w:rPr>
        <w:t>(www.ccgp-anhui.gov.cn</w:t>
      </w:r>
      <w:r>
        <w:rPr>
          <w:rFonts w:hint="eastAsia" w:ascii="仿宋" w:hAnsi="仿宋" w:eastAsia="仿宋" w:cs="仿宋"/>
          <w:color w:val="auto"/>
          <w:spacing w:val="0"/>
          <w:w w:val="100"/>
          <w:position w:val="0"/>
          <w:sz w:val="28"/>
          <w:szCs w:val="28"/>
          <w:highlight w:val="none"/>
          <w:lang w:eastAsia="zh-CN"/>
        </w:rPr>
        <w:fldChar w:fldCharType="end"/>
      </w:r>
      <w:r>
        <w:rPr>
          <w:rFonts w:hint="eastAsia" w:ascii="仿宋" w:hAnsi="仿宋" w:eastAsia="仿宋" w:cs="仿宋"/>
          <w:color w:val="auto"/>
          <w:spacing w:val="0"/>
          <w:w w:val="100"/>
          <w:position w:val="0"/>
          <w:sz w:val="28"/>
          <w:szCs w:val="28"/>
          <w:highlight w:val="none"/>
          <w:lang w:eastAsia="zh-CN"/>
        </w:rPr>
        <w:t>)上发布。</w:t>
      </w:r>
    </w:p>
    <w:p w14:paraId="3DACA03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2.服务商应合理安排征集文件获取时间，如果因计算机及网络故障造成无法完成征集文件获取，责任自负。</w:t>
      </w:r>
    </w:p>
    <w:p w14:paraId="65C2832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3.本项目实施全流程电子化交易，响应文件实施网上远程解密，服务商无需前往开标现场。网上响应请各供应商登录安徽省政府采购网查看教学视频，咨询电话：0558-95763。</w:t>
      </w:r>
    </w:p>
    <w:p w14:paraId="1A42F13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4.本项目需落实的节能环保、中小微型企业扶持等相关政府采购政策详见征集文件。</w:t>
      </w:r>
    </w:p>
    <w:p w14:paraId="12CF52A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黑体" w:hAnsi="黑体" w:eastAsia="黑体" w:cs="黑体"/>
          <w:color w:val="auto"/>
          <w:spacing w:val="0"/>
          <w:w w:val="100"/>
          <w:position w:val="0"/>
          <w:sz w:val="28"/>
          <w:szCs w:val="28"/>
          <w:highlight w:val="none"/>
        </w:rPr>
      </w:pPr>
      <w:r>
        <w:rPr>
          <w:rFonts w:hint="eastAsia" w:ascii="黑体" w:hAnsi="黑体" w:eastAsia="黑体" w:cs="黑体"/>
          <w:color w:val="auto"/>
          <w:spacing w:val="0"/>
          <w:w w:val="100"/>
          <w:position w:val="0"/>
          <w:sz w:val="28"/>
          <w:szCs w:val="28"/>
          <w:highlight w:val="none"/>
        </w:rPr>
        <w:t>七、对本次征集提出询问，请按以下方式联系。</w:t>
      </w:r>
    </w:p>
    <w:p w14:paraId="116290A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1.征集人信息</w:t>
      </w:r>
    </w:p>
    <w:p w14:paraId="65BF12B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名 称：</w:t>
      </w:r>
      <w:r>
        <w:rPr>
          <w:rFonts w:hint="eastAsia" w:ascii="仿宋" w:hAnsi="仿宋" w:eastAsia="仿宋" w:cs="仿宋"/>
          <w:color w:val="auto"/>
          <w:spacing w:val="0"/>
          <w:w w:val="100"/>
          <w:position w:val="0"/>
          <w:sz w:val="28"/>
          <w:szCs w:val="28"/>
          <w:highlight w:val="none"/>
          <w:u w:val="single"/>
          <w:lang w:eastAsia="zh-CN"/>
        </w:rPr>
        <w:t xml:space="preserve">阜阳市自然资源和规划局 </w:t>
      </w:r>
    </w:p>
    <w:p w14:paraId="06C076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地</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lang w:eastAsia="zh-CN"/>
        </w:rPr>
        <w:t>址：</w:t>
      </w:r>
      <w:r>
        <w:rPr>
          <w:rFonts w:hint="eastAsia" w:ascii="仿宋" w:hAnsi="仿宋" w:eastAsia="仿宋" w:cs="仿宋"/>
          <w:color w:val="auto"/>
          <w:spacing w:val="0"/>
          <w:w w:val="100"/>
          <w:position w:val="0"/>
          <w:sz w:val="28"/>
          <w:szCs w:val="28"/>
          <w:highlight w:val="none"/>
          <w:u w:val="single"/>
          <w:lang w:eastAsia="zh-CN"/>
        </w:rPr>
        <w:t>安徽省阜阳市西湖大道573号</w:t>
      </w:r>
    </w:p>
    <w:p w14:paraId="04D508D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联系方式：</w:t>
      </w:r>
      <w:r>
        <w:rPr>
          <w:rFonts w:hint="eastAsia" w:ascii="仿宋" w:hAnsi="仿宋" w:eastAsia="仿宋" w:cs="仿宋"/>
          <w:color w:val="auto"/>
          <w:spacing w:val="0"/>
          <w:w w:val="100"/>
          <w:position w:val="0"/>
          <w:sz w:val="28"/>
          <w:szCs w:val="28"/>
          <w:highlight w:val="none"/>
          <w:u w:val="single"/>
          <w:lang w:val="en-US" w:eastAsia="zh-CN"/>
        </w:rPr>
        <w:t>云磊18156295059</w:t>
      </w:r>
      <w:r>
        <w:rPr>
          <w:rFonts w:hint="eastAsia" w:ascii="仿宋" w:hAnsi="仿宋" w:eastAsia="仿宋" w:cs="仿宋"/>
          <w:color w:val="auto"/>
          <w:spacing w:val="0"/>
          <w:w w:val="100"/>
          <w:position w:val="0"/>
          <w:sz w:val="28"/>
          <w:szCs w:val="28"/>
          <w:highlight w:val="none"/>
          <w:lang w:eastAsia="zh-CN"/>
        </w:rPr>
        <w:t xml:space="preserve"> </w:t>
      </w:r>
    </w:p>
    <w:p w14:paraId="3FC1C75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2.采购代理机构信息</w:t>
      </w:r>
    </w:p>
    <w:p w14:paraId="56CD5FF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名 称：</w:t>
      </w:r>
      <w:r>
        <w:rPr>
          <w:rFonts w:hint="eastAsia" w:ascii="仿宋" w:hAnsi="仿宋" w:eastAsia="仿宋" w:cs="仿宋"/>
          <w:color w:val="auto"/>
          <w:spacing w:val="0"/>
          <w:w w:val="100"/>
          <w:position w:val="0"/>
          <w:sz w:val="28"/>
          <w:szCs w:val="28"/>
          <w:highlight w:val="none"/>
          <w:u w:val="single"/>
          <w:lang w:eastAsia="zh-CN"/>
        </w:rPr>
        <w:t>安徽金泉工程管理咨询有限公司</w:t>
      </w:r>
    </w:p>
    <w:p w14:paraId="0759599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地 址：</w:t>
      </w:r>
      <w:r>
        <w:rPr>
          <w:rFonts w:hint="eastAsia" w:ascii="仿宋" w:hAnsi="仿宋" w:eastAsia="仿宋" w:cs="仿宋"/>
          <w:color w:val="auto"/>
          <w:spacing w:val="0"/>
          <w:w w:val="100"/>
          <w:position w:val="0"/>
          <w:sz w:val="28"/>
          <w:szCs w:val="28"/>
          <w:highlight w:val="none"/>
          <w:u w:val="single"/>
          <w:lang w:eastAsia="zh-CN"/>
        </w:rPr>
        <w:t>安徽省阜阳市青网科技园北门一栋二层</w:t>
      </w:r>
    </w:p>
    <w:p w14:paraId="3F16A2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联系方式：</w:t>
      </w:r>
      <w:r>
        <w:rPr>
          <w:rFonts w:hint="eastAsia" w:ascii="仿宋" w:hAnsi="仿宋" w:eastAsia="仿宋" w:cs="仿宋"/>
          <w:color w:val="auto"/>
          <w:spacing w:val="0"/>
          <w:w w:val="100"/>
          <w:position w:val="0"/>
          <w:sz w:val="28"/>
          <w:szCs w:val="28"/>
          <w:highlight w:val="none"/>
          <w:u w:val="single"/>
          <w:lang w:eastAsia="zh-CN"/>
        </w:rPr>
        <w:t>张博17755993922 许豪龙15720581907</w:t>
      </w:r>
    </w:p>
    <w:p w14:paraId="2B44E61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3.项目联系方式</w:t>
      </w:r>
    </w:p>
    <w:p w14:paraId="6FB9ED8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default"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项目联系人：</w:t>
      </w:r>
      <w:r>
        <w:rPr>
          <w:rFonts w:hint="eastAsia" w:ascii="仿宋" w:hAnsi="仿宋" w:eastAsia="仿宋" w:cs="仿宋"/>
          <w:color w:val="auto"/>
          <w:spacing w:val="0"/>
          <w:w w:val="100"/>
          <w:position w:val="0"/>
          <w:sz w:val="28"/>
          <w:szCs w:val="28"/>
          <w:highlight w:val="none"/>
          <w:u w:val="single"/>
          <w:lang w:eastAsia="zh-CN"/>
        </w:rPr>
        <w:t>云磊、</w:t>
      </w:r>
      <w:r>
        <w:rPr>
          <w:rFonts w:hint="eastAsia" w:ascii="仿宋" w:hAnsi="仿宋" w:eastAsia="仿宋" w:cs="仿宋"/>
          <w:color w:val="auto"/>
          <w:spacing w:val="0"/>
          <w:w w:val="100"/>
          <w:position w:val="0"/>
          <w:sz w:val="28"/>
          <w:szCs w:val="28"/>
          <w:highlight w:val="none"/>
          <w:u w:val="single"/>
          <w:lang w:val="en-US" w:eastAsia="zh-CN"/>
        </w:rPr>
        <w:t>张博、</w:t>
      </w:r>
      <w:r>
        <w:rPr>
          <w:rFonts w:hint="eastAsia" w:ascii="仿宋" w:hAnsi="仿宋" w:eastAsia="仿宋" w:cs="仿宋"/>
          <w:color w:val="auto"/>
          <w:spacing w:val="0"/>
          <w:w w:val="100"/>
          <w:position w:val="0"/>
          <w:sz w:val="28"/>
          <w:szCs w:val="28"/>
          <w:highlight w:val="none"/>
          <w:u w:val="single"/>
          <w:lang w:eastAsia="zh-CN"/>
        </w:rPr>
        <w:t>许豪龙</w:t>
      </w:r>
    </w:p>
    <w:p w14:paraId="58F895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sectPr>
          <w:footerReference r:id="rId7"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lang w:eastAsia="zh-CN"/>
        </w:rPr>
        <w:t>电  话：</w:t>
      </w:r>
      <w:r>
        <w:rPr>
          <w:rFonts w:hint="eastAsia" w:ascii="仿宋" w:hAnsi="仿宋" w:eastAsia="仿宋" w:cs="仿宋"/>
          <w:color w:val="auto"/>
          <w:spacing w:val="0"/>
          <w:w w:val="100"/>
          <w:position w:val="0"/>
          <w:sz w:val="28"/>
          <w:szCs w:val="28"/>
          <w:highlight w:val="none"/>
          <w:u w:val="single"/>
          <w:lang w:val="en-US" w:eastAsia="zh-CN"/>
        </w:rPr>
        <w:t>18156295059</w:t>
      </w:r>
      <w:r>
        <w:rPr>
          <w:rFonts w:hint="eastAsia" w:ascii="仿宋" w:hAnsi="仿宋" w:eastAsia="仿宋" w:cs="仿宋"/>
          <w:color w:val="auto"/>
          <w:spacing w:val="0"/>
          <w:w w:val="100"/>
          <w:position w:val="0"/>
          <w:sz w:val="28"/>
          <w:szCs w:val="28"/>
          <w:highlight w:val="none"/>
          <w:u w:val="single"/>
          <w:lang w:eastAsia="zh-CN"/>
        </w:rPr>
        <w:t>、17755993922、15720581907</w:t>
      </w:r>
    </w:p>
    <w:p w14:paraId="05944A52">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highlight w:val="none"/>
        </w:rPr>
      </w:pPr>
      <w:bookmarkStart w:id="1" w:name="_Toc27469"/>
      <w:r>
        <w:rPr>
          <w:rFonts w:hint="eastAsia" w:ascii="华文中宋" w:hAnsi="华文中宋" w:eastAsia="华文中宋" w:cs="华文中宋"/>
          <w:b/>
          <w:bCs/>
          <w:color w:val="auto"/>
          <w:spacing w:val="0"/>
          <w:w w:val="100"/>
          <w:position w:val="0"/>
          <w:sz w:val="44"/>
          <w:szCs w:val="44"/>
          <w:highlight w:val="none"/>
        </w:rPr>
        <w:t>第二章 供应商须知</w:t>
      </w:r>
      <w:bookmarkEnd w:id="1"/>
    </w:p>
    <w:p w14:paraId="5942C64C">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2" w:name="_Toc21262"/>
      <w:r>
        <w:rPr>
          <w:rFonts w:hint="eastAsia" w:ascii="仿宋" w:hAnsi="仿宋" w:eastAsia="仿宋" w:cs="仿宋"/>
          <w:color w:val="auto"/>
          <w:spacing w:val="0"/>
          <w:w w:val="100"/>
          <w:position w:val="0"/>
          <w:sz w:val="28"/>
          <w:szCs w:val="28"/>
          <w:highlight w:val="none"/>
        </w:rPr>
        <w:t>一、供应商须知前附表</w:t>
      </w:r>
      <w:bookmarkEnd w:id="2"/>
    </w:p>
    <w:p w14:paraId="5CAE31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注：本表是本项目的具体要求，是对供应商须知的具体补充和修改，如有不一致，以本表为准。</w:t>
      </w:r>
    </w:p>
    <w:tbl>
      <w:tblPr>
        <w:tblStyle w:val="25"/>
        <w:tblW w:w="9015"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707"/>
        <w:gridCol w:w="6298"/>
      </w:tblGrid>
      <w:tr w14:paraId="4890F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1010" w:type="dxa"/>
            <w:vAlign w:val="center"/>
          </w:tcPr>
          <w:p w14:paraId="5B05B9D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条款号</w:t>
            </w:r>
          </w:p>
        </w:tc>
        <w:tc>
          <w:tcPr>
            <w:tcW w:w="1707" w:type="dxa"/>
            <w:vAlign w:val="center"/>
          </w:tcPr>
          <w:p w14:paraId="625CF70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条款名称</w:t>
            </w:r>
          </w:p>
        </w:tc>
        <w:tc>
          <w:tcPr>
            <w:tcW w:w="6298" w:type="dxa"/>
            <w:vAlign w:val="center"/>
          </w:tcPr>
          <w:p w14:paraId="5B166F6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内容、说明与要求</w:t>
            </w:r>
          </w:p>
        </w:tc>
      </w:tr>
      <w:tr w14:paraId="20BAD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10" w:type="dxa"/>
            <w:vAlign w:val="center"/>
          </w:tcPr>
          <w:p w14:paraId="740F7163">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p>
        </w:tc>
        <w:tc>
          <w:tcPr>
            <w:tcW w:w="1707" w:type="dxa"/>
            <w:vAlign w:val="center"/>
          </w:tcPr>
          <w:p w14:paraId="06ED37E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征集人</w:t>
            </w:r>
          </w:p>
        </w:tc>
        <w:tc>
          <w:tcPr>
            <w:tcW w:w="6298" w:type="dxa"/>
            <w:vAlign w:val="center"/>
          </w:tcPr>
          <w:p w14:paraId="3CCC6B82">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 xml:space="preserve">阜阳市自然资源和规划局 </w:t>
            </w:r>
          </w:p>
        </w:tc>
      </w:tr>
      <w:tr w14:paraId="26940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010" w:type="dxa"/>
            <w:vAlign w:val="center"/>
          </w:tcPr>
          <w:p w14:paraId="38F0078F">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p>
        </w:tc>
        <w:tc>
          <w:tcPr>
            <w:tcW w:w="1707" w:type="dxa"/>
            <w:vAlign w:val="center"/>
          </w:tcPr>
          <w:p w14:paraId="71B202E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采购代理机构</w:t>
            </w:r>
          </w:p>
        </w:tc>
        <w:tc>
          <w:tcPr>
            <w:tcW w:w="6298" w:type="dxa"/>
            <w:vAlign w:val="center"/>
          </w:tcPr>
          <w:p w14:paraId="6D96A4BC">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安徽金泉工程管理咨询有限公司</w:t>
            </w:r>
          </w:p>
        </w:tc>
      </w:tr>
      <w:tr w14:paraId="28620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1010" w:type="dxa"/>
            <w:vAlign w:val="center"/>
          </w:tcPr>
          <w:p w14:paraId="36C4F27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w:t>
            </w:r>
          </w:p>
        </w:tc>
        <w:tc>
          <w:tcPr>
            <w:tcW w:w="1707" w:type="dxa"/>
            <w:vAlign w:val="center"/>
          </w:tcPr>
          <w:p w14:paraId="54741CB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政府采购监督 管理部门</w:t>
            </w:r>
          </w:p>
        </w:tc>
        <w:tc>
          <w:tcPr>
            <w:tcW w:w="6298" w:type="dxa"/>
            <w:vAlign w:val="center"/>
          </w:tcPr>
          <w:p w14:paraId="77784C97">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default"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eastAsia="zh-CN"/>
              </w:rPr>
              <w:t>阜阳市财政局、阜阳市公共资源交易监督管理局</w:t>
            </w:r>
          </w:p>
        </w:tc>
      </w:tr>
      <w:tr w14:paraId="160C2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1010" w:type="dxa"/>
            <w:vAlign w:val="center"/>
          </w:tcPr>
          <w:p w14:paraId="0290F5D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w:t>
            </w:r>
          </w:p>
        </w:tc>
        <w:tc>
          <w:tcPr>
            <w:tcW w:w="1707" w:type="dxa"/>
            <w:vAlign w:val="center"/>
          </w:tcPr>
          <w:p w14:paraId="2A635E3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是否允许联合 体响应</w:t>
            </w:r>
          </w:p>
        </w:tc>
        <w:tc>
          <w:tcPr>
            <w:tcW w:w="6298" w:type="dxa"/>
            <w:vAlign w:val="center"/>
          </w:tcPr>
          <w:p w14:paraId="404F82F4">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□是 ☑否</w:t>
            </w:r>
          </w:p>
        </w:tc>
      </w:tr>
      <w:tr w14:paraId="114BC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3" w:hRule="atLeast"/>
        </w:trPr>
        <w:tc>
          <w:tcPr>
            <w:tcW w:w="1010" w:type="dxa"/>
            <w:vAlign w:val="center"/>
          </w:tcPr>
          <w:p w14:paraId="7FF6439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w:t>
            </w:r>
          </w:p>
        </w:tc>
        <w:tc>
          <w:tcPr>
            <w:tcW w:w="1707" w:type="dxa"/>
            <w:vAlign w:val="center"/>
          </w:tcPr>
          <w:p w14:paraId="1DCE9C5C">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w:t>
            </w:r>
            <w:r>
              <w:rPr>
                <w:rFonts w:hint="eastAsia" w:ascii="仿宋" w:hAnsi="仿宋" w:eastAsia="仿宋" w:cs="仿宋"/>
                <w:color w:val="auto"/>
                <w:spacing w:val="0"/>
                <w:w w:val="100"/>
                <w:position w:val="0"/>
                <w:sz w:val="30"/>
                <w:szCs w:val="30"/>
                <w:highlight w:val="none"/>
              </w:rPr>
              <w:t>应</w:t>
            </w:r>
            <w:r>
              <w:rPr>
                <w:rFonts w:hint="eastAsia" w:ascii="仿宋" w:hAnsi="仿宋" w:eastAsia="仿宋" w:cs="仿宋"/>
                <w:color w:val="auto"/>
                <w:spacing w:val="0"/>
                <w:w w:val="100"/>
                <w:position w:val="0"/>
                <w:sz w:val="28"/>
                <w:szCs w:val="28"/>
                <w:highlight w:val="none"/>
              </w:rPr>
              <w:t>商质疑截 止时间</w:t>
            </w:r>
          </w:p>
        </w:tc>
        <w:tc>
          <w:tcPr>
            <w:tcW w:w="6298" w:type="dxa"/>
            <w:vAlign w:val="center"/>
          </w:tcPr>
          <w:p w14:paraId="52F1B7B1">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1、对征集文件提出质疑的，应当在征集文件公告期限届满之日起7个工作日内通过电子交易系统在线提出或书面提出。</w:t>
            </w:r>
          </w:p>
          <w:p w14:paraId="407D35C1">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11"/>
                <w:w w:val="100"/>
                <w:position w:val="0"/>
                <w:sz w:val="28"/>
                <w:szCs w:val="28"/>
                <w:highlight w:val="none"/>
                <w:lang w:eastAsia="zh-CN"/>
              </w:rPr>
              <w:t>特别提示：提出质疑时须注明项目名称及项目编号。</w:t>
            </w:r>
          </w:p>
          <w:p w14:paraId="572ACC5D">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2、供应商认为采购过程、成交结果使自己的权益受到损害的，可以在知道或者应知其权益受到损害之日起7个工作日内，通过电子交易系统在线提出或书面提出。</w:t>
            </w:r>
          </w:p>
        </w:tc>
      </w:tr>
      <w:tr w14:paraId="13166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10" w:type="dxa"/>
            <w:vAlign w:val="center"/>
          </w:tcPr>
          <w:p w14:paraId="1961B41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w:t>
            </w:r>
          </w:p>
        </w:tc>
        <w:tc>
          <w:tcPr>
            <w:tcW w:w="1707" w:type="dxa"/>
            <w:vAlign w:val="center"/>
          </w:tcPr>
          <w:p w14:paraId="41B3FBE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响应保证金</w:t>
            </w:r>
          </w:p>
        </w:tc>
        <w:tc>
          <w:tcPr>
            <w:tcW w:w="6298" w:type="dxa"/>
            <w:vAlign w:val="center"/>
          </w:tcPr>
          <w:p w14:paraId="734E7249">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免收</w:t>
            </w:r>
          </w:p>
        </w:tc>
      </w:tr>
      <w:tr w14:paraId="12C32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010" w:type="dxa"/>
            <w:vAlign w:val="center"/>
          </w:tcPr>
          <w:p w14:paraId="70F5C67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w:t>
            </w:r>
          </w:p>
        </w:tc>
        <w:tc>
          <w:tcPr>
            <w:tcW w:w="1707" w:type="dxa"/>
            <w:vAlign w:val="center"/>
          </w:tcPr>
          <w:p w14:paraId="55BECD53">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征集有效期</w:t>
            </w:r>
          </w:p>
        </w:tc>
        <w:tc>
          <w:tcPr>
            <w:tcW w:w="6298" w:type="dxa"/>
            <w:vAlign w:val="center"/>
          </w:tcPr>
          <w:p w14:paraId="64C836C1">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120日历天</w:t>
            </w:r>
          </w:p>
        </w:tc>
      </w:tr>
      <w:tr w14:paraId="2E49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010" w:type="dxa"/>
            <w:vAlign w:val="center"/>
          </w:tcPr>
          <w:p w14:paraId="37C8616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8</w:t>
            </w:r>
          </w:p>
        </w:tc>
        <w:tc>
          <w:tcPr>
            <w:tcW w:w="1707" w:type="dxa"/>
            <w:vAlign w:val="center"/>
          </w:tcPr>
          <w:p w14:paraId="7C9E7BB1">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征集文件要求</w:t>
            </w:r>
          </w:p>
        </w:tc>
        <w:tc>
          <w:tcPr>
            <w:tcW w:w="6298" w:type="dxa"/>
            <w:vAlign w:val="center"/>
          </w:tcPr>
          <w:p w14:paraId="321AA776">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加密电子征集响应文件</w:t>
            </w:r>
          </w:p>
        </w:tc>
      </w:tr>
      <w:tr w14:paraId="77D39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1010" w:type="dxa"/>
            <w:vAlign w:val="center"/>
          </w:tcPr>
          <w:p w14:paraId="6C78EAE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9</w:t>
            </w:r>
          </w:p>
        </w:tc>
        <w:tc>
          <w:tcPr>
            <w:tcW w:w="1707" w:type="dxa"/>
            <w:vAlign w:val="center"/>
          </w:tcPr>
          <w:p w14:paraId="1977703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征集响应截止 时间</w:t>
            </w:r>
          </w:p>
        </w:tc>
        <w:tc>
          <w:tcPr>
            <w:tcW w:w="6298" w:type="dxa"/>
            <w:vAlign w:val="center"/>
          </w:tcPr>
          <w:p w14:paraId="4A2C36D4">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详见征集公告</w:t>
            </w:r>
          </w:p>
        </w:tc>
      </w:tr>
      <w:tr w14:paraId="757A0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010" w:type="dxa"/>
            <w:vAlign w:val="center"/>
          </w:tcPr>
          <w:p w14:paraId="1C13A69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10</w:t>
            </w:r>
          </w:p>
        </w:tc>
        <w:tc>
          <w:tcPr>
            <w:tcW w:w="1707" w:type="dxa"/>
            <w:vAlign w:val="center"/>
          </w:tcPr>
          <w:p w14:paraId="293C770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响应文件解密 时间</w:t>
            </w:r>
          </w:p>
        </w:tc>
        <w:tc>
          <w:tcPr>
            <w:tcW w:w="6298" w:type="dxa"/>
            <w:vAlign w:val="center"/>
          </w:tcPr>
          <w:p w14:paraId="574BE9CE">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投标截止时间后 60 分钟内(以电子交易系统解密倒计时为准)</w:t>
            </w:r>
          </w:p>
        </w:tc>
      </w:tr>
      <w:tr w14:paraId="65F4F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010" w:type="dxa"/>
            <w:vAlign w:val="center"/>
          </w:tcPr>
          <w:p w14:paraId="3913EB49">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11</w:t>
            </w:r>
          </w:p>
        </w:tc>
        <w:tc>
          <w:tcPr>
            <w:tcW w:w="1707" w:type="dxa"/>
            <w:vAlign w:val="center"/>
          </w:tcPr>
          <w:p w14:paraId="3F5F451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征集时间</w:t>
            </w:r>
          </w:p>
        </w:tc>
        <w:tc>
          <w:tcPr>
            <w:tcW w:w="6298" w:type="dxa"/>
            <w:vAlign w:val="center"/>
          </w:tcPr>
          <w:p w14:paraId="392C566C">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详见征集公告</w:t>
            </w:r>
          </w:p>
        </w:tc>
      </w:tr>
      <w:tr w14:paraId="5EC6F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10" w:type="dxa"/>
            <w:vAlign w:val="center"/>
          </w:tcPr>
          <w:p w14:paraId="560AA90C">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12</w:t>
            </w:r>
          </w:p>
        </w:tc>
        <w:tc>
          <w:tcPr>
            <w:tcW w:w="1707" w:type="dxa"/>
            <w:vAlign w:val="center"/>
          </w:tcPr>
          <w:p w14:paraId="5369838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征集地点</w:t>
            </w:r>
          </w:p>
        </w:tc>
        <w:tc>
          <w:tcPr>
            <w:tcW w:w="6298" w:type="dxa"/>
            <w:vAlign w:val="center"/>
          </w:tcPr>
          <w:p w14:paraId="0EC23E11">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详见征集公告</w:t>
            </w:r>
          </w:p>
        </w:tc>
      </w:tr>
      <w:tr w14:paraId="752BC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2" w:hRule="atLeast"/>
        </w:trPr>
        <w:tc>
          <w:tcPr>
            <w:tcW w:w="1010" w:type="dxa"/>
            <w:vAlign w:val="center"/>
          </w:tcPr>
          <w:p w14:paraId="2135E2E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13</w:t>
            </w:r>
          </w:p>
        </w:tc>
        <w:tc>
          <w:tcPr>
            <w:tcW w:w="1707" w:type="dxa"/>
            <w:vAlign w:val="center"/>
          </w:tcPr>
          <w:p w14:paraId="7B74EC8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评审办法</w:t>
            </w:r>
          </w:p>
        </w:tc>
        <w:tc>
          <w:tcPr>
            <w:tcW w:w="6298" w:type="dxa"/>
            <w:vAlign w:val="center"/>
          </w:tcPr>
          <w:p w14:paraId="1D31D29F">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第一阶段入围供应商的评审方法为质量优先法（指对满足采购需求且响应报价不超过最高限制单价的</w:t>
            </w:r>
            <w:r>
              <w:rPr>
                <w:rFonts w:hint="eastAsia" w:ascii="仿宋" w:hAnsi="仿宋" w:eastAsia="仿宋" w:cs="仿宋"/>
                <w:color w:val="auto"/>
                <w:spacing w:val="0"/>
                <w:w w:val="100"/>
                <w:position w:val="0"/>
                <w:sz w:val="28"/>
                <w:szCs w:val="28"/>
                <w:highlight w:val="none"/>
                <w:lang w:val="en-US" w:eastAsia="zh-CN"/>
              </w:rPr>
              <w:t>服务</w:t>
            </w:r>
            <w:r>
              <w:rPr>
                <w:rFonts w:hint="eastAsia" w:ascii="仿宋" w:hAnsi="仿宋" w:eastAsia="仿宋" w:cs="仿宋"/>
                <w:color w:val="auto"/>
                <w:spacing w:val="0"/>
                <w:w w:val="100"/>
                <w:position w:val="0"/>
                <w:sz w:val="28"/>
                <w:szCs w:val="28"/>
                <w:highlight w:val="none"/>
              </w:rPr>
              <w:t>进行质量综合评分，按照质量评分从高到低排序，根据征集文件规定的淘汰率或者入围单位数量上限，确定入围单位的评审方法）。</w:t>
            </w:r>
          </w:p>
        </w:tc>
      </w:tr>
      <w:tr w14:paraId="72428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05C1D82A">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14</w:t>
            </w:r>
          </w:p>
        </w:tc>
        <w:tc>
          <w:tcPr>
            <w:tcW w:w="1707" w:type="dxa"/>
            <w:vAlign w:val="center"/>
          </w:tcPr>
          <w:p w14:paraId="49652A7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投标报价扣除(本项目不采用)</w:t>
            </w:r>
          </w:p>
        </w:tc>
        <w:tc>
          <w:tcPr>
            <w:tcW w:w="6298" w:type="dxa"/>
            <w:vAlign w:val="center"/>
          </w:tcPr>
          <w:p w14:paraId="50504859">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(1)小微企业价格扣除： / %(不专门面向中小企业采购部分享受价格扣除。(扣除比例在10%-20%间，由</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自行选择)</w:t>
            </w:r>
          </w:p>
          <w:p w14:paraId="59C31B5A">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(2)监狱企业价格扣除：同小微企业。</w:t>
            </w:r>
          </w:p>
          <w:p w14:paraId="4FDCDC64">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(3)残疾人福利性单位价格扣除：同小微企业。</w:t>
            </w:r>
          </w:p>
          <w:p w14:paraId="653B15E9">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(4)符合条件的联合体价格扣除：/ %。(扣除比例在2%</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3%</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间，由</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自行选择。联合协议约定小微企业的合同份额占合同总金额 30% 以上）。</w:t>
            </w:r>
          </w:p>
          <w:p w14:paraId="59624564">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(5)符合条件的大中型企业价格扣除：/ % (扣除比例在4%-6%间，由</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自行选择。</w:t>
            </w:r>
          </w:p>
          <w:p w14:paraId="76D8C5BE">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分包意向协议约定小微企业的合同份额占合同总金额30%以上）。</w:t>
            </w:r>
          </w:p>
        </w:tc>
      </w:tr>
      <w:tr w14:paraId="13E19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1010" w:type="dxa"/>
            <w:vAlign w:val="center"/>
          </w:tcPr>
          <w:p w14:paraId="2D3222E5">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15</w:t>
            </w:r>
          </w:p>
        </w:tc>
        <w:tc>
          <w:tcPr>
            <w:tcW w:w="1707" w:type="dxa"/>
            <w:vAlign w:val="center"/>
          </w:tcPr>
          <w:p w14:paraId="683F26DB">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确定第一阶段入围供应商数量及原则</w:t>
            </w:r>
          </w:p>
        </w:tc>
        <w:tc>
          <w:tcPr>
            <w:tcW w:w="6298" w:type="dxa"/>
            <w:vAlign w:val="center"/>
          </w:tcPr>
          <w:p w14:paraId="4379DCBE">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 w:hAnsi="仿宋" w:eastAsia="仿宋" w:cs="仿宋"/>
                <w:snapToGrid w:val="0"/>
                <w:color w:val="auto"/>
                <w:spacing w:val="-18"/>
                <w:kern w:val="0"/>
                <w:sz w:val="24"/>
                <w:szCs w:val="24"/>
                <w:highlight w:val="none"/>
                <w:lang w:val="en-US" w:eastAsia="zh-CN" w:bidi="ar"/>
              </w:rPr>
            </w:pPr>
            <w:r>
              <w:rPr>
                <w:rFonts w:hint="eastAsia" w:ascii="仿宋" w:hAnsi="仿宋" w:eastAsia="仿宋" w:cs="仿宋"/>
                <w:color w:val="auto"/>
                <w:spacing w:val="0"/>
                <w:w w:val="100"/>
                <w:position w:val="0"/>
                <w:sz w:val="28"/>
                <w:szCs w:val="28"/>
                <w:highlight w:val="none"/>
                <w:lang w:val="en-US" w:eastAsia="zh-CN"/>
              </w:rPr>
              <w:t>最高上限10家，评审委员会按照征集文件中规定的各项因素进行综合评审后，以评审总得分高低的顺序依次确定入围单位。淘汰比例不低于20%，且至少淘汰一家供应商。</w:t>
            </w:r>
          </w:p>
          <w:p w14:paraId="020FB7FE">
            <w:pPr>
              <w:keepNext w:val="0"/>
              <w:keepLines w:val="0"/>
              <w:pageBreakBefore w:val="0"/>
              <w:widowControl/>
              <w:kinsoku/>
              <w:wordWrap/>
              <w:overflowPunct/>
              <w:topLinePunct w:val="0"/>
              <w:autoSpaceDE/>
              <w:autoSpaceDN/>
              <w:bidi w:val="0"/>
              <w:adjustRightInd/>
              <w:snapToGrid/>
              <w:spacing w:line="240" w:lineRule="auto"/>
              <w:ind w:left="0" w:right="0" w:firstLine="560" w:firstLineChars="200"/>
              <w:textAlignment w:val="auto"/>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val="en-US" w:eastAsia="zh-CN"/>
              </w:rPr>
              <w:t>因质疑、投诉等原因，原入围供应商被依法取消入围资格后，不再递补。</w:t>
            </w:r>
          </w:p>
        </w:tc>
      </w:tr>
      <w:tr w14:paraId="16E0C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32BF9A9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16</w:t>
            </w:r>
          </w:p>
        </w:tc>
        <w:tc>
          <w:tcPr>
            <w:tcW w:w="1707" w:type="dxa"/>
            <w:vAlign w:val="center"/>
          </w:tcPr>
          <w:p w14:paraId="480B4D9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确定第二阶段成交供应商</w:t>
            </w:r>
          </w:p>
        </w:tc>
        <w:tc>
          <w:tcPr>
            <w:tcW w:w="6298" w:type="dxa"/>
            <w:vAlign w:val="center"/>
          </w:tcPr>
          <w:p w14:paraId="449AD030">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 xml:space="preserve">直接选定 □二次竞价 □顺序轮候 </w:t>
            </w:r>
          </w:p>
          <w:p w14:paraId="1C048E25">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备注：</w:t>
            </w:r>
          </w:p>
          <w:p w14:paraId="55152260">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1</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直接选定方式是确定第二阶段成交供应商的主要方式。除征集人根据采购项目特点和提高绩效等要求，在征集文件中载明采用二次竞价或者顺序轮候方式外，确定第二阶段成交供应商应当由</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依据入围产品价格、质量以及服务便利性、用户评价等因素，从第一阶段入围供应商中直接选定。</w:t>
            </w:r>
          </w:p>
          <w:p w14:paraId="7EA99BA9">
            <w:pPr>
              <w:pStyle w:val="26"/>
              <w:keepNext w:val="0"/>
              <w:keepLines w:val="0"/>
              <w:pageBreakBefore w:val="0"/>
              <w:widowControl/>
              <w:numPr>
                <w:ilvl w:val="0"/>
                <w:numId w:val="0"/>
              </w:numPr>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snapToGrid w:val="0"/>
                <w:color w:val="auto"/>
                <w:spacing w:val="0"/>
                <w:w w:val="100"/>
                <w:kern w:val="0"/>
                <w:position w:val="0"/>
                <w:sz w:val="28"/>
                <w:szCs w:val="28"/>
                <w:highlight w:val="none"/>
                <w:lang w:val="en-US" w:eastAsia="en-US" w:bidi="ar-SA"/>
              </w:rPr>
              <w:t>（</w:t>
            </w:r>
            <w:r>
              <w:rPr>
                <w:rFonts w:hint="eastAsia" w:cs="仿宋"/>
                <w:snapToGrid w:val="0"/>
                <w:color w:val="auto"/>
                <w:spacing w:val="0"/>
                <w:w w:val="100"/>
                <w:kern w:val="0"/>
                <w:position w:val="0"/>
                <w:sz w:val="28"/>
                <w:szCs w:val="28"/>
                <w:highlight w:val="none"/>
                <w:lang w:val="en-US" w:eastAsia="zh-CN" w:bidi="ar-SA"/>
              </w:rPr>
              <w:t>2</w:t>
            </w:r>
            <w:r>
              <w:rPr>
                <w:rFonts w:hint="eastAsia" w:ascii="仿宋" w:hAnsi="仿宋" w:eastAsia="仿宋" w:cs="仿宋"/>
                <w:snapToGrid w:val="0"/>
                <w:color w:val="auto"/>
                <w:spacing w:val="0"/>
                <w:w w:val="100"/>
                <w:kern w:val="0"/>
                <w:position w:val="0"/>
                <w:sz w:val="28"/>
                <w:szCs w:val="28"/>
                <w:highlight w:val="none"/>
                <w:lang w:val="en-US" w:eastAsia="en-US" w:bidi="ar-SA"/>
              </w:rPr>
              <w:t>）</w:t>
            </w:r>
            <w:r>
              <w:rPr>
                <w:rFonts w:hint="eastAsia" w:ascii="仿宋" w:hAnsi="仿宋" w:eastAsia="仿宋" w:cs="仿宋"/>
                <w:color w:val="auto"/>
                <w:spacing w:val="0"/>
                <w:w w:val="100"/>
                <w:position w:val="0"/>
                <w:sz w:val="28"/>
                <w:szCs w:val="28"/>
                <w:highlight w:val="none"/>
              </w:rPr>
              <w:t>二次竞价方式是指以框架协议约定的入围产品、采购合同文本等为依据，以协议价格为最高限价，</w:t>
            </w:r>
            <w:r>
              <w:rPr>
                <w:rFonts w:hint="eastAsia"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明确第二阶段竞价需求，从入围供应商中选择所有符合竞价需求的供应商参与二次竞价，确定报价最低的为成交供应商的方式。二次竞价一般适用于采用价格优先法的采购项目。</w:t>
            </w:r>
          </w:p>
          <w:p w14:paraId="1E975A7A">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14:paraId="4CDE9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8" w:hRule="atLeast"/>
        </w:trPr>
        <w:tc>
          <w:tcPr>
            <w:tcW w:w="1010" w:type="dxa"/>
            <w:vAlign w:val="center"/>
          </w:tcPr>
          <w:p w14:paraId="18B94CFF">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17</w:t>
            </w:r>
          </w:p>
        </w:tc>
        <w:tc>
          <w:tcPr>
            <w:tcW w:w="1707" w:type="dxa"/>
            <w:vAlign w:val="center"/>
          </w:tcPr>
          <w:p w14:paraId="06C8B311">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随成交公告同时公告的成交人的征集响应文件内容</w:t>
            </w:r>
          </w:p>
        </w:tc>
        <w:tc>
          <w:tcPr>
            <w:tcW w:w="6298" w:type="dxa"/>
            <w:vAlign w:val="center"/>
          </w:tcPr>
          <w:p w14:paraId="4A7144CE">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(1)中小企业声明函；(如有)</w:t>
            </w:r>
          </w:p>
          <w:p w14:paraId="1FAAF101">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(2)残疾人福利性单位声明函；(如有)</w:t>
            </w:r>
          </w:p>
          <w:p w14:paraId="527F21FB">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(3)征集文件中规定进行公示的其他内容。(如有)</w:t>
            </w:r>
          </w:p>
        </w:tc>
      </w:tr>
      <w:tr w14:paraId="138F6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0" w:hRule="atLeast"/>
        </w:trPr>
        <w:tc>
          <w:tcPr>
            <w:tcW w:w="1010" w:type="dxa"/>
            <w:vAlign w:val="center"/>
          </w:tcPr>
          <w:p w14:paraId="78F42995">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18</w:t>
            </w:r>
          </w:p>
        </w:tc>
        <w:tc>
          <w:tcPr>
            <w:tcW w:w="1707" w:type="dxa"/>
            <w:vAlign w:val="center"/>
          </w:tcPr>
          <w:p w14:paraId="3A9D121C">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中标(成交)通知书发出的形式</w:t>
            </w:r>
          </w:p>
        </w:tc>
        <w:tc>
          <w:tcPr>
            <w:tcW w:w="6298" w:type="dxa"/>
            <w:vAlign w:val="center"/>
          </w:tcPr>
          <w:p w14:paraId="5A3AFDDB">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书面 ☑数据电文</w:t>
            </w:r>
          </w:p>
        </w:tc>
      </w:tr>
      <w:tr w14:paraId="72E85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10" w:type="dxa"/>
            <w:vAlign w:val="center"/>
          </w:tcPr>
          <w:p w14:paraId="1C5DA72F">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19</w:t>
            </w:r>
          </w:p>
        </w:tc>
        <w:tc>
          <w:tcPr>
            <w:tcW w:w="1707" w:type="dxa"/>
            <w:vAlign w:val="center"/>
          </w:tcPr>
          <w:p w14:paraId="51C0E4F3">
            <w:pPr>
              <w:pStyle w:val="26"/>
              <w:pageBreakBefore w:val="0"/>
              <w:kinsoku w:val="0"/>
              <w:wordWrap/>
              <w:overflowPunct/>
              <w:topLinePunct w:val="0"/>
              <w:bidi w:val="0"/>
              <w:adjustRightInd w:val="0"/>
              <w:snapToGrid w:val="0"/>
              <w:spacing w:line="360" w:lineRule="auto"/>
              <w:ind w:left="0" w:leftChars="0" w:right="0" w:rightChars="0" w:hanging="554"/>
              <w:jc w:val="center"/>
              <w:textAlignment w:val="baseline"/>
              <w:rPr>
                <w:rFonts w:hint="eastAsia" w:ascii="仿宋" w:hAnsi="仿宋" w:eastAsia="仿宋" w:cs="仿宋"/>
                <w:color w:val="auto"/>
                <w:spacing w:val="0"/>
                <w:w w:val="100"/>
                <w:position w:val="0"/>
                <w:sz w:val="28"/>
                <w:szCs w:val="28"/>
                <w:highlight w:val="none"/>
              </w:rPr>
            </w:pPr>
            <w:r>
              <w:rPr>
                <w:rFonts w:hint="eastAsia"/>
                <w:color w:val="auto"/>
                <w:spacing w:val="0"/>
                <w:w w:val="100"/>
                <w:position w:val="0"/>
                <w:sz w:val="28"/>
                <w:szCs w:val="28"/>
                <w:highlight w:val="none"/>
              </w:rPr>
              <w:t>告知成交结果的形式</w:t>
            </w:r>
          </w:p>
        </w:tc>
        <w:tc>
          <w:tcPr>
            <w:tcW w:w="6298" w:type="dxa"/>
            <w:vAlign w:val="center"/>
          </w:tcPr>
          <w:p w14:paraId="73F13265">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☑供应商自行登录电子交易系统查看</w:t>
            </w:r>
          </w:p>
          <w:p w14:paraId="3C1B73C0">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□评审现场告知</w:t>
            </w:r>
          </w:p>
        </w:tc>
      </w:tr>
      <w:tr w14:paraId="3E682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10" w:type="dxa"/>
            <w:vAlign w:val="center"/>
          </w:tcPr>
          <w:p w14:paraId="481CA000">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20</w:t>
            </w:r>
          </w:p>
        </w:tc>
        <w:tc>
          <w:tcPr>
            <w:tcW w:w="1707" w:type="dxa"/>
            <w:vAlign w:val="center"/>
          </w:tcPr>
          <w:p w14:paraId="59B55955">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履约保证金</w:t>
            </w:r>
          </w:p>
        </w:tc>
        <w:tc>
          <w:tcPr>
            <w:tcW w:w="6298" w:type="dxa"/>
            <w:vAlign w:val="center"/>
          </w:tcPr>
          <w:p w14:paraId="755171F4">
            <w:pPr>
              <w:keepNext w:val="0"/>
              <w:keepLines w:val="0"/>
              <w:pageBreakBefore w:val="0"/>
              <w:widowControl/>
              <w:kinsoku w:val="0"/>
              <w:wordWrap/>
              <w:overflowPunct/>
              <w:topLinePunct w:val="0"/>
              <w:autoSpaceDE/>
              <w:autoSpaceDN/>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kern w:val="2"/>
                <w:position w:val="0"/>
                <w:sz w:val="28"/>
                <w:szCs w:val="28"/>
                <w:highlight w:val="none"/>
                <w:lang w:val="en-US" w:bidi="ar-SA"/>
              </w:rPr>
            </w:pPr>
            <w:r>
              <w:rPr>
                <w:rFonts w:hint="eastAsia" w:ascii="仿宋" w:hAnsi="仿宋" w:eastAsia="仿宋" w:cs="仿宋"/>
                <w:color w:val="auto"/>
                <w:spacing w:val="0"/>
                <w:w w:val="100"/>
                <w:kern w:val="2"/>
                <w:position w:val="0"/>
                <w:sz w:val="28"/>
                <w:szCs w:val="28"/>
                <w:highlight w:val="none"/>
                <w:lang w:val="en-US" w:bidi="ar-SA"/>
              </w:rPr>
              <w:t>（1）金额：遵照《阜阳市财政局阜阳市公共资源交易监督管理局关于进一步规范政府采购管理支持企业发展的通知》（财购〔2021〕178号）执行</w:t>
            </w:r>
          </w:p>
          <w:p w14:paraId="0222BE42">
            <w:pPr>
              <w:keepNext w:val="0"/>
              <w:keepLines w:val="0"/>
              <w:pageBreakBefore w:val="0"/>
              <w:widowControl/>
              <w:kinsoku w:val="0"/>
              <w:wordWrap/>
              <w:overflowPunct/>
              <w:topLinePunct w:val="0"/>
              <w:autoSpaceDE/>
              <w:autoSpaceDN/>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kern w:val="2"/>
                <w:position w:val="0"/>
                <w:sz w:val="28"/>
                <w:szCs w:val="28"/>
                <w:highlight w:val="none"/>
                <w:lang w:val="en-US" w:bidi="ar-SA"/>
              </w:rPr>
            </w:pPr>
            <w:r>
              <w:rPr>
                <w:rFonts w:hint="eastAsia" w:ascii="仿宋" w:hAnsi="仿宋" w:eastAsia="仿宋" w:cs="仿宋"/>
                <w:color w:val="auto"/>
                <w:spacing w:val="0"/>
                <w:w w:val="100"/>
                <w:kern w:val="2"/>
                <w:position w:val="0"/>
                <w:sz w:val="28"/>
                <w:szCs w:val="28"/>
                <w:highlight w:val="none"/>
                <w:lang w:val="en-US" w:eastAsia="zh-CN" w:bidi="ar-SA"/>
              </w:rPr>
              <w:t>☑</w:t>
            </w:r>
            <w:r>
              <w:rPr>
                <w:rFonts w:hint="eastAsia" w:ascii="仿宋" w:hAnsi="仿宋" w:eastAsia="仿宋" w:cs="仿宋"/>
                <w:color w:val="auto"/>
                <w:spacing w:val="0"/>
                <w:w w:val="100"/>
                <w:kern w:val="2"/>
                <w:position w:val="0"/>
                <w:sz w:val="28"/>
                <w:szCs w:val="28"/>
                <w:highlight w:val="none"/>
                <w:lang w:val="en-US" w:bidi="ar-SA"/>
              </w:rPr>
              <w:t>免收</w:t>
            </w:r>
          </w:p>
          <w:p w14:paraId="583A4C54">
            <w:pPr>
              <w:keepNext w:val="0"/>
              <w:keepLines w:val="0"/>
              <w:pageBreakBefore w:val="0"/>
              <w:widowControl/>
              <w:kinsoku w:val="0"/>
              <w:wordWrap/>
              <w:overflowPunct/>
              <w:topLinePunct w:val="0"/>
              <w:autoSpaceDE/>
              <w:autoSpaceDN/>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kern w:val="2"/>
                <w:position w:val="0"/>
                <w:sz w:val="28"/>
                <w:szCs w:val="28"/>
                <w:highlight w:val="none"/>
                <w:lang w:val="en-US" w:bidi="ar-SA"/>
              </w:rPr>
            </w:pPr>
            <w:r>
              <w:rPr>
                <w:rFonts w:hint="eastAsia" w:ascii="仿宋" w:hAnsi="仿宋" w:eastAsia="仿宋" w:cs="仿宋"/>
                <w:color w:val="auto"/>
                <w:spacing w:val="0"/>
                <w:w w:val="100"/>
                <w:kern w:val="2"/>
                <w:position w:val="0"/>
                <w:sz w:val="28"/>
                <w:szCs w:val="28"/>
                <w:highlight w:val="none"/>
                <w:lang w:val="en-US" w:bidi="ar-SA"/>
              </w:rPr>
              <w:t>□合同价的</w:t>
            </w:r>
            <w:r>
              <w:rPr>
                <w:rFonts w:hint="eastAsia" w:ascii="仿宋" w:hAnsi="仿宋" w:eastAsia="仿宋" w:cs="仿宋"/>
                <w:b/>
                <w:color w:val="auto"/>
                <w:spacing w:val="0"/>
                <w:w w:val="100"/>
                <w:kern w:val="2"/>
                <w:position w:val="0"/>
                <w:sz w:val="28"/>
                <w:szCs w:val="28"/>
                <w:highlight w:val="none"/>
                <w:u w:val="single"/>
                <w:lang w:val="en-US" w:bidi="ar-SA"/>
              </w:rPr>
              <w:t xml:space="preserve">         </w:t>
            </w:r>
            <w:r>
              <w:rPr>
                <w:rFonts w:hint="eastAsia" w:ascii="仿宋" w:hAnsi="仿宋" w:eastAsia="仿宋" w:cs="仿宋"/>
                <w:color w:val="auto"/>
                <w:spacing w:val="0"/>
                <w:w w:val="100"/>
                <w:kern w:val="2"/>
                <w:position w:val="0"/>
                <w:sz w:val="28"/>
                <w:szCs w:val="28"/>
                <w:highlight w:val="none"/>
                <w:lang w:val="en-US" w:bidi="ar-SA"/>
              </w:rPr>
              <w:t>%</w:t>
            </w:r>
          </w:p>
          <w:p w14:paraId="2D99E9ED">
            <w:pPr>
              <w:keepNext w:val="0"/>
              <w:keepLines w:val="0"/>
              <w:pageBreakBefore w:val="0"/>
              <w:widowControl/>
              <w:kinsoku w:val="0"/>
              <w:wordWrap/>
              <w:overflowPunct/>
              <w:topLinePunct w:val="0"/>
              <w:autoSpaceDE/>
              <w:autoSpaceDN/>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kern w:val="2"/>
                <w:position w:val="0"/>
                <w:sz w:val="28"/>
                <w:szCs w:val="28"/>
                <w:highlight w:val="none"/>
                <w:lang w:val="en-US" w:bidi="ar-SA"/>
              </w:rPr>
            </w:pPr>
            <w:r>
              <w:rPr>
                <w:rFonts w:hint="eastAsia" w:ascii="仿宋" w:hAnsi="仿宋" w:eastAsia="仿宋" w:cs="仿宋"/>
                <w:color w:val="auto"/>
                <w:spacing w:val="0"/>
                <w:w w:val="100"/>
                <w:kern w:val="2"/>
                <w:position w:val="0"/>
                <w:sz w:val="28"/>
                <w:szCs w:val="28"/>
                <w:highlight w:val="none"/>
                <w:lang w:val="en-US" w:bidi="ar-SA"/>
              </w:rPr>
              <w:t>□定额收取：人民币</w:t>
            </w:r>
            <w:r>
              <w:rPr>
                <w:rFonts w:hint="eastAsia" w:ascii="仿宋" w:hAnsi="仿宋" w:eastAsia="仿宋" w:cs="仿宋"/>
                <w:b/>
                <w:color w:val="auto"/>
                <w:spacing w:val="0"/>
                <w:w w:val="100"/>
                <w:kern w:val="2"/>
                <w:position w:val="0"/>
                <w:sz w:val="28"/>
                <w:szCs w:val="28"/>
                <w:highlight w:val="none"/>
                <w:u w:val="single"/>
                <w:lang w:val="en-US" w:bidi="ar-SA"/>
              </w:rPr>
              <w:t xml:space="preserve">         </w:t>
            </w:r>
            <w:r>
              <w:rPr>
                <w:rFonts w:hint="eastAsia" w:ascii="仿宋" w:hAnsi="仿宋" w:eastAsia="仿宋" w:cs="仿宋"/>
                <w:color w:val="auto"/>
                <w:spacing w:val="0"/>
                <w:w w:val="100"/>
                <w:kern w:val="2"/>
                <w:position w:val="0"/>
                <w:sz w:val="28"/>
                <w:szCs w:val="28"/>
                <w:highlight w:val="none"/>
                <w:lang w:val="en-US" w:bidi="ar-SA"/>
              </w:rPr>
              <w:t>元</w:t>
            </w:r>
          </w:p>
          <w:p w14:paraId="40E71C5F">
            <w:pPr>
              <w:keepNext w:val="0"/>
              <w:keepLines w:val="0"/>
              <w:pageBreakBefore w:val="0"/>
              <w:widowControl/>
              <w:kinsoku w:val="0"/>
              <w:wordWrap/>
              <w:overflowPunct/>
              <w:topLinePunct w:val="0"/>
              <w:autoSpaceDE/>
              <w:autoSpaceDN/>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kern w:val="2"/>
                <w:position w:val="0"/>
                <w:sz w:val="28"/>
                <w:szCs w:val="28"/>
                <w:highlight w:val="none"/>
                <w:lang w:val="en-US" w:bidi="ar-SA"/>
              </w:rPr>
            </w:pPr>
            <w:r>
              <w:rPr>
                <w:rFonts w:hint="eastAsia" w:ascii="仿宋" w:hAnsi="仿宋" w:eastAsia="仿宋" w:cs="仿宋"/>
                <w:color w:val="auto"/>
                <w:spacing w:val="0"/>
                <w:w w:val="100"/>
                <w:kern w:val="2"/>
                <w:position w:val="0"/>
                <w:sz w:val="28"/>
                <w:szCs w:val="28"/>
                <w:highlight w:val="none"/>
                <w:lang w:val="en-US" w:bidi="ar-SA"/>
              </w:rPr>
              <w:t>（2）支付方式：</w:t>
            </w:r>
          </w:p>
          <w:p w14:paraId="0A3995BA">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rPr>
              <w:t>□转账/电汇 □支票 □汇票 □本票 □保函</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kern w:val="2"/>
                <w:position w:val="0"/>
                <w:sz w:val="28"/>
                <w:szCs w:val="28"/>
                <w:highlight w:val="none"/>
                <w:lang w:val="en-US" w:bidi="ar-SA"/>
              </w:rPr>
              <w:t>□保</w:t>
            </w:r>
            <w:r>
              <w:rPr>
                <w:rFonts w:hint="eastAsia" w:ascii="仿宋" w:hAnsi="仿宋" w:eastAsia="仿宋" w:cs="仿宋"/>
                <w:color w:val="auto"/>
                <w:spacing w:val="0"/>
                <w:w w:val="100"/>
                <w:kern w:val="2"/>
                <w:position w:val="0"/>
                <w:sz w:val="28"/>
                <w:szCs w:val="28"/>
                <w:highlight w:val="none"/>
                <w:lang w:val="en-US" w:eastAsia="zh-CN" w:bidi="ar-SA"/>
              </w:rPr>
              <w:t>险</w:t>
            </w:r>
          </w:p>
          <w:p w14:paraId="2E49820B">
            <w:pPr>
              <w:keepNext w:val="0"/>
              <w:keepLines w:val="0"/>
              <w:pageBreakBefore w:val="0"/>
              <w:widowControl/>
              <w:kinsoku w:val="0"/>
              <w:wordWrap/>
              <w:overflowPunct/>
              <w:topLinePunct w:val="0"/>
              <w:autoSpaceDE/>
              <w:autoSpaceDN/>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kern w:val="2"/>
                <w:position w:val="0"/>
                <w:sz w:val="28"/>
                <w:szCs w:val="28"/>
                <w:highlight w:val="none"/>
                <w:lang w:val="en-US" w:bidi="ar-SA"/>
              </w:rPr>
            </w:pPr>
            <w:r>
              <w:rPr>
                <w:rFonts w:hint="eastAsia" w:ascii="仿宋" w:hAnsi="仿宋" w:eastAsia="仿宋" w:cs="仿宋"/>
                <w:color w:val="auto"/>
                <w:spacing w:val="0"/>
                <w:w w:val="100"/>
                <w:kern w:val="2"/>
                <w:position w:val="0"/>
                <w:sz w:val="28"/>
                <w:szCs w:val="28"/>
                <w:highlight w:val="none"/>
                <w:lang w:val="en-US" w:bidi="ar-SA"/>
              </w:rPr>
              <w:t xml:space="preserve">其他要求：             </w:t>
            </w:r>
          </w:p>
          <w:p w14:paraId="16ECE7E9">
            <w:pPr>
              <w:keepNext w:val="0"/>
              <w:keepLines w:val="0"/>
              <w:pageBreakBefore w:val="0"/>
              <w:widowControl/>
              <w:kinsoku w:val="0"/>
              <w:wordWrap/>
              <w:overflowPunct/>
              <w:topLinePunct w:val="0"/>
              <w:autoSpaceDE/>
              <w:autoSpaceDN/>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kern w:val="2"/>
                <w:position w:val="0"/>
                <w:sz w:val="28"/>
                <w:szCs w:val="28"/>
                <w:highlight w:val="none"/>
                <w:lang w:val="en-US" w:bidi="ar-SA"/>
              </w:rPr>
            </w:pPr>
            <w:r>
              <w:rPr>
                <w:rFonts w:hint="eastAsia" w:ascii="仿宋" w:hAnsi="仿宋" w:eastAsia="仿宋" w:cs="仿宋"/>
                <w:color w:val="auto"/>
                <w:spacing w:val="0"/>
                <w:w w:val="100"/>
                <w:kern w:val="2"/>
                <w:position w:val="0"/>
                <w:sz w:val="28"/>
                <w:szCs w:val="28"/>
                <w:highlight w:val="none"/>
                <w:lang w:val="en-US" w:bidi="ar-SA"/>
              </w:rPr>
              <w:t xml:space="preserve">（3）收取单位：             </w:t>
            </w:r>
          </w:p>
          <w:p w14:paraId="7C4DFF57">
            <w:pPr>
              <w:keepNext w:val="0"/>
              <w:keepLines w:val="0"/>
              <w:pageBreakBefore w:val="0"/>
              <w:widowControl/>
              <w:kinsoku w:val="0"/>
              <w:wordWrap/>
              <w:overflowPunct/>
              <w:topLinePunct w:val="0"/>
              <w:autoSpaceDE/>
              <w:autoSpaceDN/>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kern w:val="2"/>
                <w:position w:val="0"/>
                <w:sz w:val="28"/>
                <w:szCs w:val="28"/>
                <w:highlight w:val="none"/>
                <w:lang w:val="en-US" w:bidi="ar-SA"/>
              </w:rPr>
            </w:pPr>
            <w:r>
              <w:rPr>
                <w:rFonts w:hint="eastAsia" w:ascii="仿宋" w:hAnsi="仿宋" w:eastAsia="仿宋" w:cs="仿宋"/>
                <w:color w:val="auto"/>
                <w:spacing w:val="0"/>
                <w:w w:val="100"/>
                <w:kern w:val="2"/>
                <w:position w:val="0"/>
                <w:sz w:val="28"/>
                <w:szCs w:val="28"/>
                <w:highlight w:val="none"/>
                <w:lang w:val="en-US" w:bidi="ar-SA"/>
              </w:rPr>
              <w:t xml:space="preserve">（4）缴纳时间：             </w:t>
            </w:r>
          </w:p>
          <w:p w14:paraId="4FDF0A0D">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kern w:val="2"/>
                <w:position w:val="0"/>
                <w:sz w:val="28"/>
                <w:szCs w:val="28"/>
                <w:highlight w:val="none"/>
                <w:lang w:val="en-US" w:bidi="ar-SA"/>
              </w:rPr>
              <w:t>（5）退还时间：</w:t>
            </w:r>
            <w:r>
              <w:rPr>
                <w:rFonts w:hint="eastAsia" w:cs="Times New Roman"/>
                <w:color w:val="auto"/>
                <w:spacing w:val="0"/>
                <w:w w:val="100"/>
                <w:kern w:val="2"/>
                <w:position w:val="0"/>
                <w:sz w:val="28"/>
                <w:szCs w:val="28"/>
                <w:highlight w:val="none"/>
                <w:lang w:val="en-US" w:bidi="ar-SA"/>
              </w:rPr>
              <w:t xml:space="preserve">      </w:t>
            </w:r>
          </w:p>
        </w:tc>
      </w:tr>
      <w:tr w14:paraId="13DB2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 w:hRule="atLeast"/>
        </w:trPr>
        <w:tc>
          <w:tcPr>
            <w:tcW w:w="1010" w:type="dxa"/>
            <w:vAlign w:val="center"/>
          </w:tcPr>
          <w:p w14:paraId="699584F6">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w:t>
            </w:r>
          </w:p>
        </w:tc>
        <w:tc>
          <w:tcPr>
            <w:tcW w:w="1707" w:type="dxa"/>
            <w:vAlign w:val="center"/>
          </w:tcPr>
          <w:p w14:paraId="76D2EAB7">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采购代理机构代理费用</w:t>
            </w:r>
          </w:p>
        </w:tc>
        <w:tc>
          <w:tcPr>
            <w:tcW w:w="6298" w:type="dxa"/>
            <w:vAlign w:val="center"/>
          </w:tcPr>
          <w:p w14:paraId="34A9949B">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rPr>
              <w:t>□</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本项目不收取</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（供应商）、</w:t>
            </w:r>
            <w:r>
              <w:rPr>
                <w:rFonts w:hint="eastAsia" w:ascii="仿宋" w:hAnsi="仿宋" w:eastAsia="仿宋" w:cs="仿宋"/>
                <w:color w:val="auto"/>
                <w:spacing w:val="0"/>
                <w:w w:val="100"/>
                <w:position w:val="0"/>
                <w:sz w:val="28"/>
                <w:szCs w:val="28"/>
                <w:highlight w:val="none"/>
                <w:lang w:eastAsia="zh-CN"/>
              </w:rPr>
              <w:t>成交供应商</w:t>
            </w:r>
            <w:r>
              <w:rPr>
                <w:rFonts w:hint="eastAsia" w:ascii="仿宋" w:hAnsi="仿宋" w:eastAsia="仿宋" w:cs="仿宋"/>
                <w:color w:val="auto"/>
                <w:spacing w:val="0"/>
                <w:w w:val="100"/>
                <w:position w:val="0"/>
                <w:sz w:val="28"/>
                <w:szCs w:val="28"/>
                <w:highlight w:val="none"/>
              </w:rPr>
              <w:t>（成交人）任何费用</w:t>
            </w:r>
            <w:r>
              <w:rPr>
                <w:rFonts w:hint="eastAsia" w:ascii="仿宋" w:hAnsi="仿宋" w:eastAsia="仿宋" w:cs="仿宋"/>
                <w:color w:val="auto"/>
                <w:spacing w:val="0"/>
                <w:w w:val="100"/>
                <w:position w:val="0"/>
                <w:sz w:val="28"/>
                <w:szCs w:val="28"/>
                <w:highlight w:val="none"/>
                <w:lang w:eastAsia="zh-CN"/>
              </w:rPr>
              <w:t>。</w:t>
            </w:r>
          </w:p>
          <w:p w14:paraId="6640783E">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rPr>
              <w:t>☑</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本项目的下列费用由</w:t>
            </w:r>
            <w:r>
              <w:rPr>
                <w:rFonts w:hint="eastAsia" w:ascii="仿宋" w:hAnsi="仿宋" w:eastAsia="仿宋" w:cs="仿宋"/>
                <w:color w:val="auto"/>
                <w:spacing w:val="0"/>
                <w:w w:val="100"/>
                <w:position w:val="0"/>
                <w:sz w:val="28"/>
                <w:szCs w:val="28"/>
                <w:highlight w:val="none"/>
                <w:lang w:eastAsia="zh-CN"/>
              </w:rPr>
              <w:t>入围供应商</w:t>
            </w:r>
            <w:r>
              <w:rPr>
                <w:rFonts w:hint="eastAsia" w:ascii="仿宋" w:hAnsi="仿宋" w:eastAsia="仿宋" w:cs="仿宋"/>
                <w:color w:val="auto"/>
                <w:spacing w:val="0"/>
                <w:w w:val="100"/>
                <w:position w:val="0"/>
                <w:sz w:val="28"/>
                <w:szCs w:val="28"/>
                <w:highlight w:val="none"/>
              </w:rPr>
              <w:t>（成交人）支付</w:t>
            </w:r>
            <w:r>
              <w:rPr>
                <w:rFonts w:hint="eastAsia" w:ascii="仿宋" w:hAnsi="仿宋" w:eastAsia="仿宋" w:cs="仿宋"/>
                <w:color w:val="auto"/>
                <w:spacing w:val="0"/>
                <w:w w:val="100"/>
                <w:position w:val="0"/>
                <w:sz w:val="28"/>
                <w:szCs w:val="28"/>
                <w:highlight w:val="none"/>
                <w:lang w:eastAsia="zh-CN"/>
              </w:rPr>
              <w:t>。</w:t>
            </w:r>
          </w:p>
          <w:p w14:paraId="23FBBB04">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1、采购代理机构代理费：</w:t>
            </w:r>
            <w:r>
              <w:rPr>
                <w:rFonts w:hint="eastAsia" w:ascii="仿宋" w:hAnsi="仿宋" w:eastAsia="仿宋" w:cs="仿宋"/>
                <w:color w:val="auto"/>
                <w:spacing w:val="0"/>
                <w:w w:val="100"/>
                <w:position w:val="0"/>
                <w:sz w:val="28"/>
                <w:szCs w:val="28"/>
                <w:highlight w:val="none"/>
                <w:lang w:val="en-US" w:eastAsia="zh-CN"/>
              </w:rPr>
              <w:t xml:space="preserve"> 4000元/每家</w:t>
            </w:r>
            <w:r>
              <w:rPr>
                <w:rFonts w:hint="eastAsia" w:ascii="仿宋" w:hAnsi="仿宋" w:eastAsia="仿宋" w:cs="仿宋"/>
                <w:color w:val="auto"/>
                <w:spacing w:val="0"/>
                <w:w w:val="100"/>
                <w:position w:val="0"/>
                <w:sz w:val="28"/>
                <w:szCs w:val="28"/>
                <w:highlight w:val="none"/>
              </w:rPr>
              <w:t>。</w:t>
            </w:r>
          </w:p>
          <w:p w14:paraId="276AC26A">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2、成交人在成交通知书办理前，一次性付清。</w:t>
            </w:r>
          </w:p>
        </w:tc>
      </w:tr>
      <w:tr w14:paraId="41B4E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trPr>
        <w:tc>
          <w:tcPr>
            <w:tcW w:w="1010" w:type="dxa"/>
            <w:vAlign w:val="center"/>
          </w:tcPr>
          <w:p w14:paraId="73F40096">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22</w:t>
            </w:r>
          </w:p>
        </w:tc>
        <w:tc>
          <w:tcPr>
            <w:tcW w:w="1707" w:type="dxa"/>
            <w:vAlign w:val="center"/>
          </w:tcPr>
          <w:p w14:paraId="13BDAD5B">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质疑函递交的方式</w:t>
            </w:r>
          </w:p>
        </w:tc>
        <w:tc>
          <w:tcPr>
            <w:tcW w:w="6298" w:type="dxa"/>
            <w:vAlign w:val="center"/>
          </w:tcPr>
          <w:p w14:paraId="475350F5">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snapToGrid w:val="0"/>
                <w:color w:val="auto"/>
                <w:spacing w:val="0"/>
                <w:w w:val="100"/>
                <w:kern w:val="2"/>
                <w:position w:val="0"/>
                <w:sz w:val="28"/>
                <w:szCs w:val="28"/>
                <w:highlight w:val="none"/>
                <w:lang w:val="en-US" w:eastAsia="en-US" w:bidi="ar-SA"/>
              </w:rPr>
            </w:pPr>
            <w:r>
              <w:rPr>
                <w:rFonts w:hint="eastAsia" w:ascii="仿宋" w:hAnsi="仿宋" w:eastAsia="仿宋" w:cs="仿宋"/>
                <w:snapToGrid w:val="0"/>
                <w:color w:val="auto"/>
                <w:spacing w:val="0"/>
                <w:w w:val="100"/>
                <w:kern w:val="2"/>
                <w:position w:val="0"/>
                <w:sz w:val="28"/>
                <w:szCs w:val="28"/>
                <w:highlight w:val="none"/>
                <w:lang w:val="en-US" w:eastAsia="en-US" w:bidi="ar-SA"/>
              </w:rPr>
              <w:t>递交方式：书面提出</w:t>
            </w:r>
          </w:p>
          <w:p w14:paraId="12E65D9B">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snapToGrid w:val="0"/>
                <w:color w:val="auto"/>
                <w:spacing w:val="0"/>
                <w:w w:val="100"/>
                <w:kern w:val="2"/>
                <w:position w:val="0"/>
                <w:sz w:val="28"/>
                <w:szCs w:val="28"/>
                <w:highlight w:val="none"/>
                <w:lang w:val="en-US" w:eastAsia="zh-CN" w:bidi="ar-SA"/>
              </w:rPr>
            </w:pPr>
            <w:r>
              <w:rPr>
                <w:rFonts w:hint="eastAsia" w:ascii="仿宋" w:hAnsi="仿宋" w:eastAsia="仿宋" w:cs="仿宋"/>
                <w:snapToGrid w:val="0"/>
                <w:color w:val="auto"/>
                <w:spacing w:val="0"/>
                <w:w w:val="100"/>
                <w:kern w:val="2"/>
                <w:position w:val="0"/>
                <w:sz w:val="28"/>
                <w:szCs w:val="28"/>
                <w:highlight w:val="none"/>
                <w:lang w:val="en-US" w:eastAsia="en-US" w:bidi="ar-SA"/>
              </w:rPr>
              <w:t>接收部门：</w:t>
            </w:r>
            <w:r>
              <w:rPr>
                <w:rFonts w:hint="eastAsia" w:cs="仿宋"/>
                <w:snapToGrid w:val="0"/>
                <w:color w:val="auto"/>
                <w:spacing w:val="0"/>
                <w:w w:val="100"/>
                <w:kern w:val="2"/>
                <w:position w:val="0"/>
                <w:sz w:val="28"/>
                <w:szCs w:val="28"/>
                <w:highlight w:val="none"/>
                <w:lang w:val="en-US" w:eastAsia="zh-CN" w:bidi="ar-SA"/>
              </w:rPr>
              <w:t xml:space="preserve">阜阳市自然资源和规划局 </w:t>
            </w:r>
            <w:r>
              <w:rPr>
                <w:rFonts w:hint="eastAsia" w:ascii="仿宋" w:hAnsi="仿宋" w:eastAsia="仿宋" w:cs="仿宋"/>
                <w:snapToGrid w:val="0"/>
                <w:color w:val="auto"/>
                <w:spacing w:val="0"/>
                <w:w w:val="100"/>
                <w:kern w:val="2"/>
                <w:position w:val="0"/>
                <w:sz w:val="28"/>
                <w:szCs w:val="28"/>
                <w:highlight w:val="none"/>
                <w:lang w:val="en-US" w:eastAsia="en-US" w:bidi="ar-SA"/>
              </w:rPr>
              <w:t>、</w:t>
            </w:r>
            <w:r>
              <w:rPr>
                <w:rFonts w:hint="eastAsia" w:cs="仿宋"/>
                <w:snapToGrid w:val="0"/>
                <w:color w:val="auto"/>
                <w:spacing w:val="0"/>
                <w:w w:val="100"/>
                <w:kern w:val="2"/>
                <w:position w:val="0"/>
                <w:sz w:val="28"/>
                <w:szCs w:val="28"/>
                <w:highlight w:val="none"/>
                <w:lang w:val="en-US" w:eastAsia="zh-CN" w:bidi="ar-SA"/>
              </w:rPr>
              <w:t>安徽金泉工程管理咨询有限公司</w:t>
            </w:r>
          </w:p>
          <w:p w14:paraId="7C7E99C3">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snapToGrid w:val="0"/>
                <w:color w:val="auto"/>
                <w:spacing w:val="0"/>
                <w:w w:val="100"/>
                <w:kern w:val="2"/>
                <w:position w:val="0"/>
                <w:sz w:val="28"/>
                <w:szCs w:val="28"/>
                <w:highlight w:val="none"/>
                <w:lang w:val="en-US" w:eastAsia="zh-CN" w:bidi="ar-SA"/>
              </w:rPr>
            </w:pPr>
            <w:r>
              <w:rPr>
                <w:rFonts w:hint="eastAsia" w:ascii="仿宋" w:hAnsi="仿宋" w:eastAsia="仿宋" w:cs="仿宋"/>
                <w:snapToGrid w:val="0"/>
                <w:color w:val="auto"/>
                <w:spacing w:val="0"/>
                <w:w w:val="100"/>
                <w:kern w:val="2"/>
                <w:position w:val="0"/>
                <w:sz w:val="28"/>
                <w:szCs w:val="28"/>
                <w:highlight w:val="none"/>
                <w:lang w:val="en-US" w:eastAsia="en-US" w:bidi="ar-SA"/>
              </w:rPr>
              <w:t>联系电话：</w:t>
            </w:r>
            <w:r>
              <w:rPr>
                <w:rFonts w:hint="eastAsia" w:cs="仿宋"/>
                <w:snapToGrid w:val="0"/>
                <w:color w:val="auto"/>
                <w:spacing w:val="0"/>
                <w:w w:val="100"/>
                <w:kern w:val="2"/>
                <w:position w:val="0"/>
                <w:sz w:val="28"/>
                <w:szCs w:val="28"/>
                <w:highlight w:val="none"/>
                <w:lang w:val="en-US" w:eastAsia="zh-CN" w:bidi="ar-SA"/>
              </w:rPr>
              <w:t>18156295059</w:t>
            </w:r>
            <w:r>
              <w:rPr>
                <w:rFonts w:hint="eastAsia" w:ascii="仿宋" w:hAnsi="仿宋" w:eastAsia="仿宋" w:cs="仿宋"/>
                <w:snapToGrid w:val="0"/>
                <w:color w:val="auto"/>
                <w:spacing w:val="0"/>
                <w:w w:val="100"/>
                <w:kern w:val="2"/>
                <w:position w:val="0"/>
                <w:sz w:val="28"/>
                <w:szCs w:val="28"/>
                <w:highlight w:val="none"/>
                <w:lang w:val="en-US" w:eastAsia="zh-CN" w:bidi="ar-SA"/>
              </w:rPr>
              <w:t>、</w:t>
            </w:r>
            <w:r>
              <w:rPr>
                <w:rFonts w:hint="eastAsia" w:cs="仿宋"/>
                <w:snapToGrid w:val="0"/>
                <w:color w:val="auto"/>
                <w:spacing w:val="0"/>
                <w:w w:val="100"/>
                <w:kern w:val="2"/>
                <w:position w:val="0"/>
                <w:sz w:val="28"/>
                <w:szCs w:val="28"/>
                <w:highlight w:val="none"/>
                <w:lang w:val="en-US" w:eastAsia="zh-CN" w:bidi="ar-SA"/>
              </w:rPr>
              <w:t>17755993922</w:t>
            </w:r>
          </w:p>
          <w:p w14:paraId="77215D5F">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snapToGrid w:val="0"/>
                <w:color w:val="auto"/>
                <w:spacing w:val="0"/>
                <w:w w:val="100"/>
                <w:kern w:val="2"/>
                <w:position w:val="0"/>
                <w:sz w:val="28"/>
                <w:szCs w:val="28"/>
                <w:highlight w:val="none"/>
                <w:lang w:val="en-US" w:eastAsia="zh-CN" w:bidi="ar-SA"/>
              </w:rPr>
            </w:pPr>
            <w:r>
              <w:rPr>
                <w:rFonts w:hint="eastAsia" w:ascii="仿宋" w:hAnsi="仿宋" w:eastAsia="仿宋" w:cs="仿宋"/>
                <w:snapToGrid w:val="0"/>
                <w:color w:val="auto"/>
                <w:spacing w:val="0"/>
                <w:w w:val="100"/>
                <w:kern w:val="2"/>
                <w:position w:val="0"/>
                <w:sz w:val="28"/>
                <w:szCs w:val="28"/>
                <w:highlight w:val="none"/>
                <w:lang w:val="en-US" w:eastAsia="en-US" w:bidi="ar-SA"/>
              </w:rPr>
              <w:t>通讯地址：</w:t>
            </w:r>
            <w:r>
              <w:rPr>
                <w:rFonts w:hint="eastAsia" w:cs="仿宋"/>
                <w:snapToGrid w:val="0"/>
                <w:color w:val="auto"/>
                <w:spacing w:val="0"/>
                <w:w w:val="100"/>
                <w:kern w:val="2"/>
                <w:position w:val="0"/>
                <w:sz w:val="28"/>
                <w:szCs w:val="28"/>
                <w:highlight w:val="none"/>
                <w:lang w:val="en-US" w:eastAsia="zh-CN" w:bidi="ar-SA"/>
              </w:rPr>
              <w:t>安徽省阜阳市西湖大道573号</w:t>
            </w:r>
            <w:r>
              <w:rPr>
                <w:rFonts w:hint="eastAsia" w:ascii="仿宋" w:hAnsi="仿宋" w:eastAsia="仿宋" w:cs="仿宋"/>
                <w:snapToGrid w:val="0"/>
                <w:color w:val="auto"/>
                <w:spacing w:val="0"/>
                <w:w w:val="100"/>
                <w:kern w:val="2"/>
                <w:position w:val="0"/>
                <w:sz w:val="28"/>
                <w:szCs w:val="28"/>
                <w:highlight w:val="none"/>
                <w:lang w:val="en-US" w:eastAsia="en-US" w:bidi="ar-SA"/>
              </w:rPr>
              <w:t>、</w:t>
            </w:r>
            <w:r>
              <w:rPr>
                <w:rFonts w:hint="eastAsia" w:cs="仿宋"/>
                <w:snapToGrid w:val="0"/>
                <w:color w:val="auto"/>
                <w:spacing w:val="0"/>
                <w:w w:val="100"/>
                <w:kern w:val="2"/>
                <w:position w:val="0"/>
                <w:sz w:val="28"/>
                <w:szCs w:val="28"/>
                <w:highlight w:val="none"/>
                <w:lang w:val="en-US" w:eastAsia="zh-CN" w:bidi="ar-SA"/>
              </w:rPr>
              <w:t>安徽省阜阳市青网科技园北门一栋二层</w:t>
            </w:r>
          </w:p>
        </w:tc>
      </w:tr>
      <w:tr w14:paraId="34A62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1010" w:type="dxa"/>
            <w:vAlign w:val="center"/>
          </w:tcPr>
          <w:p w14:paraId="0950D005">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23</w:t>
            </w:r>
          </w:p>
        </w:tc>
        <w:tc>
          <w:tcPr>
            <w:tcW w:w="1707" w:type="dxa"/>
            <w:vAlign w:val="center"/>
          </w:tcPr>
          <w:p w14:paraId="5316114D">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投诉函递交的方式</w:t>
            </w:r>
          </w:p>
        </w:tc>
        <w:tc>
          <w:tcPr>
            <w:tcW w:w="6298" w:type="dxa"/>
            <w:vAlign w:val="center"/>
          </w:tcPr>
          <w:p w14:paraId="51C8A0AE">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snapToGrid w:val="0"/>
                <w:color w:val="auto"/>
                <w:spacing w:val="0"/>
                <w:w w:val="100"/>
                <w:kern w:val="2"/>
                <w:position w:val="0"/>
                <w:sz w:val="28"/>
                <w:szCs w:val="28"/>
                <w:highlight w:val="none"/>
                <w:lang w:val="en-US" w:eastAsia="en-US" w:bidi="ar-SA"/>
              </w:rPr>
            </w:pPr>
            <w:r>
              <w:rPr>
                <w:rFonts w:hint="eastAsia" w:ascii="仿宋" w:hAnsi="仿宋" w:eastAsia="仿宋" w:cs="仿宋"/>
                <w:snapToGrid w:val="0"/>
                <w:color w:val="auto"/>
                <w:spacing w:val="0"/>
                <w:w w:val="100"/>
                <w:kern w:val="2"/>
                <w:position w:val="0"/>
                <w:sz w:val="28"/>
                <w:szCs w:val="28"/>
                <w:highlight w:val="none"/>
                <w:lang w:val="en-US" w:eastAsia="en-US" w:bidi="ar-SA"/>
              </w:rPr>
              <w:t>递交方式：书面提出</w:t>
            </w:r>
          </w:p>
          <w:p w14:paraId="1A1AE929">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snapToGrid w:val="0"/>
                <w:color w:val="auto"/>
                <w:spacing w:val="0"/>
                <w:w w:val="100"/>
                <w:kern w:val="2"/>
                <w:position w:val="0"/>
                <w:sz w:val="28"/>
                <w:szCs w:val="28"/>
                <w:highlight w:val="none"/>
                <w:lang w:val="en-US" w:eastAsia="zh-CN" w:bidi="ar-SA"/>
              </w:rPr>
            </w:pPr>
            <w:r>
              <w:rPr>
                <w:rFonts w:hint="eastAsia" w:ascii="仿宋" w:hAnsi="仿宋" w:eastAsia="仿宋" w:cs="仿宋"/>
                <w:snapToGrid w:val="0"/>
                <w:color w:val="auto"/>
                <w:spacing w:val="0"/>
                <w:w w:val="100"/>
                <w:kern w:val="2"/>
                <w:position w:val="0"/>
                <w:sz w:val="28"/>
                <w:szCs w:val="28"/>
                <w:highlight w:val="none"/>
                <w:lang w:val="en-US" w:eastAsia="en-US" w:bidi="ar-SA"/>
              </w:rPr>
              <w:t>接收部门：</w:t>
            </w:r>
            <w:r>
              <w:rPr>
                <w:rFonts w:hint="eastAsia" w:ascii="仿宋" w:hAnsi="仿宋" w:eastAsia="仿宋" w:cs="仿宋"/>
                <w:snapToGrid w:val="0"/>
                <w:color w:val="auto"/>
                <w:spacing w:val="0"/>
                <w:w w:val="100"/>
                <w:kern w:val="2"/>
                <w:position w:val="0"/>
                <w:sz w:val="28"/>
                <w:szCs w:val="28"/>
                <w:highlight w:val="none"/>
                <w:lang w:val="zh-CN" w:eastAsia="en-US" w:bidi="ar-SA"/>
              </w:rPr>
              <w:t>阜阳市财政局、阜阳市公共资源交易监督管理局</w:t>
            </w:r>
          </w:p>
          <w:p w14:paraId="6C8C34F7">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snapToGrid w:val="0"/>
                <w:color w:val="auto"/>
                <w:spacing w:val="0"/>
                <w:w w:val="100"/>
                <w:kern w:val="2"/>
                <w:position w:val="0"/>
                <w:sz w:val="28"/>
                <w:szCs w:val="28"/>
                <w:highlight w:val="none"/>
                <w:lang w:val="en-US" w:eastAsia="zh-CN" w:bidi="ar-SA"/>
              </w:rPr>
            </w:pPr>
            <w:r>
              <w:rPr>
                <w:rFonts w:hint="eastAsia" w:ascii="仿宋" w:hAnsi="仿宋" w:eastAsia="仿宋" w:cs="仿宋"/>
                <w:snapToGrid w:val="0"/>
                <w:color w:val="auto"/>
                <w:spacing w:val="0"/>
                <w:w w:val="100"/>
                <w:kern w:val="2"/>
                <w:position w:val="0"/>
                <w:sz w:val="28"/>
                <w:szCs w:val="28"/>
                <w:highlight w:val="none"/>
                <w:lang w:val="en-US" w:eastAsia="en-US" w:bidi="ar-SA"/>
              </w:rPr>
              <w:t>联系电话：</w:t>
            </w:r>
            <w:r>
              <w:rPr>
                <w:rFonts w:hint="eastAsia" w:ascii="仿宋" w:hAnsi="仿宋" w:eastAsia="仿宋" w:cs="仿宋"/>
                <w:snapToGrid w:val="0"/>
                <w:color w:val="auto"/>
                <w:spacing w:val="0"/>
                <w:w w:val="100"/>
                <w:kern w:val="2"/>
                <w:position w:val="0"/>
                <w:sz w:val="28"/>
                <w:szCs w:val="28"/>
                <w:highlight w:val="none"/>
                <w:lang w:val="zh-CN" w:eastAsia="en-US" w:bidi="ar-SA"/>
              </w:rPr>
              <w:t>0558-2261464 、 0558-2390077</w:t>
            </w:r>
          </w:p>
          <w:p w14:paraId="1AA7F231">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snapToGrid w:val="0"/>
                <w:color w:val="auto"/>
                <w:spacing w:val="0"/>
                <w:w w:val="100"/>
                <w:kern w:val="2"/>
                <w:position w:val="0"/>
                <w:sz w:val="28"/>
                <w:szCs w:val="28"/>
                <w:highlight w:val="none"/>
                <w:lang w:val="en-US" w:eastAsia="en-US" w:bidi="ar-SA"/>
              </w:rPr>
            </w:pPr>
            <w:r>
              <w:rPr>
                <w:rFonts w:hint="eastAsia" w:ascii="仿宋" w:hAnsi="仿宋" w:eastAsia="仿宋" w:cs="仿宋"/>
                <w:snapToGrid w:val="0"/>
                <w:color w:val="auto"/>
                <w:spacing w:val="0"/>
                <w:w w:val="100"/>
                <w:kern w:val="2"/>
                <w:position w:val="0"/>
                <w:sz w:val="28"/>
                <w:szCs w:val="28"/>
                <w:highlight w:val="none"/>
                <w:lang w:val="en-US" w:eastAsia="en-US" w:bidi="ar-SA"/>
              </w:rPr>
              <w:t>通讯地址：</w:t>
            </w:r>
            <w:r>
              <w:rPr>
                <w:rFonts w:hint="eastAsia" w:ascii="仿宋" w:hAnsi="仿宋" w:eastAsia="仿宋" w:cs="仿宋"/>
                <w:snapToGrid w:val="0"/>
                <w:color w:val="auto"/>
                <w:spacing w:val="0"/>
                <w:w w:val="100"/>
                <w:kern w:val="2"/>
                <w:position w:val="0"/>
                <w:sz w:val="28"/>
                <w:szCs w:val="28"/>
                <w:highlight w:val="none"/>
                <w:lang w:val="zh-CN" w:eastAsia="en-US" w:bidi="ar-SA"/>
              </w:rPr>
              <w:t>阜阳市清河东路 702 号 、阜阳市颍州区三清路666号市民中心五楼</w:t>
            </w:r>
            <w:r>
              <w:rPr>
                <w:rFonts w:hint="eastAsia" w:ascii="仿宋" w:hAnsi="仿宋" w:eastAsia="仿宋" w:cs="仿宋"/>
                <w:snapToGrid w:val="0"/>
                <w:color w:val="auto"/>
                <w:spacing w:val="0"/>
                <w:w w:val="100"/>
                <w:kern w:val="2"/>
                <w:position w:val="0"/>
                <w:sz w:val="28"/>
                <w:szCs w:val="28"/>
                <w:highlight w:val="none"/>
                <w:lang w:val="en-US" w:eastAsia="zh-CN" w:bidi="ar-SA"/>
              </w:rPr>
              <w:t xml:space="preserve"> </w:t>
            </w:r>
          </w:p>
        </w:tc>
      </w:tr>
      <w:tr w14:paraId="3DE80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01E32DF1">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24</w:t>
            </w:r>
          </w:p>
        </w:tc>
        <w:tc>
          <w:tcPr>
            <w:tcW w:w="1707" w:type="dxa"/>
            <w:vAlign w:val="center"/>
          </w:tcPr>
          <w:p w14:paraId="5B3BFFE7">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本项目提供除征集文件以外的其他资料</w:t>
            </w:r>
          </w:p>
        </w:tc>
        <w:tc>
          <w:tcPr>
            <w:tcW w:w="6298" w:type="dxa"/>
            <w:vAlign w:val="center"/>
          </w:tcPr>
          <w:p w14:paraId="1575FD58">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☑无</w:t>
            </w:r>
          </w:p>
        </w:tc>
      </w:tr>
      <w:tr w14:paraId="40ADD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trPr>
        <w:tc>
          <w:tcPr>
            <w:tcW w:w="1010" w:type="dxa"/>
            <w:vAlign w:val="center"/>
          </w:tcPr>
          <w:p w14:paraId="1907A8E4">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cs="仿宋"/>
                <w:color w:val="auto"/>
                <w:spacing w:val="0"/>
                <w:w w:val="100"/>
                <w:position w:val="0"/>
                <w:sz w:val="28"/>
                <w:szCs w:val="28"/>
                <w:highlight w:val="none"/>
                <w:lang w:val="en-US" w:eastAsia="zh-CN"/>
              </w:rPr>
              <w:t>25</w:t>
            </w:r>
          </w:p>
        </w:tc>
        <w:tc>
          <w:tcPr>
            <w:tcW w:w="1707" w:type="dxa"/>
            <w:vAlign w:val="center"/>
          </w:tcPr>
          <w:p w14:paraId="0B832807">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清退规则</w:t>
            </w:r>
          </w:p>
        </w:tc>
        <w:tc>
          <w:tcPr>
            <w:tcW w:w="6298" w:type="dxa"/>
            <w:vAlign w:val="center"/>
          </w:tcPr>
          <w:p w14:paraId="50FDBCC0">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入围供应商存在《政府采购框架协议采购方式管理暂行办法》第十九条规定情形的，尚未签订框架协议的，取消其入围资格；已经签订框架协议的，解除与其签订的框架协议。</w:t>
            </w:r>
          </w:p>
        </w:tc>
      </w:tr>
      <w:tr w14:paraId="1683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1010" w:type="dxa"/>
            <w:vAlign w:val="center"/>
          </w:tcPr>
          <w:p w14:paraId="0916CBB5">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cs="仿宋"/>
                <w:color w:val="auto"/>
                <w:spacing w:val="0"/>
                <w:w w:val="100"/>
                <w:position w:val="0"/>
                <w:sz w:val="28"/>
                <w:szCs w:val="28"/>
                <w:highlight w:val="none"/>
                <w:lang w:val="en-US" w:eastAsia="zh-CN"/>
              </w:rPr>
              <w:t>26</w:t>
            </w:r>
          </w:p>
        </w:tc>
        <w:tc>
          <w:tcPr>
            <w:tcW w:w="1707" w:type="dxa"/>
            <w:vAlign w:val="center"/>
          </w:tcPr>
          <w:p w14:paraId="7D0C2B60">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补充规则</w:t>
            </w:r>
          </w:p>
        </w:tc>
        <w:tc>
          <w:tcPr>
            <w:tcW w:w="6298" w:type="dxa"/>
            <w:vAlign w:val="center"/>
          </w:tcPr>
          <w:p w14:paraId="18F87CEC">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除剩余入围供应商不足入围供应商总数70%</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且影响框架协议执行的情形外，框架协议有效期内，征集人不得补充征集供应商。</w:t>
            </w:r>
          </w:p>
          <w:p w14:paraId="0A579734">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人补充征集供应商的，补充征集规则应当在框架协议中约定，补充征集的条件、程序、评审方法和淘汰比例应当与初次征集相同。补充征集应当遵守原框架协议的有效期。补充征集期间，原框架协议继续履行。</w:t>
            </w:r>
          </w:p>
        </w:tc>
      </w:tr>
      <w:tr w14:paraId="7B691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1010" w:type="dxa"/>
            <w:vAlign w:val="center"/>
          </w:tcPr>
          <w:p w14:paraId="4E48B404">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cs="仿宋"/>
                <w:color w:val="auto"/>
                <w:spacing w:val="0"/>
                <w:w w:val="100"/>
                <w:position w:val="0"/>
                <w:sz w:val="28"/>
                <w:szCs w:val="28"/>
                <w:highlight w:val="none"/>
                <w:lang w:val="en-US" w:eastAsia="zh-CN"/>
              </w:rPr>
              <w:t>27</w:t>
            </w:r>
          </w:p>
        </w:tc>
        <w:tc>
          <w:tcPr>
            <w:tcW w:w="1707" w:type="dxa"/>
            <w:vAlign w:val="center"/>
          </w:tcPr>
          <w:p w14:paraId="68220184">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用户反馈和评价机制</w:t>
            </w:r>
          </w:p>
        </w:tc>
        <w:tc>
          <w:tcPr>
            <w:tcW w:w="6298" w:type="dxa"/>
            <w:vAlign w:val="center"/>
          </w:tcPr>
          <w:p w14:paraId="214485CE">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根据用户反馈和评价机制约定，</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和服务对象对入围供应商履行框架协议和采购合同情况的反馈与评价，用户反馈和评价情况将向</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和服务对象公开，并作为第二阶段直接选定成交供应商的参考。</w:t>
            </w:r>
          </w:p>
        </w:tc>
      </w:tr>
      <w:tr w14:paraId="60A45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0" w:type="dxa"/>
            <w:vAlign w:val="center"/>
          </w:tcPr>
          <w:p w14:paraId="6FC2F5B5">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rPr>
              <w:t>2</w:t>
            </w:r>
            <w:r>
              <w:rPr>
                <w:rFonts w:hint="eastAsia" w:cs="仿宋"/>
                <w:color w:val="auto"/>
                <w:spacing w:val="0"/>
                <w:w w:val="100"/>
                <w:position w:val="0"/>
                <w:sz w:val="28"/>
                <w:szCs w:val="28"/>
                <w:highlight w:val="none"/>
                <w:lang w:val="en-US" w:eastAsia="zh-CN"/>
              </w:rPr>
              <w:t>8</w:t>
            </w:r>
          </w:p>
        </w:tc>
        <w:tc>
          <w:tcPr>
            <w:tcW w:w="1707" w:type="dxa"/>
            <w:vAlign w:val="center"/>
          </w:tcPr>
          <w:p w14:paraId="3843EE5F">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解释权</w:t>
            </w:r>
          </w:p>
        </w:tc>
        <w:tc>
          <w:tcPr>
            <w:tcW w:w="6298" w:type="dxa"/>
            <w:vAlign w:val="center"/>
          </w:tcPr>
          <w:p w14:paraId="140593D2">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(1)构成本征集文件的各个组成文件应互为解释，互为说明；</w:t>
            </w:r>
          </w:p>
          <w:p w14:paraId="0BF70B99">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(2)同一组成文件中就同一事项的规定或约定不一致的，以编排顺序在后者为准；</w:t>
            </w:r>
          </w:p>
          <w:p w14:paraId="2FF6CCED">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(3)如有不明确或不一致，构成合同文件组成内容的，以合同文件约定内容为准，且以专用合同条款约定的合同文件优先顺序解释；</w:t>
            </w:r>
          </w:p>
          <w:p w14:paraId="222D8ED6">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(4)除征集文件中有特别规定外，仅适用于招标投标阶段的规定，按征集公告、供应商须知、评标方法和标准、征集响应文件格式的先后顺序解释；</w:t>
            </w:r>
          </w:p>
          <w:p w14:paraId="78BF90E1">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（5）按本款前述规定仍不能形成结论的，由征集人负责解释。</w:t>
            </w:r>
          </w:p>
        </w:tc>
      </w:tr>
      <w:tr w14:paraId="5796B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3" w:hRule="atLeast"/>
        </w:trPr>
        <w:tc>
          <w:tcPr>
            <w:tcW w:w="1010" w:type="dxa"/>
            <w:vAlign w:val="center"/>
          </w:tcPr>
          <w:p w14:paraId="197B03BF">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rPr>
              <w:t>2</w:t>
            </w:r>
            <w:r>
              <w:rPr>
                <w:rFonts w:hint="eastAsia" w:cs="仿宋"/>
                <w:color w:val="auto"/>
                <w:spacing w:val="0"/>
                <w:w w:val="100"/>
                <w:position w:val="0"/>
                <w:sz w:val="28"/>
                <w:szCs w:val="28"/>
                <w:highlight w:val="none"/>
                <w:lang w:val="en-US" w:eastAsia="zh-CN"/>
              </w:rPr>
              <w:t>9</w:t>
            </w:r>
          </w:p>
        </w:tc>
        <w:tc>
          <w:tcPr>
            <w:tcW w:w="1707" w:type="dxa"/>
            <w:vAlign w:val="center"/>
          </w:tcPr>
          <w:p w14:paraId="182B1A5C">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重要提示</w:t>
            </w:r>
          </w:p>
        </w:tc>
        <w:tc>
          <w:tcPr>
            <w:tcW w:w="6298" w:type="dxa"/>
            <w:vAlign w:val="center"/>
          </w:tcPr>
          <w:p w14:paraId="6432EC1D">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（1）入围供应商应在规定期限内与征集人签订框架协议，若入围供应商未能在规定期限内签订框架协议,征集人有权取消入围供应商入围资格，并将相关违约行为报送监管部门，实施信用惩戒；</w:t>
            </w:r>
          </w:p>
          <w:p w14:paraId="5FD2A5D1">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（2）采购合同签订后，入围供应商存在规定时间内不组织人员进场开工，不履行供货、安装或服务义务等情况，征集人有权解除框架协议，并追究违约责任，同时将相关违约行为报送监管部门</w:t>
            </w:r>
            <w:r>
              <w:rPr>
                <w:rFonts w:hint="eastAsia" w:ascii="仿宋" w:hAnsi="仿宋" w:eastAsia="仿宋" w:cs="仿宋"/>
                <w:color w:val="auto"/>
                <w:spacing w:val="0"/>
                <w:w w:val="100"/>
                <w:position w:val="0"/>
                <w:sz w:val="28"/>
                <w:szCs w:val="28"/>
                <w:highlight w:val="none"/>
                <w:lang w:eastAsia="zh-CN"/>
              </w:rPr>
              <w:t>，登</w:t>
            </w:r>
            <w:r>
              <w:rPr>
                <w:rFonts w:hint="eastAsia" w:ascii="仿宋" w:hAnsi="仿宋" w:eastAsia="仿宋" w:cs="仿宋"/>
                <w:color w:val="auto"/>
                <w:spacing w:val="0"/>
                <w:w w:val="100"/>
                <w:position w:val="0"/>
                <w:sz w:val="28"/>
                <w:szCs w:val="28"/>
                <w:highlight w:val="none"/>
              </w:rPr>
              <w:t>记不良行为记录，实施信用惩戒；</w:t>
            </w:r>
          </w:p>
          <w:p w14:paraId="0EA2EA6E">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（3）入围供应商入围后被监管部门查实存在违法行为，不满足入围条件的，由征集人取消入围资格，并做好项目后续工作；</w:t>
            </w:r>
          </w:p>
          <w:p w14:paraId="7B2421D0">
            <w:pPr>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（4）入围供应商在项目发生投诉、信访举报案件、履约存在争议时，拒绝协助配合执法部门调查案件的，征集人可以取消其入围资格或解除框架协议，并追究其违约责任。</w:t>
            </w:r>
          </w:p>
        </w:tc>
      </w:tr>
      <w:tr w14:paraId="0BF5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010" w:type="dxa"/>
            <w:vAlign w:val="center"/>
          </w:tcPr>
          <w:p w14:paraId="66EBE4B3">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default" w:ascii="仿宋" w:hAnsi="仿宋" w:eastAsia="仿宋" w:cs="仿宋"/>
                <w:color w:val="auto"/>
                <w:spacing w:val="0"/>
                <w:w w:val="100"/>
                <w:position w:val="0"/>
                <w:sz w:val="28"/>
                <w:szCs w:val="28"/>
                <w:highlight w:val="none"/>
                <w:lang w:val="en-US" w:eastAsia="zh-CN"/>
              </w:rPr>
            </w:pPr>
            <w:r>
              <w:rPr>
                <w:rFonts w:hint="eastAsia" w:cs="仿宋"/>
                <w:color w:val="auto"/>
                <w:spacing w:val="0"/>
                <w:w w:val="100"/>
                <w:position w:val="0"/>
                <w:sz w:val="28"/>
                <w:szCs w:val="28"/>
                <w:highlight w:val="none"/>
                <w:lang w:val="en-US" w:eastAsia="zh-CN"/>
              </w:rPr>
              <w:t>30</w:t>
            </w:r>
          </w:p>
        </w:tc>
        <w:tc>
          <w:tcPr>
            <w:tcW w:w="1707" w:type="dxa"/>
            <w:vAlign w:val="center"/>
          </w:tcPr>
          <w:p w14:paraId="7498153F">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其他补充说明</w:t>
            </w:r>
          </w:p>
        </w:tc>
        <w:tc>
          <w:tcPr>
            <w:tcW w:w="6298" w:type="dxa"/>
            <w:vAlign w:val="center"/>
          </w:tcPr>
          <w:p w14:paraId="693A2C4F">
            <w:pPr>
              <w:pStyle w:val="26"/>
              <w:keepNext w:val="0"/>
              <w:keepLines w:val="0"/>
              <w:pageBreakBefore w:val="0"/>
              <w:widowControl/>
              <w:numPr>
                <w:ilvl w:val="0"/>
                <w:numId w:val="1"/>
              </w:numPr>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入围结果公告结束后，入围供应商</w:t>
            </w:r>
            <w:r>
              <w:rPr>
                <w:rFonts w:hint="eastAsia" w:cs="仿宋"/>
                <w:snapToGrid w:val="0"/>
                <w:color w:val="auto"/>
                <w:spacing w:val="0"/>
                <w:w w:val="100"/>
                <w:kern w:val="0"/>
                <w:position w:val="0"/>
                <w:sz w:val="28"/>
                <w:szCs w:val="28"/>
                <w:highlight w:val="none"/>
                <w:lang w:val="en-US" w:eastAsia="zh-CN" w:bidi="ar-SA"/>
              </w:rPr>
              <w:t>需</w:t>
            </w:r>
            <w:r>
              <w:rPr>
                <w:rFonts w:hint="eastAsia" w:ascii="仿宋" w:hAnsi="仿宋" w:eastAsia="仿宋" w:cs="仿宋"/>
                <w:snapToGrid w:val="0"/>
                <w:color w:val="auto"/>
                <w:spacing w:val="0"/>
                <w:w w:val="100"/>
                <w:kern w:val="0"/>
                <w:position w:val="0"/>
                <w:sz w:val="28"/>
                <w:szCs w:val="28"/>
                <w:highlight w:val="none"/>
                <w:lang w:val="en-US" w:eastAsia="en-US" w:bidi="ar-SA"/>
              </w:rPr>
              <w:t>提供征集响应文件纸质版</w:t>
            </w:r>
            <w:r>
              <w:rPr>
                <w:rFonts w:hint="eastAsia" w:cs="仿宋"/>
                <w:snapToGrid w:val="0"/>
                <w:color w:val="auto"/>
                <w:spacing w:val="0"/>
                <w:w w:val="100"/>
                <w:kern w:val="0"/>
                <w:position w:val="0"/>
                <w:sz w:val="28"/>
                <w:szCs w:val="28"/>
                <w:highlight w:val="none"/>
                <w:lang w:val="en-US" w:eastAsia="zh-CN" w:bidi="ar-SA"/>
              </w:rPr>
              <w:t>4</w:t>
            </w:r>
            <w:r>
              <w:rPr>
                <w:rFonts w:hint="eastAsia" w:ascii="仿宋" w:hAnsi="仿宋" w:eastAsia="仿宋" w:cs="仿宋"/>
                <w:snapToGrid w:val="0"/>
                <w:color w:val="auto"/>
                <w:spacing w:val="0"/>
                <w:w w:val="100"/>
                <w:kern w:val="0"/>
                <w:position w:val="0"/>
                <w:sz w:val="28"/>
                <w:szCs w:val="28"/>
                <w:highlight w:val="none"/>
                <w:lang w:val="en-US" w:eastAsia="en-US" w:bidi="ar-SA"/>
              </w:rPr>
              <w:t>份（胶装，一正两副），以及非加密电子版（U盘）征集响应文件</w:t>
            </w:r>
            <w:r>
              <w:rPr>
                <w:rFonts w:hint="eastAsia" w:cs="仿宋"/>
                <w:snapToGrid w:val="0"/>
                <w:color w:val="auto"/>
                <w:spacing w:val="0"/>
                <w:w w:val="100"/>
                <w:kern w:val="0"/>
                <w:position w:val="0"/>
                <w:sz w:val="28"/>
                <w:szCs w:val="28"/>
                <w:highlight w:val="none"/>
                <w:lang w:val="en-US" w:eastAsia="zh-CN" w:bidi="ar-SA"/>
              </w:rPr>
              <w:t>1</w:t>
            </w:r>
            <w:r>
              <w:rPr>
                <w:rFonts w:hint="eastAsia" w:ascii="仿宋" w:hAnsi="仿宋" w:eastAsia="仿宋" w:cs="仿宋"/>
                <w:snapToGrid w:val="0"/>
                <w:color w:val="auto"/>
                <w:spacing w:val="0"/>
                <w:w w:val="100"/>
                <w:kern w:val="0"/>
                <w:position w:val="0"/>
                <w:sz w:val="28"/>
                <w:szCs w:val="28"/>
                <w:highlight w:val="none"/>
                <w:lang w:val="en-US" w:eastAsia="en-US" w:bidi="ar-SA"/>
              </w:rPr>
              <w:t>份。</w:t>
            </w:r>
          </w:p>
          <w:p w14:paraId="5E5D8A57">
            <w:pPr>
              <w:pStyle w:val="26"/>
              <w:keepNext w:val="0"/>
              <w:keepLines w:val="0"/>
              <w:pageBreakBefore w:val="0"/>
              <w:widowControl/>
              <w:numPr>
                <w:ilvl w:val="0"/>
                <w:numId w:val="0"/>
              </w:numPr>
              <w:kinsoku w:val="0"/>
              <w:wordWrap/>
              <w:overflowPunct/>
              <w:topLinePunct w:val="0"/>
              <w:bidi w:val="0"/>
              <w:adjustRightInd w:val="0"/>
              <w:snapToGrid w:val="0"/>
              <w:spacing w:line="360" w:lineRule="auto"/>
              <w:ind w:right="0" w:rightChars="0"/>
              <w:jc w:val="left"/>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default" w:cs="仿宋"/>
                <w:color w:val="auto"/>
                <w:sz w:val="28"/>
                <w:szCs w:val="36"/>
                <w:lang w:val="en-US" w:eastAsia="zh-CN"/>
              </w:rPr>
              <w:t>2</w:t>
            </w:r>
            <w:r>
              <w:rPr>
                <w:rFonts w:hint="eastAsia" w:cs="仿宋"/>
                <w:color w:val="auto"/>
                <w:sz w:val="28"/>
                <w:szCs w:val="36"/>
                <w:lang w:val="en-US" w:eastAsia="zh-CN"/>
              </w:rPr>
              <w:t>、</w:t>
            </w:r>
            <w:r>
              <w:rPr>
                <w:rFonts w:hint="eastAsia" w:ascii="仿宋" w:hAnsi="仿宋" w:eastAsia="仿宋" w:cs="仿宋"/>
                <w:color w:val="auto"/>
                <w:sz w:val="28"/>
                <w:szCs w:val="36"/>
                <w:lang w:val="en-US" w:eastAsia="zh-CN"/>
              </w:rPr>
              <w:t>征集文件中约定为固定价格，无需另行报价，以征集文件第六章响应文件格式中开标一览表为准。交易系统填写自行决定。不作废标项。</w:t>
            </w:r>
          </w:p>
          <w:p w14:paraId="276CC6A4">
            <w:pPr>
              <w:pStyle w:val="26"/>
              <w:keepNext w:val="0"/>
              <w:keepLines w:val="0"/>
              <w:pageBreakBefore w:val="0"/>
              <w:widowControl/>
              <w:kinsoku w:val="0"/>
              <w:wordWrap/>
              <w:overflowPunct/>
              <w:topLinePunct w:val="0"/>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cs="仿宋"/>
                <w:color w:val="auto"/>
                <w:sz w:val="28"/>
                <w:szCs w:val="36"/>
                <w:lang w:val="en-US" w:eastAsia="zh-CN"/>
              </w:rPr>
              <w:t>3、</w:t>
            </w:r>
            <w:r>
              <w:rPr>
                <w:rFonts w:hint="eastAsia" w:ascii="仿宋" w:hAnsi="仿宋" w:eastAsia="仿宋" w:cs="仿宋"/>
                <w:color w:val="auto"/>
                <w:sz w:val="28"/>
                <w:szCs w:val="36"/>
                <w:lang w:val="en-US" w:eastAsia="zh-CN"/>
              </w:rPr>
              <w:t>评审以征集文件第六章响应文件格式内容为准，满足征集文件第四章评标办法要求即可。交易系统填写自行决定。</w:t>
            </w:r>
          </w:p>
        </w:tc>
      </w:tr>
    </w:tbl>
    <w:p w14:paraId="0AB9FA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8" w:type="default"/>
          <w:pgSz w:w="11922" w:h="16849"/>
          <w:pgMar w:top="1440" w:right="1803" w:bottom="1440" w:left="1803" w:header="1134" w:footer="1253" w:gutter="0"/>
          <w:pgNumType w:fmt="decimal"/>
          <w:cols w:space="0" w:num="1"/>
          <w:rtlGutter w:val="0"/>
          <w:docGrid w:linePitch="0" w:charSpace="0"/>
        </w:sectPr>
      </w:pPr>
    </w:p>
    <w:p w14:paraId="42C2BB81">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3" w:name="_Toc32705"/>
      <w:r>
        <w:rPr>
          <w:rFonts w:hint="eastAsia" w:ascii="仿宋" w:hAnsi="仿宋" w:eastAsia="仿宋" w:cs="仿宋"/>
          <w:b/>
          <w:bCs/>
          <w:color w:val="auto"/>
          <w:spacing w:val="0"/>
          <w:w w:val="100"/>
          <w:position w:val="0"/>
          <w:sz w:val="28"/>
          <w:szCs w:val="28"/>
          <w:highlight w:val="none"/>
        </w:rPr>
        <w:t>二、供应商须知正文</w:t>
      </w:r>
      <w:bookmarkEnd w:id="3"/>
    </w:p>
    <w:p w14:paraId="422F010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供应商须知</w:t>
      </w:r>
    </w:p>
    <w:p w14:paraId="6E641D5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lang w:val="en-US" w:eastAsia="zh-CN"/>
        </w:rPr>
        <w:t>一、</w:t>
      </w:r>
      <w:r>
        <w:rPr>
          <w:rFonts w:hint="eastAsia" w:ascii="仿宋" w:hAnsi="仿宋" w:eastAsia="仿宋" w:cs="仿宋"/>
          <w:b/>
          <w:bCs/>
          <w:color w:val="auto"/>
          <w:spacing w:val="0"/>
          <w:w w:val="100"/>
          <w:position w:val="0"/>
          <w:sz w:val="28"/>
          <w:szCs w:val="28"/>
          <w:highlight w:val="none"/>
        </w:rPr>
        <w:t>适用范围</w:t>
      </w:r>
    </w:p>
    <w:p w14:paraId="704E5B8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1.1本征集文件仅适用于本次采购所述的服务项目采购。</w:t>
      </w:r>
    </w:p>
    <w:p w14:paraId="455CD86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2.定义</w:t>
      </w:r>
    </w:p>
    <w:p w14:paraId="43F73F3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2.1服务：系指除货物和工程以外的其他政府采购对象，包括咨询、调研、评估、规划、设计、监理、审计、保险、租赁、印刷、维修、物业管理等。</w:t>
      </w:r>
    </w:p>
    <w:p w14:paraId="0396B50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2.1.1时限(年份、月份等)计算：系指从征集之日向前追溯 X年/月 (“X ”为“一 ”及以后整数)起算。</w:t>
      </w:r>
    </w:p>
    <w:p w14:paraId="575F4DD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2.2业绩：除非本征集文件中另有规定，业绩系指符合本征集文件规定的与最终用户签订的合同。供应商与其关联公司(如母公司、控股公司、分公司、子公司、同一法定代表人的公司等)之间签订的合同，均不予认可。</w:t>
      </w:r>
    </w:p>
    <w:p w14:paraId="7A6FA31F">
      <w:pPr>
        <w:pageBreakBefore w:val="0"/>
        <w:kinsoku w:val="0"/>
        <w:wordWrap/>
        <w:overflowPunct/>
        <w:topLinePunct w:val="0"/>
        <w:bidi w:val="0"/>
        <w:adjustRightInd w:val="0"/>
        <w:snapToGrid w:val="0"/>
        <w:spacing w:line="360" w:lineRule="auto"/>
        <w:ind w:left="0" w:leftChars="0" w:right="0" w:rightChars="0" w:firstLine="536"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6"/>
          <w:w w:val="100"/>
          <w:position w:val="0"/>
          <w:sz w:val="28"/>
          <w:szCs w:val="28"/>
          <w:highlight w:val="none"/>
        </w:rPr>
        <w:t>除非本征集文件中另有规定，否则业绩均为已服务完毕的业绩，业绩时间均以合同签订之日为追溯节点。</w:t>
      </w:r>
    </w:p>
    <w:p w14:paraId="6F2DD56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3.征集人、采购代理机构及供应商</w:t>
      </w:r>
    </w:p>
    <w:p w14:paraId="2A82221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3.1征集人：集中采购机构、主管预算单位及其委托的采购代理机构，统称征集人。</w:t>
      </w:r>
    </w:p>
    <w:p w14:paraId="2D8A9A8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3.2采购代理机构：是指集中采购机构或从事采购代理业务的社会中介机构。本项目的采购代理机构见供应商须知前附表。</w:t>
      </w:r>
    </w:p>
    <w:p w14:paraId="0DC5A09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3.3政府采购监督管理部门：各级人民政府指定的有关部门依法履行与政府采购活动有关的监督管理职责。</w:t>
      </w:r>
    </w:p>
    <w:p w14:paraId="35E4688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3.4本项目的政府采购监督管理部门见供应商须知前附表。</w:t>
      </w:r>
    </w:p>
    <w:p w14:paraId="21F2E19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3.5供应商：是指向征集人提供货物、工程或者服务的法人、非法人组织或者自然人。分支机构不得参加政府采购活动，但银行、保险、石油石化、电力、电信等特殊行业除外。</w:t>
      </w:r>
    </w:p>
    <w:p w14:paraId="1807051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本项目的供应商须满足以下条件：</w:t>
      </w:r>
    </w:p>
    <w:p w14:paraId="4E7B8CF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3.5.1在中华人民共和国境内注册，能够独立承担民事责任，有生产或供应能力的本国供应商。</w:t>
      </w:r>
    </w:p>
    <w:p w14:paraId="4858251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3.5.2具备《中华人民共和国政府采购法》第二十二条关于供应商条件的规定，遵守 本项目征集人本级和上级财政部门政府采购的有关规定</w:t>
      </w:r>
    </w:p>
    <w:p w14:paraId="4E397A2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3.5.3以采购代理机构认可的方式获得了本项目的征集文件。</w:t>
      </w:r>
    </w:p>
    <w:p w14:paraId="59E582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3.5.4若供应商须知前附表中写明专门面向中小企业采购的，如供应商为非中小企业，其征集响应文件将被认定为响应无效。</w:t>
      </w:r>
    </w:p>
    <w:p w14:paraId="35A2CC1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3.5.5单位负责人为同一人或者存在直接控股、管理关系的不同供应商，不得参加同一合同项下的政府采购活动。否则其相关征集响应文件将被认定为响应无效。</w:t>
      </w:r>
    </w:p>
    <w:p w14:paraId="5E1261A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3.6为本项目提供过整体设计、规范编制或者项目管理、监理、检测等服务的供应商，不得再参加本项目上述服务以外的其他采购活动。否则其征集响应文件将被认定为响应无效。</w:t>
      </w:r>
    </w:p>
    <w:p w14:paraId="53E749A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4.资金来源</w:t>
      </w:r>
    </w:p>
    <w:p w14:paraId="704E613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4.1本项目的征集人已获得足以支付本次征集后所签订的合同项下的资金。 </w:t>
      </w:r>
    </w:p>
    <w:p w14:paraId="4E6E0BA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4.2项目预算金额或分项(或分包)预算金额见征集公告。</w:t>
      </w:r>
    </w:p>
    <w:p w14:paraId="0E2996A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5.征集费用</w:t>
      </w:r>
    </w:p>
    <w:p w14:paraId="4FCEE90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不论征集的结果如何，供应商应承担其所有与准备和参加征集有关的费用。</w:t>
      </w:r>
    </w:p>
    <w:p w14:paraId="2C3BD8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6.适用法律</w:t>
      </w:r>
    </w:p>
    <w:p w14:paraId="3C2DF5E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项目征集人、采购代理机构、供应商、征集评审小组的相关行为均受《中华人民共和国政府采购法》、《中华人民共和国政府采购法实施条例》及本项目本级和上级财政部门、政府采购监督管理部门的政府采购有关规定的约束，其权利受到上述法律法规的保护。</w:t>
      </w:r>
    </w:p>
    <w:p w14:paraId="6846248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二、征集文件</w:t>
      </w:r>
    </w:p>
    <w:p w14:paraId="45F5DFE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2.征集文件</w:t>
      </w:r>
    </w:p>
    <w:p w14:paraId="33E725A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应认真阅读征集文件中所有的事项、格式、条款和规范等要求。如果没有按照征集文件要求提交全部资料或者征集响应文件没有对征集文件做出实质性响应，该投标有可能被拒绝，其风险应由供应商自行承担。</w:t>
      </w:r>
    </w:p>
    <w:p w14:paraId="168FEEB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征集文件的澄清</w:t>
      </w:r>
    </w:p>
    <w:p w14:paraId="56EA06D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评审小组将对征集响应文件的有效性、完整性和响应程度进行审查，审查时可以要求供应商对征集响应文件中含义不明确、同类问题表述不一致或者有明显文字和计算错误的内容等作出必要的澄清、说明或者更正。供应商的澄清、说明或者更正不得超出征集响应文件的范围或者改变征集响应文件的实质性内容。对不同文字文本征集响应文件的解释发生异议的，以中文文本为准。</w:t>
      </w:r>
    </w:p>
    <w:p w14:paraId="535CA0B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评审小组要求供应商澄清、说明或者更正征集响应文件应当以书面形式(询标)作出。供应商的澄清、说明或者更正应当由法定代表人或其授权代表签字或者加盖公章。</w:t>
      </w:r>
    </w:p>
    <w:p w14:paraId="709D524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2.1.1征集文件的修改</w:t>
      </w:r>
    </w:p>
    <w:p w14:paraId="7CDA4C7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2.1.2在提交征集响应文件截止日期前15天，征集人或</w:t>
      </w:r>
      <w:r>
        <w:rPr>
          <w:rFonts w:hint="eastAsia" w:ascii="仿宋" w:hAnsi="仿宋" w:eastAsia="仿宋" w:cs="仿宋"/>
          <w:color w:val="auto"/>
          <w:spacing w:val="0"/>
          <w:w w:val="100"/>
          <w:position w:val="0"/>
          <w:sz w:val="28"/>
          <w:szCs w:val="28"/>
          <w:highlight w:val="none"/>
          <w:lang w:val="en-US" w:eastAsia="zh-CN"/>
        </w:rPr>
        <w:t>采购</w:t>
      </w:r>
      <w:r>
        <w:rPr>
          <w:rFonts w:hint="eastAsia" w:ascii="仿宋" w:hAnsi="仿宋" w:eastAsia="仿宋" w:cs="仿宋"/>
          <w:color w:val="auto"/>
          <w:spacing w:val="0"/>
          <w:w w:val="100"/>
          <w:position w:val="0"/>
          <w:sz w:val="28"/>
          <w:szCs w:val="28"/>
          <w:highlight w:val="none"/>
        </w:rPr>
        <w:t>代理机构可主动地或在解答供应商提出的问题时对征集文件进行修改。</w:t>
      </w:r>
    </w:p>
    <w:p w14:paraId="2800F44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2.1.3征集文件的修改将以变更公告形式在安徽省政府采购网发布,并对所有供应商具有约束力。</w:t>
      </w:r>
    </w:p>
    <w:p w14:paraId="319A4D0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2.1.4为使供应商在编写征集响应文件时有充分时间对征集文件的修改部分进行研究，代理单位可以酌情后延投标日期。</w:t>
      </w:r>
    </w:p>
    <w:p w14:paraId="408E43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2.1.5</w:t>
      </w:r>
      <w:r>
        <w:rPr>
          <w:rFonts w:hint="eastAsia" w:ascii="仿宋" w:hAnsi="仿宋" w:eastAsia="仿宋" w:cs="仿宋"/>
          <w:color w:val="auto"/>
          <w:spacing w:val="-11"/>
          <w:w w:val="100"/>
          <w:position w:val="0"/>
          <w:sz w:val="28"/>
          <w:szCs w:val="28"/>
          <w:highlight w:val="none"/>
        </w:rPr>
        <w:t>对征集文件的澄清与修改均须经过征集人确认后方可发放。当征集文件、修改补充通知、澄清(答疑)记录内容相互矛盾时，以最后发出的通知(或纪要)或修改文件为准；</w:t>
      </w:r>
    </w:p>
    <w:p w14:paraId="0F9262F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供应商在征集响应文件递交截止时间前须自行查看项目进展、变更通知、澄清及回复，因供应商未及时查看而造成的后果自负。</w:t>
      </w:r>
    </w:p>
    <w:p w14:paraId="3BB417C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三、征集响应文件</w:t>
      </w:r>
    </w:p>
    <w:p w14:paraId="6AAA4C1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3.1征集响应文件的编制依据</w:t>
      </w:r>
    </w:p>
    <w:p w14:paraId="11C9C0E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3.1.1征集人提供的征集文件及有关资料；</w:t>
      </w:r>
    </w:p>
    <w:p w14:paraId="6B5DDFF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3.1.2相关的法律法规。 </w:t>
      </w:r>
    </w:p>
    <w:p w14:paraId="71F9418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3.2征集响应文件格式</w:t>
      </w:r>
    </w:p>
    <w:p w14:paraId="3746F2A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3.2.1征集响应文件应包括本征集文件“征集响应文件格式 ”中所列的内容。</w:t>
      </w:r>
    </w:p>
    <w:p w14:paraId="1C1EE4E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供应商应按照本企业的实际情况提供征集响应文件格式中所要求的资料，如其征集响应文件与其实际不符，一经发现直接取消其投标资格，并将追究其相关法律责任。</w:t>
      </w:r>
    </w:p>
    <w:p w14:paraId="150944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3.2.2编制征集响应文件的语言及计量单位</w:t>
      </w:r>
    </w:p>
    <w:p w14:paraId="7774531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1)各</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与</w:t>
      </w:r>
      <w:r>
        <w:rPr>
          <w:rFonts w:hint="eastAsia" w:ascii="仿宋" w:hAnsi="仿宋" w:eastAsia="仿宋" w:cs="仿宋"/>
          <w:color w:val="auto"/>
          <w:spacing w:val="0"/>
          <w:w w:val="100"/>
          <w:position w:val="0"/>
          <w:sz w:val="28"/>
          <w:szCs w:val="28"/>
          <w:highlight w:val="none"/>
          <w:lang w:eastAsia="zh-CN"/>
        </w:rPr>
        <w:t>采购代理机构</w:t>
      </w:r>
      <w:r>
        <w:rPr>
          <w:rFonts w:hint="eastAsia" w:ascii="仿宋" w:hAnsi="仿宋" w:eastAsia="仿宋" w:cs="仿宋"/>
          <w:color w:val="auto"/>
          <w:spacing w:val="0"/>
          <w:w w:val="100"/>
          <w:position w:val="0"/>
          <w:sz w:val="28"/>
          <w:szCs w:val="28"/>
          <w:highlight w:val="none"/>
        </w:rPr>
        <w:t>就有关招标、投标的所有来往函电均应使用中文。</w:t>
      </w:r>
    </w:p>
    <w:p w14:paraId="620FB49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2)除规范另有规定外，征集响应文件使用的度量衡单位，均采用中华人民共和国法定计量单位。</w:t>
      </w:r>
    </w:p>
    <w:p w14:paraId="4ACBAF6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3.3投标报价</w:t>
      </w:r>
    </w:p>
    <w:p w14:paraId="5A0A5BF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3.3.1报价依据：本项目征集文件中要求。</w:t>
      </w:r>
    </w:p>
    <w:p w14:paraId="7F01C4A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3.3.2投标货币</w:t>
      </w:r>
    </w:p>
    <w:p w14:paraId="5F15E9E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除非另有规定或许可，供应商应采用人民币报价。</w:t>
      </w:r>
    </w:p>
    <w:p w14:paraId="5B5AC4C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3.3.3报价方法：</w:t>
      </w:r>
    </w:p>
    <w:p w14:paraId="346EA48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1)投标报价应按照征集文件要求编制。</w:t>
      </w:r>
    </w:p>
    <w:p w14:paraId="5FB625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服务费应为完成规定的工作内容的各项费用,并包括且不限于在项目所在地办公地点、交通、食宿、通讯、办公设备、专用设备等费用，并包含所提供的高级职称人员、需聘请的专家及最低人数要求所带来的额外费用。</w:t>
      </w:r>
    </w:p>
    <w:p w14:paraId="3BC8F3D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3)服务费价格：服务费以</w:t>
      </w:r>
      <w:r>
        <w:rPr>
          <w:rFonts w:hint="eastAsia" w:ascii="仿宋" w:hAnsi="仿宋" w:eastAsia="仿宋" w:cs="仿宋"/>
          <w:color w:val="auto"/>
          <w:spacing w:val="0"/>
          <w:w w:val="100"/>
          <w:position w:val="0"/>
          <w:sz w:val="28"/>
          <w:szCs w:val="28"/>
          <w:highlight w:val="none"/>
          <w:lang w:eastAsia="zh-CN"/>
        </w:rPr>
        <w:t>成交供应商</w:t>
      </w:r>
      <w:r>
        <w:rPr>
          <w:rFonts w:hint="eastAsia" w:ascii="仿宋" w:hAnsi="仿宋" w:eastAsia="仿宋" w:cs="仿宋"/>
          <w:color w:val="auto"/>
          <w:spacing w:val="0"/>
          <w:w w:val="100"/>
          <w:position w:val="0"/>
          <w:sz w:val="28"/>
          <w:szCs w:val="28"/>
          <w:highlight w:val="none"/>
        </w:rPr>
        <w:t>实际承接任务数额据实结算，每个项目支付价格包括供应商履行合同所需的全部直接费用、间接费用、各种征(取)费、政策性调整因素，各种税金、供应商期望的利润、可能发生的任何风险和责任以及完成全部项目而发生的全部费用等。一旦中标，供应商除合同条款规定的调整价格因素外不能以任何理由追加酬金或提任何调整要求。投标报价中所发生的费用缺漏项以及由此引起的风险由供应商承担，并且不免除供应商以缺漏项费用为理由的违约责任；</w:t>
      </w:r>
    </w:p>
    <w:p w14:paraId="5EFD338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4)本项目在执行过程中，上级对本项目内容有新规定时执行上级规定，本项目自行终止。</w:t>
      </w:r>
    </w:p>
    <w:p w14:paraId="15585C0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3.4征集响应文件的有效期</w:t>
      </w:r>
    </w:p>
    <w:p w14:paraId="6A27C9B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3.4.1征集响应文件的有效期为开标之日起120天。</w:t>
      </w:r>
    </w:p>
    <w:p w14:paraId="59DBB8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3.4.2在原定投标有效期满之前，如果出现特殊情况，经政府采购监督管理机构核准，征集人或</w:t>
      </w:r>
      <w:r>
        <w:rPr>
          <w:rFonts w:hint="eastAsia" w:ascii="仿宋" w:hAnsi="仿宋" w:eastAsia="仿宋" w:cs="仿宋"/>
          <w:color w:val="auto"/>
          <w:spacing w:val="0"/>
          <w:w w:val="100"/>
          <w:position w:val="0"/>
          <w:sz w:val="28"/>
          <w:szCs w:val="28"/>
          <w:highlight w:val="none"/>
          <w:lang w:val="en-US" w:eastAsia="zh-CN"/>
        </w:rPr>
        <w:t>采购</w:t>
      </w:r>
      <w:r>
        <w:rPr>
          <w:rFonts w:hint="eastAsia" w:ascii="仿宋" w:hAnsi="仿宋" w:eastAsia="仿宋" w:cs="仿宋"/>
          <w:color w:val="auto"/>
          <w:spacing w:val="0"/>
          <w:w w:val="100"/>
          <w:position w:val="0"/>
          <w:sz w:val="28"/>
          <w:szCs w:val="28"/>
          <w:highlight w:val="none"/>
        </w:rPr>
        <w:t>代理机构可以跟供应商协商延长投标有效期。</w:t>
      </w:r>
    </w:p>
    <w:p w14:paraId="720B2EF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征集响应文件授权委托书期限不得少于投标有效。</w:t>
      </w:r>
    </w:p>
    <w:p w14:paraId="7DE803B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3.5投标保证金(本项目不收取保证金) </w:t>
      </w:r>
    </w:p>
    <w:p w14:paraId="1CB01F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3.6征集响应文件的修正</w:t>
      </w:r>
    </w:p>
    <w:p w14:paraId="6DEFE73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评标委员会将对确定为实质上响应征集文件要求的征集响应文件进行校核，看其是否有计算或表达上的错误,修正错误的原则如下:</w:t>
      </w:r>
    </w:p>
    <w:p w14:paraId="6A63E8B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3.6.1征集响应文件的大写金额和小写金额不一致的，以大写金额为准；</w:t>
      </w:r>
    </w:p>
    <w:p w14:paraId="0611AFD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3.6.2总价金额与按单价汇总金额不一致的，以单价金额计算结果为准；</w:t>
      </w:r>
    </w:p>
    <w:p w14:paraId="112A9F0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3.6.3单价金额小数点有明显错位的，应以总价为准，并修改单价；</w:t>
      </w:r>
    </w:p>
    <w:p w14:paraId="2A43582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3.6.4对不同文字文本征集响应文件的解释发生异议的，以中文文本为准。</w:t>
      </w:r>
    </w:p>
    <w:p w14:paraId="6F7FC5F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3.7征集响应文件的编制要求</w:t>
      </w:r>
    </w:p>
    <w:p w14:paraId="58692E7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3.7.本项目要求提供加密电子征集响应文件，征集响应文件的制作应满足以下规定：</w:t>
      </w:r>
    </w:p>
    <w:p w14:paraId="79415EF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(1)征集响应文件由供应商使用电子交易系统提供的“</w:t>
      </w:r>
      <w:r>
        <w:rPr>
          <w:rFonts w:hint="eastAsia" w:ascii="仿宋" w:hAnsi="仿宋" w:eastAsia="仿宋" w:cs="仿宋"/>
          <w:color w:val="auto"/>
          <w:spacing w:val="0"/>
          <w:w w:val="100"/>
          <w:position w:val="0"/>
          <w:sz w:val="28"/>
          <w:szCs w:val="28"/>
          <w:highlight w:val="none"/>
          <w:lang w:eastAsia="zh-CN"/>
        </w:rPr>
        <w:t>响应文件</w:t>
      </w:r>
      <w:r>
        <w:rPr>
          <w:rFonts w:hint="eastAsia" w:ascii="仿宋" w:hAnsi="仿宋" w:eastAsia="仿宋" w:cs="仿宋"/>
          <w:color w:val="auto"/>
          <w:spacing w:val="0"/>
          <w:w w:val="100"/>
          <w:position w:val="0"/>
          <w:sz w:val="28"/>
          <w:szCs w:val="28"/>
          <w:highlight w:val="none"/>
        </w:rPr>
        <w:t>制作工具”制作生成。“</w:t>
      </w:r>
      <w:r>
        <w:rPr>
          <w:rFonts w:hint="eastAsia" w:ascii="仿宋" w:hAnsi="仿宋" w:eastAsia="仿宋" w:cs="仿宋"/>
          <w:color w:val="auto"/>
          <w:spacing w:val="0"/>
          <w:w w:val="100"/>
          <w:position w:val="0"/>
          <w:sz w:val="28"/>
          <w:szCs w:val="28"/>
          <w:highlight w:val="none"/>
          <w:lang w:eastAsia="zh-CN"/>
        </w:rPr>
        <w:t>响应文件</w:t>
      </w:r>
      <w:r>
        <w:rPr>
          <w:rFonts w:hint="eastAsia" w:ascii="仿宋" w:hAnsi="仿宋" w:eastAsia="仿宋" w:cs="仿宋"/>
          <w:color w:val="auto"/>
          <w:spacing w:val="0"/>
          <w:w w:val="100"/>
          <w:position w:val="0"/>
          <w:sz w:val="28"/>
          <w:szCs w:val="28"/>
          <w:highlight w:val="none"/>
        </w:rPr>
        <w:t>制作工具”可以通过电子交易系统中下载。供应商应当在互联网络通畅状态下启用最新版</w:t>
      </w:r>
      <w:r>
        <w:rPr>
          <w:rFonts w:hint="eastAsia" w:ascii="仿宋" w:hAnsi="仿宋" w:eastAsia="仿宋" w:cs="仿宋"/>
          <w:color w:val="auto"/>
          <w:spacing w:val="0"/>
          <w:w w:val="100"/>
          <w:position w:val="0"/>
          <w:sz w:val="28"/>
          <w:szCs w:val="28"/>
          <w:highlight w:val="none"/>
          <w:lang w:eastAsia="zh-CN"/>
        </w:rPr>
        <w:t>响应文件</w:t>
      </w:r>
      <w:r>
        <w:rPr>
          <w:rFonts w:hint="eastAsia" w:ascii="仿宋" w:hAnsi="仿宋" w:eastAsia="仿宋" w:cs="仿宋"/>
          <w:color w:val="auto"/>
          <w:spacing w:val="0"/>
          <w:w w:val="100"/>
          <w:position w:val="0"/>
          <w:sz w:val="28"/>
          <w:szCs w:val="28"/>
          <w:highlight w:val="none"/>
        </w:rPr>
        <w:t>制作工具制作征集响应文件。</w:t>
      </w:r>
    </w:p>
    <w:p w14:paraId="3745C9F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在第六章“征集响应文件格式”中要求加盖供应商电子签章处，供应商均应加盖供应商电子签章或公章。联合体参加征集的，除联合体协议及征集文件规定须联合体各成员单位各自盖章的证明材料外，征集响应文件由联合体牵头人按上述规定加盖联合体牵头人单位电子签章或公章。</w:t>
      </w:r>
    </w:p>
    <w:p w14:paraId="1964407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(3)征集响应文件制作完成后，供应商应对征集响应文件进行文件加密，形成加密的征集响应文件。</w:t>
      </w:r>
    </w:p>
    <w:p w14:paraId="189B97F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采用数字证书加密的，加密时征集响应文件的所有内容均只能使用同一把数字证书进行加密，否则引起的解密失败责任由供应商自行承担。</w:t>
      </w:r>
    </w:p>
    <w:p w14:paraId="73123C1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(4)征集响应文件制作的具体方法详见“</w:t>
      </w:r>
      <w:r>
        <w:rPr>
          <w:rFonts w:hint="eastAsia" w:ascii="仿宋" w:hAnsi="仿宋" w:eastAsia="仿宋" w:cs="仿宋"/>
          <w:color w:val="auto"/>
          <w:spacing w:val="0"/>
          <w:w w:val="100"/>
          <w:position w:val="0"/>
          <w:sz w:val="28"/>
          <w:szCs w:val="28"/>
          <w:highlight w:val="none"/>
          <w:lang w:eastAsia="zh-CN"/>
        </w:rPr>
        <w:t>响应文件</w:t>
      </w:r>
      <w:r>
        <w:rPr>
          <w:rFonts w:hint="eastAsia" w:ascii="仿宋" w:hAnsi="仿宋" w:eastAsia="仿宋" w:cs="仿宋"/>
          <w:color w:val="auto"/>
          <w:spacing w:val="0"/>
          <w:w w:val="100"/>
          <w:position w:val="0"/>
          <w:sz w:val="28"/>
          <w:szCs w:val="28"/>
          <w:highlight w:val="none"/>
        </w:rPr>
        <w:t>制作工具”中的帮助文档。</w:t>
      </w:r>
    </w:p>
    <w:p w14:paraId="5056470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因供应商自身原因而导致征集响应文件无法导入电子交易系统电子开标、评标系统的，该征集响应文件视为无效征集响应文件，供应商自行承担由此导致的全部责任。(该征集响应文件是指解密后的征集响应文件)。征集现场提交的其他材料要求详见供应商须知前附表。</w:t>
      </w:r>
    </w:p>
    <w:p w14:paraId="6923445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3.8征集响应文件提交截止时间</w:t>
      </w:r>
    </w:p>
    <w:p w14:paraId="496FE8E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3.8.1供应商应在供应商须知前附表中规定的征集响应文件提交截止时间前，在网上提交加密电子征集响应文件。</w:t>
      </w:r>
    </w:p>
    <w:p w14:paraId="7BACA97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3.9征集响应文件的提交、修改与撤回</w:t>
      </w:r>
    </w:p>
    <w:p w14:paraId="099847F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3.9.1供应商应当在第一章“征集公告”规定的征集响应文件提交截止时间前，将加密的征集响应文件在电子交易系统上传。</w:t>
      </w:r>
    </w:p>
    <w:p w14:paraId="38D1BD0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3.9.2供应商应当在征集响应文件提交截止时间前完成征集响应文件的传输提交并可以补充、修改或者撤回征集响应文件。征集响应文件提交截止时间前未完成征集响应文件传输的，视为撤回征集响应文件。未按规定加密或征集响应文件提交截止时间后送达的征集响应文件，电子交易系统应当拒收。</w:t>
      </w:r>
    </w:p>
    <w:p w14:paraId="2DDD947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3.9.3供应商在供应商须知前附表规定的解密时间(以电子交易系统解密倒计时为准)内完成电子响应文件的解密工作。</w:t>
      </w:r>
    </w:p>
    <w:p w14:paraId="29F0E9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四、开标及评标</w:t>
      </w:r>
    </w:p>
    <w:p w14:paraId="456A81A1">
      <w:pPr>
        <w:pageBreakBefore w:val="0"/>
        <w:numPr>
          <w:ilvl w:val="0"/>
          <w:numId w:val="0"/>
        </w:numPr>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 4.1开标</w:t>
      </w:r>
    </w:p>
    <w:p w14:paraId="55F81B9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4.1.1代理单位按照征集文件规定的时间，地点组织开标。征集响应文件递交截止时间前一小时内，各</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的法定代表人或委托代理人均提前进入网上开标大厅，选择进入对应标段的开标会议区在线签到。</w:t>
      </w:r>
    </w:p>
    <w:p w14:paraId="22304F0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未按规定时间60分钟之内(以系统规定时间为准)解密的征集响应文件的视为供应商自动放弃投标权。</w:t>
      </w:r>
    </w:p>
    <w:p w14:paraId="33B2D2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4.1.2有重大偏离的征集响应文件将被拒绝。</w:t>
      </w:r>
    </w:p>
    <w:p w14:paraId="7DA3C20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4.1.3开标程序</w:t>
      </w:r>
    </w:p>
    <w:p w14:paraId="2E56EBD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主持人按下列程序进行开标：</w:t>
      </w:r>
    </w:p>
    <w:p w14:paraId="7D46078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1)主持人登录网上开标大厅，进入不见面开标系统，选择本项目进行网上开标。</w:t>
      </w:r>
    </w:p>
    <w:p w14:paraId="05D7241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2)各供应商的授权委托人或法定代表人需在征集响应文件递交截止时间前一小时内进入网上开标大厅。征集响应文件递交截止时间截止后，根据主持人的要求在规定 的时间内进行征集响应文件的解密。</w:t>
      </w:r>
    </w:p>
    <w:p w14:paraId="6A1BE31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3)主持人在供应商全部解密征集响应文件成功后，导入全部投标征集响应文件，根据投标报价进行唱标环节。</w:t>
      </w:r>
    </w:p>
    <w:p w14:paraId="6264BD1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4)唱标环节结束后，供应商确认有无异议，若供应商有异议，可一一作出答复，所有供应商确认无异议后开标结束。</w:t>
      </w:r>
    </w:p>
    <w:p w14:paraId="4ECFA5B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rPr>
        <w:t>5)开标结束，</w:t>
      </w:r>
      <w:r>
        <w:rPr>
          <w:rFonts w:hint="eastAsia" w:ascii="仿宋" w:hAnsi="仿宋" w:eastAsia="仿宋" w:cs="仿宋"/>
          <w:color w:val="auto"/>
          <w:spacing w:val="0"/>
          <w:w w:val="100"/>
          <w:position w:val="0"/>
          <w:sz w:val="28"/>
          <w:szCs w:val="28"/>
          <w:highlight w:val="none"/>
          <w:lang w:eastAsia="zh-CN"/>
        </w:rPr>
        <w:t>采购代理机构对开标过程进行记录，并存档备查。转入评标阶段。</w:t>
      </w:r>
      <w:r>
        <w:rPr>
          <w:rFonts w:hint="eastAsia" w:ascii="仿宋" w:hAnsi="仿宋" w:eastAsia="仿宋" w:cs="仿宋"/>
          <w:color w:val="auto"/>
          <w:spacing w:val="0"/>
          <w:w w:val="100"/>
          <w:position w:val="0"/>
          <w:sz w:val="28"/>
          <w:szCs w:val="28"/>
          <w:highlight w:val="none"/>
          <w:lang w:val="en-US" w:eastAsia="zh-CN"/>
        </w:rPr>
        <w:t xml:space="preserve"> </w:t>
      </w:r>
    </w:p>
    <w:p w14:paraId="145A9CE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6)招标代理人对开标过程进行记录，并存档备查；</w:t>
      </w:r>
    </w:p>
    <w:p w14:paraId="22BF1F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4.2评标</w:t>
      </w:r>
    </w:p>
    <w:p w14:paraId="4428AE6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详见征集文件第四章 评标办法</w:t>
      </w:r>
    </w:p>
    <w:p w14:paraId="700BB3B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4.3征集响应文件的澄清</w:t>
      </w:r>
    </w:p>
    <w:p w14:paraId="479E87E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4.3.1评审小组将对征集响应文件的有效性、完整性和响应程度进行审查，审查时可以要求供应商对征集响应文件中含义不明确、同类问题表述不一致或者有明显文字和计算错误的内容等作出必要的澄清、说明或者更正。供应商的澄清、说明或者更正不得超出征集响应文件的范围或者改变征集响应文件的实质性内容。对不同文字文本征集响应文件的解释发生异议的，以中文文本为准。</w:t>
      </w:r>
    </w:p>
    <w:p w14:paraId="3639210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4.3.2评审小组要求供应商澄清、说明或者更正征集响应文件应当以书面形式(询标)作出。供应商的澄清、说明或者更正应当由法定代表人或其授权代表签字或者加盖公章。</w:t>
      </w:r>
    </w:p>
    <w:p w14:paraId="3D27641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4.4废标条件</w:t>
      </w:r>
    </w:p>
    <w:p w14:paraId="7230F83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4.4.1未按照征集文件的规定提交投标保证金(如有)的；</w:t>
      </w:r>
    </w:p>
    <w:p w14:paraId="26E3B69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4.4.2征集响应文件未按征集文件要求签字、盖章的；</w:t>
      </w:r>
    </w:p>
    <w:p w14:paraId="671504E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4.4.3不具备征集文件中规定的资格要求的；</w:t>
      </w:r>
    </w:p>
    <w:p w14:paraId="5F7C5A5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4.4.4报价超过征集文件中规定的最高限价(如有)的；</w:t>
      </w:r>
    </w:p>
    <w:p w14:paraId="78BE7C5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4.4.5投标截止时间以后送达；</w:t>
      </w:r>
    </w:p>
    <w:p w14:paraId="24F4DE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4.4.6无法人身份证明书的或无法定代表人出具的授权委托书的；</w:t>
      </w:r>
    </w:p>
    <w:p w14:paraId="55BDE60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4.4.7征集响应文件的内容不全、扫描件不清晰或者关键内容字迹模糊、无法辨认的；</w:t>
      </w:r>
    </w:p>
    <w:p w14:paraId="189CCA7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4.4.8供应商递交两份或多份内容不同的征集响应文件，或在一份征集响应文件中对同一招标货物或服务报有两个或多个报价的；</w:t>
      </w:r>
    </w:p>
    <w:p w14:paraId="4FB5DF4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4.4.9征集响应文件含有征集人不能接受的附加条件的；</w:t>
      </w:r>
    </w:p>
    <w:p w14:paraId="17EDD6D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4.4.10供应商以他人名义投标、征集响应文件雷同或者以弄虚作假等方式投标的；</w:t>
      </w:r>
    </w:p>
    <w:p w14:paraId="4736FAF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4.4.11出现其他不符合法律法规和不满足征集文件实质性要求的其他情形；</w:t>
      </w:r>
    </w:p>
    <w:p w14:paraId="2CFEA6E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4.4.12未按照征集文件格式制作征集响应文件的；</w:t>
      </w:r>
    </w:p>
    <w:p w14:paraId="09E41BC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4.4.13征集响应文件中所附证件或证明材料无效不能实质性响应征集文件的；</w:t>
      </w:r>
    </w:p>
    <w:p w14:paraId="79C9340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4.4.14如征集人所采购产品为政府强制采购产品，供应商所投产品不属于品目清单范围内或未在认证证书有效期内的。</w:t>
      </w:r>
    </w:p>
    <w:p w14:paraId="14BFD5D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4.4.15征集文件中明确规定可以废标的其他情形；</w:t>
      </w:r>
    </w:p>
    <w:p w14:paraId="40367CF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4.4.16违反法律、法规及有关规定的其它行为。</w:t>
      </w:r>
    </w:p>
    <w:p w14:paraId="496F63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4.5有下列情形之一的，视为供应商串通投标，其投标无效</w:t>
      </w:r>
    </w:p>
    <w:p w14:paraId="3C0ECB0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4.5.1不同供应商的征集响应文件由同一单位或者个人编制</w:t>
      </w:r>
    </w:p>
    <w:p w14:paraId="2407810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4.5.2不同供应商委托同一单位或者个人办理投标事宜 </w:t>
      </w:r>
    </w:p>
    <w:p w14:paraId="6780463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4.5.3 不同供应商的征集响应文件载明的项目管理成员或者联系人员为同一人</w:t>
      </w:r>
    </w:p>
    <w:p w14:paraId="17F3029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4.5.3不同供应商的征集响应文件异常一致或者投标报价呈规律性差异</w:t>
      </w:r>
    </w:p>
    <w:p w14:paraId="6312747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4.5.4不同供应商的征集响应文件互相混装</w:t>
      </w:r>
    </w:p>
    <w:p w14:paraId="22CECC1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4.5.5不同供应商的投标保证金从同一单位或者个人的账户转出。</w:t>
      </w:r>
    </w:p>
    <w:p w14:paraId="3FDB71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4.6其它</w:t>
      </w:r>
    </w:p>
    <w:p w14:paraId="3B32CFA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4.6.1评标委员会有权选择和拒绝供应商中标。评标委员会无义务向供应商进行任何有关评标的解释。</w:t>
      </w:r>
    </w:p>
    <w:p w14:paraId="01F3500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4.6.2供应商在评标过程中，所进行的力图影响评标结果的不符合招标规定的活动，可能导致其被取消中标资格。</w:t>
      </w:r>
    </w:p>
    <w:p w14:paraId="1E50ECB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4.6.3终止征集：出现下列情况之一时，征集人和采购代理机构有权宣布终止征集活动，并将理由通知所有供应商：</w:t>
      </w:r>
    </w:p>
    <w:p w14:paraId="0F40FB8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(1)有效供应商数量不足，不符合法律规定的；</w:t>
      </w:r>
    </w:p>
    <w:p w14:paraId="418E00A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(2)出现影响采购公正的违法、违规行为的；</w:t>
      </w:r>
    </w:p>
    <w:p w14:paraId="7F04D7B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(3)因重大变故，采购任务取消的；</w:t>
      </w:r>
    </w:p>
    <w:p w14:paraId="325253C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(4)政府采购法律法规规定的其他情形。</w:t>
      </w:r>
    </w:p>
    <w:p w14:paraId="2DFD8BE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五、框架协议有效期</w:t>
      </w:r>
    </w:p>
    <w:p w14:paraId="3A493ED8">
      <w:pPr>
        <w:pageBreakBefore w:val="0"/>
        <w:kinsoku w:val="0"/>
        <w:wordWrap/>
        <w:overflowPunct/>
        <w:topLinePunct w:val="0"/>
        <w:bidi w:val="0"/>
        <w:adjustRightInd w:val="0"/>
        <w:snapToGrid w:val="0"/>
        <w:spacing w:line="360" w:lineRule="auto"/>
        <w:ind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5.1框架协议有效期：</w:t>
      </w:r>
    </w:p>
    <w:p w14:paraId="4FE2CAE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val="en-US" w:eastAsia="zh-CN"/>
        </w:rPr>
        <w:t>详见征集公告</w:t>
      </w:r>
      <w:r>
        <w:rPr>
          <w:rFonts w:hint="eastAsia" w:ascii="仿宋" w:hAnsi="仿宋" w:eastAsia="仿宋" w:cs="仿宋"/>
          <w:color w:val="auto"/>
          <w:spacing w:val="0"/>
          <w:w w:val="100"/>
          <w:position w:val="0"/>
          <w:sz w:val="28"/>
          <w:szCs w:val="28"/>
          <w:highlight w:val="none"/>
        </w:rPr>
        <w:t>。</w:t>
      </w:r>
    </w:p>
    <w:p w14:paraId="4B788422">
      <w:pPr>
        <w:pageBreakBefore w:val="0"/>
        <w:kinsoku w:val="0"/>
        <w:wordWrap/>
        <w:overflowPunct/>
        <w:topLinePunct w:val="0"/>
        <w:bidi w:val="0"/>
        <w:adjustRightInd w:val="0"/>
        <w:snapToGrid w:val="0"/>
        <w:spacing w:line="360" w:lineRule="auto"/>
        <w:ind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5.2框架协议采购类型：</w:t>
      </w:r>
    </w:p>
    <w:p w14:paraId="18E8C80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本项目采用封闭式框架协议入围采购的方式，入围供应商无正当理由，不得主动放弃入围资格或者退出框架协议，入围供应商如出现自愿放弃，不可抗力或其他因素导致无法正常签订合同，不进行递补。</w:t>
      </w:r>
    </w:p>
    <w:p w14:paraId="1D30425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六、入围结果通知</w:t>
      </w:r>
    </w:p>
    <w:p w14:paraId="63D6946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6.1为体现“公开、公平、公正”的原则，征集结束后，采购代理机构将在安徽省政府采购网(</w:t>
      </w:r>
      <w:r>
        <w:rPr>
          <w:rFonts w:hint="eastAsia" w:ascii="仿宋" w:hAnsi="仿宋" w:eastAsia="仿宋" w:cs="仿宋"/>
          <w:color w:val="auto"/>
          <w:spacing w:val="0"/>
          <w:w w:val="100"/>
          <w:position w:val="0"/>
          <w:sz w:val="28"/>
          <w:szCs w:val="28"/>
          <w:highlight w:val="none"/>
        </w:rPr>
        <w:fldChar w:fldCharType="begin"/>
      </w:r>
      <w:r>
        <w:rPr>
          <w:rFonts w:hint="eastAsia" w:ascii="仿宋" w:hAnsi="仿宋" w:eastAsia="仿宋" w:cs="仿宋"/>
          <w:color w:val="auto"/>
          <w:spacing w:val="0"/>
          <w:w w:val="100"/>
          <w:position w:val="0"/>
          <w:sz w:val="28"/>
          <w:szCs w:val="28"/>
          <w:highlight w:val="none"/>
        </w:rPr>
        <w:instrText xml:space="preserve"> HYPERLINK "http://www.ccgp-anhui.gov.cn/" </w:instrText>
      </w:r>
      <w:r>
        <w:rPr>
          <w:rFonts w:hint="eastAsia" w:ascii="仿宋" w:hAnsi="仿宋" w:eastAsia="仿宋" w:cs="仿宋"/>
          <w:color w:val="auto"/>
          <w:spacing w:val="0"/>
          <w:w w:val="100"/>
          <w:position w:val="0"/>
          <w:sz w:val="28"/>
          <w:szCs w:val="28"/>
          <w:highlight w:val="none"/>
        </w:rPr>
        <w:fldChar w:fldCharType="separate"/>
      </w:r>
      <w:r>
        <w:rPr>
          <w:rFonts w:hint="eastAsia" w:ascii="仿宋" w:hAnsi="仿宋" w:eastAsia="仿宋" w:cs="仿宋"/>
          <w:color w:val="auto"/>
          <w:spacing w:val="0"/>
          <w:w w:val="100"/>
          <w:position w:val="0"/>
          <w:sz w:val="28"/>
          <w:szCs w:val="28"/>
          <w:highlight w:val="none"/>
        </w:rPr>
        <w:t>www.ccgp-anhui.gov.cn</w:t>
      </w:r>
      <w:r>
        <w:rPr>
          <w:rFonts w:hint="eastAsia" w:ascii="仿宋" w:hAnsi="仿宋" w:eastAsia="仿宋" w:cs="仿宋"/>
          <w:color w:val="auto"/>
          <w:spacing w:val="0"/>
          <w:w w:val="100"/>
          <w:position w:val="0"/>
          <w:sz w:val="28"/>
          <w:szCs w:val="28"/>
          <w:highlight w:val="none"/>
        </w:rPr>
        <w:fldChar w:fldCharType="end"/>
      </w:r>
      <w:r>
        <w:rPr>
          <w:rFonts w:hint="eastAsia" w:ascii="仿宋" w:hAnsi="仿宋" w:eastAsia="仿宋" w:cs="仿宋"/>
          <w:color w:val="auto"/>
          <w:spacing w:val="0"/>
          <w:w w:val="100"/>
          <w:position w:val="0"/>
          <w:sz w:val="28"/>
          <w:szCs w:val="28"/>
          <w:highlight w:val="none"/>
        </w:rPr>
        <w:t>)上发布入围结果公告。</w:t>
      </w:r>
    </w:p>
    <w:p w14:paraId="31D53AF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6.2入围结果公告内容应当包括征集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35D7F26E">
      <w:pPr>
        <w:pageBreakBefore w:val="0"/>
        <w:kinsoku w:val="0"/>
        <w:wordWrap/>
        <w:overflowPunct/>
        <w:topLinePunct w:val="0"/>
        <w:bidi w:val="0"/>
        <w:adjustRightInd w:val="0"/>
        <w:snapToGrid w:val="0"/>
        <w:spacing w:line="360" w:lineRule="auto"/>
        <w:ind w:left="0" w:leftChars="0" w:right="0" w:rightChars="0" w:firstLine="280" w:firstLineChars="1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w:t>
      </w:r>
    </w:p>
    <w:p w14:paraId="26AD3C4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1、征集人定标前对成交候选人进行信用查询，如成交候选人存在不良信用记录，征集人应取消成交候选人资格，并按规定予以处理。</w:t>
      </w:r>
    </w:p>
    <w:p w14:paraId="58EB244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2、不良信用记录是指：</w:t>
      </w:r>
    </w:p>
    <w:p w14:paraId="014ADF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1</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供应商被人民法院列入失信被执行人；</w:t>
      </w:r>
    </w:p>
    <w:p w14:paraId="70B50BE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2</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供应商被税务部门列入重大税收违法案件当事人名单；</w:t>
      </w:r>
    </w:p>
    <w:p w14:paraId="64BBE9D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3</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供应商被政府采购监管部门列入政府采购严重违法失信行为记录名单，以及存在《中华人民共和国政府采购法实施条例》第十九条规定的行政处罚记录。</w:t>
      </w:r>
    </w:p>
    <w:p w14:paraId="7D50FDB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3、以联合体形式参加征集的，联合体任何成员存在以上不良信用记录的，不得确定为成交供应商。</w:t>
      </w:r>
    </w:p>
    <w:p w14:paraId="29204F8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4、信用信息查询渠道：</w:t>
      </w:r>
      <w:r>
        <w:rPr>
          <w:rFonts w:hint="eastAsia" w:ascii="仿宋" w:hAnsi="仿宋" w:eastAsia="仿宋" w:cs="仿宋"/>
          <w:color w:val="auto"/>
          <w:spacing w:val="0"/>
          <w:w w:val="100"/>
          <w:position w:val="0"/>
          <w:sz w:val="28"/>
          <w:szCs w:val="28"/>
          <w:highlight w:val="none"/>
        </w:rPr>
        <w:fldChar w:fldCharType="begin"/>
      </w:r>
      <w:r>
        <w:rPr>
          <w:rFonts w:hint="eastAsia" w:ascii="仿宋" w:hAnsi="仿宋" w:eastAsia="仿宋" w:cs="仿宋"/>
          <w:color w:val="auto"/>
          <w:spacing w:val="0"/>
          <w:w w:val="100"/>
          <w:position w:val="0"/>
          <w:sz w:val="28"/>
          <w:szCs w:val="28"/>
          <w:highlight w:val="none"/>
        </w:rPr>
        <w:instrText xml:space="preserve"> HYPERLINK "http://www.ccgp.gov.cn/" </w:instrText>
      </w:r>
      <w:r>
        <w:rPr>
          <w:rFonts w:hint="eastAsia" w:ascii="仿宋" w:hAnsi="仿宋" w:eastAsia="仿宋" w:cs="仿宋"/>
          <w:color w:val="auto"/>
          <w:spacing w:val="0"/>
          <w:w w:val="100"/>
          <w:position w:val="0"/>
          <w:sz w:val="28"/>
          <w:szCs w:val="28"/>
          <w:highlight w:val="none"/>
        </w:rPr>
        <w:fldChar w:fldCharType="separate"/>
      </w:r>
      <w:r>
        <w:rPr>
          <w:rFonts w:hint="eastAsia" w:ascii="仿宋" w:hAnsi="仿宋" w:eastAsia="仿宋" w:cs="仿宋"/>
          <w:color w:val="auto"/>
          <w:spacing w:val="0"/>
          <w:w w:val="100"/>
          <w:position w:val="0"/>
          <w:sz w:val="28"/>
          <w:szCs w:val="28"/>
          <w:highlight w:val="none"/>
        </w:rPr>
        <w:t>中国政府采购网(www.ccgp.gov.cn</w:t>
      </w:r>
      <w:r>
        <w:rPr>
          <w:rFonts w:hint="eastAsia" w:ascii="仿宋" w:hAnsi="仿宋" w:eastAsia="仿宋" w:cs="仿宋"/>
          <w:color w:val="auto"/>
          <w:spacing w:val="0"/>
          <w:w w:val="100"/>
          <w:position w:val="0"/>
          <w:sz w:val="28"/>
          <w:szCs w:val="28"/>
          <w:highlight w:val="none"/>
        </w:rPr>
        <w:fldChar w:fldCharType="end"/>
      </w:r>
      <w:r>
        <w:rPr>
          <w:rFonts w:hint="eastAsia" w:ascii="仿宋" w:hAnsi="仿宋" w:eastAsia="仿宋" w:cs="仿宋"/>
          <w:color w:val="auto"/>
          <w:spacing w:val="0"/>
          <w:w w:val="100"/>
          <w:position w:val="0"/>
          <w:sz w:val="28"/>
          <w:szCs w:val="28"/>
          <w:highlight w:val="none"/>
        </w:rPr>
        <w:t>)、“信用中国”网站 (</w:t>
      </w:r>
      <w:r>
        <w:rPr>
          <w:rFonts w:hint="eastAsia" w:ascii="仿宋" w:hAnsi="仿宋" w:eastAsia="仿宋" w:cs="仿宋"/>
          <w:color w:val="auto"/>
          <w:spacing w:val="0"/>
          <w:w w:val="100"/>
          <w:position w:val="0"/>
          <w:sz w:val="28"/>
          <w:szCs w:val="28"/>
          <w:highlight w:val="none"/>
        </w:rPr>
        <w:fldChar w:fldCharType="begin"/>
      </w:r>
      <w:r>
        <w:rPr>
          <w:rFonts w:hint="eastAsia" w:ascii="仿宋" w:hAnsi="仿宋" w:eastAsia="仿宋" w:cs="仿宋"/>
          <w:color w:val="auto"/>
          <w:spacing w:val="0"/>
          <w:w w:val="100"/>
          <w:position w:val="0"/>
          <w:sz w:val="28"/>
          <w:szCs w:val="28"/>
          <w:highlight w:val="none"/>
        </w:rPr>
        <w:instrText xml:space="preserve"> HYPERLINK "http://www.creditchina.gov.cn/" </w:instrText>
      </w:r>
      <w:r>
        <w:rPr>
          <w:rFonts w:hint="eastAsia" w:ascii="仿宋" w:hAnsi="仿宋" w:eastAsia="仿宋" w:cs="仿宋"/>
          <w:color w:val="auto"/>
          <w:spacing w:val="0"/>
          <w:w w:val="100"/>
          <w:position w:val="0"/>
          <w:sz w:val="28"/>
          <w:szCs w:val="28"/>
          <w:highlight w:val="none"/>
        </w:rPr>
        <w:fldChar w:fldCharType="separate"/>
      </w:r>
      <w:r>
        <w:rPr>
          <w:rFonts w:hint="eastAsia" w:ascii="仿宋" w:hAnsi="仿宋" w:eastAsia="仿宋" w:cs="仿宋"/>
          <w:color w:val="auto"/>
          <w:spacing w:val="0"/>
          <w:w w:val="100"/>
          <w:position w:val="0"/>
          <w:sz w:val="28"/>
          <w:szCs w:val="28"/>
          <w:highlight w:val="none"/>
        </w:rPr>
        <w:t>www.creditchina.gov.cn</w:t>
      </w:r>
      <w:r>
        <w:rPr>
          <w:rFonts w:hint="eastAsia" w:ascii="仿宋" w:hAnsi="仿宋" w:eastAsia="仿宋" w:cs="仿宋"/>
          <w:color w:val="auto"/>
          <w:spacing w:val="0"/>
          <w:w w:val="100"/>
          <w:position w:val="0"/>
          <w:sz w:val="28"/>
          <w:szCs w:val="28"/>
          <w:highlight w:val="none"/>
        </w:rPr>
        <w:fldChar w:fldCharType="end"/>
      </w:r>
      <w:r>
        <w:rPr>
          <w:rFonts w:hint="eastAsia" w:ascii="仿宋" w:hAnsi="仿宋" w:eastAsia="仿宋" w:cs="仿宋"/>
          <w:color w:val="auto"/>
          <w:spacing w:val="0"/>
          <w:w w:val="100"/>
          <w:position w:val="0"/>
          <w:sz w:val="28"/>
          <w:szCs w:val="28"/>
          <w:highlight w:val="none"/>
        </w:rPr>
        <w:t>)。</w:t>
      </w:r>
    </w:p>
    <w:p w14:paraId="105164E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5、信用信息记录方式：征集人将查询网页打印、签字并存档备查。</w:t>
      </w:r>
    </w:p>
    <w:p w14:paraId="00C5506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七、入围结果通知书</w:t>
      </w:r>
    </w:p>
    <w:p w14:paraId="1D9A8C4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7.1.1采购代理机构发布成交结果公告的同时以供应商须知前附表规定的形式向成交供应商发出</w:t>
      </w:r>
      <w:r>
        <w:rPr>
          <w:rFonts w:hint="eastAsia" w:ascii="仿宋" w:hAnsi="仿宋" w:eastAsia="仿宋" w:cs="仿宋"/>
          <w:color w:val="auto"/>
          <w:spacing w:val="0"/>
          <w:w w:val="100"/>
          <w:position w:val="0"/>
          <w:sz w:val="28"/>
          <w:szCs w:val="28"/>
          <w:highlight w:val="none"/>
          <w:lang w:val="en-US" w:eastAsia="zh-CN"/>
        </w:rPr>
        <w:t>入围结果</w:t>
      </w:r>
      <w:r>
        <w:rPr>
          <w:rFonts w:hint="eastAsia" w:ascii="仿宋" w:hAnsi="仿宋" w:eastAsia="仿宋" w:cs="仿宋"/>
          <w:color w:val="auto"/>
          <w:spacing w:val="0"/>
          <w:w w:val="100"/>
          <w:position w:val="0"/>
          <w:sz w:val="28"/>
          <w:szCs w:val="28"/>
          <w:highlight w:val="none"/>
        </w:rPr>
        <w:t>通知书。</w:t>
      </w:r>
    </w:p>
    <w:p w14:paraId="72F15F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7.1.2入围结果通知书对征集人和成交供应商具有同等法律效力。成交通知书发出以后，征集人改变成交结果或者成交供应商放弃成交资格，应当承担相应的法律责任。</w:t>
      </w:r>
    </w:p>
    <w:p w14:paraId="4578FBE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7.1.3成交通知书是合同的组成部分。</w:t>
      </w:r>
    </w:p>
    <w:p w14:paraId="29B71F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7.2告知入围结果</w:t>
      </w:r>
    </w:p>
    <w:p w14:paraId="3488A09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7.2.1在公告成交结果的同时，采购代理机构同时以供应商须知前附表规定的形式 告知未成交供应商本人的评审得分和排序。</w:t>
      </w:r>
    </w:p>
    <w:p w14:paraId="03DF9DF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7.2.2采购代理机构对未成交的供应商不做未成交原因的解释。</w:t>
      </w:r>
    </w:p>
    <w:p w14:paraId="05B5763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7.2.3履约保证金(如有)</w:t>
      </w:r>
    </w:p>
    <w:p w14:paraId="64F655A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lang w:eastAsia="zh-CN"/>
        </w:rPr>
        <w:t>7.2.4成交供应商应按照供应商须知前附表规定缴纳履约保证金。</w:t>
      </w:r>
    </w:p>
    <w:p w14:paraId="1580146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7.2.5如果成交供应商没有按照上述履约保证金的规定执行，将视为放弃成交资格。在此情况下，征集人可确定下一成交候选供应商为成交供应商，也可以重新开展采购活动。</w:t>
      </w:r>
    </w:p>
    <w:p w14:paraId="291164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八、保密</w:t>
      </w:r>
    </w:p>
    <w:p w14:paraId="0846D70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向</w:t>
      </w:r>
      <w:r>
        <w:rPr>
          <w:rFonts w:hint="eastAsia" w:ascii="仿宋" w:hAnsi="仿宋" w:eastAsia="仿宋" w:cs="仿宋"/>
          <w:color w:val="auto"/>
          <w:spacing w:val="0"/>
          <w:w w:val="100"/>
          <w:position w:val="0"/>
          <w:sz w:val="28"/>
          <w:szCs w:val="28"/>
          <w:highlight w:val="none"/>
          <w:lang w:eastAsia="zh-CN"/>
        </w:rPr>
        <w:t>成交供应商</w:t>
      </w:r>
      <w:r>
        <w:rPr>
          <w:rFonts w:hint="eastAsia" w:ascii="仿宋" w:hAnsi="仿宋" w:eastAsia="仿宋" w:cs="仿宋"/>
          <w:color w:val="auto"/>
          <w:spacing w:val="0"/>
          <w:w w:val="100"/>
          <w:position w:val="0"/>
          <w:sz w:val="28"/>
          <w:szCs w:val="28"/>
          <w:highlight w:val="none"/>
        </w:rPr>
        <w:t>授予合同之前，征集人、采购代理机构、现场监督人员和评标委员会的成员不得向提交征集响应文件的供应商或与这些程序无关的人员泄漏与评标和合同授予有关的信息。</w:t>
      </w:r>
    </w:p>
    <w:p w14:paraId="5FF9BEE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九、落实的政府采购政策：</w:t>
      </w:r>
    </w:p>
    <w:p w14:paraId="376D9D9B">
      <w:pPr>
        <w:pageBreakBefore w:val="0"/>
        <w:kinsoku w:val="0"/>
        <w:wordWrap/>
        <w:overflowPunct/>
        <w:topLinePunct w:val="0"/>
        <w:bidi w:val="0"/>
        <w:adjustRightInd w:val="0"/>
        <w:snapToGrid w:val="0"/>
        <w:spacing w:line="360" w:lineRule="auto"/>
        <w:ind w:left="0" w:leftChars="0" w:right="0" w:rightChars="0" w:firstLine="562" w:firstLineChars="200"/>
        <w:textAlignment w:val="baseline"/>
        <w:rPr>
          <w:rFonts w:hint="eastAsia" w:ascii="仿宋" w:hAnsi="仿宋" w:eastAsia="仿宋" w:cs="仿宋"/>
          <w:b/>
          <w:bCs/>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w:t>
      </w:r>
    </w:p>
    <w:p w14:paraId="756ACB2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十、质疑与投诉</w:t>
      </w:r>
    </w:p>
    <w:p w14:paraId="7700C04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10.1</w:t>
      </w:r>
      <w:r>
        <w:rPr>
          <w:rFonts w:hint="eastAsia" w:ascii="仿宋" w:hAnsi="仿宋" w:eastAsia="仿宋" w:cs="仿宋"/>
          <w:color w:val="auto"/>
          <w:spacing w:val="0"/>
          <w:w w:val="100"/>
          <w:position w:val="0"/>
          <w:sz w:val="28"/>
          <w:szCs w:val="28"/>
          <w:highlight w:val="none"/>
          <w:lang w:eastAsia="zh-CN"/>
        </w:rPr>
        <w:t>供应商认为征集文件、采购过程、成交结果使自己的权益受到损害的，可以根据《中华人民共和国政府采购法》、《中华人民共和国政府采购法实施条例》和《政府采购质疑和投诉办法》的有关规定，依法向征集人或其委托的采购代理机构提出质疑。</w:t>
      </w:r>
    </w:p>
    <w:p w14:paraId="56086BE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10.2质疑供应商应按照财政部制定的《政府采购质疑函范本》格式和《政府采购质疑和投诉办法》的要求，在法定质疑期内以通过电子交易系统在线提出或书面提出，超出法定质疑期提交的质疑将被拒绝。针对同一采购程序环节的质疑应一次性提出。超出法定质疑期的、重复提出的、分次提出的或内容、形式不符合《政府采购质疑和投诉办法》的，质疑供应商将依法承担不利后果。</w:t>
      </w:r>
    </w:p>
    <w:p w14:paraId="60F904C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10.3采购代理机构质疑函接收部门、联系电话和通讯地址，见供应商须知前附表。</w:t>
      </w:r>
    </w:p>
    <w:p w14:paraId="11D29F1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9" w:type="default"/>
          <w:pgSz w:w="11922" w:h="16849"/>
          <w:pgMar w:top="1440" w:right="1803" w:bottom="1440" w:left="1803" w:header="1134" w:footer="1253" w:gutter="0"/>
          <w:pgNumType w:fmt="decimal"/>
          <w:cols w:space="0" w:num="1"/>
          <w:rtlGutter w:val="0"/>
          <w:docGrid w:linePitch="0" w:charSpace="0"/>
        </w:sectPr>
      </w:pPr>
    </w:p>
    <w:p w14:paraId="605AFA49">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highlight w:val="none"/>
        </w:rPr>
      </w:pPr>
      <w:bookmarkStart w:id="4" w:name="_Toc21744"/>
      <w:r>
        <w:rPr>
          <w:rFonts w:hint="eastAsia" w:ascii="华文中宋" w:hAnsi="华文中宋" w:eastAsia="华文中宋" w:cs="华文中宋"/>
          <w:b/>
          <w:bCs/>
          <w:color w:val="auto"/>
          <w:spacing w:val="0"/>
          <w:w w:val="100"/>
          <w:position w:val="0"/>
          <w:sz w:val="44"/>
          <w:szCs w:val="44"/>
          <w:highlight w:val="none"/>
        </w:rPr>
        <w:t>第三章 采购需求</w:t>
      </w:r>
      <w:bookmarkEnd w:id="4"/>
    </w:p>
    <w:p w14:paraId="45BAAB2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前注：</w:t>
      </w:r>
    </w:p>
    <w:p w14:paraId="56F79349">
      <w:pPr>
        <w:pageBreakBefore w:val="0"/>
        <w:kinsoku w:val="0"/>
        <w:wordWrap/>
        <w:overflowPunct/>
        <w:topLinePunct w:val="0"/>
        <w:bidi w:val="0"/>
        <w:adjustRightInd w:val="0"/>
        <w:snapToGrid w:val="0"/>
        <w:spacing w:line="360" w:lineRule="auto"/>
        <w:ind w:left="0" w:leftChars="0" w:right="0" w:rightChars="0" w:firstLine="431"/>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本采购需求中提出的服务方案仅为参考，如无明确限制，供应商可以进行优化，提供满足征集人实际需要的更优(或者性能实质上不低于的)服务方案，且此方案须经评标委员会评审认可。</w:t>
      </w:r>
    </w:p>
    <w:p w14:paraId="4903C32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一、采购需求前附表</w:t>
      </w:r>
    </w:p>
    <w:tbl>
      <w:tblPr>
        <w:tblStyle w:val="25"/>
        <w:tblW w:w="8560" w:type="dxa"/>
        <w:tblInd w:w="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1230"/>
        <w:gridCol w:w="6530"/>
      </w:tblGrid>
      <w:tr w14:paraId="4BEAB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00" w:type="dxa"/>
            <w:vAlign w:val="center"/>
          </w:tcPr>
          <w:p w14:paraId="254B2CDE">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序号</w:t>
            </w:r>
          </w:p>
        </w:tc>
        <w:tc>
          <w:tcPr>
            <w:tcW w:w="1230" w:type="dxa"/>
            <w:vAlign w:val="center"/>
          </w:tcPr>
          <w:p w14:paraId="59089447">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条款名称</w:t>
            </w:r>
          </w:p>
        </w:tc>
        <w:tc>
          <w:tcPr>
            <w:tcW w:w="6530" w:type="dxa"/>
            <w:vAlign w:val="center"/>
          </w:tcPr>
          <w:p w14:paraId="581EAFE7">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内容、说明与要求</w:t>
            </w:r>
          </w:p>
        </w:tc>
      </w:tr>
      <w:tr w14:paraId="1B16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00" w:type="dxa"/>
            <w:vAlign w:val="center"/>
          </w:tcPr>
          <w:p w14:paraId="57053B4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1</w:t>
            </w:r>
          </w:p>
        </w:tc>
        <w:tc>
          <w:tcPr>
            <w:tcW w:w="1230" w:type="dxa"/>
            <w:vAlign w:val="center"/>
          </w:tcPr>
          <w:p w14:paraId="6DB551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付款方式</w:t>
            </w:r>
          </w:p>
        </w:tc>
        <w:tc>
          <w:tcPr>
            <w:tcW w:w="6530" w:type="dxa"/>
            <w:vAlign w:val="center"/>
          </w:tcPr>
          <w:p w14:paraId="6CF132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11"/>
                <w:w w:val="100"/>
                <w:kern w:val="0"/>
                <w:position w:val="0"/>
                <w:sz w:val="28"/>
                <w:szCs w:val="28"/>
                <w:highlight w:val="none"/>
                <w:lang w:val="en-US" w:eastAsia="zh-CN" w:bidi="ar-SA"/>
              </w:rPr>
              <w:t>依据业务量</w:t>
            </w:r>
            <w:r>
              <w:rPr>
                <w:rFonts w:hint="eastAsia" w:ascii="仿宋" w:hAnsi="仿宋" w:eastAsia="仿宋" w:cs="仿宋"/>
                <w:snapToGrid w:val="0"/>
                <w:color w:val="auto"/>
                <w:spacing w:val="-11"/>
                <w:w w:val="100"/>
                <w:kern w:val="0"/>
                <w:position w:val="0"/>
                <w:sz w:val="28"/>
                <w:szCs w:val="28"/>
                <w:highlight w:val="none"/>
                <w:lang w:val="en-US" w:eastAsia="en-US" w:bidi="ar-SA"/>
              </w:rPr>
              <w:t>据实结算</w:t>
            </w:r>
          </w:p>
        </w:tc>
      </w:tr>
      <w:tr w14:paraId="5CA7C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800" w:type="dxa"/>
            <w:vAlign w:val="center"/>
          </w:tcPr>
          <w:p w14:paraId="4CE6321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2</w:t>
            </w:r>
          </w:p>
        </w:tc>
        <w:tc>
          <w:tcPr>
            <w:tcW w:w="1230" w:type="dxa"/>
            <w:vAlign w:val="center"/>
          </w:tcPr>
          <w:p w14:paraId="48BCE8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服务地点</w:t>
            </w:r>
          </w:p>
        </w:tc>
        <w:tc>
          <w:tcPr>
            <w:tcW w:w="6530" w:type="dxa"/>
            <w:vAlign w:val="center"/>
          </w:tcPr>
          <w:p w14:paraId="17A1BA3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zh-CN" w:bidi="ar-SA"/>
              </w:rPr>
              <w:t>使用单位</w:t>
            </w:r>
            <w:r>
              <w:rPr>
                <w:rFonts w:hint="eastAsia" w:ascii="仿宋" w:hAnsi="仿宋" w:eastAsia="仿宋" w:cs="仿宋"/>
                <w:snapToGrid w:val="0"/>
                <w:color w:val="auto"/>
                <w:spacing w:val="0"/>
                <w:w w:val="100"/>
                <w:kern w:val="0"/>
                <w:position w:val="0"/>
                <w:sz w:val="28"/>
                <w:szCs w:val="28"/>
                <w:highlight w:val="none"/>
                <w:lang w:val="en-US" w:eastAsia="en-US" w:bidi="ar-SA"/>
              </w:rPr>
              <w:t>指定地点</w:t>
            </w:r>
          </w:p>
        </w:tc>
      </w:tr>
      <w:tr w14:paraId="68287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00" w:type="dxa"/>
            <w:vAlign w:val="center"/>
          </w:tcPr>
          <w:p w14:paraId="54A8836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3</w:t>
            </w:r>
          </w:p>
        </w:tc>
        <w:tc>
          <w:tcPr>
            <w:tcW w:w="1230" w:type="dxa"/>
            <w:vAlign w:val="center"/>
          </w:tcPr>
          <w:p w14:paraId="7DA96B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服务期限</w:t>
            </w:r>
          </w:p>
        </w:tc>
        <w:tc>
          <w:tcPr>
            <w:tcW w:w="6530" w:type="dxa"/>
            <w:vAlign w:val="center"/>
          </w:tcPr>
          <w:p w14:paraId="1DEFA9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zh-CN" w:bidi="ar-SA"/>
              </w:rPr>
            </w:pPr>
            <w:r>
              <w:rPr>
                <w:rFonts w:hint="eastAsia" w:ascii="仿宋" w:hAnsi="仿宋" w:eastAsia="仿宋" w:cs="仿宋"/>
                <w:snapToGrid w:val="0"/>
                <w:color w:val="auto"/>
                <w:spacing w:val="0"/>
                <w:w w:val="100"/>
                <w:kern w:val="0"/>
                <w:position w:val="0"/>
                <w:sz w:val="28"/>
                <w:szCs w:val="28"/>
                <w:highlight w:val="none"/>
                <w:lang w:val="en-US" w:eastAsia="zh-CN" w:bidi="ar-SA"/>
              </w:rPr>
              <w:t>自框架协议签订之日起2年。采用“1+1”模式，1年服务期满后，对成交供应商进行考核，考核不合格即时终止合同。</w:t>
            </w:r>
          </w:p>
        </w:tc>
      </w:tr>
    </w:tbl>
    <w:p w14:paraId="45B2601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二、项目概况</w:t>
      </w:r>
    </w:p>
    <w:p w14:paraId="4A5B899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为进一步加强我市地价评估管理，适应土地市场现状，规范土地估价业务行为，拟采用框架协议征集10家土地评估服务机构，从事</w:t>
      </w:r>
      <w:r>
        <w:rPr>
          <w:rFonts w:hint="eastAsia" w:ascii="仿宋" w:hAnsi="仿宋" w:eastAsia="仿宋" w:cs="仿宋"/>
          <w:color w:val="auto"/>
          <w:spacing w:val="0"/>
          <w:w w:val="100"/>
          <w:position w:val="0"/>
          <w:sz w:val="28"/>
          <w:szCs w:val="28"/>
          <w:highlight w:val="none"/>
          <w:lang w:val="en-US" w:eastAsia="zh-CN"/>
        </w:rPr>
        <w:t>阜阳市本级202</w:t>
      </w:r>
      <w:r>
        <w:rPr>
          <w:rFonts w:hint="default" w:ascii="仿宋" w:hAnsi="仿宋" w:eastAsia="仿宋" w:cs="仿宋"/>
          <w:color w:val="auto"/>
          <w:spacing w:val="0"/>
          <w:w w:val="100"/>
          <w:position w:val="0"/>
          <w:sz w:val="28"/>
          <w:szCs w:val="28"/>
          <w:highlight w:val="none"/>
          <w:lang w:val="en-US" w:eastAsia="zh-CN"/>
        </w:rPr>
        <w:t>6</w:t>
      </w:r>
      <w:r>
        <w:rPr>
          <w:rFonts w:hint="eastAsia" w:ascii="仿宋" w:hAnsi="仿宋" w:eastAsia="仿宋" w:cs="仿宋"/>
          <w:color w:val="auto"/>
          <w:spacing w:val="0"/>
          <w:w w:val="100"/>
          <w:position w:val="0"/>
          <w:sz w:val="28"/>
          <w:szCs w:val="28"/>
          <w:highlight w:val="none"/>
          <w:lang w:val="en-US" w:eastAsia="zh-CN"/>
        </w:rPr>
        <w:t>-202</w:t>
      </w:r>
      <w:r>
        <w:rPr>
          <w:rFonts w:hint="default" w:ascii="仿宋" w:hAnsi="仿宋" w:eastAsia="仿宋" w:cs="仿宋"/>
          <w:color w:val="auto"/>
          <w:spacing w:val="0"/>
          <w:w w:val="100"/>
          <w:position w:val="0"/>
          <w:sz w:val="28"/>
          <w:szCs w:val="28"/>
          <w:highlight w:val="none"/>
          <w:lang w:val="en-US" w:eastAsia="zh-CN"/>
        </w:rPr>
        <w:t>8</w:t>
      </w:r>
      <w:r>
        <w:rPr>
          <w:rFonts w:hint="eastAsia" w:ascii="仿宋" w:hAnsi="仿宋" w:eastAsia="仿宋" w:cs="仿宋"/>
          <w:color w:val="auto"/>
          <w:spacing w:val="0"/>
          <w:w w:val="100"/>
          <w:position w:val="0"/>
          <w:sz w:val="28"/>
          <w:szCs w:val="28"/>
          <w:highlight w:val="none"/>
          <w:lang w:val="en-US" w:eastAsia="zh-CN"/>
        </w:rPr>
        <w:t>年经营性土地出让（收储）地价评估业务</w:t>
      </w:r>
      <w:r>
        <w:rPr>
          <w:rFonts w:hint="eastAsia" w:ascii="仿宋" w:hAnsi="仿宋" w:eastAsia="仿宋" w:cs="仿宋"/>
          <w:color w:val="auto"/>
          <w:spacing w:val="0"/>
          <w:w w:val="100"/>
          <w:position w:val="0"/>
          <w:sz w:val="28"/>
          <w:szCs w:val="28"/>
          <w:highlight w:val="none"/>
          <w:lang w:val="en-US" w:eastAsia="zh-CN"/>
        </w:rPr>
        <w:t>。</w:t>
      </w:r>
    </w:p>
    <w:p w14:paraId="1F727DDC">
      <w:pPr>
        <w:pageBreakBefore w:val="0"/>
        <w:numPr>
          <w:ilvl w:val="0"/>
          <w:numId w:val="2"/>
        </w:numPr>
        <w:kinsoku w:val="0"/>
        <w:wordWrap/>
        <w:overflowPunct/>
        <w:topLinePunct w:val="0"/>
        <w:bidi w:val="0"/>
        <w:adjustRightInd w:val="0"/>
        <w:snapToGrid w:val="0"/>
        <w:spacing w:line="360" w:lineRule="auto"/>
        <w:ind w:left="0" w:leftChars="0" w:right="0" w:rightChars="0" w:firstLine="562" w:firstLineChars="200"/>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服务需求</w:t>
      </w:r>
    </w:p>
    <w:p w14:paraId="43EE1F1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 xml:space="preserve">阜阳市自然资源和规划局拟通过框架协议方式征集10家土地评估服务机构，从事阜阳市本级商服、住宅、政府储备、划拨土地使用权补办出让手续等评估业务类型的宗地价格评估业务。其中，按供应商得分排序，前5名具有房产、土地评估资质服务于划拨转出让、土地改变使用条件、企业改制等项目专项评估，不再另行摇号选取。   </w:t>
      </w:r>
    </w:p>
    <w:p w14:paraId="02A93DC3">
      <w:pPr>
        <w:pageBreakBefore w:val="0"/>
        <w:kinsoku w:val="0"/>
        <w:wordWrap/>
        <w:overflowPunct/>
        <w:topLinePunct w:val="0"/>
        <w:bidi w:val="0"/>
        <w:adjustRightInd w:val="0"/>
        <w:snapToGrid w:val="0"/>
        <w:spacing w:line="360" w:lineRule="auto"/>
        <w:ind w:right="0" w:rightChars="0" w:firstLine="560" w:firstLineChars="200"/>
        <w:textAlignment w:val="baseline"/>
        <w:rPr>
          <w:rFonts w:hint="default" w:ascii="方正仿宋简体" w:hAnsi="方正仿宋简体" w:eastAsia="方正仿宋简体" w:cs="方正仿宋简体"/>
          <w:color w:val="auto"/>
          <w:sz w:val="32"/>
          <w:szCs w:val="32"/>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响应文件中拟派</w:t>
      </w:r>
      <w:r>
        <w:rPr>
          <w:rFonts w:hint="eastAsia" w:ascii="仿宋" w:hAnsi="仿宋" w:eastAsia="仿宋" w:cs="仿宋"/>
          <w:color w:val="auto"/>
          <w:spacing w:val="0"/>
          <w:w w:val="100"/>
          <w:position w:val="0"/>
          <w:sz w:val="28"/>
          <w:szCs w:val="28"/>
          <w:highlight w:val="none"/>
          <w:lang w:val="en-US" w:eastAsia="zh-CN"/>
        </w:rPr>
        <w:t>项目人员需至少有5名人员具备土地估价师或国务院房地产估价师职业资格改革后的房地产估价师资格证书。</w:t>
      </w:r>
    </w:p>
    <w:p w14:paraId="020C837C">
      <w:pPr>
        <w:pageBreakBefore w:val="0"/>
        <w:numPr>
          <w:ilvl w:val="0"/>
          <w:numId w:val="0"/>
        </w:numPr>
        <w:kinsoku w:val="0"/>
        <w:wordWrap/>
        <w:overflowPunct/>
        <w:topLinePunct w:val="0"/>
        <w:bidi w:val="0"/>
        <w:adjustRightInd w:val="0"/>
        <w:snapToGrid w:val="0"/>
        <w:spacing w:line="360" w:lineRule="auto"/>
        <w:ind w:right="0" w:rightChars="0" w:firstLine="562" w:firstLineChars="200"/>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四、报价要求</w:t>
      </w:r>
    </w:p>
    <w:p w14:paraId="38DBC481">
      <w:pPr>
        <w:pageBreakBefore w:val="0"/>
        <w:numPr>
          <w:ilvl w:val="0"/>
          <w:numId w:val="0"/>
        </w:numPr>
        <w:kinsoku w:val="0"/>
        <w:wordWrap/>
        <w:overflowPunct/>
        <w:topLinePunct w:val="0"/>
        <w:bidi w:val="0"/>
        <w:adjustRightInd w:val="0"/>
        <w:snapToGrid w:val="0"/>
        <w:spacing w:line="360" w:lineRule="auto"/>
        <w:ind w:left="559" w:leftChars="266" w:right="0" w:rightChars="0" w:firstLine="0" w:firstLineChars="0"/>
        <w:textAlignment w:val="baseline"/>
        <w:rPr>
          <w:rFonts w:hint="eastAsia" w:ascii="仿宋" w:hAnsi="仿宋" w:eastAsia="仿宋" w:cs="仿宋"/>
          <w:b/>
          <w:bCs/>
          <w:snapToGrid w:val="0"/>
          <w:color w:val="auto"/>
          <w:spacing w:val="0"/>
          <w:w w:val="100"/>
          <w:kern w:val="0"/>
          <w:position w:val="0"/>
          <w:sz w:val="28"/>
          <w:szCs w:val="28"/>
          <w:highlight w:val="none"/>
          <w:lang w:val="zh-CN" w:eastAsia="zh-CN" w:bidi="ar-SA"/>
        </w:rPr>
      </w:pPr>
      <w:r>
        <w:rPr>
          <w:rFonts w:hint="eastAsia" w:ascii="仿宋" w:hAnsi="仿宋" w:eastAsia="仿宋" w:cs="仿宋"/>
          <w:snapToGrid w:val="0"/>
          <w:color w:val="auto"/>
          <w:spacing w:val="0"/>
          <w:w w:val="100"/>
          <w:kern w:val="0"/>
          <w:position w:val="0"/>
          <w:sz w:val="28"/>
          <w:szCs w:val="28"/>
          <w:highlight w:val="none"/>
          <w:lang w:val="en-US" w:eastAsia="zh-CN" w:bidi="ar-SA"/>
        </w:rPr>
        <w:t>本项目为固定报价，公管公服、公用设施、工业用地、仓储物流和交通运输用地评估费计费标准为每宗地3000元，商服、住宅等经营性用地及特殊项目评估收费计算见下表，折扣率统一为30%，单宗土地评估总费用最高不超过3万元（“一地多评”暨多家评估出报告的，费用均摊）。</w:t>
      </w:r>
    </w:p>
    <w:tbl>
      <w:tblPr>
        <w:tblStyle w:val="21"/>
        <w:tblW w:w="42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3"/>
        <w:gridCol w:w="4207"/>
        <w:gridCol w:w="1655"/>
      </w:tblGrid>
      <w:tr w14:paraId="1886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DDA24">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序号</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54AF9">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土地</w:t>
            </w:r>
            <w:r>
              <w:rPr>
                <w:rStyle w:val="28"/>
                <w:rFonts w:hint="eastAsia" w:ascii="仿宋" w:hAnsi="仿宋" w:eastAsia="仿宋" w:cs="仿宋"/>
                <w:color w:val="auto"/>
                <w:highlight w:val="none"/>
                <w:lang w:val="en-US" w:eastAsia="zh-CN" w:bidi="ar"/>
              </w:rPr>
              <w:t>价</w:t>
            </w:r>
            <w:r>
              <w:rPr>
                <w:rStyle w:val="29"/>
                <w:rFonts w:hint="eastAsia" w:ascii="仿宋" w:hAnsi="仿宋" w:eastAsia="仿宋" w:cs="仿宋"/>
                <w:color w:val="auto"/>
                <w:highlight w:val="none"/>
                <w:lang w:val="en-US" w:eastAsia="zh-CN" w:bidi="ar"/>
              </w:rPr>
              <w:t>格总额（万元）</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658FF">
            <w:pPr>
              <w:keepNext w:val="0"/>
              <w:keepLines w:val="0"/>
              <w:widowControl/>
              <w:suppressLineNumbers w:val="0"/>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1"/>
                <w:szCs w:val="21"/>
                <w:highlight w:val="none"/>
                <w:u w:val="none"/>
                <w:lang w:val="en-US" w:eastAsia="zh-CN" w:bidi="ar"/>
              </w:rPr>
              <w:t>收费标准（‰）</w:t>
            </w:r>
          </w:p>
        </w:tc>
      </w:tr>
      <w:tr w14:paraId="78948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383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814A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100以下（含100）</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7B2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r>
      <w:tr w14:paraId="4DC2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CD98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0713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100（不含）-200（含）部分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6CA2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r>
      <w:tr w14:paraId="0ACB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A49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6A9E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200（不含）-1000（含）部分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726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r>
      <w:tr w14:paraId="2F1F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521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9275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1000（不含）-2000（含）部分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FA06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1.5</w:t>
            </w:r>
          </w:p>
        </w:tc>
      </w:tr>
      <w:tr w14:paraId="74E73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513C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54E2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2000（不含）-5000（含）部分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16FBB">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0.8</w:t>
            </w:r>
          </w:p>
        </w:tc>
      </w:tr>
      <w:tr w14:paraId="0EE3B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7AC9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3A11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5000（不含）-10000（含）部分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F880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0.4</w:t>
            </w:r>
          </w:p>
        </w:tc>
      </w:tr>
      <w:tr w14:paraId="02A3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jc w:val="center"/>
        </w:trPr>
        <w:tc>
          <w:tcPr>
            <w:tcW w:w="9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BE0E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29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D162B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10000（不含）以上部分</w:t>
            </w:r>
          </w:p>
        </w:tc>
        <w:tc>
          <w:tcPr>
            <w:tcW w:w="11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6232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0.1</w:t>
            </w:r>
          </w:p>
        </w:tc>
      </w:tr>
    </w:tbl>
    <w:p w14:paraId="1FB03FBE">
      <w:pPr>
        <w:pageBreakBefore w:val="0"/>
        <w:numPr>
          <w:ilvl w:val="0"/>
          <w:numId w:val="0"/>
        </w:numPr>
        <w:kinsoku w:val="0"/>
        <w:wordWrap/>
        <w:overflowPunct/>
        <w:topLinePunct w:val="0"/>
        <w:bidi w:val="0"/>
        <w:adjustRightInd w:val="0"/>
        <w:snapToGrid w:val="0"/>
        <w:spacing w:line="360" w:lineRule="auto"/>
        <w:ind w:left="559" w:leftChars="266" w:right="0" w:rightChars="0" w:firstLine="0" w:firstLineChars="0"/>
        <w:textAlignment w:val="baseline"/>
        <w:rPr>
          <w:rFonts w:hint="eastAsia" w:ascii="仿宋" w:hAnsi="仿宋" w:eastAsia="仿宋" w:cs="仿宋"/>
          <w:snapToGrid w:val="0"/>
          <w:color w:val="auto"/>
          <w:spacing w:val="0"/>
          <w:w w:val="100"/>
          <w:kern w:val="0"/>
          <w:position w:val="0"/>
          <w:sz w:val="28"/>
          <w:szCs w:val="28"/>
          <w:highlight w:val="none"/>
          <w:lang w:val="en-US" w:eastAsia="zh-CN" w:bidi="ar-SA"/>
        </w:rPr>
      </w:pPr>
      <w:r>
        <w:rPr>
          <w:rFonts w:hint="eastAsia" w:ascii="仿宋" w:hAnsi="仿宋" w:eastAsia="仿宋" w:cs="仿宋"/>
          <w:snapToGrid w:val="0"/>
          <w:color w:val="auto"/>
          <w:spacing w:val="0"/>
          <w:w w:val="100"/>
          <w:kern w:val="0"/>
          <w:position w:val="0"/>
          <w:sz w:val="28"/>
          <w:szCs w:val="28"/>
          <w:highlight w:val="none"/>
          <w:lang w:val="zh-CN" w:eastAsia="zh-CN" w:bidi="ar-SA"/>
        </w:rPr>
        <w:t>示例:评估总地价为1500万元，土地评估费用为:</w:t>
      </w:r>
      <w:r>
        <w:rPr>
          <w:rFonts w:hint="eastAsia" w:ascii="仿宋" w:hAnsi="仿宋" w:eastAsia="仿宋" w:cs="仿宋"/>
          <w:snapToGrid w:val="0"/>
          <w:color w:val="auto"/>
          <w:spacing w:val="0"/>
          <w:w w:val="100"/>
          <w:kern w:val="0"/>
          <w:position w:val="0"/>
          <w:sz w:val="28"/>
          <w:szCs w:val="28"/>
          <w:highlight w:val="none"/>
          <w:lang w:val="en-US" w:eastAsia="zh-CN" w:bidi="ar-SA"/>
        </w:rPr>
        <w:t>[</w:t>
      </w:r>
      <w:r>
        <w:rPr>
          <w:rFonts w:hint="eastAsia" w:ascii="仿宋" w:hAnsi="仿宋" w:eastAsia="仿宋" w:cs="仿宋"/>
          <w:snapToGrid w:val="0"/>
          <w:color w:val="auto"/>
          <w:spacing w:val="0"/>
          <w:w w:val="100"/>
          <w:kern w:val="0"/>
          <w:position w:val="0"/>
          <w:sz w:val="28"/>
          <w:szCs w:val="28"/>
          <w:highlight w:val="none"/>
          <w:lang w:val="zh-CN" w:eastAsia="zh-CN" w:bidi="ar-SA"/>
        </w:rPr>
        <w:t>100万元×4‰+(200-100)万元×3‰+(1000-200)万元×2‰+(1500-1000)万元×1.5‰</w:t>
      </w:r>
      <w:r>
        <w:rPr>
          <w:rFonts w:hint="eastAsia" w:ascii="仿宋" w:hAnsi="仿宋" w:eastAsia="仿宋" w:cs="仿宋"/>
          <w:snapToGrid w:val="0"/>
          <w:color w:val="auto"/>
          <w:spacing w:val="0"/>
          <w:w w:val="100"/>
          <w:kern w:val="0"/>
          <w:position w:val="0"/>
          <w:sz w:val="28"/>
          <w:szCs w:val="28"/>
          <w:highlight w:val="none"/>
          <w:lang w:val="en-US" w:eastAsia="zh-CN" w:bidi="ar-SA"/>
        </w:rPr>
        <w:t>]</w:t>
      </w:r>
      <w:r>
        <w:rPr>
          <w:rFonts w:hint="eastAsia" w:ascii="仿宋" w:hAnsi="仿宋" w:eastAsia="仿宋" w:cs="仿宋"/>
          <w:snapToGrid w:val="0"/>
          <w:color w:val="auto"/>
          <w:spacing w:val="0"/>
          <w:w w:val="100"/>
          <w:kern w:val="0"/>
          <w:position w:val="0"/>
          <w:sz w:val="28"/>
          <w:szCs w:val="28"/>
          <w:highlight w:val="none"/>
          <w:lang w:val="zh-CN" w:eastAsia="zh-CN" w:bidi="ar-SA"/>
        </w:rPr>
        <w:t>×</w:t>
      </w:r>
      <w:r>
        <w:rPr>
          <w:rFonts w:hint="eastAsia" w:ascii="仿宋" w:hAnsi="仿宋" w:eastAsia="仿宋" w:cs="仿宋"/>
          <w:snapToGrid w:val="0"/>
          <w:color w:val="auto"/>
          <w:spacing w:val="0"/>
          <w:w w:val="100"/>
          <w:kern w:val="0"/>
          <w:position w:val="0"/>
          <w:sz w:val="28"/>
          <w:szCs w:val="28"/>
          <w:highlight w:val="none"/>
          <w:lang w:val="en-US" w:eastAsia="zh-CN" w:bidi="ar-SA"/>
        </w:rPr>
        <w:t>30%</w:t>
      </w:r>
      <w:r>
        <w:rPr>
          <w:rFonts w:hint="eastAsia" w:ascii="仿宋" w:hAnsi="仿宋" w:eastAsia="仿宋" w:cs="仿宋"/>
          <w:snapToGrid w:val="0"/>
          <w:color w:val="auto"/>
          <w:spacing w:val="0"/>
          <w:w w:val="100"/>
          <w:kern w:val="0"/>
          <w:position w:val="0"/>
          <w:sz w:val="28"/>
          <w:szCs w:val="28"/>
          <w:highlight w:val="none"/>
          <w:lang w:val="zh-CN" w:eastAsia="zh-CN" w:bidi="ar-SA"/>
        </w:rPr>
        <w:t>=30500元×</w:t>
      </w:r>
      <w:r>
        <w:rPr>
          <w:rFonts w:hint="eastAsia" w:ascii="仿宋" w:hAnsi="仿宋" w:eastAsia="仿宋" w:cs="仿宋"/>
          <w:snapToGrid w:val="0"/>
          <w:color w:val="auto"/>
          <w:spacing w:val="0"/>
          <w:w w:val="100"/>
          <w:kern w:val="0"/>
          <w:position w:val="0"/>
          <w:sz w:val="28"/>
          <w:szCs w:val="28"/>
          <w:highlight w:val="none"/>
          <w:lang w:val="en-US" w:eastAsia="zh-CN" w:bidi="ar-SA"/>
        </w:rPr>
        <w:t>30%=9050元</w:t>
      </w:r>
      <w:r>
        <w:rPr>
          <w:rFonts w:hint="eastAsia" w:ascii="仿宋" w:hAnsi="仿宋" w:eastAsia="仿宋" w:cs="仿宋"/>
          <w:snapToGrid w:val="0"/>
          <w:color w:val="auto"/>
          <w:spacing w:val="0"/>
          <w:w w:val="100"/>
          <w:kern w:val="0"/>
          <w:position w:val="0"/>
          <w:sz w:val="28"/>
          <w:szCs w:val="28"/>
          <w:highlight w:val="none"/>
          <w:lang w:val="zh-CN" w:eastAsia="zh-CN" w:bidi="ar-SA"/>
        </w:rPr>
        <w:t>。</w:t>
      </w:r>
    </w:p>
    <w:p w14:paraId="363B3ACD">
      <w:pPr>
        <w:pageBreakBefore w:val="0"/>
        <w:numPr>
          <w:ilvl w:val="0"/>
          <w:numId w:val="0"/>
        </w:numPr>
        <w:kinsoku w:val="0"/>
        <w:wordWrap/>
        <w:overflowPunct/>
        <w:topLinePunct w:val="0"/>
        <w:bidi w:val="0"/>
        <w:adjustRightInd w:val="0"/>
        <w:snapToGrid w:val="0"/>
        <w:spacing w:line="360" w:lineRule="auto"/>
        <w:ind w:right="0" w:rightChars="0" w:firstLine="560" w:firstLineChars="200"/>
        <w:textAlignment w:val="baseline"/>
        <w:rPr>
          <w:rFonts w:hint="eastAsia" w:ascii="宋体" w:hAnsi="宋体" w:eastAsia="宋体" w:cs="宋体"/>
          <w:color w:val="auto"/>
          <w:sz w:val="24"/>
          <w:szCs w:val="24"/>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框架服务期内，遇到土地流标、改变出让条件等原因，须调整估价结果重新提交成果报告的，由原土地估价机构重新评估提交，不再收取评估费用。</w:t>
      </w:r>
    </w:p>
    <w:p w14:paraId="3DB42B4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五、其他要求</w:t>
      </w:r>
    </w:p>
    <w:p w14:paraId="3258213F">
      <w:pPr>
        <w:numPr>
          <w:ilvl w:val="0"/>
          <w:numId w:val="0"/>
        </w:numPr>
        <w:ind w:firstLine="562" w:firstLineChars="200"/>
        <w:rPr>
          <w:rFonts w:hint="eastAsia" w:ascii="仿宋" w:hAnsi="仿宋" w:eastAsia="仿宋" w:cs="仿宋"/>
          <w:b/>
          <w:bCs/>
          <w:snapToGrid w:val="0"/>
          <w:color w:val="auto"/>
          <w:spacing w:val="0"/>
          <w:w w:val="100"/>
          <w:kern w:val="0"/>
          <w:position w:val="0"/>
          <w:sz w:val="28"/>
          <w:szCs w:val="28"/>
          <w:highlight w:val="none"/>
          <w:lang w:val="en-US" w:eastAsia="zh-CN" w:bidi="ar-SA"/>
        </w:rPr>
      </w:pPr>
      <w:r>
        <w:rPr>
          <w:rFonts w:hint="eastAsia" w:ascii="仿宋" w:hAnsi="仿宋" w:eastAsia="仿宋" w:cs="仿宋"/>
          <w:b/>
          <w:bCs/>
          <w:snapToGrid w:val="0"/>
          <w:color w:val="auto"/>
          <w:spacing w:val="0"/>
          <w:w w:val="100"/>
          <w:kern w:val="0"/>
          <w:position w:val="0"/>
          <w:sz w:val="28"/>
          <w:szCs w:val="28"/>
          <w:highlight w:val="none"/>
          <w:lang w:val="en-US" w:eastAsia="zh-CN" w:bidi="ar-SA"/>
        </w:rPr>
        <w:t>本项目合同履行期间采用积分制诚信管理。</w:t>
      </w:r>
    </w:p>
    <w:p w14:paraId="3DD0D9BB">
      <w:pPr>
        <w:pStyle w:val="9"/>
        <w:rPr>
          <w:rFonts w:hint="eastAsia"/>
          <w:color w:val="auto"/>
          <w:lang w:val="zh-CN"/>
        </w:rPr>
      </w:pPr>
    </w:p>
    <w:p w14:paraId="2784E274">
      <w:pPr>
        <w:pageBreakBefore w:val="0"/>
        <w:numPr>
          <w:ilvl w:val="0"/>
          <w:numId w:val="0"/>
        </w:numPr>
        <w:kinsoku w:val="0"/>
        <w:wordWrap/>
        <w:overflowPunct/>
        <w:topLinePunct w:val="0"/>
        <w:bidi w:val="0"/>
        <w:adjustRightInd w:val="0"/>
        <w:snapToGrid w:val="0"/>
        <w:spacing w:line="360" w:lineRule="auto"/>
        <w:ind w:right="0" w:rightChars="0" w:firstLine="562" w:firstLineChars="200"/>
        <w:textAlignment w:val="baseline"/>
        <w:rPr>
          <w:rFonts w:hint="default" w:ascii="仿宋" w:hAnsi="仿宋" w:eastAsia="仿宋" w:cs="仿宋"/>
          <w:b/>
          <w:bCs/>
          <w:snapToGrid w:val="0"/>
          <w:color w:val="auto"/>
          <w:spacing w:val="0"/>
          <w:w w:val="100"/>
          <w:kern w:val="0"/>
          <w:position w:val="0"/>
          <w:sz w:val="28"/>
          <w:szCs w:val="28"/>
          <w:highlight w:val="none"/>
          <w:lang w:val="en-US" w:eastAsia="zh-CN" w:bidi="ar-SA"/>
        </w:rPr>
      </w:pPr>
    </w:p>
    <w:p w14:paraId="6542E66B">
      <w:pPr>
        <w:pageBreakBefore w:val="0"/>
        <w:numPr>
          <w:ilvl w:val="0"/>
          <w:numId w:val="0"/>
        </w:numPr>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br w:type="page"/>
      </w:r>
    </w:p>
    <w:p w14:paraId="6C12BD81">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highlight w:val="none"/>
        </w:rPr>
      </w:pPr>
      <w:bookmarkStart w:id="5" w:name="_Toc28157"/>
      <w:r>
        <w:rPr>
          <w:rFonts w:hint="eastAsia" w:ascii="华文中宋" w:hAnsi="华文中宋" w:eastAsia="华文中宋" w:cs="华文中宋"/>
          <w:b/>
          <w:bCs/>
          <w:color w:val="auto"/>
          <w:spacing w:val="0"/>
          <w:w w:val="100"/>
          <w:position w:val="0"/>
          <w:sz w:val="44"/>
          <w:szCs w:val="44"/>
          <w:highlight w:val="none"/>
        </w:rPr>
        <w:t>第四章 评标办法</w:t>
      </w:r>
      <w:bookmarkEnd w:id="5"/>
    </w:p>
    <w:p w14:paraId="5F3A067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一、评标原则</w:t>
      </w:r>
    </w:p>
    <w:p w14:paraId="73AA41D6">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根据《中华人民共和国政府采购法》及相关法律法规的</w:t>
      </w:r>
      <w:r>
        <w:rPr>
          <w:rFonts w:hint="eastAsia" w:ascii="仿宋" w:hAnsi="仿宋" w:eastAsia="仿宋" w:cs="仿宋"/>
          <w:color w:val="auto"/>
          <w:spacing w:val="0"/>
          <w:w w:val="100"/>
          <w:position w:val="0"/>
          <w:sz w:val="28"/>
          <w:szCs w:val="28"/>
          <w:highlight w:val="none"/>
          <w:lang w:eastAsia="zh-CN"/>
        </w:rPr>
        <w:t>有关</w:t>
      </w:r>
      <w:r>
        <w:rPr>
          <w:rFonts w:hint="eastAsia" w:ascii="仿宋" w:hAnsi="仿宋" w:eastAsia="仿宋" w:cs="仿宋"/>
          <w:color w:val="auto"/>
          <w:spacing w:val="0"/>
          <w:w w:val="100"/>
          <w:position w:val="0"/>
          <w:sz w:val="28"/>
          <w:szCs w:val="28"/>
          <w:highlight w:val="none"/>
        </w:rPr>
        <w:t>规定，在坚持公平、公正、科学、择优的原则基础上，由评标委员会根据征集文件载明的评标办法和标准，对供应商进行综合评定。</w:t>
      </w:r>
    </w:p>
    <w:p w14:paraId="1929A6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二、评标委员会的组成：</w:t>
      </w:r>
    </w:p>
    <w:p w14:paraId="093C6BD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人依法组建评标委员会，评标委员会由征集人和评标专家库中随机抽取的技术、经济等有关方面的专家组成，成员人数为五人以上单数，其中技术、经济等方面的专家不得少于成员总数的三分之二。有《中华人民共和国政府采购法实施条例》中第九条规定情形中的专家及征集人评委应当回避不能担任评委。</w:t>
      </w:r>
    </w:p>
    <w:p w14:paraId="20399F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三、评标办法</w:t>
      </w:r>
    </w:p>
    <w:p w14:paraId="03758A1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根据中华人民共和国财政部令第110号《政府采购框架协议采购方式管理暂行办法》的相关规定，确定第一阶段入围供应商的评审方法为质量优先法，对满足征集文件采购需求全部实质性要求且响应报价不超过最高限制单价的服务进行质量综合评分，按照质量评分从高到低排序，根据征集文件规定的入围供应商数量上限，确定入围供应商。服务项目质量因素包括服务内容、服务水平、供应商的履约能力、服务经验等。</w:t>
      </w:r>
    </w:p>
    <w:p w14:paraId="1BD1AF5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四、评审程序</w:t>
      </w:r>
    </w:p>
    <w:p w14:paraId="029AB66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4.1.1 资格评审(资格后审)：征集人或采购代理机构依据法律法规和征集文件的规定，对供应商进行资格性审查，以确定供应商是否具备投标资格。(详见资格审查表)合格供应商不足</w:t>
      </w:r>
      <w:r>
        <w:rPr>
          <w:rFonts w:hint="eastAsia" w:ascii="仿宋" w:hAnsi="仿宋" w:eastAsia="仿宋" w:cs="仿宋"/>
          <w:color w:val="auto"/>
          <w:spacing w:val="0"/>
          <w:w w:val="100"/>
          <w:position w:val="0"/>
          <w:sz w:val="28"/>
          <w:szCs w:val="28"/>
          <w:highlight w:val="none"/>
          <w:lang w:val="en-US" w:eastAsia="zh-CN"/>
        </w:rPr>
        <w:t>2</w:t>
      </w:r>
      <w:r>
        <w:rPr>
          <w:rFonts w:hint="eastAsia" w:ascii="仿宋" w:hAnsi="仿宋" w:eastAsia="仿宋" w:cs="仿宋"/>
          <w:color w:val="auto"/>
          <w:spacing w:val="0"/>
          <w:w w:val="100"/>
          <w:position w:val="0"/>
          <w:sz w:val="28"/>
          <w:szCs w:val="28"/>
          <w:highlight w:val="none"/>
        </w:rPr>
        <w:t>家的，不得评标。</w:t>
      </w:r>
    </w:p>
    <w:p w14:paraId="2EF5600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4.1.2 初步评审</w:t>
      </w:r>
    </w:p>
    <w:p w14:paraId="7531829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符合性检查。依据征集文件的规定，从征集响应文件的有效性、完整性和对征集文件的响应程度进行审查，以确定是否对征集文件的实质性要求作出响应。征集响应文件报价出现前后不一致的，按照下列规定修正:</w:t>
      </w:r>
    </w:p>
    <w:p w14:paraId="5E6DA8B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(1)征集响应文件中开标一览表(报价表)内容与征集响应文件中相应内容不一致的，以开标一览表(报价表)为准；</w:t>
      </w:r>
    </w:p>
    <w:p w14:paraId="725A333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(2)征集响应文件的大写金额和小写金额不一致的，以大写金额为准；</w:t>
      </w:r>
    </w:p>
    <w:p w14:paraId="2E43953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(3)总价金额与按单价汇总金额不一致的，以单价金额计算结果为准；</w:t>
      </w:r>
    </w:p>
    <w:p w14:paraId="17856FB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(4)单价金额小数点或者百分比有明显错位的，以开标一览表的总价为准，并修改单价；</w:t>
      </w:r>
    </w:p>
    <w:p w14:paraId="4717599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(5)对不同文字文本征集响应文件的解释发生异议的，以中文文本为准。</w:t>
      </w:r>
    </w:p>
    <w:p w14:paraId="0346EA46">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供应商拒不按照要求对征集响应文件进行澄清、说明或者补正的，或者对报价修正不确认的，评标委员会可以否决其投标。</w:t>
      </w:r>
    </w:p>
    <w:p w14:paraId="7968473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4.1.3 比较与评价。</w:t>
      </w:r>
    </w:p>
    <w:p w14:paraId="79876D0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按征集文件中规定的评标方法和标准，对资格性检查和符合性检查合格的征集响应文件进行商务和技术等其他因素的评估，综合比较与评价。</w:t>
      </w:r>
    </w:p>
    <w:p w14:paraId="756CAC7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4.1.4 确定入围供应商。</w:t>
      </w:r>
    </w:p>
    <w:p w14:paraId="715617A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确定第一阶段入围供应商时，对满足采购需求且通过初审的供应商服务进行质量综合评分。确定第一阶段入围供应商时，提交响应文件</w:t>
      </w:r>
      <w:r>
        <w:rPr>
          <w:rFonts w:hint="eastAsia" w:ascii="仿宋" w:hAnsi="仿宋" w:eastAsia="仿宋" w:cs="仿宋"/>
          <w:color w:val="auto"/>
          <w:spacing w:val="0"/>
          <w:w w:val="100"/>
          <w:position w:val="0"/>
          <w:sz w:val="28"/>
          <w:szCs w:val="28"/>
          <w:highlight w:val="none"/>
          <w:lang w:val="en-US" w:eastAsia="zh-CN"/>
        </w:rPr>
        <w:t>或</w:t>
      </w:r>
      <w:r>
        <w:rPr>
          <w:rFonts w:hint="eastAsia" w:ascii="仿宋" w:hAnsi="仿宋" w:eastAsia="仿宋" w:cs="仿宋"/>
          <w:color w:val="auto"/>
          <w:spacing w:val="0"/>
          <w:w w:val="100"/>
          <w:position w:val="0"/>
          <w:sz w:val="28"/>
          <w:szCs w:val="28"/>
          <w:highlight w:val="none"/>
        </w:rPr>
        <w:t>符合资格条件、实质性要求的供应商应当均不少于</w:t>
      </w:r>
      <w:r>
        <w:rPr>
          <w:rFonts w:hint="eastAsia" w:ascii="仿宋" w:hAnsi="仿宋" w:eastAsia="仿宋" w:cs="仿宋"/>
          <w:color w:val="auto"/>
          <w:spacing w:val="0"/>
          <w:w w:val="100"/>
          <w:position w:val="0"/>
          <w:sz w:val="28"/>
          <w:szCs w:val="28"/>
          <w:highlight w:val="none"/>
          <w:lang w:val="en-US" w:eastAsia="zh-CN"/>
        </w:rPr>
        <w:t>2</w:t>
      </w:r>
      <w:r>
        <w:rPr>
          <w:rFonts w:hint="eastAsia" w:ascii="仿宋" w:hAnsi="仿宋" w:eastAsia="仿宋" w:cs="仿宋"/>
          <w:color w:val="auto"/>
          <w:spacing w:val="0"/>
          <w:w w:val="100"/>
          <w:position w:val="0"/>
          <w:sz w:val="28"/>
          <w:szCs w:val="28"/>
          <w:highlight w:val="none"/>
        </w:rPr>
        <w:t>家，淘汰比例一般不得低于20%，且至少淘汰一家供应商。</w:t>
      </w:r>
    </w:p>
    <w:p w14:paraId="2C886F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4.2 评标细则</w:t>
      </w:r>
    </w:p>
    <w:p w14:paraId="5178319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4.2.1 本项目在供应商须知前附表里设最高限价，投标报价高于最高限价或由评标委员会认定低于成本价的，其报价无效。</w:t>
      </w:r>
    </w:p>
    <w:p w14:paraId="03941B3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4.2.2 有效报价指通过了资格后审及初步评审，并对评标委员会提出的澄清、说明或者纠正以书面的形式提交了澄清、说明或者补正的</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的投标报价为有效报价。严重偏离市场价格或低于成本价的除外。评标委员会认为供应商的报价明显低于其他通过符合性审查供应商的报价，有可能影响项目质量或者不能诚信履约的，应当要求其在评标现场合理的时间内提供书面说明</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供应商应自行考虑自身报价情况提前准备证明材料，以备递交评标委员会</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，同时提交相关证明材料；供应商不能证明其报价合理性的，评标委员会应当将其作为无效投标处理。</w:t>
      </w:r>
    </w:p>
    <w:p w14:paraId="3A01836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五、评分标准及因素</w:t>
      </w:r>
    </w:p>
    <w:p w14:paraId="3E7F047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5.1 资格审查</w:t>
      </w:r>
    </w:p>
    <w:p w14:paraId="1BECDFC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或</w:t>
      </w:r>
      <w:r>
        <w:rPr>
          <w:rFonts w:hint="eastAsia" w:ascii="仿宋" w:hAnsi="仿宋" w:eastAsia="仿宋" w:cs="仿宋"/>
          <w:color w:val="auto"/>
          <w:spacing w:val="0"/>
          <w:w w:val="100"/>
          <w:position w:val="0"/>
          <w:sz w:val="28"/>
          <w:szCs w:val="28"/>
          <w:highlight w:val="none"/>
          <w:lang w:val="en-US" w:eastAsia="zh-CN"/>
        </w:rPr>
        <w:t>采购</w:t>
      </w:r>
      <w:r>
        <w:rPr>
          <w:rFonts w:hint="eastAsia" w:ascii="仿宋" w:hAnsi="仿宋" w:eastAsia="仿宋" w:cs="仿宋"/>
          <w:color w:val="auto"/>
          <w:spacing w:val="0"/>
          <w:w w:val="100"/>
          <w:position w:val="0"/>
          <w:sz w:val="28"/>
          <w:szCs w:val="28"/>
          <w:highlight w:val="none"/>
        </w:rPr>
        <w:t>代理机构对</w:t>
      </w:r>
      <w:r>
        <w:rPr>
          <w:rFonts w:hint="eastAsia" w:ascii="仿宋" w:hAnsi="仿宋" w:eastAsia="仿宋" w:cs="仿宋"/>
          <w:color w:val="auto"/>
          <w:spacing w:val="0"/>
          <w:w w:val="100"/>
          <w:position w:val="0"/>
          <w:sz w:val="28"/>
          <w:szCs w:val="28"/>
          <w:highlight w:val="none"/>
          <w:lang w:val="en-US" w:eastAsia="zh-CN"/>
        </w:rPr>
        <w:t>供应商</w:t>
      </w:r>
      <w:r>
        <w:rPr>
          <w:rFonts w:hint="eastAsia" w:ascii="仿宋" w:hAnsi="仿宋" w:eastAsia="仿宋" w:cs="仿宋"/>
          <w:color w:val="auto"/>
          <w:spacing w:val="0"/>
          <w:w w:val="100"/>
          <w:position w:val="0"/>
          <w:sz w:val="28"/>
          <w:szCs w:val="28"/>
          <w:highlight w:val="none"/>
        </w:rPr>
        <w:t>的资格进行审查，审查</w:t>
      </w:r>
      <w:r>
        <w:rPr>
          <w:rFonts w:hint="eastAsia" w:ascii="仿宋" w:hAnsi="仿宋" w:eastAsia="仿宋" w:cs="仿宋"/>
          <w:color w:val="auto"/>
          <w:spacing w:val="0"/>
          <w:w w:val="100"/>
          <w:position w:val="0"/>
          <w:sz w:val="28"/>
          <w:szCs w:val="28"/>
          <w:highlight w:val="none"/>
          <w:lang w:eastAsia="zh-CN"/>
        </w:rPr>
        <w:t>响应文件</w:t>
      </w:r>
      <w:r>
        <w:rPr>
          <w:rFonts w:hint="eastAsia" w:ascii="仿宋" w:hAnsi="仿宋" w:eastAsia="仿宋" w:cs="仿宋"/>
          <w:color w:val="auto"/>
          <w:spacing w:val="0"/>
          <w:w w:val="100"/>
          <w:position w:val="0"/>
          <w:sz w:val="28"/>
          <w:szCs w:val="28"/>
          <w:highlight w:val="none"/>
        </w:rPr>
        <w:t>是否响应</w:t>
      </w:r>
      <w:r>
        <w:rPr>
          <w:rFonts w:hint="eastAsia" w:ascii="仿宋" w:hAnsi="仿宋" w:eastAsia="仿宋" w:cs="仿宋"/>
          <w:color w:val="auto"/>
          <w:spacing w:val="0"/>
          <w:w w:val="100"/>
          <w:position w:val="0"/>
          <w:sz w:val="28"/>
          <w:szCs w:val="28"/>
          <w:highlight w:val="none"/>
          <w:lang w:val="en-US" w:eastAsia="zh-CN"/>
        </w:rPr>
        <w:t>征集</w:t>
      </w:r>
      <w:r>
        <w:rPr>
          <w:rFonts w:hint="eastAsia" w:ascii="仿宋" w:hAnsi="仿宋" w:eastAsia="仿宋" w:cs="仿宋"/>
          <w:color w:val="auto"/>
          <w:spacing w:val="0"/>
          <w:w w:val="100"/>
          <w:position w:val="0"/>
          <w:sz w:val="28"/>
          <w:szCs w:val="28"/>
          <w:highlight w:val="none"/>
        </w:rPr>
        <w:t>文件的资格要求。当发现</w:t>
      </w:r>
      <w:r>
        <w:rPr>
          <w:rFonts w:hint="eastAsia" w:ascii="仿宋" w:hAnsi="仿宋" w:eastAsia="仿宋" w:cs="仿宋"/>
          <w:color w:val="auto"/>
          <w:spacing w:val="0"/>
          <w:w w:val="100"/>
          <w:position w:val="0"/>
          <w:sz w:val="28"/>
          <w:szCs w:val="28"/>
          <w:highlight w:val="none"/>
          <w:lang w:val="en-US" w:eastAsia="zh-CN"/>
        </w:rPr>
        <w:t>供应商</w:t>
      </w:r>
      <w:r>
        <w:rPr>
          <w:rFonts w:hint="eastAsia" w:ascii="仿宋" w:hAnsi="仿宋" w:eastAsia="仿宋" w:cs="仿宋"/>
          <w:color w:val="auto"/>
          <w:spacing w:val="0"/>
          <w:w w:val="100"/>
          <w:position w:val="0"/>
          <w:sz w:val="28"/>
          <w:szCs w:val="28"/>
          <w:highlight w:val="none"/>
        </w:rPr>
        <w:t>或其</w:t>
      </w:r>
      <w:r>
        <w:rPr>
          <w:rFonts w:hint="eastAsia" w:ascii="仿宋" w:hAnsi="仿宋" w:eastAsia="仿宋" w:cs="仿宋"/>
          <w:color w:val="auto"/>
          <w:spacing w:val="0"/>
          <w:w w:val="100"/>
          <w:position w:val="0"/>
          <w:sz w:val="28"/>
          <w:szCs w:val="28"/>
          <w:highlight w:val="none"/>
          <w:lang w:val="en-US" w:eastAsia="zh-CN"/>
        </w:rPr>
        <w:t>响应</w:t>
      </w:r>
      <w:r>
        <w:rPr>
          <w:rFonts w:hint="eastAsia" w:ascii="仿宋" w:hAnsi="仿宋" w:eastAsia="仿宋" w:cs="仿宋"/>
          <w:color w:val="auto"/>
          <w:spacing w:val="0"/>
          <w:w w:val="100"/>
          <w:position w:val="0"/>
          <w:sz w:val="28"/>
          <w:szCs w:val="28"/>
          <w:highlight w:val="none"/>
        </w:rPr>
        <w:t>文件存在下列情况之一时，将判定</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的资格不符合要求，资格审查不通过。</w:t>
      </w:r>
    </w:p>
    <w:p w14:paraId="1FB6316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资格审查表如下：</w:t>
      </w:r>
    </w:p>
    <w:tbl>
      <w:tblPr>
        <w:tblStyle w:val="25"/>
        <w:tblW w:w="8985"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790"/>
        <w:gridCol w:w="2750"/>
        <w:gridCol w:w="3715"/>
      </w:tblGrid>
      <w:tr w14:paraId="50D42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985" w:type="dxa"/>
            <w:gridSpan w:val="4"/>
            <w:vAlign w:val="center"/>
          </w:tcPr>
          <w:p w14:paraId="6CFE9F0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资格审查表</w:t>
            </w:r>
          </w:p>
        </w:tc>
      </w:tr>
      <w:tr w14:paraId="2DD2E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0" w:type="dxa"/>
            <w:vAlign w:val="center"/>
          </w:tcPr>
          <w:p w14:paraId="6A357A2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序号</w:t>
            </w:r>
          </w:p>
        </w:tc>
        <w:tc>
          <w:tcPr>
            <w:tcW w:w="1790" w:type="dxa"/>
            <w:vAlign w:val="center"/>
          </w:tcPr>
          <w:p w14:paraId="558B43C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评审指标</w:t>
            </w:r>
          </w:p>
        </w:tc>
        <w:tc>
          <w:tcPr>
            <w:tcW w:w="2750" w:type="dxa"/>
            <w:tcBorders>
              <w:bottom w:val="single" w:color="auto" w:sz="4" w:space="0"/>
              <w:right w:val="single" w:color="000000" w:sz="4" w:space="0"/>
            </w:tcBorders>
            <w:vAlign w:val="center"/>
          </w:tcPr>
          <w:p w14:paraId="379954C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评审标准</w:t>
            </w:r>
          </w:p>
        </w:tc>
        <w:tc>
          <w:tcPr>
            <w:tcW w:w="3715" w:type="dxa"/>
            <w:tcBorders>
              <w:left w:val="single" w:color="000000" w:sz="4" w:space="0"/>
              <w:bottom w:val="single" w:color="auto" w:sz="4" w:space="0"/>
            </w:tcBorders>
            <w:vAlign w:val="center"/>
          </w:tcPr>
          <w:p w14:paraId="06F0C8B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格式及材料要求</w:t>
            </w:r>
          </w:p>
        </w:tc>
      </w:tr>
      <w:tr w14:paraId="34DD7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9" w:hRule="atLeast"/>
        </w:trPr>
        <w:tc>
          <w:tcPr>
            <w:tcW w:w="730" w:type="dxa"/>
            <w:vAlign w:val="center"/>
          </w:tcPr>
          <w:p w14:paraId="4E11458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p>
        </w:tc>
        <w:tc>
          <w:tcPr>
            <w:tcW w:w="1790" w:type="dxa"/>
            <w:tcBorders>
              <w:right w:val="single" w:color="auto" w:sz="4" w:space="0"/>
            </w:tcBorders>
            <w:vAlign w:val="center"/>
          </w:tcPr>
          <w:p w14:paraId="3453E60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营业执照</w:t>
            </w:r>
          </w:p>
        </w:tc>
        <w:tc>
          <w:tcPr>
            <w:tcW w:w="2750" w:type="dxa"/>
            <w:tcBorders>
              <w:top w:val="single" w:color="auto" w:sz="4" w:space="0"/>
              <w:left w:val="single" w:color="auto" w:sz="4" w:space="0"/>
              <w:bottom w:val="single" w:color="auto" w:sz="4" w:space="0"/>
              <w:right w:val="single" w:color="000000" w:sz="4" w:space="0"/>
            </w:tcBorders>
            <w:vAlign w:val="center"/>
          </w:tcPr>
          <w:p w14:paraId="254A462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合法有效</w:t>
            </w:r>
          </w:p>
        </w:tc>
        <w:tc>
          <w:tcPr>
            <w:tcW w:w="3715" w:type="dxa"/>
            <w:vMerge w:val="restart"/>
            <w:tcBorders>
              <w:top w:val="single" w:color="auto" w:sz="4" w:space="0"/>
              <w:left w:val="single" w:color="000000" w:sz="4" w:space="0"/>
              <w:bottom w:val="single" w:color="auto" w:sz="4" w:space="0"/>
              <w:right w:val="single" w:color="auto" w:sz="4" w:space="0"/>
            </w:tcBorders>
            <w:vAlign w:val="center"/>
          </w:tcPr>
          <w:p w14:paraId="7609538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提供有效的供应商营业执照（或事业单位法人登记证书）和税务登记证的 扫描件或影印件，应完整的体现出营业执照（或事业单位法人登记证书）和税务登记证的全部内容。已办理“ 三证合一 ”登记的，响应文件中提供营业执照（或事业单位法人登记证书) 扫描件即可。联合体参加</w:t>
            </w:r>
            <w:r>
              <w:rPr>
                <w:rFonts w:hint="eastAsia" w:cs="仿宋"/>
                <w:color w:val="auto"/>
                <w:spacing w:val="0"/>
                <w:w w:val="100"/>
                <w:position w:val="0"/>
                <w:sz w:val="28"/>
                <w:szCs w:val="28"/>
                <w:highlight w:val="none"/>
                <w:lang w:eastAsia="zh-CN"/>
              </w:rPr>
              <w:t>投标</w:t>
            </w:r>
            <w:r>
              <w:rPr>
                <w:rFonts w:hint="eastAsia" w:ascii="仿宋" w:hAnsi="仿宋" w:eastAsia="仿宋" w:cs="仿宋"/>
                <w:color w:val="auto"/>
                <w:spacing w:val="0"/>
                <w:w w:val="100"/>
                <w:position w:val="0"/>
                <w:sz w:val="28"/>
                <w:szCs w:val="28"/>
                <w:highlight w:val="none"/>
              </w:rPr>
              <w:t>的联合体各方均须提供。</w:t>
            </w:r>
          </w:p>
        </w:tc>
      </w:tr>
      <w:tr w14:paraId="100D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2" w:hRule="atLeast"/>
        </w:trPr>
        <w:tc>
          <w:tcPr>
            <w:tcW w:w="730" w:type="dxa"/>
            <w:vAlign w:val="center"/>
          </w:tcPr>
          <w:p w14:paraId="21CB725E">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p>
        </w:tc>
        <w:tc>
          <w:tcPr>
            <w:tcW w:w="1790" w:type="dxa"/>
            <w:vAlign w:val="center"/>
          </w:tcPr>
          <w:p w14:paraId="39E00A9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税务登记证</w:t>
            </w:r>
          </w:p>
        </w:tc>
        <w:tc>
          <w:tcPr>
            <w:tcW w:w="2750" w:type="dxa"/>
            <w:tcBorders>
              <w:top w:val="single" w:color="auto" w:sz="4" w:space="0"/>
              <w:right w:val="single" w:color="000000" w:sz="4" w:space="0"/>
            </w:tcBorders>
            <w:vAlign w:val="center"/>
          </w:tcPr>
          <w:p w14:paraId="07D40F3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合法有效</w:t>
            </w:r>
          </w:p>
        </w:tc>
        <w:tc>
          <w:tcPr>
            <w:tcW w:w="3715" w:type="dxa"/>
            <w:vMerge w:val="continue"/>
            <w:tcBorders>
              <w:top w:val="single" w:color="auto" w:sz="4" w:space="0"/>
              <w:left w:val="single" w:color="000000" w:sz="4" w:space="0"/>
              <w:right w:val="single" w:color="auto" w:sz="4" w:space="0"/>
            </w:tcBorders>
            <w:vAlign w:val="center"/>
          </w:tcPr>
          <w:p w14:paraId="4A5C6E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r>
      <w:tr w14:paraId="68475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30" w:type="dxa"/>
            <w:vAlign w:val="center"/>
          </w:tcPr>
          <w:p w14:paraId="4C621B7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w:t>
            </w:r>
          </w:p>
        </w:tc>
        <w:tc>
          <w:tcPr>
            <w:tcW w:w="1790" w:type="dxa"/>
            <w:vAlign w:val="center"/>
          </w:tcPr>
          <w:p w14:paraId="4F59C9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无重大违法记录声明函、无不良信用记录声明函</w:t>
            </w:r>
          </w:p>
        </w:tc>
        <w:tc>
          <w:tcPr>
            <w:tcW w:w="2750" w:type="dxa"/>
            <w:tcBorders>
              <w:right w:val="single" w:color="000000" w:sz="4" w:space="0"/>
            </w:tcBorders>
            <w:vAlign w:val="center"/>
          </w:tcPr>
          <w:p w14:paraId="2983C6E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格式、填写要求符合征集文件规定并加盖供应商电子签章</w:t>
            </w:r>
          </w:p>
        </w:tc>
        <w:tc>
          <w:tcPr>
            <w:tcW w:w="3715" w:type="dxa"/>
            <w:tcBorders>
              <w:left w:val="single" w:color="000000" w:sz="4" w:space="0"/>
            </w:tcBorders>
            <w:vAlign w:val="center"/>
          </w:tcPr>
          <w:p w14:paraId="0D6C810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详见响应文件格式</w:t>
            </w:r>
          </w:p>
        </w:tc>
      </w:tr>
      <w:tr w14:paraId="3A96B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730" w:type="dxa"/>
            <w:vAlign w:val="center"/>
          </w:tcPr>
          <w:p w14:paraId="0E9F896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4</w:t>
            </w:r>
          </w:p>
        </w:tc>
        <w:tc>
          <w:tcPr>
            <w:tcW w:w="1790" w:type="dxa"/>
            <w:vAlign w:val="center"/>
          </w:tcPr>
          <w:p w14:paraId="3F72B7E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供应商资质</w:t>
            </w:r>
          </w:p>
        </w:tc>
        <w:tc>
          <w:tcPr>
            <w:tcW w:w="2750" w:type="dxa"/>
            <w:tcBorders>
              <w:right w:val="single" w:color="000000" w:sz="4" w:space="0"/>
            </w:tcBorders>
            <w:vAlign w:val="center"/>
          </w:tcPr>
          <w:p w14:paraId="755E873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符合供应商资 </w:t>
            </w:r>
          </w:p>
          <w:p w14:paraId="50131A40">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格中的资质要 </w:t>
            </w:r>
          </w:p>
          <w:p w14:paraId="5C30565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求 </w:t>
            </w:r>
          </w:p>
        </w:tc>
        <w:tc>
          <w:tcPr>
            <w:tcW w:w="3715" w:type="dxa"/>
            <w:tcBorders>
              <w:left w:val="single" w:color="000000" w:sz="4" w:space="0"/>
            </w:tcBorders>
            <w:vAlign w:val="center"/>
          </w:tcPr>
          <w:p w14:paraId="173B502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default"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rPr>
              <w:t xml:space="preserve">提供符合供应商资格中的要求的相关资料扫描件 </w:t>
            </w:r>
          </w:p>
        </w:tc>
      </w:tr>
    </w:tbl>
    <w:p w14:paraId="63F905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b/>
          <w:bCs/>
          <w:color w:val="auto"/>
          <w:spacing w:val="0"/>
          <w:w w:val="100"/>
          <w:position w:val="0"/>
          <w:sz w:val="28"/>
          <w:szCs w:val="28"/>
          <w:highlight w:val="none"/>
          <w:lang w:val="en-US" w:eastAsia="zh-CN"/>
        </w:rPr>
        <w:t>资格审查指标通过标准：</w:t>
      </w:r>
      <w:r>
        <w:rPr>
          <w:rFonts w:hint="eastAsia" w:ascii="仿宋" w:hAnsi="仿宋" w:eastAsia="仿宋" w:cs="仿宋"/>
          <w:color w:val="auto"/>
          <w:spacing w:val="0"/>
          <w:w w:val="100"/>
          <w:position w:val="0"/>
          <w:sz w:val="28"/>
          <w:szCs w:val="28"/>
          <w:highlight w:val="none"/>
          <w:lang w:val="en-US" w:eastAsia="zh-CN"/>
        </w:rPr>
        <w:t>供应商必须通过资格审查表中的全部评审指标。</w:t>
      </w:r>
    </w:p>
    <w:p w14:paraId="33A3C8F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br w:type="page"/>
      </w:r>
    </w:p>
    <w:p w14:paraId="64A55FA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val="en-US" w:eastAsia="zh-CN"/>
        </w:rPr>
        <w:t xml:space="preserve">5.2 </w:t>
      </w:r>
      <w:r>
        <w:rPr>
          <w:rFonts w:hint="eastAsia" w:ascii="仿宋" w:hAnsi="仿宋" w:eastAsia="仿宋" w:cs="仿宋"/>
          <w:color w:val="auto"/>
          <w:spacing w:val="0"/>
          <w:w w:val="100"/>
          <w:position w:val="0"/>
          <w:sz w:val="28"/>
          <w:szCs w:val="28"/>
          <w:highlight w:val="none"/>
        </w:rPr>
        <w:t>符合性审查</w:t>
      </w:r>
    </w:p>
    <w:p w14:paraId="41A473C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评标委员会对通过资格审查的</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的</w:t>
      </w:r>
      <w:r>
        <w:rPr>
          <w:rFonts w:hint="eastAsia" w:ascii="仿宋" w:hAnsi="仿宋" w:eastAsia="仿宋" w:cs="仿宋"/>
          <w:color w:val="auto"/>
          <w:spacing w:val="0"/>
          <w:w w:val="100"/>
          <w:position w:val="0"/>
          <w:sz w:val="28"/>
          <w:szCs w:val="28"/>
          <w:highlight w:val="none"/>
          <w:lang w:eastAsia="zh-CN"/>
        </w:rPr>
        <w:t>响应文件</w:t>
      </w:r>
      <w:r>
        <w:rPr>
          <w:rFonts w:hint="eastAsia" w:ascii="仿宋" w:hAnsi="仿宋" w:eastAsia="仿宋" w:cs="仿宋"/>
          <w:color w:val="auto"/>
          <w:spacing w:val="0"/>
          <w:w w:val="100"/>
          <w:position w:val="0"/>
          <w:sz w:val="28"/>
          <w:szCs w:val="28"/>
          <w:highlight w:val="none"/>
        </w:rPr>
        <w:t>进行符合性审查，以确定其是否满足招 标文件的实质性要求。</w:t>
      </w:r>
    </w:p>
    <w:p w14:paraId="2A8DD67D">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符合性审查表如下：</w:t>
      </w:r>
    </w:p>
    <w:tbl>
      <w:tblPr>
        <w:tblStyle w:val="25"/>
        <w:tblW w:w="8985" w:type="dxa"/>
        <w:tblInd w:w="-33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790"/>
        <w:gridCol w:w="3110"/>
        <w:gridCol w:w="3355"/>
      </w:tblGrid>
      <w:tr w14:paraId="108B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985" w:type="dxa"/>
            <w:gridSpan w:val="4"/>
            <w:vAlign w:val="center"/>
          </w:tcPr>
          <w:p w14:paraId="3D4FF5FB">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符合性审查表</w:t>
            </w:r>
          </w:p>
        </w:tc>
      </w:tr>
      <w:tr w14:paraId="52103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30" w:type="dxa"/>
            <w:vAlign w:val="center"/>
          </w:tcPr>
          <w:p w14:paraId="4F9029F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p>
        </w:tc>
        <w:tc>
          <w:tcPr>
            <w:tcW w:w="1790" w:type="dxa"/>
            <w:vAlign w:val="center"/>
          </w:tcPr>
          <w:p w14:paraId="5ECDB51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开标一览表</w:t>
            </w:r>
          </w:p>
        </w:tc>
        <w:tc>
          <w:tcPr>
            <w:tcW w:w="3110" w:type="dxa"/>
            <w:tcBorders>
              <w:right w:val="single" w:color="000000" w:sz="4" w:space="0"/>
            </w:tcBorders>
            <w:vAlign w:val="center"/>
          </w:tcPr>
          <w:p w14:paraId="2D2A133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1"/>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格式、填写要求符合征集文件规定并加盖供应商电子签章</w:t>
            </w:r>
          </w:p>
        </w:tc>
        <w:tc>
          <w:tcPr>
            <w:tcW w:w="3355" w:type="dxa"/>
            <w:tcBorders>
              <w:left w:val="single" w:color="000000" w:sz="4" w:space="0"/>
            </w:tcBorders>
            <w:vAlign w:val="center"/>
          </w:tcPr>
          <w:p w14:paraId="656640B3">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详见响应文件格式</w:t>
            </w:r>
          </w:p>
        </w:tc>
      </w:tr>
      <w:tr w14:paraId="01206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730" w:type="dxa"/>
            <w:vAlign w:val="center"/>
          </w:tcPr>
          <w:p w14:paraId="612D786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p>
        </w:tc>
        <w:tc>
          <w:tcPr>
            <w:tcW w:w="1790" w:type="dxa"/>
            <w:vAlign w:val="center"/>
          </w:tcPr>
          <w:p w14:paraId="550513B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投标函</w:t>
            </w:r>
          </w:p>
        </w:tc>
        <w:tc>
          <w:tcPr>
            <w:tcW w:w="3110" w:type="dxa"/>
            <w:tcBorders>
              <w:right w:val="single" w:color="000000" w:sz="4" w:space="0"/>
            </w:tcBorders>
            <w:vAlign w:val="center"/>
          </w:tcPr>
          <w:p w14:paraId="0E7521D7">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格式、填写要求符合征集文件规定并加盖供应商电子签章</w:t>
            </w:r>
          </w:p>
        </w:tc>
        <w:tc>
          <w:tcPr>
            <w:tcW w:w="3355" w:type="dxa"/>
            <w:tcBorders>
              <w:left w:val="single" w:color="000000" w:sz="4" w:space="0"/>
            </w:tcBorders>
            <w:vAlign w:val="center"/>
          </w:tcPr>
          <w:p w14:paraId="3978B2A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详见响应文件格式</w:t>
            </w:r>
          </w:p>
        </w:tc>
      </w:tr>
      <w:tr w14:paraId="228D0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30" w:type="dxa"/>
            <w:vAlign w:val="center"/>
          </w:tcPr>
          <w:p w14:paraId="3E890C0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w:t>
            </w:r>
          </w:p>
        </w:tc>
        <w:tc>
          <w:tcPr>
            <w:tcW w:w="1790" w:type="dxa"/>
            <w:vAlign w:val="center"/>
          </w:tcPr>
          <w:p w14:paraId="46AA351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授权书</w:t>
            </w:r>
          </w:p>
        </w:tc>
        <w:tc>
          <w:tcPr>
            <w:tcW w:w="3110" w:type="dxa"/>
            <w:tcBorders>
              <w:right w:val="single" w:color="000000" w:sz="4" w:space="0"/>
            </w:tcBorders>
            <w:vAlign w:val="center"/>
          </w:tcPr>
          <w:p w14:paraId="4C41B8B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1"/>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格式、填写要求符合征集文件规定并加盖供应商电子签章</w:t>
            </w:r>
          </w:p>
        </w:tc>
        <w:tc>
          <w:tcPr>
            <w:tcW w:w="3355" w:type="dxa"/>
            <w:tcBorders>
              <w:left w:val="single" w:color="000000" w:sz="4" w:space="0"/>
            </w:tcBorders>
            <w:vAlign w:val="center"/>
          </w:tcPr>
          <w:p w14:paraId="31E8D5E1">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8"/>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法定代表人参加</w:t>
            </w:r>
            <w:r>
              <w:rPr>
                <w:rFonts w:hint="eastAsia" w:cs="仿宋"/>
                <w:color w:val="auto"/>
                <w:spacing w:val="0"/>
                <w:w w:val="100"/>
                <w:position w:val="0"/>
                <w:sz w:val="28"/>
                <w:szCs w:val="28"/>
                <w:highlight w:val="none"/>
                <w:lang w:eastAsia="zh-CN"/>
              </w:rPr>
              <w:t>投标</w:t>
            </w:r>
            <w:r>
              <w:rPr>
                <w:rFonts w:hint="eastAsia" w:ascii="仿宋" w:hAnsi="仿宋" w:eastAsia="仿宋" w:cs="仿宋"/>
                <w:color w:val="auto"/>
                <w:spacing w:val="0"/>
                <w:w w:val="100"/>
                <w:position w:val="0"/>
                <w:sz w:val="28"/>
                <w:szCs w:val="28"/>
                <w:highlight w:val="none"/>
              </w:rPr>
              <w:t>的无需此件，提供身份证明即可 。详见响应文件格式</w:t>
            </w:r>
          </w:p>
        </w:tc>
      </w:tr>
      <w:tr w14:paraId="705EF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0" w:type="dxa"/>
            <w:vAlign w:val="center"/>
          </w:tcPr>
          <w:p w14:paraId="33D312C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w:t>
            </w:r>
          </w:p>
        </w:tc>
        <w:tc>
          <w:tcPr>
            <w:tcW w:w="1790" w:type="dxa"/>
            <w:vAlign w:val="center"/>
          </w:tcPr>
          <w:p w14:paraId="04AD30F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商务响应情况</w:t>
            </w:r>
          </w:p>
        </w:tc>
        <w:tc>
          <w:tcPr>
            <w:tcW w:w="3110" w:type="dxa"/>
            <w:tcBorders>
              <w:right w:val="single" w:color="000000" w:sz="4" w:space="0"/>
            </w:tcBorders>
            <w:vAlign w:val="center"/>
          </w:tcPr>
          <w:p w14:paraId="44AA87E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符合征集文件采购需求中付款方式、服务地点及服务期限的要求</w:t>
            </w:r>
          </w:p>
        </w:tc>
        <w:tc>
          <w:tcPr>
            <w:tcW w:w="3355" w:type="dxa"/>
            <w:tcBorders>
              <w:left w:val="single" w:color="000000" w:sz="4" w:space="0"/>
            </w:tcBorders>
            <w:vAlign w:val="center"/>
          </w:tcPr>
          <w:p w14:paraId="0155435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详见响应文件格式</w:t>
            </w:r>
          </w:p>
        </w:tc>
      </w:tr>
      <w:tr w14:paraId="1DD09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0" w:type="dxa"/>
            <w:vAlign w:val="center"/>
          </w:tcPr>
          <w:p w14:paraId="1295C43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w:t>
            </w:r>
          </w:p>
        </w:tc>
        <w:tc>
          <w:tcPr>
            <w:tcW w:w="1790" w:type="dxa"/>
            <w:vAlign w:val="center"/>
          </w:tcPr>
          <w:p w14:paraId="2D32E8F6">
            <w:pPr>
              <w:pStyle w:val="27"/>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其他实质性要求</w:t>
            </w:r>
          </w:p>
        </w:tc>
        <w:tc>
          <w:tcPr>
            <w:tcW w:w="3110" w:type="dxa"/>
            <w:tcBorders>
              <w:right w:val="single" w:color="000000" w:sz="4" w:space="0"/>
            </w:tcBorders>
            <w:vAlign w:val="center"/>
          </w:tcPr>
          <w:p w14:paraId="0DA48BA7">
            <w:pPr>
              <w:pStyle w:val="27"/>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符合法律、行政法规规定的其他条件和</w:t>
            </w:r>
            <w:r>
              <w:rPr>
                <w:rFonts w:hint="eastAsia" w:ascii="仿宋" w:hAnsi="仿宋" w:eastAsia="仿宋" w:cs="仿宋"/>
                <w:snapToGrid w:val="0"/>
                <w:color w:val="auto"/>
                <w:spacing w:val="0"/>
                <w:w w:val="100"/>
                <w:kern w:val="0"/>
                <w:position w:val="0"/>
                <w:sz w:val="28"/>
                <w:szCs w:val="28"/>
                <w:highlight w:val="none"/>
                <w:lang w:val="en-US" w:eastAsia="zh-CN" w:bidi="ar-SA"/>
              </w:rPr>
              <w:t>征集</w:t>
            </w:r>
            <w:r>
              <w:rPr>
                <w:rFonts w:hint="eastAsia" w:ascii="仿宋" w:hAnsi="仿宋" w:eastAsia="仿宋" w:cs="仿宋"/>
                <w:snapToGrid w:val="0"/>
                <w:color w:val="auto"/>
                <w:spacing w:val="0"/>
                <w:w w:val="100"/>
                <w:kern w:val="0"/>
                <w:position w:val="0"/>
                <w:sz w:val="28"/>
                <w:szCs w:val="28"/>
                <w:highlight w:val="none"/>
                <w:lang w:val="en-US" w:eastAsia="en-US" w:bidi="ar-SA"/>
              </w:rPr>
              <w:t>文件列明的其他实质性要求</w:t>
            </w:r>
          </w:p>
        </w:tc>
        <w:tc>
          <w:tcPr>
            <w:tcW w:w="3355" w:type="dxa"/>
            <w:tcBorders>
              <w:left w:val="single" w:color="000000" w:sz="4" w:space="0"/>
            </w:tcBorders>
            <w:vAlign w:val="center"/>
          </w:tcPr>
          <w:p w14:paraId="71495F1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r>
    </w:tbl>
    <w:p w14:paraId="03F744D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符合性审查指标通过标准：</w:t>
      </w:r>
      <w:r>
        <w:rPr>
          <w:rFonts w:hint="eastAsia" w:ascii="仿宋" w:hAnsi="仿宋" w:eastAsia="仿宋" w:cs="仿宋"/>
          <w:color w:val="auto"/>
          <w:spacing w:val="0"/>
          <w:w w:val="100"/>
          <w:position w:val="0"/>
          <w:sz w:val="28"/>
          <w:szCs w:val="28"/>
          <w:highlight w:val="none"/>
        </w:rPr>
        <w:t>供应商必须通过初审表中的全部评审指标。</w:t>
      </w:r>
    </w:p>
    <w:p w14:paraId="73D5E0C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br w:type="page"/>
      </w:r>
    </w:p>
    <w:p w14:paraId="1D71BE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5.2</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质量优先法评分</w:t>
      </w:r>
    </w:p>
    <w:p w14:paraId="78768E3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5.2.1 评审小组按照下表对进入综合评分的所有供应商的响应文件进行综合评分。</w:t>
      </w:r>
    </w:p>
    <w:tbl>
      <w:tblPr>
        <w:tblStyle w:val="21"/>
        <w:tblW w:w="861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1410"/>
        <w:gridCol w:w="7200"/>
      </w:tblGrid>
      <w:tr w14:paraId="5825FAE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91" w:hRule="atLeast"/>
          <w:jc w:val="center"/>
        </w:trPr>
        <w:tc>
          <w:tcPr>
            <w:tcW w:w="1410" w:type="dxa"/>
            <w:tcBorders>
              <w:top w:val="double" w:color="auto" w:sz="4" w:space="0"/>
              <w:right w:val="single" w:color="auto" w:sz="4" w:space="0"/>
            </w:tcBorders>
            <w:noWrap/>
            <w:vAlign w:val="center"/>
          </w:tcPr>
          <w:p w14:paraId="4711A961">
            <w:pPr>
              <w:widowControl/>
              <w:spacing w:line="288"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评审</w:t>
            </w:r>
          </w:p>
          <w:p w14:paraId="7BB5B251">
            <w:pPr>
              <w:widowControl/>
              <w:spacing w:line="288"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因素</w:t>
            </w:r>
          </w:p>
        </w:tc>
        <w:tc>
          <w:tcPr>
            <w:tcW w:w="7200" w:type="dxa"/>
            <w:tcBorders>
              <w:top w:val="double" w:color="auto" w:sz="4" w:space="0"/>
              <w:left w:val="single" w:color="auto" w:sz="4" w:space="0"/>
              <w:right w:val="single" w:color="auto" w:sz="4" w:space="0"/>
            </w:tcBorders>
            <w:vAlign w:val="center"/>
          </w:tcPr>
          <w:p w14:paraId="6E69D3B0">
            <w:pPr>
              <w:widowControl/>
              <w:spacing w:line="288"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评分标准</w:t>
            </w:r>
          </w:p>
        </w:tc>
      </w:tr>
      <w:tr w14:paraId="3B246D3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1410" w:type="dxa"/>
            <w:tcBorders>
              <w:right w:val="single" w:color="auto" w:sz="4" w:space="0"/>
            </w:tcBorders>
            <w:noWrap/>
            <w:vAlign w:val="center"/>
          </w:tcPr>
          <w:p w14:paraId="06FA402B">
            <w:pPr>
              <w:pStyle w:val="20"/>
              <w:ind w:left="0" w:leftChars="0" w:firstLine="0" w:firstLineChars="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服务</w:t>
            </w:r>
          </w:p>
          <w:p w14:paraId="1DB36BD6">
            <w:pPr>
              <w:pStyle w:val="20"/>
              <w:ind w:left="0" w:leftChars="0" w:firstLine="0" w:firstLineChars="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方案</w:t>
            </w:r>
          </w:p>
          <w:p w14:paraId="23B0582F">
            <w:pPr>
              <w:pStyle w:val="20"/>
              <w:ind w:left="0" w:leftChars="0" w:firstLine="0" w:firstLineChars="0"/>
              <w:jc w:val="center"/>
              <w:rPr>
                <w:rFonts w:hint="eastAsia" w:ascii="仿宋" w:hAnsi="仿宋" w:eastAsia="仿宋" w:cs="仿宋"/>
                <w:color w:val="auto"/>
                <w:highlight w:val="none"/>
                <w:lang w:eastAsia="zh-CN"/>
              </w:rPr>
            </w:pPr>
            <w:r>
              <w:rPr>
                <w:rFonts w:hint="eastAsia" w:ascii="仿宋" w:hAnsi="仿宋" w:eastAsia="仿宋" w:cs="仿宋"/>
                <w:b/>
                <w:bCs/>
                <w:color w:val="auto"/>
                <w:sz w:val="30"/>
                <w:szCs w:val="30"/>
                <w:highlight w:val="none"/>
                <w:lang w:eastAsia="zh-CN"/>
              </w:rPr>
              <w:t>（</w:t>
            </w:r>
            <w:r>
              <w:rPr>
                <w:rFonts w:hint="eastAsia" w:ascii="仿宋" w:hAnsi="仿宋" w:eastAsia="仿宋" w:cs="仿宋"/>
                <w:b/>
                <w:bCs/>
                <w:color w:val="auto"/>
                <w:sz w:val="30"/>
                <w:szCs w:val="30"/>
                <w:highlight w:val="none"/>
                <w:lang w:val="en-US" w:eastAsia="zh-CN"/>
              </w:rPr>
              <w:t>35分</w:t>
            </w:r>
            <w:r>
              <w:rPr>
                <w:rFonts w:hint="eastAsia" w:ascii="仿宋" w:hAnsi="仿宋" w:eastAsia="仿宋" w:cs="仿宋"/>
                <w:b/>
                <w:bCs/>
                <w:color w:val="auto"/>
                <w:sz w:val="30"/>
                <w:szCs w:val="30"/>
                <w:highlight w:val="none"/>
                <w:lang w:eastAsia="zh-CN"/>
              </w:rPr>
              <w:t>）</w:t>
            </w:r>
          </w:p>
        </w:tc>
        <w:tc>
          <w:tcPr>
            <w:tcW w:w="7200" w:type="dxa"/>
            <w:tcBorders>
              <w:left w:val="single" w:color="auto" w:sz="4" w:space="0"/>
              <w:right w:val="single" w:color="auto" w:sz="4" w:space="0"/>
            </w:tcBorders>
            <w:noWrap/>
            <w:vAlign w:val="center"/>
          </w:tcPr>
          <w:p w14:paraId="66F6CF2D">
            <w:pPr>
              <w:widowControl/>
              <w:numPr>
                <w:ilvl w:val="0"/>
                <w:numId w:val="3"/>
              </w:numPr>
              <w:ind w:firstLine="562" w:firstLineChars="200"/>
              <w:jc w:val="left"/>
              <w:rPr>
                <w:rFonts w:hint="eastAsia" w:ascii="仿宋" w:hAnsi="仿宋" w:eastAsia="仿宋" w:cs="仿宋"/>
                <w:b w:val="0"/>
                <w:bCs w:val="0"/>
                <w:color w:val="auto"/>
                <w:kern w:val="0"/>
                <w:sz w:val="28"/>
                <w:szCs w:val="28"/>
                <w:highlight w:val="none"/>
                <w:lang w:val="zh-CN" w:bidi="zh-CN"/>
              </w:rPr>
            </w:pPr>
            <w:r>
              <w:rPr>
                <w:rFonts w:hint="eastAsia" w:ascii="仿宋" w:hAnsi="仿宋" w:eastAsia="仿宋" w:cs="仿宋"/>
                <w:b/>
                <w:bCs/>
                <w:color w:val="auto"/>
                <w:kern w:val="0"/>
                <w:sz w:val="28"/>
                <w:szCs w:val="28"/>
                <w:highlight w:val="none"/>
                <w:lang w:val="zh-CN" w:bidi="zh-CN"/>
              </w:rPr>
              <w:t>实施方案：</w:t>
            </w:r>
            <w:r>
              <w:rPr>
                <w:rFonts w:hint="eastAsia" w:ascii="仿宋" w:hAnsi="仿宋" w:eastAsia="仿宋" w:cs="仿宋"/>
                <w:b w:val="0"/>
                <w:bCs w:val="0"/>
                <w:color w:val="auto"/>
                <w:kern w:val="0"/>
                <w:sz w:val="28"/>
                <w:szCs w:val="28"/>
                <w:highlight w:val="none"/>
                <w:lang w:val="zh-CN" w:bidi="zh-CN"/>
              </w:rPr>
              <w:t>包含并不限于对人员设置、工作流程：（1）人员设置、工作流程等方案完全符合采购人工作需求，完整详细，实用性、针对性强，得5分；（2）人员设置、工作流程等方案较基本符合采购人工作需求，完整详细，具有实用性和针对性，得3分。（3）人员设置、工作流程等方案与采购人工作要求不太相符的，实用性、针对性有待改善，得1分。（4）方案不可行或者未提供，得0分。</w:t>
            </w:r>
          </w:p>
          <w:p w14:paraId="10AA3C4C">
            <w:pPr>
              <w:widowControl/>
              <w:ind w:firstLine="562" w:firstLineChars="200"/>
              <w:jc w:val="left"/>
              <w:rPr>
                <w:rFonts w:hint="eastAsia" w:ascii="仿宋" w:hAnsi="仿宋" w:eastAsia="仿宋" w:cs="仿宋"/>
                <w:b/>
                <w:bCs/>
                <w:color w:val="auto"/>
                <w:kern w:val="0"/>
                <w:sz w:val="28"/>
                <w:szCs w:val="28"/>
                <w:highlight w:val="none"/>
                <w:lang w:val="zh-CN" w:bidi="zh-CN"/>
              </w:rPr>
            </w:pPr>
            <w:r>
              <w:rPr>
                <w:rFonts w:hint="eastAsia" w:ascii="仿宋" w:hAnsi="仿宋" w:eastAsia="仿宋" w:cs="仿宋"/>
                <w:b/>
                <w:bCs/>
                <w:color w:val="auto"/>
                <w:kern w:val="0"/>
                <w:sz w:val="28"/>
                <w:szCs w:val="28"/>
                <w:highlight w:val="none"/>
                <w:lang w:val="zh-CN" w:bidi="zh-CN"/>
              </w:rPr>
              <w:t>2、技术路线：</w:t>
            </w:r>
            <w:r>
              <w:rPr>
                <w:rFonts w:hint="eastAsia" w:ascii="仿宋" w:hAnsi="仿宋" w:eastAsia="仿宋" w:cs="仿宋"/>
                <w:b w:val="0"/>
                <w:bCs w:val="0"/>
                <w:color w:val="auto"/>
                <w:kern w:val="0"/>
                <w:sz w:val="28"/>
                <w:szCs w:val="28"/>
                <w:highlight w:val="none"/>
                <w:lang w:val="zh-CN" w:bidi="zh-CN"/>
              </w:rPr>
              <w:t>深刻领会相关文件要求：（1）技术路线方案完全符合采购人工作需求，完整详细，实用性、针对性强，得5分；（2）技术路线方案较基本符合采购人工作需求，完整详细，具有实用性和针对性，得3分。（3）技术路线方案与采购人工作要求不太相符的，实用性、针对性有待改善，得1分。（4）方案不可行或者未提供得0分。</w:t>
            </w:r>
          </w:p>
          <w:p w14:paraId="753FD62C">
            <w:pPr>
              <w:widowControl/>
              <w:ind w:firstLine="562" w:firstLineChars="200"/>
              <w:jc w:val="left"/>
              <w:rPr>
                <w:rFonts w:hint="eastAsia" w:ascii="仿宋" w:hAnsi="仿宋" w:eastAsia="仿宋" w:cs="仿宋"/>
                <w:b w:val="0"/>
                <w:bCs w:val="0"/>
                <w:color w:val="auto"/>
                <w:kern w:val="0"/>
                <w:sz w:val="28"/>
                <w:szCs w:val="28"/>
                <w:highlight w:val="none"/>
                <w:lang w:val="en-US" w:bidi="zh-CN"/>
              </w:rPr>
            </w:pPr>
            <w:r>
              <w:rPr>
                <w:rFonts w:hint="eastAsia" w:ascii="仿宋" w:hAnsi="仿宋" w:eastAsia="仿宋" w:cs="仿宋"/>
                <w:b/>
                <w:bCs/>
                <w:color w:val="auto"/>
                <w:kern w:val="0"/>
                <w:sz w:val="28"/>
                <w:szCs w:val="28"/>
                <w:highlight w:val="none"/>
                <w:lang w:val="en-US" w:bidi="zh-CN"/>
              </w:rPr>
              <w:t>3、房地产市场分析：</w:t>
            </w:r>
            <w:r>
              <w:rPr>
                <w:rFonts w:hint="eastAsia" w:ascii="仿宋" w:hAnsi="仿宋" w:eastAsia="仿宋" w:cs="仿宋"/>
                <w:b w:val="0"/>
                <w:bCs w:val="0"/>
                <w:color w:val="auto"/>
                <w:kern w:val="0"/>
                <w:sz w:val="28"/>
                <w:szCs w:val="28"/>
                <w:highlight w:val="none"/>
                <w:lang w:val="en-US" w:bidi="zh-CN"/>
              </w:rPr>
              <w:t>分析方案内容应当包括:根据阜阳市近三年来土地房产市场走势,以及政府对房地产市场调控措施，对阜阳市土地价格走向予以分析。</w:t>
            </w:r>
            <w:r>
              <w:rPr>
                <w:rFonts w:hint="eastAsia" w:ascii="仿宋" w:hAnsi="仿宋" w:eastAsia="仿宋" w:cs="仿宋"/>
                <w:b w:val="0"/>
                <w:bCs w:val="0"/>
                <w:color w:val="auto"/>
                <w:kern w:val="0"/>
                <w:sz w:val="28"/>
                <w:szCs w:val="28"/>
                <w:highlight w:val="none"/>
                <w:lang w:val="zh-CN" w:bidi="zh-CN"/>
              </w:rPr>
              <w:t>（1）房地产市场分析方案完全符合采购人工作需求，完整详细，实用性、针对性强，得5分；（2）房地产市场分析方案较基本符合采购人工作需求，完整详细，具有实用性和针对性，得3分。（3）房地产市场分析方案与采购人工作要求不太相符的，实用性、针对性有待改善，得1分。（4）方案不可行或者未提供得0分。</w:t>
            </w:r>
          </w:p>
          <w:p w14:paraId="7AF8CD44">
            <w:pPr>
              <w:widowControl/>
              <w:ind w:firstLine="562" w:firstLineChars="200"/>
              <w:jc w:val="left"/>
              <w:rPr>
                <w:rFonts w:hint="eastAsia" w:ascii="仿宋" w:hAnsi="仿宋" w:eastAsia="仿宋" w:cs="仿宋"/>
                <w:b/>
                <w:bCs/>
                <w:color w:val="auto"/>
                <w:kern w:val="0"/>
                <w:sz w:val="28"/>
                <w:szCs w:val="28"/>
                <w:highlight w:val="none"/>
                <w:lang w:val="zh-CN" w:bidi="zh-CN"/>
              </w:rPr>
            </w:pPr>
            <w:r>
              <w:rPr>
                <w:rFonts w:hint="eastAsia" w:ascii="仿宋" w:hAnsi="仿宋" w:eastAsia="仿宋" w:cs="仿宋"/>
                <w:b/>
                <w:bCs/>
                <w:color w:val="auto"/>
                <w:kern w:val="0"/>
                <w:sz w:val="28"/>
                <w:szCs w:val="28"/>
                <w:highlight w:val="none"/>
                <w:lang w:val="en-US" w:bidi="zh-CN"/>
              </w:rPr>
              <w:t>4</w:t>
            </w:r>
            <w:r>
              <w:rPr>
                <w:rFonts w:hint="eastAsia" w:ascii="仿宋" w:hAnsi="仿宋" w:eastAsia="仿宋" w:cs="仿宋"/>
                <w:b/>
                <w:bCs/>
                <w:color w:val="auto"/>
                <w:kern w:val="0"/>
                <w:sz w:val="28"/>
                <w:szCs w:val="28"/>
                <w:highlight w:val="none"/>
                <w:lang w:val="zh-CN" w:bidi="zh-CN"/>
              </w:rPr>
              <w:t>、质量控制措施：</w:t>
            </w:r>
            <w:r>
              <w:rPr>
                <w:rFonts w:hint="eastAsia" w:ascii="仿宋" w:hAnsi="仿宋" w:eastAsia="仿宋" w:cs="仿宋"/>
                <w:b w:val="0"/>
                <w:bCs w:val="0"/>
                <w:color w:val="auto"/>
                <w:kern w:val="0"/>
                <w:sz w:val="28"/>
                <w:szCs w:val="28"/>
                <w:highlight w:val="none"/>
                <w:lang w:val="zh-CN" w:bidi="zh-CN"/>
              </w:rPr>
              <w:t>质量保障措施方案，方案内容应当包括：业务成果质量审核机制、完善的业务成果资料移交和存档管理制度、严明的工作纪律等措施、质量技术保障措施、提升和完善的意见。（1）质量保障措施方案完全符合采购人工作需求，完整详细，实用性、针对性强，得5分；（2）质量保障措施方案较基本符合采购人工作需求，完整详细，具有实用性和针对性，得3分。（3）质量保障措施方案与采购人工作要求不太相符的，实用性、针对性有待改善，得1分。（4）方案不可行或者未提供得0分。</w:t>
            </w:r>
          </w:p>
          <w:p w14:paraId="113CA76D">
            <w:pPr>
              <w:widowControl/>
              <w:ind w:firstLine="562" w:firstLineChars="200"/>
              <w:jc w:val="left"/>
              <w:rPr>
                <w:rFonts w:hint="eastAsia" w:ascii="仿宋" w:hAnsi="仿宋" w:eastAsia="仿宋" w:cs="仿宋"/>
                <w:b w:val="0"/>
                <w:bCs w:val="0"/>
                <w:color w:val="auto"/>
                <w:kern w:val="0"/>
                <w:sz w:val="28"/>
                <w:szCs w:val="28"/>
                <w:highlight w:val="none"/>
                <w:lang w:val="zh-CN" w:bidi="zh-CN"/>
              </w:rPr>
            </w:pPr>
            <w:r>
              <w:rPr>
                <w:rFonts w:hint="eastAsia" w:ascii="仿宋" w:hAnsi="仿宋" w:eastAsia="仿宋" w:cs="仿宋"/>
                <w:b/>
                <w:bCs/>
                <w:color w:val="auto"/>
                <w:kern w:val="0"/>
                <w:sz w:val="28"/>
                <w:szCs w:val="28"/>
                <w:highlight w:val="none"/>
                <w:lang w:val="en-US" w:bidi="zh-CN"/>
              </w:rPr>
              <w:t>5</w:t>
            </w:r>
            <w:r>
              <w:rPr>
                <w:rFonts w:hint="eastAsia" w:ascii="仿宋" w:hAnsi="仿宋" w:eastAsia="仿宋" w:cs="仿宋"/>
                <w:b/>
                <w:bCs/>
                <w:color w:val="auto"/>
                <w:kern w:val="0"/>
                <w:sz w:val="28"/>
                <w:szCs w:val="28"/>
                <w:highlight w:val="none"/>
                <w:lang w:val="zh-CN" w:bidi="zh-CN"/>
              </w:rPr>
              <w:t>、 进度控制措施：</w:t>
            </w:r>
            <w:r>
              <w:rPr>
                <w:rFonts w:hint="eastAsia" w:ascii="仿宋" w:hAnsi="仿宋" w:eastAsia="仿宋" w:cs="仿宋"/>
                <w:b w:val="0"/>
                <w:bCs w:val="0"/>
                <w:color w:val="auto"/>
                <w:kern w:val="0"/>
                <w:sz w:val="28"/>
                <w:szCs w:val="28"/>
                <w:highlight w:val="none"/>
                <w:lang w:val="zh-CN" w:bidi="zh-CN"/>
              </w:rPr>
              <w:t>（1）进度控制措施方案完全符合采购人工作需求，完整详细，实用性、针对性强，得5分；（2）进度控制措施</w:t>
            </w:r>
            <w:r>
              <w:rPr>
                <w:rFonts w:hint="eastAsia" w:ascii="仿宋" w:hAnsi="仿宋" w:eastAsia="仿宋" w:cs="仿宋"/>
                <w:b w:val="0"/>
                <w:bCs w:val="0"/>
                <w:color w:val="auto"/>
                <w:kern w:val="0"/>
                <w:sz w:val="28"/>
                <w:szCs w:val="28"/>
                <w:highlight w:val="none"/>
                <w:lang w:val="en-US" w:bidi="zh-CN"/>
              </w:rPr>
              <w:t>方</w:t>
            </w:r>
            <w:r>
              <w:rPr>
                <w:rFonts w:hint="eastAsia" w:ascii="仿宋" w:hAnsi="仿宋" w:eastAsia="仿宋" w:cs="仿宋"/>
                <w:b w:val="0"/>
                <w:bCs w:val="0"/>
                <w:color w:val="auto"/>
                <w:kern w:val="0"/>
                <w:sz w:val="28"/>
                <w:szCs w:val="28"/>
                <w:highlight w:val="none"/>
                <w:lang w:val="zh-CN" w:bidi="zh-CN"/>
              </w:rPr>
              <w:t>案较基本符合采购人工作需求，完整详细，具有实用性和针对性，得3分。（3）进度控制措施</w:t>
            </w:r>
            <w:r>
              <w:rPr>
                <w:rFonts w:hint="eastAsia" w:ascii="仿宋" w:hAnsi="仿宋" w:eastAsia="仿宋" w:cs="仿宋"/>
                <w:b w:val="0"/>
                <w:bCs w:val="0"/>
                <w:color w:val="auto"/>
                <w:kern w:val="0"/>
                <w:sz w:val="28"/>
                <w:szCs w:val="28"/>
                <w:highlight w:val="none"/>
                <w:lang w:val="en-US" w:bidi="zh-CN"/>
              </w:rPr>
              <w:t>方案</w:t>
            </w:r>
            <w:r>
              <w:rPr>
                <w:rFonts w:hint="eastAsia" w:ascii="仿宋" w:hAnsi="仿宋" w:eastAsia="仿宋" w:cs="仿宋"/>
                <w:b w:val="0"/>
                <w:bCs w:val="0"/>
                <w:color w:val="auto"/>
                <w:kern w:val="0"/>
                <w:sz w:val="28"/>
                <w:szCs w:val="28"/>
                <w:highlight w:val="none"/>
                <w:lang w:val="zh-CN" w:bidi="zh-CN"/>
              </w:rPr>
              <w:t>与采购人工作要求不太相符的，实用性、针对性有待改善，得1分。（4）方案不可行或者未提供得0分。</w:t>
            </w:r>
          </w:p>
          <w:p w14:paraId="41EFE451">
            <w:pPr>
              <w:pStyle w:val="27"/>
              <w:spacing w:line="360" w:lineRule="auto"/>
              <w:ind w:firstLine="562" w:firstLineChars="200"/>
              <w:rPr>
                <w:rFonts w:hint="eastAsia" w:ascii="仿宋" w:hAnsi="仿宋" w:eastAsia="仿宋" w:cs="仿宋"/>
                <w:b w:val="0"/>
                <w:bCs w:val="0"/>
                <w:color w:val="auto"/>
                <w:kern w:val="0"/>
                <w:sz w:val="28"/>
                <w:szCs w:val="28"/>
                <w:highlight w:val="none"/>
                <w:lang w:val="zh-CN" w:bidi="zh-CN"/>
              </w:rPr>
            </w:pPr>
            <w:r>
              <w:rPr>
                <w:rFonts w:hint="eastAsia" w:ascii="仿宋" w:hAnsi="仿宋" w:eastAsia="仿宋" w:cs="仿宋"/>
                <w:b/>
                <w:bCs/>
                <w:color w:val="auto"/>
                <w:kern w:val="0"/>
                <w:sz w:val="28"/>
                <w:szCs w:val="28"/>
                <w:highlight w:val="none"/>
                <w:lang w:val="en-US" w:bidi="zh-CN"/>
              </w:rPr>
              <w:t>6、</w:t>
            </w:r>
            <w:r>
              <w:rPr>
                <w:rFonts w:hint="eastAsia" w:ascii="仿宋" w:hAnsi="仿宋" w:eastAsia="仿宋" w:cs="仿宋"/>
                <w:b/>
                <w:bCs/>
                <w:color w:val="auto"/>
                <w:kern w:val="0"/>
                <w:sz w:val="28"/>
                <w:szCs w:val="28"/>
                <w:highlight w:val="none"/>
                <w:lang w:val="zh-CN" w:bidi="zh-CN"/>
              </w:rPr>
              <w:t>售后服务方案：</w:t>
            </w:r>
            <w:r>
              <w:rPr>
                <w:rFonts w:hint="eastAsia" w:ascii="仿宋" w:hAnsi="仿宋" w:eastAsia="仿宋" w:cs="仿宋"/>
                <w:b w:val="0"/>
                <w:bCs w:val="0"/>
                <w:color w:val="auto"/>
                <w:kern w:val="0"/>
                <w:sz w:val="28"/>
                <w:szCs w:val="28"/>
                <w:highlight w:val="none"/>
                <w:lang w:val="zh-CN" w:bidi="zh-CN"/>
              </w:rPr>
              <w:t>方案内容应当包括:投标企业须对所出具的评估报告负有解释义务，负责解答报告使用中遇到的困难，及时提出解决问题的建议和方法等后续服务工作。（</w:t>
            </w:r>
            <w:r>
              <w:rPr>
                <w:rFonts w:hint="eastAsia" w:ascii="仿宋" w:hAnsi="仿宋" w:eastAsia="仿宋" w:cs="仿宋"/>
                <w:b w:val="0"/>
                <w:bCs w:val="0"/>
                <w:color w:val="auto"/>
                <w:kern w:val="0"/>
                <w:sz w:val="28"/>
                <w:szCs w:val="28"/>
                <w:highlight w:val="none"/>
                <w:lang w:val="en-US" w:bidi="zh-CN"/>
              </w:rPr>
              <w:t>1</w:t>
            </w:r>
            <w:r>
              <w:rPr>
                <w:rFonts w:hint="eastAsia" w:ascii="仿宋" w:hAnsi="仿宋" w:eastAsia="仿宋" w:cs="仿宋"/>
                <w:b w:val="0"/>
                <w:bCs w:val="0"/>
                <w:color w:val="auto"/>
                <w:kern w:val="0"/>
                <w:sz w:val="28"/>
                <w:szCs w:val="28"/>
                <w:highlight w:val="none"/>
                <w:lang w:val="zh-CN" w:bidi="zh-CN"/>
              </w:rPr>
              <w:t>）方案科学合理，符合实际，能完全满足项目要求的，得5分；（</w:t>
            </w:r>
            <w:r>
              <w:rPr>
                <w:rFonts w:hint="eastAsia" w:ascii="仿宋" w:hAnsi="仿宋" w:eastAsia="仿宋" w:cs="仿宋"/>
                <w:b w:val="0"/>
                <w:bCs w:val="0"/>
                <w:color w:val="auto"/>
                <w:kern w:val="0"/>
                <w:sz w:val="28"/>
                <w:szCs w:val="28"/>
                <w:highlight w:val="none"/>
                <w:lang w:val="en-US" w:bidi="zh-CN"/>
              </w:rPr>
              <w:t>2</w:t>
            </w:r>
            <w:r>
              <w:rPr>
                <w:rFonts w:hint="eastAsia" w:ascii="仿宋" w:hAnsi="仿宋" w:eastAsia="仿宋" w:cs="仿宋"/>
                <w:b w:val="0"/>
                <w:bCs w:val="0"/>
                <w:color w:val="auto"/>
                <w:kern w:val="0"/>
                <w:sz w:val="28"/>
                <w:szCs w:val="28"/>
                <w:highlight w:val="none"/>
                <w:lang w:val="zh-CN" w:bidi="zh-CN"/>
              </w:rPr>
              <w:t>）方案较符合，实际但有部分瑕疵的，得3分；（</w:t>
            </w:r>
            <w:r>
              <w:rPr>
                <w:rFonts w:hint="eastAsia" w:ascii="仿宋" w:hAnsi="仿宋" w:eastAsia="仿宋" w:cs="仿宋"/>
                <w:b w:val="0"/>
                <w:bCs w:val="0"/>
                <w:color w:val="auto"/>
                <w:kern w:val="0"/>
                <w:sz w:val="28"/>
                <w:szCs w:val="28"/>
                <w:highlight w:val="none"/>
                <w:lang w:val="en-US" w:bidi="zh-CN"/>
              </w:rPr>
              <w:t>3</w:t>
            </w:r>
            <w:r>
              <w:rPr>
                <w:rFonts w:hint="eastAsia" w:ascii="仿宋" w:hAnsi="仿宋" w:eastAsia="仿宋" w:cs="仿宋"/>
                <w:b w:val="0"/>
                <w:bCs w:val="0"/>
                <w:color w:val="auto"/>
                <w:kern w:val="0"/>
                <w:sz w:val="28"/>
                <w:szCs w:val="28"/>
                <w:highlight w:val="none"/>
                <w:lang w:val="zh-CN" w:bidi="zh-CN"/>
              </w:rPr>
              <w:t>）</w:t>
            </w:r>
            <w:r>
              <w:rPr>
                <w:rFonts w:hint="eastAsia" w:ascii="仿宋" w:hAnsi="仿宋" w:eastAsia="仿宋" w:cs="仿宋"/>
                <w:color w:val="auto"/>
                <w:sz w:val="28"/>
                <w:szCs w:val="28"/>
                <w:highlight w:val="none"/>
              </w:rPr>
              <w:t>方案有待完善和提升的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得1分</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kern w:val="0"/>
                <w:sz w:val="28"/>
                <w:szCs w:val="28"/>
                <w:highlight w:val="none"/>
                <w:lang w:val="zh-CN" w:bidi="zh-CN"/>
              </w:rPr>
              <w:t>（4）方案不可行或者未提供得0分。</w:t>
            </w:r>
          </w:p>
          <w:p w14:paraId="24FA3C17">
            <w:pPr>
              <w:widowControl/>
              <w:ind w:firstLine="562" w:firstLineChars="200"/>
              <w:jc w:val="left"/>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kern w:val="0"/>
                <w:sz w:val="28"/>
                <w:szCs w:val="28"/>
                <w:highlight w:val="none"/>
                <w:lang w:val="en-US" w:bidi="zh-CN"/>
              </w:rPr>
              <w:t>7</w:t>
            </w:r>
            <w:r>
              <w:rPr>
                <w:rFonts w:hint="eastAsia" w:ascii="仿宋" w:hAnsi="仿宋" w:eastAsia="仿宋" w:cs="仿宋"/>
                <w:b w:val="0"/>
                <w:bCs w:val="0"/>
                <w:color w:val="auto"/>
                <w:kern w:val="0"/>
                <w:sz w:val="28"/>
                <w:szCs w:val="28"/>
                <w:highlight w:val="none"/>
                <w:lang w:val="en-US" w:bidi="zh-CN"/>
              </w:rPr>
              <w:t>、</w:t>
            </w:r>
            <w:r>
              <w:rPr>
                <w:rFonts w:hint="eastAsia" w:ascii="仿宋" w:hAnsi="仿宋" w:eastAsia="仿宋" w:cs="仿宋"/>
                <w:b/>
                <w:bCs/>
                <w:color w:val="auto"/>
                <w:kern w:val="0"/>
                <w:sz w:val="28"/>
                <w:szCs w:val="28"/>
                <w:highlight w:val="none"/>
                <w:lang w:val="zh-CN" w:bidi="zh-CN"/>
              </w:rPr>
              <w:t>成果保密措施：</w:t>
            </w:r>
            <w:r>
              <w:rPr>
                <w:rFonts w:hint="eastAsia" w:ascii="仿宋" w:hAnsi="仿宋" w:eastAsia="仿宋" w:cs="仿宋"/>
                <w:b w:val="0"/>
                <w:bCs w:val="0"/>
                <w:color w:val="auto"/>
                <w:kern w:val="0"/>
                <w:sz w:val="28"/>
                <w:szCs w:val="28"/>
                <w:highlight w:val="none"/>
                <w:lang w:val="zh-CN" w:bidi="zh-CN"/>
              </w:rPr>
              <w:t>（1）成果保密措施方案完全符合采购人工作需求，完整详细，实用性、针对性强，得5分；（2）成果保密措施</w:t>
            </w:r>
            <w:r>
              <w:rPr>
                <w:rFonts w:hint="eastAsia" w:ascii="仿宋" w:hAnsi="仿宋" w:eastAsia="仿宋" w:cs="仿宋"/>
                <w:b w:val="0"/>
                <w:bCs w:val="0"/>
                <w:color w:val="auto"/>
                <w:kern w:val="0"/>
                <w:sz w:val="28"/>
                <w:szCs w:val="28"/>
                <w:highlight w:val="none"/>
                <w:lang w:val="en-US" w:bidi="zh-CN"/>
              </w:rPr>
              <w:t>方</w:t>
            </w:r>
            <w:r>
              <w:rPr>
                <w:rFonts w:hint="eastAsia" w:ascii="仿宋" w:hAnsi="仿宋" w:eastAsia="仿宋" w:cs="仿宋"/>
                <w:b w:val="0"/>
                <w:bCs w:val="0"/>
                <w:color w:val="auto"/>
                <w:kern w:val="0"/>
                <w:sz w:val="28"/>
                <w:szCs w:val="28"/>
                <w:highlight w:val="none"/>
                <w:lang w:val="zh-CN" w:bidi="zh-CN"/>
              </w:rPr>
              <w:t>案较基本符合采购人工作需求，完整详细，具有实用性和针对性，得3分。（3）成果保密措施</w:t>
            </w:r>
            <w:r>
              <w:rPr>
                <w:rFonts w:hint="eastAsia" w:ascii="仿宋" w:hAnsi="仿宋" w:eastAsia="仿宋" w:cs="仿宋"/>
                <w:b w:val="0"/>
                <w:bCs w:val="0"/>
                <w:color w:val="auto"/>
                <w:kern w:val="0"/>
                <w:sz w:val="28"/>
                <w:szCs w:val="28"/>
                <w:highlight w:val="none"/>
                <w:lang w:val="en-US" w:bidi="zh-CN"/>
              </w:rPr>
              <w:t>方案</w:t>
            </w:r>
            <w:r>
              <w:rPr>
                <w:rFonts w:hint="eastAsia" w:ascii="仿宋" w:hAnsi="仿宋" w:eastAsia="仿宋" w:cs="仿宋"/>
                <w:b w:val="0"/>
                <w:bCs w:val="0"/>
                <w:color w:val="auto"/>
                <w:kern w:val="0"/>
                <w:sz w:val="28"/>
                <w:szCs w:val="28"/>
                <w:highlight w:val="none"/>
                <w:lang w:val="zh-CN" w:bidi="zh-CN"/>
              </w:rPr>
              <w:t>与采购人工作要求不太相符的，实用性、针对性有待改善，得1分。（4）方案不可行或者未提供得0分。</w:t>
            </w:r>
          </w:p>
        </w:tc>
      </w:tr>
      <w:tr w14:paraId="2FB7A0D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606" w:hRule="atLeast"/>
          <w:jc w:val="center"/>
        </w:trPr>
        <w:tc>
          <w:tcPr>
            <w:tcW w:w="1410" w:type="dxa"/>
            <w:tcBorders>
              <w:top w:val="single" w:color="auto" w:sz="4" w:space="0"/>
              <w:right w:val="single" w:color="auto" w:sz="4" w:space="0"/>
            </w:tcBorders>
            <w:noWrap/>
            <w:vAlign w:val="center"/>
          </w:tcPr>
          <w:p w14:paraId="26B20601">
            <w:pPr>
              <w:pStyle w:val="20"/>
              <w:ind w:left="0" w:leftChars="0" w:firstLine="0" w:firstLineChars="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企业实力</w:t>
            </w:r>
          </w:p>
          <w:p w14:paraId="20F17831">
            <w:pPr>
              <w:pStyle w:val="20"/>
              <w:ind w:left="0" w:leftChars="0" w:firstLine="0" w:firstLineChars="0"/>
              <w:jc w:val="center"/>
              <w:rPr>
                <w:rFonts w:hint="eastAsia" w:ascii="仿宋" w:hAnsi="仿宋" w:eastAsia="仿宋" w:cs="仿宋"/>
                <w:color w:val="auto"/>
                <w:sz w:val="30"/>
                <w:szCs w:val="30"/>
                <w:highlight w:val="none"/>
                <w:lang w:val="en-US" w:eastAsia="zh-CN"/>
              </w:rPr>
            </w:pPr>
            <w:r>
              <w:rPr>
                <w:rFonts w:hint="eastAsia" w:ascii="仿宋" w:hAnsi="仿宋" w:eastAsia="仿宋" w:cs="仿宋"/>
                <w:b/>
                <w:bCs/>
                <w:color w:val="auto"/>
                <w:kern w:val="0"/>
                <w:sz w:val="30"/>
                <w:szCs w:val="30"/>
                <w:highlight w:val="none"/>
                <w:lang w:eastAsia="zh-CN"/>
              </w:rPr>
              <w:t>（</w:t>
            </w:r>
            <w:r>
              <w:rPr>
                <w:rFonts w:hint="eastAsia" w:ascii="仿宋" w:hAnsi="仿宋" w:eastAsia="仿宋" w:cs="仿宋"/>
                <w:b/>
                <w:bCs/>
                <w:color w:val="auto"/>
                <w:kern w:val="0"/>
                <w:sz w:val="30"/>
                <w:szCs w:val="30"/>
                <w:highlight w:val="none"/>
                <w:lang w:val="en-US" w:eastAsia="zh-CN"/>
              </w:rPr>
              <w:t>22分</w:t>
            </w:r>
            <w:r>
              <w:rPr>
                <w:rFonts w:hint="eastAsia" w:ascii="仿宋" w:hAnsi="仿宋" w:eastAsia="仿宋" w:cs="仿宋"/>
                <w:b/>
                <w:bCs/>
                <w:color w:val="auto"/>
                <w:kern w:val="0"/>
                <w:sz w:val="30"/>
                <w:szCs w:val="30"/>
                <w:highlight w:val="none"/>
                <w:lang w:eastAsia="zh-CN"/>
              </w:rPr>
              <w:t>）</w:t>
            </w:r>
          </w:p>
        </w:tc>
        <w:tc>
          <w:tcPr>
            <w:tcW w:w="7200" w:type="dxa"/>
            <w:tcBorders>
              <w:top w:val="single" w:color="auto" w:sz="4" w:space="0"/>
              <w:left w:val="single" w:color="auto" w:sz="4" w:space="0"/>
              <w:right w:val="single" w:color="auto" w:sz="4" w:space="0"/>
            </w:tcBorders>
            <w:noWrap/>
            <w:vAlign w:val="center"/>
          </w:tcPr>
          <w:p w14:paraId="65A2C5F7">
            <w:pPr>
              <w:widowControl/>
              <w:ind w:firstLine="560" w:firstLineChars="200"/>
              <w:jc w:val="left"/>
              <w:rPr>
                <w:rFonts w:hint="eastAsia" w:ascii="仿宋" w:hAnsi="仿宋" w:eastAsia="仿宋" w:cs="仿宋"/>
                <w:b w:val="0"/>
                <w:bCs w:val="0"/>
                <w:color w:val="auto"/>
                <w:kern w:val="0"/>
                <w:sz w:val="28"/>
                <w:szCs w:val="28"/>
                <w:highlight w:val="none"/>
                <w:lang w:val="en-US" w:eastAsia="zh-CN" w:bidi="zh-CN"/>
              </w:rPr>
            </w:pPr>
            <w:r>
              <w:rPr>
                <w:rFonts w:hint="eastAsia" w:ascii="仿宋" w:hAnsi="仿宋" w:eastAsia="仿宋" w:cs="仿宋"/>
                <w:b w:val="0"/>
                <w:bCs w:val="0"/>
                <w:color w:val="auto"/>
                <w:kern w:val="0"/>
                <w:sz w:val="28"/>
                <w:szCs w:val="28"/>
                <w:highlight w:val="none"/>
                <w:lang w:val="en-US" w:eastAsia="en-US" w:bidi="zh-CN"/>
              </w:rPr>
              <w:t>1.</w:t>
            </w:r>
            <w:r>
              <w:rPr>
                <w:rFonts w:hint="eastAsia" w:ascii="仿宋" w:hAnsi="仿宋" w:eastAsia="仿宋" w:cs="仿宋"/>
                <w:b w:val="0"/>
                <w:bCs w:val="0"/>
                <w:color w:val="auto"/>
                <w:kern w:val="0"/>
                <w:sz w:val="28"/>
                <w:szCs w:val="28"/>
                <w:highlight w:val="none"/>
                <w:lang w:val="zh-CN" w:eastAsia="zh-CN" w:bidi="zh-CN"/>
              </w:rPr>
              <w:t>202</w:t>
            </w:r>
            <w:r>
              <w:rPr>
                <w:rFonts w:hint="eastAsia" w:ascii="仿宋" w:hAnsi="仿宋" w:eastAsia="仿宋" w:cs="仿宋"/>
                <w:b w:val="0"/>
                <w:bCs w:val="0"/>
                <w:color w:val="auto"/>
                <w:kern w:val="0"/>
                <w:sz w:val="28"/>
                <w:szCs w:val="28"/>
                <w:highlight w:val="none"/>
                <w:lang w:val="en-US" w:eastAsia="zh-CN" w:bidi="zh-CN"/>
              </w:rPr>
              <w:t>3</w:t>
            </w:r>
            <w:r>
              <w:rPr>
                <w:rFonts w:hint="eastAsia" w:ascii="仿宋" w:hAnsi="仿宋" w:eastAsia="仿宋" w:cs="仿宋"/>
                <w:b w:val="0"/>
                <w:bCs w:val="0"/>
                <w:color w:val="auto"/>
                <w:kern w:val="0"/>
                <w:sz w:val="28"/>
                <w:szCs w:val="28"/>
                <w:highlight w:val="none"/>
                <w:lang w:val="zh-CN" w:eastAsia="zh-CN" w:bidi="zh-CN"/>
              </w:rPr>
              <w:t>年1月1日至今</w:t>
            </w:r>
            <w:r>
              <w:rPr>
                <w:rFonts w:hint="eastAsia" w:ascii="仿宋" w:hAnsi="仿宋" w:eastAsia="仿宋" w:cs="仿宋"/>
                <w:b w:val="0"/>
                <w:bCs w:val="0"/>
                <w:color w:val="auto"/>
                <w:kern w:val="0"/>
                <w:sz w:val="28"/>
                <w:szCs w:val="28"/>
                <w:highlight w:val="none"/>
                <w:lang w:val="zh-CN" w:eastAsia="zh-CN" w:bidi="zh-CN"/>
              </w:rPr>
              <w:t>，</w:t>
            </w:r>
            <w:r>
              <w:rPr>
                <w:rFonts w:hint="eastAsia" w:ascii="仿宋" w:hAnsi="仿宋" w:eastAsia="仿宋" w:cs="仿宋"/>
                <w:b w:val="0"/>
                <w:bCs w:val="0"/>
                <w:color w:val="auto"/>
                <w:kern w:val="0"/>
                <w:sz w:val="28"/>
                <w:szCs w:val="28"/>
                <w:highlight w:val="none"/>
                <w:lang w:val="zh-CN" w:eastAsia="en-US" w:bidi="zh-CN"/>
              </w:rPr>
              <w:t>供应商</w:t>
            </w:r>
            <w:r>
              <w:rPr>
                <w:rFonts w:hint="eastAsia" w:ascii="仿宋" w:hAnsi="仿宋" w:eastAsia="仿宋" w:cs="仿宋"/>
                <w:b w:val="0"/>
                <w:bCs w:val="0"/>
                <w:color w:val="auto"/>
                <w:kern w:val="0"/>
                <w:sz w:val="28"/>
                <w:szCs w:val="28"/>
                <w:highlight w:val="none"/>
                <w:lang w:val="en-US" w:eastAsia="zh-CN" w:bidi="zh-CN"/>
              </w:rPr>
              <w:t>（以评估报告电子备案时间为准）评估报告电子备案数400份及以上的得5分，300（含）-400 份的得4分，200（含）-300份的得3分，100（含）-200份的得2分，100份以下的得1分。本项</w:t>
            </w:r>
            <w:r>
              <w:rPr>
                <w:rFonts w:hint="eastAsia" w:ascii="仿宋" w:hAnsi="仿宋" w:eastAsia="仿宋" w:cs="仿宋"/>
                <w:b w:val="0"/>
                <w:bCs w:val="0"/>
                <w:color w:val="auto"/>
                <w:kern w:val="0"/>
                <w:sz w:val="28"/>
                <w:szCs w:val="28"/>
                <w:highlight w:val="none"/>
                <w:lang w:val="zh-CN" w:eastAsia="zh-CN" w:bidi="zh-CN"/>
              </w:rPr>
              <w:t>最高得</w:t>
            </w:r>
            <w:r>
              <w:rPr>
                <w:rFonts w:hint="eastAsia" w:ascii="仿宋" w:hAnsi="仿宋" w:eastAsia="仿宋" w:cs="仿宋"/>
                <w:b w:val="0"/>
                <w:bCs w:val="0"/>
                <w:color w:val="auto"/>
                <w:kern w:val="0"/>
                <w:sz w:val="28"/>
                <w:szCs w:val="28"/>
                <w:highlight w:val="none"/>
                <w:lang w:val="en-US" w:eastAsia="zh-CN" w:bidi="zh-CN"/>
              </w:rPr>
              <w:t>5</w:t>
            </w:r>
            <w:r>
              <w:rPr>
                <w:rFonts w:hint="eastAsia" w:ascii="仿宋" w:hAnsi="仿宋" w:eastAsia="仿宋" w:cs="仿宋"/>
                <w:b w:val="0"/>
                <w:bCs w:val="0"/>
                <w:color w:val="auto"/>
                <w:kern w:val="0"/>
                <w:sz w:val="28"/>
                <w:szCs w:val="28"/>
                <w:highlight w:val="none"/>
                <w:lang w:val="zh-CN" w:eastAsia="zh-CN" w:bidi="zh-CN"/>
              </w:rPr>
              <w:t>分。</w:t>
            </w:r>
          </w:p>
          <w:p w14:paraId="3914DA74">
            <w:pPr>
              <w:widowControl/>
              <w:ind w:firstLine="560" w:firstLineChars="200"/>
              <w:jc w:val="left"/>
              <w:rPr>
                <w:rFonts w:hint="eastAsia" w:ascii="仿宋" w:hAnsi="仿宋" w:eastAsia="仿宋" w:cs="仿宋"/>
                <w:b w:val="0"/>
                <w:bCs w:val="0"/>
                <w:color w:val="auto"/>
                <w:kern w:val="0"/>
                <w:sz w:val="28"/>
                <w:szCs w:val="28"/>
                <w:highlight w:val="none"/>
                <w:lang w:val="zh-CN" w:eastAsia="zh-CN" w:bidi="zh-CN"/>
              </w:rPr>
            </w:pPr>
            <w:r>
              <w:rPr>
                <w:rFonts w:hint="eastAsia" w:ascii="仿宋" w:hAnsi="仿宋" w:eastAsia="仿宋" w:cs="仿宋"/>
                <w:b w:val="0"/>
                <w:bCs w:val="0"/>
                <w:color w:val="auto"/>
                <w:kern w:val="0"/>
                <w:sz w:val="28"/>
                <w:szCs w:val="28"/>
                <w:highlight w:val="none"/>
                <w:lang w:val="en-US" w:eastAsia="zh-CN" w:bidi="zh-CN"/>
              </w:rPr>
              <w:t>注：提供土地估价报告备案系统中电子备案报告数证明材料并加盖单位公章，否则不得分。</w:t>
            </w:r>
          </w:p>
          <w:p w14:paraId="0970EB30">
            <w:pPr>
              <w:widowControl/>
              <w:ind w:firstLine="560" w:firstLineChars="200"/>
              <w:jc w:val="left"/>
              <w:rPr>
                <w:rFonts w:hint="eastAsia" w:ascii="仿宋" w:hAnsi="仿宋" w:eastAsia="仿宋" w:cs="仿宋"/>
                <w:b w:val="0"/>
                <w:bCs w:val="0"/>
                <w:color w:val="auto"/>
                <w:kern w:val="0"/>
                <w:sz w:val="28"/>
                <w:szCs w:val="28"/>
                <w:highlight w:val="none"/>
                <w:lang w:val="zh-CN" w:eastAsia="zh-CN" w:bidi="zh-CN"/>
              </w:rPr>
            </w:pPr>
          </w:p>
          <w:p w14:paraId="7E117C0B">
            <w:pPr>
              <w:widowControl/>
              <w:ind w:firstLine="560" w:firstLineChars="200"/>
              <w:jc w:val="left"/>
              <w:rPr>
                <w:rFonts w:hint="eastAsia" w:ascii="仿宋" w:hAnsi="仿宋" w:eastAsia="仿宋" w:cs="仿宋"/>
                <w:b w:val="0"/>
                <w:bCs w:val="0"/>
                <w:color w:val="auto"/>
                <w:kern w:val="0"/>
                <w:sz w:val="28"/>
                <w:szCs w:val="28"/>
                <w:highlight w:val="none"/>
                <w:lang w:val="zh-CN" w:eastAsia="zh-CN" w:bidi="zh-CN"/>
              </w:rPr>
            </w:pPr>
            <w:r>
              <w:rPr>
                <w:rFonts w:hint="eastAsia" w:ascii="仿宋" w:hAnsi="仿宋" w:eastAsia="仿宋" w:cs="仿宋"/>
                <w:b w:val="0"/>
                <w:bCs w:val="0"/>
                <w:color w:val="auto"/>
                <w:kern w:val="0"/>
                <w:sz w:val="28"/>
                <w:szCs w:val="28"/>
                <w:highlight w:val="none"/>
                <w:lang w:val="zh-CN" w:eastAsia="zh-CN" w:bidi="zh-CN"/>
              </w:rPr>
              <w:t>2.</w:t>
            </w:r>
            <w:r>
              <w:rPr>
                <w:rFonts w:hint="eastAsia" w:ascii="仿宋" w:hAnsi="仿宋" w:eastAsia="仿宋" w:cs="仿宋"/>
                <w:b w:val="0"/>
                <w:bCs w:val="0"/>
                <w:color w:val="auto"/>
                <w:kern w:val="0"/>
                <w:sz w:val="28"/>
                <w:szCs w:val="28"/>
                <w:highlight w:val="none"/>
                <w:lang w:val="zh-CN" w:eastAsia="zh-CN" w:bidi="zh-CN"/>
              </w:rPr>
              <w:t>202</w:t>
            </w:r>
            <w:r>
              <w:rPr>
                <w:rFonts w:hint="eastAsia" w:ascii="仿宋" w:hAnsi="仿宋" w:eastAsia="仿宋" w:cs="仿宋"/>
                <w:b w:val="0"/>
                <w:bCs w:val="0"/>
                <w:color w:val="auto"/>
                <w:kern w:val="0"/>
                <w:sz w:val="28"/>
                <w:szCs w:val="28"/>
                <w:highlight w:val="none"/>
                <w:lang w:val="en-US" w:eastAsia="zh-CN" w:bidi="zh-CN"/>
              </w:rPr>
              <w:t>3</w:t>
            </w:r>
            <w:r>
              <w:rPr>
                <w:rFonts w:hint="eastAsia" w:ascii="仿宋" w:hAnsi="仿宋" w:eastAsia="仿宋" w:cs="仿宋"/>
                <w:b w:val="0"/>
                <w:bCs w:val="0"/>
                <w:color w:val="auto"/>
                <w:kern w:val="0"/>
                <w:sz w:val="28"/>
                <w:szCs w:val="28"/>
                <w:highlight w:val="none"/>
                <w:lang w:val="zh-CN" w:eastAsia="zh-CN" w:bidi="zh-CN"/>
              </w:rPr>
              <w:t>年1月1日至今</w:t>
            </w:r>
            <w:r>
              <w:rPr>
                <w:rFonts w:hint="eastAsia" w:ascii="仿宋" w:hAnsi="仿宋" w:eastAsia="仿宋" w:cs="仿宋"/>
                <w:b w:val="0"/>
                <w:bCs w:val="0"/>
                <w:color w:val="auto"/>
                <w:kern w:val="0"/>
                <w:sz w:val="28"/>
                <w:szCs w:val="28"/>
                <w:highlight w:val="none"/>
                <w:lang w:val="zh-CN" w:eastAsia="zh-CN" w:bidi="zh-CN"/>
              </w:rPr>
              <w:t>，供应商在省级及以上土地估价师行业协会组织的季度年度土地评估报告抽查评审中，</w:t>
            </w:r>
            <w:r>
              <w:rPr>
                <w:rFonts w:hint="eastAsia" w:ascii="仿宋" w:hAnsi="仿宋" w:eastAsia="仿宋" w:cs="仿宋"/>
                <w:b w:val="0"/>
                <w:bCs w:val="0"/>
                <w:color w:val="auto"/>
                <w:kern w:val="0"/>
                <w:sz w:val="28"/>
                <w:szCs w:val="28"/>
                <w:highlight w:val="none"/>
                <w:u w:val="none"/>
                <w:lang w:val="zh-CN" w:eastAsia="zh-CN" w:bidi="zh-CN"/>
              </w:rPr>
              <w:t>所有评审结果中出现的最低等别：</w:t>
            </w:r>
            <w:r>
              <w:rPr>
                <w:rFonts w:hint="eastAsia" w:ascii="仿宋" w:hAnsi="仿宋" w:eastAsia="仿宋" w:cs="仿宋"/>
                <w:b w:val="0"/>
                <w:bCs w:val="0"/>
                <w:color w:val="auto"/>
                <w:kern w:val="0"/>
                <w:sz w:val="28"/>
                <w:szCs w:val="28"/>
                <w:highlight w:val="none"/>
                <w:lang w:val="zh-CN" w:eastAsia="zh-CN" w:bidi="zh-CN"/>
              </w:rPr>
              <w:t>一等报告得</w:t>
            </w:r>
            <w:r>
              <w:rPr>
                <w:rFonts w:hint="eastAsia" w:ascii="仿宋" w:hAnsi="仿宋" w:eastAsia="仿宋" w:cs="仿宋"/>
                <w:b w:val="0"/>
                <w:bCs w:val="0"/>
                <w:color w:val="auto"/>
                <w:kern w:val="0"/>
                <w:sz w:val="28"/>
                <w:szCs w:val="28"/>
                <w:highlight w:val="none"/>
                <w:lang w:val="en-US" w:eastAsia="zh-CN" w:bidi="zh-CN"/>
              </w:rPr>
              <w:t>5</w:t>
            </w:r>
            <w:r>
              <w:rPr>
                <w:rFonts w:hint="eastAsia" w:ascii="仿宋" w:hAnsi="仿宋" w:eastAsia="仿宋" w:cs="仿宋"/>
                <w:b w:val="0"/>
                <w:bCs w:val="0"/>
                <w:color w:val="auto"/>
                <w:kern w:val="0"/>
                <w:sz w:val="28"/>
                <w:szCs w:val="28"/>
                <w:highlight w:val="none"/>
                <w:lang w:val="zh-CN" w:eastAsia="zh-CN" w:bidi="zh-CN"/>
              </w:rPr>
              <w:t>分，二等报告得</w:t>
            </w:r>
            <w:r>
              <w:rPr>
                <w:rFonts w:hint="eastAsia" w:ascii="仿宋" w:hAnsi="仿宋" w:eastAsia="仿宋" w:cs="仿宋"/>
                <w:b w:val="0"/>
                <w:bCs w:val="0"/>
                <w:color w:val="auto"/>
                <w:kern w:val="0"/>
                <w:sz w:val="28"/>
                <w:szCs w:val="28"/>
                <w:highlight w:val="none"/>
                <w:lang w:val="en-US" w:eastAsia="zh-CN" w:bidi="zh-CN"/>
              </w:rPr>
              <w:t>4</w:t>
            </w:r>
            <w:r>
              <w:rPr>
                <w:rFonts w:hint="eastAsia" w:ascii="仿宋" w:hAnsi="仿宋" w:eastAsia="仿宋" w:cs="仿宋"/>
                <w:b w:val="0"/>
                <w:bCs w:val="0"/>
                <w:color w:val="auto"/>
                <w:kern w:val="0"/>
                <w:sz w:val="28"/>
                <w:szCs w:val="28"/>
                <w:highlight w:val="none"/>
                <w:lang w:val="zh-CN" w:eastAsia="zh-CN" w:bidi="zh-CN"/>
              </w:rPr>
              <w:t>分，三等报告得</w:t>
            </w:r>
            <w:r>
              <w:rPr>
                <w:rFonts w:hint="eastAsia" w:ascii="仿宋" w:hAnsi="仿宋" w:eastAsia="仿宋" w:cs="仿宋"/>
                <w:b w:val="0"/>
                <w:bCs w:val="0"/>
                <w:color w:val="auto"/>
                <w:kern w:val="0"/>
                <w:sz w:val="28"/>
                <w:szCs w:val="28"/>
                <w:highlight w:val="none"/>
                <w:lang w:val="en-US" w:eastAsia="zh-CN" w:bidi="zh-CN"/>
              </w:rPr>
              <w:t>3</w:t>
            </w:r>
            <w:r>
              <w:rPr>
                <w:rFonts w:hint="eastAsia" w:ascii="仿宋" w:hAnsi="仿宋" w:eastAsia="仿宋" w:cs="仿宋"/>
                <w:b w:val="0"/>
                <w:bCs w:val="0"/>
                <w:color w:val="auto"/>
                <w:kern w:val="0"/>
                <w:sz w:val="28"/>
                <w:szCs w:val="28"/>
                <w:highlight w:val="none"/>
                <w:lang w:val="zh-CN" w:eastAsia="zh-CN" w:bidi="zh-CN"/>
              </w:rPr>
              <w:t>分，四等报告得</w:t>
            </w:r>
            <w:r>
              <w:rPr>
                <w:rFonts w:hint="eastAsia" w:ascii="仿宋" w:hAnsi="仿宋" w:eastAsia="仿宋" w:cs="仿宋"/>
                <w:b w:val="0"/>
                <w:bCs w:val="0"/>
                <w:color w:val="auto"/>
                <w:kern w:val="0"/>
                <w:sz w:val="28"/>
                <w:szCs w:val="28"/>
                <w:highlight w:val="none"/>
                <w:lang w:val="en-US" w:eastAsia="zh-CN" w:bidi="zh-CN"/>
              </w:rPr>
              <w:t>2</w:t>
            </w:r>
            <w:r>
              <w:rPr>
                <w:rFonts w:hint="eastAsia" w:ascii="仿宋" w:hAnsi="仿宋" w:eastAsia="仿宋" w:cs="仿宋"/>
                <w:b w:val="0"/>
                <w:bCs w:val="0"/>
                <w:color w:val="auto"/>
                <w:kern w:val="0"/>
                <w:sz w:val="28"/>
                <w:szCs w:val="28"/>
                <w:highlight w:val="none"/>
                <w:lang w:val="zh-CN" w:eastAsia="zh-CN" w:bidi="zh-CN"/>
              </w:rPr>
              <w:t>分，五等及以下报告</w:t>
            </w:r>
            <w:r>
              <w:rPr>
                <w:rFonts w:hint="eastAsia" w:ascii="仿宋" w:hAnsi="仿宋" w:eastAsia="仿宋" w:cs="仿宋"/>
                <w:b w:val="0"/>
                <w:bCs w:val="0"/>
                <w:color w:val="auto"/>
                <w:kern w:val="0"/>
                <w:sz w:val="28"/>
                <w:szCs w:val="28"/>
                <w:highlight w:val="none"/>
                <w:lang w:val="zh-CN" w:eastAsia="zh-CN" w:bidi="zh-CN"/>
              </w:rPr>
              <w:t>（含未参评报告）</w:t>
            </w:r>
            <w:r>
              <w:rPr>
                <w:rFonts w:hint="eastAsia" w:ascii="仿宋" w:hAnsi="仿宋" w:eastAsia="仿宋" w:cs="仿宋"/>
                <w:b w:val="0"/>
                <w:bCs w:val="0"/>
                <w:color w:val="auto"/>
                <w:kern w:val="0"/>
                <w:sz w:val="28"/>
                <w:szCs w:val="28"/>
                <w:highlight w:val="none"/>
                <w:lang w:val="zh-CN" w:eastAsia="zh-CN" w:bidi="zh-CN"/>
              </w:rPr>
              <w:t>不得分。</w:t>
            </w:r>
            <w:r>
              <w:rPr>
                <w:rFonts w:hint="eastAsia" w:ascii="仿宋" w:hAnsi="仿宋" w:eastAsia="仿宋" w:cs="仿宋"/>
                <w:b w:val="0"/>
                <w:bCs w:val="0"/>
                <w:color w:val="auto"/>
                <w:kern w:val="0"/>
                <w:sz w:val="28"/>
                <w:szCs w:val="28"/>
                <w:highlight w:val="none"/>
                <w:lang w:val="en-US" w:eastAsia="zh-CN" w:bidi="zh-CN"/>
              </w:rPr>
              <w:t>本项</w:t>
            </w:r>
            <w:r>
              <w:rPr>
                <w:rFonts w:hint="eastAsia" w:ascii="仿宋" w:hAnsi="仿宋" w:eastAsia="仿宋" w:cs="仿宋"/>
                <w:b w:val="0"/>
                <w:bCs w:val="0"/>
                <w:color w:val="auto"/>
                <w:kern w:val="0"/>
                <w:sz w:val="28"/>
                <w:szCs w:val="28"/>
                <w:highlight w:val="none"/>
                <w:lang w:val="zh-CN" w:eastAsia="zh-CN" w:bidi="zh-CN"/>
              </w:rPr>
              <w:t>最高得</w:t>
            </w:r>
            <w:r>
              <w:rPr>
                <w:rFonts w:hint="eastAsia" w:ascii="仿宋" w:hAnsi="仿宋" w:eastAsia="仿宋" w:cs="仿宋"/>
                <w:b w:val="0"/>
                <w:bCs w:val="0"/>
                <w:color w:val="auto"/>
                <w:kern w:val="0"/>
                <w:sz w:val="28"/>
                <w:szCs w:val="28"/>
                <w:highlight w:val="none"/>
                <w:lang w:val="en-US" w:eastAsia="zh-CN" w:bidi="zh-CN"/>
              </w:rPr>
              <w:t>5</w:t>
            </w:r>
            <w:r>
              <w:rPr>
                <w:rFonts w:hint="eastAsia" w:ascii="仿宋" w:hAnsi="仿宋" w:eastAsia="仿宋" w:cs="仿宋"/>
                <w:b w:val="0"/>
                <w:bCs w:val="0"/>
                <w:color w:val="auto"/>
                <w:kern w:val="0"/>
                <w:sz w:val="28"/>
                <w:szCs w:val="28"/>
                <w:highlight w:val="none"/>
                <w:lang w:val="zh-CN" w:eastAsia="zh-CN" w:bidi="zh-CN"/>
              </w:rPr>
              <w:t>分。</w:t>
            </w:r>
          </w:p>
          <w:p w14:paraId="67A2D864">
            <w:pPr>
              <w:widowControl/>
              <w:ind w:firstLine="560" w:firstLineChars="200"/>
              <w:jc w:val="left"/>
              <w:rPr>
                <w:rFonts w:hint="eastAsia" w:ascii="仿宋" w:hAnsi="仿宋" w:eastAsia="仿宋" w:cs="仿宋"/>
                <w:b w:val="0"/>
                <w:bCs w:val="0"/>
                <w:color w:val="auto"/>
                <w:kern w:val="0"/>
                <w:sz w:val="28"/>
                <w:szCs w:val="28"/>
                <w:highlight w:val="none"/>
                <w:lang w:val="zh-CN" w:eastAsia="zh-CN" w:bidi="zh-CN"/>
              </w:rPr>
            </w:pPr>
            <w:r>
              <w:rPr>
                <w:rFonts w:hint="eastAsia" w:ascii="仿宋" w:hAnsi="仿宋" w:eastAsia="仿宋" w:cs="仿宋"/>
                <w:b w:val="0"/>
                <w:bCs w:val="0"/>
                <w:color w:val="auto"/>
                <w:kern w:val="0"/>
                <w:sz w:val="28"/>
                <w:szCs w:val="28"/>
                <w:highlight w:val="none"/>
                <w:lang w:val="zh-CN" w:eastAsia="zh-CN" w:bidi="zh-CN"/>
              </w:rPr>
              <w:t>注:</w:t>
            </w:r>
            <w:r>
              <w:rPr>
                <w:rFonts w:hint="eastAsia" w:ascii="仿宋" w:hAnsi="仿宋" w:eastAsia="仿宋" w:cs="仿宋"/>
                <w:b w:val="0"/>
                <w:bCs w:val="0"/>
                <w:color w:val="auto"/>
                <w:kern w:val="0"/>
                <w:sz w:val="28"/>
                <w:szCs w:val="28"/>
                <w:highlight w:val="none"/>
                <w:lang w:val="en-US" w:eastAsia="zh-CN" w:bidi="zh-CN"/>
              </w:rPr>
              <w:t>因各省协会土地评估报告抽查评审规定不同，未进行季度抽查评审的，以年度抽查评审结果计分，即进行季度抽查评审又进行年度报告等级评定的，以季度年度低</w:t>
            </w:r>
            <w:r>
              <w:rPr>
                <w:rFonts w:hint="eastAsia" w:ascii="仿宋" w:hAnsi="仿宋" w:eastAsia="仿宋" w:cs="仿宋"/>
                <w:b w:val="0"/>
                <w:bCs w:val="0"/>
                <w:color w:val="auto"/>
                <w:kern w:val="0"/>
                <w:sz w:val="28"/>
                <w:szCs w:val="28"/>
                <w:highlight w:val="none"/>
                <w:lang w:val="zh-CN" w:eastAsia="zh-CN" w:bidi="zh-CN"/>
              </w:rPr>
              <w:t>等别</w:t>
            </w:r>
            <w:r>
              <w:rPr>
                <w:rFonts w:hint="eastAsia" w:ascii="仿宋" w:hAnsi="仿宋" w:eastAsia="仿宋" w:cs="仿宋"/>
                <w:b w:val="0"/>
                <w:bCs w:val="0"/>
                <w:color w:val="auto"/>
                <w:kern w:val="0"/>
                <w:sz w:val="28"/>
                <w:szCs w:val="28"/>
                <w:highlight w:val="none"/>
                <w:lang w:val="en-US" w:eastAsia="zh-CN" w:bidi="zh-CN"/>
              </w:rPr>
              <w:t>标准计分</w:t>
            </w:r>
            <w:r>
              <w:rPr>
                <w:rFonts w:hint="eastAsia" w:ascii="仿宋" w:hAnsi="仿宋" w:eastAsia="仿宋" w:cs="仿宋"/>
                <w:b w:val="0"/>
                <w:bCs w:val="0"/>
                <w:color w:val="auto"/>
                <w:kern w:val="0"/>
                <w:sz w:val="28"/>
                <w:szCs w:val="28"/>
                <w:highlight w:val="none"/>
                <w:lang w:val="zh-CN" w:eastAsia="zh-CN" w:bidi="zh-CN"/>
              </w:rPr>
              <w:t>，</w:t>
            </w:r>
            <w:r>
              <w:rPr>
                <w:rFonts w:hint="eastAsia" w:ascii="仿宋" w:hAnsi="仿宋" w:eastAsia="仿宋" w:cs="仿宋"/>
                <w:b w:val="0"/>
                <w:bCs w:val="0"/>
                <w:color w:val="auto"/>
                <w:kern w:val="0"/>
                <w:sz w:val="28"/>
                <w:szCs w:val="28"/>
                <w:highlight w:val="none"/>
                <w:u w:val="none"/>
                <w:lang w:val="zh-CN" w:eastAsia="zh-CN" w:bidi="zh-CN"/>
              </w:rPr>
              <w:t>需提供所有评审结果及对应供应商结果</w:t>
            </w:r>
            <w:r>
              <w:rPr>
                <w:rFonts w:hint="eastAsia" w:ascii="仿宋" w:hAnsi="仿宋" w:eastAsia="仿宋" w:cs="仿宋"/>
                <w:b w:val="0"/>
                <w:bCs w:val="0"/>
                <w:color w:val="auto"/>
                <w:kern w:val="0"/>
                <w:sz w:val="28"/>
                <w:szCs w:val="28"/>
                <w:highlight w:val="none"/>
                <w:u w:val="none"/>
                <w:lang w:val="zh-CN" w:eastAsia="zh-CN" w:bidi="zh-CN"/>
              </w:rPr>
              <w:t>，</w:t>
            </w:r>
            <w:r>
              <w:rPr>
                <w:rFonts w:hint="eastAsia" w:ascii="仿宋" w:hAnsi="仿宋" w:eastAsia="仿宋" w:cs="仿宋"/>
                <w:b w:val="0"/>
                <w:bCs w:val="0"/>
                <w:color w:val="auto"/>
                <w:kern w:val="0"/>
                <w:sz w:val="28"/>
                <w:szCs w:val="28"/>
                <w:highlight w:val="none"/>
                <w:lang w:val="zh-CN" w:eastAsia="zh-CN" w:bidi="zh-CN"/>
              </w:rPr>
              <w:t>相关证明材料加盖单位公章。</w:t>
            </w:r>
          </w:p>
          <w:p w14:paraId="77C5FCA1">
            <w:pPr>
              <w:widowControl/>
              <w:ind w:firstLine="560" w:firstLineChars="200"/>
              <w:jc w:val="left"/>
              <w:rPr>
                <w:rFonts w:hint="eastAsia" w:ascii="仿宋" w:hAnsi="仿宋" w:eastAsia="仿宋" w:cs="仿宋"/>
                <w:b w:val="0"/>
                <w:bCs w:val="0"/>
                <w:color w:val="auto"/>
                <w:kern w:val="0"/>
                <w:sz w:val="28"/>
                <w:szCs w:val="28"/>
                <w:highlight w:val="none"/>
                <w:lang w:val="en-US" w:eastAsia="zh-CN" w:bidi="zh-CN"/>
              </w:rPr>
            </w:pPr>
            <w:r>
              <w:rPr>
                <w:rFonts w:hint="eastAsia" w:ascii="仿宋" w:hAnsi="仿宋" w:eastAsia="仿宋" w:cs="仿宋"/>
                <w:b w:val="0"/>
                <w:bCs w:val="0"/>
                <w:color w:val="auto"/>
                <w:kern w:val="0"/>
                <w:sz w:val="28"/>
                <w:szCs w:val="28"/>
                <w:highlight w:val="none"/>
                <w:lang w:val="en-US" w:eastAsia="zh-CN" w:bidi="zh-CN"/>
              </w:rPr>
              <w:t>3.供应商具有经中国国家认证认可监督管理委员会认证机构颁发有效的质量管理体系、环境管理体系、职业健康安全管理体系、信息安全管理体系认证证书每提供一个得3分。本项最高得12分。</w:t>
            </w:r>
          </w:p>
          <w:p w14:paraId="344E3C14">
            <w:pPr>
              <w:widowControl/>
              <w:ind w:firstLine="560" w:firstLineChars="200"/>
              <w:jc w:val="left"/>
              <w:rPr>
                <w:rFonts w:hint="eastAsia" w:ascii="仿宋" w:hAnsi="仿宋" w:eastAsia="仿宋" w:cs="仿宋"/>
                <w:b w:val="0"/>
                <w:bCs w:val="0"/>
                <w:color w:val="auto"/>
                <w:kern w:val="0"/>
                <w:sz w:val="28"/>
                <w:szCs w:val="28"/>
                <w:highlight w:val="none"/>
                <w:lang w:val="en-US" w:eastAsia="zh-CN" w:bidi="zh-CN"/>
              </w:rPr>
            </w:pPr>
            <w:r>
              <w:rPr>
                <w:rFonts w:hint="eastAsia" w:ascii="仿宋" w:hAnsi="仿宋" w:eastAsia="仿宋" w:cs="仿宋"/>
                <w:b w:val="0"/>
                <w:bCs w:val="0"/>
                <w:color w:val="auto"/>
                <w:kern w:val="0"/>
                <w:sz w:val="28"/>
                <w:szCs w:val="28"/>
                <w:highlight w:val="none"/>
                <w:lang w:val="en-US" w:eastAsia="zh-CN" w:bidi="zh-CN"/>
              </w:rPr>
              <w:t>注：以上内容须提供证书或证明材料扫描件，体系认证需同时提供全国认证认可信息公共服务平台官网证书信息查询截图。</w:t>
            </w:r>
          </w:p>
          <w:p w14:paraId="048F88F1">
            <w:pPr>
              <w:widowControl/>
              <w:ind w:firstLine="560" w:firstLineChars="200"/>
              <w:jc w:val="left"/>
              <w:rPr>
                <w:rFonts w:hint="eastAsia" w:ascii="仿宋" w:hAnsi="仿宋" w:eastAsia="仿宋" w:cs="仿宋"/>
                <w:color w:val="auto"/>
                <w:sz w:val="28"/>
                <w:szCs w:val="28"/>
                <w:highlight w:val="none"/>
              </w:rPr>
            </w:pPr>
          </w:p>
        </w:tc>
      </w:tr>
      <w:tr w14:paraId="60F689E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269" w:hRule="atLeast"/>
          <w:jc w:val="center"/>
        </w:trPr>
        <w:tc>
          <w:tcPr>
            <w:tcW w:w="1410" w:type="dxa"/>
            <w:noWrap/>
            <w:vAlign w:val="center"/>
          </w:tcPr>
          <w:p w14:paraId="57951046">
            <w:pPr>
              <w:widowControl/>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专业人员</w:t>
            </w:r>
          </w:p>
          <w:p w14:paraId="5D17B8D5">
            <w:pPr>
              <w:widowControl/>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配备</w:t>
            </w:r>
          </w:p>
          <w:p w14:paraId="3B191C45">
            <w:pPr>
              <w:pStyle w:val="20"/>
              <w:ind w:left="0" w:leftChars="0" w:firstLine="0" w:firstLineChars="0"/>
              <w:jc w:val="center"/>
              <w:rPr>
                <w:rFonts w:hint="eastAsia" w:ascii="仿宋" w:hAnsi="仿宋" w:eastAsia="仿宋" w:cs="仿宋"/>
                <w:b w:val="0"/>
                <w:bCs w:val="0"/>
                <w:color w:val="auto"/>
                <w:kern w:val="0"/>
                <w:sz w:val="30"/>
                <w:szCs w:val="30"/>
                <w:highlight w:val="none"/>
                <w:lang w:eastAsia="zh-CN"/>
              </w:rPr>
            </w:pPr>
            <w:r>
              <w:rPr>
                <w:rFonts w:hint="eastAsia" w:ascii="仿宋" w:hAnsi="仿宋" w:eastAsia="仿宋" w:cs="仿宋"/>
                <w:b/>
                <w:bCs/>
                <w:color w:val="auto"/>
                <w:kern w:val="0"/>
                <w:sz w:val="30"/>
                <w:szCs w:val="30"/>
                <w:highlight w:val="none"/>
                <w:lang w:val="en-US" w:eastAsia="zh-CN"/>
              </w:rPr>
              <w:t>（14分）</w:t>
            </w:r>
          </w:p>
        </w:tc>
        <w:tc>
          <w:tcPr>
            <w:tcW w:w="7200" w:type="dxa"/>
            <w:tcBorders>
              <w:right w:val="single" w:color="auto" w:sz="4" w:space="0"/>
            </w:tcBorders>
            <w:noWrap/>
            <w:vAlign w:val="center"/>
          </w:tcPr>
          <w:p w14:paraId="708D993C">
            <w:pPr>
              <w:widowControl/>
              <w:ind w:firstLine="560" w:firstLineChars="200"/>
              <w:jc w:val="left"/>
              <w:rPr>
                <w:rFonts w:hint="eastAsia" w:ascii="仿宋" w:hAnsi="仿宋" w:eastAsia="仿宋" w:cs="仿宋"/>
                <w:b w:val="0"/>
                <w:bCs w:val="0"/>
                <w:color w:val="auto"/>
                <w:kern w:val="0"/>
                <w:sz w:val="28"/>
                <w:szCs w:val="28"/>
                <w:highlight w:val="none"/>
                <w:lang w:val="en-US" w:eastAsia="en-US" w:bidi="zh-CN"/>
              </w:rPr>
            </w:pPr>
            <w:r>
              <w:rPr>
                <w:rFonts w:hint="eastAsia" w:ascii="仿宋" w:hAnsi="仿宋" w:eastAsia="仿宋" w:cs="仿宋"/>
                <w:b w:val="0"/>
                <w:bCs w:val="0"/>
                <w:color w:val="auto"/>
                <w:kern w:val="0"/>
                <w:sz w:val="28"/>
                <w:szCs w:val="28"/>
                <w:highlight w:val="none"/>
                <w:lang w:val="en-US" w:eastAsia="en-US" w:bidi="zh-CN"/>
              </w:rPr>
              <w:t>1、供应商拥有执业经验在5年(不含5年)以上的土地估价师或房地产估价师，有1人得1分。满分4分。</w:t>
            </w:r>
          </w:p>
          <w:p w14:paraId="3C8E8A55">
            <w:pPr>
              <w:widowControl/>
              <w:ind w:firstLine="560" w:firstLineChars="200"/>
              <w:jc w:val="left"/>
              <w:rPr>
                <w:rFonts w:hint="eastAsia" w:ascii="仿宋" w:hAnsi="仿宋" w:eastAsia="仿宋" w:cs="仿宋"/>
                <w:b w:val="0"/>
                <w:bCs w:val="0"/>
                <w:color w:val="auto"/>
                <w:kern w:val="0"/>
                <w:sz w:val="28"/>
                <w:szCs w:val="28"/>
                <w:highlight w:val="none"/>
                <w:lang w:val="en-US" w:eastAsia="en-US" w:bidi="zh-CN"/>
              </w:rPr>
            </w:pPr>
            <w:r>
              <w:rPr>
                <w:rFonts w:hint="eastAsia" w:ascii="仿宋" w:hAnsi="仿宋" w:eastAsia="仿宋" w:cs="仿宋"/>
                <w:b w:val="0"/>
                <w:bCs w:val="0"/>
                <w:color w:val="auto"/>
                <w:kern w:val="0"/>
                <w:sz w:val="28"/>
                <w:szCs w:val="28"/>
                <w:highlight w:val="none"/>
                <w:lang w:val="en-US" w:eastAsia="en-US" w:bidi="zh-CN"/>
              </w:rPr>
              <w:t>2、供应商项目组成员中每有一名行业协会（或主管学会）颁发的估价师相关荣誉的，得1分。满分4分。</w:t>
            </w:r>
          </w:p>
          <w:p w14:paraId="7CD27F47">
            <w:pPr>
              <w:widowControl/>
              <w:ind w:firstLine="560" w:firstLineChars="200"/>
              <w:jc w:val="left"/>
              <w:rPr>
                <w:rFonts w:hint="eastAsia" w:ascii="仿宋" w:hAnsi="仿宋" w:eastAsia="仿宋" w:cs="仿宋"/>
                <w:b/>
                <w:bCs/>
                <w:color w:val="auto"/>
                <w:kern w:val="0"/>
                <w:sz w:val="28"/>
                <w:szCs w:val="28"/>
                <w:highlight w:val="none"/>
                <w:lang w:val="en-US" w:eastAsia="en-US" w:bidi="zh-CN"/>
              </w:rPr>
            </w:pPr>
            <w:r>
              <w:rPr>
                <w:rFonts w:hint="eastAsia" w:ascii="仿宋" w:hAnsi="仿宋" w:eastAsia="仿宋" w:cs="仿宋"/>
                <w:b w:val="0"/>
                <w:bCs w:val="0"/>
                <w:color w:val="auto"/>
                <w:kern w:val="0"/>
                <w:sz w:val="28"/>
                <w:szCs w:val="28"/>
                <w:highlight w:val="none"/>
                <w:lang w:val="en-US" w:eastAsia="en-US" w:bidi="zh-CN"/>
              </w:rPr>
              <w:t>3、供应商项目组成员中每具备一名土地类专业高级及以上职称的，得2分。满分4分。</w:t>
            </w:r>
          </w:p>
          <w:p w14:paraId="22AFE740">
            <w:pPr>
              <w:widowControl/>
              <w:ind w:firstLine="560" w:firstLineChars="200"/>
              <w:jc w:val="left"/>
              <w:rPr>
                <w:rFonts w:hint="default" w:ascii="仿宋" w:hAnsi="仿宋" w:eastAsia="仿宋" w:cs="仿宋"/>
                <w:b w:val="0"/>
                <w:bCs w:val="0"/>
                <w:color w:val="auto"/>
                <w:kern w:val="0"/>
                <w:sz w:val="28"/>
                <w:szCs w:val="28"/>
                <w:highlight w:val="none"/>
                <w:lang w:val="en-US" w:eastAsia="en-US" w:bidi="zh-CN"/>
              </w:rPr>
            </w:pPr>
            <w:r>
              <w:rPr>
                <w:rFonts w:hint="eastAsia" w:ascii="仿宋" w:hAnsi="仿宋" w:eastAsia="仿宋" w:cs="仿宋"/>
                <w:b w:val="0"/>
                <w:bCs w:val="0"/>
                <w:color w:val="auto"/>
                <w:kern w:val="0"/>
                <w:sz w:val="28"/>
                <w:szCs w:val="28"/>
                <w:highlight w:val="none"/>
                <w:lang w:val="en-US" w:eastAsia="en-US" w:bidi="zh-CN"/>
              </w:rPr>
              <w:t>4、供应商项目成员中每具备一名土地类专业中级职称的，得1分。满分2分。</w:t>
            </w:r>
          </w:p>
          <w:p w14:paraId="1E05F81C">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b w:val="0"/>
                <w:bCs w:val="0"/>
                <w:color w:val="auto"/>
                <w:kern w:val="0"/>
                <w:sz w:val="28"/>
                <w:szCs w:val="28"/>
                <w:highlight w:val="none"/>
                <w:lang w:val="en-US" w:eastAsia="en-US" w:bidi="zh-CN"/>
              </w:rPr>
              <w:t>注：供应商响应文件中须提供相关证明材料加盖单位公章，参与评分的估价师必须是省级自然资源主管部门颁发的土地评估机构备案函证明中的执业人员，时间以证书编号或注册情况为准，否则不得分</w:t>
            </w:r>
            <w:r>
              <w:rPr>
                <w:rFonts w:hint="eastAsia" w:ascii="仿宋" w:hAnsi="仿宋" w:eastAsia="仿宋" w:cs="仿宋"/>
                <w:b w:val="0"/>
                <w:bCs w:val="0"/>
                <w:color w:val="auto"/>
                <w:kern w:val="0"/>
                <w:sz w:val="28"/>
                <w:szCs w:val="28"/>
                <w:highlight w:val="none"/>
                <w:lang w:val="en-US" w:eastAsia="zh-CN" w:bidi="zh-CN"/>
              </w:rPr>
              <w:t>。</w:t>
            </w:r>
          </w:p>
        </w:tc>
      </w:tr>
      <w:tr w14:paraId="49599E0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269" w:hRule="atLeast"/>
          <w:jc w:val="center"/>
        </w:trPr>
        <w:tc>
          <w:tcPr>
            <w:tcW w:w="1410" w:type="dxa"/>
            <w:shd w:val="clear" w:color="auto" w:fill="auto"/>
            <w:noWrap/>
            <w:vAlign w:val="center"/>
          </w:tcPr>
          <w:p w14:paraId="0186E12B">
            <w:pPr>
              <w:pStyle w:val="20"/>
              <w:ind w:left="0" w:leftChars="0" w:firstLine="0" w:firstLineChars="0"/>
              <w:jc w:val="center"/>
              <w:rPr>
                <w:rFonts w:hint="eastAsia" w:ascii="仿宋" w:hAnsi="仿宋" w:eastAsia="仿宋" w:cs="仿宋"/>
                <w:b/>
                <w:bCs/>
                <w:color w:val="auto"/>
                <w:kern w:val="0"/>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企业业绩</w:t>
            </w:r>
          </w:p>
          <w:p w14:paraId="572F6D91">
            <w:pPr>
              <w:pStyle w:val="9"/>
              <w:rPr>
                <w:rFonts w:hint="eastAsia" w:ascii="仿宋" w:hAnsi="仿宋" w:eastAsia="仿宋" w:cs="仿宋"/>
                <w:snapToGrid w:val="0"/>
                <w:color w:val="auto"/>
                <w:kern w:val="0"/>
                <w:sz w:val="30"/>
                <w:szCs w:val="30"/>
                <w:highlight w:val="none"/>
                <w:lang w:val="en-US" w:eastAsia="zh-CN" w:bidi="ar-SA"/>
              </w:rPr>
            </w:pPr>
            <w:r>
              <w:rPr>
                <w:rFonts w:hint="eastAsia" w:ascii="仿宋" w:hAnsi="仿宋" w:eastAsia="仿宋" w:cs="仿宋"/>
                <w:b/>
                <w:bCs/>
                <w:color w:val="auto"/>
                <w:kern w:val="0"/>
                <w:sz w:val="30"/>
                <w:szCs w:val="30"/>
                <w:highlight w:val="none"/>
                <w:lang w:val="en-US" w:eastAsia="zh-CN"/>
              </w:rPr>
              <w:t>（15分）</w:t>
            </w:r>
          </w:p>
        </w:tc>
        <w:tc>
          <w:tcPr>
            <w:tcW w:w="7200" w:type="dxa"/>
            <w:tcBorders>
              <w:right w:val="single" w:color="auto" w:sz="4" w:space="0"/>
            </w:tcBorders>
            <w:shd w:val="clear" w:color="auto" w:fill="auto"/>
            <w:noWrap/>
            <w:vAlign w:val="center"/>
          </w:tcPr>
          <w:p w14:paraId="60695937">
            <w:pPr>
              <w:widowControl/>
              <w:ind w:firstLine="560" w:firstLineChars="200"/>
              <w:jc w:val="left"/>
              <w:rPr>
                <w:rFonts w:hint="eastAsia" w:ascii="仿宋" w:hAnsi="仿宋" w:eastAsia="仿宋" w:cs="仿宋"/>
                <w:b w:val="0"/>
                <w:bCs w:val="0"/>
                <w:color w:val="auto"/>
                <w:kern w:val="0"/>
                <w:sz w:val="28"/>
                <w:szCs w:val="28"/>
                <w:highlight w:val="none"/>
                <w:lang w:val="zh-CN" w:eastAsia="zh-CN" w:bidi="zh-CN"/>
              </w:rPr>
            </w:pPr>
            <w:r>
              <w:rPr>
                <w:rFonts w:hint="eastAsia" w:ascii="仿宋" w:hAnsi="仿宋" w:eastAsia="仿宋" w:cs="仿宋"/>
                <w:b w:val="0"/>
                <w:bCs w:val="0"/>
                <w:color w:val="auto"/>
                <w:kern w:val="0"/>
                <w:sz w:val="28"/>
                <w:szCs w:val="28"/>
                <w:highlight w:val="none"/>
                <w:lang w:val="zh-CN" w:eastAsia="en-US" w:bidi="zh-CN"/>
              </w:rPr>
              <w:t>1.</w:t>
            </w:r>
            <w:r>
              <w:rPr>
                <w:rFonts w:hint="eastAsia" w:ascii="仿宋" w:hAnsi="仿宋" w:eastAsia="仿宋" w:cs="仿宋"/>
                <w:b w:val="0"/>
                <w:bCs w:val="0"/>
                <w:color w:val="auto"/>
                <w:kern w:val="0"/>
                <w:sz w:val="28"/>
                <w:szCs w:val="28"/>
                <w:highlight w:val="none"/>
                <w:lang w:val="zh-CN" w:eastAsia="zh-CN" w:bidi="zh-CN"/>
              </w:rPr>
              <w:t>202</w:t>
            </w:r>
            <w:r>
              <w:rPr>
                <w:rFonts w:hint="eastAsia" w:ascii="仿宋" w:hAnsi="仿宋" w:eastAsia="仿宋" w:cs="仿宋"/>
                <w:b w:val="0"/>
                <w:bCs w:val="0"/>
                <w:color w:val="auto"/>
                <w:kern w:val="0"/>
                <w:sz w:val="28"/>
                <w:szCs w:val="28"/>
                <w:highlight w:val="none"/>
                <w:lang w:val="en-US" w:eastAsia="zh-CN" w:bidi="zh-CN"/>
              </w:rPr>
              <w:t>3</w:t>
            </w:r>
            <w:r>
              <w:rPr>
                <w:rFonts w:hint="eastAsia" w:ascii="仿宋" w:hAnsi="仿宋" w:eastAsia="仿宋" w:cs="仿宋"/>
                <w:b w:val="0"/>
                <w:bCs w:val="0"/>
                <w:color w:val="auto"/>
                <w:kern w:val="0"/>
                <w:sz w:val="28"/>
                <w:szCs w:val="28"/>
                <w:highlight w:val="none"/>
                <w:lang w:val="zh-CN" w:eastAsia="zh-CN" w:bidi="zh-CN"/>
              </w:rPr>
              <w:t>年1月1日至今</w:t>
            </w:r>
            <w:r>
              <w:rPr>
                <w:rFonts w:hint="eastAsia" w:ascii="仿宋" w:hAnsi="仿宋" w:eastAsia="仿宋" w:cs="仿宋"/>
                <w:b w:val="0"/>
                <w:bCs w:val="0"/>
                <w:color w:val="auto"/>
                <w:kern w:val="0"/>
                <w:sz w:val="28"/>
                <w:szCs w:val="28"/>
                <w:highlight w:val="none"/>
                <w:lang w:val="zh-CN" w:eastAsia="zh-CN" w:bidi="zh-CN"/>
              </w:rPr>
              <w:t>（以签订合同时间为准），</w:t>
            </w:r>
            <w:r>
              <w:rPr>
                <w:rFonts w:hint="eastAsia" w:ascii="仿宋" w:hAnsi="仿宋" w:eastAsia="仿宋" w:cs="仿宋"/>
                <w:b w:val="0"/>
                <w:bCs w:val="0"/>
                <w:color w:val="auto"/>
                <w:kern w:val="0"/>
                <w:sz w:val="28"/>
                <w:szCs w:val="28"/>
                <w:highlight w:val="none"/>
                <w:lang w:val="zh-CN" w:eastAsia="en-US" w:bidi="zh-CN"/>
              </w:rPr>
              <w:t>供应商</w:t>
            </w:r>
            <w:r>
              <w:rPr>
                <w:rFonts w:hint="eastAsia" w:ascii="仿宋" w:hAnsi="仿宋" w:eastAsia="仿宋" w:cs="仿宋"/>
                <w:b w:val="0"/>
                <w:bCs w:val="0"/>
                <w:color w:val="auto"/>
                <w:kern w:val="0"/>
                <w:sz w:val="28"/>
                <w:szCs w:val="28"/>
                <w:highlight w:val="none"/>
                <w:lang w:val="en-US" w:eastAsia="zh-CN" w:bidi="zh-CN"/>
              </w:rPr>
              <w:t>每具有一个土地市场土地出让评估业绩的</w:t>
            </w:r>
            <w:r>
              <w:rPr>
                <w:rFonts w:hint="eastAsia" w:ascii="仿宋" w:hAnsi="仿宋" w:eastAsia="仿宋" w:cs="仿宋"/>
                <w:b w:val="0"/>
                <w:bCs w:val="0"/>
                <w:color w:val="auto"/>
                <w:kern w:val="0"/>
                <w:sz w:val="28"/>
                <w:szCs w:val="28"/>
                <w:highlight w:val="none"/>
                <w:lang w:val="zh-CN" w:eastAsia="en-US" w:bidi="zh-CN"/>
              </w:rPr>
              <w:t>，</w:t>
            </w:r>
            <w:r>
              <w:rPr>
                <w:rFonts w:hint="eastAsia" w:ascii="仿宋" w:hAnsi="仿宋" w:eastAsia="仿宋" w:cs="仿宋"/>
                <w:b w:val="0"/>
                <w:bCs w:val="0"/>
                <w:color w:val="auto"/>
                <w:kern w:val="0"/>
                <w:sz w:val="28"/>
                <w:szCs w:val="28"/>
                <w:highlight w:val="none"/>
                <w:lang w:val="en-US" w:eastAsia="zh-CN" w:bidi="zh-CN"/>
              </w:rPr>
              <w:t>得3分，</w:t>
            </w:r>
            <w:r>
              <w:rPr>
                <w:rFonts w:hint="eastAsia" w:ascii="仿宋" w:hAnsi="仿宋" w:eastAsia="仿宋" w:cs="仿宋"/>
                <w:b w:val="0"/>
                <w:bCs w:val="0"/>
                <w:color w:val="auto"/>
                <w:kern w:val="0"/>
                <w:sz w:val="28"/>
                <w:szCs w:val="28"/>
                <w:highlight w:val="none"/>
                <w:lang w:val="zh-CN" w:eastAsia="en-US" w:bidi="zh-CN"/>
              </w:rPr>
              <w:t>此项</w:t>
            </w:r>
            <w:r>
              <w:rPr>
                <w:rFonts w:hint="eastAsia" w:ascii="仿宋" w:hAnsi="仿宋" w:eastAsia="仿宋" w:cs="仿宋"/>
                <w:b w:val="0"/>
                <w:bCs w:val="0"/>
                <w:color w:val="auto"/>
                <w:kern w:val="0"/>
                <w:sz w:val="28"/>
                <w:szCs w:val="28"/>
                <w:highlight w:val="none"/>
                <w:lang w:val="en-US" w:eastAsia="zh-CN" w:bidi="zh-CN"/>
              </w:rPr>
              <w:t>满分</w:t>
            </w:r>
            <w:r>
              <w:rPr>
                <w:rFonts w:hint="eastAsia" w:ascii="仿宋" w:hAnsi="仿宋" w:eastAsia="仿宋" w:cs="仿宋"/>
                <w:b w:val="0"/>
                <w:bCs w:val="0"/>
                <w:color w:val="auto"/>
                <w:kern w:val="0"/>
                <w:sz w:val="28"/>
                <w:szCs w:val="28"/>
                <w:highlight w:val="none"/>
                <w:lang w:val="en-US" w:eastAsia="en-US" w:bidi="zh-CN"/>
              </w:rPr>
              <w:t>9</w:t>
            </w:r>
            <w:r>
              <w:rPr>
                <w:rFonts w:hint="eastAsia" w:ascii="仿宋" w:hAnsi="仿宋" w:eastAsia="仿宋" w:cs="仿宋"/>
                <w:b w:val="0"/>
                <w:bCs w:val="0"/>
                <w:color w:val="auto"/>
                <w:kern w:val="0"/>
                <w:sz w:val="28"/>
                <w:szCs w:val="28"/>
                <w:highlight w:val="none"/>
                <w:lang w:val="zh-CN" w:eastAsia="en-US" w:bidi="zh-CN"/>
              </w:rPr>
              <w:t>分。</w:t>
            </w:r>
          </w:p>
          <w:p w14:paraId="30A6960A">
            <w:pPr>
              <w:widowControl/>
              <w:ind w:firstLine="560" w:firstLineChars="200"/>
              <w:jc w:val="left"/>
              <w:rPr>
                <w:rFonts w:hint="eastAsia" w:ascii="仿宋" w:hAnsi="仿宋" w:eastAsia="仿宋" w:cs="仿宋"/>
                <w:b w:val="0"/>
                <w:bCs w:val="0"/>
                <w:color w:val="auto"/>
                <w:kern w:val="0"/>
                <w:sz w:val="28"/>
                <w:szCs w:val="28"/>
                <w:highlight w:val="none"/>
                <w:lang w:val="en-US" w:eastAsia="zh-CN" w:bidi="zh-CN"/>
              </w:rPr>
            </w:pPr>
            <w:r>
              <w:rPr>
                <w:rFonts w:hint="eastAsia" w:ascii="仿宋" w:hAnsi="仿宋" w:eastAsia="仿宋" w:cs="仿宋"/>
                <w:b w:val="0"/>
                <w:bCs w:val="0"/>
                <w:color w:val="auto"/>
                <w:kern w:val="0"/>
                <w:sz w:val="28"/>
                <w:szCs w:val="28"/>
                <w:highlight w:val="none"/>
                <w:lang w:val="en-US" w:eastAsia="zh-CN" w:bidi="zh-CN"/>
              </w:rPr>
              <w:t>注：上述要求的业绩需为正在履约或已完成的业绩；投标文件中须提供中标通知书及完整项目业绩合同扫描件。</w:t>
            </w:r>
          </w:p>
          <w:p w14:paraId="5D5A9116">
            <w:pPr>
              <w:widowControl/>
              <w:ind w:firstLine="560" w:firstLineChars="200"/>
              <w:jc w:val="left"/>
              <w:rPr>
                <w:rFonts w:hint="eastAsia" w:ascii="仿宋" w:hAnsi="仿宋" w:eastAsia="仿宋" w:cs="仿宋"/>
                <w:b w:val="0"/>
                <w:bCs w:val="0"/>
                <w:color w:val="auto"/>
                <w:kern w:val="0"/>
                <w:sz w:val="28"/>
                <w:szCs w:val="28"/>
                <w:highlight w:val="none"/>
                <w:lang w:val="zh-CN" w:eastAsia="en-US" w:bidi="zh-CN"/>
              </w:rPr>
            </w:pPr>
            <w:r>
              <w:rPr>
                <w:rFonts w:hint="eastAsia" w:ascii="仿宋" w:hAnsi="仿宋" w:eastAsia="仿宋" w:cs="仿宋"/>
                <w:b w:val="0"/>
                <w:bCs w:val="0"/>
                <w:color w:val="auto"/>
                <w:kern w:val="0"/>
                <w:sz w:val="28"/>
                <w:szCs w:val="28"/>
                <w:highlight w:val="none"/>
                <w:lang w:val="zh-CN" w:eastAsia="en-US" w:bidi="zh-CN"/>
              </w:rPr>
              <w:t>2.</w:t>
            </w:r>
            <w:r>
              <w:rPr>
                <w:rFonts w:hint="eastAsia" w:ascii="仿宋" w:hAnsi="仿宋" w:eastAsia="仿宋" w:cs="仿宋"/>
                <w:b w:val="0"/>
                <w:bCs w:val="0"/>
                <w:color w:val="auto"/>
                <w:kern w:val="0"/>
                <w:sz w:val="28"/>
                <w:szCs w:val="28"/>
                <w:highlight w:val="none"/>
                <w:lang w:val="zh-CN" w:eastAsia="zh-CN" w:bidi="zh-CN"/>
              </w:rPr>
              <w:t>202</w:t>
            </w:r>
            <w:r>
              <w:rPr>
                <w:rFonts w:hint="eastAsia" w:ascii="仿宋" w:hAnsi="仿宋" w:eastAsia="仿宋" w:cs="仿宋"/>
                <w:b w:val="0"/>
                <w:bCs w:val="0"/>
                <w:color w:val="auto"/>
                <w:kern w:val="0"/>
                <w:sz w:val="28"/>
                <w:szCs w:val="28"/>
                <w:highlight w:val="none"/>
                <w:lang w:val="en-US" w:eastAsia="zh-CN" w:bidi="zh-CN"/>
              </w:rPr>
              <w:t>3</w:t>
            </w:r>
            <w:r>
              <w:rPr>
                <w:rFonts w:hint="eastAsia" w:ascii="仿宋" w:hAnsi="仿宋" w:eastAsia="仿宋" w:cs="仿宋"/>
                <w:b w:val="0"/>
                <w:bCs w:val="0"/>
                <w:color w:val="auto"/>
                <w:kern w:val="0"/>
                <w:sz w:val="28"/>
                <w:szCs w:val="28"/>
                <w:highlight w:val="none"/>
                <w:lang w:val="zh-CN" w:eastAsia="zh-CN" w:bidi="zh-CN"/>
              </w:rPr>
              <w:t>年1月1日至今</w:t>
            </w:r>
            <w:r>
              <w:rPr>
                <w:rFonts w:hint="eastAsia" w:ascii="仿宋" w:hAnsi="仿宋" w:eastAsia="仿宋" w:cs="仿宋"/>
                <w:b w:val="0"/>
                <w:bCs w:val="0"/>
                <w:color w:val="auto"/>
                <w:kern w:val="0"/>
                <w:sz w:val="28"/>
                <w:szCs w:val="28"/>
                <w:highlight w:val="none"/>
                <w:lang w:val="zh-CN" w:eastAsia="zh-CN" w:bidi="zh-CN"/>
              </w:rPr>
              <w:t>（以签订合同时间为准），</w:t>
            </w:r>
            <w:r>
              <w:rPr>
                <w:rFonts w:hint="eastAsia" w:ascii="仿宋" w:hAnsi="仿宋" w:eastAsia="仿宋" w:cs="仿宋"/>
                <w:b w:val="0"/>
                <w:bCs w:val="0"/>
                <w:color w:val="auto"/>
                <w:kern w:val="0"/>
                <w:sz w:val="28"/>
                <w:szCs w:val="28"/>
                <w:highlight w:val="none"/>
                <w:lang w:val="zh-CN" w:eastAsia="en-US" w:bidi="zh-CN"/>
              </w:rPr>
              <w:t>供应商承担过基准地价评估或标定地价服务</w:t>
            </w:r>
            <w:r>
              <w:rPr>
                <w:rFonts w:hint="eastAsia" w:ascii="仿宋" w:hAnsi="仿宋" w:eastAsia="仿宋" w:cs="仿宋"/>
                <w:b w:val="0"/>
                <w:bCs w:val="0"/>
                <w:color w:val="auto"/>
                <w:kern w:val="0"/>
                <w:sz w:val="28"/>
                <w:szCs w:val="28"/>
                <w:highlight w:val="none"/>
                <w:lang w:val="en-US" w:eastAsia="zh-CN" w:bidi="zh-CN"/>
              </w:rPr>
              <w:t>或</w:t>
            </w:r>
            <w:r>
              <w:rPr>
                <w:rFonts w:hint="eastAsia" w:ascii="仿宋" w:hAnsi="仿宋" w:eastAsia="仿宋" w:cs="仿宋"/>
                <w:b w:val="0"/>
                <w:bCs w:val="0"/>
                <w:color w:val="auto"/>
                <w:kern w:val="0"/>
                <w:sz w:val="28"/>
                <w:szCs w:val="28"/>
                <w:highlight w:val="none"/>
                <w:lang w:val="zh-CN" w:eastAsia="en-US" w:bidi="zh-CN"/>
              </w:rPr>
              <w:t>地价动态监测维护</w:t>
            </w:r>
            <w:r>
              <w:rPr>
                <w:rFonts w:hint="eastAsia" w:ascii="仿宋" w:hAnsi="仿宋" w:eastAsia="仿宋" w:cs="仿宋"/>
                <w:b w:val="0"/>
                <w:bCs w:val="0"/>
                <w:color w:val="auto"/>
                <w:kern w:val="0"/>
                <w:sz w:val="28"/>
                <w:szCs w:val="28"/>
                <w:highlight w:val="none"/>
                <w:lang w:val="en-US" w:eastAsia="zh-CN" w:bidi="zh-CN"/>
              </w:rPr>
              <w:t>业绩</w:t>
            </w:r>
            <w:r>
              <w:rPr>
                <w:rFonts w:hint="eastAsia" w:ascii="仿宋" w:hAnsi="仿宋" w:eastAsia="仿宋" w:cs="仿宋"/>
                <w:b w:val="0"/>
                <w:bCs w:val="0"/>
                <w:color w:val="auto"/>
                <w:kern w:val="0"/>
                <w:sz w:val="28"/>
                <w:szCs w:val="28"/>
                <w:highlight w:val="none"/>
                <w:lang w:val="zh-CN" w:eastAsia="en-US" w:bidi="zh-CN"/>
              </w:rPr>
              <w:t>的，每</w:t>
            </w:r>
            <w:r>
              <w:rPr>
                <w:rFonts w:hint="eastAsia" w:ascii="仿宋" w:hAnsi="仿宋" w:eastAsia="仿宋" w:cs="仿宋"/>
                <w:b w:val="0"/>
                <w:bCs w:val="0"/>
                <w:color w:val="auto"/>
                <w:kern w:val="0"/>
                <w:sz w:val="28"/>
                <w:szCs w:val="28"/>
                <w:highlight w:val="none"/>
                <w:lang w:val="en-US" w:eastAsia="zh-CN" w:bidi="zh-CN"/>
              </w:rPr>
              <w:t>个</w:t>
            </w:r>
            <w:r>
              <w:rPr>
                <w:rFonts w:hint="eastAsia" w:ascii="仿宋" w:hAnsi="仿宋" w:eastAsia="仿宋" w:cs="仿宋"/>
                <w:b w:val="0"/>
                <w:bCs w:val="0"/>
                <w:color w:val="auto"/>
                <w:kern w:val="0"/>
                <w:sz w:val="28"/>
                <w:szCs w:val="28"/>
                <w:highlight w:val="none"/>
                <w:lang w:val="zh-CN" w:eastAsia="en-US" w:bidi="zh-CN"/>
              </w:rPr>
              <w:t>得</w:t>
            </w:r>
            <w:r>
              <w:rPr>
                <w:rFonts w:hint="eastAsia" w:ascii="仿宋" w:hAnsi="仿宋" w:eastAsia="仿宋" w:cs="仿宋"/>
                <w:b w:val="0"/>
                <w:bCs w:val="0"/>
                <w:color w:val="auto"/>
                <w:kern w:val="0"/>
                <w:sz w:val="28"/>
                <w:szCs w:val="28"/>
                <w:highlight w:val="none"/>
                <w:lang w:val="en-US" w:eastAsia="zh-CN" w:bidi="zh-CN"/>
              </w:rPr>
              <w:t>2</w:t>
            </w:r>
            <w:r>
              <w:rPr>
                <w:rFonts w:hint="eastAsia" w:ascii="仿宋" w:hAnsi="仿宋" w:eastAsia="仿宋" w:cs="仿宋"/>
                <w:b w:val="0"/>
                <w:bCs w:val="0"/>
                <w:color w:val="auto"/>
                <w:kern w:val="0"/>
                <w:sz w:val="28"/>
                <w:szCs w:val="28"/>
                <w:highlight w:val="none"/>
                <w:lang w:val="zh-CN" w:eastAsia="en-US" w:bidi="zh-CN"/>
              </w:rPr>
              <w:t>分，本项</w:t>
            </w:r>
            <w:r>
              <w:rPr>
                <w:rFonts w:hint="eastAsia" w:ascii="仿宋" w:hAnsi="仿宋" w:eastAsia="仿宋" w:cs="仿宋"/>
                <w:b w:val="0"/>
                <w:bCs w:val="0"/>
                <w:color w:val="auto"/>
                <w:kern w:val="0"/>
                <w:sz w:val="28"/>
                <w:szCs w:val="28"/>
                <w:highlight w:val="none"/>
                <w:lang w:val="en-US" w:eastAsia="zh-CN" w:bidi="zh-CN"/>
              </w:rPr>
              <w:t>满分6</w:t>
            </w:r>
            <w:r>
              <w:rPr>
                <w:rFonts w:hint="eastAsia" w:ascii="仿宋" w:hAnsi="仿宋" w:eastAsia="仿宋" w:cs="仿宋"/>
                <w:b w:val="0"/>
                <w:bCs w:val="0"/>
                <w:color w:val="auto"/>
                <w:kern w:val="0"/>
                <w:sz w:val="28"/>
                <w:szCs w:val="28"/>
                <w:highlight w:val="none"/>
                <w:lang w:val="zh-CN" w:eastAsia="en-US" w:bidi="zh-CN"/>
              </w:rPr>
              <w:t>分。</w:t>
            </w:r>
          </w:p>
          <w:p w14:paraId="635EE522">
            <w:pPr>
              <w:widowControl/>
              <w:ind w:firstLine="560" w:firstLineChars="200"/>
              <w:jc w:val="left"/>
              <w:rPr>
                <w:rFonts w:hint="eastAsia" w:ascii="仿宋" w:hAnsi="仿宋" w:eastAsia="仿宋" w:cs="仿宋"/>
                <w:b w:val="0"/>
                <w:bCs w:val="0"/>
                <w:color w:val="auto"/>
                <w:kern w:val="0"/>
                <w:sz w:val="28"/>
                <w:szCs w:val="28"/>
                <w:highlight w:val="none"/>
                <w:lang w:val="zh-CN" w:eastAsia="en-US" w:bidi="zh-CN"/>
              </w:rPr>
            </w:pPr>
            <w:r>
              <w:rPr>
                <w:rFonts w:hint="eastAsia" w:ascii="仿宋" w:hAnsi="仿宋" w:eastAsia="仿宋" w:cs="仿宋"/>
                <w:b w:val="0"/>
                <w:bCs w:val="0"/>
                <w:color w:val="auto"/>
                <w:kern w:val="0"/>
                <w:sz w:val="28"/>
                <w:szCs w:val="28"/>
                <w:highlight w:val="none"/>
                <w:lang w:val="zh-CN" w:eastAsia="en-US" w:bidi="zh-CN"/>
              </w:rPr>
              <w:t>注：响应文件中须提供上述业绩合同扫描件</w:t>
            </w:r>
            <w:r>
              <w:rPr>
                <w:rFonts w:hint="eastAsia" w:ascii="仿宋" w:hAnsi="仿宋" w:eastAsia="仿宋" w:cs="仿宋"/>
                <w:b w:val="0"/>
                <w:bCs w:val="0"/>
                <w:color w:val="auto"/>
                <w:kern w:val="0"/>
                <w:sz w:val="28"/>
                <w:szCs w:val="28"/>
                <w:highlight w:val="none"/>
                <w:lang w:val="en-US" w:eastAsia="zh-CN" w:bidi="zh-CN"/>
              </w:rPr>
              <w:t>，否则不得分</w:t>
            </w:r>
            <w:r>
              <w:rPr>
                <w:rFonts w:hint="eastAsia" w:ascii="仿宋" w:hAnsi="仿宋" w:eastAsia="仿宋" w:cs="仿宋"/>
                <w:b w:val="0"/>
                <w:bCs w:val="0"/>
                <w:color w:val="auto"/>
                <w:kern w:val="0"/>
                <w:sz w:val="28"/>
                <w:szCs w:val="28"/>
                <w:highlight w:val="none"/>
                <w:lang w:val="zh-CN" w:eastAsia="en-US" w:bidi="zh-CN"/>
              </w:rPr>
              <w:t>。</w:t>
            </w:r>
          </w:p>
          <w:p w14:paraId="2A9EB6C2">
            <w:pPr>
              <w:pStyle w:val="20"/>
              <w:ind w:left="420" w:leftChars="200" w:firstLine="560" w:firstLineChars="200"/>
              <w:rPr>
                <w:rFonts w:hint="eastAsia" w:ascii="仿宋" w:hAnsi="仿宋" w:eastAsia="仿宋" w:cs="仿宋"/>
                <w:snapToGrid w:val="0"/>
                <w:color w:val="auto"/>
                <w:kern w:val="2"/>
                <w:sz w:val="28"/>
                <w:szCs w:val="28"/>
                <w:highlight w:val="none"/>
                <w:lang w:val="en-US" w:eastAsia="en-US" w:bidi="ar-SA"/>
              </w:rPr>
            </w:pPr>
          </w:p>
        </w:tc>
      </w:tr>
      <w:tr w14:paraId="609D2A3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269" w:hRule="atLeast"/>
          <w:jc w:val="center"/>
        </w:trPr>
        <w:tc>
          <w:tcPr>
            <w:tcW w:w="1410" w:type="dxa"/>
            <w:shd w:val="clear" w:color="auto" w:fill="auto"/>
            <w:noWrap/>
            <w:vAlign w:val="center"/>
          </w:tcPr>
          <w:p w14:paraId="7DD0DB96">
            <w:pPr>
              <w:pStyle w:val="20"/>
              <w:ind w:left="0" w:leftChars="0" w:firstLine="0" w:firstLineChars="0"/>
              <w:jc w:val="center"/>
              <w:rPr>
                <w:rFonts w:hint="eastAsia" w:ascii="仿宋" w:hAnsi="仿宋" w:eastAsia="仿宋" w:cs="仿宋"/>
                <w:b/>
                <w:bCs/>
                <w:color w:val="auto"/>
                <w:kern w:val="0"/>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企业资信</w:t>
            </w:r>
          </w:p>
          <w:p w14:paraId="33637620">
            <w:pPr>
              <w:pStyle w:val="20"/>
              <w:ind w:left="0" w:leftChars="0" w:firstLine="0" w:firstLineChars="0"/>
              <w:jc w:val="center"/>
              <w:rPr>
                <w:rFonts w:hint="eastAsia" w:ascii="仿宋" w:hAnsi="仿宋" w:eastAsia="仿宋" w:cs="仿宋"/>
                <w:b/>
                <w:bCs/>
                <w:color w:val="auto"/>
                <w:kern w:val="0"/>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等级</w:t>
            </w:r>
          </w:p>
          <w:p w14:paraId="4E20A0B9">
            <w:pPr>
              <w:pStyle w:val="20"/>
              <w:ind w:left="0" w:leftChars="0" w:firstLine="0" w:firstLineChars="0"/>
              <w:jc w:val="center"/>
              <w:rPr>
                <w:rFonts w:hint="eastAsia" w:ascii="仿宋" w:hAnsi="仿宋" w:eastAsia="仿宋" w:cs="仿宋"/>
                <w:snapToGrid w:val="0"/>
                <w:color w:val="auto"/>
                <w:kern w:val="2"/>
                <w:sz w:val="21"/>
                <w:szCs w:val="24"/>
                <w:highlight w:val="none"/>
                <w:lang w:val="en-US" w:eastAsia="zh-CN" w:bidi="ar-SA"/>
              </w:rPr>
            </w:pPr>
            <w:r>
              <w:rPr>
                <w:rFonts w:hint="eastAsia" w:ascii="仿宋" w:hAnsi="仿宋" w:eastAsia="仿宋" w:cs="仿宋"/>
                <w:b/>
                <w:bCs/>
                <w:snapToGrid w:val="0"/>
                <w:color w:val="auto"/>
                <w:kern w:val="0"/>
                <w:sz w:val="30"/>
                <w:szCs w:val="30"/>
                <w:highlight w:val="none"/>
                <w:lang w:val="en-US" w:eastAsia="zh-CN" w:bidi="ar-SA"/>
              </w:rPr>
              <w:t>（14分）</w:t>
            </w:r>
          </w:p>
        </w:tc>
        <w:tc>
          <w:tcPr>
            <w:tcW w:w="7200" w:type="dxa"/>
            <w:tcBorders>
              <w:right w:val="single" w:color="auto" w:sz="4" w:space="0"/>
            </w:tcBorders>
            <w:shd w:val="clear" w:color="auto" w:fill="auto"/>
            <w:noWrap/>
            <w:vAlign w:val="center"/>
          </w:tcPr>
          <w:p w14:paraId="41C25C69">
            <w:pPr>
              <w:widowControl/>
              <w:ind w:firstLine="560" w:firstLineChars="200"/>
              <w:jc w:val="left"/>
              <w:rPr>
                <w:rFonts w:hint="eastAsia" w:ascii="仿宋" w:hAnsi="仿宋" w:eastAsia="仿宋" w:cs="仿宋"/>
                <w:b w:val="0"/>
                <w:bCs w:val="0"/>
                <w:color w:val="auto"/>
                <w:kern w:val="0"/>
                <w:sz w:val="28"/>
                <w:szCs w:val="28"/>
                <w:highlight w:val="none"/>
                <w:lang w:val="en-US" w:eastAsia="zh-CN" w:bidi="zh-CN"/>
              </w:rPr>
            </w:pPr>
            <w:r>
              <w:rPr>
                <w:rFonts w:hint="eastAsia" w:ascii="仿宋" w:hAnsi="仿宋" w:eastAsia="仿宋" w:cs="仿宋"/>
                <w:b w:val="0"/>
                <w:bCs w:val="0"/>
                <w:color w:val="auto"/>
                <w:kern w:val="0"/>
                <w:sz w:val="28"/>
                <w:szCs w:val="28"/>
                <w:highlight w:val="none"/>
                <w:lang w:val="en-US" w:eastAsia="zh-CN" w:bidi="zh-CN"/>
              </w:rPr>
              <w:t>2023年1月1日至今</w:t>
            </w:r>
            <w:r>
              <w:rPr>
                <w:rFonts w:hint="eastAsia" w:ascii="仿宋" w:hAnsi="仿宋" w:eastAsia="仿宋" w:cs="仿宋"/>
                <w:b w:val="0"/>
                <w:bCs w:val="0"/>
                <w:color w:val="auto"/>
                <w:kern w:val="0"/>
                <w:sz w:val="28"/>
                <w:szCs w:val="28"/>
                <w:highlight w:val="none"/>
                <w:lang w:val="zh-CN" w:eastAsia="zh-CN" w:bidi="zh-CN"/>
              </w:rPr>
              <w:t>（以获奖时间为准）</w:t>
            </w:r>
            <w:r>
              <w:rPr>
                <w:rFonts w:hint="eastAsia" w:ascii="仿宋" w:hAnsi="仿宋" w:eastAsia="仿宋" w:cs="仿宋"/>
                <w:b w:val="0"/>
                <w:bCs w:val="0"/>
                <w:color w:val="auto"/>
                <w:kern w:val="0"/>
                <w:sz w:val="28"/>
                <w:szCs w:val="28"/>
                <w:highlight w:val="none"/>
                <w:lang w:val="en-US" w:eastAsia="zh-CN" w:bidi="zh-CN"/>
              </w:rPr>
              <w:t>，</w:t>
            </w:r>
            <w:r>
              <w:rPr>
                <w:rFonts w:hint="eastAsia" w:ascii="仿宋" w:hAnsi="仿宋" w:eastAsia="仿宋" w:cs="仿宋"/>
                <w:b w:val="0"/>
                <w:bCs w:val="0"/>
                <w:color w:val="auto"/>
                <w:kern w:val="0"/>
                <w:sz w:val="28"/>
                <w:szCs w:val="28"/>
                <w:highlight w:val="none"/>
                <w:lang w:val="zh-CN" w:eastAsia="zh-CN" w:bidi="zh-CN"/>
              </w:rPr>
              <w:t>供应商每个年度</w:t>
            </w:r>
            <w:r>
              <w:rPr>
                <w:rFonts w:hint="eastAsia" w:ascii="仿宋" w:hAnsi="仿宋" w:eastAsia="仿宋" w:cs="仿宋"/>
                <w:b w:val="0"/>
                <w:bCs w:val="0"/>
                <w:color w:val="auto"/>
                <w:kern w:val="0"/>
                <w:sz w:val="28"/>
                <w:szCs w:val="28"/>
                <w:highlight w:val="none"/>
                <w:lang w:val="zh-CN" w:bidi="zh-CN"/>
              </w:rPr>
              <w:t>获得行业协会颁发的甲级资信证书的，得</w:t>
            </w:r>
            <w:r>
              <w:rPr>
                <w:rFonts w:hint="eastAsia" w:ascii="仿宋" w:hAnsi="仿宋" w:eastAsia="仿宋" w:cs="仿宋"/>
                <w:b w:val="0"/>
                <w:bCs w:val="0"/>
                <w:color w:val="auto"/>
                <w:kern w:val="0"/>
                <w:sz w:val="28"/>
                <w:szCs w:val="28"/>
                <w:highlight w:val="none"/>
                <w:lang w:val="en-US" w:eastAsia="zh-CN" w:bidi="zh-CN"/>
              </w:rPr>
              <w:t>5</w:t>
            </w:r>
            <w:r>
              <w:rPr>
                <w:rFonts w:hint="eastAsia" w:ascii="仿宋" w:hAnsi="仿宋" w:eastAsia="仿宋" w:cs="仿宋"/>
                <w:b w:val="0"/>
                <w:bCs w:val="0"/>
                <w:color w:val="auto"/>
                <w:kern w:val="0"/>
                <w:sz w:val="28"/>
                <w:szCs w:val="28"/>
                <w:highlight w:val="none"/>
                <w:lang w:val="zh-CN" w:bidi="zh-CN"/>
              </w:rPr>
              <w:t>分；获得乙级资信证书的，得</w:t>
            </w:r>
            <w:r>
              <w:rPr>
                <w:rFonts w:hint="eastAsia" w:ascii="仿宋" w:hAnsi="仿宋" w:eastAsia="仿宋" w:cs="仿宋"/>
                <w:b w:val="0"/>
                <w:bCs w:val="0"/>
                <w:color w:val="auto"/>
                <w:kern w:val="0"/>
                <w:sz w:val="28"/>
                <w:szCs w:val="28"/>
                <w:highlight w:val="none"/>
                <w:lang w:val="en-US" w:eastAsia="zh-CN" w:bidi="zh-CN"/>
              </w:rPr>
              <w:t>3</w:t>
            </w:r>
            <w:r>
              <w:rPr>
                <w:rFonts w:hint="eastAsia" w:ascii="仿宋" w:hAnsi="仿宋" w:eastAsia="仿宋" w:cs="仿宋"/>
                <w:b w:val="0"/>
                <w:bCs w:val="0"/>
                <w:color w:val="auto"/>
                <w:kern w:val="0"/>
                <w:sz w:val="28"/>
                <w:szCs w:val="28"/>
                <w:highlight w:val="none"/>
                <w:lang w:val="zh-CN" w:bidi="zh-CN"/>
              </w:rPr>
              <w:t>分；获得</w:t>
            </w:r>
            <w:r>
              <w:rPr>
                <w:rFonts w:hint="eastAsia" w:ascii="仿宋" w:hAnsi="仿宋" w:eastAsia="仿宋" w:cs="仿宋"/>
                <w:b w:val="0"/>
                <w:bCs w:val="0"/>
                <w:color w:val="auto"/>
                <w:kern w:val="0"/>
                <w:sz w:val="28"/>
                <w:szCs w:val="28"/>
                <w:highlight w:val="none"/>
                <w:lang w:val="zh-CN" w:eastAsia="zh-CN" w:bidi="zh-CN"/>
              </w:rPr>
              <w:t>丙</w:t>
            </w:r>
            <w:r>
              <w:rPr>
                <w:rFonts w:hint="eastAsia" w:ascii="仿宋" w:hAnsi="仿宋" w:eastAsia="仿宋" w:cs="仿宋"/>
                <w:b w:val="0"/>
                <w:bCs w:val="0"/>
                <w:color w:val="auto"/>
                <w:kern w:val="0"/>
                <w:sz w:val="28"/>
                <w:szCs w:val="28"/>
                <w:highlight w:val="none"/>
                <w:lang w:val="zh-CN" w:bidi="zh-CN"/>
              </w:rPr>
              <w:t>级资信证书的，得</w:t>
            </w:r>
            <w:r>
              <w:rPr>
                <w:rFonts w:hint="eastAsia" w:ascii="仿宋" w:hAnsi="仿宋" w:eastAsia="仿宋" w:cs="仿宋"/>
                <w:b w:val="0"/>
                <w:bCs w:val="0"/>
                <w:color w:val="auto"/>
                <w:kern w:val="0"/>
                <w:sz w:val="28"/>
                <w:szCs w:val="28"/>
                <w:highlight w:val="none"/>
                <w:lang w:val="en-US" w:eastAsia="zh-CN" w:bidi="zh-CN"/>
              </w:rPr>
              <w:t>1</w:t>
            </w:r>
            <w:r>
              <w:rPr>
                <w:rFonts w:hint="eastAsia" w:ascii="仿宋" w:hAnsi="仿宋" w:eastAsia="仿宋" w:cs="仿宋"/>
                <w:b w:val="0"/>
                <w:bCs w:val="0"/>
                <w:color w:val="auto"/>
                <w:kern w:val="0"/>
                <w:sz w:val="28"/>
                <w:szCs w:val="28"/>
                <w:highlight w:val="none"/>
                <w:lang w:val="zh-CN" w:bidi="zh-CN"/>
              </w:rPr>
              <w:t>分；没有的不得分。</w:t>
            </w:r>
            <w:r>
              <w:rPr>
                <w:rFonts w:hint="eastAsia" w:ascii="仿宋" w:hAnsi="仿宋" w:eastAsia="仿宋" w:cs="仿宋"/>
                <w:b w:val="0"/>
                <w:bCs w:val="0"/>
                <w:color w:val="auto"/>
                <w:kern w:val="0"/>
                <w:sz w:val="28"/>
                <w:szCs w:val="28"/>
                <w:highlight w:val="none"/>
                <w:lang w:val="zh-CN" w:eastAsia="zh-CN" w:bidi="zh-CN"/>
              </w:rPr>
              <w:t>此项满分</w:t>
            </w:r>
            <w:r>
              <w:rPr>
                <w:rFonts w:hint="eastAsia" w:ascii="仿宋" w:hAnsi="仿宋" w:eastAsia="仿宋" w:cs="仿宋"/>
                <w:b w:val="0"/>
                <w:bCs w:val="0"/>
                <w:color w:val="auto"/>
                <w:kern w:val="0"/>
                <w:sz w:val="28"/>
                <w:szCs w:val="28"/>
                <w:highlight w:val="none"/>
                <w:lang w:val="en-US" w:eastAsia="zh-CN" w:bidi="zh-CN"/>
              </w:rPr>
              <w:t>14分。</w:t>
            </w:r>
          </w:p>
          <w:p w14:paraId="3791CC5F">
            <w:pPr>
              <w:widowControl/>
              <w:ind w:firstLine="560" w:firstLineChars="200"/>
              <w:jc w:val="left"/>
              <w:rPr>
                <w:rFonts w:hint="eastAsia" w:ascii="仿宋" w:hAnsi="仿宋" w:eastAsia="仿宋" w:cs="仿宋"/>
                <w:b w:val="0"/>
                <w:bCs w:val="0"/>
                <w:color w:val="auto"/>
                <w:kern w:val="0"/>
                <w:sz w:val="28"/>
                <w:szCs w:val="28"/>
                <w:highlight w:val="none"/>
                <w:lang w:val="zh-CN" w:bidi="zh-CN"/>
              </w:rPr>
            </w:pPr>
            <w:r>
              <w:rPr>
                <w:rFonts w:hint="eastAsia" w:ascii="仿宋" w:hAnsi="仿宋" w:eastAsia="仿宋" w:cs="仿宋"/>
                <w:b w:val="0"/>
                <w:bCs w:val="0"/>
                <w:color w:val="auto"/>
                <w:kern w:val="0"/>
                <w:sz w:val="28"/>
                <w:szCs w:val="28"/>
                <w:highlight w:val="none"/>
                <w:lang w:val="zh-CN" w:bidi="zh-CN"/>
              </w:rPr>
              <w:t>注：响应文件中须提供上述</w:t>
            </w:r>
            <w:r>
              <w:rPr>
                <w:rFonts w:hint="eastAsia" w:ascii="仿宋" w:hAnsi="仿宋" w:eastAsia="仿宋" w:cs="仿宋"/>
                <w:b w:val="0"/>
                <w:bCs w:val="0"/>
                <w:color w:val="auto"/>
                <w:kern w:val="0"/>
                <w:sz w:val="28"/>
                <w:szCs w:val="28"/>
                <w:highlight w:val="none"/>
                <w:lang w:val="en-US" w:eastAsia="zh-CN" w:bidi="zh-CN"/>
              </w:rPr>
              <w:t>证书或证明材料</w:t>
            </w:r>
            <w:r>
              <w:rPr>
                <w:rFonts w:hint="eastAsia" w:ascii="仿宋" w:hAnsi="仿宋" w:eastAsia="仿宋" w:cs="仿宋"/>
                <w:b w:val="0"/>
                <w:bCs w:val="0"/>
                <w:color w:val="auto"/>
                <w:kern w:val="0"/>
                <w:sz w:val="28"/>
                <w:szCs w:val="28"/>
                <w:highlight w:val="none"/>
                <w:lang w:val="zh-CN" w:bidi="zh-CN"/>
              </w:rPr>
              <w:t>加盖单位公章</w:t>
            </w:r>
            <w:r>
              <w:rPr>
                <w:rFonts w:hint="eastAsia" w:ascii="仿宋" w:hAnsi="仿宋" w:eastAsia="仿宋" w:cs="仿宋"/>
                <w:b w:val="0"/>
                <w:bCs w:val="0"/>
                <w:color w:val="auto"/>
                <w:kern w:val="0"/>
                <w:sz w:val="28"/>
                <w:szCs w:val="28"/>
                <w:highlight w:val="none"/>
                <w:lang w:val="zh-CN" w:eastAsia="zh-CN" w:bidi="zh-CN"/>
              </w:rPr>
              <w:t>，</w:t>
            </w:r>
            <w:r>
              <w:rPr>
                <w:rFonts w:hint="eastAsia" w:ascii="仿宋" w:hAnsi="仿宋" w:eastAsia="仿宋" w:cs="仿宋"/>
                <w:b w:val="0"/>
                <w:bCs w:val="0"/>
                <w:color w:val="auto"/>
                <w:kern w:val="0"/>
                <w:sz w:val="28"/>
                <w:szCs w:val="28"/>
                <w:highlight w:val="none"/>
                <w:lang w:val="en-US" w:eastAsia="zh-CN" w:bidi="zh-CN"/>
              </w:rPr>
              <w:t>否则不得分，时间以证书或证明材料上载明的时间为准</w:t>
            </w:r>
            <w:r>
              <w:rPr>
                <w:rFonts w:hint="eastAsia" w:ascii="仿宋" w:hAnsi="仿宋" w:eastAsia="仿宋" w:cs="仿宋"/>
                <w:b w:val="0"/>
                <w:bCs w:val="0"/>
                <w:color w:val="auto"/>
                <w:kern w:val="0"/>
                <w:sz w:val="28"/>
                <w:szCs w:val="28"/>
                <w:highlight w:val="none"/>
                <w:lang w:val="zh-CN" w:bidi="zh-CN"/>
              </w:rPr>
              <w:t>。</w:t>
            </w:r>
          </w:p>
          <w:p w14:paraId="1E1BF7B1">
            <w:pPr>
              <w:pStyle w:val="20"/>
              <w:rPr>
                <w:rFonts w:hint="eastAsia" w:ascii="仿宋" w:hAnsi="仿宋" w:eastAsia="仿宋" w:cs="仿宋"/>
                <w:b w:val="0"/>
                <w:bCs w:val="0"/>
                <w:color w:val="auto"/>
                <w:kern w:val="0"/>
                <w:sz w:val="28"/>
                <w:szCs w:val="28"/>
                <w:highlight w:val="none"/>
                <w:lang w:val="zh-CN" w:bidi="zh-CN"/>
              </w:rPr>
            </w:pPr>
          </w:p>
          <w:p w14:paraId="6FFF752F">
            <w:pPr>
              <w:pStyle w:val="9"/>
              <w:rPr>
                <w:rFonts w:hint="eastAsia" w:ascii="仿宋" w:hAnsi="仿宋" w:eastAsia="仿宋" w:cs="仿宋"/>
                <w:color w:val="auto"/>
                <w:highlight w:val="none"/>
                <w:lang w:val="zh-CN" w:eastAsia="en-US"/>
              </w:rPr>
            </w:pPr>
          </w:p>
        </w:tc>
      </w:tr>
    </w:tbl>
    <w:p w14:paraId="399C31B0">
      <w:pPr>
        <w:pageBreakBefore w:val="0"/>
        <w:numPr>
          <w:ilvl w:val="0"/>
          <w:numId w:val="0"/>
        </w:numPr>
        <w:kinsoku w:val="0"/>
        <w:wordWrap/>
        <w:overflowPunct/>
        <w:topLinePunct w:val="0"/>
        <w:bidi w:val="0"/>
        <w:adjustRightInd w:val="0"/>
        <w:snapToGrid w:val="0"/>
        <w:spacing w:line="360" w:lineRule="auto"/>
        <w:ind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5.2.2分值汇总</w:t>
      </w:r>
    </w:p>
    <w:p w14:paraId="408E3D83">
      <w:pPr>
        <w:pageBreakBefore w:val="0"/>
        <w:kinsoku w:val="0"/>
        <w:wordWrap/>
        <w:overflowPunct/>
        <w:topLinePunct w:val="0"/>
        <w:bidi w:val="0"/>
        <w:adjustRightInd w:val="0"/>
        <w:snapToGrid w:val="0"/>
        <w:spacing w:line="360" w:lineRule="auto"/>
        <w:ind w:right="0" w:rightChars="0" w:firstLine="560" w:firstLineChars="20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评审小组各成员应当独立对每个有效响应的文件进行评价、打分，然后汇总每个供应商每项评分因素的得分(四舍五入保留至小数点后两位数)，再将供应商每项评分因素的得分进行汇总，得到该供应商的技术资信分之和，即为该供应商的综合总得分。</w:t>
      </w:r>
    </w:p>
    <w:p w14:paraId="2B0E972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5.2.3入围供应商约定</w:t>
      </w:r>
    </w:p>
    <w:p w14:paraId="0D91FB7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本项目设置淘汰比例为20%，且至少淘汰一家供应商(向上取整，例如：8 家供应商通过资格审查、符合性审查，按20%淘汰比例应该淘汰1.6 家，向上取整后淘汰2家)，根据综合总得分由低到高进行淘汰。如出现得分并列时，则由评审小组采用随机抽取的方式确定淘汰供应商。</w:t>
      </w:r>
    </w:p>
    <w:p w14:paraId="368A967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0" w:type="default"/>
          <w:pgSz w:w="11922" w:h="16849"/>
          <w:pgMar w:top="1440" w:right="1803" w:bottom="1440" w:left="1803" w:header="1134" w:footer="1253" w:gutter="0"/>
          <w:pgNumType w:fmt="decimal"/>
          <w:cols w:space="0" w:num="1"/>
          <w:rtlGutter w:val="0"/>
          <w:docGrid w:linePitch="0" w:charSpace="0"/>
        </w:sectPr>
      </w:pPr>
    </w:p>
    <w:p w14:paraId="73AA5820">
      <w:pPr>
        <w:pStyle w:val="2"/>
        <w:pageBreakBefore w:val="0"/>
        <w:kinsoku w:val="0"/>
        <w:wordWrap/>
        <w:overflowPunct/>
        <w:topLinePunct w:val="0"/>
        <w:bidi w:val="0"/>
        <w:adjustRightInd w:val="0"/>
        <w:snapToGrid w:val="0"/>
        <w:spacing w:before="0" w:beforeLines="0" w:after="0" w:afterLines="0" w:line="360" w:lineRule="auto"/>
        <w:ind w:left="0" w:leftChars="0" w:right="0" w:rightChars="0"/>
        <w:jc w:val="center"/>
        <w:textAlignment w:val="baseline"/>
        <w:rPr>
          <w:rFonts w:hint="eastAsia" w:eastAsia="宋体"/>
          <w:color w:val="auto"/>
          <w:spacing w:val="0"/>
          <w:w w:val="100"/>
          <w:position w:val="0"/>
          <w:highlight w:val="none"/>
          <w:lang w:eastAsia="zh-CN"/>
        </w:rPr>
      </w:pPr>
      <w:bookmarkStart w:id="6" w:name="_Toc6589"/>
      <w:r>
        <w:rPr>
          <w:rFonts w:hint="eastAsia"/>
          <w:color w:val="auto"/>
          <w:spacing w:val="0"/>
          <w:w w:val="100"/>
          <w:position w:val="0"/>
          <w:highlight w:val="none"/>
          <w:lang w:val="en-US" w:eastAsia="en-US"/>
        </w:rPr>
        <w:t>第五章</w:t>
      </w:r>
      <w:r>
        <w:rPr>
          <w:rFonts w:hint="eastAsia"/>
          <w:color w:val="auto"/>
          <w:spacing w:val="0"/>
          <w:w w:val="100"/>
          <w:position w:val="0"/>
          <w:highlight w:val="none"/>
        </w:rPr>
        <w:t>框架协议</w:t>
      </w:r>
      <w:bookmarkEnd w:id="6"/>
      <w:r>
        <w:rPr>
          <w:rFonts w:hint="eastAsia" w:eastAsia="宋体"/>
          <w:color w:val="auto"/>
          <w:spacing w:val="0"/>
          <w:w w:val="100"/>
          <w:position w:val="0"/>
          <w:highlight w:val="none"/>
          <w:lang w:eastAsia="zh-CN"/>
        </w:rPr>
        <w:t>（</w:t>
      </w:r>
      <w:r>
        <w:rPr>
          <w:rFonts w:hint="eastAsia" w:eastAsia="宋体"/>
          <w:color w:val="auto"/>
          <w:spacing w:val="0"/>
          <w:w w:val="100"/>
          <w:position w:val="0"/>
          <w:highlight w:val="none"/>
          <w:lang w:val="en-US" w:eastAsia="zh-CN"/>
        </w:rPr>
        <w:t>参考文本</w:t>
      </w:r>
      <w:r>
        <w:rPr>
          <w:rFonts w:hint="eastAsia" w:eastAsia="宋体"/>
          <w:color w:val="auto"/>
          <w:spacing w:val="0"/>
          <w:w w:val="100"/>
          <w:position w:val="0"/>
          <w:highlight w:val="none"/>
          <w:lang w:eastAsia="zh-CN"/>
        </w:rPr>
        <w:t>）</w:t>
      </w:r>
    </w:p>
    <w:p w14:paraId="7CE22487">
      <w:pPr>
        <w:jc w:val="center"/>
        <w:rPr>
          <w:rFonts w:hint="eastAsia" w:ascii="Arial" w:hAnsi="Arial" w:eastAsia="宋体" w:cs="Arial"/>
          <w:b/>
          <w:snapToGrid w:val="0"/>
          <w:color w:val="auto"/>
          <w:spacing w:val="0"/>
          <w:w w:val="100"/>
          <w:kern w:val="0"/>
          <w:position w:val="0"/>
          <w:sz w:val="32"/>
          <w:szCs w:val="21"/>
          <w:highlight w:val="none"/>
          <w:lang w:val="en-US" w:eastAsia="zh-CN" w:bidi="ar-SA"/>
        </w:rPr>
      </w:pPr>
      <w:r>
        <w:rPr>
          <w:rFonts w:hint="eastAsia" w:ascii="Arial" w:hAnsi="Arial" w:eastAsia="宋体" w:cs="Arial"/>
          <w:b/>
          <w:snapToGrid w:val="0"/>
          <w:color w:val="auto"/>
          <w:spacing w:val="0"/>
          <w:w w:val="100"/>
          <w:kern w:val="0"/>
          <w:position w:val="0"/>
          <w:sz w:val="32"/>
          <w:szCs w:val="21"/>
          <w:highlight w:val="none"/>
          <w:lang w:val="en-US" w:eastAsia="zh-CN" w:bidi="ar-SA"/>
        </w:rPr>
        <w:t>（以最终签订的合同为准）</w:t>
      </w:r>
    </w:p>
    <w:p w14:paraId="62DDA7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框 架 协 议 格 式</w:t>
      </w:r>
    </w:p>
    <w:p w14:paraId="157E7C5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3"/>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甲方 (征集人)：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798F561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3"/>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乙方  (入围供应商)：</w:t>
      </w:r>
      <w:r>
        <w:rPr>
          <w:rFonts w:hint="eastAsia" w:ascii="仿宋" w:hAnsi="仿宋" w:eastAsia="仿宋" w:cs="仿宋"/>
          <w:color w:val="auto"/>
          <w:spacing w:val="0"/>
          <w:w w:val="100"/>
          <w:position w:val="0"/>
          <w:sz w:val="28"/>
          <w:szCs w:val="28"/>
          <w:highlight w:val="none"/>
          <w:u w:val="single" w:color="auto"/>
        </w:rPr>
        <w:t xml:space="preserve">                                         </w:t>
      </w:r>
    </w:p>
    <w:p w14:paraId="02CFCB9E">
      <w:pPr>
        <w:pStyle w:val="9"/>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依照《中华人民共和国民法典》、《政府采购框架协议采购方式管理暂行办法》、《中华人民共和国政府采购法》及其实施条例等有关法律、行政法规，结合本项目的具体情况，遵循平等、自愿、公平和诚实信用的原则，双方就</w:t>
      </w:r>
      <w:r>
        <w:rPr>
          <w:rFonts w:hint="eastAsia" w:ascii="仿宋" w:hAnsi="仿宋" w:eastAsia="仿宋" w:cs="仿宋"/>
          <w:color w:val="auto"/>
          <w:spacing w:val="0"/>
          <w:w w:val="100"/>
          <w:position w:val="0"/>
          <w:sz w:val="28"/>
          <w:szCs w:val="28"/>
          <w:highlight w:val="none"/>
          <w:u w:val="single" w:color="auto"/>
          <w:lang w:eastAsia="zh-CN"/>
        </w:rPr>
        <w:t>阜阳市本级</w:t>
      </w:r>
      <w:bookmarkStart w:id="45" w:name="_GoBack"/>
      <w:bookmarkEnd w:id="45"/>
      <w:r>
        <w:rPr>
          <w:rFonts w:hint="eastAsia" w:ascii="仿宋" w:hAnsi="仿宋" w:eastAsia="仿宋" w:cs="仿宋"/>
          <w:color w:val="auto"/>
          <w:spacing w:val="0"/>
          <w:w w:val="100"/>
          <w:position w:val="0"/>
          <w:sz w:val="28"/>
          <w:szCs w:val="28"/>
          <w:highlight w:val="none"/>
          <w:u w:val="single" w:color="auto"/>
          <w:lang w:eastAsia="zh-CN"/>
        </w:rPr>
        <w:t>2025-2027年土地出让（收储）评估服务机构框架协议采购项目（二次）</w:t>
      </w:r>
      <w:r>
        <w:rPr>
          <w:rFonts w:hint="eastAsia" w:ascii="仿宋" w:hAnsi="仿宋" w:eastAsia="仿宋" w:cs="仿宋"/>
          <w:color w:val="auto"/>
          <w:spacing w:val="0"/>
          <w:w w:val="100"/>
          <w:position w:val="0"/>
          <w:sz w:val="28"/>
          <w:szCs w:val="28"/>
          <w:highlight w:val="none"/>
        </w:rPr>
        <w:t>(项目编号：    )的相关内容协商一致，同意按照以下条款和条件，订立本框架协议。</w:t>
      </w:r>
    </w:p>
    <w:p w14:paraId="7BFDBD2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一、合同文件下列文件构成本框架协议的组成部分：</w:t>
      </w:r>
    </w:p>
    <w:p w14:paraId="5E3EF42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1、框架协议及补充协议</w:t>
      </w:r>
    </w:p>
    <w:p w14:paraId="7FC072D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2、中标通知书</w:t>
      </w:r>
    </w:p>
    <w:p w14:paraId="280CC0D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3、响应文件及评标过程中做出的书面说明或承诺</w:t>
      </w:r>
    </w:p>
    <w:p w14:paraId="7D72B3F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4、征集文件及答疑补充文件</w:t>
      </w:r>
    </w:p>
    <w:p w14:paraId="7379A8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二</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、采购需求</w:t>
      </w:r>
    </w:p>
    <w:p w14:paraId="4D1E453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详见征集文件《第三章采购需求》；</w:t>
      </w:r>
    </w:p>
    <w:p w14:paraId="3450623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三、确定第二阶段成交供应商的方式：</w:t>
      </w:r>
    </w:p>
    <w:p w14:paraId="4B17100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u w:val="single"/>
        </w:rPr>
        <w:t>直接选定方式</w:t>
      </w:r>
      <w:r>
        <w:rPr>
          <w:rFonts w:hint="eastAsia" w:ascii="仿宋" w:hAnsi="仿宋" w:eastAsia="仿宋" w:cs="仿宋"/>
          <w:color w:val="auto"/>
          <w:spacing w:val="0"/>
          <w:w w:val="100"/>
          <w:position w:val="0"/>
          <w:sz w:val="28"/>
          <w:szCs w:val="28"/>
          <w:highlight w:val="none"/>
        </w:rPr>
        <w:t>；</w:t>
      </w:r>
    </w:p>
    <w:p w14:paraId="40E3F0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四、适用框架协议的征集人或者服务对象范围，以及履行合同的地域范围。</w:t>
      </w:r>
    </w:p>
    <w:p w14:paraId="0B534A1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r>
        <w:rPr>
          <w:rFonts w:hint="eastAsia" w:ascii="仿宋" w:hAnsi="仿宋" w:eastAsia="仿宋" w:cs="仿宋"/>
          <w:color w:val="auto"/>
          <w:spacing w:val="0"/>
          <w:w w:val="100"/>
          <w:position w:val="0"/>
          <w:sz w:val="28"/>
          <w:szCs w:val="28"/>
          <w:highlight w:val="none"/>
          <w:lang w:eastAsia="zh-CN"/>
        </w:rPr>
        <w:t>阜阳市自然资源和规划局及阜阳市国土价格管理处</w:t>
      </w:r>
      <w:r>
        <w:rPr>
          <w:rFonts w:hint="eastAsia" w:ascii="仿宋" w:hAnsi="仿宋" w:eastAsia="仿宋" w:cs="仿宋"/>
          <w:color w:val="auto"/>
          <w:spacing w:val="0"/>
          <w:w w:val="100"/>
          <w:position w:val="0"/>
          <w:sz w:val="28"/>
          <w:szCs w:val="28"/>
          <w:highlight w:val="none"/>
        </w:rPr>
        <w:t>。</w:t>
      </w:r>
    </w:p>
    <w:p w14:paraId="472C350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rPr>
        <w:t>2、履行合同的地域范围：使用单位指定地点</w:t>
      </w:r>
      <w:r>
        <w:rPr>
          <w:rFonts w:hint="eastAsia" w:ascii="仿宋" w:hAnsi="仿宋" w:eastAsia="仿宋" w:cs="仿宋"/>
          <w:color w:val="auto"/>
          <w:spacing w:val="0"/>
          <w:w w:val="100"/>
          <w:position w:val="0"/>
          <w:sz w:val="28"/>
          <w:szCs w:val="28"/>
          <w:highlight w:val="none"/>
          <w:lang w:eastAsia="zh-CN"/>
        </w:rPr>
        <w:t>。</w:t>
      </w:r>
    </w:p>
    <w:p w14:paraId="2882847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五</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、服务费用计取及结算</w:t>
      </w:r>
    </w:p>
    <w:p w14:paraId="0A02652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本合同</w:t>
      </w:r>
      <w:r>
        <w:rPr>
          <w:rFonts w:hint="eastAsia" w:ascii="仿宋" w:hAnsi="仿宋" w:eastAsia="仿宋" w:cs="仿宋"/>
          <w:color w:val="auto"/>
          <w:spacing w:val="0"/>
          <w:w w:val="100"/>
          <w:position w:val="0"/>
          <w:sz w:val="28"/>
          <w:szCs w:val="28"/>
          <w:highlight w:val="none"/>
          <w:lang w:eastAsia="zh-CN"/>
        </w:rPr>
        <w:t>中标费率</w:t>
      </w:r>
      <w:r>
        <w:rPr>
          <w:rFonts w:hint="eastAsia" w:ascii="仿宋" w:hAnsi="仿宋" w:eastAsia="仿宋" w:cs="仿宋"/>
          <w:color w:val="auto"/>
          <w:spacing w:val="0"/>
          <w:w w:val="100"/>
          <w:position w:val="0"/>
          <w:sz w:val="28"/>
          <w:szCs w:val="28"/>
          <w:highlight w:val="none"/>
        </w:rPr>
        <w:t>为：</w:t>
      </w:r>
      <w:r>
        <w:rPr>
          <w:rFonts w:hint="eastAsia" w:ascii="仿宋" w:hAnsi="仿宋" w:eastAsia="仿宋" w:cs="仿宋"/>
          <w:color w:val="auto"/>
          <w:spacing w:val="0"/>
          <w:w w:val="100"/>
          <w:position w:val="0"/>
          <w:sz w:val="28"/>
          <w:szCs w:val="28"/>
          <w:highlight w:val="none"/>
          <w:u w:val="single"/>
        </w:rPr>
        <w:t xml:space="preserve"> </w:t>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u w:val="single"/>
        </w:rPr>
        <w:tab/>
      </w:r>
      <w:r>
        <w:rPr>
          <w:rFonts w:hint="eastAsia" w:ascii="仿宋" w:hAnsi="仿宋" w:eastAsia="仿宋" w:cs="仿宋"/>
          <w:color w:val="auto"/>
          <w:spacing w:val="0"/>
          <w:w w:val="100"/>
          <w:position w:val="0"/>
          <w:sz w:val="28"/>
          <w:szCs w:val="28"/>
          <w:highlight w:val="none"/>
          <w:lang w:val="en-US" w:eastAsia="zh-CN"/>
        </w:rPr>
        <w:t>%</w:t>
      </w:r>
      <w:r>
        <w:rPr>
          <w:rFonts w:hint="eastAsia" w:ascii="仿宋" w:hAnsi="仿宋" w:eastAsia="仿宋" w:cs="仿宋"/>
          <w:color w:val="auto"/>
          <w:spacing w:val="0"/>
          <w:w w:val="100"/>
          <w:position w:val="0"/>
          <w:sz w:val="28"/>
          <w:szCs w:val="28"/>
          <w:highlight w:val="none"/>
        </w:rPr>
        <w:t>（大写：</w:t>
      </w:r>
      <w:r>
        <w:rPr>
          <w:rFonts w:hint="eastAsia" w:ascii="仿宋" w:hAnsi="仿宋" w:eastAsia="仿宋" w:cs="仿宋"/>
          <w:color w:val="auto"/>
          <w:spacing w:val="0"/>
          <w:w w:val="100"/>
          <w:position w:val="0"/>
          <w:sz w:val="28"/>
          <w:szCs w:val="28"/>
          <w:highlight w:val="none"/>
          <w:u w:val="single"/>
        </w:rPr>
        <w:tab/>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rPr>
        <w:t>）。</w:t>
      </w:r>
    </w:p>
    <w:p w14:paraId="56BD736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分项价格：</w:t>
      </w:r>
    </w:p>
    <w:tbl>
      <w:tblPr>
        <w:tblStyle w:val="25"/>
        <w:tblW w:w="8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315"/>
        <w:gridCol w:w="1"/>
        <w:gridCol w:w="3241"/>
      </w:tblGrid>
      <w:tr w14:paraId="6A280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961" w:type="dxa"/>
            <w:vAlign w:val="top"/>
          </w:tcPr>
          <w:p w14:paraId="2C2D4A64">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序号</w:t>
            </w:r>
          </w:p>
        </w:tc>
        <w:tc>
          <w:tcPr>
            <w:tcW w:w="4316" w:type="dxa"/>
            <w:gridSpan w:val="2"/>
            <w:vAlign w:val="top"/>
          </w:tcPr>
          <w:p w14:paraId="3CB8A9A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分项名称</w:t>
            </w:r>
          </w:p>
        </w:tc>
        <w:tc>
          <w:tcPr>
            <w:tcW w:w="3241" w:type="dxa"/>
            <w:vAlign w:val="top"/>
          </w:tcPr>
          <w:p w14:paraId="5A3960D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分项价格</w:t>
            </w:r>
          </w:p>
        </w:tc>
      </w:tr>
      <w:tr w14:paraId="0522A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1" w:type="dxa"/>
            <w:vAlign w:val="top"/>
          </w:tcPr>
          <w:p w14:paraId="4615BB42">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p>
        </w:tc>
        <w:tc>
          <w:tcPr>
            <w:tcW w:w="4316" w:type="dxa"/>
            <w:gridSpan w:val="2"/>
            <w:vAlign w:val="top"/>
          </w:tcPr>
          <w:p w14:paraId="09E510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241" w:type="dxa"/>
            <w:vAlign w:val="top"/>
          </w:tcPr>
          <w:p w14:paraId="7FB589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841B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61" w:type="dxa"/>
            <w:vAlign w:val="top"/>
          </w:tcPr>
          <w:p w14:paraId="2370181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p>
        </w:tc>
        <w:tc>
          <w:tcPr>
            <w:tcW w:w="4316" w:type="dxa"/>
            <w:gridSpan w:val="2"/>
            <w:vAlign w:val="top"/>
          </w:tcPr>
          <w:p w14:paraId="470702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241" w:type="dxa"/>
            <w:vAlign w:val="top"/>
          </w:tcPr>
          <w:p w14:paraId="685251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AEC6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61" w:type="dxa"/>
            <w:vAlign w:val="top"/>
          </w:tcPr>
          <w:p w14:paraId="62A1E5BC">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w:t>
            </w:r>
          </w:p>
        </w:tc>
        <w:tc>
          <w:tcPr>
            <w:tcW w:w="4316" w:type="dxa"/>
            <w:gridSpan w:val="2"/>
            <w:vAlign w:val="top"/>
          </w:tcPr>
          <w:p w14:paraId="6BC4B7F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241" w:type="dxa"/>
            <w:vAlign w:val="top"/>
          </w:tcPr>
          <w:p w14:paraId="30F44B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26C5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961" w:type="dxa"/>
            <w:vAlign w:val="top"/>
          </w:tcPr>
          <w:p w14:paraId="2F71111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w:t>
            </w:r>
          </w:p>
        </w:tc>
        <w:tc>
          <w:tcPr>
            <w:tcW w:w="4315" w:type="dxa"/>
            <w:vAlign w:val="top"/>
          </w:tcPr>
          <w:p w14:paraId="1789A9F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242" w:type="dxa"/>
            <w:gridSpan w:val="2"/>
            <w:vAlign w:val="top"/>
          </w:tcPr>
          <w:p w14:paraId="66F72D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34A3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5276" w:type="dxa"/>
            <w:gridSpan w:val="2"/>
            <w:vAlign w:val="top"/>
          </w:tcPr>
          <w:p w14:paraId="7C2C20C5">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总价</w:t>
            </w:r>
          </w:p>
        </w:tc>
        <w:tc>
          <w:tcPr>
            <w:tcW w:w="3242" w:type="dxa"/>
            <w:gridSpan w:val="2"/>
            <w:tcBorders>
              <w:right w:val="single" w:color="000000" w:sz="4" w:space="0"/>
            </w:tcBorders>
            <w:vAlign w:val="top"/>
          </w:tcPr>
          <w:p w14:paraId="408240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6A0EAF4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7" w:name="_Toc12215"/>
      <w:r>
        <w:rPr>
          <w:rFonts w:hint="eastAsia" w:ascii="仿宋" w:hAnsi="仿宋" w:eastAsia="仿宋" w:cs="仿宋"/>
          <w:b/>
          <w:bCs/>
          <w:color w:val="auto"/>
          <w:spacing w:val="0"/>
          <w:w w:val="100"/>
          <w:position w:val="0"/>
          <w:sz w:val="28"/>
          <w:szCs w:val="28"/>
          <w:highlight w:val="none"/>
        </w:rPr>
        <w:t>1.1</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付款方式和发票开具方式</w:t>
      </w:r>
      <w:bookmarkEnd w:id="7"/>
    </w:p>
    <w:p w14:paraId="4F785AD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1.1.1 付款方式：</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763222E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1.1.2 发票开具方式：</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4416E0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8" w:name="_Toc26694"/>
      <w:r>
        <w:rPr>
          <w:rFonts w:hint="eastAsia" w:ascii="仿宋" w:hAnsi="仿宋" w:eastAsia="仿宋" w:cs="仿宋"/>
          <w:b/>
          <w:bCs/>
          <w:color w:val="auto"/>
          <w:spacing w:val="0"/>
          <w:w w:val="100"/>
          <w:position w:val="0"/>
          <w:sz w:val="28"/>
          <w:szCs w:val="28"/>
          <w:highlight w:val="none"/>
        </w:rPr>
        <w:t>1.2</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服务期限、地点和方式</w:t>
      </w:r>
      <w:bookmarkEnd w:id="8"/>
    </w:p>
    <w:p w14:paraId="079279F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1.2.1 服务期限：</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6877BF0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1.2.2 服务地点：</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 xml:space="preserve">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4500D1B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rPr>
        <w:t>1.2.3 服务方式：</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 xml:space="preserve">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3833597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9" w:name="_Toc15507"/>
      <w:r>
        <w:rPr>
          <w:rFonts w:hint="eastAsia" w:ascii="仿宋" w:hAnsi="仿宋" w:eastAsia="仿宋" w:cs="仿宋"/>
          <w:b/>
          <w:bCs/>
          <w:color w:val="auto"/>
          <w:spacing w:val="0"/>
          <w:w w:val="100"/>
          <w:position w:val="0"/>
          <w:sz w:val="28"/>
          <w:szCs w:val="28"/>
          <w:highlight w:val="none"/>
        </w:rPr>
        <w:t>1.3</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违约责任</w:t>
      </w:r>
      <w:bookmarkEnd w:id="9"/>
    </w:p>
    <w:p w14:paraId="06E6B4E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1.3.1 除不可抗力外，如果乙方没有按照本合同约定的期限、地点和方式履行，那么甲方可要求乙方支付违约金，违约金按每迟延履行一日的应提供而未提供服务价格的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0.05</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%计算，最高限额为本合同总价的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1</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%；迟延履行的违约金计算数额达到前述最高限额之日起，甲方有权在要求乙方支付违约金的同时，书面通知乙方解除本合同；</w:t>
      </w:r>
    </w:p>
    <w:p w14:paraId="763112E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1.3.2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 xml:space="preserve">0.05 </w:t>
      </w:r>
      <w:r>
        <w:rPr>
          <w:rFonts w:hint="eastAsia" w:ascii="仿宋" w:hAnsi="仿宋" w:eastAsia="仿宋" w:cs="仿宋"/>
          <w:color w:val="auto"/>
          <w:spacing w:val="0"/>
          <w:w w:val="100"/>
          <w:position w:val="0"/>
          <w:sz w:val="28"/>
          <w:szCs w:val="28"/>
          <w:highlight w:val="none"/>
        </w:rPr>
        <w:t>% 计算，最高限额为本合同总价的</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 xml:space="preserve">1 </w:t>
      </w:r>
      <w:r>
        <w:rPr>
          <w:rFonts w:hint="eastAsia" w:ascii="仿宋" w:hAnsi="仿宋" w:eastAsia="仿宋" w:cs="仿宋"/>
          <w:color w:val="auto"/>
          <w:spacing w:val="0"/>
          <w:w w:val="100"/>
          <w:position w:val="0"/>
          <w:sz w:val="28"/>
          <w:szCs w:val="28"/>
          <w:highlight w:val="none"/>
        </w:rPr>
        <w:t>%；迟延付款的违约金计算数额达到前述最高限额之日起，乙方有权在要求甲方支付违约金的同时，书面通知甲方解除本合同；</w:t>
      </w:r>
    </w:p>
    <w:p w14:paraId="796D55A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1.3.3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492919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1.3.4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740E3F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snapToGrid w:val="0"/>
          <w:color w:val="auto"/>
          <w:spacing w:val="0"/>
          <w:w w:val="100"/>
          <w:kern w:val="0"/>
          <w:position w:val="0"/>
          <w:sz w:val="28"/>
          <w:szCs w:val="28"/>
          <w:highlight w:val="none"/>
          <w:lang w:val="en-US" w:eastAsia="en-US" w:bidi="ar-SA"/>
        </w:rPr>
      </w:pPr>
      <w:r>
        <w:rPr>
          <w:rFonts w:hint="eastAsia" w:ascii="仿宋" w:hAnsi="仿宋" w:eastAsia="仿宋" w:cs="仿宋"/>
          <w:snapToGrid w:val="0"/>
          <w:color w:val="auto"/>
          <w:spacing w:val="0"/>
          <w:w w:val="100"/>
          <w:kern w:val="0"/>
          <w:position w:val="0"/>
          <w:sz w:val="28"/>
          <w:szCs w:val="28"/>
          <w:highlight w:val="none"/>
          <w:lang w:val="en-US" w:eastAsia="en-US" w:bidi="ar-SA"/>
        </w:rPr>
        <w:t>1.3.5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A67CC9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49"/>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snapToGrid w:val="0"/>
          <w:color w:val="auto"/>
          <w:spacing w:val="0"/>
          <w:w w:val="100"/>
          <w:kern w:val="0"/>
          <w:position w:val="0"/>
          <w:sz w:val="28"/>
          <w:szCs w:val="28"/>
          <w:highlight w:val="none"/>
          <w:lang w:val="en-US" w:eastAsia="en-US" w:bidi="ar-SA"/>
        </w:rPr>
        <w:t>1.3.6 如果出现政府采购监督管理部门在处理投诉事项期间，书面通知甲方暂停采购活动的情形，或者询问或质疑事项可能影响中标结果的，导致甲方中止履行合同的情形，均不视为甲方违约。</w:t>
      </w:r>
    </w:p>
    <w:p w14:paraId="2FF2088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10" w:name="_Toc15725"/>
      <w:r>
        <w:rPr>
          <w:rFonts w:hint="eastAsia" w:ascii="仿宋" w:hAnsi="仿宋" w:eastAsia="仿宋" w:cs="仿宋"/>
          <w:b/>
          <w:bCs/>
          <w:color w:val="auto"/>
          <w:spacing w:val="0"/>
          <w:w w:val="100"/>
          <w:position w:val="0"/>
          <w:sz w:val="28"/>
          <w:szCs w:val="28"/>
          <w:highlight w:val="none"/>
        </w:rPr>
        <w:t>1.4</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合同争议的解决</w:t>
      </w:r>
      <w:bookmarkEnd w:id="10"/>
    </w:p>
    <w:p w14:paraId="66B21F8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本合同履行过程中发生的任何争议，双方当事人均可通过和解或者调解解决；不愿和解、调解或者和解、调解不成的，可以选择下列第</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1.4.</w:t>
      </w:r>
      <w:r>
        <w:rPr>
          <w:rFonts w:hint="eastAsia" w:ascii="仿宋" w:hAnsi="仿宋" w:eastAsia="仿宋" w:cs="仿宋"/>
          <w:color w:val="auto"/>
          <w:spacing w:val="0"/>
          <w:w w:val="100"/>
          <w:position w:val="0"/>
          <w:sz w:val="28"/>
          <w:szCs w:val="28"/>
          <w:highlight w:val="none"/>
          <w:u w:val="single" w:color="auto"/>
        </w:rPr>
        <w:t xml:space="preserve">2  </w:t>
      </w:r>
      <w:r>
        <w:rPr>
          <w:rFonts w:hint="eastAsia" w:ascii="仿宋" w:hAnsi="仿宋" w:eastAsia="仿宋" w:cs="仿宋"/>
          <w:color w:val="auto"/>
          <w:spacing w:val="0"/>
          <w:w w:val="100"/>
          <w:position w:val="0"/>
          <w:sz w:val="28"/>
          <w:szCs w:val="28"/>
          <w:highlight w:val="none"/>
        </w:rPr>
        <w:t>种方式解决：</w:t>
      </w:r>
    </w:p>
    <w:p w14:paraId="1395B46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1.4.1 将争议提交</w:t>
      </w:r>
      <w:r>
        <w:rPr>
          <w:rFonts w:hint="eastAsia" w:ascii="仿宋" w:hAnsi="仿宋" w:eastAsia="仿宋" w:cs="仿宋"/>
          <w:color w:val="auto"/>
          <w:spacing w:val="0"/>
          <w:w w:val="100"/>
          <w:position w:val="0"/>
          <w:sz w:val="28"/>
          <w:szCs w:val="28"/>
          <w:highlight w:val="none"/>
          <w:u w:val="single" w:color="auto"/>
        </w:rPr>
        <w:t xml:space="preserve">阜阳 </w:t>
      </w:r>
      <w:r>
        <w:rPr>
          <w:rFonts w:hint="eastAsia" w:ascii="仿宋" w:hAnsi="仿宋" w:eastAsia="仿宋" w:cs="仿宋"/>
          <w:color w:val="auto"/>
          <w:spacing w:val="0"/>
          <w:w w:val="100"/>
          <w:position w:val="0"/>
          <w:sz w:val="28"/>
          <w:szCs w:val="28"/>
          <w:highlight w:val="none"/>
        </w:rPr>
        <w:t>仲裁委员会依申请仲裁时其现行有效的仲裁规则裁决；</w:t>
      </w:r>
    </w:p>
    <w:p w14:paraId="6435152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1.4.2 向</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项目所在地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人民法院起诉。</w:t>
      </w:r>
    </w:p>
    <w:p w14:paraId="1F0B056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11" w:name="_Toc6795"/>
      <w:r>
        <w:rPr>
          <w:rFonts w:hint="eastAsia" w:ascii="仿宋" w:hAnsi="仿宋" w:eastAsia="仿宋" w:cs="仿宋"/>
          <w:b/>
          <w:bCs/>
          <w:color w:val="auto"/>
          <w:spacing w:val="0"/>
          <w:w w:val="100"/>
          <w:position w:val="0"/>
          <w:sz w:val="28"/>
          <w:szCs w:val="28"/>
          <w:highlight w:val="none"/>
        </w:rPr>
        <w:t>1.5</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合同生效</w:t>
      </w:r>
      <w:bookmarkEnd w:id="11"/>
    </w:p>
    <w:p w14:paraId="0336FA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本合同自双方当事人盖章时生效。本框架协议未尽事宜，双方可签订补充协议，补充协议 与本框架协议具有同等法律效力。</w:t>
      </w:r>
    </w:p>
    <w:p w14:paraId="518D50A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六</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、框架协议份数</w:t>
      </w:r>
    </w:p>
    <w:p w14:paraId="005E7E2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本合同一式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份，甲、乙各执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份。</w:t>
      </w:r>
    </w:p>
    <w:p w14:paraId="09D11DE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甲方： (盖章)                    </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乙方：（盖章）</w:t>
      </w:r>
    </w:p>
    <w:p w14:paraId="22B8C59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地址：                            地址：</w:t>
      </w:r>
    </w:p>
    <w:p w14:paraId="42D875C3">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rPr>
        <w:t>法定代表人</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 xml:space="preserve">    法定代表人</w:t>
      </w:r>
      <w:r>
        <w:rPr>
          <w:rFonts w:hint="eastAsia" w:ascii="仿宋" w:hAnsi="仿宋" w:eastAsia="仿宋" w:cs="仿宋"/>
          <w:color w:val="auto"/>
          <w:spacing w:val="0"/>
          <w:w w:val="100"/>
          <w:position w:val="0"/>
          <w:sz w:val="28"/>
          <w:szCs w:val="28"/>
          <w:highlight w:val="none"/>
          <w:lang w:eastAsia="zh-CN"/>
        </w:rPr>
        <w:t>：</w:t>
      </w:r>
    </w:p>
    <w:p w14:paraId="7103C83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或委托代表人： (签字或盖章)   </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或委托代理人：（签字或盖章）</w:t>
      </w:r>
    </w:p>
    <w:p w14:paraId="36068B4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联系方式：                       联系方式：</w:t>
      </w:r>
    </w:p>
    <w:p w14:paraId="539633C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开户银行：                       开户银行：</w:t>
      </w:r>
    </w:p>
    <w:p w14:paraId="5EB6744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rPr>
        <w:t>账号</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 xml:space="preserve">                           账号</w:t>
      </w:r>
      <w:r>
        <w:rPr>
          <w:rFonts w:hint="eastAsia" w:ascii="仿宋" w:hAnsi="仿宋" w:eastAsia="仿宋" w:cs="仿宋"/>
          <w:color w:val="auto"/>
          <w:spacing w:val="0"/>
          <w:w w:val="100"/>
          <w:position w:val="0"/>
          <w:sz w:val="28"/>
          <w:szCs w:val="28"/>
          <w:highlight w:val="none"/>
          <w:lang w:eastAsia="zh-CN"/>
        </w:rPr>
        <w:t>：</w:t>
      </w:r>
    </w:p>
    <w:p w14:paraId="5F9754D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本框架协议签订于：   年  月   日</w:t>
      </w:r>
    </w:p>
    <w:p w14:paraId="3AC9BC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1" w:type="default"/>
          <w:pgSz w:w="11922" w:h="16849"/>
          <w:pgMar w:top="1440" w:right="1803" w:bottom="1440" w:left="1803" w:header="1134" w:footer="1253" w:gutter="0"/>
          <w:pgNumType w:fmt="decimal"/>
          <w:cols w:space="0" w:num="1"/>
          <w:rtlGutter w:val="0"/>
          <w:docGrid w:linePitch="0" w:charSpace="0"/>
        </w:sectPr>
      </w:pPr>
    </w:p>
    <w:p w14:paraId="40C6F25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12" w:name="_Toc6495"/>
      <w:r>
        <w:rPr>
          <w:rFonts w:hint="eastAsia" w:ascii="仿宋" w:hAnsi="仿宋" w:eastAsia="仿宋" w:cs="仿宋"/>
          <w:b/>
          <w:bCs/>
          <w:color w:val="auto"/>
          <w:spacing w:val="0"/>
          <w:w w:val="100"/>
          <w:position w:val="0"/>
          <w:sz w:val="28"/>
          <w:szCs w:val="28"/>
          <w:highlight w:val="none"/>
        </w:rPr>
        <w:t>第二部分</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合同一般条款</w:t>
      </w:r>
      <w:bookmarkEnd w:id="12"/>
    </w:p>
    <w:p w14:paraId="57F0136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13" w:name="_Toc31433"/>
      <w:r>
        <w:rPr>
          <w:rFonts w:hint="eastAsia" w:ascii="仿宋" w:hAnsi="仿宋" w:eastAsia="仿宋" w:cs="仿宋"/>
          <w:b/>
          <w:bCs/>
          <w:color w:val="auto"/>
          <w:spacing w:val="0"/>
          <w:w w:val="100"/>
          <w:position w:val="0"/>
          <w:sz w:val="28"/>
          <w:szCs w:val="28"/>
          <w:highlight w:val="none"/>
        </w:rPr>
        <w:t>2.1</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定义</w:t>
      </w:r>
      <w:bookmarkEnd w:id="13"/>
    </w:p>
    <w:p w14:paraId="1E79B34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本合同中的下列词语应按以下内容进行解释：</w:t>
      </w:r>
    </w:p>
    <w:p w14:paraId="3357EB0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2.1.1</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6"/>
          <w:w w:val="100"/>
          <w:position w:val="0"/>
          <w:sz w:val="28"/>
          <w:szCs w:val="28"/>
          <w:highlight w:val="none"/>
        </w:rPr>
        <w:t>“合同”系指</w:t>
      </w:r>
      <w:r>
        <w:rPr>
          <w:rFonts w:hint="eastAsia" w:ascii="仿宋" w:hAnsi="仿宋" w:eastAsia="仿宋" w:cs="仿宋"/>
          <w:color w:val="auto"/>
          <w:spacing w:val="-6"/>
          <w:w w:val="100"/>
          <w:position w:val="0"/>
          <w:sz w:val="28"/>
          <w:szCs w:val="28"/>
          <w:highlight w:val="none"/>
          <w:lang w:eastAsia="zh-CN"/>
        </w:rPr>
        <w:t>征集人</w:t>
      </w:r>
      <w:r>
        <w:rPr>
          <w:rFonts w:hint="eastAsia" w:ascii="仿宋" w:hAnsi="仿宋" w:eastAsia="仿宋" w:cs="仿宋"/>
          <w:color w:val="auto"/>
          <w:spacing w:val="-6"/>
          <w:w w:val="100"/>
          <w:position w:val="0"/>
          <w:sz w:val="28"/>
          <w:szCs w:val="28"/>
          <w:highlight w:val="none"/>
        </w:rPr>
        <w:t>和</w:t>
      </w:r>
      <w:r>
        <w:rPr>
          <w:rFonts w:hint="eastAsia" w:ascii="仿宋" w:hAnsi="仿宋" w:eastAsia="仿宋" w:cs="仿宋"/>
          <w:color w:val="auto"/>
          <w:spacing w:val="-6"/>
          <w:w w:val="100"/>
          <w:position w:val="0"/>
          <w:sz w:val="28"/>
          <w:szCs w:val="28"/>
          <w:highlight w:val="none"/>
          <w:lang w:eastAsia="zh-CN"/>
        </w:rPr>
        <w:t>成交供应商</w:t>
      </w:r>
      <w:r>
        <w:rPr>
          <w:rFonts w:hint="eastAsia" w:ascii="仿宋" w:hAnsi="仿宋" w:eastAsia="仿宋" w:cs="仿宋"/>
          <w:color w:val="auto"/>
          <w:spacing w:val="-6"/>
          <w:w w:val="100"/>
          <w:position w:val="0"/>
          <w:sz w:val="28"/>
          <w:szCs w:val="28"/>
          <w:highlight w:val="none"/>
        </w:rPr>
        <w:t>签订的载明双方当事人所达成的协议，并包括所有的附件、附录和构成合同的其他文件。</w:t>
      </w:r>
    </w:p>
    <w:p w14:paraId="559BEC2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2.1.2</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“合同价”系指根据合同约定，</w:t>
      </w:r>
      <w:r>
        <w:rPr>
          <w:rFonts w:hint="eastAsia" w:ascii="仿宋" w:hAnsi="仿宋" w:eastAsia="仿宋" w:cs="仿宋"/>
          <w:color w:val="auto"/>
          <w:spacing w:val="0"/>
          <w:w w:val="100"/>
          <w:position w:val="0"/>
          <w:sz w:val="28"/>
          <w:szCs w:val="28"/>
          <w:highlight w:val="none"/>
          <w:lang w:eastAsia="zh-CN"/>
        </w:rPr>
        <w:t>成交供应商</w:t>
      </w:r>
      <w:r>
        <w:rPr>
          <w:rFonts w:hint="eastAsia" w:ascii="仿宋" w:hAnsi="仿宋" w:eastAsia="仿宋" w:cs="仿宋"/>
          <w:color w:val="auto"/>
          <w:spacing w:val="0"/>
          <w:w w:val="100"/>
          <w:position w:val="0"/>
          <w:sz w:val="28"/>
          <w:szCs w:val="28"/>
          <w:highlight w:val="none"/>
        </w:rPr>
        <w:t>在完全履行合同义务后，</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应支付给</w:t>
      </w:r>
      <w:r>
        <w:rPr>
          <w:rFonts w:hint="eastAsia" w:ascii="仿宋" w:hAnsi="仿宋" w:eastAsia="仿宋" w:cs="仿宋"/>
          <w:color w:val="auto"/>
          <w:spacing w:val="0"/>
          <w:w w:val="100"/>
          <w:position w:val="0"/>
          <w:sz w:val="28"/>
          <w:szCs w:val="28"/>
          <w:highlight w:val="none"/>
          <w:lang w:eastAsia="zh-CN"/>
        </w:rPr>
        <w:t>成交供应商</w:t>
      </w:r>
      <w:r>
        <w:rPr>
          <w:rFonts w:hint="eastAsia" w:ascii="仿宋" w:hAnsi="仿宋" w:eastAsia="仿宋" w:cs="仿宋"/>
          <w:color w:val="auto"/>
          <w:spacing w:val="0"/>
          <w:w w:val="100"/>
          <w:position w:val="0"/>
          <w:sz w:val="28"/>
          <w:szCs w:val="28"/>
          <w:highlight w:val="none"/>
        </w:rPr>
        <w:t>的价格。</w:t>
      </w:r>
    </w:p>
    <w:p w14:paraId="1212F20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2.1.3</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“服务”系指</w:t>
      </w:r>
      <w:r>
        <w:rPr>
          <w:rFonts w:hint="eastAsia" w:ascii="仿宋" w:hAnsi="仿宋" w:eastAsia="仿宋" w:cs="仿宋"/>
          <w:color w:val="auto"/>
          <w:spacing w:val="0"/>
          <w:w w:val="100"/>
          <w:position w:val="0"/>
          <w:sz w:val="28"/>
          <w:szCs w:val="28"/>
          <w:highlight w:val="none"/>
          <w:lang w:eastAsia="zh-CN"/>
        </w:rPr>
        <w:t>成交供应商</w:t>
      </w:r>
      <w:r>
        <w:rPr>
          <w:rFonts w:hint="eastAsia" w:ascii="仿宋" w:hAnsi="仿宋" w:eastAsia="仿宋" w:cs="仿宋"/>
          <w:color w:val="auto"/>
          <w:spacing w:val="0"/>
          <w:w w:val="100"/>
          <w:position w:val="0"/>
          <w:sz w:val="28"/>
          <w:szCs w:val="28"/>
          <w:highlight w:val="none"/>
        </w:rPr>
        <w:t>根据合同约定应向</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履行的除货物和工程以外的其他政府采购对象，包括</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自身需要的服务和向社会公众提供的公共服务。</w:t>
      </w:r>
    </w:p>
    <w:p w14:paraId="530647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2.1.4</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“甲方”系指与</w:t>
      </w:r>
      <w:r>
        <w:rPr>
          <w:rFonts w:hint="eastAsia" w:ascii="仿宋" w:hAnsi="仿宋" w:eastAsia="仿宋" w:cs="仿宋"/>
          <w:color w:val="auto"/>
          <w:spacing w:val="0"/>
          <w:w w:val="100"/>
          <w:position w:val="0"/>
          <w:sz w:val="28"/>
          <w:szCs w:val="28"/>
          <w:highlight w:val="none"/>
          <w:lang w:eastAsia="zh-CN"/>
        </w:rPr>
        <w:t>成交供应商</w:t>
      </w:r>
      <w:r>
        <w:rPr>
          <w:rFonts w:hint="eastAsia" w:ascii="仿宋" w:hAnsi="仿宋" w:eastAsia="仿宋" w:cs="仿宋"/>
          <w:color w:val="auto"/>
          <w:spacing w:val="0"/>
          <w:w w:val="100"/>
          <w:position w:val="0"/>
          <w:sz w:val="28"/>
          <w:szCs w:val="28"/>
          <w:highlight w:val="none"/>
        </w:rPr>
        <w:t>签署合同的</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委托采购代理机构代表其与乙方签订合同的，</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的授权委托书作为合同附件。</w:t>
      </w:r>
    </w:p>
    <w:p w14:paraId="25BFF96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2.1.5</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6"/>
          <w:w w:val="100"/>
          <w:position w:val="0"/>
          <w:sz w:val="28"/>
          <w:szCs w:val="28"/>
          <w:highlight w:val="none"/>
          <w:lang w:eastAsia="zh-CN"/>
        </w:rPr>
        <w:t>“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08766B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2.1.6</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“现场”系指合同约定提供服务的地点。</w:t>
      </w:r>
    </w:p>
    <w:p w14:paraId="3459175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14" w:name="_Toc7044"/>
      <w:r>
        <w:rPr>
          <w:rFonts w:hint="eastAsia" w:ascii="仿宋" w:hAnsi="仿宋" w:eastAsia="仿宋" w:cs="仿宋"/>
          <w:b/>
          <w:bCs/>
          <w:color w:val="auto"/>
          <w:spacing w:val="0"/>
          <w:w w:val="100"/>
          <w:position w:val="0"/>
          <w:sz w:val="28"/>
          <w:szCs w:val="28"/>
          <w:highlight w:val="none"/>
        </w:rPr>
        <w:t>2.2</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技术规范</w:t>
      </w:r>
      <w:bookmarkEnd w:id="14"/>
    </w:p>
    <w:p w14:paraId="4DAEAB0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8"/>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货物所应遵守的技术规范应与</w:t>
      </w:r>
      <w:r>
        <w:rPr>
          <w:rFonts w:hint="eastAsia" w:ascii="仿宋" w:hAnsi="仿宋" w:eastAsia="仿宋" w:cs="仿宋"/>
          <w:color w:val="auto"/>
          <w:spacing w:val="0"/>
          <w:w w:val="100"/>
          <w:position w:val="0"/>
          <w:sz w:val="28"/>
          <w:szCs w:val="28"/>
          <w:highlight w:val="none"/>
          <w:lang w:eastAsia="zh-CN"/>
        </w:rPr>
        <w:t>征集文件</w:t>
      </w:r>
      <w:r>
        <w:rPr>
          <w:rFonts w:hint="eastAsia" w:ascii="仿宋" w:hAnsi="仿宋" w:eastAsia="仿宋" w:cs="仿宋"/>
          <w:color w:val="auto"/>
          <w:spacing w:val="0"/>
          <w:w w:val="100"/>
          <w:position w:val="0"/>
          <w:sz w:val="28"/>
          <w:szCs w:val="28"/>
          <w:highlight w:val="none"/>
        </w:rPr>
        <w:t>规定的技术规范和技术规范附件(如果有的话)及其技术规范偏差表(如果被甲方接受的话)相一致；如果</w:t>
      </w:r>
      <w:r>
        <w:rPr>
          <w:rFonts w:hint="eastAsia" w:ascii="仿宋" w:hAnsi="仿宋" w:eastAsia="仿宋" w:cs="仿宋"/>
          <w:color w:val="auto"/>
          <w:spacing w:val="0"/>
          <w:w w:val="100"/>
          <w:position w:val="0"/>
          <w:sz w:val="28"/>
          <w:szCs w:val="28"/>
          <w:highlight w:val="none"/>
          <w:lang w:eastAsia="zh-CN"/>
        </w:rPr>
        <w:t>征集文件</w:t>
      </w:r>
      <w:r>
        <w:rPr>
          <w:rFonts w:hint="eastAsia" w:ascii="仿宋" w:hAnsi="仿宋" w:eastAsia="仿宋" w:cs="仿宋"/>
          <w:color w:val="auto"/>
          <w:spacing w:val="0"/>
          <w:w w:val="100"/>
          <w:position w:val="0"/>
          <w:sz w:val="28"/>
          <w:szCs w:val="28"/>
          <w:highlight w:val="none"/>
        </w:rPr>
        <w:t>中没有技术规范的相应说明，那么应以国家有关部门最新颁布的相应标准和规范为准。</w:t>
      </w:r>
    </w:p>
    <w:p w14:paraId="027B8A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15" w:name="_Toc3677"/>
      <w:r>
        <w:rPr>
          <w:rFonts w:hint="eastAsia" w:ascii="仿宋" w:hAnsi="仿宋" w:eastAsia="仿宋" w:cs="仿宋"/>
          <w:b/>
          <w:bCs/>
          <w:color w:val="auto"/>
          <w:spacing w:val="0"/>
          <w:w w:val="100"/>
          <w:position w:val="0"/>
          <w:sz w:val="28"/>
          <w:szCs w:val="28"/>
          <w:highlight w:val="none"/>
        </w:rPr>
        <w:t>2.3</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知识产权</w:t>
      </w:r>
      <w:bookmarkEnd w:id="15"/>
    </w:p>
    <w:p w14:paraId="0323947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2.3.1</w:t>
      </w:r>
      <w:r>
        <w:rPr>
          <w:rFonts w:hint="eastAsia" w:ascii="仿宋" w:hAnsi="仿宋" w:eastAsia="仿宋" w:cs="仿宋"/>
          <w:color w:val="auto"/>
          <w:spacing w:val="0"/>
          <w:w w:val="100"/>
          <w:position w:val="0"/>
          <w:sz w:val="28"/>
          <w:szCs w:val="28"/>
          <w:highlight w:val="none"/>
          <w:lang w:val="en-US" w:eastAsia="zh-CN"/>
        </w:rPr>
        <w:t xml:space="preserve"> </w:t>
      </w:r>
      <w:r>
        <w:rPr>
          <w:rFonts w:hint="eastAsia" w:ascii="仿宋" w:hAnsi="仿宋" w:eastAsia="仿宋" w:cs="仿宋"/>
          <w:color w:val="auto"/>
          <w:spacing w:val="0"/>
          <w:w w:val="100"/>
          <w:position w:val="0"/>
          <w:sz w:val="28"/>
          <w:szCs w:val="28"/>
          <w:highlight w:val="none"/>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076EFCF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2.3.2 具有知识产权的计算机软件等货物的知识产权归属，详见</w:t>
      </w:r>
      <w:r>
        <w:rPr>
          <w:rFonts w:hint="eastAsia" w:ascii="仿宋" w:hAnsi="仿宋" w:eastAsia="仿宋" w:cs="仿宋"/>
          <w:b/>
          <w:bCs/>
          <w:color w:val="auto"/>
          <w:spacing w:val="0"/>
          <w:w w:val="100"/>
          <w:position w:val="0"/>
          <w:sz w:val="28"/>
          <w:szCs w:val="28"/>
          <w:highlight w:val="none"/>
          <w:u w:val="single" w:color="auto"/>
        </w:rPr>
        <w:t>合同专用条款</w:t>
      </w:r>
      <w:r>
        <w:rPr>
          <w:rFonts w:hint="eastAsia" w:ascii="仿宋" w:hAnsi="仿宋" w:eastAsia="仿宋" w:cs="仿宋"/>
          <w:color w:val="auto"/>
          <w:spacing w:val="0"/>
          <w:w w:val="100"/>
          <w:position w:val="0"/>
          <w:sz w:val="28"/>
          <w:szCs w:val="28"/>
          <w:highlight w:val="none"/>
        </w:rPr>
        <w:t>。</w:t>
      </w:r>
    </w:p>
    <w:p w14:paraId="210FBAA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16" w:name="_Toc2796"/>
      <w:r>
        <w:rPr>
          <w:rFonts w:hint="eastAsia" w:ascii="仿宋" w:hAnsi="仿宋" w:eastAsia="仿宋" w:cs="仿宋"/>
          <w:b/>
          <w:bCs/>
          <w:color w:val="auto"/>
          <w:spacing w:val="0"/>
          <w:w w:val="100"/>
          <w:position w:val="0"/>
          <w:sz w:val="28"/>
          <w:szCs w:val="28"/>
          <w:highlight w:val="none"/>
        </w:rPr>
        <w:t>2.4</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履约检查和问题反馈</w:t>
      </w:r>
      <w:bookmarkEnd w:id="16"/>
    </w:p>
    <w:p w14:paraId="05B7F75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2.4.1 甲方有权在其认为必要时，对乙方是否能够按照合同约定提供服务进行履约检查，以确保乙方所提供的服务能够依约满足甲方项目需求，但不得因履约检查妨碍乙方的正常工作，乙方应予积极配合；</w:t>
      </w:r>
    </w:p>
    <w:p w14:paraId="73E2BEA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2.4.2 合同履行期间，甲方有权将履行过程中出现的问题反馈给乙方，双方当事人应以书面形式约定需要完善和改进的内容。</w:t>
      </w:r>
    </w:p>
    <w:p w14:paraId="0156235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2"/>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2.5</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结算方式和付款条件</w:t>
      </w:r>
      <w:r>
        <w:rPr>
          <w:rFonts w:hint="eastAsia" w:ascii="仿宋" w:hAnsi="仿宋" w:eastAsia="仿宋" w:cs="仿宋"/>
          <w:color w:val="auto"/>
          <w:spacing w:val="0"/>
          <w:w w:val="100"/>
          <w:position w:val="0"/>
          <w:sz w:val="28"/>
          <w:szCs w:val="28"/>
          <w:highlight w:val="none"/>
        </w:rPr>
        <w:t>详见</w:t>
      </w:r>
      <w:r>
        <w:rPr>
          <w:rFonts w:hint="eastAsia" w:ascii="仿宋" w:hAnsi="仿宋" w:eastAsia="仿宋" w:cs="仿宋"/>
          <w:b/>
          <w:bCs/>
          <w:color w:val="auto"/>
          <w:spacing w:val="0"/>
          <w:w w:val="100"/>
          <w:position w:val="0"/>
          <w:sz w:val="28"/>
          <w:szCs w:val="28"/>
          <w:highlight w:val="none"/>
          <w:u w:val="single" w:color="auto"/>
        </w:rPr>
        <w:t>合同专用条款</w:t>
      </w:r>
      <w:r>
        <w:rPr>
          <w:rFonts w:hint="eastAsia" w:ascii="仿宋" w:hAnsi="仿宋" w:eastAsia="仿宋" w:cs="仿宋"/>
          <w:color w:val="auto"/>
          <w:spacing w:val="0"/>
          <w:w w:val="100"/>
          <w:position w:val="0"/>
          <w:sz w:val="28"/>
          <w:szCs w:val="28"/>
          <w:highlight w:val="none"/>
        </w:rPr>
        <w:t>。</w:t>
      </w:r>
    </w:p>
    <w:p w14:paraId="173DAB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17" w:name="_Toc22879"/>
      <w:r>
        <w:rPr>
          <w:rFonts w:hint="eastAsia" w:ascii="仿宋" w:hAnsi="仿宋" w:eastAsia="仿宋" w:cs="仿宋"/>
          <w:b/>
          <w:bCs/>
          <w:color w:val="auto"/>
          <w:spacing w:val="0"/>
          <w:w w:val="100"/>
          <w:position w:val="0"/>
          <w:sz w:val="28"/>
          <w:szCs w:val="28"/>
          <w:highlight w:val="none"/>
        </w:rPr>
        <w:t>2.6</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技术资料和保密义务</w:t>
      </w:r>
      <w:bookmarkEnd w:id="17"/>
    </w:p>
    <w:p w14:paraId="3A49C3A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2.6.1 乙方有权依据合同约定和项目需要，向甲方了解有关情况，调阅有关资料等，甲方应予积极配合；</w:t>
      </w:r>
    </w:p>
    <w:p w14:paraId="7E61775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2.6.2 乙方有义务妥善保管和保护由甲方提供的前款信息和资料等；</w:t>
      </w:r>
    </w:p>
    <w:p w14:paraId="4FD2B4B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FD5255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18" w:name="_Toc5968"/>
      <w:r>
        <w:rPr>
          <w:rFonts w:hint="eastAsia" w:ascii="仿宋" w:hAnsi="仿宋" w:eastAsia="仿宋" w:cs="仿宋"/>
          <w:b/>
          <w:bCs/>
          <w:color w:val="auto"/>
          <w:spacing w:val="0"/>
          <w:w w:val="100"/>
          <w:position w:val="0"/>
          <w:sz w:val="28"/>
          <w:szCs w:val="28"/>
          <w:highlight w:val="none"/>
        </w:rPr>
        <w:t>2.7</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质量保证</w:t>
      </w:r>
      <w:bookmarkEnd w:id="18"/>
    </w:p>
    <w:p w14:paraId="7241AB3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2.7.1 乙方应建立和完善履行合同的内部质量保证体系，并提供相关内部规章制度给甲方，以便甲方进行监督检查；</w:t>
      </w:r>
    </w:p>
    <w:p w14:paraId="322A193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2.7.2 乙方应保证履行合同的人员数量和素质、软件和硬件设备的配置、场地、环境和设施等满足全面履行合同的要求，并应接受甲方的监督检查。</w:t>
      </w:r>
    </w:p>
    <w:p w14:paraId="1E92A55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19" w:name="_Toc16525"/>
      <w:r>
        <w:rPr>
          <w:rFonts w:hint="eastAsia" w:ascii="仿宋" w:hAnsi="仿宋" w:eastAsia="仿宋" w:cs="仿宋"/>
          <w:b/>
          <w:bCs/>
          <w:color w:val="auto"/>
          <w:spacing w:val="0"/>
          <w:w w:val="100"/>
          <w:position w:val="0"/>
          <w:sz w:val="28"/>
          <w:szCs w:val="28"/>
          <w:highlight w:val="none"/>
        </w:rPr>
        <w:t>2.8</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延迟履行</w:t>
      </w:r>
      <w:bookmarkEnd w:id="19"/>
    </w:p>
    <w:p w14:paraId="7B0BE02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26356F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20" w:name="_Toc16088"/>
      <w:r>
        <w:rPr>
          <w:rFonts w:hint="eastAsia" w:ascii="仿宋" w:hAnsi="仿宋" w:eastAsia="仿宋" w:cs="仿宋"/>
          <w:b/>
          <w:bCs/>
          <w:color w:val="auto"/>
          <w:spacing w:val="0"/>
          <w:w w:val="100"/>
          <w:position w:val="0"/>
          <w:sz w:val="28"/>
          <w:szCs w:val="28"/>
          <w:highlight w:val="none"/>
        </w:rPr>
        <w:t>2.9</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合同变更</w:t>
      </w:r>
      <w:bookmarkEnd w:id="20"/>
    </w:p>
    <w:p w14:paraId="4E9BF75B">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2.9.1 双方当事人协商一致，可以签订书面补充合同的形式变更合同，但不得违背采购 文件确定的事项；</w:t>
      </w:r>
    </w:p>
    <w:p w14:paraId="6CC55FC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2.9.2 合同继续履行将损害国家利益和社会公共利益的，双方当事人应当以书面形式变更合同。有过错的一方应当承担赔偿责任，双方当事人都有过错的，各自承担相应的责任。</w:t>
      </w:r>
    </w:p>
    <w:p w14:paraId="4DFF3EC1">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21" w:name="_Toc11360"/>
      <w:r>
        <w:rPr>
          <w:rFonts w:hint="eastAsia" w:ascii="仿宋" w:hAnsi="仿宋" w:eastAsia="仿宋" w:cs="仿宋"/>
          <w:b/>
          <w:bCs/>
          <w:color w:val="auto"/>
          <w:spacing w:val="0"/>
          <w:w w:val="100"/>
          <w:position w:val="0"/>
          <w:sz w:val="28"/>
          <w:szCs w:val="28"/>
          <w:highlight w:val="none"/>
        </w:rPr>
        <w:t>2.10</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合同转让和分包</w:t>
      </w:r>
      <w:bookmarkEnd w:id="21"/>
    </w:p>
    <w:p w14:paraId="08E32BC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1F9C4E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b/>
          <w:bCs/>
          <w:color w:val="auto"/>
          <w:spacing w:val="0"/>
          <w:w w:val="100"/>
          <w:position w:val="0"/>
          <w:sz w:val="28"/>
          <w:szCs w:val="28"/>
          <w:highlight w:val="none"/>
        </w:rPr>
      </w:pPr>
      <w:bookmarkStart w:id="22" w:name="_Toc26432"/>
      <w:r>
        <w:rPr>
          <w:rFonts w:hint="eastAsia" w:ascii="仿宋" w:hAnsi="仿宋" w:eastAsia="仿宋" w:cs="仿宋"/>
          <w:b/>
          <w:bCs/>
          <w:color w:val="auto"/>
          <w:spacing w:val="0"/>
          <w:w w:val="100"/>
          <w:position w:val="0"/>
          <w:sz w:val="28"/>
          <w:szCs w:val="28"/>
          <w:highlight w:val="none"/>
        </w:rPr>
        <w:t>2.11</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不可抗力</w:t>
      </w:r>
      <w:bookmarkEnd w:id="22"/>
    </w:p>
    <w:p w14:paraId="27A717D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outlineLvl w:val="1"/>
        <w:rPr>
          <w:rFonts w:hint="eastAsia" w:ascii="仿宋" w:hAnsi="仿宋" w:eastAsia="仿宋" w:cs="仿宋"/>
          <w:color w:val="auto"/>
          <w:spacing w:val="0"/>
          <w:w w:val="100"/>
          <w:position w:val="0"/>
          <w:sz w:val="28"/>
          <w:szCs w:val="28"/>
          <w:highlight w:val="none"/>
        </w:rPr>
      </w:pPr>
      <w:bookmarkStart w:id="23" w:name="_Toc13860"/>
      <w:r>
        <w:rPr>
          <w:rFonts w:hint="eastAsia" w:ascii="仿宋" w:hAnsi="仿宋" w:eastAsia="仿宋" w:cs="仿宋"/>
          <w:color w:val="auto"/>
          <w:spacing w:val="0"/>
          <w:w w:val="100"/>
          <w:position w:val="0"/>
          <w:sz w:val="28"/>
          <w:szCs w:val="28"/>
          <w:highlight w:val="none"/>
        </w:rPr>
        <w:t>2.11.1 如果任何一方遭遇法律规定的不可抗力，致使合同履行受阻时，履行合同的期限应予延长，延长的期限应相当于不可抗力所影响的时间；</w:t>
      </w:r>
      <w:bookmarkEnd w:id="23"/>
    </w:p>
    <w:p w14:paraId="50E9AC8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outlineLvl w:val="1"/>
        <w:rPr>
          <w:rFonts w:hint="eastAsia" w:ascii="仿宋" w:hAnsi="仿宋" w:eastAsia="仿宋" w:cs="仿宋"/>
          <w:color w:val="auto"/>
          <w:spacing w:val="0"/>
          <w:w w:val="100"/>
          <w:position w:val="0"/>
          <w:sz w:val="28"/>
          <w:szCs w:val="28"/>
          <w:highlight w:val="none"/>
        </w:rPr>
      </w:pPr>
      <w:bookmarkStart w:id="24" w:name="_Toc27935"/>
      <w:r>
        <w:rPr>
          <w:rFonts w:hint="eastAsia" w:ascii="仿宋" w:hAnsi="仿宋" w:eastAsia="仿宋" w:cs="仿宋"/>
          <w:color w:val="auto"/>
          <w:spacing w:val="0"/>
          <w:w w:val="100"/>
          <w:position w:val="0"/>
          <w:sz w:val="28"/>
          <w:szCs w:val="28"/>
          <w:highlight w:val="none"/>
        </w:rPr>
        <w:t>2.11.2 因不可抗力致使不能实现合同目的的，当事人可以解除合同；</w:t>
      </w:r>
      <w:bookmarkEnd w:id="24"/>
    </w:p>
    <w:p w14:paraId="65DC4C2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2.11.3 因不可抗力致使合同有变更必要的，双方当事人应在</w:t>
      </w:r>
      <w:r>
        <w:rPr>
          <w:rFonts w:hint="eastAsia" w:ascii="仿宋" w:hAnsi="仿宋" w:eastAsia="仿宋" w:cs="仿宋"/>
          <w:b/>
          <w:bCs/>
          <w:color w:val="auto"/>
          <w:spacing w:val="0"/>
          <w:w w:val="100"/>
          <w:position w:val="0"/>
          <w:sz w:val="28"/>
          <w:szCs w:val="28"/>
          <w:highlight w:val="none"/>
          <w:u w:val="single" w:color="auto"/>
        </w:rPr>
        <w:t>合同专用条款</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约定时间 内以书面形式变更合同；</w:t>
      </w:r>
    </w:p>
    <w:p w14:paraId="05B09F9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2.11.4 受不可抗力影响的一方在不可抗力发生后，应在</w:t>
      </w:r>
      <w:r>
        <w:rPr>
          <w:rFonts w:hint="eastAsia" w:ascii="仿宋" w:hAnsi="仿宋" w:eastAsia="仿宋" w:cs="仿宋"/>
          <w:b/>
          <w:bCs/>
          <w:color w:val="auto"/>
          <w:spacing w:val="0"/>
          <w:w w:val="100"/>
          <w:position w:val="0"/>
          <w:sz w:val="28"/>
          <w:szCs w:val="28"/>
          <w:highlight w:val="none"/>
          <w:u w:val="single" w:color="auto"/>
        </w:rPr>
        <w:t>合同专用条款</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约定时间内以 书面形式通知对方当事人，并在</w:t>
      </w:r>
      <w:r>
        <w:rPr>
          <w:rFonts w:hint="eastAsia" w:ascii="仿宋" w:hAnsi="仿宋" w:eastAsia="仿宋" w:cs="仿宋"/>
          <w:b/>
          <w:bCs/>
          <w:color w:val="auto"/>
          <w:spacing w:val="0"/>
          <w:w w:val="100"/>
          <w:position w:val="0"/>
          <w:sz w:val="28"/>
          <w:szCs w:val="28"/>
          <w:highlight w:val="none"/>
          <w:u w:val="single" w:color="auto"/>
        </w:rPr>
        <w:t>合同专用条款</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约定时间内，将有关部门出具的证明文件送达对方当事人。</w:t>
      </w:r>
    </w:p>
    <w:p w14:paraId="7A0D5B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25" w:name="_Toc13991"/>
      <w:r>
        <w:rPr>
          <w:rFonts w:hint="eastAsia" w:ascii="仿宋" w:hAnsi="仿宋" w:eastAsia="仿宋" w:cs="仿宋"/>
          <w:b/>
          <w:bCs/>
          <w:color w:val="auto"/>
          <w:spacing w:val="0"/>
          <w:w w:val="100"/>
          <w:position w:val="0"/>
          <w:sz w:val="28"/>
          <w:szCs w:val="28"/>
          <w:highlight w:val="none"/>
        </w:rPr>
        <w:t>2.12</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税费</w:t>
      </w:r>
      <w:bookmarkEnd w:id="25"/>
    </w:p>
    <w:p w14:paraId="06ED142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与合同有关的一切税费，均按照中华人民共和国法律的相关规定缴纳。</w:t>
      </w:r>
    </w:p>
    <w:p w14:paraId="5B7D093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26" w:name="_Toc16980"/>
      <w:r>
        <w:rPr>
          <w:rFonts w:hint="eastAsia" w:ascii="仿宋" w:hAnsi="仿宋" w:eastAsia="仿宋" w:cs="仿宋"/>
          <w:b/>
          <w:bCs/>
          <w:color w:val="auto"/>
          <w:spacing w:val="0"/>
          <w:w w:val="100"/>
          <w:position w:val="0"/>
          <w:sz w:val="28"/>
          <w:szCs w:val="28"/>
          <w:highlight w:val="none"/>
        </w:rPr>
        <w:t>2.13</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乙方破产</w:t>
      </w:r>
      <w:bookmarkEnd w:id="26"/>
    </w:p>
    <w:p w14:paraId="293AD2F2">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35A0D8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27" w:name="_Toc2928"/>
      <w:r>
        <w:rPr>
          <w:rFonts w:hint="eastAsia" w:ascii="仿宋" w:hAnsi="仿宋" w:eastAsia="仿宋" w:cs="仿宋"/>
          <w:b/>
          <w:bCs/>
          <w:color w:val="auto"/>
          <w:spacing w:val="0"/>
          <w:w w:val="100"/>
          <w:position w:val="0"/>
          <w:sz w:val="28"/>
          <w:szCs w:val="28"/>
          <w:highlight w:val="none"/>
        </w:rPr>
        <w:t>2.14</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合同中止、终止</w:t>
      </w:r>
      <w:bookmarkEnd w:id="27"/>
    </w:p>
    <w:p w14:paraId="5FEABBF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2.14.1 双方当事人不得擅自中止或者终止合同；</w:t>
      </w:r>
    </w:p>
    <w:p w14:paraId="412A0D7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2.14.2 合同继续履行将损害国家利益和社会公共利益的，双方当事人应当中止或者终止合同。有过错的一方应当承担赔偿责任，双方当事人都有过错的，各自承担相应的责任。</w:t>
      </w:r>
    </w:p>
    <w:p w14:paraId="3A76E24E">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28" w:name="_Toc15587"/>
      <w:r>
        <w:rPr>
          <w:rFonts w:hint="eastAsia" w:ascii="仿宋" w:hAnsi="仿宋" w:eastAsia="仿宋" w:cs="仿宋"/>
          <w:b/>
          <w:bCs/>
          <w:color w:val="auto"/>
          <w:spacing w:val="0"/>
          <w:w w:val="100"/>
          <w:position w:val="0"/>
          <w:sz w:val="28"/>
          <w:szCs w:val="28"/>
          <w:highlight w:val="none"/>
        </w:rPr>
        <w:t>2.15</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检验和验收</w:t>
      </w:r>
      <w:bookmarkEnd w:id="28"/>
    </w:p>
    <w:p w14:paraId="184A567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2.15.1</w:t>
      </w:r>
      <w:r>
        <w:rPr>
          <w:rFonts w:hint="eastAsia" w:ascii="仿宋" w:hAnsi="仿宋" w:eastAsia="仿宋" w:cs="仿宋"/>
          <w:color w:val="auto"/>
          <w:spacing w:val="0"/>
          <w:w w:val="100"/>
          <w:position w:val="0"/>
          <w:sz w:val="28"/>
          <w:szCs w:val="28"/>
          <w:highlight w:val="none"/>
        </w:rPr>
        <w:t xml:space="preserve"> 乙方按照</w:t>
      </w:r>
      <w:r>
        <w:rPr>
          <w:rFonts w:hint="eastAsia" w:ascii="仿宋" w:hAnsi="仿宋" w:eastAsia="仿宋" w:cs="仿宋"/>
          <w:b/>
          <w:bCs/>
          <w:color w:val="auto"/>
          <w:spacing w:val="0"/>
          <w:w w:val="100"/>
          <w:position w:val="0"/>
          <w:sz w:val="28"/>
          <w:szCs w:val="28"/>
          <w:highlight w:val="none"/>
          <w:u w:val="single" w:color="auto"/>
        </w:rPr>
        <w:t>合同专用条款</w:t>
      </w:r>
      <w:r>
        <w:rPr>
          <w:rFonts w:hint="eastAsia" w:ascii="仿宋" w:hAnsi="仿宋" w:eastAsia="仿宋" w:cs="仿宋"/>
          <w:color w:val="auto"/>
          <w:spacing w:val="0"/>
          <w:w w:val="100"/>
          <w:position w:val="0"/>
          <w:sz w:val="28"/>
          <w:szCs w:val="28"/>
          <w:highlight w:val="none"/>
        </w:rPr>
        <w:t>的约定，定期提交服务报告，甲方按照</w:t>
      </w:r>
      <w:r>
        <w:rPr>
          <w:rFonts w:hint="eastAsia" w:ascii="仿宋" w:hAnsi="仿宋" w:eastAsia="仿宋" w:cs="仿宋"/>
          <w:b/>
          <w:bCs/>
          <w:color w:val="auto"/>
          <w:spacing w:val="0"/>
          <w:w w:val="100"/>
          <w:position w:val="0"/>
          <w:sz w:val="28"/>
          <w:szCs w:val="28"/>
          <w:highlight w:val="none"/>
          <w:u w:val="single" w:color="auto"/>
        </w:rPr>
        <w:t>合同专用条款</w:t>
      </w:r>
      <w:r>
        <w:rPr>
          <w:rFonts w:hint="eastAsia" w:ascii="仿宋" w:hAnsi="仿宋" w:eastAsia="仿宋" w:cs="仿宋"/>
          <w:color w:val="auto"/>
          <w:spacing w:val="0"/>
          <w:w w:val="100"/>
          <w:position w:val="0"/>
          <w:sz w:val="28"/>
          <w:szCs w:val="28"/>
          <w:highlight w:val="none"/>
        </w:rPr>
        <w:t>的约定进行定期验收；</w:t>
      </w:r>
    </w:p>
    <w:p w14:paraId="44F6175F">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2"/>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2.15.2 合同期满或者履行完毕后，甲方有权组织（包括依法邀请国家认可的质量检测机 构参加）对乙方履约的验收，即：按照合同约定的标准，组织对乙方履约情况的验收，并出具验收书；向社会公众提供的公共服务项目，验收时应当邀请服务对象参与并出具意见，验收结果应当向社会公告；</w:t>
      </w:r>
    </w:p>
    <w:p w14:paraId="1B51C1B7">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2.15.3 检验和验收标准、程序等具体内容以及前述验收书的效力详见</w:t>
      </w:r>
      <w:r>
        <w:rPr>
          <w:rFonts w:hint="eastAsia" w:ascii="仿宋" w:hAnsi="仿宋" w:eastAsia="仿宋" w:cs="仿宋"/>
          <w:b/>
          <w:bCs/>
          <w:color w:val="auto"/>
          <w:spacing w:val="0"/>
          <w:w w:val="100"/>
          <w:position w:val="0"/>
          <w:sz w:val="28"/>
          <w:szCs w:val="28"/>
          <w:highlight w:val="none"/>
          <w:u w:val="single" w:color="auto"/>
        </w:rPr>
        <w:t>合同专用条款</w:t>
      </w:r>
      <w:r>
        <w:rPr>
          <w:rFonts w:hint="eastAsia" w:ascii="仿宋" w:hAnsi="仿宋" w:eastAsia="仿宋" w:cs="仿宋"/>
          <w:color w:val="auto"/>
          <w:spacing w:val="0"/>
          <w:w w:val="100"/>
          <w:position w:val="0"/>
          <w:sz w:val="28"/>
          <w:szCs w:val="28"/>
          <w:highlight w:val="none"/>
        </w:rPr>
        <w:t>。</w:t>
      </w:r>
    </w:p>
    <w:p w14:paraId="3BC54AD4">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29" w:name="_Toc20129"/>
      <w:r>
        <w:rPr>
          <w:rFonts w:hint="eastAsia" w:ascii="仿宋" w:hAnsi="仿宋" w:eastAsia="仿宋" w:cs="仿宋"/>
          <w:b/>
          <w:bCs/>
          <w:color w:val="auto"/>
          <w:spacing w:val="0"/>
          <w:w w:val="100"/>
          <w:position w:val="0"/>
          <w:sz w:val="28"/>
          <w:szCs w:val="28"/>
          <w:highlight w:val="none"/>
        </w:rPr>
        <w:t>2.16</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合同使用的文字和适用的法律</w:t>
      </w:r>
      <w:bookmarkEnd w:id="29"/>
    </w:p>
    <w:p w14:paraId="1716E42D">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2.16.1 合同使用汉语</w:t>
      </w:r>
      <w:r>
        <w:rPr>
          <w:rFonts w:hint="eastAsia" w:ascii="仿宋" w:hAnsi="仿宋" w:eastAsia="仿宋" w:cs="仿宋"/>
          <w:color w:val="auto"/>
          <w:spacing w:val="0"/>
          <w:w w:val="100"/>
          <w:position w:val="0"/>
          <w:sz w:val="28"/>
          <w:szCs w:val="28"/>
          <w:highlight w:val="none"/>
          <w:lang w:eastAsia="zh-CN"/>
        </w:rPr>
        <w:t>书写</w:t>
      </w:r>
      <w:r>
        <w:rPr>
          <w:rFonts w:hint="eastAsia" w:ascii="仿宋" w:hAnsi="仿宋" w:eastAsia="仿宋" w:cs="仿宋"/>
          <w:color w:val="auto"/>
          <w:spacing w:val="0"/>
          <w:w w:val="100"/>
          <w:position w:val="0"/>
          <w:sz w:val="28"/>
          <w:szCs w:val="28"/>
          <w:highlight w:val="none"/>
        </w:rPr>
        <w:t>、变更和解释；</w:t>
      </w:r>
    </w:p>
    <w:p w14:paraId="5E6D193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2.16.2 合同适用中华人民共和国法律。</w:t>
      </w:r>
    </w:p>
    <w:p w14:paraId="2E3C35E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30" w:name="_Toc466"/>
      <w:r>
        <w:rPr>
          <w:rFonts w:hint="eastAsia" w:ascii="仿宋" w:hAnsi="仿宋" w:eastAsia="仿宋" w:cs="仿宋"/>
          <w:b/>
          <w:bCs/>
          <w:color w:val="auto"/>
          <w:spacing w:val="0"/>
          <w:w w:val="100"/>
          <w:position w:val="0"/>
          <w:sz w:val="28"/>
          <w:szCs w:val="28"/>
          <w:highlight w:val="none"/>
        </w:rPr>
        <w:t>2.17</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履约保证金</w:t>
      </w:r>
      <w:bookmarkEnd w:id="30"/>
    </w:p>
    <w:p w14:paraId="4646D6FC">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4"/>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2.17.1 </w:t>
      </w:r>
      <w:r>
        <w:rPr>
          <w:rFonts w:hint="eastAsia" w:ascii="仿宋" w:hAnsi="仿宋" w:eastAsia="仿宋" w:cs="仿宋"/>
          <w:color w:val="auto"/>
          <w:spacing w:val="0"/>
          <w:w w:val="100"/>
          <w:position w:val="0"/>
          <w:sz w:val="28"/>
          <w:szCs w:val="28"/>
          <w:highlight w:val="none"/>
          <w:lang w:eastAsia="zh-CN"/>
        </w:rPr>
        <w:t>征集文件</w:t>
      </w:r>
      <w:r>
        <w:rPr>
          <w:rFonts w:hint="eastAsia" w:ascii="仿宋" w:hAnsi="仿宋" w:eastAsia="仿宋" w:cs="仿宋"/>
          <w:color w:val="auto"/>
          <w:spacing w:val="0"/>
          <w:w w:val="100"/>
          <w:position w:val="0"/>
          <w:sz w:val="28"/>
          <w:szCs w:val="28"/>
          <w:highlight w:val="none"/>
        </w:rPr>
        <w:t xml:space="preserve">要求乙方提交履约保证金的，乙方应按合同专用条款约定的方式提交； </w:t>
      </w:r>
    </w:p>
    <w:p w14:paraId="3A4993E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4"/>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2.17.2 履约保证金在合同专用条款约定期间内不予退还或者应完全有效，前述约定期间届满或者甲方在验收合格后退还；</w:t>
      </w:r>
    </w:p>
    <w:p w14:paraId="3D3E7E6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4"/>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60AEB8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outlineLvl w:val="1"/>
        <w:rPr>
          <w:rFonts w:hint="eastAsia" w:ascii="仿宋" w:hAnsi="仿宋" w:eastAsia="仿宋" w:cs="仿宋"/>
          <w:color w:val="auto"/>
          <w:spacing w:val="0"/>
          <w:w w:val="100"/>
          <w:position w:val="0"/>
          <w:sz w:val="28"/>
          <w:szCs w:val="28"/>
          <w:highlight w:val="none"/>
        </w:rPr>
      </w:pPr>
      <w:bookmarkStart w:id="31" w:name="_Toc24303"/>
      <w:r>
        <w:rPr>
          <w:rFonts w:hint="eastAsia" w:ascii="仿宋" w:hAnsi="仿宋" w:eastAsia="仿宋" w:cs="仿宋"/>
          <w:b/>
          <w:bCs/>
          <w:color w:val="auto"/>
          <w:spacing w:val="0"/>
          <w:w w:val="100"/>
          <w:position w:val="0"/>
          <w:sz w:val="28"/>
          <w:szCs w:val="28"/>
          <w:highlight w:val="none"/>
        </w:rPr>
        <w:t>2.18</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合同份数</w:t>
      </w:r>
      <w:bookmarkEnd w:id="31"/>
    </w:p>
    <w:p w14:paraId="1360A81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合同份数按</w:t>
      </w:r>
      <w:r>
        <w:rPr>
          <w:rFonts w:hint="eastAsia" w:ascii="仿宋" w:hAnsi="仿宋" w:eastAsia="仿宋" w:cs="仿宋"/>
          <w:b/>
          <w:bCs/>
          <w:color w:val="auto"/>
          <w:spacing w:val="0"/>
          <w:w w:val="100"/>
          <w:position w:val="0"/>
          <w:sz w:val="28"/>
          <w:szCs w:val="28"/>
          <w:highlight w:val="none"/>
          <w:u w:val="single" w:color="auto"/>
        </w:rPr>
        <w:t>合同专用条款</w:t>
      </w:r>
      <w:r>
        <w:rPr>
          <w:rFonts w:hint="eastAsia" w:ascii="仿宋" w:hAnsi="仿宋" w:eastAsia="仿宋" w:cs="仿宋"/>
          <w:color w:val="auto"/>
          <w:spacing w:val="0"/>
          <w:w w:val="100"/>
          <w:position w:val="0"/>
          <w:sz w:val="28"/>
          <w:szCs w:val="28"/>
          <w:highlight w:val="none"/>
        </w:rPr>
        <w:t>规定，每份均具有同等法律效力。</w:t>
      </w:r>
    </w:p>
    <w:p w14:paraId="3FF1D03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2" w:type="default"/>
          <w:pgSz w:w="11922" w:h="16849"/>
          <w:pgMar w:top="1440" w:right="1803" w:bottom="1440" w:left="1803" w:header="1134" w:footer="1253" w:gutter="0"/>
          <w:pgNumType w:fmt="decimal"/>
          <w:cols w:space="0" w:num="1"/>
          <w:rtlGutter w:val="0"/>
          <w:docGrid w:linePitch="0" w:charSpace="0"/>
        </w:sectPr>
      </w:pPr>
    </w:p>
    <w:p w14:paraId="647611F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32" w:name="_Toc5053"/>
      <w:r>
        <w:rPr>
          <w:rFonts w:hint="eastAsia" w:ascii="仿宋" w:hAnsi="仿宋" w:eastAsia="仿宋" w:cs="仿宋"/>
          <w:b/>
          <w:bCs/>
          <w:color w:val="auto"/>
          <w:spacing w:val="0"/>
          <w:w w:val="100"/>
          <w:position w:val="0"/>
          <w:sz w:val="28"/>
          <w:szCs w:val="28"/>
          <w:highlight w:val="none"/>
        </w:rPr>
        <w:t>第三部分</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合同专用条款</w:t>
      </w:r>
      <w:bookmarkEnd w:id="32"/>
    </w:p>
    <w:p w14:paraId="104554BA">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33"/>
        <w:jc w:val="both"/>
        <w:textAlignment w:val="baseline"/>
        <w:rPr>
          <w:rFonts w:hint="eastAsia" w:ascii="仿宋" w:hAnsi="仿宋" w:eastAsia="仿宋" w:cs="仿宋"/>
          <w:color w:val="auto"/>
          <w:spacing w:val="0"/>
          <w:w w:val="100"/>
          <w:position w:val="0"/>
          <w:sz w:val="28"/>
          <w:szCs w:val="28"/>
          <w:highlight w:val="none"/>
          <w:lang w:eastAsia="zh-CN"/>
        </w:rPr>
      </w:pPr>
      <w:r>
        <w:rPr>
          <w:rFonts w:hint="eastAsia" w:ascii="仿宋" w:hAnsi="仿宋" w:eastAsia="仿宋" w:cs="仿宋"/>
          <w:color w:val="auto"/>
          <w:spacing w:val="0"/>
          <w:w w:val="100"/>
          <w:position w:val="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w:t>
      </w:r>
      <w:r>
        <w:rPr>
          <w:rFonts w:hint="eastAsia" w:ascii="仿宋" w:hAnsi="仿宋" w:eastAsia="仿宋" w:cs="仿宋"/>
          <w:color w:val="auto"/>
          <w:spacing w:val="0"/>
          <w:w w:val="100"/>
          <w:position w:val="0"/>
          <w:sz w:val="28"/>
          <w:szCs w:val="28"/>
          <w:highlight w:val="none"/>
          <w:lang w:eastAsia="zh-CN"/>
        </w:rPr>
        <w:t>。</w:t>
      </w:r>
    </w:p>
    <w:tbl>
      <w:tblPr>
        <w:tblStyle w:val="25"/>
        <w:tblW w:w="8671" w:type="dxa"/>
        <w:tblInd w:w="-2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9"/>
        <w:gridCol w:w="7572"/>
      </w:tblGrid>
      <w:tr w14:paraId="14CC5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99" w:type="dxa"/>
            <w:tcBorders>
              <w:left w:val="single" w:color="000000" w:sz="2" w:space="0"/>
            </w:tcBorders>
            <w:vAlign w:val="top"/>
          </w:tcPr>
          <w:p w14:paraId="39E3FE4F">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条款号</w:t>
            </w:r>
          </w:p>
        </w:tc>
        <w:tc>
          <w:tcPr>
            <w:tcW w:w="7572" w:type="dxa"/>
            <w:vAlign w:val="top"/>
          </w:tcPr>
          <w:p w14:paraId="4BCD104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约定内容</w:t>
            </w:r>
          </w:p>
        </w:tc>
      </w:tr>
      <w:tr w14:paraId="3563E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center"/>
          </w:tcPr>
          <w:p w14:paraId="513354B7">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履约保证金</w:t>
            </w:r>
          </w:p>
        </w:tc>
        <w:tc>
          <w:tcPr>
            <w:tcW w:w="7572" w:type="dxa"/>
            <w:vAlign w:val="center"/>
          </w:tcPr>
          <w:p w14:paraId="1EAEF538">
            <w:pPr>
              <w:keepNext w:val="0"/>
              <w:keepLines w:val="0"/>
              <w:pageBreakBefore w:val="0"/>
              <w:widowControl/>
              <w:kinsoku w:val="0"/>
              <w:wordWrap/>
              <w:overflowPunct/>
              <w:topLinePunct w:val="0"/>
              <w:autoSpaceDE/>
              <w:autoSpaceDN/>
              <w:bidi w:val="0"/>
              <w:adjustRightInd w:val="0"/>
              <w:snapToGrid w:val="0"/>
              <w:spacing w:line="360" w:lineRule="auto"/>
              <w:ind w:left="53" w:leftChars="25"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kern w:val="2"/>
                <w:position w:val="0"/>
                <w:sz w:val="28"/>
                <w:szCs w:val="28"/>
                <w:highlight w:val="none"/>
                <w:lang w:val="en-US" w:bidi="ar-SA"/>
              </w:rPr>
              <w:t>免收</w:t>
            </w:r>
            <w:r>
              <w:rPr>
                <w:rFonts w:hint="eastAsia" w:cs="Times New Roman"/>
                <w:color w:val="auto"/>
                <w:spacing w:val="0"/>
                <w:w w:val="100"/>
                <w:kern w:val="2"/>
                <w:position w:val="0"/>
                <w:sz w:val="28"/>
                <w:szCs w:val="28"/>
                <w:highlight w:val="none"/>
                <w:lang w:val="en-US" w:bidi="ar-SA"/>
              </w:rPr>
              <w:t xml:space="preserve">      </w:t>
            </w:r>
          </w:p>
        </w:tc>
      </w:tr>
      <w:tr w14:paraId="55547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99" w:type="dxa"/>
            <w:tcBorders>
              <w:left w:val="single" w:color="000000" w:sz="2" w:space="0"/>
            </w:tcBorders>
            <w:vAlign w:val="top"/>
          </w:tcPr>
          <w:p w14:paraId="55DA53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7572" w:type="dxa"/>
            <w:vAlign w:val="top"/>
          </w:tcPr>
          <w:p w14:paraId="2D8E2E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2C3FF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25AC57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7572" w:type="dxa"/>
            <w:vAlign w:val="top"/>
          </w:tcPr>
          <w:p w14:paraId="680238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CB0B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99" w:type="dxa"/>
            <w:tcBorders>
              <w:left w:val="single" w:color="000000" w:sz="2" w:space="0"/>
            </w:tcBorders>
            <w:vAlign w:val="top"/>
          </w:tcPr>
          <w:p w14:paraId="7C533B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7572" w:type="dxa"/>
            <w:vAlign w:val="top"/>
          </w:tcPr>
          <w:p w14:paraId="3980F6C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B3DB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23B654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7572" w:type="dxa"/>
            <w:vAlign w:val="top"/>
          </w:tcPr>
          <w:p w14:paraId="619310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DDE1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099" w:type="dxa"/>
            <w:tcBorders>
              <w:left w:val="single" w:color="000000" w:sz="2" w:space="0"/>
            </w:tcBorders>
            <w:vAlign w:val="top"/>
          </w:tcPr>
          <w:p w14:paraId="560B4E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7572" w:type="dxa"/>
            <w:vAlign w:val="top"/>
          </w:tcPr>
          <w:p w14:paraId="3736D2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09D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099" w:type="dxa"/>
            <w:tcBorders>
              <w:left w:val="single" w:color="000000" w:sz="2" w:space="0"/>
            </w:tcBorders>
            <w:vAlign w:val="top"/>
          </w:tcPr>
          <w:p w14:paraId="10D518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7572" w:type="dxa"/>
            <w:vAlign w:val="top"/>
          </w:tcPr>
          <w:p w14:paraId="2278BA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669F2C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06D6265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3" w:type="default"/>
          <w:pgSz w:w="11922" w:h="16849"/>
          <w:pgMar w:top="1440" w:right="1803" w:bottom="1440" w:left="1803" w:header="1134" w:footer="1253" w:gutter="0"/>
          <w:pgNumType w:fmt="decimal"/>
          <w:cols w:space="0" w:num="1"/>
          <w:rtlGutter w:val="0"/>
          <w:docGrid w:linePitch="0" w:charSpace="0"/>
        </w:sectPr>
      </w:pPr>
    </w:p>
    <w:p w14:paraId="461D62A5">
      <w:pPr>
        <w:pageBreakBefore w:val="0"/>
        <w:kinsoku w:val="0"/>
        <w:wordWrap/>
        <w:overflowPunct/>
        <w:topLinePunct w:val="0"/>
        <w:bidi w:val="0"/>
        <w:adjustRightInd w:val="0"/>
        <w:snapToGrid w:val="0"/>
        <w:spacing w:line="360" w:lineRule="auto"/>
        <w:ind w:left="0" w:leftChars="0" w:right="0" w:rightChars="0"/>
        <w:jc w:val="center"/>
        <w:textAlignment w:val="baseline"/>
        <w:outlineLvl w:val="0"/>
        <w:rPr>
          <w:rFonts w:hint="eastAsia" w:ascii="华文中宋" w:hAnsi="华文中宋" w:eastAsia="华文中宋" w:cs="华文中宋"/>
          <w:b/>
          <w:bCs/>
          <w:color w:val="auto"/>
          <w:spacing w:val="0"/>
          <w:w w:val="100"/>
          <w:position w:val="0"/>
          <w:sz w:val="44"/>
          <w:szCs w:val="44"/>
          <w:highlight w:val="none"/>
          <w:lang w:val="en-US" w:eastAsia="en-US"/>
        </w:rPr>
      </w:pPr>
      <w:bookmarkStart w:id="33" w:name="_Toc16469"/>
      <w:r>
        <w:rPr>
          <w:rFonts w:hint="eastAsia" w:ascii="华文中宋" w:hAnsi="华文中宋" w:eastAsia="华文中宋" w:cs="华文中宋"/>
          <w:b/>
          <w:bCs/>
          <w:color w:val="auto"/>
          <w:spacing w:val="0"/>
          <w:w w:val="100"/>
          <w:position w:val="0"/>
          <w:sz w:val="44"/>
          <w:szCs w:val="44"/>
          <w:highlight w:val="none"/>
          <w:lang w:val="en-US" w:eastAsia="en-US"/>
        </w:rPr>
        <w:t>第六章 响应文件格式</w:t>
      </w:r>
      <w:bookmarkEnd w:id="33"/>
    </w:p>
    <w:p w14:paraId="44AF2408">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F9369A9">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7A6D6955">
      <w:pPr>
        <w:pageBreakBefore w:val="0"/>
        <w:kinsoku w:val="0"/>
        <w:wordWrap/>
        <w:overflowPunct/>
        <w:topLinePunct w:val="0"/>
        <w:bidi w:val="0"/>
        <w:adjustRightInd w:val="0"/>
        <w:snapToGrid w:val="0"/>
        <w:spacing w:line="360" w:lineRule="auto"/>
        <w:ind w:left="0" w:leftChars="0" w:right="0" w:rightChars="0"/>
        <w:textAlignment w:val="baseline"/>
        <w:outlineLvl w:val="9"/>
        <w:rPr>
          <w:rFonts w:hint="eastAsia" w:ascii="仿宋" w:hAnsi="仿宋" w:eastAsia="仿宋" w:cs="仿宋"/>
          <w:color w:val="auto"/>
          <w:spacing w:val="0"/>
          <w:w w:val="100"/>
          <w:position w:val="0"/>
          <w:sz w:val="28"/>
          <w:szCs w:val="28"/>
          <w:highlight w:val="none"/>
        </w:rPr>
      </w:pPr>
    </w:p>
    <w:p w14:paraId="7D0F7B69">
      <w:pPr>
        <w:pageBreakBefore w:val="0"/>
        <w:kinsoku w:val="0"/>
        <w:wordWrap/>
        <w:overflowPunct/>
        <w:topLinePunct w:val="0"/>
        <w:bidi w:val="0"/>
        <w:adjustRightInd w:val="0"/>
        <w:snapToGrid w:val="0"/>
        <w:spacing w:line="360" w:lineRule="auto"/>
        <w:ind w:left="0" w:leftChars="0" w:right="0" w:rightChars="0"/>
        <w:textAlignment w:val="baseline"/>
        <w:outlineLvl w:val="9"/>
        <w:rPr>
          <w:rFonts w:hint="eastAsia" w:ascii="仿宋" w:hAnsi="仿宋" w:eastAsia="仿宋" w:cs="仿宋"/>
          <w:color w:val="auto"/>
          <w:spacing w:val="0"/>
          <w:w w:val="100"/>
          <w:position w:val="0"/>
          <w:sz w:val="28"/>
          <w:szCs w:val="28"/>
          <w:highlight w:val="none"/>
        </w:rPr>
      </w:pPr>
    </w:p>
    <w:p w14:paraId="124281F3">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(项目名称)</w:t>
      </w:r>
    </w:p>
    <w:p w14:paraId="6825404C">
      <w:pPr>
        <w:pStyle w:val="9"/>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p w14:paraId="3CD3E50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响</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应</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文</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件</w:t>
      </w:r>
    </w:p>
    <w:p w14:paraId="004627CF">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12BEE2C6">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3A94EC2A">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5A086140">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61354644">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4631E170">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6DBE6D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项目编号：</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17DFFA3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40B2AD3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r>
        <w:rPr>
          <w:rFonts w:hint="eastAsia" w:ascii="仿宋" w:hAnsi="仿宋" w:eastAsia="仿宋" w:cs="仿宋"/>
          <w:color w:val="auto"/>
          <w:spacing w:val="0"/>
          <w:w w:val="100"/>
          <w:position w:val="0"/>
          <w:sz w:val="28"/>
          <w:szCs w:val="28"/>
          <w:highlight w:val="none"/>
          <w:u w:val="single" w:color="auto"/>
        </w:rPr>
        <w:t xml:space="preserve">                    </w:t>
      </w:r>
    </w:p>
    <w:p w14:paraId="474621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(签字或盖章)</w:t>
      </w:r>
    </w:p>
    <w:p w14:paraId="1E4E3FA7">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FC21498">
      <w:pPr>
        <w:pageBreakBefore w:val="0"/>
        <w:tabs>
          <w:tab w:val="left" w:pos="3767"/>
        </w:tabs>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u w:val="single" w:color="auto"/>
          <w:lang w:val="en-US" w:eastAsia="zh-CN"/>
        </w:rPr>
        <w:t xml:space="preserve">   </w:t>
      </w:r>
      <w:r>
        <w:rPr>
          <w:rFonts w:hint="eastAsia" w:ascii="仿宋" w:hAnsi="仿宋" w:eastAsia="仿宋" w:cs="仿宋"/>
          <w:color w:val="auto"/>
          <w:spacing w:val="0"/>
          <w:w w:val="100"/>
          <w:position w:val="0"/>
          <w:sz w:val="28"/>
          <w:szCs w:val="28"/>
          <w:highlight w:val="none"/>
        </w:rPr>
        <w:t xml:space="preserve"> 年</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月</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日</w:t>
      </w:r>
    </w:p>
    <w:p w14:paraId="3315652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4" w:type="default"/>
          <w:pgSz w:w="11922" w:h="16849"/>
          <w:pgMar w:top="1440" w:right="1803" w:bottom="1440" w:left="1803" w:header="1134" w:footer="1253" w:gutter="0"/>
          <w:pgNumType w:fmt="decimal"/>
          <w:cols w:space="0" w:num="1"/>
          <w:rtlGutter w:val="0"/>
          <w:docGrid w:linePitch="0" w:charSpace="0"/>
        </w:sectPr>
      </w:pPr>
    </w:p>
    <w:p w14:paraId="4BCB5AEF">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34" w:name="_Toc2875"/>
      <w:r>
        <w:rPr>
          <w:rFonts w:hint="eastAsia" w:ascii="仿宋" w:hAnsi="仿宋" w:eastAsia="仿宋" w:cs="仿宋"/>
          <w:b/>
          <w:bCs/>
          <w:color w:val="auto"/>
          <w:spacing w:val="0"/>
          <w:w w:val="100"/>
          <w:position w:val="0"/>
          <w:sz w:val="28"/>
          <w:szCs w:val="28"/>
          <w:highlight w:val="none"/>
        </w:rPr>
        <w:t>一、开标一览表</w:t>
      </w:r>
      <w:bookmarkEnd w:id="34"/>
    </w:p>
    <w:tbl>
      <w:tblPr>
        <w:tblStyle w:val="25"/>
        <w:tblW w:w="8532" w:type="dxa"/>
        <w:tblInd w:w="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9"/>
        <w:gridCol w:w="6223"/>
      </w:tblGrid>
      <w:tr w14:paraId="751F5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309" w:type="dxa"/>
            <w:vAlign w:val="center"/>
          </w:tcPr>
          <w:p w14:paraId="0F62AAAC">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项目名称</w:t>
            </w:r>
          </w:p>
        </w:tc>
        <w:tc>
          <w:tcPr>
            <w:tcW w:w="6223" w:type="dxa"/>
            <w:vAlign w:val="top"/>
          </w:tcPr>
          <w:p w14:paraId="49A5799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0C29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9" w:type="dxa"/>
            <w:vAlign w:val="center"/>
          </w:tcPr>
          <w:p w14:paraId="4461404F">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供应商全称</w:t>
            </w:r>
          </w:p>
        </w:tc>
        <w:tc>
          <w:tcPr>
            <w:tcW w:w="6223" w:type="dxa"/>
            <w:vAlign w:val="top"/>
          </w:tcPr>
          <w:p w14:paraId="113D494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039D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309" w:type="dxa"/>
            <w:vAlign w:val="center"/>
          </w:tcPr>
          <w:p w14:paraId="0CAF21D0">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投标范围</w:t>
            </w:r>
          </w:p>
        </w:tc>
        <w:tc>
          <w:tcPr>
            <w:tcW w:w="6223" w:type="dxa"/>
            <w:vAlign w:val="top"/>
          </w:tcPr>
          <w:p w14:paraId="4E652F0B">
            <w:pPr>
              <w:pStyle w:val="26"/>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全部</w:t>
            </w:r>
          </w:p>
        </w:tc>
      </w:tr>
      <w:tr w14:paraId="6D4A0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2309" w:type="dxa"/>
            <w:vAlign w:val="center"/>
          </w:tcPr>
          <w:p w14:paraId="2ADC7BEB">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投标报价</w:t>
            </w:r>
          </w:p>
        </w:tc>
        <w:tc>
          <w:tcPr>
            <w:tcW w:w="6223" w:type="dxa"/>
            <w:vAlign w:val="center"/>
          </w:tcPr>
          <w:p w14:paraId="3407F548">
            <w:pPr>
              <w:pStyle w:val="26"/>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完全响应征集文件要求。</w:t>
            </w:r>
            <w:r>
              <w:rPr>
                <w:rFonts w:hint="eastAsia" w:ascii="仿宋" w:hAnsi="仿宋" w:eastAsia="仿宋" w:cs="仿宋"/>
                <w:snapToGrid w:val="0"/>
                <w:color w:val="auto"/>
                <w:spacing w:val="0"/>
                <w:w w:val="100"/>
                <w:kern w:val="0"/>
                <w:position w:val="0"/>
                <w:sz w:val="28"/>
                <w:szCs w:val="28"/>
                <w:highlight w:val="none"/>
                <w:lang w:val="en-US" w:eastAsia="zh-CN" w:bidi="ar-SA"/>
              </w:rPr>
              <w:t xml:space="preserve"> </w:t>
            </w:r>
          </w:p>
        </w:tc>
      </w:tr>
      <w:tr w14:paraId="06362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2309" w:type="dxa"/>
            <w:vAlign w:val="center"/>
          </w:tcPr>
          <w:p w14:paraId="5ED07381">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其他</w:t>
            </w:r>
          </w:p>
        </w:tc>
        <w:tc>
          <w:tcPr>
            <w:tcW w:w="6223" w:type="dxa"/>
            <w:vAlign w:val="center"/>
          </w:tcPr>
          <w:p w14:paraId="16A575E3">
            <w:pPr>
              <w:pStyle w:val="26"/>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完全响应征集文件要求。</w:t>
            </w:r>
          </w:p>
        </w:tc>
      </w:tr>
    </w:tbl>
    <w:p w14:paraId="47A26B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244180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p>
    <w:p w14:paraId="1D333BD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 (签字或盖章)</w:t>
      </w:r>
    </w:p>
    <w:p w14:paraId="4AFC13A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5"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color="auto"/>
        </w:rPr>
        <w:t xml:space="preserve">              </w:t>
      </w:r>
    </w:p>
    <w:p w14:paraId="5366F247">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35" w:name="_Toc25455"/>
      <w:r>
        <w:rPr>
          <w:rFonts w:hint="eastAsia" w:ascii="仿宋" w:hAnsi="仿宋" w:eastAsia="仿宋" w:cs="仿宋"/>
          <w:b/>
          <w:bCs/>
          <w:color w:val="auto"/>
          <w:spacing w:val="0"/>
          <w:w w:val="100"/>
          <w:position w:val="0"/>
          <w:sz w:val="28"/>
          <w:szCs w:val="28"/>
          <w:highlight w:val="none"/>
        </w:rPr>
        <w:t>二、投标函</w:t>
      </w:r>
      <w:bookmarkEnd w:id="35"/>
    </w:p>
    <w:p w14:paraId="3C7CAD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致：</w:t>
      </w:r>
      <w:r>
        <w:rPr>
          <w:rFonts w:hint="eastAsia" w:ascii="仿宋" w:hAnsi="仿宋" w:eastAsia="仿宋" w:cs="仿宋"/>
          <w:color w:val="auto"/>
          <w:spacing w:val="0"/>
          <w:w w:val="100"/>
          <w:position w:val="0"/>
          <w:sz w:val="28"/>
          <w:szCs w:val="28"/>
          <w:highlight w:val="none"/>
          <w:u w:val="single" w:color="auto"/>
        </w:rPr>
        <w:t xml:space="preserve">(征集人)        </w:t>
      </w:r>
    </w:p>
    <w:p w14:paraId="39930BD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根据贵方的征集公告，我方兹宣布同意如下：</w:t>
      </w:r>
    </w:p>
    <w:p w14:paraId="1DA0FD73">
      <w:pPr>
        <w:pageBreakBefore w:val="0"/>
        <w:kinsoku w:val="0"/>
        <w:wordWrap/>
        <w:overflowPunct/>
        <w:topLinePunct w:val="0"/>
        <w:bidi w:val="0"/>
        <w:adjustRightInd w:val="0"/>
        <w:snapToGrid w:val="0"/>
        <w:spacing w:line="360" w:lineRule="auto"/>
        <w:ind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按征集文件规定提供所有服务的最终投标报价见开标一览表，如我方中标，我方承诺愿意按征集文件规定缴纳履约保证金和中标服务费。</w:t>
      </w:r>
    </w:p>
    <w:p w14:paraId="7127E2E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我方根据征集文件的规定，严格履行合同的责任和义务,并</w:t>
      </w:r>
      <w:r>
        <w:rPr>
          <w:rFonts w:hint="eastAsia" w:ascii="仿宋" w:hAnsi="仿宋" w:eastAsia="仿宋" w:cs="仿宋"/>
          <w:color w:val="auto"/>
          <w:spacing w:val="0"/>
          <w:w w:val="100"/>
          <w:position w:val="0"/>
          <w:sz w:val="28"/>
          <w:szCs w:val="28"/>
          <w:highlight w:val="none"/>
          <w:lang w:eastAsia="zh-CN"/>
        </w:rPr>
        <w:t>保证</w:t>
      </w:r>
      <w:r>
        <w:rPr>
          <w:rFonts w:hint="eastAsia" w:ascii="仿宋" w:hAnsi="仿宋" w:eastAsia="仿宋" w:cs="仿宋"/>
          <w:color w:val="auto"/>
          <w:spacing w:val="0"/>
          <w:w w:val="100"/>
          <w:position w:val="0"/>
          <w:sz w:val="28"/>
          <w:szCs w:val="28"/>
          <w:highlight w:val="none"/>
        </w:rPr>
        <w:t>在征集文件要求的日期内完成所有服务，并通过买方验收。</w:t>
      </w:r>
    </w:p>
    <w:p w14:paraId="1BE21DA2">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5D31751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我方同意从征集文件规定的开标日期起遵循本征集文件，并在征集文件规定的投标有效期之前均具有约束力。</w:t>
      </w:r>
    </w:p>
    <w:p w14:paraId="0ECF7C9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我方承诺如投标保证金未在征集文件规定缴纳，我方投标无效，由此产生的一切后果由我方承担。</w:t>
      </w:r>
    </w:p>
    <w:p w14:paraId="31F0767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声明征集响应文件所提供的一切资料均真实无误、及时、有效，企业运营正常。由于我方提供资料不实而造成的责任和后果由我方承担。我方同意按照贵方提出的要求，提供与投标有关的任何证据、数据或资料。</w:t>
      </w:r>
    </w:p>
    <w:p w14:paraId="2249C3E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7</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我方完全理解贵方不一定接受最低报价的投标。</w:t>
      </w:r>
    </w:p>
    <w:p w14:paraId="7F509CF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8</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 xml:space="preserve">我方接受征集文件规定的付款方式、免费质保要求。 </w:t>
      </w:r>
    </w:p>
    <w:p w14:paraId="337AE55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9</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诚信承诺书(见附录)</w:t>
      </w:r>
    </w:p>
    <w:p w14:paraId="5801FC7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rPr>
        <w:t xml:space="preserve">                  </w:t>
      </w:r>
    </w:p>
    <w:p w14:paraId="6357A40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w:t>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rPr>
        <w:t>(签字或盖章)</w:t>
      </w:r>
    </w:p>
    <w:p w14:paraId="4C34A20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jc w:val="lef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lang w:val="en-US" w:eastAsia="zh-CN"/>
        </w:rPr>
        <w:t xml:space="preserve">          </w:t>
      </w:r>
      <w:r>
        <w:rPr>
          <w:rFonts w:hint="eastAsia" w:ascii="仿宋" w:hAnsi="仿宋" w:eastAsia="仿宋" w:cs="仿宋"/>
          <w:color w:val="auto"/>
          <w:spacing w:val="0"/>
          <w:w w:val="100"/>
          <w:position w:val="0"/>
          <w:sz w:val="28"/>
          <w:szCs w:val="28"/>
          <w:highlight w:val="none"/>
        </w:rPr>
        <w:t xml:space="preserve">                    </w:t>
      </w:r>
    </w:p>
    <w:p w14:paraId="7459F60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6" w:type="default"/>
          <w:pgSz w:w="11922" w:h="16849"/>
          <w:pgMar w:top="1440" w:right="1803" w:bottom="1440" w:left="1803" w:header="1134" w:footer="1253" w:gutter="0"/>
          <w:pgNumType w:fmt="decimal"/>
          <w:cols w:space="0" w:num="1"/>
          <w:rtlGutter w:val="0"/>
          <w:docGrid w:linePitch="0" w:charSpace="0"/>
        </w:sectPr>
      </w:pPr>
    </w:p>
    <w:p w14:paraId="03C3372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附录1:</w:t>
      </w:r>
    </w:p>
    <w:p w14:paraId="045B6A58">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b/>
          <w:bCs/>
          <w:color w:val="auto"/>
          <w:spacing w:val="0"/>
          <w:w w:val="100"/>
          <w:position w:val="0"/>
          <w:sz w:val="28"/>
          <w:szCs w:val="28"/>
          <w:highlight w:val="none"/>
        </w:rPr>
      </w:pPr>
      <w:r>
        <w:rPr>
          <w:rFonts w:hint="eastAsia" w:ascii="仿宋" w:hAnsi="仿宋" w:eastAsia="仿宋" w:cs="仿宋"/>
          <w:b/>
          <w:bCs/>
          <w:color w:val="auto"/>
          <w:spacing w:val="0"/>
          <w:w w:val="100"/>
          <w:position w:val="0"/>
          <w:sz w:val="28"/>
          <w:szCs w:val="28"/>
          <w:highlight w:val="none"/>
        </w:rPr>
        <w:t>供应商诚信承诺书</w:t>
      </w:r>
    </w:p>
    <w:p w14:paraId="1604090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致：</w:t>
      </w:r>
      <w:r>
        <w:rPr>
          <w:rFonts w:hint="eastAsia" w:ascii="仿宋" w:hAnsi="仿宋" w:eastAsia="仿宋" w:cs="仿宋"/>
          <w:color w:val="auto"/>
          <w:spacing w:val="0"/>
          <w:w w:val="100"/>
          <w:position w:val="0"/>
          <w:sz w:val="28"/>
          <w:szCs w:val="28"/>
          <w:highlight w:val="none"/>
          <w:u w:val="single" w:color="auto"/>
        </w:rPr>
        <w:t xml:space="preserve">   (征集人)         </w:t>
      </w:r>
    </w:p>
    <w:p w14:paraId="2025554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我单位参加本次投标，承诺如下：</w:t>
      </w:r>
    </w:p>
    <w:p w14:paraId="1657F17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1、提供的所有资料都是真实有效。如被发现提供虚假资料或虚假承诺(声明)，同意取消 投标和中标候选人资格。</w:t>
      </w:r>
    </w:p>
    <w:p w14:paraId="6784C11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2、不存在借用资质、串通投标等情形。如被发现，同意取消投标和中标候选人资格。</w:t>
      </w:r>
    </w:p>
    <w:p w14:paraId="1F256F2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3、如我方为中标候选人，除不可抗力(是指不能预见、不能避免并不能克服的客观情况，包括自然灾害和社会突发事件，如地震、海啸、瘟疫、水灾、骚乱、暴动、战争等)，不因任何 其它原因放弃中标候选人资格。</w:t>
      </w:r>
    </w:p>
    <w:p w14:paraId="1EF24563">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4、我方</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，严格按照征集文件和我单位征集响应文件的约定签订合同。</w:t>
      </w:r>
    </w:p>
    <w:p w14:paraId="57CB10C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5、我方同意将达不到供应商资格要求条件仍参与投标或被行政主管部门、监督管理部门等暂停、取消公共资源交易资格且在限制期内仍参与投标的情形视为弄虚作假，愿意接受处理。</w:t>
      </w:r>
    </w:p>
    <w:p w14:paraId="4B14A11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6、我方参与投标如出现投标报价高于该项目最高投标限价的情形，同意视为串通投标并接受处理。</w:t>
      </w:r>
    </w:p>
    <w:p w14:paraId="594EF3C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出现违反上述承诺情形之一的，我单位还同意投标保证金不予退还，并在1至3年内不参与阜阳市公共资源交易活动，且后期我单位不因公司表现良好等各种理由向</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申请予以恢复参与阜阳市公共资源交易活动，</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也不应以公司表现良好等各种理由为由提前解除对我单位的处理。愿意公开披露我单位违反承诺的不良行为信息，愿意接受处罚并承担所有经济损失和法律责任。</w:t>
      </w:r>
    </w:p>
    <w:p w14:paraId="7908F67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后期履约过程中除不可抗力外如我单位放弃(拒绝)履约，同意</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(甲方)不予退还履约保证金，我单位(乙方)不要求退还履约保证金，我单位(乙方)三年不参与阜阳市公共资源交易活动，且在处理期间不因公司表现良好等各种理由向</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申请予以提前恢复 参与阜阳市公共资源交易活动，</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(甲方)也不能以公司表现良好等各种理由为由提前解除对我单位(乙方)的处理。</w:t>
      </w:r>
    </w:p>
    <w:p w14:paraId="1BDC108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此承诺不受投标有效期的限制</w:t>
      </w:r>
    </w:p>
    <w:p w14:paraId="7B50F91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供应商电子签章：</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3FEE51F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法定代表人或其委托代理人：</w:t>
      </w:r>
      <w:r>
        <w:rPr>
          <w:rFonts w:hint="eastAsia" w:ascii="仿宋" w:hAnsi="仿宋" w:eastAsia="仿宋" w:cs="仿宋"/>
          <w:color w:val="auto"/>
          <w:spacing w:val="0"/>
          <w:w w:val="100"/>
          <w:position w:val="0"/>
          <w:sz w:val="28"/>
          <w:szCs w:val="28"/>
          <w:highlight w:val="none"/>
          <w:u w:val="single" w:color="auto"/>
        </w:rPr>
        <w:t>(签字或盖章)</w:t>
      </w:r>
    </w:p>
    <w:p w14:paraId="312805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年 月 日</w:t>
      </w:r>
    </w:p>
    <w:p w14:paraId="68C8EE3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7" w:type="default"/>
          <w:pgSz w:w="11922" w:h="16849"/>
          <w:pgMar w:top="1440" w:right="1803" w:bottom="1440" w:left="1803" w:header="1134" w:footer="1253" w:gutter="0"/>
          <w:pgNumType w:fmt="decimal"/>
          <w:cols w:space="0" w:num="1"/>
          <w:rtlGutter w:val="0"/>
          <w:docGrid w:linePitch="0" w:charSpace="0"/>
        </w:sectPr>
      </w:pPr>
    </w:p>
    <w:p w14:paraId="7B88A267">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36" w:name="_Toc28497"/>
      <w:r>
        <w:rPr>
          <w:rFonts w:hint="eastAsia" w:ascii="仿宋" w:hAnsi="仿宋" w:eastAsia="仿宋" w:cs="仿宋"/>
          <w:b/>
          <w:bCs/>
          <w:color w:val="auto"/>
          <w:spacing w:val="0"/>
          <w:w w:val="100"/>
          <w:position w:val="0"/>
          <w:sz w:val="28"/>
          <w:szCs w:val="28"/>
          <w:highlight w:val="none"/>
        </w:rPr>
        <w:t>三、无重大违法记录声明函、无不良信用记录声明函</w:t>
      </w:r>
      <w:bookmarkEnd w:id="36"/>
    </w:p>
    <w:p w14:paraId="521E0D3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(联合体参加投标的, 联合体各方均须提供)</w:t>
      </w:r>
    </w:p>
    <w:p w14:paraId="758506E7">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536"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6"/>
          <w:w w:val="100"/>
          <w:position w:val="0"/>
          <w:sz w:val="28"/>
          <w:szCs w:val="28"/>
          <w:highlight w:val="none"/>
        </w:rPr>
        <w:t>1</w:t>
      </w:r>
      <w:r>
        <w:rPr>
          <w:rFonts w:hint="eastAsia" w:ascii="仿宋" w:hAnsi="仿宋" w:eastAsia="仿宋" w:cs="仿宋"/>
          <w:color w:val="auto"/>
          <w:spacing w:val="-6"/>
          <w:w w:val="100"/>
          <w:position w:val="0"/>
          <w:sz w:val="28"/>
          <w:szCs w:val="28"/>
          <w:highlight w:val="none"/>
          <w:lang w:eastAsia="zh-CN"/>
        </w:rPr>
        <w:t>、</w:t>
      </w:r>
      <w:r>
        <w:rPr>
          <w:rFonts w:hint="eastAsia" w:ascii="仿宋" w:hAnsi="仿宋" w:eastAsia="仿宋" w:cs="仿宋"/>
          <w:color w:val="auto"/>
          <w:spacing w:val="-6"/>
          <w:w w:val="100"/>
          <w:position w:val="0"/>
          <w:sz w:val="28"/>
          <w:szCs w:val="28"/>
          <w:highlight w:val="none"/>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3BB734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rPr>
        <w:t>本单位郑重声明，我单位无以下不良信用记录情形：</w:t>
      </w:r>
    </w:p>
    <w:p w14:paraId="447C15F8">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(1)被人民法院列入失信被执行人</w:t>
      </w:r>
    </w:p>
    <w:p w14:paraId="2CD31AC1">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(2)单位、法定代表人或拟派项目经理(项目负责人)被人民检察院列入行贿犯 罪档案；</w:t>
      </w:r>
    </w:p>
    <w:p w14:paraId="7BC81E00">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(3)被工商行政管理部门列入企业经营异常名录；</w:t>
      </w:r>
    </w:p>
    <w:p w14:paraId="386BFA2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(4)被税务部门列入重大税收违法案件当事人名单；</w:t>
      </w:r>
    </w:p>
    <w:p w14:paraId="09F40C4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(5)被政府采购监管部门列入政府采购严重违法失信行为记录名单。</w:t>
      </w:r>
    </w:p>
    <w:p w14:paraId="04E07DA5">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本单位对上述声明的真实性负责。如有虚假，将依法承担相应责任。</w:t>
      </w:r>
    </w:p>
    <w:p w14:paraId="7B1A65FF">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387045D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电子签章：</w:t>
      </w:r>
      <w:r>
        <w:rPr>
          <w:rFonts w:hint="eastAsia" w:ascii="仿宋" w:hAnsi="仿宋" w:eastAsia="仿宋" w:cs="仿宋"/>
          <w:color w:val="auto"/>
          <w:spacing w:val="0"/>
          <w:w w:val="100"/>
          <w:position w:val="0"/>
          <w:sz w:val="28"/>
          <w:szCs w:val="28"/>
          <w:highlight w:val="none"/>
          <w:u w:val="single" w:color="auto"/>
        </w:rPr>
        <w:t xml:space="preserve">                 </w:t>
      </w:r>
    </w:p>
    <w:p w14:paraId="031E89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color="auto"/>
        </w:rPr>
        <w:t xml:space="preserve">              </w:t>
      </w:r>
    </w:p>
    <w:p w14:paraId="142852C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18" w:type="default"/>
          <w:pgSz w:w="11922" w:h="16849"/>
          <w:pgMar w:top="1440" w:right="1803" w:bottom="1440" w:left="1803" w:header="1134" w:footer="1253" w:gutter="0"/>
          <w:pgNumType w:fmt="decimal"/>
          <w:cols w:space="0" w:num="1"/>
          <w:rtlGutter w:val="0"/>
          <w:docGrid w:linePitch="0" w:charSpace="0"/>
        </w:sectPr>
      </w:pPr>
    </w:p>
    <w:p w14:paraId="33E847A9">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37" w:name="_Toc4257"/>
      <w:r>
        <w:rPr>
          <w:rFonts w:hint="eastAsia" w:ascii="仿宋" w:hAnsi="仿宋" w:eastAsia="仿宋" w:cs="仿宋"/>
          <w:b/>
          <w:bCs/>
          <w:color w:val="auto"/>
          <w:spacing w:val="0"/>
          <w:w w:val="100"/>
          <w:position w:val="0"/>
          <w:sz w:val="28"/>
          <w:szCs w:val="28"/>
          <w:highlight w:val="none"/>
        </w:rPr>
        <w:t>四、法定代表人授权委托书</w:t>
      </w:r>
      <w:bookmarkEnd w:id="37"/>
    </w:p>
    <w:p w14:paraId="34C49B0E">
      <w:pPr>
        <w:pageBreakBefore w:val="0"/>
        <w:kinsoku w:val="0"/>
        <w:wordWrap/>
        <w:overflowPunct/>
        <w:topLinePunct w:val="0"/>
        <w:bidi w:val="0"/>
        <w:adjustRightInd w:val="0"/>
        <w:snapToGrid w:val="0"/>
        <w:spacing w:line="360" w:lineRule="auto"/>
        <w:ind w:left="0" w:leftChars="0" w:right="0" w:rightChars="0" w:firstLine="433"/>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本授权书声明：</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公司(工厂)(纳税人识别号：</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)的</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(法人代表   姓名、职务)代表本公司(工厂)授权本公司(工厂)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(被授权人的姓名、职务)为  本公司(工厂)的合法代理人，参加</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采购项目活动(项目编号：</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 全权代表本公司处理投标过程的一切事宜，包括但不限于：投标、参与开标、</w:t>
      </w:r>
      <w:r>
        <w:rPr>
          <w:rFonts w:hint="eastAsia" w:ascii="仿宋" w:hAnsi="仿宋" w:eastAsia="仿宋" w:cs="仿宋"/>
          <w:color w:val="auto"/>
          <w:spacing w:val="0"/>
          <w:w w:val="100"/>
          <w:position w:val="0"/>
          <w:sz w:val="28"/>
          <w:szCs w:val="28"/>
          <w:highlight w:val="none"/>
          <w:lang w:eastAsia="zh-CN"/>
        </w:rPr>
        <w:t>投标</w:t>
      </w:r>
      <w:r>
        <w:rPr>
          <w:rFonts w:hint="eastAsia" w:ascii="仿宋" w:hAnsi="仿宋" w:eastAsia="仿宋" w:cs="仿宋"/>
          <w:color w:val="auto"/>
          <w:spacing w:val="0"/>
          <w:w w:val="100"/>
          <w:position w:val="0"/>
          <w:sz w:val="28"/>
          <w:szCs w:val="28"/>
          <w:highlight w:val="none"/>
        </w:rPr>
        <w:t xml:space="preserve">、签约等。 </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代表在投标过程中所签署的一切文件和处理与之有关的一切事务，本公司均予以认可  并对此承担责任。被授权人无转委托权。特此授权。</w:t>
      </w:r>
    </w:p>
    <w:p w14:paraId="439EC6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6"/>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本授权书自出具之日起生效。 特此声明。</w:t>
      </w:r>
    </w:p>
    <w:p w14:paraId="4BA77EBE">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05B9E8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7"/>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法定代表人联系方式：</w:t>
      </w:r>
      <w:r>
        <w:rPr>
          <w:rFonts w:hint="eastAsia" w:ascii="仿宋" w:hAnsi="仿宋" w:eastAsia="仿宋" w:cs="仿宋"/>
          <w:color w:val="auto"/>
          <w:spacing w:val="0"/>
          <w:w w:val="100"/>
          <w:position w:val="0"/>
          <w:sz w:val="28"/>
          <w:szCs w:val="28"/>
          <w:highlight w:val="none"/>
          <w:u w:val="single" w:color="auto"/>
        </w:rPr>
        <w:t xml:space="preserve"> (手机号码)       </w:t>
      </w:r>
      <w:r>
        <w:rPr>
          <w:rFonts w:hint="eastAsia" w:ascii="仿宋" w:hAnsi="仿宋" w:eastAsia="仿宋" w:cs="仿宋"/>
          <w:color w:val="auto"/>
          <w:spacing w:val="0"/>
          <w:w w:val="100"/>
          <w:position w:val="0"/>
          <w:sz w:val="28"/>
          <w:szCs w:val="28"/>
          <w:highlight w:val="none"/>
        </w:rPr>
        <w:t xml:space="preserve"> </w:t>
      </w:r>
    </w:p>
    <w:p w14:paraId="7DD6D9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17"/>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授权委托人联系方式：</w:t>
      </w:r>
      <w:r>
        <w:rPr>
          <w:rFonts w:hint="eastAsia" w:ascii="仿宋" w:hAnsi="仿宋" w:eastAsia="仿宋" w:cs="仿宋"/>
          <w:color w:val="auto"/>
          <w:spacing w:val="0"/>
          <w:w w:val="100"/>
          <w:position w:val="0"/>
          <w:sz w:val="28"/>
          <w:szCs w:val="28"/>
          <w:highlight w:val="none"/>
          <w:u w:val="single" w:color="auto"/>
        </w:rPr>
        <w:t xml:space="preserve"> (手机号码)        </w:t>
      </w:r>
    </w:p>
    <w:p w14:paraId="47F73C94">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5E9FDB2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法人代表签字或盖章：</w:t>
      </w:r>
      <w:r>
        <w:rPr>
          <w:rFonts w:hint="eastAsia" w:ascii="仿宋" w:hAnsi="仿宋" w:eastAsia="仿宋" w:cs="仿宋"/>
          <w:color w:val="auto"/>
          <w:spacing w:val="0"/>
          <w:w w:val="100"/>
          <w:position w:val="0"/>
          <w:sz w:val="28"/>
          <w:szCs w:val="28"/>
          <w:highlight w:val="none"/>
          <w:u w:val="single" w:color="auto"/>
        </w:rPr>
        <w:t xml:space="preserve">                     </w:t>
      </w:r>
    </w:p>
    <w:p w14:paraId="5727B399">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代理人(被授权人)签字或盖章：</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w:t>
      </w:r>
    </w:p>
    <w:p w14:paraId="55C4E5B2">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电子签章：</w:t>
      </w:r>
      <w:r>
        <w:rPr>
          <w:rFonts w:hint="eastAsia" w:ascii="仿宋" w:hAnsi="仿宋" w:eastAsia="仿宋" w:cs="仿宋"/>
          <w:color w:val="auto"/>
          <w:spacing w:val="0"/>
          <w:w w:val="100"/>
          <w:position w:val="0"/>
          <w:sz w:val="28"/>
          <w:szCs w:val="28"/>
          <w:highlight w:val="none"/>
          <w:u w:val="single" w:color="auto"/>
        </w:rPr>
        <w:t xml:space="preserve">                        </w:t>
      </w:r>
    </w:p>
    <w:p w14:paraId="46DF2C0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授权委托日期：</w:t>
      </w:r>
      <w:r>
        <w:rPr>
          <w:rFonts w:hint="eastAsia" w:ascii="仿宋" w:hAnsi="仿宋" w:eastAsia="仿宋" w:cs="仿宋"/>
          <w:color w:val="auto"/>
          <w:spacing w:val="0"/>
          <w:w w:val="100"/>
          <w:position w:val="0"/>
          <w:sz w:val="28"/>
          <w:szCs w:val="28"/>
          <w:highlight w:val="none"/>
          <w:u w:val="single" w:color="auto"/>
        </w:rPr>
        <w:t xml:space="preserve">                  </w:t>
      </w:r>
    </w:p>
    <w:p w14:paraId="6F1B9FFA">
      <w:pPr>
        <w:pageBreakBefore w:val="0"/>
        <w:kinsoku w:val="0"/>
        <w:wordWrap/>
        <w:overflowPunct/>
        <w:topLinePunct w:val="0"/>
        <w:bidi w:val="0"/>
        <w:adjustRightInd w:val="0"/>
        <w:snapToGrid w:val="0"/>
        <w:spacing w:line="360" w:lineRule="auto"/>
        <w:ind w:left="0" w:leftChars="0" w:right="0" w:rightChars="0"/>
        <w:textAlignment w:val="baseline"/>
        <w:rPr>
          <w:rFonts w:hint="default" w:ascii="仿宋" w:hAnsi="仿宋" w:eastAsia="仿宋" w:cs="仿宋"/>
          <w:color w:val="auto"/>
          <w:spacing w:val="0"/>
          <w:w w:val="100"/>
          <w:position w:val="0"/>
          <w:sz w:val="28"/>
          <w:szCs w:val="28"/>
          <w:highlight w:val="none"/>
          <w:lang w:val="en-US" w:eastAsia="zh-CN"/>
        </w:rPr>
        <w:sectPr>
          <w:footerReference r:id="rId19"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rPr>
        <w:t xml:space="preserve">注： </w:t>
      </w:r>
      <w:r>
        <w:rPr>
          <w:rFonts w:hint="eastAsia" w:ascii="仿宋" w:hAnsi="仿宋" w:eastAsia="仿宋" w:cs="仿宋"/>
          <w:color w:val="auto"/>
          <w:spacing w:val="0"/>
          <w:w w:val="100"/>
          <w:position w:val="0"/>
          <w:sz w:val="28"/>
          <w:szCs w:val="28"/>
          <w:highlight w:val="none"/>
          <w:lang w:val="en-US" w:eastAsia="zh-CN"/>
        </w:rPr>
        <w:t>提供被授权人有效的身份证正反面复印件。</w:t>
      </w:r>
    </w:p>
    <w:p w14:paraId="030DE492">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38" w:name="_Toc5757"/>
      <w:r>
        <w:rPr>
          <w:rFonts w:hint="eastAsia" w:ascii="仿宋" w:hAnsi="仿宋" w:eastAsia="仿宋" w:cs="仿宋"/>
          <w:b/>
          <w:bCs/>
          <w:color w:val="auto"/>
          <w:spacing w:val="0"/>
          <w:w w:val="100"/>
          <w:position w:val="0"/>
          <w:sz w:val="28"/>
          <w:szCs w:val="28"/>
          <w:highlight w:val="none"/>
        </w:rPr>
        <w:t>五、</w:t>
      </w:r>
      <w:r>
        <w:rPr>
          <w:rFonts w:hint="eastAsia" w:ascii="仿宋" w:hAnsi="仿宋" w:eastAsia="仿宋" w:cs="仿宋"/>
          <w:color w:val="auto"/>
          <w:spacing w:val="0"/>
          <w:w w:val="100"/>
          <w:position w:val="0"/>
          <w:sz w:val="28"/>
          <w:szCs w:val="28"/>
          <w:highlight w:val="none"/>
        </w:rPr>
        <w:t xml:space="preserve"> </w:t>
      </w:r>
      <w:r>
        <w:rPr>
          <w:rFonts w:hint="eastAsia" w:ascii="仿宋" w:hAnsi="仿宋" w:eastAsia="仿宋" w:cs="仿宋"/>
          <w:b/>
          <w:bCs/>
          <w:color w:val="auto"/>
          <w:spacing w:val="0"/>
          <w:w w:val="100"/>
          <w:position w:val="0"/>
          <w:sz w:val="28"/>
          <w:szCs w:val="28"/>
          <w:highlight w:val="none"/>
        </w:rPr>
        <w:t>供应商业绩表</w:t>
      </w:r>
      <w:bookmarkEnd w:id="38"/>
    </w:p>
    <w:p w14:paraId="6FF9918E">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（格式自拟）</w:t>
      </w:r>
    </w:p>
    <w:p w14:paraId="70892DF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20" w:type="default"/>
          <w:pgSz w:w="11922" w:h="16849"/>
          <w:pgMar w:top="1440" w:right="1803" w:bottom="1440" w:left="1803" w:header="1134" w:footer="1253" w:gutter="0"/>
          <w:pgNumType w:fmt="decimal"/>
          <w:cols w:space="0" w:num="1"/>
          <w:rtlGutter w:val="0"/>
          <w:docGrid w:linePitch="0" w:charSpace="0"/>
        </w:sectPr>
      </w:pPr>
    </w:p>
    <w:p w14:paraId="70C0C422">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39" w:name="_Toc23922"/>
      <w:r>
        <w:rPr>
          <w:rFonts w:hint="eastAsia" w:ascii="仿宋" w:hAnsi="仿宋" w:eastAsia="仿宋" w:cs="仿宋"/>
          <w:b/>
          <w:bCs/>
          <w:color w:val="auto"/>
          <w:spacing w:val="0"/>
          <w:w w:val="100"/>
          <w:position w:val="0"/>
          <w:sz w:val="28"/>
          <w:szCs w:val="28"/>
          <w:highlight w:val="none"/>
        </w:rPr>
        <w:t>六、投标响应表</w:t>
      </w:r>
      <w:bookmarkEnd w:id="39"/>
    </w:p>
    <w:p w14:paraId="1B14682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6.1商务响应表</w:t>
      </w:r>
    </w:p>
    <w:tbl>
      <w:tblPr>
        <w:tblStyle w:val="25"/>
        <w:tblW w:w="8661" w:type="dxa"/>
        <w:tblInd w:w="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1913"/>
        <w:gridCol w:w="2495"/>
        <w:gridCol w:w="1872"/>
        <w:gridCol w:w="1650"/>
      </w:tblGrid>
      <w:tr w14:paraId="74354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31" w:type="dxa"/>
            <w:vAlign w:val="center"/>
          </w:tcPr>
          <w:p w14:paraId="0762AA97">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val="en-US" w:eastAsia="zh-CN"/>
              </w:rPr>
            </w:pPr>
            <w:r>
              <w:rPr>
                <w:rFonts w:hint="eastAsia" w:ascii="仿宋" w:hAnsi="仿宋" w:eastAsia="仿宋" w:cs="仿宋"/>
                <w:color w:val="auto"/>
                <w:spacing w:val="0"/>
                <w:w w:val="100"/>
                <w:position w:val="0"/>
                <w:sz w:val="28"/>
                <w:szCs w:val="28"/>
                <w:highlight w:val="none"/>
                <w:lang w:val="en-US" w:eastAsia="zh-CN"/>
              </w:rPr>
              <w:t>序号</w:t>
            </w:r>
          </w:p>
        </w:tc>
        <w:tc>
          <w:tcPr>
            <w:tcW w:w="1913" w:type="dxa"/>
            <w:vAlign w:val="center"/>
          </w:tcPr>
          <w:p w14:paraId="365DF4F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商务条款</w:t>
            </w:r>
          </w:p>
        </w:tc>
        <w:tc>
          <w:tcPr>
            <w:tcW w:w="2495" w:type="dxa"/>
            <w:vAlign w:val="center"/>
          </w:tcPr>
          <w:p w14:paraId="398A4034">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征集文件要求</w:t>
            </w:r>
          </w:p>
        </w:tc>
        <w:tc>
          <w:tcPr>
            <w:tcW w:w="1872" w:type="dxa"/>
            <w:vAlign w:val="center"/>
          </w:tcPr>
          <w:p w14:paraId="395C6785">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供应商承诺</w:t>
            </w:r>
          </w:p>
        </w:tc>
        <w:tc>
          <w:tcPr>
            <w:tcW w:w="1650" w:type="dxa"/>
            <w:vAlign w:val="center"/>
          </w:tcPr>
          <w:p w14:paraId="09A4C5C2">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偏离说明</w:t>
            </w:r>
          </w:p>
        </w:tc>
      </w:tr>
      <w:tr w14:paraId="5ED2D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31" w:type="dxa"/>
            <w:vAlign w:val="center"/>
          </w:tcPr>
          <w:p w14:paraId="0B326A8A">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p>
        </w:tc>
        <w:tc>
          <w:tcPr>
            <w:tcW w:w="1913" w:type="dxa"/>
            <w:vAlign w:val="top"/>
          </w:tcPr>
          <w:p w14:paraId="5E441C3C">
            <w:pPr>
              <w:pStyle w:val="26"/>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付款方式</w:t>
            </w:r>
          </w:p>
        </w:tc>
        <w:tc>
          <w:tcPr>
            <w:tcW w:w="2495" w:type="dxa"/>
            <w:vAlign w:val="top"/>
          </w:tcPr>
          <w:p w14:paraId="308A8F6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2C1D897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031DAF8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7515B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31" w:type="dxa"/>
            <w:vAlign w:val="center"/>
          </w:tcPr>
          <w:p w14:paraId="6082E58F">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w:t>
            </w:r>
          </w:p>
        </w:tc>
        <w:tc>
          <w:tcPr>
            <w:tcW w:w="1913" w:type="dxa"/>
            <w:vAlign w:val="top"/>
          </w:tcPr>
          <w:p w14:paraId="2D02DAD7">
            <w:pPr>
              <w:pStyle w:val="26"/>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服务地点</w:t>
            </w:r>
          </w:p>
        </w:tc>
        <w:tc>
          <w:tcPr>
            <w:tcW w:w="2495" w:type="dxa"/>
            <w:vAlign w:val="top"/>
          </w:tcPr>
          <w:p w14:paraId="079B71E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2FE21AE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0E7A9D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F1E7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31" w:type="dxa"/>
            <w:vAlign w:val="center"/>
          </w:tcPr>
          <w:p w14:paraId="280AFB86">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w:t>
            </w:r>
          </w:p>
        </w:tc>
        <w:tc>
          <w:tcPr>
            <w:tcW w:w="1913" w:type="dxa"/>
            <w:vAlign w:val="top"/>
          </w:tcPr>
          <w:p w14:paraId="40DFFF2A">
            <w:pPr>
              <w:pStyle w:val="26"/>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服务期限</w:t>
            </w:r>
          </w:p>
        </w:tc>
        <w:tc>
          <w:tcPr>
            <w:tcW w:w="2495" w:type="dxa"/>
            <w:vAlign w:val="top"/>
          </w:tcPr>
          <w:p w14:paraId="45084C5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67AD548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650E58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CBB7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31" w:type="dxa"/>
            <w:vAlign w:val="top"/>
          </w:tcPr>
          <w:p w14:paraId="72110995">
            <w:pPr>
              <w:pStyle w:val="26"/>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w:t>
            </w:r>
          </w:p>
        </w:tc>
        <w:tc>
          <w:tcPr>
            <w:tcW w:w="1913" w:type="dxa"/>
            <w:vAlign w:val="top"/>
          </w:tcPr>
          <w:p w14:paraId="412BB76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495" w:type="dxa"/>
            <w:vAlign w:val="top"/>
          </w:tcPr>
          <w:p w14:paraId="3A1ECFE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72" w:type="dxa"/>
            <w:vAlign w:val="top"/>
          </w:tcPr>
          <w:p w14:paraId="49617AA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650" w:type="dxa"/>
            <w:vAlign w:val="top"/>
          </w:tcPr>
          <w:p w14:paraId="603D8D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47BD12B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电子签章：</w:t>
      </w:r>
      <w:r>
        <w:rPr>
          <w:rFonts w:hint="eastAsia" w:ascii="仿宋" w:hAnsi="仿宋" w:eastAsia="仿宋" w:cs="仿宋"/>
          <w:color w:val="auto"/>
          <w:spacing w:val="0"/>
          <w:w w:val="100"/>
          <w:position w:val="0"/>
          <w:sz w:val="28"/>
          <w:szCs w:val="28"/>
          <w:highlight w:val="none"/>
          <w:u w:val="single" w:color="auto"/>
        </w:rPr>
        <w:t xml:space="preserve">                 </w:t>
      </w:r>
    </w:p>
    <w:p w14:paraId="405F271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日        期：</w:t>
      </w:r>
      <w:r>
        <w:rPr>
          <w:rFonts w:hint="eastAsia" w:ascii="仿宋" w:hAnsi="仿宋" w:eastAsia="仿宋" w:cs="仿宋"/>
          <w:color w:val="auto"/>
          <w:spacing w:val="0"/>
          <w:w w:val="100"/>
          <w:position w:val="0"/>
          <w:sz w:val="28"/>
          <w:szCs w:val="28"/>
          <w:highlight w:val="none"/>
          <w:u w:val="single" w:color="auto"/>
        </w:rPr>
        <w:t xml:space="preserve">              </w:t>
      </w:r>
    </w:p>
    <w:p w14:paraId="60F972A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21" w:type="default"/>
          <w:pgSz w:w="11922" w:h="16849"/>
          <w:pgMar w:top="1440" w:right="1803" w:bottom="1440" w:left="1803" w:header="1134" w:footer="1253" w:gutter="0"/>
          <w:pgNumType w:fmt="decimal"/>
          <w:cols w:space="0" w:num="1"/>
          <w:rtlGutter w:val="0"/>
          <w:docGrid w:linePitch="0" w:charSpace="0"/>
        </w:sectPr>
      </w:pPr>
    </w:p>
    <w:p w14:paraId="282CCEA3">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40" w:name="_Toc32037"/>
      <w:r>
        <w:rPr>
          <w:rFonts w:hint="eastAsia" w:ascii="仿宋" w:hAnsi="仿宋" w:eastAsia="仿宋" w:cs="仿宋"/>
          <w:b/>
          <w:bCs/>
          <w:color w:val="auto"/>
          <w:spacing w:val="0"/>
          <w:w w:val="100"/>
          <w:position w:val="0"/>
          <w:sz w:val="28"/>
          <w:szCs w:val="28"/>
          <w:highlight w:val="none"/>
        </w:rPr>
        <w:t>七、人员配备</w:t>
      </w:r>
      <w:bookmarkEnd w:id="40"/>
    </w:p>
    <w:p w14:paraId="2E248A48">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拟派项目负责人简历表（仅供参考）</w:t>
      </w:r>
    </w:p>
    <w:tbl>
      <w:tblPr>
        <w:tblStyle w:val="25"/>
        <w:tblW w:w="86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1328"/>
        <w:gridCol w:w="1448"/>
        <w:gridCol w:w="1290"/>
        <w:gridCol w:w="1620"/>
        <w:gridCol w:w="1410"/>
      </w:tblGrid>
      <w:tr w14:paraId="7FD73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573" w:type="dxa"/>
            <w:vAlign w:val="center"/>
          </w:tcPr>
          <w:p w14:paraId="279C2D56">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姓名</w:t>
            </w:r>
          </w:p>
        </w:tc>
        <w:tc>
          <w:tcPr>
            <w:tcW w:w="1328" w:type="dxa"/>
            <w:vAlign w:val="center"/>
          </w:tcPr>
          <w:p w14:paraId="5A720C1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448" w:type="dxa"/>
            <w:vAlign w:val="center"/>
          </w:tcPr>
          <w:p w14:paraId="68AD7DC5">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性别</w:t>
            </w:r>
          </w:p>
        </w:tc>
        <w:tc>
          <w:tcPr>
            <w:tcW w:w="1290" w:type="dxa"/>
            <w:vAlign w:val="center"/>
          </w:tcPr>
          <w:p w14:paraId="30DD11DF">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620" w:type="dxa"/>
            <w:vAlign w:val="center"/>
          </w:tcPr>
          <w:p w14:paraId="11EA31B0">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出生年月</w:t>
            </w:r>
          </w:p>
        </w:tc>
        <w:tc>
          <w:tcPr>
            <w:tcW w:w="1410" w:type="dxa"/>
            <w:vAlign w:val="top"/>
          </w:tcPr>
          <w:p w14:paraId="649214B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28AF4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Align w:val="center"/>
          </w:tcPr>
          <w:p w14:paraId="29B75BEC">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文化程度</w:t>
            </w:r>
          </w:p>
        </w:tc>
        <w:tc>
          <w:tcPr>
            <w:tcW w:w="1328" w:type="dxa"/>
            <w:vAlign w:val="center"/>
          </w:tcPr>
          <w:p w14:paraId="2EBBBD0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448" w:type="dxa"/>
            <w:vAlign w:val="center"/>
          </w:tcPr>
          <w:p w14:paraId="5F1CE3C8">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专业</w:t>
            </w:r>
          </w:p>
        </w:tc>
        <w:tc>
          <w:tcPr>
            <w:tcW w:w="1290" w:type="dxa"/>
            <w:vAlign w:val="center"/>
          </w:tcPr>
          <w:p w14:paraId="7EE1D85D">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620" w:type="dxa"/>
            <w:vAlign w:val="center"/>
          </w:tcPr>
          <w:p w14:paraId="41233701">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政治面貌</w:t>
            </w:r>
          </w:p>
        </w:tc>
        <w:tc>
          <w:tcPr>
            <w:tcW w:w="1410" w:type="dxa"/>
            <w:vAlign w:val="top"/>
          </w:tcPr>
          <w:p w14:paraId="38B05EF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2947A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1573" w:type="dxa"/>
            <w:vAlign w:val="center"/>
          </w:tcPr>
          <w:p w14:paraId="73318147">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现任职务</w:t>
            </w:r>
          </w:p>
        </w:tc>
        <w:tc>
          <w:tcPr>
            <w:tcW w:w="1328" w:type="dxa"/>
            <w:vAlign w:val="center"/>
          </w:tcPr>
          <w:p w14:paraId="34EFC7D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448" w:type="dxa"/>
            <w:vAlign w:val="center"/>
          </w:tcPr>
          <w:p w14:paraId="066E2FB0">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技术职称</w:t>
            </w:r>
          </w:p>
        </w:tc>
        <w:tc>
          <w:tcPr>
            <w:tcW w:w="1290" w:type="dxa"/>
            <w:vAlign w:val="center"/>
          </w:tcPr>
          <w:p w14:paraId="55C4B7B1">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p>
        </w:tc>
        <w:tc>
          <w:tcPr>
            <w:tcW w:w="1620" w:type="dxa"/>
            <w:vAlign w:val="center"/>
          </w:tcPr>
          <w:p w14:paraId="05A5917B">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聘任时间</w:t>
            </w:r>
          </w:p>
        </w:tc>
        <w:tc>
          <w:tcPr>
            <w:tcW w:w="1410" w:type="dxa"/>
            <w:vAlign w:val="top"/>
          </w:tcPr>
          <w:p w14:paraId="55107BD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9D3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573" w:type="dxa"/>
            <w:vAlign w:val="top"/>
          </w:tcPr>
          <w:p w14:paraId="28D29A3D">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color w:val="auto"/>
                <w:spacing w:val="0"/>
                <w:w w:val="100"/>
                <w:position w:val="0"/>
                <w:sz w:val="28"/>
                <w:szCs w:val="28"/>
                <w:highlight w:val="none"/>
              </w:rPr>
              <w:t>在本单位从业年限</w:t>
            </w:r>
          </w:p>
        </w:tc>
        <w:tc>
          <w:tcPr>
            <w:tcW w:w="7096" w:type="dxa"/>
            <w:gridSpan w:val="5"/>
            <w:vAlign w:val="top"/>
          </w:tcPr>
          <w:p w14:paraId="27F5435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6D78A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573" w:type="dxa"/>
            <w:vMerge w:val="restart"/>
            <w:tcBorders>
              <w:bottom w:val="nil"/>
            </w:tcBorders>
            <w:vAlign w:val="center"/>
          </w:tcPr>
          <w:p w14:paraId="1447D218">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289"/>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(注册)</w:t>
            </w:r>
          </w:p>
          <w:p w14:paraId="1CBCEBF6">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hanging="289"/>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证书及编号</w:t>
            </w:r>
          </w:p>
        </w:tc>
        <w:tc>
          <w:tcPr>
            <w:tcW w:w="1328" w:type="dxa"/>
            <w:vAlign w:val="top"/>
          </w:tcPr>
          <w:p w14:paraId="3729F1B9">
            <w:pPr>
              <w:pStyle w:val="26"/>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序号</w:t>
            </w:r>
          </w:p>
        </w:tc>
        <w:tc>
          <w:tcPr>
            <w:tcW w:w="2738" w:type="dxa"/>
            <w:gridSpan w:val="2"/>
            <w:vAlign w:val="top"/>
          </w:tcPr>
          <w:p w14:paraId="4D2587BC">
            <w:pPr>
              <w:pStyle w:val="26"/>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证书名</w:t>
            </w:r>
          </w:p>
        </w:tc>
        <w:tc>
          <w:tcPr>
            <w:tcW w:w="3030" w:type="dxa"/>
            <w:gridSpan w:val="2"/>
            <w:vAlign w:val="top"/>
          </w:tcPr>
          <w:p w14:paraId="0030FAD8">
            <w:pPr>
              <w:pStyle w:val="26"/>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证书号</w:t>
            </w:r>
          </w:p>
        </w:tc>
      </w:tr>
      <w:tr w14:paraId="678D6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73" w:type="dxa"/>
            <w:vMerge w:val="continue"/>
            <w:tcBorders>
              <w:top w:val="nil"/>
              <w:bottom w:val="nil"/>
            </w:tcBorders>
            <w:vAlign w:val="top"/>
          </w:tcPr>
          <w:p w14:paraId="50C9921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328" w:type="dxa"/>
            <w:vAlign w:val="top"/>
          </w:tcPr>
          <w:p w14:paraId="682C208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38" w:type="dxa"/>
            <w:gridSpan w:val="2"/>
            <w:vAlign w:val="top"/>
          </w:tcPr>
          <w:p w14:paraId="6EC6C13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030" w:type="dxa"/>
            <w:gridSpan w:val="2"/>
            <w:vAlign w:val="top"/>
          </w:tcPr>
          <w:p w14:paraId="780521E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E67D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573" w:type="dxa"/>
            <w:vMerge w:val="continue"/>
            <w:tcBorders>
              <w:top w:val="nil"/>
              <w:bottom w:val="nil"/>
            </w:tcBorders>
            <w:vAlign w:val="top"/>
          </w:tcPr>
          <w:p w14:paraId="6D48773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328" w:type="dxa"/>
            <w:vAlign w:val="top"/>
          </w:tcPr>
          <w:p w14:paraId="4D07821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38" w:type="dxa"/>
            <w:gridSpan w:val="2"/>
            <w:vAlign w:val="top"/>
          </w:tcPr>
          <w:p w14:paraId="25A26C3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030" w:type="dxa"/>
            <w:gridSpan w:val="2"/>
            <w:vAlign w:val="top"/>
          </w:tcPr>
          <w:p w14:paraId="630F31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5DB7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tcBorders>
            <w:vAlign w:val="top"/>
          </w:tcPr>
          <w:p w14:paraId="5EBE6C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328" w:type="dxa"/>
            <w:vAlign w:val="top"/>
          </w:tcPr>
          <w:p w14:paraId="1D47D43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38" w:type="dxa"/>
            <w:gridSpan w:val="2"/>
            <w:vAlign w:val="top"/>
          </w:tcPr>
          <w:p w14:paraId="1D5ADB7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3030" w:type="dxa"/>
            <w:gridSpan w:val="2"/>
            <w:vAlign w:val="top"/>
          </w:tcPr>
          <w:p w14:paraId="493D434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023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restart"/>
            <w:tcBorders>
              <w:bottom w:val="nil"/>
            </w:tcBorders>
            <w:vAlign w:val="center"/>
          </w:tcPr>
          <w:p w14:paraId="4EC91F69">
            <w:pPr>
              <w:pStyle w:val="26"/>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主要经历和业绩</w:t>
            </w:r>
          </w:p>
        </w:tc>
        <w:tc>
          <w:tcPr>
            <w:tcW w:w="2776" w:type="dxa"/>
            <w:gridSpan w:val="2"/>
            <w:vAlign w:val="top"/>
          </w:tcPr>
          <w:p w14:paraId="771A741E">
            <w:pPr>
              <w:pStyle w:val="26"/>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工作起止时间</w:t>
            </w:r>
          </w:p>
        </w:tc>
        <w:tc>
          <w:tcPr>
            <w:tcW w:w="4320" w:type="dxa"/>
            <w:gridSpan w:val="3"/>
            <w:vAlign w:val="top"/>
          </w:tcPr>
          <w:p w14:paraId="08AB668A">
            <w:pPr>
              <w:pStyle w:val="26"/>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经历及主要业绩</w:t>
            </w:r>
          </w:p>
        </w:tc>
      </w:tr>
      <w:tr w14:paraId="6C25E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573" w:type="dxa"/>
            <w:vMerge w:val="continue"/>
            <w:tcBorders>
              <w:top w:val="nil"/>
              <w:bottom w:val="nil"/>
            </w:tcBorders>
            <w:vAlign w:val="top"/>
          </w:tcPr>
          <w:p w14:paraId="30BBE28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51E9429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37E9CEA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933C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bottom w:val="nil"/>
            </w:tcBorders>
            <w:vAlign w:val="top"/>
          </w:tcPr>
          <w:p w14:paraId="766179E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422854E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6F008A3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623F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bottom w:val="nil"/>
            </w:tcBorders>
            <w:vAlign w:val="top"/>
          </w:tcPr>
          <w:p w14:paraId="306B811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1EAEAB2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371C42E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73DED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573" w:type="dxa"/>
            <w:vMerge w:val="continue"/>
            <w:tcBorders>
              <w:top w:val="nil"/>
            </w:tcBorders>
            <w:vAlign w:val="top"/>
          </w:tcPr>
          <w:p w14:paraId="6FD39B3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2776" w:type="dxa"/>
            <w:gridSpan w:val="2"/>
            <w:vAlign w:val="top"/>
          </w:tcPr>
          <w:p w14:paraId="4878C7B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4320" w:type="dxa"/>
            <w:gridSpan w:val="3"/>
            <w:vAlign w:val="top"/>
          </w:tcPr>
          <w:p w14:paraId="3BBFD7D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4F67D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1573" w:type="dxa"/>
            <w:vAlign w:val="top"/>
          </w:tcPr>
          <w:p w14:paraId="2EAE0B3A">
            <w:pPr>
              <w:pStyle w:val="26"/>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说明</w:t>
            </w:r>
          </w:p>
        </w:tc>
        <w:tc>
          <w:tcPr>
            <w:tcW w:w="7096" w:type="dxa"/>
            <w:gridSpan w:val="5"/>
            <w:vAlign w:val="top"/>
          </w:tcPr>
          <w:p w14:paraId="0C5CF2D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2F58726B">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174DAE9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注明：后附相关证明材料复印件并加盖</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公章。</w:t>
      </w:r>
    </w:p>
    <w:p w14:paraId="034E9B5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22" w:type="default"/>
          <w:pgSz w:w="11922" w:h="16849"/>
          <w:pgMar w:top="1440" w:right="1803" w:bottom="1440" w:left="1803" w:header="1134" w:footer="1253" w:gutter="0"/>
          <w:pgNumType w:fmt="decimal"/>
          <w:cols w:space="0" w:num="1"/>
          <w:rtlGutter w:val="0"/>
          <w:docGrid w:linePitch="0" w:charSpace="0"/>
        </w:sectPr>
      </w:pPr>
    </w:p>
    <w:p w14:paraId="0C897B69">
      <w:pPr>
        <w:pageBreakBefore w:val="0"/>
        <w:kinsoku w:val="0"/>
        <w:wordWrap/>
        <w:overflowPunct/>
        <w:topLinePunct w:val="0"/>
        <w:bidi w:val="0"/>
        <w:adjustRightInd w:val="0"/>
        <w:snapToGrid w:val="0"/>
        <w:spacing w:line="360" w:lineRule="auto"/>
        <w:ind w:left="0" w:leftChars="0" w:right="0" w:rightChars="0"/>
        <w:jc w:val="center"/>
        <w:textAlignment w:val="baseline"/>
        <w:outlineLvl w:val="9"/>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拟派人员一览表（仅供参考）</w:t>
      </w:r>
    </w:p>
    <w:tbl>
      <w:tblPr>
        <w:tblStyle w:val="25"/>
        <w:tblW w:w="8270" w:type="dxa"/>
        <w:tblInd w:w="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1132"/>
        <w:gridCol w:w="990"/>
        <w:gridCol w:w="1558"/>
        <w:gridCol w:w="1898"/>
        <w:gridCol w:w="1551"/>
      </w:tblGrid>
      <w:tr w14:paraId="07361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141" w:type="dxa"/>
            <w:vAlign w:val="center"/>
          </w:tcPr>
          <w:p w14:paraId="011792CD">
            <w:pPr>
              <w:pStyle w:val="26"/>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序号</w:t>
            </w:r>
          </w:p>
        </w:tc>
        <w:tc>
          <w:tcPr>
            <w:tcW w:w="1132" w:type="dxa"/>
            <w:vAlign w:val="center"/>
          </w:tcPr>
          <w:p w14:paraId="76105E18">
            <w:pPr>
              <w:pStyle w:val="26"/>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姓名</w:t>
            </w:r>
          </w:p>
        </w:tc>
        <w:tc>
          <w:tcPr>
            <w:tcW w:w="990" w:type="dxa"/>
            <w:vAlign w:val="center"/>
          </w:tcPr>
          <w:p w14:paraId="685CB172">
            <w:pPr>
              <w:pStyle w:val="26"/>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职称</w:t>
            </w:r>
          </w:p>
        </w:tc>
        <w:tc>
          <w:tcPr>
            <w:tcW w:w="1558" w:type="dxa"/>
            <w:vAlign w:val="center"/>
          </w:tcPr>
          <w:p w14:paraId="7C71750A">
            <w:pPr>
              <w:pStyle w:val="26"/>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资格证书号</w:t>
            </w:r>
          </w:p>
        </w:tc>
        <w:tc>
          <w:tcPr>
            <w:tcW w:w="1898" w:type="dxa"/>
            <w:vAlign w:val="center"/>
          </w:tcPr>
          <w:p w14:paraId="25B4F14F">
            <w:pPr>
              <w:pStyle w:val="26"/>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注册证书号</w:t>
            </w:r>
          </w:p>
        </w:tc>
        <w:tc>
          <w:tcPr>
            <w:tcW w:w="1551" w:type="dxa"/>
            <w:vAlign w:val="center"/>
          </w:tcPr>
          <w:p w14:paraId="15FC8172">
            <w:pPr>
              <w:pStyle w:val="26"/>
              <w:pageBreakBefore w:val="0"/>
              <w:kinsoku w:val="0"/>
              <w:wordWrap/>
              <w:overflowPunct/>
              <w:topLinePunct w:val="0"/>
              <w:bidi w:val="0"/>
              <w:adjustRightInd w:val="0"/>
              <w:snapToGrid w:val="0"/>
              <w:spacing w:line="360" w:lineRule="auto"/>
              <w:ind w:left="0" w:leftChars="0" w:right="0" w:rightChars="0"/>
              <w:jc w:val="both"/>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学历</w:t>
            </w:r>
          </w:p>
        </w:tc>
      </w:tr>
      <w:tr w14:paraId="7FF9E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32DC8C6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432E4B8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4C90A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B9C785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32B1DAA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15646EE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1CD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41" w:type="dxa"/>
            <w:vAlign w:val="top"/>
          </w:tcPr>
          <w:p w14:paraId="60A091B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C58FA8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085F71B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447D68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16E3668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2638BA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73D0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75BCAC0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678445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F8B1E5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12F9293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71FDDDD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2C702C0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546A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41" w:type="dxa"/>
            <w:vAlign w:val="top"/>
          </w:tcPr>
          <w:p w14:paraId="5C8CB9F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25EBCE4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462DAD7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36CEC97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5A3A72C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EEB34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89C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66505F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110908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F67EE3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05F1B8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11EEEBC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137C96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215A3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64C9359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7CEDE9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1020CD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38C565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782453B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6471F98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0F741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0124E34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03BA7E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2B5D89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64CAB87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63160AF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1BADFEB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1CFAA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3862327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90B52F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3D41CC3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69C2AD99">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032ACDE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61B662A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7148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1C5A4E2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10546C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EB22CD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2E932F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6256DE1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6A4E3FC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52660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621ACF4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7F46CDC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2903B5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5F6AAD6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0AED55AC">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2444E86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303F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75B48B52">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45E9A9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0A693ED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4641FDE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6CBA28C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4A8B50C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CAD6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41" w:type="dxa"/>
            <w:vAlign w:val="top"/>
          </w:tcPr>
          <w:p w14:paraId="4C820FC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38456F1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710C752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4373ED8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386F714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27BD2A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769CA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1" w:type="dxa"/>
            <w:vAlign w:val="top"/>
          </w:tcPr>
          <w:p w14:paraId="686B59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1827B5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6AA2DBD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5F33519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65044BB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2C6E782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C394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41" w:type="dxa"/>
            <w:vAlign w:val="top"/>
          </w:tcPr>
          <w:p w14:paraId="73262AE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5E92E214">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59666800">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2D183183">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38CD478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31FD383A">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r w14:paraId="30DD4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141" w:type="dxa"/>
            <w:vAlign w:val="top"/>
          </w:tcPr>
          <w:p w14:paraId="1A7335E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132" w:type="dxa"/>
            <w:vAlign w:val="top"/>
          </w:tcPr>
          <w:p w14:paraId="49C9F2C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990" w:type="dxa"/>
            <w:vAlign w:val="top"/>
          </w:tcPr>
          <w:p w14:paraId="5CAC5FF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8" w:type="dxa"/>
            <w:vAlign w:val="top"/>
          </w:tcPr>
          <w:p w14:paraId="0BED7FD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898" w:type="dxa"/>
            <w:vAlign w:val="top"/>
          </w:tcPr>
          <w:p w14:paraId="40DD6357">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c>
          <w:tcPr>
            <w:tcW w:w="1551" w:type="dxa"/>
            <w:vAlign w:val="top"/>
          </w:tcPr>
          <w:p w14:paraId="700D1B5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tc>
      </w:tr>
    </w:tbl>
    <w:p w14:paraId="4BDBFB7E">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注明：后附相关证明材料复印件并加盖</w:t>
      </w:r>
      <w:r>
        <w:rPr>
          <w:rFonts w:hint="eastAsia" w:ascii="仿宋" w:hAnsi="仿宋" w:eastAsia="仿宋" w:cs="仿宋"/>
          <w:color w:val="auto"/>
          <w:spacing w:val="0"/>
          <w:w w:val="100"/>
          <w:position w:val="0"/>
          <w:sz w:val="28"/>
          <w:szCs w:val="28"/>
          <w:highlight w:val="none"/>
          <w:lang w:eastAsia="zh-CN"/>
        </w:rPr>
        <w:t>供应商</w:t>
      </w:r>
      <w:r>
        <w:rPr>
          <w:rFonts w:hint="eastAsia" w:ascii="仿宋" w:hAnsi="仿宋" w:eastAsia="仿宋" w:cs="仿宋"/>
          <w:color w:val="auto"/>
          <w:spacing w:val="0"/>
          <w:w w:val="100"/>
          <w:position w:val="0"/>
          <w:sz w:val="28"/>
          <w:szCs w:val="28"/>
          <w:highlight w:val="none"/>
        </w:rPr>
        <w:t>公章。</w:t>
      </w:r>
    </w:p>
    <w:p w14:paraId="5D1D6D0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23" w:type="default"/>
          <w:pgSz w:w="11922" w:h="16849"/>
          <w:pgMar w:top="1440" w:right="1803" w:bottom="1440" w:left="1803" w:header="1134" w:footer="1253" w:gutter="0"/>
          <w:pgNumType w:fmt="decimal"/>
          <w:cols w:space="0" w:num="1"/>
          <w:rtlGutter w:val="0"/>
          <w:docGrid w:linePitch="0" w:charSpace="0"/>
        </w:sectPr>
      </w:pPr>
    </w:p>
    <w:p w14:paraId="56892B99">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41" w:name="_Toc1478"/>
      <w:r>
        <w:rPr>
          <w:rFonts w:hint="eastAsia" w:ascii="仿宋" w:hAnsi="仿宋" w:eastAsia="仿宋" w:cs="仿宋"/>
          <w:b/>
          <w:bCs/>
          <w:color w:val="auto"/>
          <w:spacing w:val="0"/>
          <w:w w:val="100"/>
          <w:position w:val="0"/>
          <w:sz w:val="28"/>
          <w:szCs w:val="28"/>
          <w:highlight w:val="none"/>
        </w:rPr>
        <w:t>八、服务方案</w:t>
      </w:r>
      <w:bookmarkEnd w:id="41"/>
    </w:p>
    <w:p w14:paraId="69A69756">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eastAsia="zh-CN"/>
        </w:rPr>
        <w:sectPr>
          <w:footerReference r:id="rId24"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供应商自行制作格式</w:t>
      </w:r>
      <w:r>
        <w:rPr>
          <w:rFonts w:hint="eastAsia" w:ascii="仿宋" w:hAnsi="仿宋" w:eastAsia="仿宋" w:cs="仿宋"/>
          <w:color w:val="auto"/>
          <w:spacing w:val="0"/>
          <w:w w:val="100"/>
          <w:position w:val="0"/>
          <w:sz w:val="28"/>
          <w:szCs w:val="28"/>
          <w:highlight w:val="none"/>
          <w:lang w:eastAsia="zh-CN"/>
        </w:rPr>
        <w:t>）</w:t>
      </w:r>
    </w:p>
    <w:p w14:paraId="5AB9F978">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42" w:name="_Toc9322"/>
      <w:r>
        <w:rPr>
          <w:rFonts w:hint="eastAsia" w:ascii="仿宋" w:hAnsi="仿宋" w:eastAsia="仿宋" w:cs="仿宋"/>
          <w:b/>
          <w:bCs/>
          <w:color w:val="auto"/>
          <w:spacing w:val="0"/>
          <w:w w:val="100"/>
          <w:position w:val="0"/>
          <w:sz w:val="28"/>
          <w:szCs w:val="28"/>
          <w:highlight w:val="none"/>
        </w:rPr>
        <w:t>九、服务承诺</w:t>
      </w:r>
      <w:bookmarkEnd w:id="42"/>
    </w:p>
    <w:p w14:paraId="15758320">
      <w:pPr>
        <w:pageBreakBefore w:val="0"/>
        <w:kinsoku w:val="0"/>
        <w:wordWrap/>
        <w:overflowPunct/>
        <w:topLinePunct w:val="0"/>
        <w:bidi w:val="0"/>
        <w:adjustRightInd w:val="0"/>
        <w:snapToGrid w:val="0"/>
        <w:spacing w:line="360" w:lineRule="auto"/>
        <w:ind w:left="0" w:leftChars="0" w:right="0" w:rightChars="0"/>
        <w:jc w:val="center"/>
        <w:textAlignment w:val="baseline"/>
        <w:rPr>
          <w:rFonts w:hint="eastAsia" w:ascii="仿宋" w:hAnsi="仿宋" w:eastAsia="仿宋" w:cs="仿宋"/>
          <w:color w:val="auto"/>
          <w:spacing w:val="0"/>
          <w:w w:val="100"/>
          <w:position w:val="0"/>
          <w:sz w:val="28"/>
          <w:szCs w:val="28"/>
          <w:highlight w:val="none"/>
          <w:lang w:eastAsia="zh-CN"/>
        </w:rPr>
        <w:sectPr>
          <w:footerReference r:id="rId25" w:type="default"/>
          <w:pgSz w:w="11922" w:h="16849"/>
          <w:pgMar w:top="1440" w:right="1803" w:bottom="1440" w:left="1803" w:header="1134" w:footer="1253" w:gutter="0"/>
          <w:pgNumType w:fmt="decimal"/>
          <w:cols w:space="0" w:num="1"/>
          <w:rtlGutter w:val="0"/>
          <w:docGrid w:linePitch="0" w:charSpace="0"/>
        </w:sectPr>
      </w:pPr>
      <w:r>
        <w:rPr>
          <w:rFonts w:hint="eastAsia" w:ascii="仿宋" w:hAnsi="仿宋" w:eastAsia="仿宋" w:cs="仿宋"/>
          <w:color w:val="auto"/>
          <w:spacing w:val="0"/>
          <w:w w:val="100"/>
          <w:position w:val="0"/>
          <w:sz w:val="28"/>
          <w:szCs w:val="28"/>
          <w:highlight w:val="none"/>
          <w:lang w:eastAsia="zh-CN"/>
        </w:rPr>
        <w:t>（</w:t>
      </w:r>
      <w:r>
        <w:rPr>
          <w:rFonts w:hint="eastAsia" w:ascii="仿宋" w:hAnsi="仿宋" w:eastAsia="仿宋" w:cs="仿宋"/>
          <w:color w:val="auto"/>
          <w:spacing w:val="0"/>
          <w:w w:val="100"/>
          <w:position w:val="0"/>
          <w:sz w:val="28"/>
          <w:szCs w:val="28"/>
          <w:highlight w:val="none"/>
          <w:lang w:val="en-US" w:eastAsia="zh-CN"/>
        </w:rPr>
        <w:t>供应商自行制作格式</w:t>
      </w:r>
      <w:r>
        <w:rPr>
          <w:rFonts w:hint="eastAsia" w:ascii="仿宋" w:hAnsi="仿宋" w:eastAsia="仿宋" w:cs="仿宋"/>
          <w:color w:val="auto"/>
          <w:spacing w:val="0"/>
          <w:w w:val="100"/>
          <w:position w:val="0"/>
          <w:sz w:val="28"/>
          <w:szCs w:val="28"/>
          <w:highlight w:val="none"/>
          <w:lang w:eastAsia="zh-CN"/>
        </w:rPr>
        <w:t>）</w:t>
      </w:r>
    </w:p>
    <w:p w14:paraId="64B3ED0B">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color w:val="auto"/>
          <w:spacing w:val="0"/>
          <w:w w:val="100"/>
          <w:position w:val="0"/>
          <w:sz w:val="28"/>
          <w:szCs w:val="28"/>
          <w:highlight w:val="none"/>
        </w:rPr>
      </w:pPr>
      <w:bookmarkStart w:id="43" w:name="_Toc4055"/>
      <w:r>
        <w:rPr>
          <w:rFonts w:hint="eastAsia" w:ascii="仿宋" w:hAnsi="仿宋" w:eastAsia="仿宋" w:cs="仿宋"/>
          <w:b/>
          <w:bCs/>
          <w:color w:val="auto"/>
          <w:spacing w:val="0"/>
          <w:w w:val="100"/>
          <w:position w:val="0"/>
          <w:sz w:val="28"/>
          <w:szCs w:val="28"/>
          <w:highlight w:val="none"/>
        </w:rPr>
        <w:t>十、联合体协议</w:t>
      </w:r>
      <w:bookmarkEnd w:id="43"/>
    </w:p>
    <w:p w14:paraId="5F31F0E4">
      <w:pPr>
        <w:pageBreakBefore w:val="0"/>
        <w:kinsoku w:val="0"/>
        <w:wordWrap/>
        <w:overflowPunct/>
        <w:topLinePunct w:val="0"/>
        <w:bidi w:val="0"/>
        <w:adjustRightInd w:val="0"/>
        <w:snapToGrid w:val="0"/>
        <w:spacing w:line="360" w:lineRule="auto"/>
        <w:ind w:left="0" w:leftChars="0" w:right="0" w:rightChars="0" w:firstLine="1960" w:firstLineChars="7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(不允许联合体投标</w:t>
      </w:r>
      <w:r>
        <w:rPr>
          <w:rFonts w:hint="eastAsia" w:ascii="仿宋" w:hAnsi="仿宋" w:eastAsia="仿宋" w:cs="仿宋"/>
          <w:color w:val="auto"/>
          <w:spacing w:val="0"/>
          <w:w w:val="100"/>
          <w:position w:val="0"/>
          <w:sz w:val="28"/>
          <w:szCs w:val="28"/>
          <w:highlight w:val="none"/>
          <w:lang w:eastAsia="zh-CN"/>
        </w:rPr>
        <w:t>，本项目不采用</w:t>
      </w:r>
      <w:r>
        <w:rPr>
          <w:rFonts w:hint="eastAsia" w:ascii="仿宋" w:hAnsi="仿宋" w:eastAsia="仿宋" w:cs="仿宋"/>
          <w:color w:val="auto"/>
          <w:spacing w:val="0"/>
          <w:w w:val="100"/>
          <w:position w:val="0"/>
          <w:sz w:val="28"/>
          <w:szCs w:val="28"/>
          <w:highlight w:val="none"/>
        </w:rPr>
        <w:t>)</w:t>
      </w:r>
    </w:p>
    <w:p w14:paraId="042CFC4A">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联合体成员一名称：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0A60B6DB">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联合体成员二名称：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u w:val="single" w:color="auto"/>
          <w:lang w:val="en-US" w:eastAsia="zh-CN"/>
        </w:rPr>
        <w:t xml:space="preserve">      </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75594726">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w:t>
      </w:r>
    </w:p>
    <w:p w14:paraId="407F4E53">
      <w:pPr>
        <w:pageBreakBefore w:val="0"/>
        <w:kinsoku w:val="0"/>
        <w:wordWrap/>
        <w:overflowPunct/>
        <w:topLinePunct w:val="0"/>
        <w:bidi w:val="0"/>
        <w:adjustRightInd w:val="0"/>
        <w:snapToGrid w:val="0"/>
        <w:spacing w:line="360" w:lineRule="auto"/>
        <w:ind w:left="0" w:leftChars="0" w:right="0" w:rightChars="0" w:firstLine="436"/>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上述各成员单位经过友好协商，自愿组成联合体，共同参加本项目的投标，现就联合体投 标事宜订立如下协议：</w:t>
      </w:r>
    </w:p>
    <w:p w14:paraId="5B4070A9">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1.</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(某成员单位名称) 为联合体牵头人。</w:t>
      </w:r>
    </w:p>
    <w:p w14:paraId="20D667D7">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，联合体各方共同与</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签订合同，就本项目对</w:t>
      </w:r>
      <w:r>
        <w:rPr>
          <w:rFonts w:hint="eastAsia" w:ascii="仿宋" w:hAnsi="仿宋" w:eastAsia="仿宋" w:cs="仿宋"/>
          <w:color w:val="auto"/>
          <w:spacing w:val="0"/>
          <w:w w:val="100"/>
          <w:position w:val="0"/>
          <w:sz w:val="28"/>
          <w:szCs w:val="28"/>
          <w:highlight w:val="none"/>
          <w:lang w:eastAsia="zh-CN"/>
        </w:rPr>
        <w:t>征集人</w:t>
      </w:r>
      <w:r>
        <w:rPr>
          <w:rFonts w:hint="eastAsia" w:ascii="仿宋" w:hAnsi="仿宋" w:eastAsia="仿宋" w:cs="仿宋"/>
          <w:color w:val="auto"/>
          <w:spacing w:val="0"/>
          <w:w w:val="100"/>
          <w:position w:val="0"/>
          <w:sz w:val="28"/>
          <w:szCs w:val="28"/>
          <w:highlight w:val="none"/>
        </w:rPr>
        <w:t>承担连带责任。</w:t>
      </w:r>
    </w:p>
    <w:p w14:paraId="44B8639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3.联合体各成员单位内部的职责分工及各方负责内容的合同金额占总合同金额 的百分比如下：</w:t>
      </w:r>
    </w:p>
    <w:p w14:paraId="6739694E">
      <w:pPr>
        <w:pageBreakBefore w:val="0"/>
        <w:kinsoku w:val="0"/>
        <w:wordWrap/>
        <w:overflowPunct/>
        <w:topLinePunct w:val="0"/>
        <w:bidi w:val="0"/>
        <w:adjustRightInd w:val="0"/>
        <w:snapToGrid w:val="0"/>
        <w:spacing w:line="360" w:lineRule="auto"/>
        <w:ind w:left="0" w:leftChars="0" w:right="0" w:rightChars="0" w:firstLine="415"/>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联合体成员一名称：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，承担</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工作，负责内容的合同金额占 总合同金额的百分比：</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48FD0B48">
      <w:pPr>
        <w:pageBreakBefore w:val="0"/>
        <w:kinsoku w:val="0"/>
        <w:wordWrap/>
        <w:overflowPunct/>
        <w:topLinePunct w:val="0"/>
        <w:bidi w:val="0"/>
        <w:adjustRightInd w:val="0"/>
        <w:snapToGrid w:val="0"/>
        <w:spacing w:line="360" w:lineRule="auto"/>
        <w:ind w:left="0" w:leftChars="0" w:right="0" w:rightChars="0" w:firstLine="425"/>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联合体成员二名称：</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，承担</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工作，负责内容的合同金 额占总合同金额的百分比：</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w:t>
      </w:r>
    </w:p>
    <w:p w14:paraId="4CC922DF">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 ” ”</w:t>
      </w:r>
    </w:p>
    <w:p w14:paraId="49DCE0BC">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4.投标工作和联合体在</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项目实施过程中的有关费用按各自承担的工作量分摊。</w:t>
      </w:r>
    </w:p>
    <w:p w14:paraId="7465A494">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5.联合体</w:t>
      </w:r>
      <w:r>
        <w:rPr>
          <w:rFonts w:hint="eastAsia" w:ascii="仿宋" w:hAnsi="仿宋" w:eastAsia="仿宋" w:cs="仿宋"/>
          <w:color w:val="auto"/>
          <w:spacing w:val="0"/>
          <w:w w:val="100"/>
          <w:position w:val="0"/>
          <w:sz w:val="28"/>
          <w:szCs w:val="28"/>
          <w:highlight w:val="none"/>
          <w:lang w:eastAsia="zh-CN"/>
        </w:rPr>
        <w:t>成交后</w:t>
      </w:r>
      <w:r>
        <w:rPr>
          <w:rFonts w:hint="eastAsia" w:ascii="仿宋" w:hAnsi="仿宋" w:eastAsia="仿宋" w:cs="仿宋"/>
          <w:color w:val="auto"/>
          <w:spacing w:val="0"/>
          <w:w w:val="100"/>
          <w:position w:val="0"/>
          <w:sz w:val="28"/>
          <w:szCs w:val="28"/>
          <w:highlight w:val="none"/>
        </w:rPr>
        <w:t>，本联合体协议是合同的附件， 对联合体各成员单位有合同约束力。</w:t>
      </w:r>
    </w:p>
    <w:p w14:paraId="21F07B4F">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xml:space="preserve">6.本协议书自签署之日起生效，联合体未中标或者合同履行完毕后自动失效。 </w:t>
      </w:r>
    </w:p>
    <w:p w14:paraId="64D58248">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6FD2A7C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联合体成员一：</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(公章)</w:t>
      </w:r>
    </w:p>
    <w:p w14:paraId="466354E4">
      <w:pPr>
        <w:pageBreakBefore w:val="0"/>
        <w:kinsoku w:val="0"/>
        <w:wordWrap/>
        <w:overflowPunct/>
        <w:topLinePunct w:val="0"/>
        <w:bidi w:val="0"/>
        <w:adjustRightInd w:val="0"/>
        <w:snapToGrid w:val="0"/>
        <w:spacing w:line="360" w:lineRule="auto"/>
        <w:ind w:left="0" w:leftChars="0" w:right="0" w:rightChars="0" w:firstLine="9"/>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(签字或盖章) 联合体成员二：</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(公章)</w:t>
      </w:r>
    </w:p>
    <w:p w14:paraId="768EABD5">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法定代表人：</w:t>
      </w:r>
      <w:r>
        <w:rPr>
          <w:rFonts w:hint="eastAsia" w:ascii="仿宋" w:hAnsi="仿宋" w:eastAsia="仿宋" w:cs="仿宋"/>
          <w:color w:val="auto"/>
          <w:spacing w:val="0"/>
          <w:w w:val="100"/>
          <w:position w:val="0"/>
          <w:sz w:val="28"/>
          <w:szCs w:val="28"/>
          <w:highlight w:val="none"/>
          <w:u w:val="single" w:color="auto"/>
        </w:rPr>
        <w:t xml:space="preserve">                               </w:t>
      </w:r>
      <w:r>
        <w:rPr>
          <w:rFonts w:hint="eastAsia" w:ascii="仿宋" w:hAnsi="仿宋" w:eastAsia="仿宋" w:cs="仿宋"/>
          <w:color w:val="auto"/>
          <w:spacing w:val="0"/>
          <w:w w:val="100"/>
          <w:position w:val="0"/>
          <w:sz w:val="28"/>
          <w:szCs w:val="28"/>
          <w:highlight w:val="none"/>
        </w:rPr>
        <w:t xml:space="preserve"> (签字或盖章)</w:t>
      </w:r>
    </w:p>
    <w:p w14:paraId="2F7968CD">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 ” ” ”</w:t>
      </w:r>
    </w:p>
    <w:p w14:paraId="3F413E4A">
      <w:pPr>
        <w:pageBreakBefore w:val="0"/>
        <w:kinsoku w:val="0"/>
        <w:wordWrap/>
        <w:overflowPunct/>
        <w:topLinePunct w:val="0"/>
        <w:bidi w:val="0"/>
        <w:adjustRightInd w:val="0"/>
        <w:snapToGrid w:val="0"/>
        <w:spacing w:line="360" w:lineRule="auto"/>
        <w:ind w:left="0" w:leftChars="0" w:right="0" w:rightChars="0"/>
        <w:jc w:val="right"/>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签 订 日 期 ：  年    月       日</w:t>
      </w:r>
    </w:p>
    <w:p w14:paraId="76E6BA4B">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sectPr>
          <w:footerReference r:id="rId26" w:type="default"/>
          <w:pgSz w:w="11922" w:h="16849"/>
          <w:pgMar w:top="1440" w:right="1803" w:bottom="1440" w:left="1803" w:header="1134" w:footer="1253" w:gutter="0"/>
          <w:pgNumType w:fmt="decimal"/>
          <w:cols w:space="0" w:num="1"/>
          <w:rtlGutter w:val="0"/>
          <w:docGrid w:linePitch="0" w:charSpace="0"/>
        </w:sectPr>
      </w:pPr>
    </w:p>
    <w:p w14:paraId="04213A10">
      <w:pPr>
        <w:pageBreakBefore w:val="0"/>
        <w:kinsoku w:val="0"/>
        <w:wordWrap/>
        <w:overflowPunct/>
        <w:topLinePunct w:val="0"/>
        <w:bidi w:val="0"/>
        <w:adjustRightInd w:val="0"/>
        <w:snapToGrid w:val="0"/>
        <w:spacing w:line="360" w:lineRule="auto"/>
        <w:ind w:left="0" w:leftChars="0" w:right="0" w:rightChars="0"/>
        <w:jc w:val="center"/>
        <w:textAlignment w:val="baseline"/>
        <w:outlineLvl w:val="1"/>
        <w:rPr>
          <w:rFonts w:hint="eastAsia" w:ascii="仿宋" w:hAnsi="仿宋" w:eastAsia="仿宋" w:cs="仿宋"/>
          <w:b/>
          <w:bCs/>
          <w:color w:val="auto"/>
          <w:spacing w:val="0"/>
          <w:w w:val="100"/>
          <w:position w:val="0"/>
          <w:sz w:val="28"/>
          <w:szCs w:val="28"/>
          <w:highlight w:val="none"/>
        </w:rPr>
      </w:pPr>
      <w:bookmarkStart w:id="44" w:name="_Toc25779"/>
      <w:r>
        <w:rPr>
          <w:rFonts w:hint="eastAsia" w:ascii="仿宋" w:hAnsi="仿宋" w:eastAsia="仿宋" w:cs="仿宋"/>
          <w:b/>
          <w:bCs/>
          <w:color w:val="auto"/>
          <w:spacing w:val="0"/>
          <w:w w:val="100"/>
          <w:position w:val="0"/>
          <w:sz w:val="28"/>
          <w:szCs w:val="28"/>
          <w:highlight w:val="none"/>
          <w:lang w:val="en-US" w:eastAsia="zh-CN"/>
        </w:rPr>
        <w:t>十一</w:t>
      </w:r>
      <w:r>
        <w:rPr>
          <w:rFonts w:hint="eastAsia" w:ascii="仿宋" w:hAnsi="仿宋" w:eastAsia="仿宋" w:cs="仿宋"/>
          <w:b/>
          <w:bCs/>
          <w:color w:val="auto"/>
          <w:spacing w:val="0"/>
          <w:w w:val="100"/>
          <w:position w:val="0"/>
          <w:sz w:val="28"/>
          <w:szCs w:val="28"/>
          <w:highlight w:val="none"/>
        </w:rPr>
        <w:t>、其他相关证明材料</w:t>
      </w:r>
      <w:bookmarkEnd w:id="44"/>
    </w:p>
    <w:p w14:paraId="5773714E">
      <w:pPr>
        <w:pageBreakBefore w:val="0"/>
        <w:kinsoku w:val="0"/>
        <w:wordWrap/>
        <w:overflowPunct/>
        <w:topLinePunct w:val="0"/>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提供符合征集公告(投标邀请）、采购需求及评标方法和标准规定的相关证明文件。</w:t>
      </w:r>
    </w:p>
    <w:p w14:paraId="1B8DB996">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36107996">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03BD93AC">
      <w:pPr>
        <w:pStyle w:val="9"/>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p>
    <w:p w14:paraId="25C2B671">
      <w:pPr>
        <w:pageBreakBefore w:val="0"/>
        <w:kinsoku w:val="0"/>
        <w:wordWrap/>
        <w:overflowPunct/>
        <w:topLinePunct w:val="0"/>
        <w:bidi w:val="0"/>
        <w:adjustRightInd w:val="0"/>
        <w:snapToGrid w:val="0"/>
        <w:spacing w:line="360" w:lineRule="auto"/>
        <w:ind w:left="0" w:leftChars="0" w:right="0" w:rightChars="0"/>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特别提示:</w:t>
      </w:r>
    </w:p>
    <w:p w14:paraId="60DAD04C">
      <w:pPr>
        <w:pageBreakBefore w:val="0"/>
        <w:kinsoku w:val="0"/>
        <w:wordWrap/>
        <w:overflowPunct/>
        <w:topLinePunct w:val="0"/>
        <w:bidi w:val="0"/>
        <w:adjustRightInd w:val="0"/>
        <w:snapToGrid w:val="0"/>
        <w:spacing w:line="360" w:lineRule="auto"/>
        <w:ind w:left="0" w:leftChars="0" w:right="0" w:rightChars="0" w:firstLine="424"/>
        <w:textAlignment w:val="baseline"/>
        <w:rPr>
          <w:rFonts w:hint="eastAsia" w:ascii="仿宋" w:hAnsi="仿宋" w:eastAsia="仿宋" w:cs="仿宋"/>
          <w:color w:val="auto"/>
          <w:spacing w:val="0"/>
          <w:w w:val="100"/>
          <w:position w:val="0"/>
          <w:sz w:val="28"/>
          <w:szCs w:val="28"/>
          <w:highlight w:val="none"/>
        </w:rPr>
      </w:pPr>
      <w:r>
        <w:rPr>
          <w:rFonts w:hint="eastAsia" w:ascii="仿宋" w:hAnsi="仿宋" w:eastAsia="仿宋" w:cs="仿宋"/>
          <w:color w:val="auto"/>
          <w:spacing w:val="0"/>
          <w:w w:val="100"/>
          <w:position w:val="0"/>
          <w:sz w:val="28"/>
          <w:szCs w:val="28"/>
          <w:highlight w:val="none"/>
        </w:rPr>
        <w:t>供应商在征集响应文件制作时可在此栏内上传征集文件要求上传的证明资料，如营业执照、税务登记证、人员证书、资质证书、荣誉奖项等，应将上述证明材料制作成扫描件上传。</w:t>
      </w:r>
    </w:p>
    <w:sectPr>
      <w:footerReference r:id="rId27" w:type="default"/>
      <w:pgSz w:w="11922" w:h="16849"/>
      <w:pgMar w:top="1440" w:right="1803" w:bottom="1440" w:left="1803" w:header="1134" w:footer="125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8FB1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2E9E9">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E2E9E9">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6D6DF">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CBDFF">
                          <w:pPr>
                            <w:pStyle w:val="1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BCBDFF">
                    <w:pPr>
                      <w:pStyle w:val="15"/>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7638A">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E620A">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6E620A">
                    <w:pPr>
                      <w:pStyle w:val="1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65EE">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AA7DC">
                          <w:pPr>
                            <w:pStyle w:val="15"/>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AFAA7DC">
                    <w:pPr>
                      <w:pStyle w:val="1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43">
    <w:pPr>
      <w:pStyle w:val="9"/>
      <w:spacing w:line="184" w:lineRule="auto"/>
      <w:ind w:left="436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63927">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63927">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36143">
    <w:pPr>
      <w:pStyle w:val="1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55D02E">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55D02E">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068B2">
    <w:pPr>
      <w:pStyle w:val="1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3358B">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B3358B">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B2A7">
    <w:pPr>
      <w:pStyle w:val="9"/>
      <w:spacing w:line="184" w:lineRule="auto"/>
      <w:ind w:left="408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3A167">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F83A167">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58377">
    <w:pPr>
      <w:pStyle w:val="9"/>
      <w:spacing w:line="184" w:lineRule="auto"/>
      <w:ind w:left="420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4953E">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7E84953E">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38087">
    <w:pPr>
      <w:pStyle w:val="15"/>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3C475">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DF3C475">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CF6F">
    <w:pPr>
      <w:pStyle w:val="15"/>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F4390">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92F4390">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ECAE">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CCBF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CCCBF4">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473AE">
    <w:pPr>
      <w:pStyle w:val="15"/>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93BDC">
                          <w:pPr>
                            <w:pStyle w:val="1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4393BDC">
                    <w:pPr>
                      <w:pStyle w:val="1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E032">
    <w:pPr>
      <w:pStyle w:val="15"/>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2AC88">
                          <w:pPr>
                            <w:pStyle w:val="1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992AC88">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FC0E">
    <w:pPr>
      <w:pStyle w:val="15"/>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DD7BC">
                          <w:pPr>
                            <w:pStyle w:val="1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F6DD7BC">
                    <w:pPr>
                      <w:pStyle w:val="1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1201F">
    <w:pPr>
      <w:pStyle w:val="9"/>
      <w:spacing w:line="14" w:lineRule="auto"/>
      <w:rPr>
        <w:sz w:val="2"/>
      </w:rPr>
    </w:pPr>
    <w:r>
      <w:rPr>
        <w:sz w:val="2"/>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434AC">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D1434AC">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9F1A">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68B4A">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068B4A">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9F0B2">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6D253">
                          <w:pPr>
                            <w:pStyle w:val="1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436D253">
                    <w:pPr>
                      <w:pStyle w:val="1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1E18">
    <w:pPr>
      <w:pStyle w:val="9"/>
      <w:spacing w:line="184" w:lineRule="auto"/>
      <w:ind w:left="4542"/>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5CA2D">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75CA2D">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740FB">
    <w:pPr>
      <w:pStyle w:val="9"/>
      <w:spacing w:line="184" w:lineRule="auto"/>
      <w:ind w:left="4486"/>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6156D">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36156D">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631B1">
    <w:pPr>
      <w:spacing w:line="167" w:lineRule="auto"/>
      <w:ind w:left="4214"/>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097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09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F9431">
                          <w:pPr>
                            <w:pStyle w:val="1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25pt;mso-position-horizontal:center;mso-position-horizontal-relative:margin;z-index:251665408;mso-width-relative:page;mso-height-relative:page;" filled="f" stroked="f" coordsize="21600,21600" o:gfxdata="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AI6iTSAAAABAEAAA8AAAAAAAAAAQAgAAAAIgAAAGRycy9kb3ducmV2Lnht&#10;bFBLAQIUABQAAAAIAIdO4kCpUGHMOAIAAGIEAAAOAAAAAAAAAAEAIAAAACEBAABkcnMvZTJvRG9j&#10;LnhtbFBLBQYAAAAABgAGAFkBAADLBQAAAAA=&#10;">
              <v:fill on="f" focussize="0,0"/>
              <v:stroke on="f" weight="0.5pt"/>
              <v:imagedata o:title=""/>
              <o:lock v:ext="edit" aspectratio="f"/>
              <v:textbox inset="0mm,0mm,0mm,0mm" style="mso-fit-shape-to-text:t;">
                <w:txbxContent>
                  <w:p w14:paraId="415F9431">
                    <w:pPr>
                      <w:pStyle w:val="1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1B7D">
    <w:pPr>
      <w:spacing w:line="167" w:lineRule="auto"/>
      <w:ind w:left="4014"/>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65496">
                          <w:pPr>
                            <w:pStyle w:val="1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BF65496">
                    <w:pPr>
                      <w:pStyle w:val="1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DFBE">
    <w:pPr>
      <w:pStyle w:val="1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90393">
                          <w:pPr>
                            <w:pStyle w:val="1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B990393">
                    <w:pPr>
                      <w:pStyle w:val="1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CA032E"/>
    <w:multiLevelType w:val="singleLevel"/>
    <w:tmpl w:val="39CA032E"/>
    <w:lvl w:ilvl="0" w:tentative="0">
      <w:start w:val="1"/>
      <w:numFmt w:val="decimal"/>
      <w:suff w:val="nothing"/>
      <w:lvlText w:val="%1、"/>
      <w:lvlJc w:val="left"/>
    </w:lvl>
  </w:abstractNum>
  <w:abstractNum w:abstractNumId="1">
    <w:nsid w:val="5AB08600"/>
    <w:multiLevelType w:val="singleLevel"/>
    <w:tmpl w:val="5AB08600"/>
    <w:lvl w:ilvl="0" w:tentative="0">
      <w:start w:val="3"/>
      <w:numFmt w:val="chineseCounting"/>
      <w:suff w:val="nothing"/>
      <w:lvlText w:val="%1、"/>
      <w:lvlJc w:val="left"/>
      <w:rPr>
        <w:rFonts w:hint="eastAsia"/>
      </w:rPr>
    </w:lvl>
  </w:abstractNum>
  <w:abstractNum w:abstractNumId="2">
    <w:nsid w:val="6C989885"/>
    <w:multiLevelType w:val="singleLevel"/>
    <w:tmpl w:val="6C98988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MyNTFhYjRiYmZiYjQ2NWM3MGVlNmRlOTQ0OThkMDYifQ=="/>
  </w:docVars>
  <w:rsids>
    <w:rsidRoot w:val="00000000"/>
    <w:rsid w:val="02EB448C"/>
    <w:rsid w:val="036D4905"/>
    <w:rsid w:val="03C829F6"/>
    <w:rsid w:val="03CC7180"/>
    <w:rsid w:val="03E86C76"/>
    <w:rsid w:val="05712204"/>
    <w:rsid w:val="05842CD1"/>
    <w:rsid w:val="065539F6"/>
    <w:rsid w:val="065A503D"/>
    <w:rsid w:val="07BA7FB4"/>
    <w:rsid w:val="0827498B"/>
    <w:rsid w:val="09BB7779"/>
    <w:rsid w:val="0A8173F8"/>
    <w:rsid w:val="0AF963B5"/>
    <w:rsid w:val="0C7470DD"/>
    <w:rsid w:val="0CB7258F"/>
    <w:rsid w:val="0E711378"/>
    <w:rsid w:val="0F4F368A"/>
    <w:rsid w:val="0FED0DC8"/>
    <w:rsid w:val="10325C7B"/>
    <w:rsid w:val="105B2462"/>
    <w:rsid w:val="10727A27"/>
    <w:rsid w:val="113463C0"/>
    <w:rsid w:val="138B2F9B"/>
    <w:rsid w:val="159643E7"/>
    <w:rsid w:val="15AC02FF"/>
    <w:rsid w:val="16CE694C"/>
    <w:rsid w:val="176B3771"/>
    <w:rsid w:val="186F4AA4"/>
    <w:rsid w:val="192276F7"/>
    <w:rsid w:val="19405E7C"/>
    <w:rsid w:val="198F6550"/>
    <w:rsid w:val="19987D81"/>
    <w:rsid w:val="1A512B1C"/>
    <w:rsid w:val="1A6C5913"/>
    <w:rsid w:val="1B873A07"/>
    <w:rsid w:val="1BDB2AF0"/>
    <w:rsid w:val="1C69207F"/>
    <w:rsid w:val="1C6A6CC6"/>
    <w:rsid w:val="1CB24951"/>
    <w:rsid w:val="1D9704DA"/>
    <w:rsid w:val="1E97B622"/>
    <w:rsid w:val="1EB00694"/>
    <w:rsid w:val="1F120336"/>
    <w:rsid w:val="1F8D91C1"/>
    <w:rsid w:val="1FAADE14"/>
    <w:rsid w:val="205014FA"/>
    <w:rsid w:val="206B5982"/>
    <w:rsid w:val="20AC0F62"/>
    <w:rsid w:val="224D4E8B"/>
    <w:rsid w:val="22B84A32"/>
    <w:rsid w:val="23506FAC"/>
    <w:rsid w:val="249718DE"/>
    <w:rsid w:val="24DE7951"/>
    <w:rsid w:val="25324AE2"/>
    <w:rsid w:val="26346A42"/>
    <w:rsid w:val="26DC58B7"/>
    <w:rsid w:val="297840D8"/>
    <w:rsid w:val="2A4168D8"/>
    <w:rsid w:val="2A6352A0"/>
    <w:rsid w:val="2A6B09ED"/>
    <w:rsid w:val="2AD96DF8"/>
    <w:rsid w:val="2B004F19"/>
    <w:rsid w:val="2B2A5D24"/>
    <w:rsid w:val="2B894C93"/>
    <w:rsid w:val="2BE56B7A"/>
    <w:rsid w:val="2E64422E"/>
    <w:rsid w:val="2ECD73FA"/>
    <w:rsid w:val="2FADD6C3"/>
    <w:rsid w:val="2FCF23BC"/>
    <w:rsid w:val="2FDBAC8A"/>
    <w:rsid w:val="32F16347"/>
    <w:rsid w:val="332B21BB"/>
    <w:rsid w:val="333659B6"/>
    <w:rsid w:val="33F205A1"/>
    <w:rsid w:val="34CA6229"/>
    <w:rsid w:val="35056FAB"/>
    <w:rsid w:val="351D1FD7"/>
    <w:rsid w:val="353E4427"/>
    <w:rsid w:val="35C85A92"/>
    <w:rsid w:val="35DD4F88"/>
    <w:rsid w:val="364F5F0C"/>
    <w:rsid w:val="36FE6009"/>
    <w:rsid w:val="37305FF2"/>
    <w:rsid w:val="37F7BCF1"/>
    <w:rsid w:val="37FD3403"/>
    <w:rsid w:val="39B74775"/>
    <w:rsid w:val="3A2212AF"/>
    <w:rsid w:val="3AEF63EA"/>
    <w:rsid w:val="3BEDC8A9"/>
    <w:rsid w:val="3BFF4981"/>
    <w:rsid w:val="3C677040"/>
    <w:rsid w:val="3CF28859"/>
    <w:rsid w:val="3DDEA691"/>
    <w:rsid w:val="3DE36011"/>
    <w:rsid w:val="3E240008"/>
    <w:rsid w:val="3E671E09"/>
    <w:rsid w:val="3EFF9052"/>
    <w:rsid w:val="3F1FAB21"/>
    <w:rsid w:val="3F2B5333"/>
    <w:rsid w:val="3F53FBDA"/>
    <w:rsid w:val="3FA93097"/>
    <w:rsid w:val="3FBBF4E1"/>
    <w:rsid w:val="3FE40DEE"/>
    <w:rsid w:val="3FFE09C2"/>
    <w:rsid w:val="41184492"/>
    <w:rsid w:val="41DA4383"/>
    <w:rsid w:val="4307713D"/>
    <w:rsid w:val="43625E85"/>
    <w:rsid w:val="43D212BD"/>
    <w:rsid w:val="45192DDB"/>
    <w:rsid w:val="452D5D95"/>
    <w:rsid w:val="45F57367"/>
    <w:rsid w:val="46E32436"/>
    <w:rsid w:val="47950BF7"/>
    <w:rsid w:val="48A767D9"/>
    <w:rsid w:val="49593F65"/>
    <w:rsid w:val="4AAF1742"/>
    <w:rsid w:val="4AB04258"/>
    <w:rsid w:val="4AC9433B"/>
    <w:rsid w:val="4CC77104"/>
    <w:rsid w:val="4CE81981"/>
    <w:rsid w:val="4D3D38EE"/>
    <w:rsid w:val="4DF23BA9"/>
    <w:rsid w:val="4E1E0022"/>
    <w:rsid w:val="4E4F4B57"/>
    <w:rsid w:val="4F0179C8"/>
    <w:rsid w:val="4FFF1585"/>
    <w:rsid w:val="51820C15"/>
    <w:rsid w:val="5271581E"/>
    <w:rsid w:val="52B31284"/>
    <w:rsid w:val="52EDA078"/>
    <w:rsid w:val="52FB34A3"/>
    <w:rsid w:val="547C7DBE"/>
    <w:rsid w:val="550752E8"/>
    <w:rsid w:val="55376345"/>
    <w:rsid w:val="56EEB572"/>
    <w:rsid w:val="576F824D"/>
    <w:rsid w:val="57B8E300"/>
    <w:rsid w:val="588355D1"/>
    <w:rsid w:val="588D0722"/>
    <w:rsid w:val="58A941A9"/>
    <w:rsid w:val="59B212B6"/>
    <w:rsid w:val="5A0C5FF2"/>
    <w:rsid w:val="5A767910"/>
    <w:rsid w:val="5B21797E"/>
    <w:rsid w:val="5BDF0B37"/>
    <w:rsid w:val="5BFFDF39"/>
    <w:rsid w:val="5C3E3B49"/>
    <w:rsid w:val="5CC92B77"/>
    <w:rsid w:val="5D3F0A3E"/>
    <w:rsid w:val="5DFD6FD9"/>
    <w:rsid w:val="5E7C3EF2"/>
    <w:rsid w:val="5F991ADC"/>
    <w:rsid w:val="5FCF92DB"/>
    <w:rsid w:val="5FD84369"/>
    <w:rsid w:val="5FEF16C1"/>
    <w:rsid w:val="5FEFF5D3"/>
    <w:rsid w:val="606F7680"/>
    <w:rsid w:val="60841A5A"/>
    <w:rsid w:val="60F1769A"/>
    <w:rsid w:val="60F74C52"/>
    <w:rsid w:val="62E461BA"/>
    <w:rsid w:val="63521ABA"/>
    <w:rsid w:val="63DFEA28"/>
    <w:rsid w:val="63F5500B"/>
    <w:rsid w:val="642D4B00"/>
    <w:rsid w:val="64BC3993"/>
    <w:rsid w:val="65672BAC"/>
    <w:rsid w:val="65F710EB"/>
    <w:rsid w:val="66ED0F5A"/>
    <w:rsid w:val="67726250"/>
    <w:rsid w:val="67803C08"/>
    <w:rsid w:val="67B61886"/>
    <w:rsid w:val="67C21A5D"/>
    <w:rsid w:val="67F00D02"/>
    <w:rsid w:val="67FD72E4"/>
    <w:rsid w:val="680270A0"/>
    <w:rsid w:val="68FE0009"/>
    <w:rsid w:val="69167FA7"/>
    <w:rsid w:val="69A4217F"/>
    <w:rsid w:val="69BF5656"/>
    <w:rsid w:val="69DB64E6"/>
    <w:rsid w:val="6A372C18"/>
    <w:rsid w:val="6B062648"/>
    <w:rsid w:val="6B5E5F82"/>
    <w:rsid w:val="6B75270C"/>
    <w:rsid w:val="6B7E2231"/>
    <w:rsid w:val="6BE9CEE1"/>
    <w:rsid w:val="6BF35A4A"/>
    <w:rsid w:val="6BFFD0B2"/>
    <w:rsid w:val="6C5BB1EA"/>
    <w:rsid w:val="6CDC2709"/>
    <w:rsid w:val="6D700901"/>
    <w:rsid w:val="6D7D86E1"/>
    <w:rsid w:val="6D7E16C6"/>
    <w:rsid w:val="6D9F47FD"/>
    <w:rsid w:val="6ECB0731"/>
    <w:rsid w:val="6ED211A9"/>
    <w:rsid w:val="6F6C1E91"/>
    <w:rsid w:val="6F7B8C87"/>
    <w:rsid w:val="6FBFE4A3"/>
    <w:rsid w:val="6FD34B11"/>
    <w:rsid w:val="6FEFA8D0"/>
    <w:rsid w:val="6FFB3611"/>
    <w:rsid w:val="6FFF96BF"/>
    <w:rsid w:val="6FFFCF0A"/>
    <w:rsid w:val="719A47D5"/>
    <w:rsid w:val="726D2375"/>
    <w:rsid w:val="72C34FE8"/>
    <w:rsid w:val="737F933D"/>
    <w:rsid w:val="73CFAA2F"/>
    <w:rsid w:val="73DA313E"/>
    <w:rsid w:val="73FD28A5"/>
    <w:rsid w:val="73FEF847"/>
    <w:rsid w:val="74814B36"/>
    <w:rsid w:val="749B70ED"/>
    <w:rsid w:val="74ED6E37"/>
    <w:rsid w:val="75788A6F"/>
    <w:rsid w:val="75A81596"/>
    <w:rsid w:val="766F2419"/>
    <w:rsid w:val="766F8B23"/>
    <w:rsid w:val="769B92EA"/>
    <w:rsid w:val="76DE3348"/>
    <w:rsid w:val="76EF09A3"/>
    <w:rsid w:val="77706971"/>
    <w:rsid w:val="777F137B"/>
    <w:rsid w:val="77F9F563"/>
    <w:rsid w:val="77FEA1A2"/>
    <w:rsid w:val="7A1A1C0E"/>
    <w:rsid w:val="7A3DE8EC"/>
    <w:rsid w:val="7AF750D8"/>
    <w:rsid w:val="7AFA074D"/>
    <w:rsid w:val="7B7B60D4"/>
    <w:rsid w:val="7B7F3443"/>
    <w:rsid w:val="7BBA5DBE"/>
    <w:rsid w:val="7BCF7E1F"/>
    <w:rsid w:val="7BD026F3"/>
    <w:rsid w:val="7CAD6FC9"/>
    <w:rsid w:val="7CD5E4CD"/>
    <w:rsid w:val="7CDE3963"/>
    <w:rsid w:val="7D953D7C"/>
    <w:rsid w:val="7DBF9E13"/>
    <w:rsid w:val="7E394241"/>
    <w:rsid w:val="7E5F204D"/>
    <w:rsid w:val="7E764BFE"/>
    <w:rsid w:val="7EBE82C2"/>
    <w:rsid w:val="7EBF0D86"/>
    <w:rsid w:val="7EBF93E6"/>
    <w:rsid w:val="7ECF115D"/>
    <w:rsid w:val="7EE80764"/>
    <w:rsid w:val="7EFF5499"/>
    <w:rsid w:val="7F35007A"/>
    <w:rsid w:val="7F56282C"/>
    <w:rsid w:val="7F7FD5F0"/>
    <w:rsid w:val="7FA76180"/>
    <w:rsid w:val="7FA92C61"/>
    <w:rsid w:val="7FB7DE34"/>
    <w:rsid w:val="7FBC0403"/>
    <w:rsid w:val="7FCB3177"/>
    <w:rsid w:val="7FD77DA8"/>
    <w:rsid w:val="7FDD5A7C"/>
    <w:rsid w:val="7FDD9E5F"/>
    <w:rsid w:val="7FDEB2B2"/>
    <w:rsid w:val="7FDF676F"/>
    <w:rsid w:val="7FDFE8F4"/>
    <w:rsid w:val="7FEB6C02"/>
    <w:rsid w:val="7FEF2997"/>
    <w:rsid w:val="7FEFEA27"/>
    <w:rsid w:val="7FF5F9D6"/>
    <w:rsid w:val="7FFCB542"/>
    <w:rsid w:val="94BECA5E"/>
    <w:rsid w:val="95EA79EF"/>
    <w:rsid w:val="9B7F881A"/>
    <w:rsid w:val="9BAF007E"/>
    <w:rsid w:val="9BEC00B9"/>
    <w:rsid w:val="9FF7EF6E"/>
    <w:rsid w:val="9FF90672"/>
    <w:rsid w:val="A5D731A3"/>
    <w:rsid w:val="A6FCE89F"/>
    <w:rsid w:val="A6FF1106"/>
    <w:rsid w:val="A76F1019"/>
    <w:rsid w:val="AAF92B5B"/>
    <w:rsid w:val="ABFDC70F"/>
    <w:rsid w:val="AFF7FD2E"/>
    <w:rsid w:val="B776AB6A"/>
    <w:rsid w:val="B7FE77D1"/>
    <w:rsid w:val="BB7C2929"/>
    <w:rsid w:val="BB9FA488"/>
    <w:rsid w:val="BBFBFBBA"/>
    <w:rsid w:val="BBFDBAB2"/>
    <w:rsid w:val="BD77CBF9"/>
    <w:rsid w:val="BF8E04B5"/>
    <w:rsid w:val="BFBF2B2E"/>
    <w:rsid w:val="BFEFA314"/>
    <w:rsid w:val="BFF973BB"/>
    <w:rsid w:val="BFF98A5F"/>
    <w:rsid w:val="C7E754DE"/>
    <w:rsid w:val="CF5F77E3"/>
    <w:rsid w:val="D5E2F1B9"/>
    <w:rsid w:val="D9F735C1"/>
    <w:rsid w:val="DA2EE1B4"/>
    <w:rsid w:val="DA7BA3DE"/>
    <w:rsid w:val="DBBF11A9"/>
    <w:rsid w:val="DBD75B1F"/>
    <w:rsid w:val="DD7D2452"/>
    <w:rsid w:val="DD7F0C00"/>
    <w:rsid w:val="DF7F9063"/>
    <w:rsid w:val="DFB7B441"/>
    <w:rsid w:val="DFF764F9"/>
    <w:rsid w:val="DFFF233C"/>
    <w:rsid w:val="DFFFA162"/>
    <w:rsid w:val="E37C7A05"/>
    <w:rsid w:val="E3965C10"/>
    <w:rsid w:val="E5FED6B0"/>
    <w:rsid w:val="E747E8F1"/>
    <w:rsid w:val="E76BDC10"/>
    <w:rsid w:val="E7FF0DEE"/>
    <w:rsid w:val="E9BF4D52"/>
    <w:rsid w:val="EB7E3E01"/>
    <w:rsid w:val="EBC7989C"/>
    <w:rsid w:val="EBFF2410"/>
    <w:rsid w:val="ECED7BA1"/>
    <w:rsid w:val="ED6770B3"/>
    <w:rsid w:val="EDEF35CE"/>
    <w:rsid w:val="EDFC7E8F"/>
    <w:rsid w:val="EE994255"/>
    <w:rsid w:val="EEBF6B4C"/>
    <w:rsid w:val="EEFE95E1"/>
    <w:rsid w:val="EF39637D"/>
    <w:rsid w:val="EF722486"/>
    <w:rsid w:val="EF75B054"/>
    <w:rsid w:val="EFAE7FDB"/>
    <w:rsid w:val="EFF785A6"/>
    <w:rsid w:val="EFFAD55E"/>
    <w:rsid w:val="EFFFCEEE"/>
    <w:rsid w:val="F1FFC0D0"/>
    <w:rsid w:val="F3BD592B"/>
    <w:rsid w:val="F3F366D9"/>
    <w:rsid w:val="F52595FB"/>
    <w:rsid w:val="F67E6F8F"/>
    <w:rsid w:val="F6ED1351"/>
    <w:rsid w:val="F75E217E"/>
    <w:rsid w:val="F7D5A4CB"/>
    <w:rsid w:val="F7DEC4AD"/>
    <w:rsid w:val="F7FE36D6"/>
    <w:rsid w:val="F8775804"/>
    <w:rsid w:val="FAE76E85"/>
    <w:rsid w:val="FAFDF1EB"/>
    <w:rsid w:val="FB7FA395"/>
    <w:rsid w:val="FBBF57F6"/>
    <w:rsid w:val="FBEF0FF5"/>
    <w:rsid w:val="FBFA767D"/>
    <w:rsid w:val="FBFE3537"/>
    <w:rsid w:val="FBFE6A15"/>
    <w:rsid w:val="FC5EC8A6"/>
    <w:rsid w:val="FC7F3AF8"/>
    <w:rsid w:val="FC9D900C"/>
    <w:rsid w:val="FD7BFD9C"/>
    <w:rsid w:val="FDAFF7C8"/>
    <w:rsid w:val="FDB7BF0D"/>
    <w:rsid w:val="FDE77366"/>
    <w:rsid w:val="FE520EC2"/>
    <w:rsid w:val="FE5FB6DE"/>
    <w:rsid w:val="FE6F5B5B"/>
    <w:rsid w:val="FE9B6CEA"/>
    <w:rsid w:val="FEF577BC"/>
    <w:rsid w:val="FEF7747F"/>
    <w:rsid w:val="FEFFE3D8"/>
    <w:rsid w:val="FF3B5CC0"/>
    <w:rsid w:val="FF6BDD53"/>
    <w:rsid w:val="FF77E273"/>
    <w:rsid w:val="FF7D2B89"/>
    <w:rsid w:val="FFAF4A8C"/>
    <w:rsid w:val="FFBF6989"/>
    <w:rsid w:val="FFDFAC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等线" w:eastAsia="等线"/>
      <w:sz w:val="18"/>
      <w:szCs w:val="18"/>
    </w:r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0"/>
    <w:semiHidden/>
    <w:qFormat/>
    <w:uiPriority w:val="0"/>
    <w:rPr>
      <w:rFonts w:ascii="Arial" w:hAnsi="Arial" w:eastAsia="Arial" w:cs="Arial"/>
      <w:sz w:val="21"/>
      <w:szCs w:val="21"/>
      <w:lang w:val="en-US" w:eastAsia="en-US" w:bidi="ar-SA"/>
    </w:rPr>
  </w:style>
  <w:style w:type="paragraph" w:styleId="10">
    <w:name w:val="toc 8"/>
    <w:basedOn w:val="1"/>
    <w:next w:val="1"/>
    <w:qFormat/>
    <w:uiPriority w:val="0"/>
    <w:pPr>
      <w:ind w:left="2940" w:leftChars="1400"/>
    </w:pPr>
  </w:style>
  <w:style w:type="paragraph" w:styleId="11">
    <w:name w:val="Body Text Indent"/>
    <w:basedOn w:val="1"/>
    <w:next w:val="12"/>
    <w:qFormat/>
    <w:uiPriority w:val="99"/>
    <w:pPr>
      <w:autoSpaceDE/>
      <w:autoSpaceDN/>
      <w:spacing w:after="120"/>
      <w:ind w:left="420" w:leftChars="200"/>
      <w:jc w:val="both"/>
    </w:pPr>
    <w:rPr>
      <w:rFonts w:ascii="Times New Roman" w:hAnsi="Times New Roman" w:cs="Times New Roman"/>
      <w:kern w:val="2"/>
      <w:sz w:val="21"/>
      <w:szCs w:val="24"/>
      <w:lang w:val="en-US" w:bidi="ar-SA"/>
    </w:rPr>
  </w:style>
  <w:style w:type="paragraph" w:styleId="12">
    <w:name w:val="envelope return"/>
    <w:basedOn w:val="1"/>
    <w:next w:val="6"/>
    <w:qFormat/>
    <w:uiPriority w:val="0"/>
    <w:pPr>
      <w:snapToGrid w:val="0"/>
    </w:pPr>
    <w:rPr>
      <w:rFonts w:ascii="Arial" w:hAnsi="Arial" w:cs="Arial"/>
      <w:szCs w:val="20"/>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2"/>
    <w:basedOn w:val="11"/>
    <w:next w:val="9"/>
    <w:unhideWhenUsed/>
    <w:qFormat/>
    <w:uiPriority w:val="0"/>
    <w:pPr>
      <w:ind w:firstLine="420" w:firstLineChars="200"/>
    </w:pPr>
    <w:rPr>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TML Sample"/>
    <w:basedOn w:val="23"/>
    <w:qFormat/>
    <w:uiPriority w:val="0"/>
    <w:rPr>
      <w:rFonts w:ascii="Courier New" w:hAnsi="Courier New"/>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Table Text"/>
    <w:basedOn w:val="1"/>
    <w:semiHidden/>
    <w:qFormat/>
    <w:uiPriority w:val="0"/>
    <w:rPr>
      <w:rFonts w:ascii="仿宋" w:hAnsi="仿宋" w:eastAsia="仿宋" w:cs="仿宋"/>
      <w:sz w:val="24"/>
      <w:szCs w:val="24"/>
      <w:lang w:val="en-US" w:eastAsia="en-US" w:bidi="ar-SA"/>
    </w:rPr>
  </w:style>
  <w:style w:type="paragraph" w:customStyle="1" w:styleId="27">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28">
    <w:name w:val="font21"/>
    <w:basedOn w:val="23"/>
    <w:qFormat/>
    <w:uiPriority w:val="0"/>
    <w:rPr>
      <w:rFonts w:hint="eastAsia" w:ascii="宋体" w:hAnsi="宋体" w:eastAsia="宋体" w:cs="宋体"/>
      <w:b/>
      <w:bCs/>
      <w:color w:val="000000"/>
      <w:sz w:val="21"/>
      <w:szCs w:val="21"/>
      <w:u w:val="none"/>
    </w:rPr>
  </w:style>
  <w:style w:type="character" w:customStyle="1" w:styleId="29">
    <w:name w:val="font11"/>
    <w:basedOn w:val="23"/>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136</Words>
  <Characters>166</Characters>
  <TotalTime>145</TotalTime>
  <ScaleCrop>false</ScaleCrop>
  <LinksUpToDate>false</LinksUpToDate>
  <CharactersWithSpaces>198</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2024-06-12T16:49:00Z</dcterms:created>
  <dc:creator>NTKO</dc:creator>
  <cp:lastModifiedBy>XL</cp:lastModifiedBy>
  <cp:lastPrinted>2025-09-17T17:37:00Z</cp:lastPrinted>
  <dcterms:modified xsi:type="dcterms:W3CDTF">2026-01-05T02:47:23Z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2024-10-24T09:04:12Z</vt:filetime>
  </property>
  <property fmtid="{D5CDD505-2E9C-101B-9397-08002B2CF9AE}" pid="4" name="KSOProductBuildVer">
    <vt:lpwstr>2052-12.1.0.18608</vt:lpwstr>
  </property>
  <property fmtid="{D5CDD505-2E9C-101B-9397-08002B2CF9AE}" pid="5" name="ICV">
    <vt:lpwstr>935D43DF0457411994846D2327879C06_13</vt:lpwstr>
  </property>
  <property fmtid="{D5CDD505-2E9C-101B-9397-08002B2CF9AE}" pid="6" name="KSOTemplateDocerSaveRecord">
    <vt:lpwstr>eyJoZGlkIjoiNmJjYjZkOWNmZWU5Nzg0MTMzNTBkODk5MjA1YjRjNTMiLCJ1c2VySWQiOiIxMzA2NzgxOTYyIn0=</vt:lpwstr>
  </property>
</Properties>
</file>