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079" w:rsidRPr="00DE7079" w:rsidRDefault="00DE7079" w:rsidP="00DE7079">
      <w:pPr>
        <w:keepNext/>
        <w:keepLines/>
        <w:widowControl/>
        <w:snapToGrid w:val="0"/>
        <w:spacing w:line="360" w:lineRule="auto"/>
        <w:jc w:val="center"/>
        <w:outlineLvl w:val="0"/>
        <w:rPr>
          <w:rFonts w:ascii="Times New Roman" w:eastAsia="宋体" w:hAnsi="Times New Roman" w:cs="Times New Roman"/>
          <w:b/>
          <w:bCs/>
          <w:kern w:val="44"/>
          <w:sz w:val="44"/>
          <w:szCs w:val="44"/>
        </w:rPr>
      </w:pPr>
      <w:bookmarkStart w:id="0" w:name="_Toc35849229"/>
      <w:r w:rsidRPr="00DE7079">
        <w:rPr>
          <w:rFonts w:ascii="Times New Roman" w:eastAsia="宋体" w:hAnsi="Times New Roman" w:cs="Times New Roman"/>
          <w:b/>
          <w:bCs/>
          <w:kern w:val="44"/>
          <w:sz w:val="44"/>
          <w:szCs w:val="44"/>
        </w:rPr>
        <w:t>第三章</w:t>
      </w:r>
      <w:r w:rsidRPr="00DE7079">
        <w:rPr>
          <w:rFonts w:ascii="Times New Roman" w:eastAsia="宋体" w:hAnsi="Times New Roman" w:cs="Times New Roman"/>
          <w:b/>
          <w:bCs/>
          <w:kern w:val="44"/>
          <w:sz w:val="44"/>
          <w:szCs w:val="44"/>
        </w:rPr>
        <w:t xml:space="preserve">  </w:t>
      </w:r>
      <w:r w:rsidRPr="00DE7079">
        <w:rPr>
          <w:rFonts w:ascii="Times New Roman" w:eastAsia="宋体" w:hAnsi="Times New Roman" w:cs="Times New Roman"/>
          <w:b/>
          <w:bCs/>
          <w:kern w:val="44"/>
          <w:sz w:val="44"/>
          <w:szCs w:val="44"/>
        </w:rPr>
        <w:t>采购需求</w:t>
      </w:r>
      <w:bookmarkEnd w:id="0"/>
    </w:p>
    <w:p w:rsidR="00DE7079" w:rsidRPr="00DE7079" w:rsidRDefault="00DE7079" w:rsidP="00DE7079">
      <w:pPr>
        <w:keepNext/>
        <w:keepLines/>
        <w:adjustRightInd w:val="0"/>
        <w:snapToGrid w:val="0"/>
        <w:spacing w:line="360" w:lineRule="auto"/>
        <w:outlineLvl w:val="0"/>
        <w:rPr>
          <w:rFonts w:ascii="宋体" w:eastAsia="宋体" w:hAnsi="宋体" w:cs="Times New Roman"/>
          <w:b/>
          <w:kern w:val="44"/>
          <w:szCs w:val="21"/>
        </w:rPr>
      </w:pPr>
      <w:bookmarkStart w:id="1" w:name="_Toc10129708"/>
      <w:bookmarkStart w:id="2" w:name="_Toc10129710"/>
      <w:r w:rsidRPr="00DE7079">
        <w:rPr>
          <w:rFonts w:ascii="宋体" w:eastAsia="宋体" w:hAnsi="宋体" w:cs="Times New Roman" w:hint="eastAsia"/>
          <w:b/>
          <w:kern w:val="44"/>
          <w:szCs w:val="21"/>
        </w:rPr>
        <w:t>一、项目</w:t>
      </w:r>
      <w:bookmarkEnd w:id="1"/>
      <w:r w:rsidRPr="00DE7079">
        <w:rPr>
          <w:rFonts w:ascii="宋体" w:eastAsia="宋体" w:hAnsi="宋体" w:cs="Times New Roman" w:hint="eastAsia"/>
          <w:b/>
          <w:kern w:val="44"/>
          <w:szCs w:val="21"/>
        </w:rPr>
        <w:t>概况</w:t>
      </w:r>
    </w:p>
    <w:p w:rsidR="00DE7079" w:rsidRPr="00DE7079" w:rsidRDefault="00DE7079" w:rsidP="00DE7079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DE7079">
        <w:rPr>
          <w:rFonts w:ascii="宋体" w:eastAsia="宋体" w:hAnsi="宋体" w:cs="Times New Roman" w:hint="eastAsia"/>
          <w:szCs w:val="21"/>
        </w:rPr>
        <w:t>根据文化和旅游部公共服务司、财务司《关于做好2022年全国智慧图书馆体系建设项目、公共文化云建设项目实施工作的通知》要求，在安徽省文化和旅游</w:t>
      </w:r>
      <w:proofErr w:type="gramStart"/>
      <w:r w:rsidRPr="00DE7079">
        <w:rPr>
          <w:rFonts w:ascii="宋体" w:eastAsia="宋体" w:hAnsi="宋体" w:cs="Times New Roman" w:hint="eastAsia"/>
          <w:szCs w:val="21"/>
        </w:rPr>
        <w:t>厅指导</w:t>
      </w:r>
      <w:proofErr w:type="gramEnd"/>
      <w:r w:rsidRPr="00DE7079">
        <w:rPr>
          <w:rFonts w:ascii="宋体" w:eastAsia="宋体" w:hAnsi="宋体" w:cs="Times New Roman" w:hint="eastAsia"/>
          <w:szCs w:val="21"/>
        </w:rPr>
        <w:t>下，安徽省文化馆开展2022年度“赶大集”项目工作，举办区域性及地方性文采会，同步至国家公共文化云“汇文采”板块；在国家公共文化云“赶大集”板块开设店铺并运营，包括平台入驻、文</w:t>
      </w:r>
      <w:proofErr w:type="gramStart"/>
      <w:r w:rsidRPr="00DE7079">
        <w:rPr>
          <w:rFonts w:ascii="宋体" w:eastAsia="宋体" w:hAnsi="宋体" w:cs="Times New Roman" w:hint="eastAsia"/>
          <w:szCs w:val="21"/>
        </w:rPr>
        <w:t>创产品</w:t>
      </w:r>
      <w:proofErr w:type="gramEnd"/>
      <w:r w:rsidRPr="00DE7079">
        <w:rPr>
          <w:rFonts w:ascii="宋体" w:eastAsia="宋体" w:hAnsi="宋体" w:cs="Times New Roman" w:hint="eastAsia"/>
          <w:szCs w:val="21"/>
        </w:rPr>
        <w:t>开发、人才培养培训等。</w:t>
      </w:r>
    </w:p>
    <w:p w:rsidR="00DE7079" w:rsidRPr="00DE7079" w:rsidRDefault="00DE7079" w:rsidP="00DE7079">
      <w:pPr>
        <w:keepNext/>
        <w:keepLines/>
        <w:adjustRightInd w:val="0"/>
        <w:snapToGrid w:val="0"/>
        <w:spacing w:line="360" w:lineRule="auto"/>
        <w:outlineLvl w:val="0"/>
        <w:rPr>
          <w:rFonts w:ascii="宋体" w:eastAsia="宋体" w:hAnsi="宋体" w:cs="Times New Roman"/>
          <w:b/>
          <w:kern w:val="44"/>
          <w:szCs w:val="21"/>
        </w:rPr>
      </w:pPr>
      <w:bookmarkStart w:id="3" w:name="_Toc10129709"/>
      <w:r w:rsidRPr="00DE7079">
        <w:rPr>
          <w:rFonts w:ascii="宋体" w:eastAsia="宋体" w:hAnsi="宋体" w:cs="Times New Roman" w:hint="eastAsia"/>
          <w:b/>
          <w:kern w:val="44"/>
          <w:szCs w:val="21"/>
        </w:rPr>
        <w:t>二、</w:t>
      </w:r>
      <w:bookmarkEnd w:id="3"/>
      <w:r w:rsidRPr="00DE7079">
        <w:rPr>
          <w:rFonts w:ascii="宋体" w:eastAsia="宋体" w:hAnsi="宋体" w:cs="Times New Roman" w:hint="eastAsia"/>
          <w:b/>
          <w:kern w:val="44"/>
          <w:szCs w:val="21"/>
        </w:rPr>
        <w:t>服务需求</w:t>
      </w:r>
    </w:p>
    <w:p w:rsidR="00DE7079" w:rsidRPr="00DE7079" w:rsidRDefault="00DE7079" w:rsidP="00DE7079">
      <w:pPr>
        <w:adjustRightInd w:val="0"/>
        <w:snapToGrid w:val="0"/>
        <w:spacing w:line="360" w:lineRule="auto"/>
        <w:ind w:firstLineChars="200" w:firstLine="422"/>
        <w:rPr>
          <w:rFonts w:ascii="Times New Roman" w:eastAsia="宋体" w:hAnsi="Times New Roman" w:cs="Times New Roman"/>
          <w:b/>
          <w:szCs w:val="21"/>
        </w:rPr>
      </w:pPr>
      <w:r w:rsidRPr="00DE7079">
        <w:rPr>
          <w:rFonts w:ascii="Times New Roman" w:eastAsia="宋体" w:hAnsi="Times New Roman" w:cs="Times New Roman" w:hint="eastAsia"/>
          <w:b/>
          <w:szCs w:val="21"/>
        </w:rPr>
        <w:t>（一）文采会</w:t>
      </w:r>
      <w:r w:rsidRPr="00DE7079">
        <w:rPr>
          <w:rFonts w:ascii="Times New Roman" w:eastAsia="宋体" w:hAnsi="Times New Roman" w:cs="Times New Roman" w:hint="eastAsia"/>
          <w:b/>
          <w:szCs w:val="21"/>
        </w:rPr>
        <w:t xml:space="preserve"> </w:t>
      </w:r>
    </w:p>
    <w:p w:rsidR="00DE7079" w:rsidRPr="00DE7079" w:rsidRDefault="00DE7079" w:rsidP="00DE7079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E7079">
        <w:rPr>
          <w:rFonts w:ascii="Times New Roman" w:eastAsia="宋体" w:hAnsi="Times New Roman" w:cs="Times New Roman" w:hint="eastAsia"/>
          <w:szCs w:val="21"/>
        </w:rPr>
        <w:t>举办区域性及地方性文采会活动，并同步到国家公共文化云“汇文采”板块。</w:t>
      </w:r>
    </w:p>
    <w:p w:rsidR="00DE7079" w:rsidRPr="00DE7079" w:rsidRDefault="00DE7079" w:rsidP="00DE7079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E7079">
        <w:rPr>
          <w:rFonts w:ascii="Times New Roman" w:eastAsia="宋体" w:hAnsi="Times New Roman" w:cs="Times New Roman"/>
          <w:szCs w:val="21"/>
        </w:rPr>
        <w:t>1.</w:t>
      </w:r>
      <w:r w:rsidRPr="00DE7079">
        <w:rPr>
          <w:rFonts w:ascii="Times New Roman" w:eastAsia="宋体" w:hAnsi="Times New Roman" w:cs="Times New Roman"/>
          <w:szCs w:val="21"/>
        </w:rPr>
        <w:t>支持范围</w:t>
      </w:r>
    </w:p>
    <w:p w:rsidR="00DE7079" w:rsidRPr="00DE7079" w:rsidRDefault="00DE7079" w:rsidP="00DE7079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E7079">
        <w:rPr>
          <w:rFonts w:ascii="Times New Roman" w:eastAsia="宋体" w:hAnsi="Times New Roman" w:cs="Times New Roman" w:hint="eastAsia"/>
          <w:szCs w:val="21"/>
        </w:rPr>
        <w:t>以促进我省各地公共文化产品和服务供需有效对接为目标，遴选全省公共文化产品和服务优质资源（包括供需双方机构信息、产品及服务信息、供需交易信息等），并汇总到国家公共文化云“汇文采”板块。举办线上线下相结合的区域性及地方性文采会活动。</w:t>
      </w:r>
      <w:r w:rsidRPr="00DE7079">
        <w:rPr>
          <w:rFonts w:ascii="Times New Roman" w:eastAsia="宋体" w:hAnsi="Times New Roman" w:cs="Times New Roman" w:hint="eastAsia"/>
          <w:szCs w:val="21"/>
        </w:rPr>
        <w:t xml:space="preserve"> </w:t>
      </w:r>
    </w:p>
    <w:p w:rsidR="00DE7079" w:rsidRPr="00DE7079" w:rsidRDefault="00DE7079" w:rsidP="00DE7079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E7079">
        <w:rPr>
          <w:rFonts w:ascii="Times New Roman" w:eastAsia="宋体" w:hAnsi="Times New Roman" w:cs="Times New Roman" w:hint="eastAsia"/>
          <w:szCs w:val="21"/>
        </w:rPr>
        <w:t>2.</w:t>
      </w:r>
      <w:r w:rsidRPr="00DE7079">
        <w:rPr>
          <w:rFonts w:ascii="Times New Roman" w:eastAsia="宋体" w:hAnsi="Times New Roman" w:cs="Times New Roman" w:hint="eastAsia"/>
          <w:szCs w:val="21"/>
        </w:rPr>
        <w:t>建设标准</w:t>
      </w:r>
      <w:r w:rsidRPr="00DE7079">
        <w:rPr>
          <w:rFonts w:ascii="Times New Roman" w:eastAsia="宋体" w:hAnsi="Times New Roman" w:cs="Times New Roman" w:hint="eastAsia"/>
          <w:szCs w:val="21"/>
        </w:rPr>
        <w:t xml:space="preserve"> </w:t>
      </w:r>
    </w:p>
    <w:p w:rsidR="00DE7079" w:rsidRPr="00DE7079" w:rsidRDefault="00DE7079" w:rsidP="00DE7079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E7079">
        <w:rPr>
          <w:rFonts w:ascii="Times New Roman" w:eastAsia="宋体" w:hAnsi="Times New Roman" w:cs="Times New Roman" w:hint="eastAsia"/>
          <w:szCs w:val="21"/>
        </w:rPr>
        <w:t>（</w:t>
      </w:r>
      <w:r w:rsidRPr="00DE7079">
        <w:rPr>
          <w:rFonts w:ascii="Times New Roman" w:eastAsia="宋体" w:hAnsi="Times New Roman" w:cs="Times New Roman" w:hint="eastAsia"/>
          <w:szCs w:val="21"/>
        </w:rPr>
        <w:t>1</w:t>
      </w:r>
      <w:r w:rsidRPr="00DE7079">
        <w:rPr>
          <w:rFonts w:ascii="Times New Roman" w:eastAsia="宋体" w:hAnsi="Times New Roman" w:cs="Times New Roman" w:hint="eastAsia"/>
          <w:szCs w:val="21"/>
        </w:rPr>
        <w:t>）遴选产品和服务，采集供需信息</w:t>
      </w:r>
      <w:r w:rsidRPr="00DE7079">
        <w:rPr>
          <w:rFonts w:ascii="Times New Roman" w:eastAsia="宋体" w:hAnsi="Times New Roman" w:cs="Times New Roman" w:hint="eastAsia"/>
          <w:szCs w:val="21"/>
        </w:rPr>
        <w:t xml:space="preserve"> </w:t>
      </w:r>
    </w:p>
    <w:p w:rsidR="00DE7079" w:rsidRPr="00DE7079" w:rsidRDefault="00DE7079" w:rsidP="00DE7079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E7079">
        <w:rPr>
          <w:rFonts w:ascii="Times New Roman" w:eastAsia="宋体" w:hAnsi="Times New Roman" w:cs="Times New Roman" w:hint="eastAsia"/>
          <w:szCs w:val="21"/>
        </w:rPr>
        <w:t>遴选本省公共文化产品和服务优质资源，重点推出国家公共文化体系示范区和中国民间文化艺术之乡的内容。对供需双方机构信息、产品及服务信息、供需交易信息等，进行采集、加工、审核、更新、维护。</w:t>
      </w:r>
      <w:r w:rsidRPr="00DE7079">
        <w:rPr>
          <w:rFonts w:ascii="Times New Roman" w:eastAsia="宋体" w:hAnsi="Times New Roman" w:cs="Times New Roman" w:hint="eastAsia"/>
          <w:szCs w:val="21"/>
        </w:rPr>
        <w:t xml:space="preserve"> </w:t>
      </w:r>
    </w:p>
    <w:p w:rsidR="00DE7079" w:rsidRPr="00DE7079" w:rsidRDefault="00DE7079" w:rsidP="00DE7079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E7079">
        <w:rPr>
          <w:rFonts w:ascii="Times New Roman" w:eastAsia="宋体" w:hAnsi="Times New Roman" w:cs="Times New Roman" w:hint="eastAsia"/>
          <w:szCs w:val="21"/>
        </w:rPr>
        <w:t>①品类</w:t>
      </w:r>
      <w:r w:rsidRPr="00DE7079">
        <w:rPr>
          <w:rFonts w:ascii="Times New Roman" w:eastAsia="宋体" w:hAnsi="Times New Roman" w:cs="Times New Roman" w:hint="eastAsia"/>
          <w:szCs w:val="21"/>
        </w:rPr>
        <w:t xml:space="preserve"> </w:t>
      </w:r>
    </w:p>
    <w:p w:rsidR="00DE7079" w:rsidRPr="00DE7079" w:rsidRDefault="00DE7079" w:rsidP="00DE7079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E7079">
        <w:rPr>
          <w:rFonts w:ascii="Times New Roman" w:eastAsia="宋体" w:hAnsi="Times New Roman" w:cs="Times New Roman" w:hint="eastAsia"/>
          <w:szCs w:val="21"/>
        </w:rPr>
        <w:t>公共文化产品和服务资源所涵盖行业及产品品类如下表所示：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5"/>
        <w:gridCol w:w="2220"/>
        <w:gridCol w:w="5437"/>
      </w:tblGrid>
      <w:tr w:rsidR="00DE7079" w:rsidRPr="00DE7079" w:rsidTr="0085614C">
        <w:trPr>
          <w:trHeight w:val="573"/>
          <w:jc w:val="center"/>
        </w:trPr>
        <w:tc>
          <w:tcPr>
            <w:tcW w:w="865" w:type="dxa"/>
            <w:vAlign w:val="center"/>
          </w:tcPr>
          <w:p w:rsidR="00DE7079" w:rsidRPr="00DE7079" w:rsidRDefault="00DE7079" w:rsidP="00DE7079">
            <w:pPr>
              <w:widowControl/>
              <w:spacing w:line="300" w:lineRule="auto"/>
              <w:jc w:val="center"/>
              <w:rPr>
                <w:rFonts w:ascii="宋体" w:eastAsia="宋体" w:hAnsi="宋体" w:cs="Arial Unicode MS"/>
                <w:b/>
                <w:szCs w:val="21"/>
              </w:rPr>
            </w:pPr>
            <w:r w:rsidRPr="00DE7079">
              <w:rPr>
                <w:rFonts w:ascii="宋体" w:eastAsia="宋体" w:hAnsi="宋体" w:cs="Arial Unicode MS"/>
                <w:b/>
                <w:szCs w:val="21"/>
              </w:rPr>
              <w:t>序号</w:t>
            </w:r>
          </w:p>
        </w:tc>
        <w:tc>
          <w:tcPr>
            <w:tcW w:w="2220" w:type="dxa"/>
            <w:vAlign w:val="center"/>
          </w:tcPr>
          <w:p w:rsidR="00DE7079" w:rsidRPr="00DE7079" w:rsidRDefault="00DE7079" w:rsidP="00DE7079">
            <w:pPr>
              <w:widowControl/>
              <w:spacing w:line="300" w:lineRule="auto"/>
              <w:jc w:val="center"/>
              <w:rPr>
                <w:rFonts w:ascii="宋体" w:eastAsia="宋体" w:hAnsi="宋体" w:cs="Arial Unicode MS"/>
                <w:b/>
                <w:kern w:val="0"/>
                <w:szCs w:val="21"/>
              </w:rPr>
            </w:pPr>
            <w:r w:rsidRPr="00DE7079">
              <w:rPr>
                <w:rFonts w:ascii="宋体" w:eastAsia="宋体" w:hAnsi="宋体" w:cs="Arial Unicode MS" w:hint="eastAsia"/>
                <w:b/>
                <w:kern w:val="0"/>
                <w:szCs w:val="21"/>
              </w:rPr>
              <w:t>一级分类</w:t>
            </w:r>
          </w:p>
        </w:tc>
        <w:tc>
          <w:tcPr>
            <w:tcW w:w="5437" w:type="dxa"/>
            <w:vAlign w:val="center"/>
          </w:tcPr>
          <w:p w:rsidR="00DE7079" w:rsidRPr="00DE7079" w:rsidRDefault="00DE7079" w:rsidP="00DE7079">
            <w:pPr>
              <w:widowControl/>
              <w:spacing w:line="300" w:lineRule="auto"/>
              <w:jc w:val="center"/>
              <w:rPr>
                <w:rFonts w:ascii="宋体" w:eastAsia="宋体" w:hAnsi="宋体" w:cs="Arial Unicode MS"/>
                <w:b/>
                <w:szCs w:val="21"/>
              </w:rPr>
            </w:pPr>
            <w:r w:rsidRPr="00DE7079">
              <w:rPr>
                <w:rFonts w:ascii="宋体" w:eastAsia="宋体" w:hAnsi="宋体" w:cs="Arial Unicode MS"/>
                <w:b/>
                <w:szCs w:val="21"/>
              </w:rPr>
              <w:t>二级分类</w:t>
            </w:r>
          </w:p>
        </w:tc>
      </w:tr>
      <w:tr w:rsidR="00DE7079" w:rsidRPr="00DE7079" w:rsidTr="0085614C">
        <w:trPr>
          <w:jc w:val="center"/>
        </w:trPr>
        <w:tc>
          <w:tcPr>
            <w:tcW w:w="865" w:type="dxa"/>
            <w:vAlign w:val="center"/>
          </w:tcPr>
          <w:p w:rsidR="00DE7079" w:rsidRPr="00DE7079" w:rsidRDefault="00DE7079" w:rsidP="00DE7079">
            <w:pPr>
              <w:widowControl/>
              <w:spacing w:line="300" w:lineRule="auto"/>
              <w:jc w:val="center"/>
              <w:rPr>
                <w:rFonts w:ascii="宋体" w:eastAsia="宋体" w:hAnsi="宋体" w:cs="Arial Unicode MS"/>
                <w:szCs w:val="21"/>
              </w:rPr>
            </w:pPr>
            <w:r w:rsidRPr="00DE7079">
              <w:rPr>
                <w:rFonts w:ascii="宋体" w:eastAsia="宋体" w:hAnsi="宋体" w:cs="Arial Unicode MS"/>
                <w:szCs w:val="21"/>
              </w:rPr>
              <w:t>1</w:t>
            </w:r>
          </w:p>
        </w:tc>
        <w:tc>
          <w:tcPr>
            <w:tcW w:w="2220" w:type="dxa"/>
            <w:vAlign w:val="center"/>
          </w:tcPr>
          <w:p w:rsidR="00DE7079" w:rsidRPr="00DE7079" w:rsidRDefault="00DE7079" w:rsidP="00DE7079">
            <w:pPr>
              <w:widowControl/>
              <w:spacing w:line="300" w:lineRule="auto"/>
              <w:jc w:val="center"/>
              <w:rPr>
                <w:rFonts w:ascii="宋体" w:eastAsia="宋体" w:hAnsi="宋体" w:cs="Arial Unicode MS"/>
                <w:szCs w:val="21"/>
              </w:rPr>
            </w:pPr>
            <w:r w:rsidRPr="00DE7079">
              <w:rPr>
                <w:rFonts w:ascii="宋体" w:eastAsia="宋体" w:hAnsi="宋体" w:cs="Arial Unicode MS"/>
                <w:szCs w:val="21"/>
              </w:rPr>
              <w:t>文化内容</w:t>
            </w:r>
          </w:p>
        </w:tc>
        <w:tc>
          <w:tcPr>
            <w:tcW w:w="5437" w:type="dxa"/>
            <w:vAlign w:val="center"/>
          </w:tcPr>
          <w:p w:rsidR="00DE7079" w:rsidRPr="00DE7079" w:rsidRDefault="00DE7079" w:rsidP="00DE7079">
            <w:pPr>
              <w:widowControl/>
              <w:spacing w:line="300" w:lineRule="auto"/>
              <w:jc w:val="center"/>
              <w:rPr>
                <w:rFonts w:ascii="宋体" w:eastAsia="宋体" w:hAnsi="宋体" w:cs="Arial Unicode MS"/>
                <w:kern w:val="0"/>
                <w:szCs w:val="21"/>
              </w:rPr>
            </w:pPr>
            <w:r w:rsidRPr="00DE7079">
              <w:rPr>
                <w:rFonts w:ascii="宋体" w:eastAsia="宋体" w:hAnsi="宋体" w:cs="Arial Unicode MS" w:hint="eastAsia"/>
                <w:kern w:val="0"/>
                <w:szCs w:val="21"/>
              </w:rPr>
              <w:t>文艺演出、艺术导赏、展览展示、特色活动、志愿服务、基层活动、文化交流、内部培训、文化传承、文化扶贫、公益活动</w:t>
            </w:r>
          </w:p>
        </w:tc>
      </w:tr>
      <w:tr w:rsidR="00DE7079" w:rsidRPr="00DE7079" w:rsidTr="0085614C">
        <w:trPr>
          <w:jc w:val="center"/>
        </w:trPr>
        <w:tc>
          <w:tcPr>
            <w:tcW w:w="865" w:type="dxa"/>
            <w:vAlign w:val="center"/>
          </w:tcPr>
          <w:p w:rsidR="00DE7079" w:rsidRPr="00DE7079" w:rsidRDefault="00DE7079" w:rsidP="00DE7079">
            <w:pPr>
              <w:widowControl/>
              <w:spacing w:line="300" w:lineRule="auto"/>
              <w:jc w:val="center"/>
              <w:rPr>
                <w:rFonts w:ascii="宋体" w:eastAsia="宋体" w:hAnsi="宋体" w:cs="Arial Unicode MS"/>
                <w:szCs w:val="21"/>
              </w:rPr>
            </w:pPr>
            <w:r w:rsidRPr="00DE7079">
              <w:rPr>
                <w:rFonts w:ascii="宋体" w:eastAsia="宋体" w:hAnsi="宋体" w:cs="Arial Unicode MS"/>
                <w:szCs w:val="21"/>
              </w:rPr>
              <w:t>2</w:t>
            </w:r>
          </w:p>
        </w:tc>
        <w:tc>
          <w:tcPr>
            <w:tcW w:w="2220" w:type="dxa"/>
            <w:vAlign w:val="center"/>
          </w:tcPr>
          <w:p w:rsidR="00DE7079" w:rsidRPr="00DE7079" w:rsidRDefault="00DE7079" w:rsidP="00DE7079">
            <w:pPr>
              <w:widowControl/>
              <w:spacing w:line="300" w:lineRule="auto"/>
              <w:jc w:val="center"/>
              <w:rPr>
                <w:rFonts w:ascii="宋体" w:eastAsia="宋体" w:hAnsi="宋体" w:cs="Arial Unicode MS"/>
                <w:szCs w:val="21"/>
              </w:rPr>
            </w:pPr>
            <w:r w:rsidRPr="00DE7079">
              <w:rPr>
                <w:rFonts w:ascii="宋体" w:eastAsia="宋体" w:hAnsi="宋体" w:cs="Arial Unicode MS"/>
                <w:szCs w:val="21"/>
              </w:rPr>
              <w:t>科技融合</w:t>
            </w:r>
          </w:p>
        </w:tc>
        <w:tc>
          <w:tcPr>
            <w:tcW w:w="5437" w:type="dxa"/>
            <w:vAlign w:val="center"/>
          </w:tcPr>
          <w:p w:rsidR="00DE7079" w:rsidRPr="00DE7079" w:rsidRDefault="00DE7079" w:rsidP="00DE7079">
            <w:pPr>
              <w:widowControl/>
              <w:spacing w:line="300" w:lineRule="auto"/>
              <w:jc w:val="center"/>
              <w:rPr>
                <w:rFonts w:ascii="宋体" w:eastAsia="宋体" w:hAnsi="宋体" w:cs="Arial Unicode MS"/>
                <w:szCs w:val="21"/>
              </w:rPr>
            </w:pPr>
            <w:r w:rsidRPr="00DE7079">
              <w:rPr>
                <w:rFonts w:ascii="宋体" w:eastAsia="宋体" w:hAnsi="宋体" w:cs="Arial Unicode MS"/>
                <w:szCs w:val="21"/>
              </w:rPr>
              <w:t>新媒体应用、人工智能、智慧旅游、平台软件</w:t>
            </w:r>
          </w:p>
        </w:tc>
      </w:tr>
      <w:tr w:rsidR="00DE7079" w:rsidRPr="00DE7079" w:rsidTr="0085614C">
        <w:trPr>
          <w:jc w:val="center"/>
        </w:trPr>
        <w:tc>
          <w:tcPr>
            <w:tcW w:w="865" w:type="dxa"/>
            <w:vAlign w:val="center"/>
          </w:tcPr>
          <w:p w:rsidR="00DE7079" w:rsidRPr="00DE7079" w:rsidRDefault="00DE7079" w:rsidP="00DE7079">
            <w:pPr>
              <w:widowControl/>
              <w:spacing w:line="300" w:lineRule="auto"/>
              <w:jc w:val="center"/>
              <w:rPr>
                <w:rFonts w:ascii="宋体" w:eastAsia="宋体" w:hAnsi="宋体" w:cs="Arial Unicode MS"/>
                <w:szCs w:val="21"/>
              </w:rPr>
            </w:pPr>
            <w:r w:rsidRPr="00DE7079">
              <w:rPr>
                <w:rFonts w:ascii="宋体" w:eastAsia="宋体" w:hAnsi="宋体" w:cs="Arial Unicode MS"/>
                <w:szCs w:val="21"/>
              </w:rPr>
              <w:t>3</w:t>
            </w:r>
          </w:p>
        </w:tc>
        <w:tc>
          <w:tcPr>
            <w:tcW w:w="2220" w:type="dxa"/>
            <w:vAlign w:val="center"/>
          </w:tcPr>
          <w:p w:rsidR="00DE7079" w:rsidRPr="00DE7079" w:rsidRDefault="00DE7079" w:rsidP="00DE7079">
            <w:pPr>
              <w:widowControl/>
              <w:spacing w:line="300" w:lineRule="auto"/>
              <w:jc w:val="center"/>
              <w:rPr>
                <w:rFonts w:ascii="宋体" w:eastAsia="宋体" w:hAnsi="宋体" w:cs="Arial Unicode MS"/>
                <w:szCs w:val="21"/>
              </w:rPr>
            </w:pPr>
            <w:r w:rsidRPr="00DE7079">
              <w:rPr>
                <w:rFonts w:ascii="宋体" w:eastAsia="宋体" w:hAnsi="宋体" w:cs="Arial Unicode MS"/>
                <w:szCs w:val="21"/>
              </w:rPr>
              <w:t>设施运营</w:t>
            </w:r>
          </w:p>
        </w:tc>
        <w:tc>
          <w:tcPr>
            <w:tcW w:w="5437" w:type="dxa"/>
            <w:vAlign w:val="center"/>
          </w:tcPr>
          <w:p w:rsidR="00DE7079" w:rsidRPr="00DE7079" w:rsidRDefault="00DE7079" w:rsidP="00DE7079">
            <w:pPr>
              <w:widowControl/>
              <w:spacing w:line="300" w:lineRule="auto"/>
              <w:jc w:val="center"/>
              <w:rPr>
                <w:rFonts w:ascii="宋体" w:eastAsia="宋体" w:hAnsi="宋体" w:cs="Arial Unicode MS"/>
                <w:szCs w:val="21"/>
              </w:rPr>
            </w:pPr>
            <w:r w:rsidRPr="00DE7079">
              <w:rPr>
                <w:rFonts w:ascii="宋体" w:eastAsia="宋体" w:hAnsi="宋体" w:cs="Arial Unicode MS"/>
                <w:szCs w:val="21"/>
              </w:rPr>
              <w:t>空间设计、委托管理、设施委托</w:t>
            </w:r>
          </w:p>
        </w:tc>
      </w:tr>
      <w:tr w:rsidR="00DE7079" w:rsidRPr="00DE7079" w:rsidTr="0085614C">
        <w:trPr>
          <w:jc w:val="center"/>
        </w:trPr>
        <w:tc>
          <w:tcPr>
            <w:tcW w:w="865" w:type="dxa"/>
            <w:vAlign w:val="center"/>
          </w:tcPr>
          <w:p w:rsidR="00DE7079" w:rsidRPr="00DE7079" w:rsidRDefault="00DE7079" w:rsidP="00DE7079">
            <w:pPr>
              <w:widowControl/>
              <w:spacing w:line="300" w:lineRule="auto"/>
              <w:jc w:val="center"/>
              <w:rPr>
                <w:rFonts w:ascii="宋体" w:eastAsia="宋体" w:hAnsi="宋体" w:cs="Arial Unicode MS"/>
                <w:szCs w:val="21"/>
              </w:rPr>
            </w:pPr>
            <w:r w:rsidRPr="00DE7079">
              <w:rPr>
                <w:rFonts w:ascii="宋体" w:eastAsia="宋体" w:hAnsi="宋体" w:cs="Arial Unicode MS"/>
                <w:szCs w:val="21"/>
              </w:rPr>
              <w:t>4</w:t>
            </w:r>
          </w:p>
        </w:tc>
        <w:tc>
          <w:tcPr>
            <w:tcW w:w="2220" w:type="dxa"/>
            <w:vAlign w:val="center"/>
          </w:tcPr>
          <w:p w:rsidR="00DE7079" w:rsidRPr="00DE7079" w:rsidRDefault="00DE7079" w:rsidP="00DE7079">
            <w:pPr>
              <w:widowControl/>
              <w:spacing w:line="300" w:lineRule="auto"/>
              <w:jc w:val="center"/>
              <w:rPr>
                <w:rFonts w:ascii="宋体" w:eastAsia="宋体" w:hAnsi="宋体" w:cs="Arial Unicode MS"/>
                <w:kern w:val="0"/>
                <w:szCs w:val="21"/>
              </w:rPr>
            </w:pPr>
            <w:r w:rsidRPr="00DE7079">
              <w:rPr>
                <w:rFonts w:ascii="宋体" w:eastAsia="宋体" w:hAnsi="宋体" w:cs="Arial Unicode MS" w:hint="eastAsia"/>
                <w:kern w:val="0"/>
                <w:szCs w:val="21"/>
              </w:rPr>
              <w:t>旅游服务</w:t>
            </w:r>
            <w:r w:rsidRPr="00DE7079">
              <w:rPr>
                <w:rFonts w:ascii="宋体" w:eastAsia="宋体" w:hAnsi="宋体" w:cs="Arial Unicode MS"/>
                <w:kern w:val="0"/>
                <w:szCs w:val="21"/>
              </w:rPr>
              <w:t>(</w:t>
            </w:r>
            <w:r w:rsidRPr="00DE7079">
              <w:rPr>
                <w:rFonts w:ascii="宋体" w:eastAsia="宋体" w:hAnsi="宋体" w:cs="Arial Unicode MS" w:hint="eastAsia"/>
                <w:kern w:val="0"/>
                <w:szCs w:val="21"/>
              </w:rPr>
              <w:t>公共服务</w:t>
            </w:r>
            <w:r w:rsidRPr="00DE7079">
              <w:rPr>
                <w:rFonts w:ascii="宋体" w:eastAsia="宋体" w:hAnsi="宋体" w:cs="Arial Unicode MS"/>
                <w:kern w:val="0"/>
                <w:szCs w:val="21"/>
              </w:rPr>
              <w:t>)</w:t>
            </w:r>
          </w:p>
        </w:tc>
        <w:tc>
          <w:tcPr>
            <w:tcW w:w="5437" w:type="dxa"/>
            <w:vAlign w:val="center"/>
          </w:tcPr>
          <w:p w:rsidR="00DE7079" w:rsidRPr="00DE7079" w:rsidRDefault="00DE7079" w:rsidP="00DE7079">
            <w:pPr>
              <w:widowControl/>
              <w:spacing w:line="300" w:lineRule="auto"/>
              <w:jc w:val="center"/>
              <w:rPr>
                <w:rFonts w:ascii="宋体" w:eastAsia="宋体" w:hAnsi="宋体" w:cs="Arial Unicode MS"/>
                <w:szCs w:val="21"/>
              </w:rPr>
            </w:pPr>
            <w:r w:rsidRPr="00DE7079">
              <w:rPr>
                <w:rFonts w:ascii="宋体" w:eastAsia="宋体" w:hAnsi="宋体" w:cs="Arial Unicode MS"/>
                <w:szCs w:val="21"/>
              </w:rPr>
              <w:t>智慧景区、智慧软件、智慧硬件、服务监管</w:t>
            </w:r>
          </w:p>
        </w:tc>
      </w:tr>
      <w:tr w:rsidR="00DE7079" w:rsidRPr="00DE7079" w:rsidTr="0085614C">
        <w:trPr>
          <w:jc w:val="center"/>
        </w:trPr>
        <w:tc>
          <w:tcPr>
            <w:tcW w:w="865" w:type="dxa"/>
            <w:vAlign w:val="center"/>
          </w:tcPr>
          <w:p w:rsidR="00DE7079" w:rsidRPr="00DE7079" w:rsidRDefault="00DE7079" w:rsidP="00DE7079">
            <w:pPr>
              <w:widowControl/>
              <w:spacing w:line="300" w:lineRule="auto"/>
              <w:jc w:val="center"/>
              <w:rPr>
                <w:rFonts w:ascii="宋体" w:eastAsia="宋体" w:hAnsi="宋体" w:cs="Arial Unicode MS"/>
                <w:szCs w:val="21"/>
              </w:rPr>
            </w:pPr>
            <w:r w:rsidRPr="00DE7079">
              <w:rPr>
                <w:rFonts w:ascii="宋体" w:eastAsia="宋体" w:hAnsi="宋体" w:cs="Arial Unicode MS"/>
                <w:szCs w:val="21"/>
              </w:rPr>
              <w:t>5</w:t>
            </w:r>
          </w:p>
        </w:tc>
        <w:tc>
          <w:tcPr>
            <w:tcW w:w="2220" w:type="dxa"/>
            <w:vAlign w:val="center"/>
          </w:tcPr>
          <w:p w:rsidR="00DE7079" w:rsidRPr="00DE7079" w:rsidRDefault="00DE7079" w:rsidP="00DE7079">
            <w:pPr>
              <w:widowControl/>
              <w:spacing w:line="300" w:lineRule="auto"/>
              <w:jc w:val="center"/>
              <w:rPr>
                <w:rFonts w:ascii="宋体" w:eastAsia="宋体" w:hAnsi="宋体" w:cs="Arial Unicode MS"/>
                <w:szCs w:val="21"/>
              </w:rPr>
            </w:pPr>
            <w:r w:rsidRPr="00DE7079">
              <w:rPr>
                <w:rFonts w:ascii="宋体" w:eastAsia="宋体" w:hAnsi="宋体" w:cs="Arial Unicode MS"/>
                <w:szCs w:val="21"/>
              </w:rPr>
              <w:t>决策咨询</w:t>
            </w:r>
          </w:p>
        </w:tc>
        <w:tc>
          <w:tcPr>
            <w:tcW w:w="5437" w:type="dxa"/>
            <w:vAlign w:val="center"/>
          </w:tcPr>
          <w:p w:rsidR="00DE7079" w:rsidRPr="00DE7079" w:rsidRDefault="00DE7079" w:rsidP="00DE7079">
            <w:pPr>
              <w:widowControl/>
              <w:spacing w:line="300" w:lineRule="auto"/>
              <w:jc w:val="center"/>
              <w:rPr>
                <w:rFonts w:ascii="宋体" w:eastAsia="宋体" w:hAnsi="宋体" w:cs="Arial Unicode MS"/>
                <w:kern w:val="0"/>
                <w:szCs w:val="21"/>
              </w:rPr>
            </w:pPr>
            <w:r w:rsidRPr="00DE7079">
              <w:rPr>
                <w:rFonts w:ascii="宋体" w:eastAsia="宋体" w:hAnsi="宋体" w:cs="Arial Unicode MS" w:hint="eastAsia"/>
                <w:kern w:val="0"/>
                <w:szCs w:val="21"/>
              </w:rPr>
              <w:t>政策咨询、活动策划、</w:t>
            </w:r>
            <w:proofErr w:type="gramStart"/>
            <w:r w:rsidRPr="00DE7079">
              <w:rPr>
                <w:rFonts w:ascii="宋体" w:eastAsia="宋体" w:hAnsi="宋体" w:cs="Arial Unicode MS" w:hint="eastAsia"/>
                <w:kern w:val="0"/>
                <w:szCs w:val="21"/>
              </w:rPr>
              <w:t>文旅培训</w:t>
            </w:r>
            <w:proofErr w:type="gramEnd"/>
            <w:r w:rsidRPr="00DE7079">
              <w:rPr>
                <w:rFonts w:ascii="宋体" w:eastAsia="宋体" w:hAnsi="宋体" w:cs="Arial Unicode MS" w:hint="eastAsia"/>
                <w:kern w:val="0"/>
                <w:szCs w:val="21"/>
              </w:rPr>
              <w:t>、第三方绩效评价</w:t>
            </w:r>
          </w:p>
          <w:p w:rsidR="00DE7079" w:rsidRPr="00DE7079" w:rsidRDefault="00DE7079" w:rsidP="00DE7079">
            <w:pPr>
              <w:widowControl/>
              <w:spacing w:line="300" w:lineRule="auto"/>
              <w:jc w:val="center"/>
              <w:rPr>
                <w:rFonts w:ascii="宋体" w:eastAsia="宋体" w:hAnsi="宋体" w:cs="Arial Unicode MS"/>
                <w:szCs w:val="21"/>
              </w:rPr>
            </w:pPr>
          </w:p>
        </w:tc>
      </w:tr>
      <w:tr w:rsidR="00DE7079" w:rsidRPr="00DE7079" w:rsidTr="0085614C">
        <w:trPr>
          <w:jc w:val="center"/>
        </w:trPr>
        <w:tc>
          <w:tcPr>
            <w:tcW w:w="865" w:type="dxa"/>
            <w:vAlign w:val="center"/>
          </w:tcPr>
          <w:p w:rsidR="00DE7079" w:rsidRPr="00DE7079" w:rsidRDefault="00DE7079" w:rsidP="00DE7079">
            <w:pPr>
              <w:widowControl/>
              <w:spacing w:line="300" w:lineRule="auto"/>
              <w:jc w:val="center"/>
              <w:rPr>
                <w:rFonts w:ascii="宋体" w:eastAsia="宋体" w:hAnsi="宋体" w:cs="Arial Unicode MS"/>
                <w:szCs w:val="21"/>
              </w:rPr>
            </w:pPr>
            <w:r w:rsidRPr="00DE7079">
              <w:rPr>
                <w:rFonts w:ascii="宋体" w:eastAsia="宋体" w:hAnsi="宋体" w:cs="Arial Unicode MS"/>
                <w:szCs w:val="21"/>
              </w:rPr>
              <w:t>6</w:t>
            </w:r>
          </w:p>
        </w:tc>
        <w:tc>
          <w:tcPr>
            <w:tcW w:w="2220" w:type="dxa"/>
            <w:vAlign w:val="center"/>
          </w:tcPr>
          <w:p w:rsidR="00DE7079" w:rsidRPr="00DE7079" w:rsidRDefault="00DE7079" w:rsidP="00DE7079">
            <w:pPr>
              <w:widowControl/>
              <w:spacing w:line="300" w:lineRule="auto"/>
              <w:jc w:val="center"/>
              <w:rPr>
                <w:rFonts w:ascii="宋体" w:eastAsia="宋体" w:hAnsi="宋体" w:cs="Arial Unicode MS"/>
                <w:szCs w:val="21"/>
              </w:rPr>
            </w:pPr>
            <w:r w:rsidRPr="00DE7079">
              <w:rPr>
                <w:rFonts w:ascii="宋体" w:eastAsia="宋体" w:hAnsi="宋体" w:cs="Arial Unicode MS"/>
                <w:szCs w:val="21"/>
              </w:rPr>
              <w:t>文</w:t>
            </w:r>
            <w:proofErr w:type="gramStart"/>
            <w:r w:rsidRPr="00DE7079">
              <w:rPr>
                <w:rFonts w:ascii="宋体" w:eastAsia="宋体" w:hAnsi="宋体" w:cs="Arial Unicode MS"/>
                <w:szCs w:val="21"/>
              </w:rPr>
              <w:t>创产品</w:t>
            </w:r>
            <w:proofErr w:type="gramEnd"/>
          </w:p>
        </w:tc>
        <w:tc>
          <w:tcPr>
            <w:tcW w:w="5437" w:type="dxa"/>
            <w:vAlign w:val="center"/>
          </w:tcPr>
          <w:p w:rsidR="00DE7079" w:rsidRPr="00DE7079" w:rsidRDefault="00DE7079" w:rsidP="00DE7079">
            <w:pPr>
              <w:widowControl/>
              <w:spacing w:line="300" w:lineRule="auto"/>
              <w:jc w:val="center"/>
              <w:rPr>
                <w:rFonts w:ascii="宋体" w:eastAsia="宋体" w:hAnsi="宋体" w:cs="Arial Unicode MS"/>
                <w:szCs w:val="21"/>
              </w:rPr>
            </w:pPr>
            <w:r w:rsidRPr="00DE7079">
              <w:rPr>
                <w:rFonts w:ascii="宋体" w:eastAsia="宋体" w:hAnsi="宋体" w:cs="Arial Unicode MS"/>
                <w:szCs w:val="21"/>
              </w:rPr>
              <w:t>数字资源、艺术培训、非遗产品、其他文</w:t>
            </w:r>
            <w:proofErr w:type="gramStart"/>
            <w:r w:rsidRPr="00DE7079">
              <w:rPr>
                <w:rFonts w:ascii="宋体" w:eastAsia="宋体" w:hAnsi="宋体" w:cs="Arial Unicode MS"/>
                <w:szCs w:val="21"/>
              </w:rPr>
              <w:t>创产品</w:t>
            </w:r>
            <w:proofErr w:type="gramEnd"/>
          </w:p>
        </w:tc>
      </w:tr>
      <w:tr w:rsidR="00DE7079" w:rsidRPr="00DE7079" w:rsidTr="0085614C">
        <w:trPr>
          <w:jc w:val="center"/>
        </w:trPr>
        <w:tc>
          <w:tcPr>
            <w:tcW w:w="865" w:type="dxa"/>
            <w:vAlign w:val="center"/>
          </w:tcPr>
          <w:p w:rsidR="00DE7079" w:rsidRPr="00DE7079" w:rsidRDefault="00DE7079" w:rsidP="00DE7079">
            <w:pPr>
              <w:widowControl/>
              <w:spacing w:line="300" w:lineRule="auto"/>
              <w:jc w:val="center"/>
              <w:rPr>
                <w:rFonts w:ascii="宋体" w:eastAsia="宋体" w:hAnsi="宋体" w:cs="Arial Unicode MS"/>
                <w:szCs w:val="21"/>
              </w:rPr>
            </w:pPr>
            <w:r w:rsidRPr="00DE7079">
              <w:rPr>
                <w:rFonts w:ascii="宋体" w:eastAsia="宋体" w:hAnsi="宋体" w:cs="Arial Unicode MS"/>
                <w:szCs w:val="21"/>
              </w:rPr>
              <w:t>7</w:t>
            </w:r>
          </w:p>
        </w:tc>
        <w:tc>
          <w:tcPr>
            <w:tcW w:w="2220" w:type="dxa"/>
            <w:vAlign w:val="center"/>
          </w:tcPr>
          <w:p w:rsidR="00DE7079" w:rsidRPr="00DE7079" w:rsidRDefault="00DE7079" w:rsidP="00DE7079">
            <w:pPr>
              <w:widowControl/>
              <w:spacing w:line="300" w:lineRule="auto"/>
              <w:jc w:val="center"/>
              <w:rPr>
                <w:rFonts w:ascii="宋体" w:eastAsia="宋体" w:hAnsi="宋体" w:cs="Arial Unicode MS"/>
                <w:szCs w:val="21"/>
              </w:rPr>
            </w:pPr>
            <w:r w:rsidRPr="00DE7079">
              <w:rPr>
                <w:rFonts w:ascii="宋体" w:eastAsia="宋体" w:hAnsi="宋体" w:cs="Arial Unicode MS"/>
                <w:szCs w:val="21"/>
              </w:rPr>
              <w:t>其他</w:t>
            </w:r>
          </w:p>
        </w:tc>
        <w:tc>
          <w:tcPr>
            <w:tcW w:w="5437" w:type="dxa"/>
            <w:vAlign w:val="center"/>
          </w:tcPr>
          <w:p w:rsidR="00DE7079" w:rsidRPr="00DE7079" w:rsidRDefault="00DE7079" w:rsidP="00DE7079">
            <w:pPr>
              <w:widowControl/>
              <w:spacing w:line="300" w:lineRule="auto"/>
              <w:jc w:val="center"/>
              <w:rPr>
                <w:rFonts w:ascii="宋体" w:eastAsia="宋体" w:hAnsi="宋体" w:cs="Arial Unicode MS"/>
                <w:szCs w:val="21"/>
              </w:rPr>
            </w:pPr>
            <w:r w:rsidRPr="00DE7079">
              <w:rPr>
                <w:rFonts w:ascii="宋体" w:eastAsia="宋体" w:hAnsi="宋体" w:cs="Arial Unicode MS"/>
                <w:szCs w:val="21"/>
              </w:rPr>
              <w:t>与公共文化和旅游行业相关的其他外延领域</w:t>
            </w:r>
          </w:p>
        </w:tc>
      </w:tr>
    </w:tbl>
    <w:p w:rsidR="00DE7079" w:rsidRPr="00DE7079" w:rsidRDefault="00DE7079" w:rsidP="00DE7079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E7079">
        <w:rPr>
          <w:rFonts w:ascii="Times New Roman" w:eastAsia="宋体" w:hAnsi="Times New Roman" w:cs="Times New Roman" w:hint="eastAsia"/>
          <w:szCs w:val="21"/>
        </w:rPr>
        <w:t>②</w:t>
      </w:r>
      <w:r w:rsidRPr="00DE7079">
        <w:rPr>
          <w:rFonts w:ascii="Times New Roman" w:eastAsia="宋体" w:hAnsi="Times New Roman" w:cs="Times New Roman"/>
          <w:szCs w:val="21"/>
        </w:rPr>
        <w:t>机构信息</w:t>
      </w:r>
    </w:p>
    <w:p w:rsidR="00DE7079" w:rsidRPr="00DE7079" w:rsidRDefault="00DE7079" w:rsidP="00DE7079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E7079">
        <w:rPr>
          <w:rFonts w:ascii="Times New Roman" w:eastAsia="宋体" w:hAnsi="Times New Roman" w:cs="Times New Roman" w:hint="eastAsia"/>
          <w:szCs w:val="21"/>
        </w:rPr>
        <w:lastRenderedPageBreak/>
        <w:t>供应方：机构基本信息，包括机构名称、地址、机构标识、联系人和联系方式等，业务简介等；参展信息，包括线上展区、服务对象、展示方案等。</w:t>
      </w:r>
      <w:r w:rsidRPr="00DE7079">
        <w:rPr>
          <w:rFonts w:ascii="Times New Roman" w:eastAsia="宋体" w:hAnsi="Times New Roman" w:cs="Times New Roman" w:hint="eastAsia"/>
          <w:szCs w:val="21"/>
        </w:rPr>
        <w:t xml:space="preserve"> </w:t>
      </w:r>
    </w:p>
    <w:p w:rsidR="00DE7079" w:rsidRPr="00DE7079" w:rsidRDefault="00DE7079" w:rsidP="00DE7079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E7079">
        <w:rPr>
          <w:rFonts w:ascii="Times New Roman" w:eastAsia="宋体" w:hAnsi="Times New Roman" w:cs="Times New Roman" w:hint="eastAsia"/>
          <w:szCs w:val="21"/>
        </w:rPr>
        <w:t>需求方：机构基本信息，包括机构名称、地址、机构标识、联系人和联系方式等，业务简介等；参展信息，包括采购意向、机构展示视频等。</w:t>
      </w:r>
    </w:p>
    <w:p w:rsidR="00DE7079" w:rsidRPr="00DE7079" w:rsidRDefault="00DE7079" w:rsidP="00DE7079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E7079">
        <w:rPr>
          <w:rFonts w:ascii="Times New Roman" w:eastAsia="宋体" w:hAnsi="Times New Roman" w:cs="Times New Roman" w:hint="eastAsia"/>
          <w:szCs w:val="21"/>
        </w:rPr>
        <w:t>③产品信息</w:t>
      </w:r>
    </w:p>
    <w:p w:rsidR="00DE7079" w:rsidRPr="00DE7079" w:rsidRDefault="00DE7079" w:rsidP="00DE7079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E7079">
        <w:rPr>
          <w:rFonts w:ascii="Times New Roman" w:eastAsia="宋体" w:hAnsi="Times New Roman" w:cs="Times New Roman" w:hint="eastAsia"/>
          <w:szCs w:val="21"/>
        </w:rPr>
        <w:t>产品基本信息，包括产品或服务名称、展示图片、宣传视频、文字介绍等；销售信息包括联系方式、报价、支付方式等。</w:t>
      </w:r>
    </w:p>
    <w:p w:rsidR="00DE7079" w:rsidRPr="00DE7079" w:rsidRDefault="00DE7079" w:rsidP="00DE7079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E7079">
        <w:rPr>
          <w:rFonts w:ascii="Times New Roman" w:eastAsia="宋体" w:hAnsi="Times New Roman" w:cs="Times New Roman" w:hint="eastAsia"/>
          <w:szCs w:val="21"/>
        </w:rPr>
        <w:t>（</w:t>
      </w:r>
      <w:r w:rsidRPr="00DE7079">
        <w:rPr>
          <w:rFonts w:ascii="Times New Roman" w:eastAsia="宋体" w:hAnsi="Times New Roman" w:cs="Times New Roman" w:hint="eastAsia"/>
          <w:szCs w:val="21"/>
        </w:rPr>
        <w:t>2</w:t>
      </w:r>
      <w:r w:rsidRPr="00DE7079">
        <w:rPr>
          <w:rFonts w:ascii="Times New Roman" w:eastAsia="宋体" w:hAnsi="Times New Roman" w:cs="Times New Roman" w:hint="eastAsia"/>
          <w:szCs w:val="21"/>
        </w:rPr>
        <w:t>）日常维护“汇文采”专区</w:t>
      </w:r>
    </w:p>
    <w:p w:rsidR="00DE7079" w:rsidRPr="00DE7079" w:rsidRDefault="00DE7079" w:rsidP="00DE7079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E7079">
        <w:rPr>
          <w:rFonts w:ascii="Times New Roman" w:eastAsia="宋体" w:hAnsi="Times New Roman" w:cs="Times New Roman" w:hint="eastAsia"/>
          <w:szCs w:val="21"/>
        </w:rPr>
        <w:t>通过国家公共文化云“汇文采”</w:t>
      </w:r>
      <w:proofErr w:type="gramStart"/>
      <w:r w:rsidRPr="00DE7079">
        <w:rPr>
          <w:rFonts w:ascii="Times New Roman" w:eastAsia="宋体" w:hAnsi="Times New Roman" w:cs="Times New Roman" w:hint="eastAsia"/>
          <w:szCs w:val="21"/>
        </w:rPr>
        <w:t>版块</w:t>
      </w:r>
      <w:proofErr w:type="gramEnd"/>
      <w:r w:rsidRPr="00DE7079">
        <w:rPr>
          <w:rFonts w:ascii="Times New Roman" w:eastAsia="宋体" w:hAnsi="Times New Roman" w:cs="Times New Roman" w:hint="eastAsia"/>
          <w:szCs w:val="21"/>
        </w:rPr>
        <w:t>进行汇集，对发布信息进行动态更新。在全国性、区域性、地方性文采会举办期间，推出举办供应方机构及产品路演活动，拍摄制作对有关活动、供需机构以及产品服务的宣传视频、产品推荐海报等。</w:t>
      </w:r>
    </w:p>
    <w:p w:rsidR="00DE7079" w:rsidRPr="00DE7079" w:rsidRDefault="00DE7079" w:rsidP="00DE7079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E7079">
        <w:rPr>
          <w:rFonts w:ascii="Times New Roman" w:eastAsia="宋体" w:hAnsi="Times New Roman" w:cs="Times New Roman" w:hint="eastAsia"/>
          <w:szCs w:val="21"/>
        </w:rPr>
        <w:t>（</w:t>
      </w:r>
      <w:r w:rsidRPr="00DE7079">
        <w:rPr>
          <w:rFonts w:ascii="Times New Roman" w:eastAsia="宋体" w:hAnsi="Times New Roman" w:cs="Times New Roman" w:hint="eastAsia"/>
          <w:szCs w:val="21"/>
        </w:rPr>
        <w:t>3</w:t>
      </w:r>
      <w:r w:rsidRPr="00DE7079">
        <w:rPr>
          <w:rFonts w:ascii="Times New Roman" w:eastAsia="宋体" w:hAnsi="Times New Roman" w:cs="Times New Roman" w:hint="eastAsia"/>
          <w:szCs w:val="21"/>
        </w:rPr>
        <w:t>）举办区域性及地方性文采会</w:t>
      </w:r>
    </w:p>
    <w:p w:rsidR="00DE7079" w:rsidRPr="00DE7079" w:rsidRDefault="00DE7079" w:rsidP="00DE7079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E7079">
        <w:rPr>
          <w:rFonts w:ascii="Times New Roman" w:eastAsia="宋体" w:hAnsi="Times New Roman" w:cs="Times New Roman" w:hint="eastAsia"/>
          <w:szCs w:val="21"/>
        </w:rPr>
        <w:t>支持举办区域性及地方性文采会，参加全国性文采会展览展示和“云上文采会”，注册参会、发布产品和服务信息、需求信息、登记采购意向，开展文采会相关专题研究、人员培训。</w:t>
      </w:r>
    </w:p>
    <w:p w:rsidR="00DE7079" w:rsidRPr="00DE7079" w:rsidRDefault="00DE7079" w:rsidP="00DE7079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E7079">
        <w:rPr>
          <w:rFonts w:ascii="Times New Roman" w:eastAsia="宋体" w:hAnsi="Times New Roman" w:cs="Times New Roman" w:hint="eastAsia"/>
          <w:szCs w:val="21"/>
        </w:rPr>
        <w:t>3.</w:t>
      </w:r>
      <w:r w:rsidRPr="00DE7079">
        <w:rPr>
          <w:rFonts w:ascii="Times New Roman" w:eastAsia="宋体" w:hAnsi="Times New Roman" w:cs="Times New Roman" w:hint="eastAsia"/>
          <w:szCs w:val="21"/>
        </w:rPr>
        <w:t>成果提交</w:t>
      </w:r>
      <w:r w:rsidRPr="00DE7079">
        <w:rPr>
          <w:rFonts w:ascii="Times New Roman" w:eastAsia="宋体" w:hAnsi="Times New Roman" w:cs="Times New Roman" w:hint="eastAsia"/>
          <w:szCs w:val="21"/>
        </w:rPr>
        <w:t xml:space="preserve"> </w:t>
      </w:r>
    </w:p>
    <w:p w:rsidR="00DE7079" w:rsidRPr="00DE7079" w:rsidRDefault="00DE7079" w:rsidP="00DE7079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E7079">
        <w:rPr>
          <w:rFonts w:ascii="Times New Roman" w:eastAsia="宋体" w:hAnsi="Times New Roman" w:cs="Times New Roman" w:hint="eastAsia"/>
          <w:szCs w:val="21"/>
        </w:rPr>
        <w:t>通过国家公共文化云“汇文采”板块完成数据录入和日常维护。日常及时更新、维护。将开展专题研究和人员培训情况提交到公共文化</w:t>
      </w:r>
      <w:proofErr w:type="gramStart"/>
      <w:r w:rsidRPr="00DE7079">
        <w:rPr>
          <w:rFonts w:ascii="Times New Roman" w:eastAsia="宋体" w:hAnsi="Times New Roman" w:cs="Times New Roman" w:hint="eastAsia"/>
          <w:szCs w:val="21"/>
        </w:rPr>
        <w:t>云项目</w:t>
      </w:r>
      <w:proofErr w:type="gramEnd"/>
      <w:r w:rsidRPr="00DE7079">
        <w:rPr>
          <w:rFonts w:ascii="Times New Roman" w:eastAsia="宋体" w:hAnsi="Times New Roman" w:cs="Times New Roman" w:hint="eastAsia"/>
          <w:szCs w:val="21"/>
        </w:rPr>
        <w:t>跟踪管理系统。</w:t>
      </w:r>
    </w:p>
    <w:p w:rsidR="00DE7079" w:rsidRPr="00DE7079" w:rsidRDefault="00DE7079" w:rsidP="00DE7079">
      <w:pPr>
        <w:adjustRightInd w:val="0"/>
        <w:snapToGrid w:val="0"/>
        <w:spacing w:line="360" w:lineRule="auto"/>
        <w:ind w:firstLineChars="200" w:firstLine="422"/>
        <w:rPr>
          <w:rFonts w:ascii="Times New Roman" w:eastAsia="宋体" w:hAnsi="Times New Roman" w:cs="Times New Roman"/>
          <w:b/>
          <w:szCs w:val="21"/>
        </w:rPr>
      </w:pPr>
      <w:r w:rsidRPr="00DE7079">
        <w:rPr>
          <w:rFonts w:ascii="Times New Roman" w:eastAsia="宋体" w:hAnsi="Times New Roman" w:cs="Times New Roman" w:hint="eastAsia"/>
          <w:b/>
          <w:szCs w:val="21"/>
        </w:rPr>
        <w:t>（二）文创店铺与产品</w:t>
      </w:r>
      <w:r w:rsidRPr="00DE7079">
        <w:rPr>
          <w:rFonts w:ascii="Times New Roman" w:eastAsia="宋体" w:hAnsi="Times New Roman" w:cs="Times New Roman" w:hint="eastAsia"/>
          <w:b/>
          <w:szCs w:val="21"/>
        </w:rPr>
        <w:t xml:space="preserve"> </w:t>
      </w:r>
    </w:p>
    <w:p w:rsidR="00DE7079" w:rsidRPr="00DE7079" w:rsidRDefault="00DE7079" w:rsidP="00DE7079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E7079">
        <w:rPr>
          <w:rFonts w:ascii="Times New Roman" w:eastAsia="宋体" w:hAnsi="Times New Roman" w:cs="Times New Roman" w:hint="eastAsia"/>
          <w:szCs w:val="21"/>
        </w:rPr>
        <w:t>开展我省赶大集专区建设与运营，重点</w:t>
      </w:r>
      <w:proofErr w:type="gramStart"/>
      <w:r w:rsidRPr="00DE7079">
        <w:rPr>
          <w:rFonts w:ascii="Times New Roman" w:eastAsia="宋体" w:hAnsi="Times New Roman" w:cs="Times New Roman" w:hint="eastAsia"/>
          <w:szCs w:val="21"/>
        </w:rPr>
        <w:t>推介文</w:t>
      </w:r>
      <w:proofErr w:type="gramEnd"/>
      <w:r w:rsidRPr="00DE7079">
        <w:rPr>
          <w:rFonts w:ascii="Times New Roman" w:eastAsia="宋体" w:hAnsi="Times New Roman" w:cs="Times New Roman" w:hint="eastAsia"/>
          <w:szCs w:val="21"/>
        </w:rPr>
        <w:t>创产品，促进艺术</w:t>
      </w:r>
      <w:proofErr w:type="gramStart"/>
      <w:r w:rsidRPr="00DE7079">
        <w:rPr>
          <w:rFonts w:ascii="Times New Roman" w:eastAsia="宋体" w:hAnsi="Times New Roman" w:cs="Times New Roman" w:hint="eastAsia"/>
          <w:szCs w:val="21"/>
        </w:rPr>
        <w:t>普及文</w:t>
      </w:r>
      <w:proofErr w:type="gramEnd"/>
      <w:r w:rsidRPr="00DE7079">
        <w:rPr>
          <w:rFonts w:ascii="Times New Roman" w:eastAsia="宋体" w:hAnsi="Times New Roman" w:cs="Times New Roman" w:hint="eastAsia"/>
          <w:szCs w:val="21"/>
        </w:rPr>
        <w:t>创消费。</w:t>
      </w:r>
      <w:r w:rsidRPr="00DE7079">
        <w:rPr>
          <w:rFonts w:ascii="Times New Roman" w:eastAsia="宋体" w:hAnsi="Times New Roman" w:cs="Times New Roman" w:hint="eastAsia"/>
          <w:szCs w:val="21"/>
        </w:rPr>
        <w:t xml:space="preserve"> </w:t>
      </w:r>
    </w:p>
    <w:p w:rsidR="00DE7079" w:rsidRPr="00DE7079" w:rsidRDefault="00DE7079" w:rsidP="00DE7079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E7079">
        <w:rPr>
          <w:rFonts w:ascii="Times New Roman" w:eastAsia="宋体" w:hAnsi="Times New Roman" w:cs="Times New Roman" w:hint="eastAsia"/>
          <w:szCs w:val="21"/>
        </w:rPr>
        <w:t>1.</w:t>
      </w:r>
      <w:r w:rsidRPr="00DE7079">
        <w:rPr>
          <w:rFonts w:ascii="Times New Roman" w:eastAsia="宋体" w:hAnsi="Times New Roman" w:cs="Times New Roman" w:hint="eastAsia"/>
          <w:szCs w:val="21"/>
        </w:rPr>
        <w:t>支持范围</w:t>
      </w:r>
    </w:p>
    <w:p w:rsidR="00DE7079" w:rsidRPr="00DE7079" w:rsidRDefault="00DE7079" w:rsidP="00DE7079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E7079">
        <w:rPr>
          <w:rFonts w:ascii="Times New Roman" w:eastAsia="宋体" w:hAnsi="Times New Roman" w:cs="Times New Roman" w:hint="eastAsia"/>
          <w:szCs w:val="21"/>
        </w:rPr>
        <w:t>重点支持全省各地资源突出、条件成熟的文化馆、各类文化机构及个人在国家公共文化云“赶大集”板块开设店铺并运营，包括平台入驻、文</w:t>
      </w:r>
      <w:proofErr w:type="gramStart"/>
      <w:r w:rsidRPr="00DE7079">
        <w:rPr>
          <w:rFonts w:ascii="Times New Roman" w:eastAsia="宋体" w:hAnsi="Times New Roman" w:cs="Times New Roman" w:hint="eastAsia"/>
          <w:szCs w:val="21"/>
        </w:rPr>
        <w:t>创产品</w:t>
      </w:r>
      <w:proofErr w:type="gramEnd"/>
      <w:r w:rsidRPr="00DE7079">
        <w:rPr>
          <w:rFonts w:ascii="Times New Roman" w:eastAsia="宋体" w:hAnsi="Times New Roman" w:cs="Times New Roman" w:hint="eastAsia"/>
          <w:szCs w:val="21"/>
        </w:rPr>
        <w:t>开发、人才培养培训等。</w:t>
      </w:r>
    </w:p>
    <w:p w:rsidR="00DE7079" w:rsidRPr="00DE7079" w:rsidRDefault="00DE7079" w:rsidP="00DE7079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E7079">
        <w:rPr>
          <w:rFonts w:ascii="Times New Roman" w:eastAsia="宋体" w:hAnsi="Times New Roman" w:cs="Times New Roman" w:hint="eastAsia"/>
          <w:szCs w:val="21"/>
        </w:rPr>
        <w:t>2.</w:t>
      </w:r>
      <w:r w:rsidRPr="00DE7079">
        <w:rPr>
          <w:rFonts w:ascii="Times New Roman" w:eastAsia="宋体" w:hAnsi="Times New Roman" w:cs="Times New Roman" w:hint="eastAsia"/>
          <w:szCs w:val="21"/>
        </w:rPr>
        <w:t>建设标准</w:t>
      </w:r>
    </w:p>
    <w:p w:rsidR="00DE7079" w:rsidRPr="00DE7079" w:rsidRDefault="00DE7079" w:rsidP="00DE7079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E7079">
        <w:rPr>
          <w:rFonts w:ascii="Times New Roman" w:eastAsia="宋体" w:hAnsi="Times New Roman" w:cs="Times New Roman" w:hint="eastAsia"/>
          <w:szCs w:val="21"/>
        </w:rPr>
        <w:t>支持各地在国家公共文化云“赶大集”板块开设店铺，在店铺内加载各类文创产品。支持文化馆、各类文化机构及个人根据自身文化资源的特点，挖掘文创要素，开展艺术</w:t>
      </w:r>
      <w:proofErr w:type="gramStart"/>
      <w:r w:rsidRPr="00DE7079">
        <w:rPr>
          <w:rFonts w:ascii="Times New Roman" w:eastAsia="宋体" w:hAnsi="Times New Roman" w:cs="Times New Roman" w:hint="eastAsia"/>
          <w:szCs w:val="21"/>
        </w:rPr>
        <w:t>普及文</w:t>
      </w:r>
      <w:proofErr w:type="gramEnd"/>
      <w:r w:rsidRPr="00DE7079">
        <w:rPr>
          <w:rFonts w:ascii="Times New Roman" w:eastAsia="宋体" w:hAnsi="Times New Roman" w:cs="Times New Roman" w:hint="eastAsia"/>
          <w:szCs w:val="21"/>
        </w:rPr>
        <w:t>创开发，主要包括依托数字资源和实体馆藏开发的文创产品；利用非物质文化遗产资源开发的文创产品；艺术普及培训的文创产品。文</w:t>
      </w:r>
      <w:proofErr w:type="gramStart"/>
      <w:r w:rsidRPr="00DE7079">
        <w:rPr>
          <w:rFonts w:ascii="Times New Roman" w:eastAsia="宋体" w:hAnsi="Times New Roman" w:cs="Times New Roman" w:hint="eastAsia"/>
          <w:szCs w:val="21"/>
        </w:rPr>
        <w:t>创产品</w:t>
      </w:r>
      <w:proofErr w:type="gramEnd"/>
      <w:r w:rsidRPr="00DE7079">
        <w:rPr>
          <w:rFonts w:ascii="Times New Roman" w:eastAsia="宋体" w:hAnsi="Times New Roman" w:cs="Times New Roman" w:hint="eastAsia"/>
          <w:szCs w:val="21"/>
        </w:rPr>
        <w:t>开发单位在文</w:t>
      </w:r>
      <w:proofErr w:type="gramStart"/>
      <w:r w:rsidRPr="00DE7079">
        <w:rPr>
          <w:rFonts w:ascii="Times New Roman" w:eastAsia="宋体" w:hAnsi="Times New Roman" w:cs="Times New Roman" w:hint="eastAsia"/>
          <w:szCs w:val="21"/>
        </w:rPr>
        <w:t>创产品</w:t>
      </w:r>
      <w:proofErr w:type="gramEnd"/>
      <w:r w:rsidRPr="00DE7079">
        <w:rPr>
          <w:rFonts w:ascii="Times New Roman" w:eastAsia="宋体" w:hAnsi="Times New Roman" w:cs="Times New Roman" w:hint="eastAsia"/>
          <w:szCs w:val="21"/>
        </w:rPr>
        <w:t>开发中应做好文</w:t>
      </w:r>
      <w:proofErr w:type="gramStart"/>
      <w:r w:rsidRPr="00DE7079">
        <w:rPr>
          <w:rFonts w:ascii="Times New Roman" w:eastAsia="宋体" w:hAnsi="Times New Roman" w:cs="Times New Roman" w:hint="eastAsia"/>
          <w:szCs w:val="21"/>
        </w:rPr>
        <w:t>创资源</w:t>
      </w:r>
      <w:proofErr w:type="gramEnd"/>
      <w:r w:rsidRPr="00DE7079">
        <w:rPr>
          <w:rFonts w:ascii="Times New Roman" w:eastAsia="宋体" w:hAnsi="Times New Roman" w:cs="Times New Roman" w:hint="eastAsia"/>
          <w:szCs w:val="21"/>
        </w:rPr>
        <w:t>的确权工作。各级文化馆及文化机构可根据“赶大集”相关工作需要，开展人才培养及参加“赶大集”相关培训。</w:t>
      </w:r>
      <w:r w:rsidRPr="00DE7079">
        <w:rPr>
          <w:rFonts w:ascii="Times New Roman" w:eastAsia="宋体" w:hAnsi="Times New Roman" w:cs="Times New Roman" w:hint="eastAsia"/>
          <w:szCs w:val="21"/>
        </w:rPr>
        <w:t xml:space="preserve"> </w:t>
      </w:r>
    </w:p>
    <w:p w:rsidR="00DE7079" w:rsidRPr="00DE7079" w:rsidRDefault="00DE7079" w:rsidP="00DE7079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E7079">
        <w:rPr>
          <w:rFonts w:ascii="Times New Roman" w:eastAsia="宋体" w:hAnsi="Times New Roman" w:cs="Times New Roman" w:hint="eastAsia"/>
          <w:szCs w:val="21"/>
        </w:rPr>
        <w:t>总计开设店铺不少于</w:t>
      </w:r>
      <w:r w:rsidRPr="00DE7079">
        <w:rPr>
          <w:rFonts w:ascii="Times New Roman" w:eastAsia="宋体" w:hAnsi="Times New Roman" w:cs="Times New Roman" w:hint="eastAsia"/>
          <w:szCs w:val="21"/>
        </w:rPr>
        <w:t>10</w:t>
      </w:r>
      <w:r w:rsidRPr="00DE7079">
        <w:rPr>
          <w:rFonts w:ascii="Times New Roman" w:eastAsia="宋体" w:hAnsi="Times New Roman" w:cs="Times New Roman" w:hint="eastAsia"/>
          <w:szCs w:val="21"/>
        </w:rPr>
        <w:t>个（每个机构可开设店铺数量不限），加载文</w:t>
      </w:r>
      <w:proofErr w:type="gramStart"/>
      <w:r w:rsidRPr="00DE7079">
        <w:rPr>
          <w:rFonts w:ascii="Times New Roman" w:eastAsia="宋体" w:hAnsi="Times New Roman" w:cs="Times New Roman" w:hint="eastAsia"/>
          <w:szCs w:val="21"/>
        </w:rPr>
        <w:t>创产品</w:t>
      </w:r>
      <w:proofErr w:type="gramEnd"/>
      <w:r w:rsidRPr="00DE7079">
        <w:rPr>
          <w:rFonts w:ascii="Times New Roman" w:eastAsia="宋体" w:hAnsi="Times New Roman" w:cs="Times New Roman" w:hint="eastAsia"/>
          <w:szCs w:val="21"/>
        </w:rPr>
        <w:t>不少于</w:t>
      </w:r>
      <w:r w:rsidRPr="00DE7079">
        <w:rPr>
          <w:rFonts w:ascii="Times New Roman" w:eastAsia="宋体" w:hAnsi="Times New Roman" w:cs="Times New Roman" w:hint="eastAsia"/>
          <w:szCs w:val="21"/>
        </w:rPr>
        <w:t>100</w:t>
      </w:r>
      <w:r w:rsidRPr="00DE7079">
        <w:rPr>
          <w:rFonts w:ascii="Times New Roman" w:eastAsia="宋体" w:hAnsi="Times New Roman" w:cs="Times New Roman" w:hint="eastAsia"/>
          <w:szCs w:val="21"/>
        </w:rPr>
        <w:t>种（已有产品或新开发产品均可），从业人员参与文</w:t>
      </w:r>
      <w:proofErr w:type="gramStart"/>
      <w:r w:rsidRPr="00DE7079">
        <w:rPr>
          <w:rFonts w:ascii="Times New Roman" w:eastAsia="宋体" w:hAnsi="Times New Roman" w:cs="Times New Roman" w:hint="eastAsia"/>
          <w:szCs w:val="21"/>
        </w:rPr>
        <w:t>创培训</w:t>
      </w:r>
      <w:proofErr w:type="gramEnd"/>
      <w:r w:rsidRPr="00DE7079">
        <w:rPr>
          <w:rFonts w:ascii="Times New Roman" w:eastAsia="宋体" w:hAnsi="Times New Roman" w:cs="Times New Roman" w:hint="eastAsia"/>
          <w:szCs w:val="21"/>
        </w:rPr>
        <w:t>不少于</w:t>
      </w:r>
      <w:r w:rsidRPr="00DE7079">
        <w:rPr>
          <w:rFonts w:ascii="Times New Roman" w:eastAsia="宋体" w:hAnsi="Times New Roman" w:cs="Times New Roman" w:hint="eastAsia"/>
          <w:szCs w:val="21"/>
        </w:rPr>
        <w:t>50</w:t>
      </w:r>
      <w:r w:rsidRPr="00DE7079">
        <w:rPr>
          <w:rFonts w:ascii="Times New Roman" w:eastAsia="宋体" w:hAnsi="Times New Roman" w:cs="Times New Roman" w:hint="eastAsia"/>
          <w:szCs w:val="21"/>
        </w:rPr>
        <w:t>人</w:t>
      </w:r>
      <w:r w:rsidRPr="00DE7079">
        <w:rPr>
          <w:rFonts w:ascii="Times New Roman" w:eastAsia="宋体" w:hAnsi="Times New Roman" w:cs="Times New Roman" w:hint="eastAsia"/>
          <w:szCs w:val="21"/>
        </w:rPr>
        <w:t>/</w:t>
      </w:r>
      <w:r w:rsidRPr="00DE7079">
        <w:rPr>
          <w:rFonts w:ascii="Times New Roman" w:eastAsia="宋体" w:hAnsi="Times New Roman" w:cs="Times New Roman" w:hint="eastAsia"/>
          <w:szCs w:val="21"/>
        </w:rPr>
        <w:t>天。</w:t>
      </w:r>
      <w:r w:rsidRPr="00DE7079">
        <w:rPr>
          <w:rFonts w:ascii="Times New Roman" w:eastAsia="宋体" w:hAnsi="Times New Roman" w:cs="Times New Roman" w:hint="eastAsia"/>
          <w:szCs w:val="21"/>
        </w:rPr>
        <w:t xml:space="preserve"> </w:t>
      </w:r>
    </w:p>
    <w:p w:rsidR="00DE7079" w:rsidRPr="00DE7079" w:rsidRDefault="00DE7079" w:rsidP="00DE7079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E7079">
        <w:rPr>
          <w:rFonts w:ascii="Times New Roman" w:eastAsia="宋体" w:hAnsi="Times New Roman" w:cs="Times New Roman" w:hint="eastAsia"/>
          <w:szCs w:val="21"/>
        </w:rPr>
        <w:t>3.</w:t>
      </w:r>
      <w:r w:rsidRPr="00DE7079">
        <w:rPr>
          <w:rFonts w:ascii="Times New Roman" w:eastAsia="宋体" w:hAnsi="Times New Roman" w:cs="Times New Roman" w:hint="eastAsia"/>
          <w:szCs w:val="21"/>
        </w:rPr>
        <w:t>成果提交</w:t>
      </w:r>
      <w:r w:rsidRPr="00DE7079">
        <w:rPr>
          <w:rFonts w:ascii="Times New Roman" w:eastAsia="宋体" w:hAnsi="Times New Roman" w:cs="Times New Roman" w:hint="eastAsia"/>
          <w:szCs w:val="21"/>
        </w:rPr>
        <w:t xml:space="preserve"> </w:t>
      </w:r>
    </w:p>
    <w:p w:rsidR="00DE7079" w:rsidRPr="00DE7079" w:rsidRDefault="00DE7079" w:rsidP="00DE7079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E7079">
        <w:rPr>
          <w:rFonts w:ascii="Times New Roman" w:eastAsia="宋体" w:hAnsi="Times New Roman" w:cs="Times New Roman" w:hint="eastAsia"/>
          <w:szCs w:val="21"/>
        </w:rPr>
        <w:t>开设店铺：在国家公共文化</w:t>
      </w:r>
      <w:proofErr w:type="gramStart"/>
      <w:r w:rsidRPr="00DE7079">
        <w:rPr>
          <w:rFonts w:ascii="Times New Roman" w:eastAsia="宋体" w:hAnsi="Times New Roman" w:cs="Times New Roman" w:hint="eastAsia"/>
          <w:szCs w:val="21"/>
        </w:rPr>
        <w:t>云注册</w:t>
      </w:r>
      <w:proofErr w:type="gramEnd"/>
      <w:r w:rsidRPr="00DE7079">
        <w:rPr>
          <w:rFonts w:ascii="Times New Roman" w:eastAsia="宋体" w:hAnsi="Times New Roman" w:cs="Times New Roman" w:hint="eastAsia"/>
          <w:szCs w:val="21"/>
        </w:rPr>
        <w:t>机构用户，经省级文化和旅游行政主管部门同意，并</w:t>
      </w:r>
      <w:r w:rsidRPr="00DE7079">
        <w:rPr>
          <w:rFonts w:ascii="Times New Roman" w:eastAsia="宋体" w:hAnsi="Times New Roman" w:cs="Times New Roman" w:hint="eastAsia"/>
          <w:szCs w:val="21"/>
        </w:rPr>
        <w:lastRenderedPageBreak/>
        <w:t>提交资质认证文件，填报开设店铺相关字段，完成线上店铺开设。</w:t>
      </w:r>
      <w:r w:rsidRPr="00DE7079">
        <w:rPr>
          <w:rFonts w:ascii="Times New Roman" w:eastAsia="宋体" w:hAnsi="Times New Roman" w:cs="Times New Roman" w:hint="eastAsia"/>
          <w:szCs w:val="21"/>
        </w:rPr>
        <w:t xml:space="preserve"> </w:t>
      </w:r>
    </w:p>
    <w:p w:rsidR="00DE7079" w:rsidRPr="00DE7079" w:rsidRDefault="00DE7079" w:rsidP="00DE7079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E7079">
        <w:rPr>
          <w:rFonts w:ascii="Times New Roman" w:eastAsia="宋体" w:hAnsi="Times New Roman" w:cs="Times New Roman" w:hint="eastAsia"/>
          <w:szCs w:val="21"/>
        </w:rPr>
        <w:t>文创产品：填报文</w:t>
      </w:r>
      <w:proofErr w:type="gramStart"/>
      <w:r w:rsidRPr="00DE7079">
        <w:rPr>
          <w:rFonts w:ascii="Times New Roman" w:eastAsia="宋体" w:hAnsi="Times New Roman" w:cs="Times New Roman" w:hint="eastAsia"/>
          <w:szCs w:val="21"/>
        </w:rPr>
        <w:t>创产品</w:t>
      </w:r>
      <w:proofErr w:type="gramEnd"/>
      <w:r w:rsidRPr="00DE7079">
        <w:rPr>
          <w:rFonts w:ascii="Times New Roman" w:eastAsia="宋体" w:hAnsi="Times New Roman" w:cs="Times New Roman" w:hint="eastAsia"/>
          <w:szCs w:val="21"/>
        </w:rPr>
        <w:t>相关字段，完成不少于</w:t>
      </w:r>
      <w:r w:rsidRPr="00DE7079">
        <w:rPr>
          <w:rFonts w:ascii="Times New Roman" w:eastAsia="宋体" w:hAnsi="Times New Roman" w:cs="Times New Roman" w:hint="eastAsia"/>
          <w:szCs w:val="21"/>
        </w:rPr>
        <w:t>100</w:t>
      </w:r>
      <w:r w:rsidRPr="00DE7079">
        <w:rPr>
          <w:rFonts w:ascii="Times New Roman" w:eastAsia="宋体" w:hAnsi="Times New Roman" w:cs="Times New Roman" w:hint="eastAsia"/>
          <w:szCs w:val="21"/>
        </w:rPr>
        <w:t>种产品加载。每种产品提交</w:t>
      </w:r>
      <w:r w:rsidRPr="00DE7079">
        <w:rPr>
          <w:rFonts w:ascii="Times New Roman" w:eastAsia="宋体" w:hAnsi="Times New Roman" w:cs="Times New Roman" w:hint="eastAsia"/>
          <w:szCs w:val="21"/>
        </w:rPr>
        <w:t>1</w:t>
      </w:r>
      <w:r w:rsidRPr="00DE7079">
        <w:rPr>
          <w:rFonts w:ascii="Times New Roman" w:eastAsia="宋体" w:hAnsi="Times New Roman" w:cs="Times New Roman" w:hint="eastAsia"/>
          <w:szCs w:val="21"/>
        </w:rPr>
        <w:t>份创意设计方案、</w:t>
      </w:r>
      <w:r w:rsidRPr="00DE7079">
        <w:rPr>
          <w:rFonts w:ascii="Times New Roman" w:eastAsia="宋体" w:hAnsi="Times New Roman" w:cs="Times New Roman" w:hint="eastAsia"/>
          <w:szCs w:val="21"/>
        </w:rPr>
        <w:t>1</w:t>
      </w:r>
      <w:r w:rsidRPr="00DE7079">
        <w:rPr>
          <w:rFonts w:ascii="Times New Roman" w:eastAsia="宋体" w:hAnsi="Times New Roman" w:cs="Times New Roman" w:hint="eastAsia"/>
          <w:szCs w:val="21"/>
        </w:rPr>
        <w:t>套产品图册及</w:t>
      </w:r>
      <w:r w:rsidRPr="00DE7079">
        <w:rPr>
          <w:rFonts w:ascii="Times New Roman" w:eastAsia="宋体" w:hAnsi="Times New Roman" w:cs="Times New Roman" w:hint="eastAsia"/>
          <w:szCs w:val="21"/>
        </w:rPr>
        <w:t>1</w:t>
      </w:r>
      <w:r w:rsidRPr="00DE7079">
        <w:rPr>
          <w:rFonts w:ascii="Times New Roman" w:eastAsia="宋体" w:hAnsi="Times New Roman" w:cs="Times New Roman" w:hint="eastAsia"/>
          <w:szCs w:val="21"/>
        </w:rPr>
        <w:t>份版权文件。</w:t>
      </w:r>
    </w:p>
    <w:p w:rsidR="00DE7079" w:rsidRPr="00DE7079" w:rsidRDefault="00DE7079" w:rsidP="00DE7079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E7079">
        <w:rPr>
          <w:rFonts w:ascii="Times New Roman" w:eastAsia="宋体" w:hAnsi="Times New Roman" w:cs="Times New Roman" w:hint="eastAsia"/>
          <w:szCs w:val="21"/>
        </w:rPr>
        <w:t>人员培训：每省提交培训场次名称、参加培训人员名单、课时及课程内容、培训证书。</w:t>
      </w:r>
    </w:p>
    <w:p w:rsidR="00DE7079" w:rsidRPr="00DE7079" w:rsidRDefault="00DE7079" w:rsidP="00DE7079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 w:hint="eastAsia"/>
          <w:szCs w:val="21"/>
        </w:rPr>
      </w:pPr>
      <w:r w:rsidRPr="00DE7079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DE7079">
        <w:rPr>
          <w:rFonts w:ascii="Times New Roman" w:eastAsia="宋体" w:hAnsi="Times New Roman" w:cs="Times New Roman" w:hint="eastAsia"/>
          <w:szCs w:val="21"/>
        </w:rPr>
        <w:t>通过公共文化</w:t>
      </w:r>
      <w:proofErr w:type="gramStart"/>
      <w:r w:rsidRPr="00DE7079">
        <w:rPr>
          <w:rFonts w:ascii="Times New Roman" w:eastAsia="宋体" w:hAnsi="Times New Roman" w:cs="Times New Roman" w:hint="eastAsia"/>
          <w:szCs w:val="21"/>
        </w:rPr>
        <w:t>云项目</w:t>
      </w:r>
      <w:proofErr w:type="gramEnd"/>
      <w:r w:rsidRPr="00DE7079">
        <w:rPr>
          <w:rFonts w:ascii="Times New Roman" w:eastAsia="宋体" w:hAnsi="Times New Roman" w:cs="Times New Roman" w:hint="eastAsia"/>
          <w:szCs w:val="21"/>
        </w:rPr>
        <w:t>跟踪管理系统或</w:t>
      </w:r>
      <w:proofErr w:type="gramStart"/>
      <w:r w:rsidRPr="00DE7079">
        <w:rPr>
          <w:rFonts w:ascii="Times New Roman" w:eastAsia="宋体" w:hAnsi="Times New Roman" w:cs="Times New Roman" w:hint="eastAsia"/>
          <w:szCs w:val="21"/>
        </w:rPr>
        <w:t>以网盘方式</w:t>
      </w:r>
      <w:proofErr w:type="gramEnd"/>
      <w:r w:rsidRPr="00DE7079">
        <w:rPr>
          <w:rFonts w:ascii="Times New Roman" w:eastAsia="宋体" w:hAnsi="Times New Roman" w:cs="Times New Roman" w:hint="eastAsia"/>
          <w:szCs w:val="21"/>
        </w:rPr>
        <w:t>提交成果电子版，方案、版权文件、培训证明材料须提交盖章扫描件。</w:t>
      </w:r>
    </w:p>
    <w:p w:rsidR="00DE7079" w:rsidRPr="00DE7079" w:rsidRDefault="00DE7079" w:rsidP="00DE7079">
      <w:pPr>
        <w:adjustRightInd w:val="0"/>
        <w:snapToGrid w:val="0"/>
        <w:spacing w:line="360" w:lineRule="auto"/>
        <w:rPr>
          <w:rFonts w:ascii="Times New Roman" w:eastAsia="宋体" w:hAnsi="Times New Roman" w:cs="Times New Roman" w:hint="eastAsia"/>
          <w:b/>
          <w:szCs w:val="21"/>
        </w:rPr>
      </w:pPr>
      <w:r w:rsidRPr="00DE7079">
        <w:rPr>
          <w:rFonts w:ascii="Times New Roman" w:eastAsia="宋体" w:hAnsi="Times New Roman" w:cs="Times New Roman" w:hint="eastAsia"/>
          <w:b/>
          <w:szCs w:val="21"/>
        </w:rPr>
        <w:t>三、报价要求</w:t>
      </w:r>
    </w:p>
    <w:p w:rsidR="00DE7079" w:rsidRPr="00DE7079" w:rsidRDefault="00DE7079" w:rsidP="00DE7079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 w:hint="eastAsia"/>
          <w:szCs w:val="24"/>
        </w:rPr>
      </w:pPr>
      <w:r w:rsidRPr="00DE7079">
        <w:rPr>
          <w:rFonts w:ascii="Times New Roman" w:eastAsia="宋体" w:hAnsi="Times New Roman" w:cs="Times New Roman" w:hint="eastAsia"/>
          <w:szCs w:val="21"/>
        </w:rPr>
        <w:t>1</w:t>
      </w:r>
      <w:r w:rsidRPr="00DE7079">
        <w:rPr>
          <w:rFonts w:ascii="Times New Roman" w:eastAsia="宋体" w:hAnsi="Times New Roman" w:cs="Times New Roman" w:hint="eastAsia"/>
          <w:szCs w:val="21"/>
        </w:rPr>
        <w:t>、供应商的响应</w:t>
      </w:r>
      <w:r w:rsidRPr="00DE7079">
        <w:rPr>
          <w:rFonts w:ascii="Times New Roman" w:eastAsia="宋体" w:hAnsi="Times New Roman" w:cs="Times New Roman"/>
          <w:szCs w:val="21"/>
        </w:rPr>
        <w:t>报价包括提供服务的一切成本和费用、管理费、利润和税金，以及采购合同中明示或暗示的所有责任、义务和风险。</w:t>
      </w:r>
    </w:p>
    <w:p w:rsidR="00DE7079" w:rsidRPr="00DE7079" w:rsidRDefault="00DE7079" w:rsidP="00DE7079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 w:hint="eastAsia"/>
          <w:szCs w:val="21"/>
        </w:rPr>
      </w:pPr>
      <w:r w:rsidRPr="00DE7079">
        <w:rPr>
          <w:rFonts w:ascii="Times New Roman" w:eastAsia="宋体" w:hAnsi="Times New Roman" w:cs="Times New Roman" w:hint="eastAsia"/>
          <w:szCs w:val="24"/>
        </w:rPr>
        <w:t>2</w:t>
      </w:r>
      <w:r w:rsidRPr="00DE7079">
        <w:rPr>
          <w:rFonts w:ascii="Times New Roman" w:eastAsia="宋体" w:hAnsi="Times New Roman" w:cs="Times New Roman" w:hint="eastAsia"/>
          <w:szCs w:val="24"/>
        </w:rPr>
        <w:t>、</w:t>
      </w:r>
      <w:r w:rsidRPr="00DE7079">
        <w:rPr>
          <w:rFonts w:ascii="Times New Roman" w:eastAsia="宋体" w:hAnsi="Times New Roman" w:cs="Times New Roman"/>
          <w:szCs w:val="24"/>
        </w:rPr>
        <w:t>采购人后期不再追加费用，供应商自行考虑报价风险。</w:t>
      </w:r>
    </w:p>
    <w:bookmarkEnd w:id="2"/>
    <w:p w:rsidR="00AB2DD1" w:rsidRDefault="00DE7079" w:rsidP="00DE7079">
      <w:r w:rsidRPr="00DE7079">
        <w:rPr>
          <w:rFonts w:ascii="Times New Roman" w:eastAsia="宋体" w:hAnsi="Times New Roman" w:cs="Times New Roman"/>
          <w:b/>
          <w:bCs/>
          <w:szCs w:val="24"/>
        </w:rPr>
        <w:br w:type="page"/>
      </w:r>
    </w:p>
    <w:sectPr w:rsidR="00AB2DD1" w:rsidSect="00AB2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7079"/>
    <w:rsid w:val="00AB2DD1"/>
    <w:rsid w:val="00DE7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D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校对-秦帅</dc:creator>
  <cp:lastModifiedBy>校对-秦帅</cp:lastModifiedBy>
  <cp:revision>1</cp:revision>
  <dcterms:created xsi:type="dcterms:W3CDTF">2022-06-17T11:31:00Z</dcterms:created>
  <dcterms:modified xsi:type="dcterms:W3CDTF">2022-06-17T11:32:00Z</dcterms:modified>
</cp:coreProperties>
</file>