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CCD67">
      <w:pPr>
        <w:jc w:val="center"/>
        <w:rPr>
          <w:rFonts w:hint="eastAsia"/>
          <w:sz w:val="40"/>
          <w:szCs w:val="48"/>
          <w:lang w:eastAsia="zh-CN"/>
        </w:rPr>
      </w:pPr>
      <w:bookmarkStart w:id="0" w:name="_GoBack"/>
      <w:r>
        <w:rPr>
          <w:rFonts w:hint="eastAsia"/>
          <w:sz w:val="40"/>
          <w:szCs w:val="48"/>
          <w:lang w:eastAsia="zh-CN"/>
        </w:rPr>
        <w:t>采购需求</w:t>
      </w:r>
    </w:p>
    <w:bookmarkEnd w:id="0"/>
    <w:tbl>
      <w:tblPr>
        <w:tblStyle w:val="2"/>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42"/>
        <w:gridCol w:w="4469"/>
        <w:gridCol w:w="617"/>
        <w:gridCol w:w="617"/>
        <w:gridCol w:w="617"/>
        <w:gridCol w:w="972"/>
      </w:tblGrid>
      <w:tr w14:paraId="3AAB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1995FCD7">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序号</w:t>
            </w:r>
          </w:p>
        </w:tc>
        <w:tc>
          <w:tcPr>
            <w:tcW w:w="1042" w:type="dxa"/>
            <w:vAlign w:val="center"/>
          </w:tcPr>
          <w:p w14:paraId="2A117423">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货物名称</w:t>
            </w:r>
          </w:p>
        </w:tc>
        <w:tc>
          <w:tcPr>
            <w:tcW w:w="4469" w:type="dxa"/>
            <w:vAlign w:val="center"/>
          </w:tcPr>
          <w:p w14:paraId="7AA126BF">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技术参数及要求</w:t>
            </w:r>
          </w:p>
        </w:tc>
        <w:tc>
          <w:tcPr>
            <w:tcW w:w="617" w:type="dxa"/>
            <w:vAlign w:val="center"/>
          </w:tcPr>
          <w:p w14:paraId="13586AE5">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数量</w:t>
            </w:r>
          </w:p>
        </w:tc>
        <w:tc>
          <w:tcPr>
            <w:tcW w:w="617" w:type="dxa"/>
            <w:vAlign w:val="center"/>
          </w:tcPr>
          <w:p w14:paraId="42099042">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单位</w:t>
            </w:r>
          </w:p>
        </w:tc>
        <w:tc>
          <w:tcPr>
            <w:tcW w:w="617" w:type="dxa"/>
            <w:vAlign w:val="center"/>
          </w:tcPr>
          <w:p w14:paraId="03F00F3E">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所属行业</w:t>
            </w:r>
          </w:p>
        </w:tc>
        <w:tc>
          <w:tcPr>
            <w:tcW w:w="972" w:type="dxa"/>
            <w:vAlign w:val="center"/>
          </w:tcPr>
          <w:p w14:paraId="2B857A24">
            <w:pPr>
              <w:spacing w:line="360" w:lineRule="auto"/>
              <w:jc w:val="center"/>
              <w:rPr>
                <w:rFonts w:hint="eastAsia" w:ascii="宋体" w:hAnsi="宋体" w:eastAsia="宋体" w:cs="宋体"/>
                <w:b/>
                <w:bCs/>
                <w:sz w:val="24"/>
                <w:szCs w:val="24"/>
                <w:highlight w:val="none"/>
                <w:shd w:val="clear" w:color="auto" w:fill="FFFFFF" w:themeFill="background1"/>
              </w:rPr>
            </w:pPr>
            <w:r>
              <w:rPr>
                <w:rFonts w:hint="eastAsia" w:ascii="宋体" w:hAnsi="宋体" w:eastAsia="宋体" w:cs="宋体"/>
                <w:b/>
                <w:bCs/>
                <w:sz w:val="24"/>
                <w:szCs w:val="24"/>
                <w:highlight w:val="none"/>
                <w:shd w:val="clear" w:color="auto" w:fill="FFFFFF" w:themeFill="background1"/>
              </w:rPr>
              <w:t>备注</w:t>
            </w:r>
          </w:p>
        </w:tc>
      </w:tr>
      <w:tr w14:paraId="16B6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6295BC88">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1</w:t>
            </w:r>
          </w:p>
        </w:tc>
        <w:tc>
          <w:tcPr>
            <w:tcW w:w="1042" w:type="dxa"/>
            <w:vAlign w:val="center"/>
          </w:tcPr>
          <w:p w14:paraId="256EA957">
            <w:pPr>
              <w:autoSpaceDE w:val="0"/>
              <w:autoSpaceDN w:val="0"/>
              <w:adjustRightInd w:val="0"/>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▲质构仪</w:t>
            </w:r>
          </w:p>
        </w:tc>
        <w:tc>
          <w:tcPr>
            <w:tcW w:w="4469" w:type="dxa"/>
          </w:tcPr>
          <w:p w14:paraId="216332B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1.设备用途：</w:t>
            </w:r>
          </w:p>
          <w:p w14:paraId="759D749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用于食品医药原料产品的物理特性评估，可对粉体的结块，内聚，流动特性；液体的流动性，浓稠度，内聚性，粘性；固体的硬度，弹性，脆性，模量等指标进行评估，用定量的数据来做产品的分级也质量管控。</w:t>
            </w:r>
          </w:p>
          <w:p w14:paraId="348EA41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 工作条件</w:t>
            </w:r>
          </w:p>
          <w:p w14:paraId="5F39DB19">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2.1电源：100~240 V，50/60Hz；</w:t>
            </w:r>
          </w:p>
          <w:p w14:paraId="499738A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2.2环境温度：0-40℃；</w:t>
            </w:r>
          </w:p>
          <w:p w14:paraId="49645D9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3.质构部分硬件技术参数</w:t>
            </w:r>
          </w:p>
          <w:p w14:paraId="2A665ECA">
            <w:pPr>
              <w:adjustRightInd w:val="0"/>
              <w:spacing w:line="360" w:lineRule="auto"/>
              <w:textAlignment w:val="baseline"/>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 xml:space="preserve">3.1 </w:t>
            </w:r>
            <w:r>
              <w:rPr>
                <w:rFonts w:hint="eastAsia" w:ascii="宋体" w:hAnsi="宋体" w:eastAsia="宋体" w:cs="宋体"/>
                <w:b w:val="0"/>
                <w:bCs/>
                <w:spacing w:val="20"/>
                <w:sz w:val="24"/>
                <w:szCs w:val="24"/>
                <w:highlight w:val="none"/>
              </w:rPr>
              <w:t>★</w:t>
            </w:r>
            <w:r>
              <w:rPr>
                <w:rFonts w:hint="eastAsia" w:ascii="宋体" w:hAnsi="宋体" w:eastAsia="宋体" w:cs="宋体"/>
                <w:b w:val="0"/>
                <w:bCs/>
                <w:kern w:val="0"/>
                <w:sz w:val="24"/>
                <w:szCs w:val="24"/>
                <w:highlight w:val="none"/>
              </w:rPr>
              <w:t>力量精确度：符合中华人民共和国计量法实施细则，力量感应元具有国家计量院校准证书，不确定度≦0.3% (K=2)、示值误差≦0.3% （投标时需提供相关证明资料）。</w:t>
            </w:r>
          </w:p>
          <w:p w14:paraId="344F406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3.2运行方向性：上下移动以纵向测试分析不同层面质地结构，左右移动以水平方向测试样品表面摩擦力及可360度进行旋转搅拌测试。</w:t>
            </w:r>
          </w:p>
          <w:p w14:paraId="5F6775A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3.3★扩充功能：主机带有一个Expansion Ports(EXP)端口、二个PT100端口，可直接连接音频、视频、动态天平、吹泡仪、旋转式粉体流变仪，测试数据可以直接同步到软件中显示。</w:t>
            </w:r>
          </w:p>
          <w:p w14:paraId="1F1982A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3.4探头安装方式：磁吸式接头可1s内快速安装或更换探头。</w:t>
            </w:r>
          </w:p>
          <w:p w14:paraId="30B510B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自动安全装置：自动侦测探头最大承载力，过载仪器自动停止。</w:t>
            </w:r>
          </w:p>
          <w:p w14:paraId="2D4FE99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扫码启动方案：扫码自动开启测试方案。</w:t>
            </w:r>
          </w:p>
          <w:p w14:paraId="6DC22CC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3.5★操作方式：具备三种操作方式，包含脱机下主机自带的触控屏、电脑及手机上远程控制。</w:t>
            </w:r>
          </w:p>
          <w:p w14:paraId="4D3C10E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3.6★PID控制器（比例-积分-微分控制器）：可设定使动态力值不随时间变化，以达到保持目标力稳定的需求。</w:t>
            </w:r>
          </w:p>
          <w:p w14:paraId="1462371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3.7三级权限管理：可设定三种管理阶层，包含负责人、管理员及操作员，以在不同的限制范围内有效的访问被授权资源。</w:t>
            </w:r>
          </w:p>
          <w:p w14:paraId="16E7D21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4.质构部分软件技术参数</w:t>
            </w:r>
          </w:p>
          <w:p w14:paraId="567344F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4.1★曲线分析：曲线可进行n次微分计算反曲点，与原始曲线同步显示。</w:t>
            </w:r>
          </w:p>
          <w:p w14:paraId="1F29DA0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4.2★弹性的编辑程序：自带九种测试模式，包含单循环压缩/拉伸测试、多次循环压缩/拉伸测试、TPA测试、蠕变测试、松弛测试、粘性测试、变速測試、多段应变量测试及TDT两次形变测试程序。 (投标时需提供曲线功能截图证明资料）。</w:t>
            </w:r>
          </w:p>
          <w:p w14:paraId="239E02A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4.3★三轴座标：曲线可三轴(X、Y1及Y2)显示。 </w:t>
            </w:r>
          </w:p>
          <w:p w14:paraId="7FD89EC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4.4同步视频四维显示：曲线与测试过程视频在同一界面上呈现实时变化过程。</w:t>
            </w:r>
          </w:p>
          <w:p w14:paraId="3450178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4.5激发温度功能：可设置-50～+250℃温度激发实验程序确保测试温度保持一致批次着色功能：测试曲线可按批次着色以利快速观察样品差异。</w:t>
            </w:r>
          </w:p>
          <w:p w14:paraId="7FA36AC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4.6批次着色功能：测试曲线可按批次着色以利快速观察样品差异。</w:t>
            </w:r>
          </w:p>
          <w:p w14:paraId="3B448B9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4.7★创建平均图功能：创建多重复分析的平均曲线图，使操作者容易观察批量差异。（投标时需提供平均曲线功能截图）。</w:t>
            </w:r>
          </w:p>
          <w:p w14:paraId="4FAB1EE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4.8</w:t>
            </w:r>
            <w:r>
              <w:rPr>
                <w:rFonts w:hint="eastAsia" w:ascii="宋体" w:hAnsi="宋体" w:eastAsia="宋体" w:cs="宋体"/>
                <w:spacing w:val="20"/>
                <w:sz w:val="24"/>
                <w:szCs w:val="24"/>
                <w:highlight w:val="none"/>
              </w:rPr>
              <w:t>★</w:t>
            </w:r>
            <w:r>
              <w:rPr>
                <w:rFonts w:hint="eastAsia" w:ascii="宋体" w:hAnsi="宋体" w:eastAsia="宋体" w:cs="宋体"/>
                <w:bCs/>
                <w:kern w:val="0"/>
                <w:sz w:val="24"/>
                <w:szCs w:val="24"/>
                <w:highlight w:val="none"/>
              </w:rPr>
              <w:t>自动批量测试：可自动批量进行测试，无需每次手动开始实验。</w:t>
            </w:r>
          </w:p>
          <w:p w14:paraId="72CD6CF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4.9★即时电压查看：不需拆机即可从软件中查看仪器电压实时值与稳定性。 （投标时需提供软件显示功能截图证明资料）。</w:t>
            </w:r>
          </w:p>
          <w:p w14:paraId="4DDA32E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5.配置要求</w:t>
            </w:r>
          </w:p>
          <w:p w14:paraId="46DF5C1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w:t>
            </w:r>
            <w:r>
              <w:rPr>
                <w:rFonts w:hint="eastAsia" w:ascii="宋体" w:hAnsi="宋体" w:eastAsia="宋体" w:cs="宋体"/>
                <w:sz w:val="24"/>
                <w:szCs w:val="24"/>
                <w:highlight w:val="none"/>
              </w:rPr>
              <w:t xml:space="preserve"> </w:t>
            </w:r>
            <w:r>
              <w:rPr>
                <w:rFonts w:hint="eastAsia" w:ascii="宋体" w:hAnsi="宋体" w:eastAsia="宋体" w:cs="宋体"/>
                <w:bCs/>
                <w:kern w:val="0"/>
                <w:sz w:val="24"/>
                <w:szCs w:val="24"/>
                <w:highlight w:val="none"/>
              </w:rPr>
              <w:t>主机 物性分析仪一套</w:t>
            </w:r>
          </w:p>
          <w:p w14:paraId="01DC196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5.2专用软件，满足Win10以上操作系统一套；</w:t>
            </w:r>
          </w:p>
          <w:p w14:paraId="73C819E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5.3力量感应元：50Kg</w:t>
            </w:r>
          </w:p>
          <w:p w14:paraId="5E9597D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5.4力量感应元：5Kg</w:t>
            </w:r>
          </w:p>
          <w:p w14:paraId="2BEE1DF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5.5高强度测试平台一套</w:t>
            </w:r>
          </w:p>
          <w:p w14:paraId="690176C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5.6直径2mm柱型探头一套：适用于测试内外层质地区别明显的样品。</w:t>
            </w:r>
          </w:p>
          <w:p w14:paraId="7836CAD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5.7直径5mm柱型探头一套：可穿刺到样品内部，测得其内部质地特性。</w:t>
            </w:r>
          </w:p>
          <w:p w14:paraId="69119C4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5.8直径0.5英寸聚甲醛柱形探头一个，符合ISO，GMIA,GB凝胶强度标准测试方法</w:t>
            </w:r>
          </w:p>
          <w:p w14:paraId="63A57D4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5.9直径36mm周边修圆弧柱型探头一套：符合国际标准方法AACC，测试面包硬度及弹性等质地。 </w:t>
            </w:r>
          </w:p>
          <w:p w14:paraId="5EC2ED3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5.10直径1英寸不锈钢球型探头:用于检测硬度、黏性、弹性、脆性、附着力以及初黏力 等各项指标测试。</w:t>
            </w:r>
          </w:p>
          <w:p w14:paraId="7712750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5.11反挤压装置：由盘状活塞和样品容器组成 。测试适用于软凝胶一类的粘性物质，加工处理过的固体、半固体样品，测粘性、黏稠度。</w:t>
            </w:r>
          </w:p>
          <w:p w14:paraId="1A213E0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5.12粉末开放式屈服应力装置：用于分析许多不同类型的粉末在不同固结应力和时间下的流动特性。</w:t>
            </w:r>
          </w:p>
          <w:p w14:paraId="085659C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5.13粉末垂直剪切装置：用于分析粉末颗粒之间的摩擦力，评估其黏聚性指标。</w:t>
            </w:r>
          </w:p>
          <w:p w14:paraId="73BE239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5.14小型三点弯曲装置：用于测试药锭的断裂强度，泊松比指标。</w:t>
            </w:r>
          </w:p>
          <w:p w14:paraId="6067657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5.15拉伸夹钳装置：用于薄膜，包材的拉伸测试，也可进行180度剥离测试。</w:t>
            </w:r>
          </w:p>
          <w:p w14:paraId="79AB6BF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5.16多孔粉末压实装置，评估粉末压缩率，刚性及松弛力</w:t>
            </w:r>
          </w:p>
          <w:p w14:paraId="4059498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5.17手动式移动平台，搭配多孔粉末压实装置使用</w:t>
            </w:r>
          </w:p>
          <w:p w14:paraId="3C67A53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5.18直径 85mm 马车轮探头 : 测定流体的的密度 指针、浓稠度、粘性指标与黏聚力</w:t>
            </w:r>
          </w:p>
          <w:p w14:paraId="6F3A775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5.19符合专用软件(规格为CPU i5、8GB、 512GB、Win 10以上)</w:t>
            </w:r>
          </w:p>
          <w:p w14:paraId="3101133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5.20电脑、显示器及键盘鼠标套装 1套</w:t>
            </w:r>
          </w:p>
          <w:p w14:paraId="114AA09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5.21 防震台一台</w:t>
            </w:r>
          </w:p>
          <w:p w14:paraId="76FE72A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 售后服务</w:t>
            </w:r>
          </w:p>
          <w:p w14:paraId="1A814F4E">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6.1供应商免费提供操作手册（中/英文）壹套。</w:t>
            </w:r>
          </w:p>
          <w:p w14:paraId="6DCC26B2">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6.2中文教学视频一套。</w:t>
            </w:r>
          </w:p>
          <w:p w14:paraId="4BF55FD1">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6.3中文化软件一套。</w:t>
            </w:r>
          </w:p>
          <w:p w14:paraId="1F69B729">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6.4自仪器安装调试合格之日起免费保固三年</w:t>
            </w:r>
          </w:p>
          <w:p w14:paraId="35A45864">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6.5用户现场免费安装、调试及培训。 </w:t>
            </w:r>
          </w:p>
          <w:p w14:paraId="7CDFCC84">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6.6提供软件免费升级、方案建立咨询服务。</w:t>
            </w:r>
          </w:p>
          <w:p w14:paraId="30B5DC24">
            <w:pPr>
              <w:snapToGrid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6.7提供免费两名仪器操作人员具有证书资格的基础培训班课程。</w:t>
            </w:r>
          </w:p>
          <w:p w14:paraId="4BCB120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7. 交货地点：最终用户指定地点；</w:t>
            </w:r>
          </w:p>
          <w:p w14:paraId="487FF5FB">
            <w:pPr>
              <w:pStyle w:val="4"/>
              <w:spacing w:line="360" w:lineRule="auto"/>
              <w:rPr>
                <w:rFonts w:hint="eastAsia"/>
                <w:color w:val="auto"/>
                <w:highlight w:val="none"/>
                <w:shd w:val="clear" w:color="auto" w:fill="FFFFFF" w:themeFill="background1"/>
              </w:rPr>
            </w:pPr>
            <w:r>
              <w:rPr>
                <w:rFonts w:hint="eastAsia"/>
                <w:bCs/>
                <w:color w:val="auto"/>
                <w:highlight w:val="none"/>
              </w:rPr>
              <w:t>8．供货周期：90天；</w:t>
            </w:r>
          </w:p>
        </w:tc>
        <w:tc>
          <w:tcPr>
            <w:tcW w:w="617" w:type="dxa"/>
            <w:vAlign w:val="center"/>
          </w:tcPr>
          <w:p w14:paraId="700C6AAF">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1</w:t>
            </w:r>
          </w:p>
        </w:tc>
        <w:tc>
          <w:tcPr>
            <w:tcW w:w="617" w:type="dxa"/>
            <w:vAlign w:val="center"/>
          </w:tcPr>
          <w:p w14:paraId="2765A6E0">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套</w:t>
            </w:r>
          </w:p>
        </w:tc>
        <w:tc>
          <w:tcPr>
            <w:tcW w:w="617" w:type="dxa"/>
            <w:vAlign w:val="center"/>
          </w:tcPr>
          <w:p w14:paraId="01BF970D">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工业</w:t>
            </w:r>
          </w:p>
        </w:tc>
        <w:tc>
          <w:tcPr>
            <w:tcW w:w="972" w:type="dxa"/>
            <w:vAlign w:val="center"/>
          </w:tcPr>
          <w:p w14:paraId="2E127FA0">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进口产品</w:t>
            </w:r>
          </w:p>
        </w:tc>
      </w:tr>
      <w:tr w14:paraId="3E0F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04050C38">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2</w:t>
            </w:r>
          </w:p>
        </w:tc>
        <w:tc>
          <w:tcPr>
            <w:tcW w:w="1042" w:type="dxa"/>
          </w:tcPr>
          <w:p w14:paraId="50B27DA2">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全自动膜片钳</w:t>
            </w:r>
          </w:p>
        </w:tc>
        <w:tc>
          <w:tcPr>
            <w:tcW w:w="4469" w:type="dxa"/>
            <w:vAlign w:val="center"/>
          </w:tcPr>
          <w:p w14:paraId="6A8AA00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一、设备用途:药理研究；药物筛选;脑科学研究；神经退行性疾病；神经环路;检测细胞上离子通道的电信号实时变化。</w:t>
            </w:r>
          </w:p>
          <w:p w14:paraId="6329B66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二、工作条件</w:t>
            </w:r>
          </w:p>
          <w:p w14:paraId="52489943">
            <w:pPr>
              <w:adjustRightInd w:val="0"/>
              <w:spacing w:line="360" w:lineRule="auto"/>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1.电源:230V±10%，AC(交流)，50/60Hz;</w:t>
            </w:r>
          </w:p>
          <w:p w14:paraId="462C907B">
            <w:pPr>
              <w:adjustRightInd w:val="0"/>
              <w:spacing w:line="360" w:lineRule="auto"/>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2.环境温度:16 to28°C;</w:t>
            </w:r>
          </w:p>
          <w:p w14:paraId="36AFA32A">
            <w:pPr>
              <w:adjustRightInd w:val="0"/>
              <w:spacing w:line="360" w:lineRule="auto"/>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3.相对湿度:40-60%;</w:t>
            </w:r>
          </w:p>
          <w:p w14:paraId="0B134BFE">
            <w:pPr>
              <w:adjustRightInd w:val="0"/>
              <w:spacing w:line="360" w:lineRule="auto"/>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三、产品参数</w:t>
            </w:r>
          </w:p>
          <w:p w14:paraId="7E56F88E">
            <w:pPr>
              <w:adjustRightInd w:val="0"/>
              <w:spacing w:line="360" w:lineRule="auto"/>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1.膜片钳放大器部分参数</w:t>
            </w:r>
          </w:p>
          <w:p w14:paraId="698A630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★1.1 具有两个相同且独立的探头，相当于两台放大器，其探头内有两个电路设置，一个用于电压钳记录模式，一个用于电流钳记录模式。电压钳模式下提供 4 种反馈电阻（50MΩ、500MΩ、5GΩ、50GΩ）。电流钳模式下提供 3 种反馈电阻（50 MΩ、500 MΩ、5 GΩ）。投标文件中提供生产厂家公开发布的印刷技术资料、产品彩页、说明书、官网截图等，提供其中之一即可。 </w:t>
            </w:r>
          </w:p>
          <w:p w14:paraId="7D0534A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1.2放大器用于细胞内和细胞外记录、（全细胞、巨膜片、游离膜片）、电流测定法/伏安法、离子选择电极的测量、人工脂双层记录。 </w:t>
            </w:r>
          </w:p>
          <w:p w14:paraId="4BC16D8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1.3具有电压钳与电流钳模式，能够测量通道电流、静息膜电位、动作电位、电极电阻、串联电阻、封接电阻、膜电阻和膜电容等。具有在串联电阻补偿、电极电容中和时防止电极震颤的功能。 </w:t>
            </w:r>
          </w:p>
          <w:p w14:paraId="5693373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1.4全细胞膜电容补偿范围 </w:t>
            </w:r>
          </w:p>
          <w:p w14:paraId="68B955A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1.4.1Rf=500M 时，Cm 1-100pF/Rs 400k – 1000M </w:t>
            </w:r>
          </w:p>
          <w:p w14:paraId="2916BA8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1.4.2Rf=50M 时，Cm 2.5 -1000pF/Rs 100K – 100M </w:t>
            </w:r>
          </w:p>
          <w:p w14:paraId="67FDEFD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1.5串联电阻补偿范围 </w:t>
            </w:r>
          </w:p>
          <w:p w14:paraId="13E699B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5.1 带宽：0.32-16kHz </w:t>
            </w:r>
          </w:p>
          <w:p w14:paraId="10A3EB6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1.5.1校正值：0.4-1000M（500M 时），0.1-100M（50M 时） </w:t>
            </w:r>
          </w:p>
          <w:p w14:paraId="7B8BAEA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1.5.2输出增益范围：主输出：1,2,5,10,20,50,100,200, 500, 1000, 2000 </w:t>
            </w:r>
          </w:p>
          <w:p w14:paraId="38B838C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1.5.3第二输出：1,2,5,10,20,50,100 </w:t>
            </w:r>
          </w:p>
          <w:p w14:paraId="0E65EFC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★1.6放大器为独立仪器，并非和数模转换器集成的一体机。</w:t>
            </w:r>
            <w:r>
              <w:rPr>
                <w:rFonts w:hint="eastAsia" w:ascii="宋体" w:hAnsi="宋体" w:eastAsia="宋体" w:cs="宋体"/>
                <w:b w:val="0"/>
                <w:bCs/>
                <w:kern w:val="0"/>
                <w:sz w:val="24"/>
                <w:szCs w:val="24"/>
                <w:highlight w:val="none"/>
              </w:rPr>
              <w:t xml:space="preserve">（投标文件需提供官网链接截图或者第三方出具的产品检测报告作为证明文件。） </w:t>
            </w:r>
          </w:p>
          <w:p w14:paraId="77AD3AF9">
            <w:pPr>
              <w:adjustRightInd w:val="0"/>
              <w:spacing w:line="360" w:lineRule="auto"/>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2.数模转换器部分</w:t>
            </w:r>
          </w:p>
          <w:p w14:paraId="4BBC68C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★2.1独立的模拟输入通道≥8 个，最高可采集≥500 kHz的信号。独立的模拟输出通道≥8个，发送电压输出。数字输出通道≥8 个，可控制外部设备。≥16 位分辨率保证高效信噪比。（投标文件中提供生产厂家公开发布的印刷技术资料、产品彩页、说明书、官网截图等，提供其中之一即可。）</w:t>
            </w:r>
          </w:p>
          <w:p w14:paraId="160D748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2.2独立的数模转换器确保每个输入通道低噪声水平和高数据采集率。  </w:t>
            </w:r>
          </w:p>
          <w:p w14:paraId="1D3C937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★2.3数模转换器为独立设备，并非和放大器集成的一体机。需提供官网链接及截图或者第三方出具的产品检测报告作为证明文件。 </w:t>
            </w:r>
          </w:p>
          <w:p w14:paraId="37F24B6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2.4匹配数据分析工作站一台；仪器柜一台；</w:t>
            </w:r>
          </w:p>
          <w:p w14:paraId="6544262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★2.5需内置50/60(Hz)交流噪声的一键清除功能。</w:t>
            </w:r>
          </w:p>
          <w:p w14:paraId="0277AD2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 xml:space="preserve">3.数据采集和分析软件部分参数 </w:t>
            </w:r>
          </w:p>
          <w:p w14:paraId="443ACA5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3.1既包含采样程序又包含分析程序，集采样、分析功能于一体。采样程序可采集细胞内外电位、 自发放电活动、诱发电位、膜电位、动作电位、各种通道电流（全细胞、单通道）等。分析程序可对采集的各种信号进行数据处理、分析、作图、统计检验等。 </w:t>
            </w:r>
          </w:p>
          <w:p w14:paraId="1E70901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3.2膜测试功能在记录每条扫描线时可计算串联电阻 Ra 和膜电容。 </w:t>
            </w:r>
          </w:p>
          <w:p w14:paraId="5F55C80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3.3分析程序可对数据脱机处理，不需要使用任何密码锁（密码锁的定义为：包含数字或字母的密钥或者U盘型密码锁或者任何其他密码形式），可装在任何计算机上使用。投标文件中提供生产厂家公开发布的印刷技术资料、产品彩页、说明书、官网截图等，提供其中之一即可。 </w:t>
            </w:r>
          </w:p>
          <w:p w14:paraId="78E8B64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3.4可记录几乎所有的电生理信号，主要的有：①动作电位；②肌电图（EMG）；③眼动电图（EOG）； ④兴奋性突触后电流（EPSCs）；⑤兴奋性突触后电位（EPSPs）；⑥抑制性突触后电流（IPSCs）； ⑦抑制性突触后电位（IPSPs）；⑧微小兴奋性电位（Minis）；⑨长时程增强（LTP）；⑩长时程抑制（LTD）；（11） 荧光染色比率；（12）峰电位串；（13）突触网络信号。 </w:t>
            </w:r>
          </w:p>
          <w:p w14:paraId="12A5789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4.双臂电动微操作仪部分参数</w:t>
            </w:r>
          </w:p>
          <w:p w14:paraId="710F241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4.1XYZ 行程：≥23 mm</w:t>
            </w:r>
          </w:p>
          <w:p w14:paraId="6CE9A41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4.2电机分辨率：≤ 65 nm </w:t>
            </w:r>
          </w:p>
          <w:p w14:paraId="5A49A0E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4.3左右手各一台机械手臂，都可以操控细胞完成封接。</w:t>
            </w:r>
          </w:p>
          <w:p w14:paraId="55AEE349">
            <w:pPr>
              <w:adjustRightInd w:val="0"/>
              <w:spacing w:line="360" w:lineRule="auto"/>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5.温度控制系统部分参数</w:t>
            </w:r>
          </w:p>
          <w:p w14:paraId="31523CC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5.1可提供最大25W的加热功率。</w:t>
            </w:r>
          </w:p>
          <w:p w14:paraId="3AF2DFF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5.2选择内部模式时，可以通过旋转TEMP SETTING旋钮轻松设置所需的温度；</w:t>
            </w:r>
          </w:p>
          <w:p w14:paraId="12878EC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5.3选择外部模式时，可以通过校准为100mV /℃的外部输入电压方便地进行设置。</w:t>
            </w:r>
          </w:p>
          <w:p w14:paraId="757D460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5.4温度控制的精度≤ ± 0.5℃。 </w:t>
            </w:r>
          </w:p>
          <w:p w14:paraId="61F45D4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5.5含原装组织片专用细胞槽一套。 </w:t>
            </w:r>
          </w:p>
          <w:p w14:paraId="76AC160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6.隔离器部分参数</w:t>
            </w:r>
          </w:p>
          <w:p w14:paraId="42D6208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6.1输入电压：5-10V。 </w:t>
            </w:r>
          </w:p>
          <w:p w14:paraId="2BAB8D9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6.2输出：电压 0-90V；电流 0-10mA。 </w:t>
            </w:r>
          </w:p>
          <w:p w14:paraId="6F631DC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6.3提供1个9V电池（用于操作隔离器）、1个90V电池（用于输出脉冲）。 </w:t>
            </w:r>
          </w:p>
          <w:p w14:paraId="4879A81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6.4可通过开关切换使用恒流或恒压。 </w:t>
            </w:r>
          </w:p>
          <w:p w14:paraId="7E335E7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6.5可使用两台隔离器，输出双相刺激脉冲。匹配刺激电极一盒。</w:t>
            </w:r>
          </w:p>
          <w:p w14:paraId="13BCC837">
            <w:pPr>
              <w:adjustRightInd w:val="0"/>
              <w:spacing w:line="360" w:lineRule="auto"/>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7.重力灌流给药系统</w:t>
            </w:r>
          </w:p>
          <w:p w14:paraId="4C59A18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7.1 8 个独立电磁阀控阀门。 </w:t>
            </w:r>
          </w:p>
          <w:p w14:paraId="2597613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7.2多功能的操作和任意组合的自由选择。 </w:t>
            </w:r>
          </w:p>
          <w:p w14:paraId="3B7916E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7.3灵活的手动操作或计算机控制。 </w:t>
            </w:r>
          </w:p>
          <w:p w14:paraId="2F7178C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7.4可编程复杂序列。 </w:t>
            </w:r>
          </w:p>
          <w:p w14:paraId="2F33861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7.5高精度加药控制。</w:t>
            </w:r>
          </w:p>
          <w:p w14:paraId="66AB2C3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7.6匹配电生理专用蠕动泵一台。</w:t>
            </w:r>
          </w:p>
          <w:p w14:paraId="4FCC255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8.研究级正置显微镜</w:t>
            </w:r>
            <w:r>
              <w:rPr>
                <w:rFonts w:hint="eastAsia" w:ascii="宋体" w:hAnsi="宋体" w:eastAsia="宋体" w:cs="宋体"/>
                <w:bCs/>
                <w:kern w:val="0"/>
                <w:sz w:val="24"/>
                <w:szCs w:val="24"/>
                <w:highlight w:val="none"/>
              </w:rPr>
              <w:t xml:space="preserve"> </w:t>
            </w:r>
          </w:p>
          <w:p w14:paraId="65C1D2B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8.1组织片及在体专用研究级正置显微镜 </w:t>
            </w:r>
          </w:p>
          <w:p w14:paraId="57BCF12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8.2研究级正置显微镜，可作明场/ DIC/荧光等多种观察方式。 </w:t>
            </w:r>
          </w:p>
          <w:p w14:paraId="067CFE2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8.3光学系统：无限远校正光学系统，齐焦距离必须为国际标准 ≤45mm </w:t>
            </w:r>
          </w:p>
          <w:p w14:paraId="042ED77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8.4调焦方式： </w:t>
            </w:r>
          </w:p>
          <w:p w14:paraId="140DAE8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8.4.1 载物台固定，物镜转盘上下调焦方式，因负荷恒定，聚焦更具准确性。 </w:t>
            </w:r>
          </w:p>
          <w:p w14:paraId="6BED3BE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8.4.2 粗、微调同轴调焦，置于机身前端，方便实验中调焦。附设前置粗调复位装置。最小微调刻度单位≤1 微米 </w:t>
            </w:r>
          </w:p>
          <w:p w14:paraId="071FABA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8.5观察镜筒：正像三目观察筒 </w:t>
            </w:r>
          </w:p>
          <w:p w14:paraId="6508785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8.6照明装置：内装式透射光柯勒照明器，红外专用 12V100W 卤素灯，备有光强锁定按钮及光强度二极管指示灯，接配外接直流电，避免电磁干扰。 </w:t>
            </w:r>
          </w:p>
          <w:p w14:paraId="10FD593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8.7物镜：</w:t>
            </w:r>
          </w:p>
          <w:p w14:paraId="6253F13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8.7.1 5倍平场半复消色差物镜 N.A.≥0.10；W.D.≥20.0mm </w:t>
            </w:r>
          </w:p>
          <w:p w14:paraId="49589B5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8.7.2 40倍长工作距离平场半复消色差红外专用水镜，陶瓷镜头，抗静电干扰, 保证340纳米到1000纳米范围内光线的高透过率；NA≥0.8；W.D.≥ 3.3mm </w:t>
            </w:r>
          </w:p>
          <w:p w14:paraId="674C882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8.8.超高压汞灯，中性密度滤色片。 </w:t>
            </w:r>
          </w:p>
          <w:p w14:paraId="7E107D2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8.9目镜：高眼点宽视野10X目镜，视场数≥22 </w:t>
            </w:r>
          </w:p>
          <w:p w14:paraId="599D854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8.10物镜转换器：2孔前后摇摆式物镜转换器，快捷进行物镜转换，方便清除气泡 </w:t>
            </w:r>
          </w:p>
          <w:p w14:paraId="0B0FAFD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8.11.聚光镜：长工作距离 DIC 聚光镜，可完成 BF/DIC/红外 DIC 观察 </w:t>
            </w:r>
          </w:p>
          <w:p w14:paraId="73DAA9C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8.12. DIC 配件：高分辨率 40X物镜的DIC棱镜，起偏镜，检偏镜 </w:t>
            </w:r>
          </w:p>
          <w:p w14:paraId="26AFC76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8.13.红外配件：支持 775nm 的红外滤色片 </w:t>
            </w:r>
          </w:p>
          <w:p w14:paraId="4081965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8.14.荧光系统：14.1≥6 孔位激发镜转换器；14.2 荧光激发块：U 激发（365/45，DM405， 445/50nm）、B（470/40，DM500，535/45nm）、G激发（545/30，DM575，605/40nm） </w:t>
            </w:r>
          </w:p>
          <w:p w14:paraId="4671F60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8.15.包含显微镜XY移动平台一套。</w:t>
            </w:r>
          </w:p>
          <w:p w14:paraId="1CF843A3">
            <w:pPr>
              <w:adjustRightInd w:val="0"/>
              <w:spacing w:line="360" w:lineRule="auto"/>
              <w:textAlignment w:val="baseline"/>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9.红外成像部分参数 </w:t>
            </w:r>
          </w:p>
          <w:p w14:paraId="7B47769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9.1有效像素数：≥1920 (H) × 1200 (V) </w:t>
            </w:r>
          </w:p>
          <w:p w14:paraId="7F9C74E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9.2有效面积：≥11.25 mm (H) × 7.03 mm (V)。</w:t>
            </w:r>
          </w:p>
          <w:p w14:paraId="303DFF9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9.3最大阱容：≤33,000 个电子</w:t>
            </w:r>
          </w:p>
          <w:p w14:paraId="558206F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9.4读出速度：≥64.9 帧/秒（全分辨率）2008.9 帧/秒（2 行子阵列）</w:t>
            </w:r>
          </w:p>
          <w:p w14:paraId="7851E86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9.5读出噪声：≤6.6 e-。</w:t>
            </w:r>
          </w:p>
          <w:p w14:paraId="794E8E5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9.6曝光时间：26.17 μs 至 10 s（内部模式）；26.17 μs 至 10 s（外部触发模式：边缘、启动）；1 ms 至 1 s（外部触发模式：电平，同步读出）</w:t>
            </w:r>
          </w:p>
          <w:p w14:paraId="55B86DD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 xml:space="preserve">10.振动切片机部分参数 </w:t>
            </w:r>
          </w:p>
          <w:p w14:paraId="1F5B764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10.1切割频率:85Hz，±10Hz 。</w:t>
            </w:r>
          </w:p>
          <w:p w14:paraId="12D6389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10.2标本水平位移：≤45mm </w:t>
            </w:r>
          </w:p>
          <w:p w14:paraId="3F460A2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10.3垂直进样距离：20mm，马达控制 </w:t>
            </w:r>
          </w:p>
          <w:p w14:paraId="7CFFE8A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10.4复位速度：2.5mm/s，马达控制 </w:t>
            </w:r>
          </w:p>
          <w:p w14:paraId="008C7BB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10.5振动测量计，用来检测刀片纵向的振动 </w:t>
            </w:r>
          </w:p>
          <w:p w14:paraId="28733F3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10.6间隙角度可在 15°，18°和 21°之中选择。 </w:t>
            </w:r>
          </w:p>
          <w:p w14:paraId="684C5CF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10.7速度、振幅、切片厚度可编程设定。  </w:t>
            </w:r>
          </w:p>
          <w:p w14:paraId="549697F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10.8振幅调节范围 0-3mm，以 0.05mm 递进。2 种全自动的切片模式，单独或连续模式。刀架回退行程中,样品回缩,且回缩值在 0 -100 μm 之间可调。</w:t>
            </w:r>
          </w:p>
          <w:p w14:paraId="30503A5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11.微电极拉制仪部分参数</w:t>
            </w:r>
          </w:p>
          <w:p w14:paraId="10DA04A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11.1微电脑控制，精度高，稳定可靠</w:t>
            </w:r>
          </w:p>
          <w:p w14:paraId="16F047B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11.2具有独立控制室，防止湿度、温度变化对电极的影响</w:t>
            </w:r>
          </w:p>
          <w:p w14:paraId="1AFD00C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11.3可编辑并存贮多达100个程序</w:t>
            </w:r>
          </w:p>
          <w:p w14:paraId="77142B2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11.4每次拉制都产生两个对称的电极，重复性好</w:t>
            </w:r>
          </w:p>
          <w:p w14:paraId="5BC7AAD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11.5电镜下检测电极尖端变化小于0.1μm</w:t>
            </w:r>
          </w:p>
          <w:p w14:paraId="15F0EA5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11.6 Ramp检测--为编写程序提供HEAT参考值</w:t>
            </w:r>
          </w:p>
          <w:p w14:paraId="565A0FD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11.7自带的供气装置有湿度控制和过滤系统</w:t>
            </w:r>
          </w:p>
          <w:p w14:paraId="581DE8C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11.8能控制空气释放的时间和压力</w:t>
            </w:r>
          </w:p>
          <w:p w14:paraId="0E78971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11.9彩色触摸屏控制</w:t>
            </w:r>
          </w:p>
          <w:p w14:paraId="434994B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12.冰点渗透压仪部分参数</w:t>
            </w:r>
          </w:p>
          <w:p w14:paraId="78DBFDC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12.1样本量: 30~50ul </w:t>
            </w:r>
          </w:p>
          <w:p w14:paraId="2AA2F94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12.2测量时间: ≤90 秒； </w:t>
            </w:r>
          </w:p>
          <w:p w14:paraId="4942181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12.3重复性:0~400mosm: ±2mosm,400~3000mosm: ±1%;测量范围:0~3000mosm/kg H2O </w:t>
            </w:r>
          </w:p>
          <w:p w14:paraId="07A341D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12.4单位: mosm/kg H2O </w:t>
            </w:r>
          </w:p>
          <w:p w14:paraId="1D22796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12.5分辨率: ≤1mosm/kg H2O </w:t>
            </w:r>
          </w:p>
          <w:p w14:paraId="4E982E2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
                <w:kern w:val="0"/>
                <w:sz w:val="24"/>
                <w:szCs w:val="24"/>
                <w:highlight w:val="none"/>
              </w:rPr>
              <w:t>13.防震台</w:t>
            </w:r>
            <w:r>
              <w:rPr>
                <w:rFonts w:hint="eastAsia" w:ascii="宋体" w:hAnsi="宋体" w:eastAsia="宋体" w:cs="宋体"/>
                <w:bCs/>
                <w:kern w:val="0"/>
                <w:sz w:val="24"/>
                <w:szCs w:val="24"/>
                <w:highlight w:val="none"/>
              </w:rPr>
              <w:t xml:space="preserve"> </w:t>
            </w:r>
          </w:p>
          <w:p w14:paraId="3F2F377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13.1高导磁不锈钢台面，M6 螺孔阵列。 尺寸≥ 1200mm * 750mm</w:t>
            </w:r>
          </w:p>
          <w:p w14:paraId="116F3A3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13.2隔振效率垂直：5Hz时：82～88% ；10Hz时：86～95% </w:t>
            </w:r>
          </w:p>
          <w:p w14:paraId="7318A74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13.3系统固有频率： 1-2Hz。 </w:t>
            </w:r>
          </w:p>
          <w:p w14:paraId="13D6D040">
            <w:pPr>
              <w:adjustRightInd w:val="0"/>
              <w:spacing w:line="360" w:lineRule="auto"/>
              <w:textAlignment w:val="baseline"/>
              <w:rPr>
                <w:rFonts w:hint="eastAsia" w:ascii="宋体" w:hAnsi="宋体" w:eastAsia="宋体" w:cs="宋体"/>
                <w:kern w:val="0"/>
                <w:sz w:val="24"/>
                <w:szCs w:val="24"/>
                <w:highlight w:val="none"/>
                <w:lang w:bidi="ar"/>
              </w:rPr>
            </w:pPr>
            <w:r>
              <w:rPr>
                <w:rFonts w:hint="eastAsia" w:ascii="宋体" w:hAnsi="宋体" w:eastAsia="宋体" w:cs="宋体"/>
                <w:bCs/>
                <w:kern w:val="0"/>
                <w:sz w:val="24"/>
                <w:szCs w:val="24"/>
                <w:highlight w:val="none"/>
              </w:rPr>
              <w:t>13.4包含有屏蔽笼一台。</w:t>
            </w:r>
          </w:p>
          <w:p w14:paraId="32FFDF3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14.配置要求</w:t>
            </w:r>
          </w:p>
          <w:p w14:paraId="1D235B7C">
            <w:pPr>
              <w:adjustRightInd w:val="0"/>
              <w:spacing w:line="360" w:lineRule="auto"/>
              <w:textAlignment w:val="baseline"/>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14.1</w:t>
            </w:r>
            <w:r>
              <w:rPr>
                <w:rFonts w:hint="eastAsia" w:ascii="宋体" w:hAnsi="宋体" w:eastAsia="宋体" w:cs="宋体"/>
                <w:b w:val="0"/>
                <w:bCs/>
                <w:kern w:val="0"/>
                <w:sz w:val="24"/>
                <w:szCs w:val="24"/>
                <w:highlight w:val="none"/>
                <w:lang w:bidi="ar"/>
              </w:rPr>
              <w:t>膜片钳放大器一台</w:t>
            </w:r>
            <w:r>
              <w:rPr>
                <w:rFonts w:hint="eastAsia" w:ascii="宋体" w:hAnsi="宋体" w:eastAsia="宋体" w:cs="宋体"/>
                <w:b w:val="0"/>
                <w:bCs/>
                <w:kern w:val="0"/>
                <w:sz w:val="24"/>
                <w:szCs w:val="24"/>
                <w:highlight w:val="none"/>
              </w:rPr>
              <w:t>；</w:t>
            </w:r>
          </w:p>
          <w:p w14:paraId="70796C5A">
            <w:pPr>
              <w:adjustRightInd w:val="0"/>
              <w:spacing w:line="360" w:lineRule="auto"/>
              <w:textAlignment w:val="baseline"/>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14.2</w:t>
            </w:r>
            <w:r>
              <w:rPr>
                <w:rFonts w:hint="eastAsia" w:ascii="宋体" w:hAnsi="宋体" w:eastAsia="宋体" w:cs="宋体"/>
                <w:b w:val="0"/>
                <w:bCs/>
                <w:kern w:val="0"/>
                <w:sz w:val="24"/>
                <w:szCs w:val="24"/>
                <w:highlight w:val="none"/>
                <w:lang w:bidi="ar"/>
              </w:rPr>
              <w:t>数模转换器 一台</w:t>
            </w:r>
            <w:r>
              <w:rPr>
                <w:rFonts w:hint="eastAsia" w:ascii="宋体" w:hAnsi="宋体" w:eastAsia="宋体" w:cs="宋体"/>
                <w:b w:val="0"/>
                <w:bCs/>
                <w:kern w:val="0"/>
                <w:sz w:val="24"/>
                <w:szCs w:val="24"/>
                <w:highlight w:val="none"/>
              </w:rPr>
              <w:t>；</w:t>
            </w:r>
          </w:p>
          <w:p w14:paraId="7D3E9D65">
            <w:pPr>
              <w:adjustRightInd w:val="0"/>
              <w:spacing w:line="360" w:lineRule="auto"/>
              <w:textAlignment w:val="baseline"/>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 xml:space="preserve">14.3 </w:t>
            </w:r>
            <w:r>
              <w:rPr>
                <w:rFonts w:hint="eastAsia" w:ascii="宋体" w:hAnsi="宋体" w:eastAsia="宋体" w:cs="宋体"/>
                <w:b w:val="0"/>
                <w:bCs/>
                <w:kern w:val="0"/>
                <w:sz w:val="24"/>
                <w:szCs w:val="24"/>
                <w:highlight w:val="none"/>
                <w:lang w:bidi="ar"/>
              </w:rPr>
              <w:t>数据采集和分析软件 一套</w:t>
            </w:r>
            <w:r>
              <w:rPr>
                <w:rFonts w:hint="eastAsia" w:ascii="宋体" w:hAnsi="宋体" w:eastAsia="宋体" w:cs="宋体"/>
                <w:b w:val="0"/>
                <w:bCs/>
                <w:kern w:val="0"/>
                <w:sz w:val="24"/>
                <w:szCs w:val="24"/>
                <w:highlight w:val="none"/>
              </w:rPr>
              <w:t>；</w:t>
            </w:r>
          </w:p>
          <w:p w14:paraId="662930B0">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rPr>
              <w:t>14.4</w:t>
            </w:r>
            <w:r>
              <w:rPr>
                <w:rFonts w:hint="eastAsia" w:ascii="宋体" w:hAnsi="宋体" w:eastAsia="宋体" w:cs="宋体"/>
                <w:b w:val="0"/>
                <w:bCs/>
                <w:kern w:val="0"/>
                <w:sz w:val="24"/>
                <w:szCs w:val="24"/>
                <w:highlight w:val="none"/>
                <w:lang w:bidi="ar"/>
              </w:rPr>
              <w:t>双臂电动微操作仪 一套</w:t>
            </w:r>
          </w:p>
          <w:p w14:paraId="553DB9A9">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14.5温度控制系统 一套</w:t>
            </w:r>
          </w:p>
          <w:p w14:paraId="3C086D8C">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14.6隔离器 一台</w:t>
            </w:r>
          </w:p>
          <w:p w14:paraId="2A5F75F1">
            <w:pPr>
              <w:widowControl/>
              <w:spacing w:line="360" w:lineRule="auto"/>
              <w:jc w:val="left"/>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14.7重力灌流给药系统 一套</w:t>
            </w:r>
          </w:p>
          <w:p w14:paraId="2B3C6F7A">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14.8研究级正置显微镜一台</w:t>
            </w:r>
          </w:p>
          <w:p w14:paraId="488D5564">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 xml:space="preserve">14.9红外成像设备一台 </w:t>
            </w:r>
          </w:p>
          <w:p w14:paraId="7111AE66">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14.10振动切片机一台</w:t>
            </w:r>
          </w:p>
          <w:p w14:paraId="4E5C6D6C">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14.11微电极拉制仪一台</w:t>
            </w:r>
          </w:p>
          <w:p w14:paraId="4ADEB781">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14.12冰点渗透压仪一台</w:t>
            </w:r>
          </w:p>
          <w:p w14:paraId="5D329F96">
            <w:pPr>
              <w:adjustRightInd w:val="0"/>
              <w:spacing w:line="360" w:lineRule="auto"/>
              <w:textAlignment w:val="baseline"/>
              <w:rPr>
                <w:rFonts w:hint="eastAsia" w:ascii="宋体" w:hAnsi="宋体" w:eastAsia="宋体" w:cs="宋体"/>
                <w:b w:val="0"/>
                <w:bCs/>
                <w:kern w:val="0"/>
                <w:sz w:val="24"/>
                <w:szCs w:val="24"/>
                <w:highlight w:val="none"/>
                <w:lang w:bidi="ar"/>
              </w:rPr>
            </w:pPr>
            <w:r>
              <w:rPr>
                <w:rFonts w:hint="eastAsia" w:ascii="宋体" w:hAnsi="宋体" w:eastAsia="宋体" w:cs="宋体"/>
                <w:b w:val="0"/>
                <w:bCs/>
                <w:kern w:val="0"/>
                <w:sz w:val="24"/>
                <w:szCs w:val="24"/>
                <w:highlight w:val="none"/>
                <w:lang w:bidi="ar"/>
              </w:rPr>
              <w:t>14.13防震台一台</w:t>
            </w:r>
          </w:p>
          <w:p w14:paraId="7A21218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四、售后服务</w:t>
            </w:r>
          </w:p>
          <w:p w14:paraId="640FD7F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供应商必须提供仪器的免费现场安装调试，提供至少一台实验室用3匹以上柜式空调，并同时在现场对用户进行操作及维护培训。在仪器安装之后一年内至少提供1次（2人）去总部或技术中心学习仪器操作和软件分析的培训机会。</w:t>
            </w:r>
          </w:p>
          <w:p w14:paraId="4EDCE0E4">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2.仪器在调试通过后提供至少三年保修服务，在保修期内，所有服务及配件全部免费。保修期外，用户可用人民币结算。并在中国设有保税库，能更及时地为用户提供备品备件。</w:t>
            </w:r>
          </w:p>
          <w:p w14:paraId="0AAC739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3.供应商提供800免费电话，为用户提供免费的电话咨询及技术服务。</w:t>
            </w:r>
          </w:p>
          <w:p w14:paraId="14DACC0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4.供应商在国内必须设有专业的维修站，有专职的维修工程师及应用工程师有效保证售后维修的及时、快捷，并负责提供技术支持，8小时响应，48小时到场，保证仪器的正常操作。</w:t>
            </w:r>
          </w:p>
          <w:p w14:paraId="28D32661">
            <w:pPr>
              <w:adjustRightInd w:val="0"/>
              <w:spacing w:line="360" w:lineRule="auto"/>
              <w:textAlignment w:val="baseline"/>
              <w:rPr>
                <w:rFonts w:hint="eastAsia" w:ascii="宋体" w:hAnsi="宋体" w:eastAsia="宋体" w:cs="宋体"/>
                <w:b/>
                <w:bCs/>
                <w:kern w:val="0"/>
                <w:sz w:val="24"/>
                <w:szCs w:val="24"/>
                <w:highlight w:val="none"/>
                <w:lang w:bidi="ar"/>
              </w:rPr>
            </w:pPr>
            <w:r>
              <w:rPr>
                <w:rFonts w:hint="eastAsia" w:ascii="宋体" w:hAnsi="宋体" w:eastAsia="宋体" w:cs="宋体"/>
                <w:bCs/>
                <w:kern w:val="0"/>
                <w:sz w:val="24"/>
                <w:szCs w:val="24"/>
                <w:highlight w:val="none"/>
              </w:rPr>
              <w:t>五、交货地点：最终用户指定地点；</w:t>
            </w:r>
          </w:p>
          <w:p w14:paraId="4774234A">
            <w:pPr>
              <w:autoSpaceDE w:val="0"/>
              <w:autoSpaceDN w:val="0"/>
              <w:adjustRightInd w:val="0"/>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bCs/>
                <w:kern w:val="0"/>
                <w:sz w:val="24"/>
                <w:szCs w:val="24"/>
                <w:highlight w:val="none"/>
              </w:rPr>
              <w:t>六、供货周期：90天；</w:t>
            </w:r>
          </w:p>
        </w:tc>
        <w:tc>
          <w:tcPr>
            <w:tcW w:w="617" w:type="dxa"/>
            <w:vAlign w:val="center"/>
          </w:tcPr>
          <w:p w14:paraId="4D7AB5BC">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1</w:t>
            </w:r>
          </w:p>
        </w:tc>
        <w:tc>
          <w:tcPr>
            <w:tcW w:w="617" w:type="dxa"/>
            <w:vAlign w:val="center"/>
          </w:tcPr>
          <w:p w14:paraId="779ABDB1">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套</w:t>
            </w:r>
          </w:p>
        </w:tc>
        <w:tc>
          <w:tcPr>
            <w:tcW w:w="617" w:type="dxa"/>
            <w:vAlign w:val="center"/>
          </w:tcPr>
          <w:p w14:paraId="066C2BB0">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工业</w:t>
            </w:r>
          </w:p>
        </w:tc>
        <w:tc>
          <w:tcPr>
            <w:tcW w:w="972" w:type="dxa"/>
            <w:vAlign w:val="center"/>
          </w:tcPr>
          <w:p w14:paraId="7ED4A021">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进口产品</w:t>
            </w:r>
          </w:p>
        </w:tc>
      </w:tr>
      <w:tr w14:paraId="2A15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9" w:type="dxa"/>
            <w:vAlign w:val="center"/>
          </w:tcPr>
          <w:p w14:paraId="0685F6EF">
            <w:pPr>
              <w:spacing w:line="360" w:lineRule="auto"/>
              <w:jc w:val="center"/>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shd w:val="clear" w:color="auto" w:fill="FFFFFF" w:themeFill="background1"/>
              </w:rPr>
              <w:t>3</w:t>
            </w:r>
          </w:p>
        </w:tc>
        <w:tc>
          <w:tcPr>
            <w:tcW w:w="1042" w:type="dxa"/>
          </w:tcPr>
          <w:p w14:paraId="5C5ED5EF">
            <w:pPr>
              <w:spacing w:line="360" w:lineRule="auto"/>
              <w:rPr>
                <w:rFonts w:hint="eastAsia" w:ascii="宋体" w:hAnsi="宋体" w:eastAsia="宋体" w:cs="宋体"/>
                <w:sz w:val="24"/>
                <w:szCs w:val="24"/>
                <w:highlight w:val="none"/>
                <w:shd w:val="clear" w:color="auto" w:fill="FFFFFF" w:themeFill="background1"/>
              </w:rPr>
            </w:pPr>
            <w:r>
              <w:rPr>
                <w:rFonts w:hint="eastAsia" w:ascii="宋体" w:hAnsi="宋体" w:eastAsia="宋体" w:cs="宋体"/>
                <w:sz w:val="24"/>
                <w:szCs w:val="24"/>
                <w:highlight w:val="none"/>
              </w:rPr>
              <w:t>纳米颗粒跟踪分析仪</w:t>
            </w:r>
          </w:p>
        </w:tc>
        <w:tc>
          <w:tcPr>
            <w:tcW w:w="4469" w:type="dxa"/>
          </w:tcPr>
          <w:p w14:paraId="3D422AF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1.设备用途：</w:t>
            </w:r>
          </w:p>
          <w:p w14:paraId="2E77D45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对纳米颗粒的实时观察，获取其粒度、浓度、荧光、运动轨迹等信息，可应用在外泌体/细胞外囊泡、药物递送载体、病毒和核酸疫苗、CAR-T慢病毒载体、核酸纳米药物、诊断治疗型脂质体、复合纳米药物、细菌感染及细菌耐药的临床诊断、线粒体等方向，为病毒研究、疫苗开发、药物输送等领域提供重要数据支持。</w:t>
            </w:r>
          </w:p>
          <w:p w14:paraId="461B1DA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 工作条件</w:t>
            </w:r>
          </w:p>
          <w:p w14:paraId="194D3AA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2.1电源：230V±10%，AC(交流)，50/60Hz；</w:t>
            </w:r>
          </w:p>
          <w:p w14:paraId="42D0E2B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2.2环境温度：10 to 35℃；</w:t>
            </w:r>
          </w:p>
          <w:p w14:paraId="6296D84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2.3相对湿度：40-60%；</w:t>
            </w:r>
          </w:p>
          <w:p w14:paraId="4FF40C6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w:t>
            </w:r>
            <w:r>
              <w:rPr>
                <w:rFonts w:hint="eastAsia" w:ascii="宋体" w:hAnsi="宋体" w:eastAsia="宋体" w:cs="宋体"/>
                <w:sz w:val="24"/>
                <w:szCs w:val="24"/>
                <w:highlight w:val="none"/>
              </w:rPr>
              <w:t>纳米颗粒跟踪分析仪</w:t>
            </w:r>
            <w:r>
              <w:rPr>
                <w:rFonts w:hint="eastAsia" w:ascii="宋体" w:hAnsi="宋体" w:eastAsia="宋体" w:cs="宋体"/>
                <w:bCs/>
                <w:kern w:val="0"/>
                <w:sz w:val="24"/>
                <w:szCs w:val="24"/>
                <w:highlight w:val="none"/>
              </w:rPr>
              <w:t>技术参数</w:t>
            </w:r>
          </w:p>
          <w:p w14:paraId="608CF23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 采用激光光源照射纳米颗粒悬浮液，观测到单个纳米颗粒的布朗运动和电泳线性，能够实现单个纳米颗粒的跟踪、粒度测量、浓度测量、荧光测量。</w:t>
            </w:r>
          </w:p>
          <w:p w14:paraId="1A34C1D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 功能一体化，配套分析软件支持粒度分析、浓度分析、荧光分析和Zeta电位功能，并支持结果数据的导出功能。</w:t>
            </w:r>
          </w:p>
          <w:p w14:paraId="74FCD567">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3.3 粒径检测范围：0.01–2um，Zeta电位测量范围：-500mv - +500mv。（投标文件中须提供产品彩页或技术参数说明书）</w:t>
            </w:r>
          </w:p>
          <w:p w14:paraId="2293C622">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3.4 粒度检测适合的浓度范围：10</w:t>
            </w:r>
            <w:r>
              <w:rPr>
                <w:rFonts w:hint="eastAsia" w:ascii="宋体" w:hAnsi="宋体" w:eastAsia="宋体" w:cs="宋体"/>
                <w:b/>
                <w:kern w:val="0"/>
                <w:sz w:val="24"/>
                <w:szCs w:val="24"/>
                <w:highlight w:val="none"/>
                <w:vertAlign w:val="superscript"/>
              </w:rPr>
              <w:t>5</w:t>
            </w:r>
            <w:r>
              <w:rPr>
                <w:rFonts w:hint="eastAsia" w:ascii="宋体" w:hAnsi="宋体" w:eastAsia="宋体" w:cs="宋体"/>
                <w:bCs/>
                <w:kern w:val="0"/>
                <w:sz w:val="24"/>
                <w:szCs w:val="24"/>
                <w:highlight w:val="none"/>
              </w:rPr>
              <w:t>–10</w:t>
            </w:r>
            <w:r>
              <w:rPr>
                <w:rFonts w:hint="eastAsia" w:ascii="宋体" w:hAnsi="宋体" w:eastAsia="宋体" w:cs="宋体"/>
                <w:b/>
                <w:kern w:val="0"/>
                <w:sz w:val="24"/>
                <w:szCs w:val="24"/>
                <w:highlight w:val="none"/>
                <w:vertAlign w:val="superscript"/>
              </w:rPr>
              <w:t>9</w:t>
            </w:r>
            <w:r>
              <w:rPr>
                <w:rFonts w:hint="eastAsia" w:ascii="宋体" w:hAnsi="宋体" w:eastAsia="宋体" w:cs="宋体"/>
                <w:bCs/>
                <w:kern w:val="0"/>
                <w:sz w:val="24"/>
                <w:szCs w:val="24"/>
                <w:highlight w:val="none"/>
              </w:rPr>
              <w:t>粒子/ml。电位检测适合的浓度范围：106–1010粒子/ml。</w:t>
            </w:r>
          </w:p>
          <w:p w14:paraId="1A24C79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★3.5 能够检测酸性、碱性或有机溶剂体系的样品。（投标文件中须提供产品彩页或技术参数说明书）</w:t>
            </w:r>
          </w:p>
          <w:p w14:paraId="100AB3E5">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3.6 检测池温控：Pilter控温，温控范围：低于室温5–55℃。</w:t>
            </w:r>
          </w:p>
          <w:p w14:paraId="05A41436">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3.7 激光光源和检测器的位置必须全自动调节，在测试过程中自动聚焦、自动准直，无需实验人员干预，保证测试结果的准确性。</w:t>
            </w:r>
          </w:p>
          <w:p w14:paraId="02A8220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3.8 激光光源有405nm 、488nm 、520nm、 640nm、660nm可选。</w:t>
            </w:r>
          </w:p>
          <w:p w14:paraId="072F1CA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3.9 具备散射和荧光测量模式，能够在散射模式和荧光模式下检测颗粒的粒径和浓度。仪器配备多位荧光检测通道，保证样品纯化等分析。</w:t>
            </w:r>
          </w:p>
          <w:p w14:paraId="356BC50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★3.10 测量池为比色皿或一次性样品皿或石英玻璃样品池，不可采用盖板式设计。(投标文件中须提供产品彩页或技术参数说明书）。</w:t>
            </w:r>
          </w:p>
          <w:p w14:paraId="0273A15E">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3.11 全自动扫描测量，为保证数据的统计有效性，1分钟内至少可测量</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500个颗粒。</w:t>
            </w:r>
          </w:p>
          <w:p w14:paraId="29023DE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★3.12 具备样品相对流动监测和控制功能，保证测试时颗粒的布朗运动不受干扰。（投标文件中需提供软件功能截图证明）</w:t>
            </w:r>
          </w:p>
          <w:p w14:paraId="560EC8C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★3.13 一次进样后可在样本静止状态下检测≥5个区域内样本颗粒，并给出该样品多位置点的数据评估对比。（投标文件中需提供软件功能截图证明）</w:t>
            </w:r>
          </w:p>
          <w:p w14:paraId="103A3C3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★3.14 配有高灵敏度sCMOS相机，相机的成像速度可调从而满足不同大小颗粒样本的使用需求，调节范围</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10-100fps，(投标文件中须提供产品彩页或技术参数说明书）</w:t>
            </w:r>
          </w:p>
          <w:p w14:paraId="2523BD8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★3.15 软件控制两个蠕动泵实现自动进样和自动清洗。</w:t>
            </w:r>
          </w:p>
          <w:p w14:paraId="6729BCF3">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3.16 荧光测量必须保持样品在静止无对流状态下测试，不可流动测试样品的不同位置，保证荧光数据的准确性。</w:t>
            </w:r>
          </w:p>
          <w:p w14:paraId="4742B43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3.17 无需高成本耗材:除进样所需的注射器之外，无其他耗材。</w:t>
            </w:r>
          </w:p>
          <w:p w14:paraId="6509223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★3.18 具备样品浓度匹配监测功能，软件提示样品浓度与相机设定的匹配程度。（提供软件功能界面截图）</w:t>
            </w:r>
          </w:p>
          <w:p w14:paraId="2A7339B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3.19 软件提供布朗运动可视视频，提供平均粒径和分布宽度参数，提供颗粒浓度信息，提供粒径-数量分布和体积分布曲线，可以在不同粒径范围进行分段计算，提供颗粒分布累积曲线，数据管理：可视频，文本，PDF，单一或叠加输出。</w:t>
            </w:r>
          </w:p>
          <w:p w14:paraId="217A7DE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3.20 软件具备根据颗粒的粒径、光强、周长、面积和宽高比等形态参数区分不同群体颗粒，并计算提供各自所占的百分比。</w:t>
            </w:r>
          </w:p>
          <w:p w14:paraId="733D890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3.21采用电泳迁移率方法测量电位，为样品稳定性和表面修饰结果提供可靠的数据支持。电位与粒度测量一体化设计，提供粒度与电位的散点图，保证分析结果的一致性与可靠性。</w:t>
            </w:r>
          </w:p>
          <w:p w14:paraId="1ABF61A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★3.22 软件具备自由设定特定粒径范围内的颗粒浓度统计功能。（提供软件功能界面截图）</w:t>
            </w:r>
          </w:p>
          <w:p w14:paraId="3B1345A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3.23 激光安全符合仪器安全保护Class I；激光内部防护Class 3B。</w:t>
            </w:r>
          </w:p>
          <w:p w14:paraId="6D62D6CD">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3.24 符合ASTM E2834-12（粒径）和 ISO 13099-1, 2, 3（电位）标准。</w:t>
            </w:r>
          </w:p>
          <w:p w14:paraId="03D761D9">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4.配置要求</w:t>
            </w:r>
          </w:p>
          <w:p w14:paraId="78D1808B">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4.1纳米颗粒跟踪分析仪主机1套；</w:t>
            </w:r>
          </w:p>
          <w:p w14:paraId="183D55F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4.2粒度浓度分析模块 1套；</w:t>
            </w:r>
          </w:p>
          <w:p w14:paraId="0418068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4.3 操作和分析软件 1套；</w:t>
            </w:r>
          </w:p>
          <w:p w14:paraId="28BE3C8F">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4.4 粒度标准样品套件 1套；</w:t>
            </w:r>
          </w:p>
          <w:p w14:paraId="25260E8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4.5 电位标准样品套件 1套；</w:t>
            </w:r>
          </w:p>
          <w:p w14:paraId="4008C71C">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4.6 电脑、显示器及键盘鼠标套装 1套5. 售后服务</w:t>
            </w:r>
          </w:p>
          <w:p w14:paraId="2BCB4421">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5.1供应商必须提供仪器的免费现场安装调试，并同时在现场对用户进行操作及维护培训。</w:t>
            </w:r>
          </w:p>
          <w:p w14:paraId="3001805A">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5.2仪器在调试通过后提供至少三年保修服务，在保修期内，所有服务及配件全部免费。保修期外，用户可用人民币结算。并在中国设有保税库，能更及时地为用户提供备品备件。</w:t>
            </w:r>
          </w:p>
          <w:p w14:paraId="44A5D8C8">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5.3供应商提供400免费电话，为用户提供免费的电话咨询及技术服务。</w:t>
            </w:r>
          </w:p>
          <w:p w14:paraId="297A5390">
            <w:pPr>
              <w:adjustRightInd w:val="0"/>
              <w:spacing w:line="360" w:lineRule="auto"/>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5.4供应商在国内必须设有专业的维修站，有专职的维修工程师及应用工程师有效保证售后维修的及时、快捷，并负责提供技术支持，8小时响应，48小时到场，保证仪器的正常操作。</w:t>
            </w:r>
          </w:p>
          <w:p w14:paraId="54E48C29">
            <w:pPr>
              <w:autoSpaceDE w:val="0"/>
              <w:autoSpaceDN w:val="0"/>
              <w:adjustRightInd w:val="0"/>
              <w:spacing w:line="360" w:lineRule="auto"/>
              <w:jc w:val="left"/>
              <w:rPr>
                <w:rFonts w:hint="eastAsia" w:ascii="宋体" w:hAnsi="宋体" w:eastAsia="宋体" w:cs="宋体"/>
                <w:sz w:val="24"/>
                <w:szCs w:val="24"/>
                <w:highlight w:val="none"/>
                <w:shd w:val="clear" w:color="auto" w:fill="FFFFFF" w:themeFill="background1"/>
              </w:rPr>
            </w:pPr>
            <w:r>
              <w:rPr>
                <w:rFonts w:hint="eastAsia" w:ascii="宋体" w:hAnsi="宋体" w:eastAsia="宋体" w:cs="宋体"/>
                <w:bCs/>
                <w:kern w:val="0"/>
                <w:sz w:val="24"/>
                <w:szCs w:val="24"/>
                <w:highlight w:val="none"/>
              </w:rPr>
              <w:t>6. 交货地点：最终用户指定地点；</w:t>
            </w:r>
          </w:p>
        </w:tc>
        <w:tc>
          <w:tcPr>
            <w:tcW w:w="617" w:type="dxa"/>
            <w:vAlign w:val="center"/>
          </w:tcPr>
          <w:p w14:paraId="5EE1DA5B">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1</w:t>
            </w:r>
          </w:p>
        </w:tc>
        <w:tc>
          <w:tcPr>
            <w:tcW w:w="617" w:type="dxa"/>
            <w:vAlign w:val="center"/>
          </w:tcPr>
          <w:p w14:paraId="1982D09E">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套</w:t>
            </w:r>
          </w:p>
        </w:tc>
        <w:tc>
          <w:tcPr>
            <w:tcW w:w="617" w:type="dxa"/>
            <w:vAlign w:val="center"/>
          </w:tcPr>
          <w:p w14:paraId="4A8A0508">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工业</w:t>
            </w:r>
          </w:p>
        </w:tc>
        <w:tc>
          <w:tcPr>
            <w:tcW w:w="972" w:type="dxa"/>
            <w:vAlign w:val="center"/>
          </w:tcPr>
          <w:p w14:paraId="2BEFD042">
            <w:pPr>
              <w:spacing w:line="360" w:lineRule="auto"/>
              <w:jc w:val="center"/>
              <w:rPr>
                <w:rFonts w:hint="eastAsia" w:ascii="宋体" w:hAnsi="宋体" w:eastAsia="宋体" w:cs="宋体"/>
                <w:bCs/>
                <w:sz w:val="24"/>
                <w:szCs w:val="24"/>
                <w:highlight w:val="none"/>
                <w:shd w:val="clear" w:color="auto" w:fill="FFFFFF" w:themeFill="background1"/>
              </w:rPr>
            </w:pPr>
            <w:r>
              <w:rPr>
                <w:rFonts w:hint="eastAsia" w:ascii="宋体" w:hAnsi="宋体" w:eastAsia="宋体" w:cs="宋体"/>
                <w:bCs/>
                <w:sz w:val="24"/>
                <w:szCs w:val="24"/>
                <w:highlight w:val="none"/>
                <w:shd w:val="clear" w:color="auto" w:fill="FFFFFF" w:themeFill="background1"/>
              </w:rPr>
              <w:t>进口产品</w:t>
            </w:r>
          </w:p>
        </w:tc>
      </w:tr>
    </w:tbl>
    <w:p w14:paraId="7567C8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6A48"/>
    <w:rsid w:val="73816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2025-10-28T07:00:00Z</dcterms:created>
  <dc:creator>Administrator</dc:creator>
  <cp:lastModifiedBy>Administrator</cp:lastModifiedBy>
  <dcterms:modified xsi:type="dcterms:W3CDTF">2025-10-28T07:00:48Z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088B27918C8743328EE538D029CFA2DE_11</vt:lpwstr>
  </property>
  <property fmtid="{D5CDD505-2E9C-101B-9397-08002B2CF9AE}" pid="4" name="KSOTemplateDocerSaveRecord">
    <vt:lpwstr>eyJoZGlkIjoiN2Y5MzMwMWZlMDc0YWQ3ZjkxNzJjZDJjYWEyOGE2YjQiLCJ1c2VySWQiOiIxMTczODQ5ODU1In0=</vt:lpwstr>
  </property>
</Properties>
</file>