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sz w:val="28"/>
        </w:rPr>
      </w:pPr>
      <w:bookmarkStart w:id="0" w:name="_Toc10891"/>
      <w:r>
        <w:rPr>
          <w:rFonts w:hint="eastAsia" w:asciiTheme="minorEastAsia" w:hAnsiTheme="minorEastAsia" w:eastAsiaTheme="minorEastAsia"/>
          <w:b/>
          <w:sz w:val="28"/>
        </w:rPr>
        <w:t>第三章  采购需求</w:t>
      </w:r>
      <w:bookmarkEnd w:id="0"/>
    </w:p>
    <w:p w14:paraId="0D9E3639">
      <w:pPr>
        <w:spacing w:line="360" w:lineRule="auto"/>
        <w:rPr>
          <w:rFonts w:hint="eastAsia" w:asciiTheme="minorEastAsia" w:hAnsiTheme="minorEastAsia" w:eastAsiaTheme="minorEastAsia"/>
          <w:b/>
          <w:sz w:val="24"/>
        </w:rPr>
      </w:pPr>
      <w:r>
        <w:rPr>
          <w:rFonts w:hint="eastAsia" w:asciiTheme="minorEastAsia" w:hAnsiTheme="minorEastAsia" w:eastAsiaTheme="minorEastAsia"/>
          <w:b/>
          <w:sz w:val="24"/>
        </w:rPr>
        <w:t>前注：</w:t>
      </w:r>
      <w:bookmarkStart w:id="5" w:name="_GoBack"/>
      <w:bookmarkEnd w:id="5"/>
    </w:p>
    <w:p w14:paraId="648A9894">
      <w:pPr>
        <w:spacing w:line="360" w:lineRule="auto"/>
        <w:ind w:firstLine="435"/>
        <w:rPr>
          <w:rFonts w:hint="eastAsia" w:ascii="宋体" w:hAnsi="宋体" w:eastAsia="宋体"/>
          <w:sz w:val="24"/>
          <w:szCs w:val="18"/>
        </w:rPr>
      </w:pPr>
      <w:r>
        <w:rPr>
          <w:rFonts w:hint="eastAsia" w:asciiTheme="minorEastAsia" w:hAnsiTheme="minorEastAsia" w:eastAsiaTheme="minorEastAsia"/>
          <w:sz w:val="24"/>
        </w:rPr>
        <w:t>1.</w:t>
      </w:r>
      <w:r>
        <w:rPr>
          <w:rFonts w:ascii="宋体" w:hAnsi="宋体" w:eastAsia="宋体"/>
          <w:sz w:val="24"/>
          <w:szCs w:val="18"/>
        </w:rPr>
        <w:t>根据《</w:t>
      </w:r>
      <w:r>
        <w:rPr>
          <w:rFonts w:hint="eastAsia" w:ascii="宋体" w:hAnsi="宋体" w:eastAsia="宋体"/>
          <w:sz w:val="24"/>
          <w:szCs w:val="18"/>
        </w:rPr>
        <w:t>政府采购进口产品管理办法</w:t>
      </w:r>
      <w:r>
        <w:rPr>
          <w:rFonts w:ascii="宋体" w:hAnsi="宋体" w:eastAsia="宋体"/>
          <w:sz w:val="24"/>
          <w:szCs w:val="18"/>
        </w:rPr>
        <w:t>》及政府采购管理部门的相关规定，下列采购需求中</w:t>
      </w:r>
      <w:r>
        <w:rPr>
          <w:rFonts w:hint="eastAsia" w:ascii="宋体" w:hAnsi="宋体" w:eastAsia="宋体"/>
          <w:sz w:val="24"/>
          <w:szCs w:val="18"/>
        </w:rPr>
        <w:t>标注进口产品的货物均</w:t>
      </w:r>
      <w:r>
        <w:rPr>
          <w:rFonts w:ascii="宋体" w:hAnsi="宋体" w:eastAsia="宋体"/>
          <w:sz w:val="24"/>
          <w:szCs w:val="18"/>
        </w:rPr>
        <w:t>已履行相关论证手续，经核准采购进口</w:t>
      </w:r>
      <w:r>
        <w:rPr>
          <w:rFonts w:hint="eastAsia" w:ascii="宋体" w:hAnsi="宋体" w:eastAsia="宋体"/>
          <w:sz w:val="24"/>
          <w:szCs w:val="18"/>
        </w:rPr>
        <w:t>产品</w:t>
      </w:r>
      <w:r>
        <w:rPr>
          <w:rFonts w:ascii="宋体" w:hAnsi="宋体" w:eastAsia="宋体"/>
          <w:sz w:val="24"/>
          <w:szCs w:val="18"/>
        </w:rPr>
        <w:t>，但不限制满足招标文件要求的国内产品参与竞争</w:t>
      </w:r>
      <w:r>
        <w:rPr>
          <w:rFonts w:hint="eastAsia" w:ascii="宋体" w:hAnsi="宋体" w:eastAsia="宋体"/>
          <w:sz w:val="24"/>
          <w:szCs w:val="18"/>
        </w:rPr>
        <w:t>。未标注进口产品的货物均</w:t>
      </w:r>
      <w:r>
        <w:rPr>
          <w:rFonts w:ascii="宋体" w:hAnsi="宋体" w:eastAsia="宋体"/>
          <w:sz w:val="24"/>
          <w:szCs w:val="18"/>
        </w:rPr>
        <w:t>为拒绝采购进口产品</w:t>
      </w:r>
      <w:r>
        <w:rPr>
          <w:rFonts w:hint="eastAsia" w:ascii="宋体" w:hAnsi="宋体" w:eastAsia="宋体"/>
          <w:sz w:val="24"/>
          <w:szCs w:val="18"/>
        </w:rPr>
        <w:t>。</w:t>
      </w:r>
    </w:p>
    <w:p w14:paraId="3D19009F">
      <w:pPr>
        <w:spacing w:line="360" w:lineRule="auto"/>
        <w:ind w:firstLine="435"/>
        <w:rPr>
          <w:rFonts w:hint="eastAsia" w:ascii="宋体" w:hAnsi="宋体" w:eastAsia="宋体"/>
          <w:sz w:val="24"/>
          <w:szCs w:val="18"/>
        </w:rPr>
      </w:pPr>
      <w:r>
        <w:rPr>
          <w:rFonts w:hint="eastAsia" w:ascii="宋体" w:hAnsi="宋体" w:eastAsia="宋体"/>
          <w:sz w:val="24"/>
          <w:szCs w:val="18"/>
        </w:rPr>
        <w:t>2.</w:t>
      </w:r>
      <w:r>
        <w:rPr>
          <w:rFonts w:ascii="宋体" w:hAnsi="宋体" w:eastAsia="宋体" w:cs="宋体"/>
          <w:sz w:val="24"/>
          <w:szCs w:val="24"/>
        </w:rPr>
        <w:t>政府采购政策（包括但不限于下列具体政策要求</w:t>
      </w:r>
      <w:r>
        <w:rPr>
          <w:rFonts w:hint="eastAsia" w:ascii="宋体" w:hAnsi="宋体" w:eastAsia="宋体" w:cs="宋体"/>
          <w:sz w:val="24"/>
          <w:szCs w:val="24"/>
        </w:rPr>
        <w:t>）</w:t>
      </w:r>
      <w:r>
        <w:rPr>
          <w:rFonts w:hint="eastAsia" w:ascii="宋体" w:hAnsi="宋体" w:eastAsia="宋体"/>
          <w:sz w:val="24"/>
          <w:szCs w:val="18"/>
        </w:rPr>
        <w:t>：</w:t>
      </w:r>
    </w:p>
    <w:p w14:paraId="471EC60B">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1CB8587">
      <w:pPr>
        <w:spacing w:line="360" w:lineRule="auto"/>
        <w:ind w:firstLine="435"/>
        <w:rPr>
          <w:rFonts w:hint="eastAsia" w:ascii="宋体" w:hAnsi="宋体" w:eastAsia="宋体"/>
          <w:sz w:val="24"/>
          <w:szCs w:val="18"/>
        </w:rPr>
      </w:pPr>
      <w:r>
        <w:rPr>
          <w:rFonts w:hint="eastAsia" w:ascii="宋体" w:hAnsi="宋体" w:eastAsia="宋体"/>
          <w:sz w:val="24"/>
          <w:szCs w:val="18"/>
        </w:rPr>
        <w:t>3.</w:t>
      </w:r>
      <w:r>
        <w:rPr>
          <w:rFonts w:ascii="宋体" w:hAnsi="宋体" w:eastAsia="宋体"/>
          <w:sz w:val="24"/>
          <w:szCs w:val="18"/>
        </w:rPr>
        <w:t>下列采购需求中：标注▲的产品</w:t>
      </w:r>
      <w:r>
        <w:rPr>
          <w:rFonts w:hint="eastAsia" w:ascii="宋体" w:hAnsi="宋体" w:eastAsia="宋体"/>
          <w:sz w:val="24"/>
          <w:szCs w:val="18"/>
        </w:rPr>
        <w:t>为核心产品。</w:t>
      </w:r>
    </w:p>
    <w:p w14:paraId="21C7F3E8">
      <w:pPr>
        <w:spacing w:line="360" w:lineRule="auto"/>
        <w:ind w:firstLine="435"/>
        <w:rPr>
          <w:rFonts w:hint="eastAsia" w:ascii="宋体" w:hAnsi="宋体" w:eastAsia="宋体"/>
          <w:sz w:val="24"/>
          <w:szCs w:val="18"/>
        </w:rPr>
      </w:pPr>
      <w:r>
        <w:rPr>
          <w:rFonts w:hint="eastAsia" w:ascii="宋体" w:hAnsi="宋体" w:eastAsia="宋体" w:cs="宋体"/>
          <w:sz w:val="24"/>
          <w:szCs w:val="24"/>
        </w:rPr>
        <w:t>4.</w:t>
      </w:r>
      <w:r>
        <w:rPr>
          <w:rFonts w:hint="eastAsia" w:ascii="宋体" w:hAnsi="宋体" w:eastAsia="宋体"/>
          <w:sz w:val="24"/>
          <w:szCs w:val="18"/>
        </w:rPr>
        <w:t>如采购人允许采用分包方式履行合同的，应当明确可以分包履行的相关内容。</w:t>
      </w:r>
    </w:p>
    <w:p w14:paraId="30B0ED33">
      <w:pPr>
        <w:spacing w:line="360" w:lineRule="auto"/>
        <w:ind w:firstLine="437"/>
        <w:outlineLvl w:val="1"/>
        <w:rPr>
          <w:rFonts w:hint="eastAsia" w:ascii="宋体" w:hAnsi="宋体" w:eastAsia="宋体"/>
          <w:b/>
          <w:sz w:val="24"/>
          <w:szCs w:val="18"/>
        </w:rPr>
      </w:pPr>
      <w:bookmarkStart w:id="1" w:name="_Toc32151"/>
      <w:bookmarkStart w:id="2" w:name="_Toc2554"/>
      <w:r>
        <w:rPr>
          <w:rFonts w:hint="eastAsia" w:ascii="宋体" w:hAnsi="宋体" w:eastAsia="宋体"/>
          <w:b/>
          <w:sz w:val="24"/>
          <w:szCs w:val="18"/>
        </w:rPr>
        <w:t>一、采购需求前附表</w:t>
      </w:r>
      <w:bookmarkEnd w:id="1"/>
      <w:bookmarkEnd w:id="2"/>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10"/>
              <w:pBdr>
                <w:bottom w:val="none" w:color="auto" w:sz="0" w:space="0"/>
              </w:pBdr>
              <w:tabs>
                <w:tab w:val="clear" w:pos="4153"/>
                <w:tab w:val="clear" w:pos="8306"/>
              </w:tabs>
              <w:adjustRightInd/>
              <w:spacing w:line="240" w:lineRule="auto"/>
              <w:textAlignment w:val="auto"/>
              <w:rPr>
                <w:rFonts w:hint="eastAsia" w:ascii="宋体" w:hAnsi="宋体" w:eastAsia="宋体"/>
                <w:b/>
                <w:kern w:val="2"/>
              </w:rPr>
            </w:pPr>
            <w:r>
              <w:rPr>
                <w:rFonts w:hint="eastAsia" w:ascii="宋体" w:hAnsi="宋体" w:eastAsia="宋体"/>
                <w:b/>
                <w:kern w:val="2"/>
              </w:rPr>
              <w:t>序号</w:t>
            </w:r>
          </w:p>
        </w:tc>
        <w:tc>
          <w:tcPr>
            <w:tcW w:w="1192" w:type="pct"/>
            <w:vAlign w:val="center"/>
          </w:tcPr>
          <w:p w14:paraId="200C6B67">
            <w:pPr>
              <w:pStyle w:val="11"/>
              <w:widowControl w:val="0"/>
              <w:spacing w:before="0" w:beforeAutospacing="0" w:after="0" w:afterAutospacing="0" w:line="360" w:lineRule="auto"/>
              <w:rPr>
                <w:rFonts w:hint="eastAsia" w:ascii="宋体" w:hAnsi="宋体" w:eastAsia="宋体"/>
                <w:bCs w:val="0"/>
                <w:sz w:val="24"/>
              </w:rPr>
            </w:pPr>
            <w:r>
              <w:rPr>
                <w:rFonts w:hint="eastAsia" w:ascii="宋体" w:hAnsi="宋体" w:eastAsia="宋体"/>
                <w:bCs w:val="0"/>
                <w:sz w:val="24"/>
              </w:rPr>
              <w:t>条款名称</w:t>
            </w:r>
          </w:p>
        </w:tc>
        <w:tc>
          <w:tcPr>
            <w:tcW w:w="3217" w:type="pct"/>
            <w:vAlign w:val="center"/>
          </w:tcPr>
          <w:p w14:paraId="1E08E055">
            <w:pPr>
              <w:pStyle w:val="11"/>
              <w:widowControl w:val="0"/>
              <w:spacing w:before="0" w:beforeAutospacing="0" w:after="0" w:afterAutospacing="0" w:line="360" w:lineRule="auto"/>
              <w:rPr>
                <w:rFonts w:hint="eastAsia" w:ascii="宋体" w:hAnsi="宋体" w:eastAsia="宋体"/>
                <w:bCs w:val="0"/>
                <w:sz w:val="24"/>
              </w:rPr>
            </w:pPr>
            <w:r>
              <w:rPr>
                <w:rFonts w:hint="eastAsia" w:ascii="宋体" w:hAnsi="宋体" w:eastAsia="宋体"/>
                <w:bCs w:val="0"/>
                <w:sz w:val="24"/>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10"/>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1</w:t>
            </w:r>
          </w:p>
        </w:tc>
        <w:tc>
          <w:tcPr>
            <w:tcW w:w="1192" w:type="pct"/>
            <w:vAlign w:val="center"/>
          </w:tcPr>
          <w:p w14:paraId="7EA999D1">
            <w:pPr>
              <w:pStyle w:val="11"/>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付款方式</w:t>
            </w:r>
          </w:p>
        </w:tc>
        <w:tc>
          <w:tcPr>
            <w:tcW w:w="3217" w:type="pct"/>
            <w:vAlign w:val="center"/>
          </w:tcPr>
          <w:p w14:paraId="62B8C4E7">
            <w:pPr>
              <w:pStyle w:val="1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合同签订后招标人向中标人支付合同总价款60%的预付款（付款前，中标人须向招标人提供等额的预付款保函），中标人完成全部交付且经招标人认可后10个日历日内支付至结算总价款的100%。</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10"/>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2</w:t>
            </w:r>
          </w:p>
        </w:tc>
        <w:tc>
          <w:tcPr>
            <w:tcW w:w="1192" w:type="pct"/>
            <w:vAlign w:val="center"/>
          </w:tcPr>
          <w:p w14:paraId="400801A7">
            <w:pPr>
              <w:pStyle w:val="11"/>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供货及安装地点</w:t>
            </w:r>
          </w:p>
        </w:tc>
        <w:tc>
          <w:tcPr>
            <w:tcW w:w="3217" w:type="pct"/>
            <w:vAlign w:val="center"/>
          </w:tcPr>
          <w:p w14:paraId="008E1630">
            <w:pPr>
              <w:pStyle w:val="11"/>
              <w:widowControl w:val="0"/>
              <w:spacing w:before="0" w:beforeAutospacing="0" w:after="0" w:afterAutospacing="0" w:line="360" w:lineRule="auto"/>
              <w:jc w:val="both"/>
              <w:rPr>
                <w:rFonts w:hint="eastAsia" w:ascii="宋体" w:hAnsi="宋体" w:eastAsia="宋体"/>
                <w:b w:val="0"/>
                <w:sz w:val="24"/>
              </w:rPr>
            </w:pPr>
            <w:r>
              <w:rPr>
                <w:rFonts w:ascii="宋体" w:hAnsi="宋体" w:eastAsia="宋体"/>
                <w:b w:val="0"/>
                <w:sz w:val="24"/>
              </w:rPr>
              <w:t>安徽职业技术大学智能制造学院，采购人指定地点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10"/>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3</w:t>
            </w:r>
          </w:p>
        </w:tc>
        <w:tc>
          <w:tcPr>
            <w:tcW w:w="1192" w:type="pct"/>
            <w:vAlign w:val="center"/>
          </w:tcPr>
          <w:p w14:paraId="28D0729D">
            <w:pPr>
              <w:pStyle w:val="11"/>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供货及安装期限</w:t>
            </w:r>
          </w:p>
        </w:tc>
        <w:tc>
          <w:tcPr>
            <w:tcW w:w="3217" w:type="pct"/>
            <w:vAlign w:val="center"/>
          </w:tcPr>
          <w:p w14:paraId="64A45A16">
            <w:pPr>
              <w:pStyle w:val="1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自合同签订之日起45天内完成设备安装、调试</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10"/>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4</w:t>
            </w:r>
          </w:p>
        </w:tc>
        <w:tc>
          <w:tcPr>
            <w:tcW w:w="1192" w:type="pct"/>
            <w:vAlign w:val="center"/>
          </w:tcPr>
          <w:p w14:paraId="6BA5A37C">
            <w:pPr>
              <w:pStyle w:val="11"/>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免费质保期</w:t>
            </w:r>
          </w:p>
        </w:tc>
        <w:tc>
          <w:tcPr>
            <w:tcW w:w="3217" w:type="pct"/>
            <w:vAlign w:val="center"/>
          </w:tcPr>
          <w:p w14:paraId="0336E70B">
            <w:pPr>
              <w:pStyle w:val="1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验收合格之日起整机质保2年。</w:t>
            </w:r>
          </w:p>
          <w:p w14:paraId="60E52513">
            <w:pPr>
              <w:pStyle w:val="1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（货物指标要求中如有特殊要求的，以货物指标要求为准。）</w:t>
            </w:r>
          </w:p>
        </w:tc>
      </w:tr>
    </w:tbl>
    <w:p w14:paraId="45688401">
      <w:pPr>
        <w:rPr>
          <w:rFonts w:hint="eastAsia" w:ascii="宋体" w:hAnsi="宋体" w:eastAsia="宋体"/>
          <w:b/>
          <w:bCs/>
          <w:sz w:val="24"/>
          <w:szCs w:val="18"/>
        </w:rPr>
      </w:pPr>
      <w:bookmarkStart w:id="3" w:name="_Toc7671"/>
      <w:bookmarkStart w:id="4" w:name="_Toc5944"/>
      <w:r>
        <w:rPr>
          <w:rFonts w:hint="eastAsia" w:ascii="宋体" w:hAnsi="宋体" w:eastAsia="宋体"/>
          <w:b/>
          <w:bCs/>
          <w:sz w:val="24"/>
          <w:szCs w:val="18"/>
        </w:rPr>
        <w:br w:type="page"/>
      </w:r>
    </w:p>
    <w:p w14:paraId="3E806DB2">
      <w:pPr>
        <w:numPr>
          <w:ilvl w:val="0"/>
          <w:numId w:val="1"/>
        </w:numPr>
        <w:spacing w:line="360" w:lineRule="auto"/>
        <w:ind w:firstLine="437"/>
        <w:outlineLvl w:val="1"/>
        <w:rPr>
          <w:rFonts w:hint="eastAsia" w:ascii="宋体" w:hAnsi="宋体" w:eastAsia="宋体"/>
          <w:b/>
          <w:bCs/>
          <w:sz w:val="24"/>
          <w:szCs w:val="18"/>
        </w:rPr>
      </w:pPr>
      <w:r>
        <w:rPr>
          <w:rFonts w:hint="eastAsia" w:ascii="宋体" w:hAnsi="宋体" w:eastAsia="宋体"/>
          <w:b/>
          <w:sz w:val="24"/>
          <w:szCs w:val="18"/>
        </w:rPr>
        <w:t>货物</w:t>
      </w:r>
      <w:r>
        <w:rPr>
          <w:rFonts w:hint="eastAsia" w:ascii="宋体" w:hAnsi="宋体" w:eastAsia="宋体"/>
          <w:b/>
          <w:bCs/>
          <w:sz w:val="24"/>
          <w:szCs w:val="18"/>
        </w:rPr>
        <w:t>需求</w:t>
      </w:r>
      <w:bookmarkEnd w:id="3"/>
      <w:bookmarkEnd w:id="4"/>
    </w:p>
    <w:p w14:paraId="259C3DD8">
      <w:pPr>
        <w:numPr>
          <w:ilvl w:val="0"/>
          <w:numId w:val="2"/>
        </w:numPr>
        <w:spacing w:line="360" w:lineRule="auto"/>
        <w:outlineLvl w:val="1"/>
        <w:rPr>
          <w:rFonts w:hint="eastAsia" w:ascii="宋体" w:hAnsi="宋体" w:eastAsia="宋体"/>
          <w:b/>
          <w:bCs/>
          <w:sz w:val="24"/>
          <w:szCs w:val="18"/>
        </w:rPr>
      </w:pPr>
      <w:r>
        <w:rPr>
          <w:rFonts w:hint="eastAsia" w:ascii="宋体" w:hAnsi="宋体" w:eastAsia="宋体"/>
          <w:b/>
          <w:bCs/>
          <w:sz w:val="24"/>
          <w:szCs w:val="18"/>
        </w:rPr>
        <w:t>货物指标重要性表述</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5"/>
        <w:gridCol w:w="1328"/>
        <w:gridCol w:w="5336"/>
      </w:tblGrid>
      <w:tr w14:paraId="6D53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9" w:type="pct"/>
            <w:vAlign w:val="center"/>
          </w:tcPr>
          <w:p w14:paraId="449C1F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标识重要性</w:t>
            </w:r>
          </w:p>
        </w:tc>
        <w:tc>
          <w:tcPr>
            <w:tcW w:w="779" w:type="pct"/>
            <w:vAlign w:val="center"/>
          </w:tcPr>
          <w:p w14:paraId="51F4260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标识符号</w:t>
            </w:r>
          </w:p>
        </w:tc>
        <w:tc>
          <w:tcPr>
            <w:tcW w:w="3131" w:type="pct"/>
            <w:vAlign w:val="center"/>
          </w:tcPr>
          <w:p w14:paraId="3A6E45A4">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代表意思</w:t>
            </w:r>
          </w:p>
        </w:tc>
      </w:tr>
      <w:tr w14:paraId="486E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9" w:type="pct"/>
            <w:vAlign w:val="center"/>
          </w:tcPr>
          <w:p w14:paraId="177391E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重要指标项</w:t>
            </w:r>
          </w:p>
        </w:tc>
        <w:tc>
          <w:tcPr>
            <w:tcW w:w="779" w:type="pct"/>
            <w:vAlign w:val="center"/>
          </w:tcPr>
          <w:p w14:paraId="35B76BE9">
            <w:pPr>
              <w:spacing w:line="360" w:lineRule="auto"/>
              <w:jc w:val="center"/>
              <w:rPr>
                <w:rFonts w:hint="eastAsia" w:ascii="宋体" w:hAnsi="宋体" w:eastAsia="宋体" w:cs="宋体"/>
                <w:bCs/>
                <w:sz w:val="24"/>
                <w:szCs w:val="24"/>
              </w:rPr>
            </w:pPr>
            <w:r>
              <w:rPr>
                <w:rFonts w:hint="eastAsia" w:ascii="宋体" w:hAnsi="宋体" w:eastAsia="宋体" w:cs="宋体"/>
                <w:sz w:val="24"/>
                <w:szCs w:val="24"/>
              </w:rPr>
              <w:t>■</w:t>
            </w:r>
          </w:p>
        </w:tc>
        <w:tc>
          <w:tcPr>
            <w:tcW w:w="3131" w:type="pct"/>
            <w:vAlign w:val="center"/>
          </w:tcPr>
          <w:p w14:paraId="72B955EF">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评分项，每满足一项得2分</w:t>
            </w:r>
          </w:p>
        </w:tc>
      </w:tr>
      <w:tr w14:paraId="1181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89" w:type="pct"/>
            <w:vAlign w:val="center"/>
          </w:tcPr>
          <w:p w14:paraId="47F38E3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一般指标项</w:t>
            </w:r>
          </w:p>
        </w:tc>
        <w:tc>
          <w:tcPr>
            <w:tcW w:w="779" w:type="pct"/>
            <w:vAlign w:val="center"/>
          </w:tcPr>
          <w:p w14:paraId="135F6006">
            <w:pPr>
              <w:spacing w:line="360" w:lineRule="auto"/>
              <w:jc w:val="center"/>
              <w:rPr>
                <w:rFonts w:hint="eastAsia" w:ascii="宋体" w:hAnsi="宋体" w:eastAsia="宋体" w:cs="宋体"/>
                <w:bCs/>
                <w:sz w:val="24"/>
                <w:szCs w:val="24"/>
              </w:rPr>
            </w:pPr>
            <w:r>
              <w:rPr>
                <w:rFonts w:hint="eastAsia" w:ascii="宋体" w:hAnsi="宋体" w:eastAsia="宋体" w:cs="宋体"/>
                <w:sz w:val="24"/>
                <w:szCs w:val="24"/>
              </w:rPr>
              <w:t>●</w:t>
            </w:r>
          </w:p>
        </w:tc>
        <w:tc>
          <w:tcPr>
            <w:tcW w:w="3131" w:type="pct"/>
            <w:vAlign w:val="center"/>
          </w:tcPr>
          <w:p w14:paraId="4C97F132">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评分项，每满足一项得1分</w:t>
            </w:r>
          </w:p>
        </w:tc>
      </w:tr>
      <w:tr w14:paraId="029A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9" w:type="pct"/>
            <w:vAlign w:val="center"/>
          </w:tcPr>
          <w:p w14:paraId="1D982F9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无标识项</w:t>
            </w:r>
          </w:p>
        </w:tc>
        <w:tc>
          <w:tcPr>
            <w:tcW w:w="779" w:type="pct"/>
            <w:vAlign w:val="center"/>
          </w:tcPr>
          <w:p w14:paraId="7562357C">
            <w:pPr>
              <w:spacing w:line="360" w:lineRule="auto"/>
              <w:jc w:val="center"/>
              <w:rPr>
                <w:rFonts w:hint="eastAsia" w:ascii="宋体" w:hAnsi="宋体" w:eastAsia="宋体" w:cs="宋体"/>
                <w:bCs/>
                <w:sz w:val="24"/>
                <w:szCs w:val="24"/>
              </w:rPr>
            </w:pPr>
          </w:p>
        </w:tc>
        <w:tc>
          <w:tcPr>
            <w:tcW w:w="3131" w:type="pct"/>
            <w:vAlign w:val="center"/>
          </w:tcPr>
          <w:p w14:paraId="79C4C8A4">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无标识项为基础项，超过</w:t>
            </w:r>
            <w:r>
              <w:rPr>
                <w:rFonts w:hint="eastAsia" w:ascii="宋体" w:hAnsi="宋体" w:cs="宋体"/>
                <w:sz w:val="24"/>
                <w:szCs w:val="24"/>
              </w:rPr>
              <w:t>5</w:t>
            </w:r>
            <w:r>
              <w:rPr>
                <w:rFonts w:hint="eastAsia" w:ascii="宋体" w:hAnsi="宋体" w:eastAsia="宋体" w:cs="宋体"/>
                <w:sz w:val="24"/>
                <w:szCs w:val="24"/>
              </w:rPr>
              <w:t>项未响应或负偏离则视为投标无效</w:t>
            </w:r>
          </w:p>
        </w:tc>
      </w:tr>
    </w:tbl>
    <w:p w14:paraId="5954EFE3">
      <w:pPr>
        <w:numPr>
          <w:ilvl w:val="0"/>
          <w:numId w:val="2"/>
        </w:numPr>
        <w:spacing w:line="360" w:lineRule="auto"/>
        <w:outlineLvl w:val="1"/>
        <w:rPr>
          <w:rFonts w:hint="eastAsia" w:ascii="宋体" w:hAnsi="宋体" w:eastAsia="宋体"/>
          <w:b/>
          <w:bCs/>
          <w:sz w:val="24"/>
          <w:szCs w:val="18"/>
        </w:rPr>
      </w:pPr>
      <w:r>
        <w:rPr>
          <w:rFonts w:hint="eastAsia" w:ascii="宋体" w:hAnsi="宋体" w:eastAsia="宋体"/>
          <w:b/>
          <w:bCs/>
          <w:sz w:val="24"/>
          <w:szCs w:val="18"/>
        </w:rPr>
        <w:t>货物指标要求</w:t>
      </w:r>
    </w:p>
    <w:tbl>
      <w:tblPr>
        <w:tblStyle w:val="8"/>
        <w:tblW w:w="53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977"/>
        <w:gridCol w:w="5129"/>
        <w:gridCol w:w="870"/>
        <w:gridCol w:w="830"/>
        <w:gridCol w:w="624"/>
      </w:tblGrid>
      <w:tr w14:paraId="4208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 w:type="pct"/>
            <w:vAlign w:val="center"/>
          </w:tcPr>
          <w:p w14:paraId="3C5FE20E">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序号</w:t>
            </w:r>
          </w:p>
        </w:tc>
        <w:tc>
          <w:tcPr>
            <w:tcW w:w="540" w:type="pct"/>
            <w:vAlign w:val="center"/>
          </w:tcPr>
          <w:p w14:paraId="1F3D2AA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货物</w:t>
            </w:r>
          </w:p>
          <w:p w14:paraId="4CD45CBF">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名称</w:t>
            </w:r>
          </w:p>
        </w:tc>
        <w:tc>
          <w:tcPr>
            <w:tcW w:w="2835" w:type="pct"/>
          </w:tcPr>
          <w:p w14:paraId="160A75D1">
            <w:pPr>
              <w:spacing w:line="360" w:lineRule="auto"/>
              <w:jc w:val="center"/>
              <w:rPr>
                <w:rFonts w:hint="eastAsia" w:ascii="宋体" w:hAnsi="宋体" w:eastAsia="宋体" w:cs="宋体"/>
                <w:bCs/>
                <w:sz w:val="24"/>
                <w:szCs w:val="24"/>
              </w:rPr>
            </w:pPr>
          </w:p>
          <w:p w14:paraId="171E3C97">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技术参数及要求</w:t>
            </w:r>
          </w:p>
        </w:tc>
        <w:tc>
          <w:tcPr>
            <w:tcW w:w="481" w:type="pct"/>
            <w:vAlign w:val="center"/>
          </w:tcPr>
          <w:p w14:paraId="22915D8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数量</w:t>
            </w:r>
          </w:p>
          <w:p w14:paraId="0DE0AD60">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（单位）</w:t>
            </w:r>
          </w:p>
        </w:tc>
        <w:tc>
          <w:tcPr>
            <w:tcW w:w="459" w:type="pct"/>
            <w:vAlign w:val="center"/>
          </w:tcPr>
          <w:p w14:paraId="108853A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所属行业</w:t>
            </w:r>
          </w:p>
        </w:tc>
        <w:tc>
          <w:tcPr>
            <w:tcW w:w="345" w:type="pct"/>
            <w:vAlign w:val="center"/>
          </w:tcPr>
          <w:p w14:paraId="1C50778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备注</w:t>
            </w:r>
          </w:p>
        </w:tc>
      </w:tr>
      <w:tr w14:paraId="4777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38" w:type="pct"/>
            <w:vAlign w:val="center"/>
          </w:tcPr>
          <w:p w14:paraId="5EF2647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540" w:type="pct"/>
            <w:vAlign w:val="center"/>
          </w:tcPr>
          <w:p w14:paraId="7DA8994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▲工业数字孪生应用系统</w:t>
            </w:r>
          </w:p>
        </w:tc>
        <w:tc>
          <w:tcPr>
            <w:tcW w:w="2835" w:type="pct"/>
          </w:tcPr>
          <w:p w14:paraId="181111F6">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一、实训台</w:t>
            </w:r>
          </w:p>
          <w:p w14:paraId="4BD1DD3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1、尺寸大小：≥2100mm*1200mm*1800mm；</w:t>
            </w:r>
          </w:p>
          <w:p w14:paraId="61B7C9D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2、机柜框架与壳体：</w:t>
            </w:r>
          </w:p>
          <w:p w14:paraId="4E31ECF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主体材料：冷轧钢板，板厚≥1.2mm（门板）/≥1.5mm（骨架）；</w:t>
            </w:r>
          </w:p>
          <w:p w14:paraId="613D2D4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表面处理：静电粉末喷涂，耐腐蚀（中性盐雾≥48h不起泡不脱落），阻燃等级符合室内电气设备安装相关标准要求；</w:t>
            </w:r>
          </w:p>
          <w:p w14:paraId="0E88BA9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颜色：浅色工业烤漆（白色/浅灰均可，由采购人确认色卡）。</w:t>
            </w:r>
          </w:p>
          <w:p w14:paraId="38068C8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3、桌面：</w:t>
            </w:r>
          </w:p>
          <w:p w14:paraId="5D2C7EC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材料：铝合金型材框架+高强度耐磨台面板（防静电/防火等级达标），或同等性能的工业级复合台面；</w:t>
            </w:r>
          </w:p>
          <w:p w14:paraId="4C3EE2D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承载：均布载荷≥200kg不变形。</w:t>
            </w:r>
          </w:p>
          <w:p w14:paraId="3CF4BC6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4、移动与固定：万向耐磨脚轮（带刹车）≥4只+可调螺杆升降地脚≥4只（调程≥30mm）。</w:t>
            </w:r>
          </w:p>
          <w:p w14:paraId="5477BB8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5、结构设计：直立式钣金结构，前后可开门，走线槽/穿线孔预留完善。</w:t>
            </w:r>
          </w:p>
          <w:p w14:paraId="7EC9D0E6">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二、智慧用电能耗监控系统</w:t>
            </w:r>
          </w:p>
          <w:p w14:paraId="1381F08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1、系统通信控制模块（应满足以下全部要求）：</w:t>
            </w:r>
          </w:p>
          <w:p w14:paraId="3CDA2E1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 处理器：工业级嵌入式微控制器，工作温度范围不低于 -40℃～+85℃，在满足技术要求的前提下，优先选用国产芯片方案，投标人可自主选择芯片品牌并提供相关说明）。</w:t>
            </w:r>
          </w:p>
          <w:p w14:paraId="38EDC4D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 无线通信能力：至少支持一种工业免授权频段短距无线方式（2.4GHz ISM频段，如Zigbee/BLE/私有协议均可），发射功率范围覆盖 1～4dBm；同时具备WiFi通信能力（IEEE 802.11 b/g/n），可作为以太网备选上行链路。</w:t>
            </w:r>
          </w:p>
          <w:p w14:paraId="016ECF2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 接口资源（最小值要求，不低于以下配置）：RS-485 隔离接口 ≥2路； RS-232 接口 ≥1路；数字量/IO 引出 ≥4路（可控输出/状态采集）；ADC 采集通道 ≥4路；供电输出辅助端：5V输出≥2路、3.3V输出≥2路、12V输出≥2路；USB接口 ≥1路（可用于调试/配置）。</w:t>
            </w:r>
          </w:p>
          <w:p w14:paraId="77F4C73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 电气与工作条件：供电：USB 5V 或 DC 宽压 6V～12V 双模式；工作温度：-40℃～+85℃（工业级）；天线接口：标准IPEX座或等效可接外置天线。</w:t>
            </w:r>
          </w:p>
          <w:p w14:paraId="51D7704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 配置与调试：提供PC端配置工具（或Web配置界面），可对串口波特率、WiFi SSID/密钥、；MQTT服务器地址/主题等进行可视化配置，无需手工改代码；随货提供完整的接口定义表、通信协议文档（寄存器/JSON格式均可）、</w:t>
            </w:r>
          </w:p>
          <w:p w14:paraId="197EBF5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接线图及示例程序。</w:t>
            </w:r>
          </w:p>
          <w:p w14:paraId="29AAD31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 安装形态：模块化PCB或导轨式壳体均可，PCB/壳体最大投影尺寸建议不超过 140mm×100mm（便于装入控制柜），但此项不作为否决项，仅作为空间适配参考。</w:t>
            </w:r>
          </w:p>
          <w:p w14:paraId="1D5A53F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2、系统软件</w:t>
            </w:r>
          </w:p>
          <w:p w14:paraId="118D17A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（1）支持在线查看设备的电压、频率、电流、功率等用电能耗数据</w:t>
            </w:r>
          </w:p>
          <w:p w14:paraId="3D8664E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（2）支持打开系统软件后自动同步设备用电能耗状态</w:t>
            </w:r>
          </w:p>
          <w:p w14:paraId="2688396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（3）支持设备上报电源能耗数据至系统软件</w:t>
            </w:r>
          </w:p>
          <w:p w14:paraId="7114E5A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b/>
                <w:bCs/>
                <w:sz w:val="24"/>
                <w:szCs w:val="24"/>
              </w:rPr>
              <w:t>三、以太网交换机</w:t>
            </w:r>
          </w:p>
          <w:p w14:paraId="3ABDC01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1、端口配置：≥8个10/100BASE-TX百兆RJ45电口；≥1个千兆SFP光口；</w:t>
            </w:r>
          </w:p>
          <w:p w14:paraId="0F481C0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2、端口自适应：支持10M/100M速率自适应、全双工/半双工、IEEE802.3X端口流量控制；</w:t>
            </w:r>
          </w:p>
          <w:p w14:paraId="6FBE0D9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3、交换容量（背板宽带）：≥18Gbps；</w:t>
            </w:r>
          </w:p>
          <w:p w14:paraId="4D8ABBB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4、包转发率：≥13.39Mpps，整机线速转发；</w:t>
            </w:r>
          </w:p>
          <w:p w14:paraId="3E8B5E7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5、MAC地址表：≥4K条目；</w:t>
            </w:r>
          </w:p>
          <w:p w14:paraId="5E6B93C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6、供电标准：IEEE 802.3af PoE，单口最大输出15.4W;</w:t>
            </w:r>
          </w:p>
          <w:p w14:paraId="3F58ADE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7、整机PoE额定总功率：≥70W，8口可同时按需PoE输出；</w:t>
            </w:r>
          </w:p>
          <w:p w14:paraId="4B97D21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8、机身尺寸：≥190mm×125mm×27mm；</w:t>
            </w:r>
          </w:p>
          <w:p w14:paraId="372130F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9、整机重量：≥0.49kg。</w:t>
            </w:r>
          </w:p>
          <w:p w14:paraId="6C9635F7">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四、数据展示屏</w:t>
            </w:r>
          </w:p>
          <w:p w14:paraId="7EEC391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1、屏幕尺寸≥24英寸，16：9比例，A规无坏点；</w:t>
            </w:r>
          </w:p>
          <w:p w14:paraId="7C267C9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2、分辨率≥1920×1080，亮度≥300cd/m²，对比度≥1000：1，水平/垂直可视角度178°；</w:t>
            </w:r>
          </w:p>
          <w:p w14:paraId="102955F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3、标配HDMI、VGA、USB输入接口，具备RS232中控串口，支持壁挂安装；</w:t>
            </w:r>
          </w:p>
          <w:p w14:paraId="38117F3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4、背光使用寿命≥50000小时，支持7×24小时不间断稳定运行，表面防眩光处理；</w:t>
            </w:r>
          </w:p>
          <w:p w14:paraId="12926D0B">
            <w:pPr>
              <w:spacing w:line="360" w:lineRule="auto"/>
              <w:rPr>
                <w:rFonts w:hint="eastAsia" w:ascii="宋体" w:hAnsi="宋体" w:eastAsia="宋体" w:cs="宋体"/>
                <w:b/>
                <w:bCs/>
                <w:sz w:val="24"/>
                <w:szCs w:val="24"/>
              </w:rPr>
            </w:pPr>
            <w:r>
              <w:rPr>
                <w:rFonts w:hint="eastAsia" w:ascii="宋体" w:hAnsi="宋体" w:eastAsia="宋体" w:cs="宋体"/>
                <w:sz w:val="24"/>
                <w:szCs w:val="24"/>
              </w:rPr>
              <w:t>5、设备通过3C、RoHS认证。</w:t>
            </w:r>
          </w:p>
          <w:p w14:paraId="0FE185FC">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五、冲压加工模块</w:t>
            </w:r>
          </w:p>
          <w:p w14:paraId="65F718B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1、旋转物料转盘模块</w:t>
            </w:r>
          </w:p>
          <w:p w14:paraId="69216CC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2、冲压模块</w:t>
            </w:r>
          </w:p>
          <w:p w14:paraId="710B248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3、物料装配模块等功能区域；</w:t>
            </w:r>
          </w:p>
          <w:p w14:paraId="23CDE85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4、电力拖动：步进电机、步进驱动器</w:t>
            </w:r>
          </w:p>
          <w:p w14:paraId="37CE056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5、气缸：冲压气缸、电磁阀、真空发生器、真空吸盘</w:t>
            </w:r>
          </w:p>
          <w:p w14:paraId="482A0B8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6、传感器：光电传感器、电磁传感器</w:t>
            </w:r>
          </w:p>
          <w:p w14:paraId="3CDEC03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7、加工盘：铝合金转盘；</w:t>
            </w:r>
          </w:p>
          <w:p w14:paraId="6D89549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8、模块支架及固定板：可拆装移动式防火耐腐蚀抗压铝合金固定板，通用型可更换支架；</w:t>
            </w:r>
          </w:p>
          <w:p w14:paraId="6C36904F">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六、变频调速模块</w:t>
            </w:r>
          </w:p>
          <w:p w14:paraId="31A140A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1、外形尺寸：≥132*68*131mm;</w:t>
            </w:r>
          </w:p>
          <w:p w14:paraId="3448F66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2、输入电压：单相220V；</w:t>
            </w:r>
          </w:p>
          <w:p w14:paraId="3F6ADBD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3、允许工作电压：180V-260V；</w:t>
            </w:r>
          </w:p>
          <w:p w14:paraId="2AFB91C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4、输出频率：0-300HZ；</w:t>
            </w:r>
          </w:p>
          <w:p w14:paraId="56B2EDB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5、功率：≥0.75KW；</w:t>
            </w:r>
          </w:p>
          <w:p w14:paraId="31B5062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6、电流：≥4.0A；</w:t>
            </w:r>
          </w:p>
          <w:p w14:paraId="46F8B8F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7、通讯方式：标配RS 485 通讯；支持Modbus-RTU通讯协议；若无原生RS485接口，需支持以太网Modbus TCP等通用工业通讯，供方免费提供转接配件并完成通讯调试。</w:t>
            </w:r>
          </w:p>
          <w:p w14:paraId="56510E6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8、控制方式：V/F控制；</w:t>
            </w:r>
          </w:p>
          <w:p w14:paraId="18BAB09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9、安全保护：过流保护、过压保护、欠压保护、过热保护、过载保护、缺相保护、输出短路保护等；</w:t>
            </w:r>
          </w:p>
          <w:p w14:paraId="6EF2187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10、环境温度：-10~+40℃；</w:t>
            </w:r>
          </w:p>
          <w:p w14:paraId="208A10A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11、冷却方式：风冷</w:t>
            </w:r>
          </w:p>
          <w:p w14:paraId="655BCC5C">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七、步进输送模块</w:t>
            </w:r>
          </w:p>
          <w:p w14:paraId="6538743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1、防滑耐磨输送带单元</w:t>
            </w:r>
          </w:p>
          <w:p w14:paraId="4067D54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2、速度控制单元</w:t>
            </w:r>
          </w:p>
          <w:p w14:paraId="119BA4E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3、物料输送检测单元等功能区域；</w:t>
            </w:r>
          </w:p>
          <w:p w14:paraId="2066377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4、控制器：PLC控制，数字量 IO：≥14 输入/10 路输出； 模拟量 IO：≥2 输入； </w:t>
            </w:r>
          </w:p>
          <w:p w14:paraId="4C7B1F9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5、传感器：不低于2个光电传感器、不低于3个磁性开关</w:t>
            </w:r>
          </w:p>
          <w:p w14:paraId="0D2CFED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6、电机：步进电机、步进驱动器</w:t>
            </w:r>
          </w:p>
          <w:p w14:paraId="4D697AE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7、传动机构：平型带轮皮带传动</w:t>
            </w:r>
          </w:p>
          <w:p w14:paraId="0121304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8、气缸：直行送料气缸、直行取料气缸、真空发生器、</w:t>
            </w:r>
          </w:p>
          <w:p w14:paraId="4EE0B3E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9、支架：可拆装移动式防火耐腐蚀抗压铝合金固定板，通用型可更换支架</w:t>
            </w:r>
          </w:p>
          <w:p w14:paraId="1B739A86">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八、立体仓库模块</w:t>
            </w:r>
          </w:p>
          <w:p w14:paraId="1090BD6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1、电机：闭环步进电机不低于1台、闭环步进控制器不低于1个、带刹车步进电机不低于1台、步进控制器不低于1个</w:t>
            </w:r>
          </w:p>
          <w:p w14:paraId="2D33BDC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2、皮带模组：40模组不低于2套</w:t>
            </w:r>
          </w:p>
          <w:p w14:paraId="68C1D17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3、气缸：旋转气缸不低于1个、夹子气缸不低于1个</w:t>
            </w:r>
          </w:p>
          <w:p w14:paraId="7C31A0F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4、料仓：三层立体仓库位不低于9个</w:t>
            </w:r>
          </w:p>
          <w:p w14:paraId="0A427CB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5、传感器：行程光电开关不低于6个、不低于2个磁性开关等</w:t>
            </w:r>
          </w:p>
          <w:p w14:paraId="4387DFC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6、本模块可实现产品的入库和出库功能。</w:t>
            </w:r>
          </w:p>
          <w:p w14:paraId="6AB3119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b/>
                <w:bCs/>
                <w:sz w:val="24"/>
                <w:szCs w:val="24"/>
              </w:rPr>
              <w:t>九、AGV小车</w:t>
            </w:r>
            <w:r>
              <w:rPr>
                <w:rFonts w:hint="eastAsia" w:ascii="宋体" w:hAnsi="宋体" w:eastAsia="宋体" w:cs="宋体"/>
                <w:sz w:val="24"/>
                <w:szCs w:val="24"/>
              </w:rPr>
              <w:t xml:space="preserve"> </w:t>
            </w:r>
          </w:p>
          <w:p w14:paraId="12F32551">
            <w:pPr>
              <w:spacing w:line="360" w:lineRule="auto"/>
              <w:rPr>
                <w:rFonts w:hint="eastAsia" w:ascii="宋体" w:hAnsi="宋体" w:eastAsia="宋体" w:cs="宋体"/>
                <w:sz w:val="24"/>
                <w:szCs w:val="24"/>
              </w:rPr>
            </w:pPr>
            <w:r>
              <w:rPr>
                <w:rFonts w:hint="eastAsia" w:ascii="宋体" w:hAnsi="宋体" w:eastAsia="宋体" w:cs="宋体"/>
                <w:sz w:val="24"/>
                <w:szCs w:val="24"/>
              </w:rPr>
              <w:t>1、处理器：采用单片微型计算机（MCU）实现整机控制，支持IO采集、PWM调速、数据存储与逻辑控制；主控MCU工作主频≥8MHz，程序Flash存储空间≥8KB，RAM≥1KB，具备至少4路PWM输出、6路模拟信号采集接口，满足传感器采集与双电机差速驱动需求。</w:t>
            </w:r>
          </w:p>
          <w:p w14:paraId="1CED275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2、供电：≥12V，电池供电，支持充电；</w:t>
            </w:r>
          </w:p>
          <w:p w14:paraId="3668F67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3、支持智能循迹,根据预设的轨迹进行循迹；</w:t>
            </w:r>
          </w:p>
          <w:p w14:paraId="77C458F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4、支持多种行驶路线预设；</w:t>
            </w:r>
          </w:p>
          <w:p w14:paraId="557295C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sz w:val="24"/>
                <w:szCs w:val="24"/>
              </w:rPr>
              <w:t>■</w:t>
            </w:r>
            <w:r>
              <w:rPr>
                <w:rFonts w:hint="eastAsia" w:ascii="宋体" w:hAnsi="宋体" w:eastAsia="宋体" w:cs="宋体"/>
                <w:sz w:val="24"/>
                <w:szCs w:val="24"/>
              </w:rPr>
              <w:t>5、支持物料检测，检测到物料自动行驶至终点；</w:t>
            </w:r>
            <w:r>
              <w:rPr>
                <w:rFonts w:hint="eastAsia" w:ascii="宋体" w:hAnsi="宋体" w:eastAsia="宋体" w:cs="宋体"/>
                <w:b/>
                <w:bCs/>
                <w:sz w:val="24"/>
                <w:szCs w:val="24"/>
              </w:rPr>
              <w:t>（投标文件中需提供符合上述功能的演示视频，视频时长3分钟以内，中标后招标人有权进行功能检验）</w:t>
            </w:r>
          </w:p>
          <w:p w14:paraId="799B9EF3">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十、AGV小车轨迹台</w:t>
            </w:r>
          </w:p>
          <w:p w14:paraId="69B81D0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1、材料:UV打印板</w:t>
            </w:r>
          </w:p>
          <w:p w14:paraId="6F7F183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2、支持在台面上小车运行黑色轨迹带，设计小车行驶轨迹。</w:t>
            </w:r>
          </w:p>
          <w:p w14:paraId="58352C74">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十一、视觉相机</w:t>
            </w:r>
          </w:p>
          <w:p w14:paraId="1C44C28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1、分辨率:≥600 万像素</w:t>
            </w:r>
          </w:p>
          <w:p w14:paraId="35FB214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2、传感器类型：≥1/1.8 英寸工业级传感器； </w:t>
            </w:r>
          </w:p>
          <w:p w14:paraId="0A12AB8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3、像素尺寸: ≥2µm× 2µm；</w:t>
            </w:r>
          </w:p>
          <w:p w14:paraId="78F7796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4、输出格式: 支持黑白图像输出；</w:t>
            </w:r>
          </w:p>
          <w:p w14:paraId="6C13A13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5、图像格式: Mono8/Mono10； </w:t>
            </w:r>
          </w:p>
          <w:p w14:paraId="5DBDD0B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6、信噪比:≥40dB；</w:t>
            </w:r>
          </w:p>
          <w:p w14:paraId="448A06B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7、数据接口: 千兆以太网接口，支持 PoE 供电</w:t>
            </w:r>
          </w:p>
          <w:p w14:paraId="14AB533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8、镜头主要技术参数： </w:t>
            </w:r>
          </w:p>
          <w:p w14:paraId="3805DE0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（1）焦距:≥12mm工业级定焦镜头；</w:t>
            </w:r>
          </w:p>
          <w:p w14:paraId="78D048C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（2）像面尺寸：≥1/1.8 英寸兼容；</w:t>
            </w:r>
          </w:p>
          <w:p w14:paraId="4062AAB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（3）工作距离：≥100mm；</w:t>
            </w:r>
          </w:p>
          <w:p w14:paraId="113C788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（4）光圈: 支持自动或手动光圈调节；</w:t>
            </w:r>
          </w:p>
          <w:p w14:paraId="40D43D7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（5）适配标准工业视觉环形光源 1 套。</w:t>
            </w:r>
          </w:p>
          <w:p w14:paraId="4AAD1D5D">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十二、分选拆解模块</w:t>
            </w:r>
          </w:p>
          <w:p w14:paraId="2191427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1、电机：步进电机不低于1台、步进控制器不低于1个</w:t>
            </w:r>
          </w:p>
          <w:p w14:paraId="2CAFE96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2、气缸：气缸不低于3个、电磁阀不低于4个、分选拆解工位不低于1个，排料工位不低于1个、机械手不低于1套、</w:t>
            </w:r>
          </w:p>
          <w:p w14:paraId="41BC0D7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3、传感器：不低于6个光电传感器、不低于4个磁性开关等配件</w:t>
            </w:r>
          </w:p>
          <w:p w14:paraId="30090D23">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十三、工业机器人</w:t>
            </w:r>
          </w:p>
          <w:p w14:paraId="0A5A9AA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由工业机器人本体、机器人底座、机器人控制柜和示教盒等组成。</w:t>
            </w:r>
          </w:p>
          <w:p w14:paraId="28604CB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1、工业机械手工作半径：≥500mm； </w:t>
            </w:r>
          </w:p>
          <w:p w14:paraId="371C162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2、负载：≥4 公斤； </w:t>
            </w:r>
          </w:p>
          <w:p w14:paraId="4AE8185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3、运动轴数：≥6； </w:t>
            </w:r>
          </w:p>
          <w:p w14:paraId="67AD227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4、重复精度±：0.01mm； </w:t>
            </w:r>
          </w:p>
          <w:p w14:paraId="0E441BA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5、集成信号和电源 ：手腕上不低于8路信号；</w:t>
            </w:r>
          </w:p>
          <w:p w14:paraId="4D67809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6、集成气源 ：手腕上不低于四路气源(最大6 Bar)1 ；</w:t>
            </w:r>
          </w:p>
          <w:p w14:paraId="67A39B3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7、集成以太网 ：1 Gbit/s 端口不低于1 ；</w:t>
            </w:r>
          </w:p>
          <w:p w14:paraId="15F25B3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8、性能(符合ISO 9283)；</w:t>
            </w:r>
          </w:p>
          <w:p w14:paraId="43C26A9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9、控制柜性能参数： </w:t>
            </w:r>
          </w:p>
          <w:p w14:paraId="0F0793F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（1）电气连接：AC220/230 V，50-60 Hz ；</w:t>
            </w:r>
          </w:p>
          <w:p w14:paraId="3920BE9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（2）防护等级：IP40；</w:t>
            </w:r>
          </w:p>
          <w:p w14:paraId="3448FAA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10、控制器：</w:t>
            </w:r>
          </w:p>
          <w:p w14:paraId="5CEEE3E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（1）采用工业机器人控制软件；</w:t>
            </w:r>
          </w:p>
          <w:p w14:paraId="21DAFB6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（2）采用高级工业机器人编程语言；</w:t>
            </w:r>
          </w:p>
          <w:p w14:paraId="07B4BC3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（3）内置不低于16路输入/ 16路输出的数字量I/O模块；</w:t>
            </w:r>
          </w:p>
          <w:p w14:paraId="2508F5E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11、示教器：</w:t>
            </w:r>
          </w:p>
          <w:p w14:paraId="3DA24F2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（1）≥8英寸图形化彩色触摸屏；</w:t>
            </w:r>
          </w:p>
          <w:p w14:paraId="27C1B2D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（2）操纵杆；</w:t>
            </w:r>
          </w:p>
          <w:p w14:paraId="26CDF89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（3）热插拔，运行时可插拔；</w:t>
            </w:r>
          </w:p>
          <w:p w14:paraId="37D0330F">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十四、智能料仓龙门机械手模块</w:t>
            </w:r>
          </w:p>
          <w:p w14:paraId="699C085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1、步进电机不低于2台、步进控制器不低于2个，</w:t>
            </w:r>
          </w:p>
          <w:p w14:paraId="5548451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2、40模组不低于1套，</w:t>
            </w:r>
          </w:p>
          <w:p w14:paraId="632FC9D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3、丝杆滑台不低于1套、</w:t>
            </w:r>
          </w:p>
          <w:p w14:paraId="063F52B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4、传感器：行程光电开关不低于6只、光纤传感器不低于1套，接近开关不低于1只，</w:t>
            </w:r>
          </w:p>
          <w:p w14:paraId="0CF06F5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5、气缸：气缸不低于2个、电磁阀不低于3个、</w:t>
            </w:r>
          </w:p>
          <w:p w14:paraId="14C27152">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十五、工业组态屏模块</w:t>
            </w:r>
          </w:p>
          <w:p w14:paraId="596FD498">
            <w:pPr>
              <w:adjustRightInd w:val="0"/>
              <w:snapToGrid w:val="0"/>
              <w:spacing w:line="360" w:lineRule="auto"/>
              <w:jc w:val="left"/>
              <w:rPr>
                <w:rFonts w:hint="eastAsia" w:ascii="宋体" w:hAnsi="宋体" w:eastAsia="宋体" w:cs="宋体"/>
                <w:color w:val="000000"/>
                <w:kern w:val="0"/>
                <w:sz w:val="24"/>
                <w:szCs w:val="24"/>
              </w:rPr>
            </w:pPr>
            <w:r>
              <w:rPr>
                <w:rFonts w:hint="eastAsia" w:ascii="宋体" w:hAnsi="宋体" w:eastAsia="宋体" w:cs="宋体"/>
                <w:sz w:val="24"/>
                <w:szCs w:val="24"/>
              </w:rPr>
              <w:t>不小于7英寸彩色触摸屏，分辨率不低于800×480像素，支持图形化操作界面，用于设备参数设置、运行状态监控、数据记录及故障诊断功能。</w:t>
            </w:r>
            <w:r>
              <w:rPr>
                <w:rFonts w:hint="eastAsia" w:ascii="宋体" w:hAnsi="宋体" w:eastAsia="宋体" w:cs="宋体"/>
                <w:color w:val="000000"/>
                <w:kern w:val="0"/>
                <w:sz w:val="24"/>
                <w:szCs w:val="24"/>
              </w:rPr>
              <w:t xml:space="preserve">   </w:t>
            </w:r>
          </w:p>
          <w:p w14:paraId="048BE30E">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十六、空气压缩机</w:t>
            </w:r>
          </w:p>
          <w:p w14:paraId="6592E77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1、尺寸：≥42*16*42cm</w:t>
            </w:r>
          </w:p>
          <w:p w14:paraId="009CA81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2、功率：≥550W</w:t>
            </w:r>
          </w:p>
          <w:p w14:paraId="14B5531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3、储气罐：≥8L</w:t>
            </w:r>
          </w:p>
          <w:p w14:paraId="0F81DE0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4、压力：≥0.7Mpa</w:t>
            </w:r>
          </w:p>
          <w:p w14:paraId="7B35155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b/>
                <w:bCs/>
                <w:sz w:val="24"/>
                <w:szCs w:val="24"/>
              </w:rPr>
              <w:t>十七、PLC控制模块</w:t>
            </w:r>
            <w:r>
              <w:rPr>
                <w:rFonts w:hint="eastAsia" w:ascii="宋体" w:hAnsi="宋体" w:eastAsia="宋体" w:cs="宋体"/>
                <w:sz w:val="24"/>
                <w:szCs w:val="24"/>
              </w:rPr>
              <w:t xml:space="preserve"> </w:t>
            </w:r>
          </w:p>
          <w:p w14:paraId="1AD7726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1、重量：≥415g</w:t>
            </w:r>
          </w:p>
          <w:p w14:paraId="353DAB3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2、供电电压：DC24V</w:t>
            </w:r>
          </w:p>
          <w:p w14:paraId="4C25094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3、数字量输入点数：≥14，输出点数:≥10</w:t>
            </w:r>
          </w:p>
          <w:p w14:paraId="2C82C24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4、模拟量输入：≥2</w:t>
            </w:r>
          </w:p>
          <w:p w14:paraId="4495D09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5、尺寸：≥110*100*75</w:t>
            </w:r>
          </w:p>
          <w:p w14:paraId="5B9ED98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6、内存：≥100KB</w:t>
            </w:r>
          </w:p>
          <w:p w14:paraId="250C0B7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7、信号模块扩展：≥8个</w:t>
            </w:r>
          </w:p>
          <w:p w14:paraId="089CCB6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8、脉冲输出：≥4路</w:t>
            </w:r>
          </w:p>
          <w:p w14:paraId="0E43715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9、支持PROFINET通信</w:t>
            </w:r>
          </w:p>
          <w:p w14:paraId="1A8083E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10、高速计数器：≥6路</w:t>
            </w:r>
          </w:p>
          <w:p w14:paraId="40A0855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11、执行速度：不低于2.3微秒/指令</w:t>
            </w:r>
          </w:p>
          <w:p w14:paraId="3AE8069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b/>
                <w:bCs/>
                <w:sz w:val="24"/>
                <w:szCs w:val="24"/>
              </w:rPr>
              <w:t>十八、AI+工业数字化实训装置</w:t>
            </w:r>
          </w:p>
          <w:p w14:paraId="5F5150C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1、总体功能</w:t>
            </w:r>
          </w:p>
          <w:p w14:paraId="15CF09C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装置为一体化的工业边缘控制与数据平台，集成软 PLC、边缘网关、关系与时序数据库及可视化与告警功能，可面向工业现场实现设备实时控制、数据采集与预处理、历史与时序数据管理、可视化监控与告警、以及与云端/数字孪生/智能体平台的双向数据交互。以3T融合综合实训箱为硬件基础，提供低成本、高集成度的现场控制与边缘计算能力，支持虚拟调试、在线优化与智能体应用的快速部署。</w:t>
            </w:r>
          </w:p>
          <w:p w14:paraId="3ABAF83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2、硬件最低配置要求</w:t>
            </w:r>
          </w:p>
          <w:p w14:paraId="5D9F2A1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2.1 计算核心：</w:t>
            </w:r>
          </w:p>
          <w:p w14:paraId="445E867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CPU：≥4核，64位处理器架构，主频≥1.8GHz；</w:t>
            </w:r>
          </w:p>
          <w:p w14:paraId="68D33E9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AI推理加速：具备独立NPU/DSP等硬件加速单元，  支持主流推理框架（如ONNX Runtime/TensorFlow Lite等），整数运算能力≥6 TOPS（INT8）或提供等效视觉/分类推理benchmark</w:t>
            </w:r>
          </w:p>
          <w:p w14:paraId="5007907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内存：≥6GB LPDDR4x或以上</w:t>
            </w:r>
          </w:p>
          <w:p w14:paraId="4F4F57E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存储：≥64GB eMMC/NVMe/SSD，支持系统运行与数据存储；  预留扩展接口（如M.2/microSD）。</w:t>
            </w:r>
          </w:p>
          <w:p w14:paraId="587395B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整机功耗：典型运行功耗≤20W（投标人提供实测说明或规格书佐证）。</w:t>
            </w:r>
          </w:p>
          <w:p w14:paraId="6E62CBB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2.2 显示与外设:</w:t>
            </w:r>
          </w:p>
          <w:p w14:paraId="1466FB4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显示输出：≥2路独立显示接口（HDMI/DP/eDP均可），支持分辨率≥1920×1080@60Hz；</w:t>
            </w:r>
          </w:p>
          <w:p w14:paraId="43B9586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USB：≥2路USB 3.0 + ≥4路USB 2.0（Type-A或适配线缆均可）。</w:t>
            </w:r>
          </w:p>
          <w:p w14:paraId="4E49D04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2.3 工业接口</w:t>
            </w:r>
          </w:p>
          <w:p w14:paraId="441B981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以太网：≥2路10/100/1000Mbps RJ45；</w:t>
            </w:r>
          </w:p>
          <w:p w14:paraId="524CCC1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串口：≥2路RS-232（DB9或接线端子形式均可），支持通过附件实现RS-485（投标人需随货提供RS-485转换器或自带隔离RS-485）；</w:t>
            </w:r>
          </w:p>
          <w:p w14:paraId="5E467EC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SIM卡槽：≥1个（支持4G/5G模块扩展）；</w:t>
            </w:r>
          </w:p>
          <w:p w14:paraId="786E4DE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音频：耳机输出+麦克风输入各≥1（3.5mm）；</w:t>
            </w:r>
          </w:p>
          <w:p w14:paraId="76CB411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看门狗/WDT：支持硬件看门狗；</w:t>
            </w:r>
          </w:p>
          <w:p w14:paraId="452DD33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电源输入：DC 12V±10%，配标配电源适配器或端子接线方式均可。</w:t>
            </w:r>
          </w:p>
          <w:p w14:paraId="76FBD4A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2.4 物理与安装</w:t>
            </w:r>
          </w:p>
          <w:p w14:paraId="4C7F045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外形：紧凑型工控盒或等效形态，适合桌面/导轨/支架安装；建议最大外形不超过约 180mm×150mm×60mm（仅供参考，不作为否决项，只要安装方式合理、散热可靠即可）。</w:t>
            </w:r>
          </w:p>
          <w:p w14:paraId="31FDD3E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外壳：金属或工程塑料，具备基本防尘防触碰保护；</w:t>
            </w:r>
          </w:p>
          <w:p w14:paraId="1E8B435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指示：至少电源+状态LED各1路。</w:t>
            </w:r>
          </w:p>
          <w:p w14:paraId="0138AD8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3、3T融合装置软件参数</w:t>
            </w:r>
          </w:p>
          <w:p w14:paraId="2E93E92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sz w:val="24"/>
                <w:szCs w:val="24"/>
              </w:rPr>
              <w:t>■</w:t>
            </w:r>
            <w:r>
              <w:rPr>
                <w:rFonts w:hint="eastAsia" w:ascii="宋体" w:hAnsi="宋体" w:eastAsia="宋体" w:cs="宋体"/>
                <w:sz w:val="24"/>
                <w:szCs w:val="24"/>
              </w:rPr>
              <w:t>3.1 支持 IEC 61131-3 标准的软 PLC 编程与控制功能</w:t>
            </w:r>
          </w:p>
          <w:p w14:paraId="5BC70DD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装置在支持 IEC 61131-3 PLC 控制标准的基础上，配备软PLC 编程能力，形成更全面的工业控制编程体系：</w:t>
            </w:r>
            <w:r>
              <w:rPr>
                <w:rFonts w:hint="eastAsia" w:ascii="宋体" w:hAnsi="宋体" w:eastAsia="宋体" w:cs="宋体"/>
                <w:b/>
                <w:bCs/>
                <w:sz w:val="24"/>
                <w:szCs w:val="24"/>
              </w:rPr>
              <w:t>（投标文件中需提供符合上述功能的演示视频，视频时长3分钟以内，中标后招标人有权进行功能检验）</w:t>
            </w:r>
          </w:p>
          <w:p w14:paraId="58B49CE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兼容 LD（梯形图）、ST（结构化文本）、CFC（连续功能图）、FBD（功能块图）、SFC（顺序功能图）、IL（指令表）、G 代码及 python 等多种编程方式，同时可通过软PLC平台开展标准化 PLC 编程实训，适配工业领域主流 PLC 开发场景；</w:t>
            </w:r>
          </w:p>
          <w:p w14:paraId="6A0480E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可外接远程 IO，实现对外部设备的灵活控制，控制范围涵盖远程开关量（如设备启停信号）、模拟量（如温度、压力等参数）及 RS485 通信相关设备，为工业自动化控制提供多技术路径支撑。</w:t>
            </w:r>
          </w:p>
          <w:p w14:paraId="4B8CED6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3.2 支持低代码图形化开发与工业数据可视化看板制作功能</w:t>
            </w:r>
          </w:p>
          <w:p w14:paraId="090030D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eastAsia="宋体" w:cs="宋体"/>
                <w:sz w:val="24"/>
                <w:szCs w:val="24"/>
              </w:rPr>
              <w:t>装置聚焦低代码开发效率提升，配备低代码编程开发与低代码图形化开发专项功能。通过低代码编程开发，学习者无需复杂代码编写，即可通过拖拽组件、配置参数的方式，快速搭建 IoT 数据采集、设备控制逻辑、数据转发等工业应用流程，降低工业开发技术门槛；基于低代码看板开发，可直观设计工业场景数据展示界面，实时呈现设备运行状态、关键参数（如温度、转速）、报警信息等内容，支持看板界面自定义布局，满足不同实训场景下的数据可视化需求。</w:t>
            </w:r>
            <w:r>
              <w:rPr>
                <w:rFonts w:hint="eastAsia" w:ascii="宋体" w:hAnsi="宋体" w:eastAsia="宋体" w:cs="宋体"/>
                <w:b/>
                <w:bCs/>
                <w:sz w:val="24"/>
                <w:szCs w:val="24"/>
              </w:rPr>
              <w:t>（投标文件中需提供符合上述功能的演示视频，视频时长3分钟以内，中标后招标人有权进行功能检验）</w:t>
            </w:r>
          </w:p>
          <w:p w14:paraId="15EB72D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（2）装置以低代码开发环境为核心，配备MQTT 信号创建能力，强化 IoT 数据采集与传输能力：支持 S7、ModbusRTU、ModbusTCP、TCP、UDP、关系型数据库、时序数据库的数据存储、WebSocket、Lora、OPC UA、MQTT 等多种主流通信协议，可通快速创建 MQTT 信号，实现工业设备与云端的高效数据交互，适配远程监控、云端数据存储等场景；装置 USB 口支持 usb/485 转换，可实现各类 485 通信设备的信号采集，同时结合低代码开发，完成数据采集流程搭建，为工业多源数据实时获取提供保障。</w:t>
            </w:r>
          </w:p>
          <w:p w14:paraId="6B8D54D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sz w:val="24"/>
                <w:szCs w:val="24"/>
              </w:rPr>
              <w:t>■</w:t>
            </w:r>
            <w:r>
              <w:rPr>
                <w:rFonts w:hint="eastAsia" w:ascii="宋体" w:hAnsi="宋体" w:eastAsia="宋体" w:cs="宋体"/>
                <w:sz w:val="24"/>
                <w:szCs w:val="24"/>
              </w:rPr>
              <w:t>3.3数字孪生体虚拟调试功能：装置支持数字孪生体开发能力，形成 “开发-交互-仿真” 全流程支撑：兼容 OPC UA、PLCSim Advanced等协议，可实现数字孪生模型与物理设备的双向数据传输；支持通过平台开展数字孪生体开发实训，涵盖工业设备三维建模、运动逻辑配置、虚拟场景搭建、虚实联动调试等环节，能模拟生产线运行、设备故障排查等工业场景，为数字孪生技术教学提供实操载体。</w:t>
            </w:r>
            <w:r>
              <w:rPr>
                <w:rFonts w:hint="eastAsia" w:ascii="宋体" w:hAnsi="宋体" w:eastAsia="宋体" w:cs="宋体"/>
                <w:b/>
                <w:bCs/>
                <w:sz w:val="24"/>
                <w:szCs w:val="24"/>
              </w:rPr>
              <w:t>（投标文件中需提供符合上述功能的演示视频，视频时长3分钟以内，中标后招标人有权进行功能检验）</w:t>
            </w:r>
          </w:p>
          <w:p w14:paraId="24E7FD0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3.4 关系型数据库、时序数据库的数据存储与管理功能</w:t>
            </w:r>
          </w:p>
          <w:p w14:paraId="3DECA9C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装置兼容两种核心数据库类型，满足工业数据差异化存储需求：</w:t>
            </w:r>
          </w:p>
          <w:p w14:paraId="72B462A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sz w:val="24"/>
                <w:szCs w:val="24"/>
              </w:rPr>
              <w:t>■</w:t>
            </w:r>
            <w:r>
              <w:rPr>
                <w:rFonts w:hint="eastAsia" w:ascii="宋体" w:hAnsi="宋体" w:eastAsia="宋体" w:cs="宋体"/>
                <w:sz w:val="24"/>
                <w:szCs w:val="24"/>
              </w:rPr>
              <w:t>（1）支持关系数据库，采用 RDBMS（关系型数据库管理系统）存储模式，可通过结构化查询语言（SQL）完成工业数据的定义、查询、新增、修改与删除等管理操作，适用于存储设备台账、生产计划等结构化数据；</w:t>
            </w:r>
            <w:r>
              <w:rPr>
                <w:rFonts w:hint="eastAsia" w:ascii="宋体" w:hAnsi="宋体" w:eastAsia="宋体" w:cs="宋体"/>
                <w:b/>
                <w:bCs/>
                <w:sz w:val="24"/>
                <w:szCs w:val="24"/>
              </w:rPr>
              <w:t>（投标文件中需提供符合上述功能的演示视频，视频时长3分钟以内，中标后招标人有权进行功能检验）</w:t>
            </w:r>
          </w:p>
          <w:p w14:paraId="0D1371B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（2）支持时序数据库，采用 TSDB（时序数据库）存储模式，具备数据高速率写入、时间序列数据高效存储、快速查询与聚合分析能力，同时可基于数据运算实现预警功能，适配设备实时运行参数（如电流、转速）等时序数据的存储与分析场景。</w:t>
            </w:r>
          </w:p>
          <w:p w14:paraId="08ABEE7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sz w:val="24"/>
                <w:szCs w:val="24"/>
              </w:rPr>
              <w:t>■</w:t>
            </w:r>
            <w:r>
              <w:rPr>
                <w:rFonts w:hint="eastAsia" w:ascii="宋体" w:hAnsi="宋体" w:eastAsia="宋体" w:cs="宋体"/>
                <w:sz w:val="24"/>
                <w:szCs w:val="24"/>
              </w:rPr>
              <w:t>3.5 工业数据可视化监控功能：支持多数据源聚合、实时监控、历史分析、告警联动与报表导出，支持将多个数据源（如时序数据库、关系型数据库、MQTT 经由中间件等）聚合到统一仪表盘，用于实时监控、历史分析、报警联动与报表导出，满足教学、运维与性能分析需求。</w:t>
            </w:r>
            <w:r>
              <w:rPr>
                <w:rFonts w:hint="eastAsia" w:ascii="宋体" w:hAnsi="宋体" w:eastAsia="宋体" w:cs="宋体"/>
                <w:b/>
                <w:bCs/>
                <w:sz w:val="24"/>
                <w:szCs w:val="24"/>
              </w:rPr>
              <w:t>（投标文件中需提供符合上述功能的演示视频，视频时长3分钟以内，中标后招标人有权进行功能检验）</w:t>
            </w:r>
          </w:p>
          <w:p w14:paraId="5FD0DA0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sz w:val="24"/>
                <w:szCs w:val="24"/>
              </w:rPr>
              <w:t>■</w:t>
            </w:r>
            <w:r>
              <w:rPr>
                <w:rFonts w:hint="eastAsia" w:ascii="宋体" w:hAnsi="宋体" w:eastAsia="宋体" w:cs="宋体"/>
                <w:sz w:val="24"/>
                <w:szCs w:val="24"/>
              </w:rPr>
              <w:t>3.6 支持跨网络安全远程访问与远程调试管理功能</w:t>
            </w:r>
            <w:r>
              <w:rPr>
                <w:rFonts w:hint="eastAsia" w:ascii="宋体" w:hAnsi="宋体" w:eastAsia="宋体" w:cs="宋体"/>
                <w:spacing w:val="-2"/>
                <w:sz w:val="24"/>
                <w:szCs w:val="24"/>
              </w:rPr>
              <w:t>：</w:t>
            </w:r>
            <w:r>
              <w:rPr>
                <w:rFonts w:hint="eastAsia" w:ascii="宋体" w:hAnsi="宋体" w:eastAsia="宋体" w:cs="宋体"/>
                <w:sz w:val="24"/>
                <w:szCs w:val="24"/>
              </w:rPr>
              <w:t>装置搭载内网穿透功能，构建工业场景下跨网络的设备互联互通体系，打破局域网访问限制，实现对工业设备、部署系统及各类实训终端的远程访问与远程控制。该功能可适配工业现场多网络环境部署需求，无需复杂的公网 IP 配置，即可完成远端设备的程序调试、数据查看、操作控制等操作，同时保障跨网络数据传输的稳定性与安全性，既适配工业运维中异地设备的管理需求，也为工业编程、设备调试等实训场景提供远程操作的技术支撑，实现本地与远端的实训操作、设备管控无缝衔接。</w:t>
            </w:r>
            <w:r>
              <w:rPr>
                <w:rFonts w:hint="eastAsia" w:ascii="宋体" w:hAnsi="宋体" w:eastAsia="宋体" w:cs="宋体"/>
                <w:b/>
                <w:bCs/>
                <w:sz w:val="24"/>
                <w:szCs w:val="24"/>
              </w:rPr>
              <w:t>（投标文件中需提供符合上述功能的演示视频，视频时长3分钟以内，中标后招标人有权进行功能检验）</w:t>
            </w:r>
          </w:p>
          <w:p w14:paraId="63DB60D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sz w:val="24"/>
                <w:szCs w:val="24"/>
              </w:rPr>
              <w:t>■</w:t>
            </w:r>
            <w:r>
              <w:rPr>
                <w:rFonts w:hint="eastAsia" w:ascii="宋体" w:hAnsi="宋体" w:eastAsia="宋体" w:cs="宋体"/>
                <w:sz w:val="24"/>
                <w:szCs w:val="24"/>
              </w:rPr>
              <w:t>3.7 支持物联网高并发消息服务器部署与设备接入管理功能：装置集成物联网消息服务器，打造高可靠、高并发的工业物联网消息传输体系，专为工业场景下海量设备的消息互通与数据流转设计。该服务器基于 MQTT 协议（同时兼容 CoAP、LwM2M 等主流物联网协议），具备百万级设备并发连接、毫秒级消息传输的能力，可实现工业设备间、设备与云端、设备与本地系统的双向消息通信与实时数据交互，支持消息持久化、断线重连、负载均衡等工业级特性，保障工业数据传输的稳定性与可靠性。适配工业物联网实训中消息服务器的部署、配置、设备接入等实操需求，同时为工业现场多设备组网的消息传输提供核心支撑，助力工业物联网系统的搭建与运行。</w:t>
            </w:r>
            <w:r>
              <w:rPr>
                <w:rFonts w:hint="eastAsia" w:ascii="宋体" w:hAnsi="宋体" w:eastAsia="宋体" w:cs="宋体"/>
                <w:b/>
                <w:bCs/>
                <w:sz w:val="24"/>
                <w:szCs w:val="24"/>
              </w:rPr>
              <w:t>（投标文件中需提供符合上述功能的演示视频，视频时长3分钟以内，中标后招标人有权进行功能检验）</w:t>
            </w:r>
          </w:p>
          <w:p w14:paraId="037260A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sz w:val="24"/>
                <w:szCs w:val="24"/>
              </w:rPr>
              <w:t>■</w:t>
            </w:r>
            <w:r>
              <w:rPr>
                <w:rFonts w:hint="eastAsia" w:ascii="宋体" w:hAnsi="宋体" w:eastAsia="宋体" w:cs="宋体"/>
                <w:sz w:val="24"/>
                <w:szCs w:val="24"/>
              </w:rPr>
              <w:t>3.8 支持数据库 Web 可视化管理、运维与权限配置功能：装置适配数据库管理工具，为数据库打造可视化的 Web 端管理体系，简化工业场景下关系型数据库的运维与操作流程。无需通过命令行操作，即可通过浏览器访问的可视化界面，完成数据库的创建、删除、修改，数据表的设计、数据的增删改查、SQL 语句的可视化编辑与执行等核心操作，同时支持数据库的备份与恢复、用户权限的精细化配置、数据导入与导出、数据库性能监控等运维功能。</w:t>
            </w:r>
            <w:r>
              <w:rPr>
                <w:rFonts w:hint="eastAsia" w:ascii="宋体" w:hAnsi="宋体" w:eastAsia="宋体" w:cs="宋体"/>
                <w:b/>
                <w:bCs/>
                <w:sz w:val="24"/>
                <w:szCs w:val="24"/>
              </w:rPr>
              <w:t>（投标文件中需提供符合上述功能的演示视频，视频时长3分钟以内，中标后招标人有权进行功能检验）</w:t>
            </w:r>
          </w:p>
          <w:p w14:paraId="2940AE7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4、实训项目</w:t>
            </w:r>
          </w:p>
          <w:p w14:paraId="2AF3B40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4.1软PLC工业控制与编程功能</w:t>
            </w:r>
          </w:p>
          <w:p w14:paraId="464180E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 启保停编程案例实训</w:t>
            </w:r>
          </w:p>
          <w:p w14:paraId="2A3B50B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 变量定义实训</w:t>
            </w:r>
          </w:p>
          <w:p w14:paraId="1E52557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 编程基本指令应用实训</w:t>
            </w:r>
          </w:p>
          <w:p w14:paraId="4FEA7B3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 编程功能指令应用实训</w:t>
            </w:r>
          </w:p>
          <w:p w14:paraId="26BCA9C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 可视化视图应用实例实训</w:t>
            </w:r>
          </w:p>
          <w:p w14:paraId="235E0C2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 PLCopen运动控制实训</w:t>
            </w:r>
          </w:p>
          <w:p w14:paraId="25F329D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 单轴的运动控制实训</w:t>
            </w:r>
          </w:p>
          <w:p w14:paraId="1392116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 单轴的回零控制实训</w:t>
            </w:r>
          </w:p>
          <w:p w14:paraId="2BBD8A1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 双轴主从运动的控制实训</w:t>
            </w:r>
          </w:p>
          <w:p w14:paraId="1DA123C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（10）双轴的凸轮运动控制实训</w:t>
            </w:r>
          </w:p>
          <w:p w14:paraId="348EE21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（11）轴组插补运动的控制实训</w:t>
            </w:r>
          </w:p>
          <w:p w14:paraId="4A1832B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（12）0PC UA通信实训</w:t>
            </w:r>
          </w:p>
          <w:p w14:paraId="21CF433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（13）Modbus TCP通信实训</w:t>
            </w:r>
          </w:p>
          <w:p w14:paraId="4EA5620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（14）TCP/UDP通信实训</w:t>
            </w:r>
          </w:p>
          <w:p w14:paraId="1CDEFD4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（15）NVL通信实训</w:t>
            </w:r>
          </w:p>
          <w:p w14:paraId="1A7B21E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4.2低代码开发与看板制作功能</w:t>
            </w:r>
          </w:p>
          <w:p w14:paraId="25219FE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（1）平台认知实训</w:t>
            </w:r>
          </w:p>
          <w:p w14:paraId="4B01A7C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（2）平台节点操作实训</w:t>
            </w:r>
          </w:p>
          <w:p w14:paraId="0D54776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（3）平台Dashboard看板设计实训</w:t>
            </w:r>
          </w:p>
          <w:p w14:paraId="721397A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（4）平台与PLC的S7通信</w:t>
            </w:r>
          </w:p>
          <w:p w14:paraId="6FF2D42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（5）平台与PLC的OPC UA通信</w:t>
            </w:r>
          </w:p>
          <w:p w14:paraId="136BFE4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（6）平台与传感器的Mobus通信</w:t>
            </w:r>
          </w:p>
          <w:p w14:paraId="7B20128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（7）平台与公有云平台的MQTT通信</w:t>
            </w:r>
          </w:p>
          <w:p w14:paraId="78E3736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（8）平台与PLC的TCP及UDP通信</w:t>
            </w:r>
          </w:p>
          <w:p w14:paraId="78AC893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（9）平台与网站API接口调取实时数据的通信</w:t>
            </w:r>
          </w:p>
          <w:p w14:paraId="6DC91F3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（10）平台与MY SQL关系数据库的通信</w:t>
            </w:r>
          </w:p>
          <w:p w14:paraId="41FF8E1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（11）平台进行文本数据的双向存取</w:t>
            </w:r>
          </w:p>
          <w:p w14:paraId="4C55191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（12）平台进行CSV表格数据的双向存取</w:t>
            </w:r>
          </w:p>
          <w:p w14:paraId="7A1C625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（13）平台视觉摄像头的网络和串口调用和拍照</w:t>
            </w:r>
          </w:p>
          <w:p w14:paraId="0B8B7B6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4.3数字孪生体虚拟调试功能</w:t>
            </w:r>
          </w:p>
          <w:p w14:paraId="7E9989A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（1）软件认知与操作实训</w:t>
            </w:r>
          </w:p>
          <w:p w14:paraId="6AFA49A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（2）基本机电对象应用实训</w:t>
            </w:r>
          </w:p>
          <w:p w14:paraId="1E59533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（3）运动副和约束应用实训</w:t>
            </w:r>
          </w:p>
          <w:p w14:paraId="4233A39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（4）耦合副应用实训</w:t>
            </w:r>
          </w:p>
          <w:p w14:paraId="1B020E6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（5）传感器和执行器应用实训</w:t>
            </w:r>
          </w:p>
          <w:p w14:paraId="14820FF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（6）运行时行为应用实训</w:t>
            </w:r>
          </w:p>
          <w:p w14:paraId="6D7CA42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（7）仿真过程控制实训</w:t>
            </w:r>
          </w:p>
          <w:p w14:paraId="094759A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（8）虚拟调试协同连接实训</w:t>
            </w:r>
          </w:p>
          <w:p w14:paraId="0A60B64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（9）控制面板单元仿真与调试实训</w:t>
            </w:r>
          </w:p>
          <w:p w14:paraId="7A1CDB9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（10）出料与传送单元仿真与调试实训</w:t>
            </w:r>
          </w:p>
          <w:p w14:paraId="7E0AC60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（11）装配和仓储单元仿真与调试实训</w:t>
            </w:r>
          </w:p>
          <w:p w14:paraId="607D1F7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（12）数字孪生体虚拟调试实训</w:t>
            </w:r>
          </w:p>
          <w:p w14:paraId="6783B39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4.4 关系型数据库、时序数据库存储与管理功能</w:t>
            </w:r>
          </w:p>
          <w:p w14:paraId="4DA0ADD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（1）关系型数据库安装与连接配置</w:t>
            </w:r>
          </w:p>
          <w:p w14:paraId="774757B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（2）创建数据库与设备信息表</w:t>
            </w:r>
          </w:p>
          <w:p w14:paraId="140B505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（3）基本增删改查（CRUD）操作练习</w:t>
            </w:r>
          </w:p>
          <w:p w14:paraId="5CF6AD8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（4）多表关联查询（设备、订单与库存）</w:t>
            </w:r>
          </w:p>
          <w:p w14:paraId="6107028B">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（5）聚合统计与分组查询</w:t>
            </w:r>
          </w:p>
          <w:p w14:paraId="2D0CCDE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（6）索引基础与 EXPLAIN 简单分析</w:t>
            </w:r>
          </w:p>
          <w:p w14:paraId="25D25C8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（7）事务管理与回滚演示</w:t>
            </w:r>
          </w:p>
          <w:p w14:paraId="57F7548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（8）时序数据库：写入与查询时序数据</w:t>
            </w:r>
          </w:p>
          <w:p w14:paraId="56060B9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（9）时序数据库：Flux/InfluxQL 基本查询与时间范围过滤</w:t>
            </w:r>
          </w:p>
          <w:p w14:paraId="5F83A00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（10）时序数据库：数据下采样与连续查询（CQ）实操</w:t>
            </w:r>
          </w:p>
          <w:p w14:paraId="665ED06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（11）时序数据库：使用标签与字段设计高效数据模型</w:t>
            </w:r>
          </w:p>
          <w:p w14:paraId="50D6D87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（12）时序数据库：时序数据可视化准备（与工业数据可视化监控对接基础）</w:t>
            </w:r>
          </w:p>
          <w:p w14:paraId="31ECC50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（13）时序数据库：数据保留策略（RPO/Retention Policy）与数据清理</w:t>
            </w:r>
          </w:p>
          <w:p w14:paraId="0A427C7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（14）综合实训：低代码图形化开发平台与关系型数据库、时序数据库联动</w:t>
            </w:r>
          </w:p>
          <w:p w14:paraId="5E8BC68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4.5 支持工业数据多源聚合、可视化监控看板设计与告警功能</w:t>
            </w:r>
          </w:p>
          <w:p w14:paraId="3722D84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（1）安装与基础配置</w:t>
            </w:r>
          </w:p>
          <w:p w14:paraId="179A84A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（2）数据源管理（关系型数据库、时序数据库）</w:t>
            </w:r>
          </w:p>
          <w:p w14:paraId="546900B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（3）基础看板制作</w:t>
            </w:r>
          </w:p>
          <w:p w14:paraId="0FE57F7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（4）单值与统计面板</w:t>
            </w:r>
          </w:p>
          <w:p w14:paraId="5E36545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（5）变量与模板化看板</w:t>
            </w:r>
          </w:p>
          <w:p w14:paraId="5730B79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（6）多数据源面板混合展示</w:t>
            </w:r>
          </w:p>
          <w:p w14:paraId="1F6857D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（7）多告警规则配置与通知</w:t>
            </w:r>
          </w:p>
          <w:p w14:paraId="775D3EE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（8）多面板交互与跳转</w:t>
            </w:r>
          </w:p>
          <w:p w14:paraId="6AB9950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（9）多报表导出与定时快照</w:t>
            </w:r>
          </w:p>
          <w:p w14:paraId="6AA5A56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（10）性能优化与 EXPLAIN </w:t>
            </w:r>
          </w:p>
          <w:p w14:paraId="1DB380A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（11）数据下采样与长期趋势</w:t>
            </w:r>
          </w:p>
          <w:p w14:paraId="2DA1C1C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（12）构建完整监控看板含实时曲线、历史统计、告警与详情链路</w:t>
            </w:r>
          </w:p>
          <w:p w14:paraId="326224FD">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4.6 多模态工业智能体开发功能</w:t>
            </w:r>
          </w:p>
          <w:p w14:paraId="2437074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（1）多模态智能体创建实训</w:t>
            </w:r>
          </w:p>
          <w:p w14:paraId="0B4A631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（2）多模态智能体插件应用实训</w:t>
            </w:r>
          </w:p>
          <w:p w14:paraId="0DBD3A0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（3）多模态智能体工作流应用实训</w:t>
            </w:r>
          </w:p>
          <w:p w14:paraId="266C10E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（4）多模态智能体触发器应用实训</w:t>
            </w:r>
          </w:p>
          <w:p w14:paraId="10D2E19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（5）多模态智能体文本功能应用实训</w:t>
            </w:r>
          </w:p>
          <w:p w14:paraId="7EFB882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（6）多模态智能体表格功能应用实训</w:t>
            </w:r>
          </w:p>
          <w:p w14:paraId="69E0924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（7）多模态智能体照片功能应用实训</w:t>
            </w:r>
          </w:p>
          <w:p w14:paraId="3A70FD0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（8）多模态智能体变量功能应用实训</w:t>
            </w:r>
          </w:p>
          <w:p w14:paraId="0C3BD14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（9）多模态智能体数据库功能应用实训</w:t>
            </w:r>
          </w:p>
          <w:p w14:paraId="1B90AC4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（10）多模态智能体长期记忆功能应用实训</w:t>
            </w:r>
          </w:p>
          <w:p w14:paraId="0190027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（11）多模态智能体文件盒子功能应用实训</w:t>
            </w:r>
          </w:p>
          <w:p w14:paraId="6A1C85F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（12）多模态智能体人设和回复逻辑实训</w:t>
            </w:r>
          </w:p>
          <w:p w14:paraId="2026E127">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（13）多模态智能体与公有云通信实训</w:t>
            </w:r>
          </w:p>
          <w:p w14:paraId="3CB1BE7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（14）多模态智能体AI智能训练实训</w:t>
            </w:r>
          </w:p>
          <w:p w14:paraId="436E44C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（15）多模态智能体工业设备数据查询控制实训</w:t>
            </w:r>
          </w:p>
          <w:p w14:paraId="75F2B34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（16）多模态智能体工业设备操作控制实训</w:t>
            </w:r>
          </w:p>
          <w:p w14:paraId="4D1B0CC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（17）多模态智能体智能体发布实训</w:t>
            </w:r>
          </w:p>
          <w:p w14:paraId="7EE7C263">
            <w:pPr>
              <w:adjustRightInd w:val="0"/>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十九、工业数字孪生场景</w:t>
            </w:r>
          </w:p>
          <w:p w14:paraId="130BD2D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1、虚拟场景模型参照实物设备定制开发；</w:t>
            </w:r>
          </w:p>
          <w:p w14:paraId="5DEBAA1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2、虚拟场景的运行原理与实物设备的运行原理一致；</w:t>
            </w:r>
          </w:p>
          <w:p w14:paraId="3517207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3、支持多视角宏观角度观察场景；</w:t>
            </w:r>
          </w:p>
          <w:p w14:paraId="66F4496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4、支持放大、缩小、任意旋转视角观察场景等操作；</w:t>
            </w:r>
          </w:p>
          <w:p w14:paraId="6B3AB27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5、场景定义的IO信号有对应的可用万用表测量的IO点，可与外部设备进行交互。</w:t>
            </w:r>
          </w:p>
          <w:p w14:paraId="4330BCD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6、虚拟场景系统调试应用包含：丝杆滑台，皮带模组；步进电机，步进控制器，光电开关，光纤传感器，接近开关、气缸，电磁阀，工件、真空吸料机构等。</w:t>
            </w:r>
          </w:p>
          <w:p w14:paraId="7E76B81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7、可以采用远程发指令到PLC控制电机的启停指令开关，从而实现控制智能料仓工作单元系统启停运行。</w:t>
            </w:r>
          </w:p>
          <w:p w14:paraId="03C16E47">
            <w:pPr>
              <w:snapToGrid w:val="0"/>
              <w:spacing w:line="360" w:lineRule="auto"/>
              <w:jc w:val="left"/>
              <w:rPr>
                <w:rFonts w:hint="eastAsia" w:ascii="宋体" w:hAnsi="宋体" w:eastAsia="宋体" w:cs="宋体"/>
                <w:sz w:val="24"/>
                <w:szCs w:val="24"/>
              </w:rPr>
            </w:pPr>
            <w:r>
              <w:rPr>
                <w:rFonts w:hint="eastAsia" w:ascii="宋体" w:hAnsi="宋体" w:eastAsia="宋体" w:cs="宋体"/>
                <w:b/>
                <w:bCs/>
                <w:sz w:val="24"/>
                <w:szCs w:val="24"/>
              </w:rPr>
              <w:t>二十、AI工业智能体</w:t>
            </w:r>
          </w:p>
          <w:p w14:paraId="55FCFA5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1、智能体模块</w:t>
            </w:r>
          </w:p>
          <w:p w14:paraId="356A55A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 应用场景与核心功能</w:t>
            </w:r>
          </w:p>
          <w:p w14:paraId="4E4E039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（1）适配工业数字化设备全生命周期管理场景，涵盖生产设备、检测设备、辅助设备等工业级设备，用于工业设备集约化管理。</w:t>
            </w:r>
          </w:p>
          <w:p w14:paraId="062A885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（2）支持设备参数自动查询、参数合规性校验、参数远程修改。</w:t>
            </w:r>
          </w:p>
          <w:p w14:paraId="5BE22AC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（3）支持设备运行状态实时监控、精准自动控制，适配设备启停、参数调节、故障报警联动控制等常见工业控制场景。</w:t>
            </w:r>
          </w:p>
          <w:p w14:paraId="7A74DE57">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 源语料与功能支持</w:t>
            </w:r>
          </w:p>
          <w:p w14:paraId="154C108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（1）提供工业场景专属智能体源语料，覆盖工业设备术语、参数查询话术、控制指令话术、故障咨询话术等。</w:t>
            </w:r>
          </w:p>
          <w:p w14:paraId="779EADC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（2）支持智能控制（设备启停、参数调节等指令下发）、智能查询（设备运行参数、历史数据、故障记录等）、异常报警推送等核心功能。</w:t>
            </w:r>
          </w:p>
          <w:p w14:paraId="7DDD980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（3）语料可根据工业场景需求进行定向优化更新。</w:t>
            </w:r>
          </w:p>
          <w:p w14:paraId="641B471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1.3 长期记忆功能</w:t>
            </w:r>
          </w:p>
          <w:p w14:paraId="3E82FDD0">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（1）具备长期记忆功能，记忆库可存储用户操作习惯、设备参数历史记录、常用控制指令、自定义规则等信息。</w:t>
            </w:r>
          </w:p>
          <w:p w14:paraId="2241DBD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（2）支持用户自行训练并扩充记忆库。</w:t>
            </w:r>
          </w:p>
          <w:p w14:paraId="152673F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1.4 多渠道发布适配</w:t>
            </w:r>
          </w:p>
          <w:p w14:paraId="7EEBC0F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支持多渠道部署发布，可直接部署至多模态智能体平台，并兼容该平台可发布的各类载体。</w:t>
            </w:r>
          </w:p>
          <w:p w14:paraId="62C44B1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1.5 通信能力</w:t>
            </w:r>
          </w:p>
          <w:p w14:paraId="208AEB1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（1）支持与工业云平台进行双向通信，兼容MQTT协议、TCP/IP协议。</w:t>
            </w:r>
          </w:p>
          <w:p w14:paraId="55FC640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（2）支持长期连续运行不断连，断连后自动重连时间≤20s，满足工业级通信稳定性要求。</w:t>
            </w:r>
          </w:p>
          <w:p w14:paraId="4355C9A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（3）可实现智能体对数字孪生体、实际工业设备的实时数据查询（参数、运行状态、故障信息等）和精准控制指令下发。</w:t>
            </w:r>
          </w:p>
          <w:p w14:paraId="1285740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2、智能体通信插件：</w:t>
            </w:r>
          </w:p>
          <w:p w14:paraId="2365C9C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2.1 应用场景</w:t>
            </w:r>
          </w:p>
          <w:p w14:paraId="6B79CEE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专为工业数字化设备管理场景设计，作为工业数字化智能体与云平台、工业设备（实体设备/数字孪生体）之间的通信桥梁，解决双向数据交互问题，适配各类工业生产、设备管控场景。</w:t>
            </w:r>
          </w:p>
          <w:p w14:paraId="101C632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2.2 通信协议支持</w:t>
            </w:r>
          </w:p>
          <w:p w14:paraId="3E774D2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原生支持MQTT协议、TCP/IP协议（IPv4/IPv6），支持协议自动适配，可根据云平台、设备的通信协议类型自动切换通信模式，无需手动配置协议参数。</w:t>
            </w:r>
          </w:p>
          <w:p w14:paraId="7133C950">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2.3 核心功能实现智能体与工业云平台的双向通信，支持智能体向云平台/设备下发查询指令、控制指令，接收云平台/设备反馈的设备运行参数、状态信息、故障告警等数据。</w:t>
            </w:r>
          </w:p>
          <w:p w14:paraId="5E1D58D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2.4 技术参数</w:t>
            </w:r>
          </w:p>
          <w:p w14:paraId="1FE487F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通信延迟：≤3000ms。</w:t>
            </w:r>
          </w:p>
          <w:p w14:paraId="117ED35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通信稳定性：支持连续运行无断连，自动重连。</w:t>
            </w:r>
          </w:p>
          <w:p w14:paraId="5BA6873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3、实训课程要求</w:t>
            </w:r>
          </w:p>
          <w:p w14:paraId="6B2AF4E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人须提供基于多模态智能体平台的实训课程服务，课程贴合工业数字化智能体实用场景，注重实操性与实用性，难度由基础到进阶，适配不同学习层次；可根据采购方教学需求微调单课程课时，具体课程及要求如下：</w:t>
            </w:r>
          </w:p>
          <w:p w14:paraId="0268AAB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第1章 AI通识</w:t>
            </w:r>
          </w:p>
          <w:p w14:paraId="1F584C4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  AI的概念</w:t>
            </w:r>
            <w:r>
              <w:rPr>
                <w:rFonts w:hint="eastAsia" w:ascii="宋体" w:hAnsi="宋体" w:eastAsia="宋体" w:cs="宋体"/>
                <w:sz w:val="24"/>
                <w:szCs w:val="24"/>
              </w:rPr>
              <w:tab/>
            </w:r>
          </w:p>
          <w:p w14:paraId="4B12CF2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  AI的发展历史</w:t>
            </w:r>
          </w:p>
          <w:p w14:paraId="467B6E22">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1.3  大语言模型和智能体</w:t>
            </w:r>
          </w:p>
          <w:p w14:paraId="51ADE65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第2章 多模态智能体平台介绍</w:t>
            </w:r>
            <w:r>
              <w:rPr>
                <w:rFonts w:hint="eastAsia" w:ascii="宋体" w:hAnsi="宋体" w:eastAsia="宋体" w:cs="宋体"/>
                <w:sz w:val="24"/>
                <w:szCs w:val="24"/>
              </w:rPr>
              <w:tab/>
            </w:r>
          </w:p>
          <w:p w14:paraId="31CA94A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2.1  多模态智能体平台介绍</w:t>
            </w:r>
            <w:r>
              <w:rPr>
                <w:rFonts w:hint="eastAsia" w:ascii="宋体" w:hAnsi="宋体" w:eastAsia="宋体" w:cs="宋体"/>
                <w:sz w:val="24"/>
                <w:szCs w:val="24"/>
              </w:rPr>
              <w:tab/>
            </w:r>
          </w:p>
          <w:p w14:paraId="299A3E7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2.2  多模态智能体界面介绍</w:t>
            </w:r>
            <w:r>
              <w:rPr>
                <w:rFonts w:hint="eastAsia" w:ascii="宋体" w:hAnsi="宋体" w:eastAsia="宋体" w:cs="宋体"/>
                <w:sz w:val="24"/>
                <w:szCs w:val="24"/>
              </w:rPr>
              <w:tab/>
            </w:r>
          </w:p>
          <w:p w14:paraId="6D1DF05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2.3  创建一个智能体</w:t>
            </w:r>
            <w:r>
              <w:rPr>
                <w:rFonts w:hint="eastAsia" w:ascii="宋体" w:hAnsi="宋体" w:eastAsia="宋体" w:cs="宋体"/>
                <w:sz w:val="24"/>
                <w:szCs w:val="24"/>
              </w:rPr>
              <w:tab/>
            </w:r>
          </w:p>
          <w:p w14:paraId="4D834CC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2.3.1  创建智能体</w:t>
            </w:r>
            <w:r>
              <w:rPr>
                <w:rFonts w:hint="eastAsia" w:ascii="宋体" w:hAnsi="宋体" w:eastAsia="宋体" w:cs="宋体"/>
                <w:sz w:val="24"/>
                <w:szCs w:val="24"/>
              </w:rPr>
              <w:tab/>
            </w:r>
          </w:p>
          <w:p w14:paraId="4FAB9E4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2.3.2  智能体人设和回复逻辑</w:t>
            </w:r>
            <w:r>
              <w:rPr>
                <w:rFonts w:hint="eastAsia" w:ascii="宋体" w:hAnsi="宋体" w:eastAsia="宋体" w:cs="宋体"/>
                <w:sz w:val="24"/>
                <w:szCs w:val="24"/>
              </w:rPr>
              <w:tab/>
            </w:r>
          </w:p>
          <w:p w14:paraId="6FAFA59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2.3.3  智能体的发布</w:t>
            </w:r>
            <w:r>
              <w:rPr>
                <w:rFonts w:hint="eastAsia" w:ascii="宋体" w:hAnsi="宋体" w:eastAsia="宋体" w:cs="宋体"/>
                <w:sz w:val="24"/>
                <w:szCs w:val="24"/>
              </w:rPr>
              <w:tab/>
            </w:r>
          </w:p>
          <w:p w14:paraId="78BD6D0A">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第3章  智能体对话体验功能</w:t>
            </w:r>
            <w:r>
              <w:rPr>
                <w:rFonts w:hint="eastAsia" w:ascii="宋体" w:hAnsi="宋体" w:eastAsia="宋体" w:cs="宋体"/>
                <w:sz w:val="24"/>
                <w:szCs w:val="24"/>
              </w:rPr>
              <w:tab/>
            </w:r>
          </w:p>
          <w:p w14:paraId="5355019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3.1  开场白</w:t>
            </w:r>
            <w:r>
              <w:rPr>
                <w:rFonts w:hint="eastAsia" w:ascii="宋体" w:hAnsi="宋体" w:eastAsia="宋体" w:cs="宋体"/>
                <w:sz w:val="24"/>
                <w:szCs w:val="24"/>
              </w:rPr>
              <w:tab/>
            </w:r>
          </w:p>
          <w:p w14:paraId="06735F4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3.2  用户问题建议</w:t>
            </w:r>
            <w:r>
              <w:rPr>
                <w:rFonts w:hint="eastAsia" w:ascii="宋体" w:hAnsi="宋体" w:eastAsia="宋体" w:cs="宋体"/>
                <w:sz w:val="24"/>
                <w:szCs w:val="24"/>
              </w:rPr>
              <w:tab/>
            </w:r>
          </w:p>
          <w:p w14:paraId="3D859C1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3.3  快捷指令</w:t>
            </w:r>
            <w:r>
              <w:rPr>
                <w:rFonts w:hint="eastAsia" w:ascii="宋体" w:hAnsi="宋体" w:eastAsia="宋体" w:cs="宋体"/>
                <w:sz w:val="24"/>
                <w:szCs w:val="24"/>
              </w:rPr>
              <w:tab/>
            </w:r>
          </w:p>
          <w:p w14:paraId="305168E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3.4  背景图片</w:t>
            </w:r>
          </w:p>
          <w:p w14:paraId="4B69815B">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3.5  语音</w:t>
            </w:r>
          </w:p>
          <w:p w14:paraId="41809C9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3.6  用户输入方式</w:t>
            </w:r>
            <w:r>
              <w:rPr>
                <w:rFonts w:hint="eastAsia" w:ascii="宋体" w:hAnsi="宋体" w:eastAsia="宋体" w:cs="宋体"/>
                <w:sz w:val="24"/>
                <w:szCs w:val="24"/>
              </w:rPr>
              <w:tab/>
            </w:r>
          </w:p>
          <w:p w14:paraId="234CFBA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第4章 智能体记忆功能</w:t>
            </w:r>
          </w:p>
          <w:p w14:paraId="41502ED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4.1  变量</w:t>
            </w:r>
          </w:p>
          <w:p w14:paraId="2AC2DE9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4.2  数据库</w:t>
            </w:r>
          </w:p>
          <w:p w14:paraId="6073FE47">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4.3  长期记忆</w:t>
            </w:r>
          </w:p>
          <w:p w14:paraId="100F74E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4.4  文件盒子</w:t>
            </w:r>
          </w:p>
          <w:p w14:paraId="0ACC10E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第5章 智能体知识库功能</w:t>
            </w:r>
          </w:p>
          <w:p w14:paraId="66288CE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5.1  文本</w:t>
            </w:r>
          </w:p>
          <w:p w14:paraId="067A2EC2">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5.2  表格</w:t>
            </w:r>
          </w:p>
          <w:p w14:paraId="462100C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5.3  照片</w:t>
            </w:r>
          </w:p>
          <w:p w14:paraId="06C53B1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5.4  长期记忆</w:t>
            </w:r>
          </w:p>
          <w:p w14:paraId="4BE0470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第6章 智能体技能功能</w:t>
            </w:r>
          </w:p>
          <w:p w14:paraId="1356C96B">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6.1  插件</w:t>
            </w:r>
          </w:p>
          <w:p w14:paraId="7BA647A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6.2  工作流</w:t>
            </w:r>
          </w:p>
          <w:p w14:paraId="545E564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6.3  触发器</w:t>
            </w:r>
          </w:p>
          <w:p w14:paraId="652BF56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6.4  卡片</w:t>
            </w:r>
          </w:p>
          <w:p w14:paraId="61999087">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第7章 智能体应用功能</w:t>
            </w:r>
          </w:p>
          <w:p w14:paraId="2BDCC60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7.1  智能体应用介绍</w:t>
            </w:r>
          </w:p>
          <w:p w14:paraId="39AEF7C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7.2  智能体应用界面介绍</w:t>
            </w:r>
          </w:p>
          <w:p w14:paraId="51E128E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7.3  智能体应用业务逻辑模块</w:t>
            </w:r>
          </w:p>
          <w:p w14:paraId="4D90B88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7.4  智能体应用用户界面模块</w:t>
            </w:r>
          </w:p>
          <w:p w14:paraId="43FAF2D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第8章 多模态智能体工业数字化智能体开发应用</w:t>
            </w:r>
          </w:p>
          <w:p w14:paraId="1D14120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8.1  工业数字化设备的智能体控制</w:t>
            </w:r>
          </w:p>
          <w:p w14:paraId="0342E07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8.2  工业数字化设备的智能体监视</w:t>
            </w:r>
          </w:p>
          <w:p w14:paraId="2F438B5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8.3  工业数字化设备的智能体报警</w:t>
            </w:r>
          </w:p>
          <w:p w14:paraId="4E6A84D7">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8.4  工业数字化设备的智能体用户权限</w:t>
            </w:r>
          </w:p>
          <w:p w14:paraId="5A80F66B">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8.5  工业数字化设备的智能体配方管理</w:t>
            </w:r>
          </w:p>
          <w:p w14:paraId="493F91B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8.6  工业数字化设备的智能体语言管理</w:t>
            </w:r>
          </w:p>
          <w:p w14:paraId="7D92493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8.7  工业数字化设备的智能体维护管理</w:t>
            </w:r>
          </w:p>
          <w:p w14:paraId="42B97A1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8.8  工业数字化设备的智能体对话体验提升</w:t>
            </w:r>
          </w:p>
          <w:p w14:paraId="1C51E43A">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4、其他要求</w:t>
            </w:r>
          </w:p>
          <w:p w14:paraId="741CDC1B">
            <w:pPr>
              <w:spacing w:line="360" w:lineRule="auto"/>
              <w:rPr>
                <w:rFonts w:hint="eastAsia" w:ascii="宋体" w:hAnsi="宋体" w:eastAsia="宋体" w:cs="宋体"/>
                <w:sz w:val="24"/>
                <w:szCs w:val="24"/>
              </w:rPr>
            </w:pPr>
          </w:p>
          <w:p w14:paraId="0998AB3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（1）实训课程须提供配套的实训手册、操作指南等资料，可根据采购方需求提供线下或线上实训指导服务。</w:t>
            </w:r>
          </w:p>
          <w:p w14:paraId="414BFBC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（2）投标人中标后须提供产品演示服务，演示内容包括现场演示工业数字化智能体、通信插件的核心功能，以及实训课程的实操流程，确保符合本招标参数要求。</w:t>
            </w:r>
          </w:p>
          <w:p w14:paraId="002096DE">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sz w:val="24"/>
                <w:szCs w:val="24"/>
              </w:rPr>
              <w:t>二十一、智能产线设计与虚拟调试软件</w:t>
            </w:r>
          </w:p>
          <w:p w14:paraId="1782F6FE">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1、具备快速搭建智能制造产线、智能装配产线以及物流产线的仿真模拟，进行工艺规划与工厂规划，逻辑与程序验证，实现生产流程高效、可靠。</w:t>
            </w:r>
          </w:p>
          <w:p w14:paraId="457ABFC2">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sz w:val="24"/>
                <w:szCs w:val="24"/>
              </w:rPr>
              <w:t>●</w:t>
            </w:r>
            <w:r>
              <w:rPr>
                <w:rFonts w:hint="eastAsia" w:ascii="宋体" w:hAnsi="宋体" w:eastAsia="宋体" w:cs="宋体"/>
                <w:b w:val="0"/>
                <w:bCs w:val="0"/>
                <w:sz w:val="24"/>
                <w:szCs w:val="24"/>
              </w:rPr>
              <w:t>2、支持根据生产工艺要求，结合零件点线面特征进行工作路径自动规划，并与其他自动化设备进行仿真验证，自动生成机器人程序，支持不少于5家主流工业机器人品牌的程序生成与仿真。</w:t>
            </w:r>
            <w:r>
              <w:rPr>
                <w:rFonts w:hint="eastAsia" w:ascii="宋体" w:hAnsi="宋体" w:eastAsia="宋体" w:cs="宋体"/>
                <w:sz w:val="24"/>
                <w:szCs w:val="24"/>
              </w:rPr>
              <w:t>（投标文件中需提供符合上述功能的软件截图，中标后招标人有权进行功能检验）</w:t>
            </w:r>
          </w:p>
          <w:p w14:paraId="756547D1">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sz w:val="24"/>
                <w:szCs w:val="24"/>
              </w:rPr>
              <w:t>●</w:t>
            </w:r>
            <w:r>
              <w:rPr>
                <w:rFonts w:hint="eastAsia" w:ascii="宋体" w:hAnsi="宋体" w:eastAsia="宋体" w:cs="宋体"/>
                <w:b w:val="0"/>
                <w:bCs w:val="0"/>
                <w:sz w:val="24"/>
                <w:szCs w:val="24"/>
              </w:rPr>
              <w:t>3、可基于 CAD 数据生成机器人加工轨迹，简化轨迹生成过程，提高精度，可利用实体模型、曲面或曲线直接生成机器人加工轨迹；</w:t>
            </w:r>
            <w:r>
              <w:rPr>
                <w:rFonts w:hint="eastAsia" w:ascii="宋体" w:hAnsi="宋体" w:eastAsia="宋体" w:cs="宋体"/>
                <w:sz w:val="24"/>
                <w:szCs w:val="24"/>
              </w:rPr>
              <w:t>（投标文件中需提供符合上述功能的软件截图，中标后招标人有权进行功能检验）</w:t>
            </w:r>
          </w:p>
          <w:p w14:paraId="35154ECA">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4、仿真与调试支持 VR 沉浸式体验。在 VR 环境中进行漫游，还可查看整条产线的仿真流程；</w:t>
            </w:r>
          </w:p>
          <w:p w14:paraId="0E200F2C">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5、内置不少于50种常用工业设备模型（机器人、PLC、传感器、输送设备等），支持用户自定义导入模型，支持智能产线中各种主流设备的仿真与虚拟调试，包括 PLC、机器人、传感器、变位机、导轨等，可实现规划与设计车间布局，自由调整。</w:t>
            </w:r>
          </w:p>
          <w:p w14:paraId="6A77CEC2">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6、支持智能制造数字孪生功能，利用基于事件且由信号驱动的仿真技术实现生产系统的虚拟调试，虚拟调试可用在完全虚拟环节中进行，也可是实物控制设备和虚拟工作设备互联实现半实物调试。</w:t>
            </w:r>
          </w:p>
          <w:p w14:paraId="2F05D388">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7、通过仿真机器人可执行代码，模拟机器人在软件环境中的运动状态，并支持循环指令（如 For）控制机机器人重复运动；</w:t>
            </w:r>
          </w:p>
          <w:p w14:paraId="6BADFF3C">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8、具备专业的后置代码编辑器。后置代码编辑器可以显示代码的行号，数字、注释和指令等关键字以不同颜色显示；函数在编辑过程中有参数提示；函数和注释可折叠隐藏；</w:t>
            </w:r>
          </w:p>
          <w:p w14:paraId="5AEB14F3">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9、支持定义零件生成器，通过时间和信号的控制方式模拟物料重复生成和消失的过程；</w:t>
            </w:r>
          </w:p>
          <w:p w14:paraId="40A9F6BA">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10、支持贴图功能，可通过贴图代替或简化离线编程软件虚拟场景中复杂的模型搭建，最大限度减小模型的大小；可极大加快绘图区的刷新帧速率，使绘图区操作响应更加灵敏。</w:t>
            </w:r>
          </w:p>
          <w:p w14:paraId="6C36C90B">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11、软件支持绘图区的全屏显示，在程序设计或仿真过程中，可通过按快捷键突出显示设计环境的绘图区内的模型；</w:t>
            </w:r>
          </w:p>
          <w:p w14:paraId="1337152B">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12、支持和多种品牌的 PLC 设备进行信号的联调；</w:t>
            </w:r>
          </w:p>
          <w:p w14:paraId="79F9885C">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sz w:val="24"/>
                <w:szCs w:val="24"/>
              </w:rPr>
              <w:t>●</w:t>
            </w:r>
            <w:r>
              <w:rPr>
                <w:rFonts w:hint="eastAsia" w:ascii="宋体" w:hAnsi="宋体" w:eastAsia="宋体" w:cs="宋体"/>
                <w:b w:val="0"/>
                <w:bCs w:val="0"/>
                <w:sz w:val="24"/>
                <w:szCs w:val="24"/>
              </w:rPr>
              <w:t>13、支持虚拟 PLC 的调试，用户可通过自行编写 Python 和 SCL 虚拟 PLC 程序，实现软件中的设备和虚拟 PLC 之间的信号调试；</w:t>
            </w:r>
            <w:r>
              <w:rPr>
                <w:rFonts w:hint="eastAsia" w:ascii="宋体" w:hAnsi="宋体" w:eastAsia="宋体" w:cs="宋体"/>
                <w:sz w:val="24"/>
                <w:szCs w:val="24"/>
              </w:rPr>
              <w:t>（投标文件中需提供符合上述功能的软件截图，中标后招标人有权进行功能检验）</w:t>
            </w:r>
          </w:p>
          <w:p w14:paraId="096E4A0A">
            <w:pPr>
              <w:pStyle w:val="2"/>
              <w:tabs>
                <w:tab w:val="left" w:pos="1015"/>
              </w:tabs>
              <w:autoSpaceDE w:val="0"/>
              <w:autoSpaceDN w:val="0"/>
              <w:snapToGrid w:val="0"/>
              <w:spacing w:before="32" w:after="24" w:line="360" w:lineRule="auto"/>
              <w:jc w:val="left"/>
              <w:rPr>
                <w:rFonts w:hint="eastAsia" w:ascii="宋体" w:hAnsi="宋体" w:eastAsia="宋体" w:cs="宋体"/>
                <w:b w:val="0"/>
                <w:bCs w:val="0"/>
                <w:sz w:val="24"/>
                <w:szCs w:val="24"/>
              </w:rPr>
            </w:pPr>
            <w:r>
              <w:rPr>
                <w:rFonts w:hint="eastAsia" w:ascii="宋体" w:hAnsi="宋体" w:eastAsia="宋体" w:cs="宋体"/>
                <w:sz w:val="24"/>
                <w:szCs w:val="24"/>
              </w:rPr>
              <w:t>●</w:t>
            </w:r>
            <w:r>
              <w:rPr>
                <w:rFonts w:hint="eastAsia" w:ascii="宋体" w:hAnsi="宋体" w:eastAsia="宋体" w:cs="宋体"/>
                <w:b w:val="0"/>
                <w:bCs w:val="0"/>
                <w:sz w:val="24"/>
                <w:szCs w:val="24"/>
              </w:rPr>
              <w:t>14、利用云服务平台，实时把控前端软件考试活动进度；考试结果通过云端智能算法自动进行打分评判；考试全程远程、自动化运行；</w:t>
            </w:r>
            <w:r>
              <w:rPr>
                <w:rFonts w:hint="eastAsia" w:ascii="宋体" w:hAnsi="宋体" w:eastAsia="宋体" w:cs="宋体"/>
                <w:sz w:val="24"/>
                <w:szCs w:val="24"/>
              </w:rPr>
              <w:t>（投标文件中需提供符合上述功能的软件截图，中标后招标人有权进行功能检验）</w:t>
            </w:r>
          </w:p>
          <w:p w14:paraId="24FA156A">
            <w:pPr>
              <w:spacing w:line="360" w:lineRule="auto"/>
              <w:rPr>
                <w:rFonts w:hint="eastAsia" w:ascii="宋体" w:hAnsi="宋体" w:eastAsia="宋体" w:cs="宋体"/>
                <w:bCs/>
                <w:sz w:val="24"/>
                <w:szCs w:val="24"/>
              </w:rPr>
            </w:pPr>
            <w:r>
              <w:rPr>
                <w:rFonts w:hint="eastAsia" w:ascii="宋体" w:hAnsi="宋体" w:eastAsia="宋体" w:cs="宋体"/>
                <w:sz w:val="24"/>
                <w:szCs w:val="24"/>
              </w:rPr>
              <w:t>15、连接真实 PLC 设备，支持多种品牌网关的连接，包含组态王、炫思及 MQTT 网关；</w:t>
            </w:r>
          </w:p>
        </w:tc>
        <w:tc>
          <w:tcPr>
            <w:tcW w:w="481" w:type="pct"/>
            <w:vAlign w:val="center"/>
          </w:tcPr>
          <w:p w14:paraId="4794762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4套</w:t>
            </w:r>
          </w:p>
        </w:tc>
        <w:tc>
          <w:tcPr>
            <w:tcW w:w="459" w:type="pct"/>
            <w:vAlign w:val="center"/>
          </w:tcPr>
          <w:p w14:paraId="553026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工业</w:t>
            </w:r>
          </w:p>
        </w:tc>
        <w:tc>
          <w:tcPr>
            <w:tcW w:w="345" w:type="pct"/>
            <w:vAlign w:val="center"/>
          </w:tcPr>
          <w:p w14:paraId="077DB90D">
            <w:pPr>
              <w:spacing w:line="360" w:lineRule="auto"/>
              <w:jc w:val="center"/>
              <w:rPr>
                <w:rFonts w:hint="eastAsia" w:ascii="宋体" w:hAnsi="宋体" w:eastAsia="宋体" w:cs="宋体"/>
                <w:bCs/>
                <w:sz w:val="24"/>
                <w:szCs w:val="24"/>
              </w:rPr>
            </w:pPr>
          </w:p>
        </w:tc>
      </w:tr>
      <w:tr w14:paraId="2EBF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 w:type="pct"/>
            <w:vAlign w:val="center"/>
          </w:tcPr>
          <w:p w14:paraId="3625292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540" w:type="pct"/>
            <w:vAlign w:val="center"/>
          </w:tcPr>
          <w:p w14:paraId="4EF03EF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工业机器人教学实训系统</w:t>
            </w:r>
          </w:p>
        </w:tc>
        <w:tc>
          <w:tcPr>
            <w:tcW w:w="2835" w:type="pct"/>
          </w:tcPr>
          <w:p w14:paraId="1BE5B058">
            <w:pPr>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一、工业机器人教学实训系统概述</w:t>
            </w:r>
          </w:p>
          <w:p w14:paraId="602AAB1B">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工业机器人教学实训系统主要由机器人手持示教器和工业机器人数字孪生虚拟实训平台组成。示教器可以控制六自由度工业机器人，学员可以通过操作实体手持示教器，对虚拟工业机器人进行示教编程学习，学习工业机器人操作、编程的相关知识。参与性强、仿真度高、安全性好。</w:t>
            </w:r>
          </w:p>
          <w:p w14:paraId="1B4C39FD">
            <w:pPr>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二、工业机器人数字孪生虚拟实训平台技术指标</w:t>
            </w:r>
          </w:p>
          <w:p w14:paraId="57C7016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1、系统核心架构要求</w:t>
            </w:r>
          </w:p>
          <w:p w14:paraId="5AB57C17">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系统需以智能制造设备为数字化复刻对象，基于数字孪生体构建技术，提供从场景组态、信号映射到控制闭环的端到端数智驱动交互与智能控制仿真工具链，形成覆盖智能制造全流程、适配机电一体化、电气自动化等多专业实训的标准化课程资源体系。通过高效易用的仿真组态功能，快速构建并验证工业控制逻辑与运行策略，实现对智能控制方案的多任务、多场景验证评测，极大地提高实训与调试的灵活性和效率，显著优化实训教学效果，丰富完善课程资源，满足电气自动化、机电一体化、工业机器人、智能制造等专业课程实训教学与工程实践全流程需求。</w:t>
            </w:r>
          </w:p>
          <w:p w14:paraId="10CF4E62">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2、数字化场景组态与模型要求</w:t>
            </w:r>
          </w:p>
          <w:p w14:paraId="04D57E9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（1）模型精度与数量规范</w:t>
            </w:r>
          </w:p>
          <w:p w14:paraId="30481115">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①实训系统需提供丰富的工业设备三维模型库，满足典型产线仿真需求，模型几何误差≤0.1mm，纹理分辨率≥2048×2048px，确保模型与实物的一致性。</w:t>
            </w:r>
          </w:p>
          <w:p w14:paraId="39149DFB">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②实训系统内置模型库需覆盖智能制造全流程核心设备，具体包含但不限于以下类别及细分型号，所有模型需支持多维度参数化配置与全生命周期状态映射：</w:t>
            </w:r>
          </w:p>
          <w:p w14:paraId="6B32034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数控加工设备：数控车床、数控铣床、加工中心、五轴联动加工中心。</w:t>
            </w:r>
          </w:p>
          <w:p w14:paraId="20B620D7">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工业机器人系统：所有机器人模型需内置动力学模型与运动学求解器，支持关节角度、运动速度的实时仿真与参数调节。</w:t>
            </w:r>
          </w:p>
          <w:p w14:paraId="4841FB6B">
            <w:pPr>
              <w:spacing w:line="360" w:lineRule="auto"/>
              <w:jc w:val="left"/>
              <w:rPr>
                <w:rFonts w:hint="eastAsia" w:ascii="宋体" w:hAnsi="宋体" w:eastAsia="宋体" w:cs="宋体"/>
                <w:sz w:val="24"/>
                <w:szCs w:val="24"/>
              </w:rPr>
            </w:pPr>
            <w:r>
              <w:rPr>
                <w:rFonts w:hint="eastAsia" w:ascii="宋体" w:hAnsi="宋体" w:eastAsia="宋体" w:cs="宋体"/>
                <w:sz w:val="24"/>
                <w:szCs w:val="24"/>
              </w:rPr>
              <w:t>●工业机器人数字孪生虚拟实训平台电气控制元件：低压断路器、熔断器、交流接触器、热继电器、中间继电器、时间继电器、行程开关、工业触摸屏、开关电源、PLC控制器、变频器、伺服驱动器与伺服电机、步进驱动器与步进电机、直线导轨、光电开关、槽型开关、指示灯、控制按钮等。</w:t>
            </w:r>
            <w:r>
              <w:rPr>
                <w:rFonts w:hint="eastAsia" w:ascii="宋体" w:hAnsi="宋体" w:eastAsia="宋体" w:cs="宋体"/>
                <w:b/>
                <w:bCs/>
                <w:sz w:val="24"/>
                <w:szCs w:val="24"/>
              </w:rPr>
              <w:t>（投标文件中需提供符合上述功能的软件截图，中标后招标人有权进行功能检验）</w:t>
            </w:r>
          </w:p>
          <w:p w14:paraId="09629570">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物流输送设备：AGV自动导引车、堆垛机、滚筒输送线、环形输送线、皮带输送线、单轴移载滑台等。</w:t>
            </w:r>
          </w:p>
          <w:p w14:paraId="34F612FF">
            <w:pPr>
              <w:snapToGrid w:val="0"/>
              <w:spacing w:line="360" w:lineRule="auto"/>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末端执行器：两指气动夹爪、三指气动夹爪、真空吸盘抓手、软体抓手、快换夹具、夹具库等。</w:t>
            </w:r>
          </w:p>
          <w:p w14:paraId="1E1DD50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（2）场景组态与数据管理功能</w:t>
            </w:r>
          </w:p>
          <w:p w14:paraId="084C28DB">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系统提供所见即所得的可视化组态操作区，可对预制场景或空白实训区进行拖拽式二次创作。支持基于工业现场设备参数在仿真引擎内一键式还原高保真三维场景，可快速完成复杂产线的几何-物理一体化组态；构建结果自带设备属性与 IO 映射标签，可直接用于调试、评测与实训教学。</w:t>
            </w:r>
          </w:p>
          <w:p w14:paraId="4A3D094E">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工业机器人数字孪生虚拟实训平台①场景保存机制：实训系统需支持仿真场景的全要素本地序列化存储，生成包含场景拓扑结构、模型参数、设备状态、接线逻辑、仿真配置等信息的专属格式文件，同时支持将场景核心信息导出为TXT格式的参数配置文件，支持用户通过文本编辑工具对场景参数进行精细化调整，调整后导入系统可实现场景参数的实时同步更新。</w:t>
            </w:r>
          </w:p>
          <w:p w14:paraId="5B285E7B">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②场景加载机制：实训系统需具备本地场景文件的快速解析与加载功能，支持通过文件路径索引、文件名检索等快捷方式调用本地存储的场景文件，加载过程中自动解析场景配置信息，完成模型布局、参数配置、接线逻辑、仿真状态的一键还原，场景加载时间≤1s。</w:t>
            </w:r>
          </w:p>
          <w:p w14:paraId="60EA39F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（3）场景编辑与交互功能</w:t>
            </w:r>
          </w:p>
          <w:p w14:paraId="66E8FFF3">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①视角控制体系：实训系统需支持多视角协同查看功能，包含环绕视角（围绕指定模型/场景中心进行360°匀速/变速旋转）、自由视角（支持用户自定义视角位置与旋转角度，实现场景任意区域的精准查看）。</w:t>
            </w:r>
          </w:p>
          <w:p w14:paraId="203BFD03">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②视图导航功能：系统内置可视化导航器，支持用户通过点击导航器控件实现视图模式的快速切换，包含正交视图与透视视图两大类别；其中正交视图支持顶视图、右视图、前视图的一键切换，同时支持通过X、Y、Z轴坐标快捷键快速切换三视图视角，实现模型三维坐标的精准定位与查看；透视视图支持视角景深调节，模拟真实人眼视觉效果。</w:t>
            </w:r>
          </w:p>
          <w:p w14:paraId="08FE373F">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③模型参数化编辑：实训系统需支持对场景内所有模型进行全参数化配置，修改操作实时生效并同步呈现修改效果，具体参数配置要求如下：</w:t>
            </w:r>
          </w:p>
          <w:p w14:paraId="551DA1A9">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通用工业设备：支持长度、宽度、厚度、重量、材质属性等比例参数的自定义调节，调节范围需符合工业设备实际规格，参数修改后模型几何形态与物理属性同步更新。</w:t>
            </w:r>
          </w:p>
          <w:p w14:paraId="1236783C">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物料耗材：支持设备类型、外观颜色（RGB值自定义）、物理质量、动摩擦系数、静摩擦系数、弹性系数等参数的调节，支持物料与设备之间的碰撞、摩擦等物理效应仿真。</w:t>
            </w:r>
          </w:p>
          <w:p w14:paraId="02D0B221">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运动类设备（滑台、伺服轴等）：支持有效行程、零点位置、行程限位等参数的设定，支持运动轨迹的预仿真与参数优化。</w:t>
            </w:r>
          </w:p>
          <w:p w14:paraId="3A117A85">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④快捷键操作体系：实训系统需支持不少于18项自定义键盘快捷键操作，覆盖模型交互、视角控制、场景编辑等核心操作，具体包含但不限于：</w:t>
            </w:r>
          </w:p>
          <w:p w14:paraId="311B0875">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坐标轴位移控制：支持通过鼠标拖拽坐标轴实现模型的平面位移与XYZ三轴精准位移，位移精度≤1mm，支持位移数值手动输入与实时预览。</w:t>
            </w:r>
          </w:p>
          <w:p w14:paraId="49135C43">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坐标轴旋转控制：支持通过鼠标拖拽旋转轴实现模型的多角度旋转，支持旋转角度手动输入（精度≤1°），支持多轴同时旋转与旋转角度锁定。</w:t>
            </w:r>
          </w:p>
          <w:p w14:paraId="126CB314">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模型批量复制：支持镜像复制，实现模型的批量布局与快速组态。</w:t>
            </w:r>
          </w:p>
          <w:p w14:paraId="48A38B45">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工业机器人数字孪生虚拟实训平台顶点对齐功能：支持通过鼠标拖拽模型顶点，实现与其他模型顶点的精准对齐。</w:t>
            </w:r>
          </w:p>
          <w:p w14:paraId="40CD0B46">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视角聚焦功能：支持选中任意模型后，系统自动将视角居中显示该模型，同时可调节视角缩放比例，实现模型细节的精准查看。</w:t>
            </w:r>
          </w:p>
          <w:p w14:paraId="4D8C4A91">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视角旋转控制：支持以场景中心、选中模型为旋转中心的两种旋转模式，支持旋转速度调节与旋转角度锁定，便于场景全方位查看。</w:t>
            </w:r>
          </w:p>
          <w:p w14:paraId="381507F0">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模型快速旋转：支持通过快捷键实现模型绕XYZ三轴的15°、90°固定角度旋转，支持旋转方向的快速切换。</w:t>
            </w:r>
          </w:p>
          <w:p w14:paraId="6BC7A673">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⑤模型选择功能：支持模型单点选择（点击模型即可选中，选中后模型呈现高亮状态）、选择框多选（通过鼠标拖拽绘制选择框，选中框内所有模型）、快捷键全选（一键选中场景内所有模型），选中模型后可实现批量移动、复制、删除、参数修改等快捷操作，支持选中状态的取消与锁定。</w:t>
            </w:r>
          </w:p>
          <w:p w14:paraId="5500910C">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⑥坐标系与轴中心切换：支持模型坐标系的Global（全局坐标系）与Local（局部坐标系）双向切换，切换后模型的位移、旋转等操作基于对应坐标系执行；支持轴中心的Center（模型几何中心）与Pivot（自定义轴心）切换，满足不同场景下的模型操作需求。</w:t>
            </w:r>
          </w:p>
          <w:p w14:paraId="49451C11">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⑦实训区域配置：支持对场景内实训区域的长度、宽度进行自定义修改（单位：m），修改范围需符合工业实训场景实际规格；支持地面网格的显隐状态切换，网格间距可自定义调节，便于模型的精准定位与布局。</w:t>
            </w:r>
          </w:p>
          <w:p w14:paraId="28CD0DC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（4）场景环境渲染与配置</w:t>
            </w:r>
          </w:p>
          <w:p w14:paraId="6EDA6DC9">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画面参数调节：实训系统需支持多种16:9标准分辨率（含1920×1080、2560×1440等）的切换，支持窗口模式、全屏模式的一键切换；支持画面质量（低、中、高）的分级调节，不同质量等级对应不同的渲染精度与帧率，高画质模式下帧率≥60fps，确保画面流畅无卡顿。</w:t>
            </w:r>
          </w:p>
          <w:p w14:paraId="7FD0E38B">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天空盒与环境光配置：系统内置多场景天空盒，包含晴天、阴天、夜间三种基础模式，支持天空盒亮度、对比度调节；支持环境光反射效应仿真，环境光强度可自定义调节，反射系数与真实工业环境保持一致，实现模型材质与环境光的真实交互。</w:t>
            </w:r>
          </w:p>
          <w:p w14:paraId="23A41E1C">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场景环境切换：支持实训车间、户外场景、虚拟实验室等多种场景环境的快速切换，切换过程中模型布局、参数配置、接线逻辑保持不变，满足不同实训场景的教学需求。</w:t>
            </w:r>
          </w:p>
          <w:p w14:paraId="42623927">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3、三维电气回路虚拟接线仿真要求</w:t>
            </w:r>
          </w:p>
          <w:p w14:paraId="206C3FF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●（1）电气回路数字化拓扑构建</w:t>
            </w:r>
          </w:p>
          <w:p w14:paraId="28A5F0FF">
            <w:pPr>
              <w:spacing w:line="360" w:lineRule="auto"/>
              <w:jc w:val="left"/>
              <w:rPr>
                <w:rFonts w:hint="eastAsia" w:ascii="宋体" w:hAnsi="宋体" w:eastAsia="宋体" w:cs="宋体"/>
                <w:sz w:val="24"/>
                <w:szCs w:val="24"/>
              </w:rPr>
            </w:pPr>
            <w:r>
              <w:rPr>
                <w:rFonts w:hint="eastAsia" w:ascii="宋体" w:hAnsi="宋体" w:eastAsia="宋体" w:cs="宋体"/>
                <w:sz w:val="24"/>
                <w:szCs w:val="24"/>
              </w:rPr>
              <w:t>实训系统需支持用户从电气元器件数字孪生模型库中，通过拖拽操作将电气元器件、线槽、导轨等三维模型，精准部署至电气柜安装板的指定位置，完成工业场景三维电气控制回路的数字化拓扑搭建；支持通过点击三维模型端子创建线路路径点，生成符合工业规范的三维电气线路，支持手动拖拽路径点修改线路走向，系统配备二维电气原理图，辅助用户完成接线操作，实现三维接线与二维原理图的实时联动。</w:t>
            </w:r>
            <w:r>
              <w:rPr>
                <w:rFonts w:hint="eastAsia" w:ascii="宋体" w:hAnsi="宋体" w:eastAsia="宋体" w:cs="宋体"/>
                <w:b/>
                <w:bCs/>
                <w:sz w:val="24"/>
                <w:szCs w:val="24"/>
              </w:rPr>
              <w:t>（投标文件中需提供符合上述功能的软件截图，中标后招标人有权进行功能检验）</w:t>
            </w:r>
          </w:p>
          <w:p w14:paraId="0A9F559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●（2）电气系统自定义配置功能</w:t>
            </w:r>
          </w:p>
          <w:p w14:paraId="527C203E">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元器件属性配置：支持对所有电气元器件的名称进行自定义修改，支持名称的批量修改与保存，便于元器件的识别与管理。</w:t>
            </w:r>
          </w:p>
          <w:p w14:paraId="1628D238">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线缆参数配置：支持线缆颜色的RGB值自定义调节，系统默认预设火线（红色）、零线（蓝色）、控制线（黑色）的标准颜色，用户可根据实际需求修改；支持线缆线径的自定义设置，线径范围符合工业电气线缆标准，线缆弯曲状态与线径、路径点分布匹配，支持通过鼠标快捷删除路径点，实现线缆走向的精准调整，支持线缆名称的自定义与批量修改。</w:t>
            </w:r>
            <w:r>
              <w:rPr>
                <w:rFonts w:hint="eastAsia" w:ascii="宋体" w:hAnsi="宋体" w:eastAsia="宋体" w:cs="宋体"/>
                <w:b/>
                <w:bCs/>
                <w:sz w:val="24"/>
                <w:szCs w:val="24"/>
              </w:rPr>
              <w:t>（投标文件中需提供符合上述功能的软件截图，中标后招标人有权进行功能检验）</w:t>
            </w:r>
          </w:p>
          <w:p w14:paraId="6E01DF7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（3）电路运行模拟与状态监测</w:t>
            </w:r>
          </w:p>
          <w:p w14:paraId="159E2538">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支持对搭建完成的三维电气回路进行模拟上电运行，系统实时仿真电路的通断状态，通过不同颜色（绿色表示通电）直观展示每条线路的运行状态；实时仿真电路的实际控制效果，如电机启停、指示灯亮灭、接触器吸合等。</w:t>
            </w:r>
          </w:p>
          <w:p w14:paraId="56402302">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4、PLC虚实交互仿真要求</w:t>
            </w:r>
          </w:p>
          <w:p w14:paraId="3103E70D">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●（1）多PLC协同控制仿真：</w:t>
            </w:r>
          </w:p>
          <w:p w14:paraId="0DADF2A1">
            <w:pPr>
              <w:spacing w:line="360" w:lineRule="auto"/>
              <w:jc w:val="left"/>
              <w:rPr>
                <w:rFonts w:hint="eastAsia" w:ascii="宋体" w:hAnsi="宋体" w:eastAsia="宋体" w:cs="宋体"/>
                <w:sz w:val="24"/>
                <w:szCs w:val="24"/>
              </w:rPr>
            </w:pPr>
            <w:r>
              <w:rPr>
                <w:rFonts w:hint="eastAsia" w:ascii="宋体" w:hAnsi="宋体" w:eastAsia="宋体" w:cs="宋体"/>
                <w:sz w:val="24"/>
                <w:szCs w:val="24"/>
              </w:rPr>
              <w:t>实训系统需支持同时添加多个PLC控制器，实现多控制器协同控制仿真，支持通过组态软件开发的HMI人机交互界面，与PLC控制器建立通讯连接，实现HMI界面与仿真场景的信号交互，支持HMI界面的操作指令实时传递至PLC，PLC运行结果同步反馈至仿真场景，实现控制流程的可视化仿真。</w:t>
            </w:r>
          </w:p>
          <w:p w14:paraId="686067A7">
            <w:pPr>
              <w:snapToGrid w:val="0"/>
              <w:spacing w:line="360" w:lineRule="auto"/>
              <w:jc w:val="left"/>
              <w:rPr>
                <w:rFonts w:hint="eastAsia" w:ascii="宋体" w:hAnsi="宋体" w:eastAsia="宋体" w:cs="宋体"/>
                <w:sz w:val="24"/>
                <w:szCs w:val="24"/>
              </w:rPr>
            </w:pPr>
            <w:r>
              <w:rPr>
                <w:rFonts w:hint="eastAsia" w:ascii="宋体" w:hAnsi="宋体" w:eastAsia="宋体" w:cs="宋体"/>
                <w:b/>
                <w:bCs/>
                <w:sz w:val="24"/>
                <w:szCs w:val="24"/>
              </w:rPr>
              <w:t>（投标文件中需提供符合上述功能的软件截图，中标后招标人有权进行功能检验）</w:t>
            </w:r>
          </w:p>
          <w:p w14:paraId="624CC8AA">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 PLC控制器兼容性要求：实训系统需支持主流品牌实体PLC的信号采集与解析，同时支持主流品牌虚拟PLC的控制信号交互，实现虚实PLC的无缝协同，支持的PLC控制器类型包含但不限于以下系列：</w:t>
            </w:r>
          </w:p>
          <w:p w14:paraId="5281F67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SIEMENS PLC：S7-200smart、S7-1200、S7-1500系列，支持TIAPortal软件的程序在线调试，支持PLC与仿真场景的实时数据交互。</w:t>
            </w:r>
          </w:p>
          <w:p w14:paraId="0E93786D">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Mitsubishi PLC：FX系列（FX3U、FX5U等），支持GX Works2/GX Works3软件的程序调试，支持PLC指令的实时仿真与执行。</w:t>
            </w:r>
          </w:p>
          <w:p w14:paraId="409535F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XINJE PLC：XD/XL系列，支持XINJE PLC编程软件的程序在线监控，支持PLC与仿真场景的I/O信号交互。</w:t>
            </w:r>
          </w:p>
          <w:p w14:paraId="0C42837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Atekon PLC：NA2000/NA300/NA400系列，支持Atekon编程软件的程序调试，支持PLC参数的实时配置与状态反馈。</w:t>
            </w:r>
          </w:p>
          <w:p w14:paraId="1CA650DB">
            <w:pPr>
              <w:spacing w:line="360" w:lineRule="auto"/>
              <w:rPr>
                <w:rFonts w:hint="eastAsia" w:ascii="宋体" w:hAnsi="宋体" w:eastAsia="宋体" w:cs="宋体"/>
                <w:sz w:val="24"/>
                <w:szCs w:val="24"/>
              </w:rPr>
            </w:pPr>
            <w:r>
              <w:rPr>
                <w:rFonts w:hint="eastAsia" w:ascii="宋体" w:hAnsi="宋体" w:eastAsia="宋体" w:cs="宋体"/>
                <w:sz w:val="24"/>
                <w:szCs w:val="24"/>
              </w:rPr>
              <w:t>INOVANCE PLC：Easy系列、H3U系列、H5U系列，支持PLC编程软件的程序在线调试，支持PLC与仿真场景的多维度信号交互。</w:t>
            </w:r>
          </w:p>
          <w:p w14:paraId="7762F7C8">
            <w:pPr>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（投标文件中需提供符合上述功能的软件截图，中标后招标人有权进行功能检验）</w:t>
            </w:r>
          </w:p>
          <w:p w14:paraId="161B6557">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（3）I/O 信号点位映射功能：实训系统应具备完善的 I/O 信号点位映射机制，支持将不同品牌 PLC 的数字量输入、数字量输出、模拟量信号、数据块等，与仿真场景设备控制点位进行精准映射，并自动匹配与转换数据类型，保障信号传输准确可靠。系统支持映射关系的保存与快速调用，确保控制逻辑一致性。</w:t>
            </w:r>
          </w:p>
          <w:p w14:paraId="6E9A20F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I/O信号管理功能：实训系统需支持I/O信号点位映射关系的Excel表格导出功能，导出表格需包含信号点位名称、PLC型号、信号类型、映射设备、映射地址、信号状态等核心信息，便于用户快捷查看、核对每一个信号的映射关系。</w:t>
            </w:r>
          </w:p>
          <w:p w14:paraId="41FD1F89">
            <w:pPr>
              <w:snapToGrid w:val="0"/>
              <w:spacing w:line="360" w:lineRule="auto"/>
              <w:jc w:val="left"/>
              <w:rPr>
                <w:rFonts w:hint="eastAsia" w:ascii="宋体" w:hAnsi="宋体" w:eastAsia="宋体" w:cs="宋体"/>
                <w:b/>
                <w:bCs/>
                <w:sz w:val="24"/>
                <w:szCs w:val="24"/>
              </w:rPr>
            </w:pPr>
            <w:r>
              <w:rPr>
                <w:rFonts w:hint="eastAsia" w:ascii="宋体" w:hAnsi="宋体" w:eastAsia="宋体" w:cs="宋体"/>
                <w:sz w:val="24"/>
                <w:szCs w:val="24"/>
              </w:rPr>
              <w:t>●（5）跨平台信号中转功能：实训系统需具备跨控制器信号中转关联能力，支持两个不同品牌/型号控制器的输入输出点位信号进行实时中转与关联，实现不同控制器之间的信号交互与协同控制，至少包含TIAPortal与RobotStudio的信号中转，支持中转信号的实时监控。</w:t>
            </w:r>
            <w:r>
              <w:rPr>
                <w:rFonts w:hint="eastAsia" w:ascii="宋体" w:hAnsi="宋体" w:eastAsia="宋体" w:cs="宋体"/>
                <w:b/>
                <w:bCs/>
                <w:sz w:val="24"/>
                <w:szCs w:val="24"/>
              </w:rPr>
              <w:t>（投标文件中需提供符合上述功能的软件截图，中标后招标人有权进行功能检验）</w:t>
            </w:r>
          </w:p>
          <w:p w14:paraId="19796AE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5、工业机器人同步仿真要求</w:t>
            </w:r>
          </w:p>
          <w:p w14:paraId="76307D10">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机器人半实物仿真控制：工业机器人数字孪生虚拟实训平台，支持示教器的硬件接口对接与通讯协议兼容，用户可通过手持示教器，对仿真场景中的对应品牌工业机器人进行示教编程、关节运动、轨迹规划等实训操作，示教器操作指令实时传递至仿真系统，机器人模型同步执行相应动作。</w:t>
            </w:r>
            <w:r>
              <w:rPr>
                <w:rFonts w:hint="eastAsia" w:ascii="宋体" w:hAnsi="宋体" w:eastAsia="宋体" w:cs="宋体"/>
                <w:b/>
                <w:bCs/>
                <w:sz w:val="24"/>
                <w:szCs w:val="24"/>
              </w:rPr>
              <w:t>（投标文件中需提供符合上述功能的软件截图，中标后招标人有权进行功能检验）</w:t>
            </w:r>
          </w:p>
          <w:p w14:paraId="30A59EA2">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机器人虚拟示教编程：虚拟仿真实训系统需支持同时添加多个机器人仿真控制器，实现多机器人协同仿真，所有控制器均需支持示教编程、运动仿真、I/O信号交互等功能，支持的机器人控制器类型包含但不限于以下系列：</w:t>
            </w:r>
          </w:p>
          <w:p w14:paraId="3C2AAB7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系统支持ABB、华沿、ESTUN、XINJE、EFORT、INexBot等多品牌机器人接入，可分别对接对应品牌专用离线编程软件与接口，例如RobotStudio、Estun Editor、XINJE VirtualRobot等。各品牌机器人均支持六轴关节角度实时反馈与轴运动同步，并按协议实现输入、输出等I/O信号交互，同时支持程序编程、示教调试、轨迹仿真等功能。</w:t>
            </w:r>
            <w:r>
              <w:rPr>
                <w:rFonts w:hint="eastAsia" w:ascii="宋体" w:hAnsi="宋体" w:eastAsia="宋体" w:cs="宋体"/>
                <w:b/>
                <w:bCs/>
                <w:sz w:val="24"/>
                <w:szCs w:val="24"/>
              </w:rPr>
              <w:t>（投标文件中需提供符合上述功能的软件截图，中标后招标人有权进行功能检验）</w:t>
            </w:r>
          </w:p>
          <w:p w14:paraId="4E3D21BD">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（3）机器人轨迹可视化仿真：支持机器人运动轨迹的实时可视化显示，可直观展示机器人关节运动轨迹，提升编程效率。</w:t>
            </w:r>
          </w:p>
          <w:p w14:paraId="26F0267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6、机器视觉仿真要求</w:t>
            </w:r>
          </w:p>
          <w:p w14:paraId="03ACB73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视觉识别仿真核心功能：实训系统需内置高分辨率虚拟工业相机，支持与主流图像处理软件（Labview、VisionMaster等）的无缝对接，通过图像处理软件完成工业场景下的视觉识别仿真功能；支持通过图像处理软件对仿真场景中的工件进行颜色识别、形状识别、二维码识别、OCR字符识别等多种识别任务，识别结果以数字信号形式实时传输至PLC控制器，由PLC控制器根据识别信号，控制仿真场景中的分拣机构（如机器人、气缸等）完成工件的自动分拣动作，实现视觉识别与PLC控制的闭环协同仿真。</w:t>
            </w:r>
          </w:p>
          <w:p w14:paraId="4728CB15">
            <w:pPr>
              <w:snapToGrid w:val="0"/>
              <w:spacing w:line="360" w:lineRule="auto"/>
              <w:jc w:val="left"/>
              <w:rPr>
                <w:rFonts w:hint="eastAsia" w:ascii="宋体" w:hAnsi="宋体" w:eastAsia="宋体" w:cs="宋体"/>
                <w:b/>
                <w:bCs/>
                <w:sz w:val="24"/>
                <w:szCs w:val="24"/>
              </w:rPr>
            </w:pPr>
            <w:r>
              <w:rPr>
                <w:rFonts w:hint="eastAsia" w:ascii="宋体" w:hAnsi="宋体" w:eastAsia="宋体" w:cs="宋体"/>
                <w:sz w:val="24"/>
                <w:szCs w:val="24"/>
              </w:rPr>
              <w:t>●（2）视觉识别应用场景要求：视觉识别仿真需覆盖工业现场常见的识别场景，至少包含但不限于以下应用，所有识别功能需满足工业级识别精度要求。</w:t>
            </w:r>
          </w:p>
          <w:p w14:paraId="07DD4262">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形状识别：支持圆形、多边形（边数3-6）、五角星等常见工件形状的识别，支持形状参数的实时检测与反馈，支持不规则形状的识别与分类。</w:t>
            </w:r>
          </w:p>
          <w:p w14:paraId="4FA8C43F">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颜色识别：支持HSV色彩空间的阈值自定义设定，可精准识别不同颜色的工件（如红色、蓝色、绿色等），支持颜色相似度的调节，可区分颜色相近的工件，识别结果实时反馈至PLC。</w:t>
            </w:r>
          </w:p>
          <w:p w14:paraId="3877BFA7">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二维码识别：支持多种规格二维码（如QR码、DataMatrix码等）的识别，支持二维码的模糊识别、倾斜识别，可快速解析二维码中的文本信息。</w:t>
            </w:r>
          </w:p>
          <w:p w14:paraId="0DA0D6CE">
            <w:pPr>
              <w:snapToGrid w:val="0"/>
              <w:spacing w:line="360" w:lineRule="auto"/>
              <w:jc w:val="left"/>
              <w:rPr>
                <w:rFonts w:hint="eastAsia" w:ascii="宋体" w:hAnsi="宋体" w:eastAsia="宋体" w:cs="宋体"/>
                <w:b/>
                <w:bCs/>
                <w:sz w:val="24"/>
                <w:szCs w:val="24"/>
              </w:rPr>
            </w:pPr>
            <w:r>
              <w:rPr>
                <w:rFonts w:hint="eastAsia" w:ascii="宋体" w:hAnsi="宋体" w:eastAsia="宋体" w:cs="宋体"/>
                <w:sz w:val="24"/>
                <w:szCs w:val="24"/>
              </w:rPr>
              <w:t>OCR字符识别：支持阿拉伯数字、英文字母、常用符号等字符的识别，支持不同字体、不同大小字符的识别，可将识别到的字符信息实时反馈至PLC，支持识别结果的存储与导出。</w:t>
            </w:r>
            <w:r>
              <w:rPr>
                <w:rFonts w:hint="eastAsia" w:ascii="宋体" w:hAnsi="宋体" w:eastAsia="宋体" w:cs="宋体"/>
                <w:b/>
                <w:bCs/>
                <w:sz w:val="24"/>
                <w:szCs w:val="24"/>
              </w:rPr>
              <w:t>（投标文件中需提供符合上述功能的软件截图，中标后招标人有权进行功能检验）</w:t>
            </w:r>
          </w:p>
          <w:p w14:paraId="28A2858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7、CNC加工仿真要求</w:t>
            </w:r>
          </w:p>
          <w:p w14:paraId="1FF2466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●（1）CNC加工仿真核心要求：CNC加工仿真需遵循ISO6983国际标准，支持G代码的全兼容解析，能够实现G71和G72粗车循环指令的解析与执行。</w:t>
            </w:r>
            <w:r>
              <w:rPr>
                <w:rFonts w:hint="eastAsia" w:ascii="宋体" w:hAnsi="宋体" w:eastAsia="宋体" w:cs="宋体"/>
                <w:b/>
                <w:bCs/>
                <w:sz w:val="24"/>
                <w:szCs w:val="24"/>
              </w:rPr>
              <w:t>（投标文件中需提供符合上述功能的软件截图，中标后招标人有权进行功能检验）</w:t>
            </w:r>
          </w:p>
          <w:p w14:paraId="70E2F9D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车削加工仿真功能：实训系统需支持对仿真场景中的圆柱工件进行车削加工仿真，支持车削参数（如切削速度、进给量、背吃刀量）的自定义调节，可实时可视化展示车削加工过程（如刀具切削轨迹、工件尺寸变化、切屑生成等），加工完成后支持工件模型以FBX格式导出。</w:t>
            </w:r>
            <w:r>
              <w:rPr>
                <w:rFonts w:hint="eastAsia" w:ascii="宋体" w:hAnsi="宋体" w:eastAsia="宋体" w:cs="宋体"/>
                <w:b/>
                <w:bCs/>
                <w:sz w:val="24"/>
                <w:szCs w:val="24"/>
              </w:rPr>
              <w:t>（投标文件中需提供符合上述功能的演示视频，视频时长不超过3分钟，中标后招标人有权进行功能检验）</w:t>
            </w:r>
          </w:p>
          <w:p w14:paraId="4F44CABF">
            <w:pPr>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三、工业机器人示教器操作系统</w:t>
            </w:r>
          </w:p>
          <w:p w14:paraId="78E87675">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采用模拟主流品牌真实的工业机器人手持示教器。手持示教器：</w:t>
            </w:r>
          </w:p>
          <w:p w14:paraId="2CAA3D7E">
            <w:pPr>
              <w:snapToGrid w:val="0"/>
              <w:spacing w:line="360" w:lineRule="auto"/>
              <w:jc w:val="left"/>
              <w:rPr>
                <w:rFonts w:hint="eastAsia" w:ascii="宋体" w:hAnsi="宋体" w:eastAsia="宋体" w:cs="宋体"/>
                <w:b/>
                <w:bCs/>
                <w:sz w:val="24"/>
                <w:szCs w:val="24"/>
              </w:rPr>
            </w:pPr>
            <w:r>
              <w:rPr>
                <w:rFonts w:hint="eastAsia" w:ascii="宋体" w:hAnsi="宋体" w:eastAsia="宋体" w:cs="宋体"/>
                <w:sz w:val="24"/>
                <w:szCs w:val="24"/>
              </w:rPr>
              <w:t>■1、可控制六自由度通用虚拟工业机器人或实体工业机器人。（控制算法内置，无需独立的控制器）</w:t>
            </w:r>
            <w:r>
              <w:rPr>
                <w:rFonts w:hint="eastAsia" w:ascii="宋体" w:hAnsi="宋体" w:eastAsia="宋体" w:cs="宋体"/>
                <w:b/>
                <w:bCs/>
                <w:sz w:val="24"/>
                <w:szCs w:val="24"/>
              </w:rPr>
              <w:t>（投标文件中需提供符合上述功能的演示视频，视频时长不超过3分钟，中标后招标人有权进行功能检验）</w:t>
            </w:r>
          </w:p>
          <w:p w14:paraId="2F0B232B">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■2、支持多通道控制，可同时计算并控制不少于10个机器人的运动。</w:t>
            </w:r>
            <w:r>
              <w:rPr>
                <w:rFonts w:hint="eastAsia" w:ascii="宋体" w:hAnsi="宋体" w:eastAsia="宋体" w:cs="宋体"/>
                <w:b/>
                <w:bCs/>
                <w:sz w:val="24"/>
                <w:szCs w:val="24"/>
              </w:rPr>
              <w:t>（投标文件中需提供符合上述功能的演示视频，视频时长不超过3分钟，中标后招标人有权进行功能检验）</w:t>
            </w:r>
          </w:p>
          <w:p w14:paraId="70F4100D">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●3、支持UDP等通信协议。</w:t>
            </w:r>
            <w:r>
              <w:rPr>
                <w:rFonts w:hint="eastAsia" w:ascii="宋体" w:hAnsi="宋体" w:eastAsia="宋体" w:cs="宋体"/>
                <w:b/>
                <w:bCs/>
                <w:sz w:val="24"/>
                <w:szCs w:val="24"/>
              </w:rPr>
              <w:t>（投标文件中需提供符合上述功能的软件截图，中标后招标人有权进行功能检验）</w:t>
            </w:r>
          </w:p>
          <w:p w14:paraId="210F816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4、手持示教器应具备彩色触摸屏、急停按钮、使能开关、3D操纵杆或多轴控制按键，满足六轴机器人示教操作需求</w:t>
            </w:r>
          </w:p>
          <w:p w14:paraId="75D5420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5、支持关节绝对运动、关节插补、直线插补、圆弧插补、偏移运动等基本运动指令。</w:t>
            </w:r>
          </w:p>
          <w:p w14:paraId="5367F10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6、供电要求：可适配DC 12V-24V宽电压。</w:t>
            </w:r>
          </w:p>
          <w:p w14:paraId="60D35A39">
            <w:pPr>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四、实训内容</w:t>
            </w:r>
          </w:p>
          <w:p w14:paraId="77F3567A">
            <w:pPr>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需满足至少以下实训内容，但不仅限于以下内容，同时需提供与教学配套的工业机器人教学实训指导书：</w:t>
            </w:r>
          </w:p>
          <w:p w14:paraId="34D84F1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1、工业机器人手持示教器的认知及使用；</w:t>
            </w:r>
          </w:p>
          <w:p w14:paraId="552964F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2、工业机器人各类坐标系转换；</w:t>
            </w:r>
          </w:p>
          <w:p w14:paraId="183620C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3、工业机器人编程指令的学习；</w:t>
            </w:r>
          </w:p>
          <w:p w14:paraId="3DBE63E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4、工业机器人工具坐标系和用户坐标系设置；</w:t>
            </w:r>
          </w:p>
          <w:p w14:paraId="2C2FB72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5、工业机器人控制器I/O信号设置和监控；</w:t>
            </w:r>
          </w:p>
          <w:p w14:paraId="705CAB17">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6、工业机器人参数、变量的调整；</w:t>
            </w:r>
          </w:p>
          <w:p w14:paraId="45ED767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7、工业机器人程序调用和自动运行；</w:t>
            </w:r>
          </w:p>
          <w:p w14:paraId="291DAC3B">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8、工业机器人机床上下料示教编程；</w:t>
            </w:r>
          </w:p>
          <w:p w14:paraId="09C0EC98">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9、工业机器人的拼图轨迹示教编程；</w:t>
            </w:r>
          </w:p>
          <w:p w14:paraId="21E7272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10、工业机器人的搬运/出入库示教编程；</w:t>
            </w:r>
          </w:p>
          <w:p w14:paraId="1374B7C6">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11、工业机器人的焊接示教编程；</w:t>
            </w:r>
          </w:p>
          <w:p w14:paraId="331C30A1">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12、工业机器人分拣示教编程。</w:t>
            </w:r>
          </w:p>
          <w:p w14:paraId="4DA67BE0">
            <w:pPr>
              <w:snapToGrid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五、其他配套教学资源</w:t>
            </w:r>
          </w:p>
          <w:p w14:paraId="3EDDADC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1、六轴机器人搬运工作站：通过示教器编写搬运程序，控制六轴机器人从一侧输送线上吸附物料，搬运至另一侧输送线上，设置搬运速度、抓取位置等参数，掌握机器人搬运的示教编程与运动控制方法。</w:t>
            </w:r>
          </w:p>
          <w:p w14:paraId="092026E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机器人视觉搬运工作站：搭建视觉识别系统与机器人搬运系统，通过视觉识别工件颜色，PLC根据识别结果控制机器人抓取物料入库或销毁，实现视觉与机器人的协同控制，掌握机器人视觉搬运的核心操作方法。</w:t>
            </w:r>
          </w:p>
          <w:p w14:paraId="1B83C05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3、六轴机器人砖块垒墙仿真：通过示教器编写垒墙程序，控制机器人拾取大砖、小砖，按照指定顺序完成矩形墙面的垒墙操作，掌握机器人复杂轨迹的示教编程方法。</w:t>
            </w:r>
          </w:p>
          <w:p w14:paraId="62F73DD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4、机器人焊接工作站：通过示教器进行焊接编程，控制机器人根据示教轨迹完成焊接件的弧焊操作，模拟真实焊接场景，掌握机器人焊接的示教编程方法，需要至少包含弧焊、激光熔覆焊接。 </w:t>
            </w:r>
          </w:p>
          <w:p w14:paraId="04397A92">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七轴机器人上下料工作站：使用机器人示教器编写上下料动作程序，利用PLC轴控制功能控制机器人第七轴，通过PLC与机器人的通讯配合，实现七轴机器人对机床的上下料操作；工作站包含物料生成、输送线、地轨、六轴机器人、数控机床等，输送线用于工件输送，七轴机器人用于物料搬运，掌握七轴机器人的协同控制与示教编程方法。</w:t>
            </w:r>
          </w:p>
          <w:p w14:paraId="19DD4D84">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6、钢珠罐装出入库：编写PLC与机器人协同控制程序，实现钢珠罐装出入库全流程仿真，具体要求如下：</w:t>
            </w:r>
          </w:p>
          <w:p w14:paraId="2CEE5A3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工艺设备：包含输送线、六轴机器人、轴承滚珠供料单元、盒盖供料单元、堆垛机、立体仓库、夹具库、暂存台等；</w:t>
            </w:r>
          </w:p>
          <w:p w14:paraId="3CF02FB7">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工艺流程：通过输送线运送盒盖，小型堆垛机完成出入库操作；机器人接收到PLC发送的启动信号后，执行快换末端操作，夹取物料盒并搬运至指定位置；钢珠供料机构根据触摸屏设定的数量自动装珠，装珠完毕后机器人吸取盒盖完成安装，最终将成品件放置回暂存台，等待堆垛机入库，掌握复杂工作站的机器人与PLC协同控制方法。</w:t>
            </w:r>
          </w:p>
          <w:p w14:paraId="2DE19300">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7、双色钢珠装配称重入库：编写PLC与机器人协同控制程序，实现双色钢珠装配称重入库全流程仿真，具体要求如下：</w:t>
            </w:r>
          </w:p>
          <w:p w14:paraId="2DEC7810">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工艺设备：包含输送线、六轴机器人、灌装机构、盒盖供料单元、视觉检测台、堆垛机、立体仓库、夹具库、暂存台、称重台等；</w:t>
            </w:r>
          </w:p>
          <w:p w14:paraId="3D53E92D">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工艺流程：通过输送线运送盒盖，小型堆垛机完成出入库操作；机器人接收到PLC启动信号后，执行快换末端操作，夹取物料盒并搬运至指定位置；钢珠供料机构根据触摸屏设定数量自动完成双色装珠，装珠完毕后进行称重检测，根据重量判断是否存在杂色钢珠（存在则进入废品销毁，不存在则安装盒盖），最终将成品件放置回暂存台，等待堆垛机入库，掌握多环节协同控制与质量检测的机器人应用方法。</w:t>
            </w:r>
          </w:p>
          <w:p w14:paraId="0361015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机器人装配轨迹绘图工作站：编写PLC程序，控制机器人根据程序设定更换不同末端执行器，完成颜色分拣、装配、入库、轨迹绘图等功能；工作站包含工业机器人、输送线、颜色传感器、仓储台、装配台、夹具库、绘图单元等，掌握机器人多任务协同控制与末端执行器切换方法。</w:t>
            </w:r>
          </w:p>
          <w:p w14:paraId="056BBF4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9、工业指示灯自动装配生产线：编写PLC与机器人协同控制程序，真实还原工业指示灯无人化装配场景，实现工业指示灯的供料运输、装配拧盖、通电测试、包装入库全流程仿真；工作站包含工作台架、工业机器人、灯体供料单元、内衬供料单元、盒盖供料单元、装配拧盖单元、包装单元、通电测试单元、视觉检测单元、夹具库等，掌握工业生产线的机器人全流程控制方法。</w:t>
            </w:r>
          </w:p>
          <w:p w14:paraId="4D4543E5">
            <w:pPr>
              <w:snapToGrid w:val="0"/>
              <w:spacing w:line="360" w:lineRule="auto"/>
              <w:jc w:val="left"/>
              <w:rPr>
                <w:rFonts w:hint="eastAsia" w:ascii="宋体" w:hAnsi="宋体" w:eastAsia="宋体" w:cs="宋体"/>
                <w:sz w:val="24"/>
                <w:szCs w:val="24"/>
              </w:rPr>
            </w:pPr>
            <w:r>
              <w:rPr>
                <w:rFonts w:hint="eastAsia" w:ascii="宋体" w:hAnsi="宋体" w:eastAsia="宋体" w:cs="宋体"/>
                <w:b/>
                <w:bCs/>
                <w:sz w:val="24"/>
                <w:szCs w:val="24"/>
              </w:rPr>
              <w:t>六、工业机器人离线编程软件</w:t>
            </w:r>
            <w:r>
              <w:rPr>
                <w:rFonts w:hint="eastAsia" w:ascii="宋体" w:hAnsi="宋体" w:eastAsia="宋体" w:cs="宋体"/>
                <w:sz w:val="24"/>
                <w:szCs w:val="24"/>
              </w:rPr>
              <w:t xml:space="preserve"> </w:t>
            </w:r>
          </w:p>
          <w:p w14:paraId="2FCE694F">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●1、软件需提供40个以上品牌、500个以上不同型号的工业机器人进行场景搭建、轨迹规划、运动仿真和程序代码生成等操作；</w:t>
            </w:r>
            <w:r>
              <w:rPr>
                <w:rFonts w:hint="eastAsia" w:ascii="宋体" w:hAnsi="宋体" w:eastAsia="宋体" w:cs="宋体"/>
                <w:b/>
                <w:bCs/>
                <w:sz w:val="24"/>
                <w:szCs w:val="24"/>
              </w:rPr>
              <w:t>（投标文件中需提供符合上述功能的软件截图，中标后招标人有权进行功能检验）</w:t>
            </w:r>
          </w:p>
          <w:p w14:paraId="0720C7D0">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●2、轨迹生成基于CAD数据、可通过拾取实体模型、曲面或曲线等模型特征快速生成设备运动轨迹；</w:t>
            </w:r>
            <w:r>
              <w:rPr>
                <w:rFonts w:hint="eastAsia" w:ascii="宋体" w:hAnsi="宋体" w:eastAsia="宋体" w:cs="宋体"/>
                <w:b/>
                <w:bCs/>
                <w:sz w:val="24"/>
                <w:szCs w:val="24"/>
              </w:rPr>
              <w:t>（投标文件中需提供符合上述功能的软件截图，中标后招标人有权进行功能检验）</w:t>
            </w:r>
          </w:p>
          <w:p w14:paraId="2F7DF063">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3、对生成的轨迹可进行分组管理，对不同轨迹组可以实现注释、删除等操作,实现对相似轨迹的统一管理；</w:t>
            </w:r>
          </w:p>
          <w:p w14:paraId="574D684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■4、支持将仿真结果输出为3D仿真动画并上传云端自动生成二维码和链接，手机扫描二维码可缩放、平移仿真界面查看仿真流程，浏览器打开链接可以直接播放仿真流程，并可自由缩放和切换观看视角；</w:t>
            </w:r>
            <w:r>
              <w:rPr>
                <w:rFonts w:hint="eastAsia" w:ascii="宋体" w:hAnsi="宋体" w:eastAsia="宋体" w:cs="宋体"/>
                <w:b/>
                <w:bCs/>
                <w:sz w:val="24"/>
                <w:szCs w:val="24"/>
              </w:rPr>
              <w:t>（投标文件中需提供符合上述功能的演示视频，视频时长不超过3分钟，中标后招标人有权进行功能检验）</w:t>
            </w:r>
          </w:p>
          <w:p w14:paraId="4DFFE229">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5、提供机器人运动节拍分析功能，可在性能分析界面查看机器人平均速度、总距离、总轨迹点数、总时间、节拍以及单条轨迹的长度、时间、平均速度、轨迹点数等信息，方便用户查看机器人工作效率；</w:t>
            </w:r>
          </w:p>
          <w:p w14:paraId="01F7F5FC">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6、可实现机器人运行仿真和程序代码分屏同步调试运行，显示程序代码的行号、数字、注释、指令等信息，程序指针可实现实时查看机器人运行点位；</w:t>
            </w:r>
          </w:p>
          <w:p w14:paraId="310E820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7、具备轨迹优化功能，通过图形化方式展示机器人工作的最优区域，并通过调整曲线让机器人处于工作最优区内，解决不可达、轴超限和奇异点的问题；</w:t>
            </w:r>
          </w:p>
          <w:p w14:paraId="50388E5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8、具有贴图功能，可通过贴图代替或简化离线编程软件虚拟场景中复杂的模型搭建，最大限度减小模型的大小；可极大加快绘图区的刷新帧速率，使绘图区操作响应更加灵敏。</w:t>
            </w:r>
          </w:p>
          <w:p w14:paraId="22F29407">
            <w:pPr>
              <w:snapToGrid w:val="0"/>
              <w:spacing w:line="360" w:lineRule="auto"/>
              <w:jc w:val="left"/>
              <w:rPr>
                <w:rFonts w:hint="eastAsia" w:ascii="宋体" w:hAnsi="宋体" w:eastAsia="宋体" w:cs="宋体"/>
                <w:sz w:val="24"/>
                <w:szCs w:val="24"/>
                <w:highlight w:val="yellow"/>
              </w:rPr>
            </w:pPr>
            <w:r>
              <w:rPr>
                <w:rFonts w:hint="eastAsia" w:ascii="宋体" w:hAnsi="宋体" w:eastAsia="宋体" w:cs="宋体"/>
                <w:sz w:val="24"/>
                <w:szCs w:val="24"/>
              </w:rPr>
              <w:t>●9、软件集成多类型、多行业在线工作站；集成全国职业院校技能大赛至少一个赛项的工作站，方便在线模拟训练；</w:t>
            </w:r>
            <w:r>
              <w:rPr>
                <w:rFonts w:hint="eastAsia" w:ascii="宋体" w:hAnsi="宋体" w:eastAsia="宋体" w:cs="宋体"/>
                <w:b/>
                <w:bCs/>
                <w:sz w:val="24"/>
                <w:szCs w:val="24"/>
              </w:rPr>
              <w:t>（投标文件中需提供符合上述功能的软件截图，中标后招标人有权进行功能检验）</w:t>
            </w:r>
          </w:p>
          <w:p w14:paraId="7D7BBE8D">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10、可实现软件问题交流在线化；作品分享展示在线化；软件在线资源更新实时化</w:t>
            </w:r>
          </w:p>
          <w:p w14:paraId="70BB5AD0">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11、利用云服务平台，实时把控前端软件考试活动进度；考试结果通过云端智能算法自动进行打分评判；考试全程远程、自动化运行；</w:t>
            </w:r>
          </w:p>
          <w:p w14:paraId="1488EDB2">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●12、支持开放的拓展指令功能，用户可根据机器人指令自行配置工艺参数模板，再通过给轨迹点添加相关的参数内容即可实现工艺指令参数化控制；</w:t>
            </w:r>
            <w:r>
              <w:rPr>
                <w:rFonts w:hint="eastAsia" w:ascii="宋体" w:hAnsi="宋体" w:eastAsia="宋体" w:cs="宋体"/>
                <w:b/>
                <w:bCs/>
                <w:sz w:val="24"/>
                <w:szCs w:val="24"/>
              </w:rPr>
              <w:t>（投标文件中需提供符合上述功能的软件截图，中标后招标人有权进行功能检验）</w:t>
            </w:r>
          </w:p>
          <w:p w14:paraId="132FD01B">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13、软件具备输出视频功能，可将绘图区的仿真效果通过参数控制，输出为MP4、avi、mkv等格式的视频文件并保存在本地磁盘；</w:t>
            </w:r>
          </w:p>
          <w:p w14:paraId="6AF9333D">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14、支持视向动画，通过对仿真流程不同时间节点添加视图，可实现在仿真过程中自定切换设置的不同视角查看仿真流程；</w:t>
            </w:r>
          </w:p>
          <w:p w14:paraId="35C4CF05">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●15、支持C/C++、Python等语言开发，软件可实现通过调用编写的Python脚本导入零件模型，生成机器人轨迹；</w:t>
            </w:r>
            <w:r>
              <w:rPr>
                <w:rFonts w:hint="eastAsia" w:ascii="宋体" w:hAnsi="宋体" w:eastAsia="宋体" w:cs="宋体"/>
                <w:b/>
                <w:bCs/>
                <w:sz w:val="24"/>
                <w:szCs w:val="24"/>
              </w:rPr>
              <w:t>（投标文件中需提供符合上述功能的软件截图，中标后招标人有权进行功能检验）</w:t>
            </w:r>
          </w:p>
          <w:p w14:paraId="0E495CAA">
            <w:pPr>
              <w:tabs>
                <w:tab w:val="left" w:pos="312"/>
              </w:tabs>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七、控制终端</w:t>
            </w:r>
          </w:p>
          <w:p w14:paraId="41284FE8">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1、终端配置：</w:t>
            </w:r>
          </w:p>
          <w:p w14:paraId="41361BF2">
            <w:pPr>
              <w:tabs>
                <w:tab w:val="left" w:pos="312"/>
              </w:tabs>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（1）CPU：≥8核（含多线程），主频≥3.0GHz，三级缓存≥12MB；投标人需注明CPU品牌型号，评标时按公开参数核验，不以特定型号名为准；</w:t>
            </w:r>
          </w:p>
          <w:p w14:paraId="465E13DB">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（2）内存：≥16GB DDR4/DDR5（单条或可扩展至16GB以上均可），预留扩展槽位；</w:t>
            </w:r>
          </w:p>
          <w:p w14:paraId="67F7B7FF">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存储：≥512GB SSD（NVMe优先，SATA SSD可接受），读速≥500MB/s；</w:t>
            </w:r>
          </w:p>
          <w:p w14:paraId="6FE34113">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（3）显卡：独立显卡或高性能核显均可，需满足：</w:t>
            </w:r>
          </w:p>
          <w:p w14:paraId="0CA04689">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支持≥2路独立显示输出（HDMI/DP）</w:t>
            </w:r>
          </w:p>
          <w:p w14:paraId="5EFCD20D">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支持OpenGL 4.x / DirectX 12</w:t>
            </w:r>
          </w:p>
          <w:p w14:paraId="6B82FE93">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图形内存≥4GB（独显显存或共享均可）</w:t>
            </w:r>
          </w:p>
          <w:p w14:paraId="6BF6CA8A">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能满足三维仿真软件（数字孪生场景渲染/机器人仿真）流畅运行（投标人可附常见软件的最低/推荐配置对标说明）；</w:t>
            </w:r>
          </w:p>
          <w:p w14:paraId="362CF22C">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（4）电源：≥300W 品牌电源，带过载保护；</w:t>
            </w:r>
          </w:p>
          <w:p w14:paraId="06EB52F7">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（5）机箱：标准塔式或小型工控机箱均可，需预留标准PCI/PCIe扩展空间≥1个；</w:t>
            </w:r>
          </w:p>
          <w:p w14:paraId="4BC4D28A">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（6）显示器：≥23.8英寸，分辨率≥1920×1080，IPS或等效广视角面板，配HDMI/DP线缆；</w:t>
            </w:r>
          </w:p>
          <w:p w14:paraId="684D860D">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（7）预装要求：提供正版操作系统授权证明（或投标人提供合规的OEM授权方案）+驱动完整安装；</w:t>
            </w:r>
          </w:p>
          <w:p w14:paraId="7085260E">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2、配套桌椅</w:t>
            </w:r>
          </w:p>
          <w:p w14:paraId="2183232F">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（1）规格：不小于长1200mm*宽600mm*高750mm；</w:t>
            </w:r>
          </w:p>
          <w:p w14:paraId="4B465442">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（2）桌面采用不小于25mm厚压缩颗粒板，带穿线孔；</w:t>
            </w:r>
          </w:p>
          <w:p w14:paraId="1CB14916">
            <w:pPr>
              <w:tabs>
                <w:tab w:val="left" w:pos="312"/>
              </w:tabs>
              <w:spacing w:line="360" w:lineRule="auto"/>
              <w:jc w:val="left"/>
              <w:rPr>
                <w:rFonts w:hint="eastAsia" w:ascii="宋体" w:hAnsi="宋体" w:eastAsia="宋体" w:cs="宋体"/>
                <w:sz w:val="24"/>
                <w:szCs w:val="24"/>
              </w:rPr>
            </w:pPr>
            <w:r>
              <w:rPr>
                <w:rFonts w:hint="eastAsia" w:ascii="宋体" w:hAnsi="宋体" w:eastAsia="宋体" w:cs="宋体"/>
                <w:sz w:val="24"/>
                <w:szCs w:val="24"/>
              </w:rPr>
              <w:t>（3）桌腿规格不小于20mm*40mm*1.0mm方钢管，桌腿中间封板采用不小于0.7mm钢板制作，折弯成型，带穿线功能，后置结构，保证线不外漏，外面布局散热孔。</w:t>
            </w:r>
          </w:p>
          <w:p w14:paraId="464AE384">
            <w:pPr>
              <w:spacing w:line="360" w:lineRule="auto"/>
              <w:rPr>
                <w:rFonts w:hint="eastAsia" w:ascii="宋体" w:hAnsi="宋体" w:eastAsia="宋体" w:cs="宋体"/>
                <w:sz w:val="24"/>
                <w:szCs w:val="24"/>
              </w:rPr>
            </w:pPr>
            <w:r>
              <w:rPr>
                <w:rFonts w:hint="eastAsia" w:ascii="宋体" w:hAnsi="宋体" w:eastAsia="宋体" w:cs="宋体"/>
                <w:sz w:val="24"/>
                <w:szCs w:val="24"/>
              </w:rPr>
              <w:t>（4）工艺釆用激光切割、模具冲压、折弯、组焊接成型，喷涂、装配而成。焊接部分采用高标准熔接焊,确保表面平整光滑，焊接点牢固、无虚焊。整体表面经酸洗、水洗、磷化、水洗、钝化等。凳子面同材质，规格不小于长340mm宽240mm高440mm，不小于25*25方管，不小于1.0mm厚。</w:t>
            </w:r>
          </w:p>
        </w:tc>
        <w:tc>
          <w:tcPr>
            <w:tcW w:w="481" w:type="pct"/>
            <w:vAlign w:val="center"/>
          </w:tcPr>
          <w:p w14:paraId="767A70C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4套</w:t>
            </w:r>
          </w:p>
        </w:tc>
        <w:tc>
          <w:tcPr>
            <w:tcW w:w="459" w:type="pct"/>
            <w:vAlign w:val="center"/>
          </w:tcPr>
          <w:p w14:paraId="4EDC7363">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工业</w:t>
            </w:r>
          </w:p>
        </w:tc>
        <w:tc>
          <w:tcPr>
            <w:tcW w:w="345" w:type="pct"/>
            <w:vAlign w:val="center"/>
          </w:tcPr>
          <w:p w14:paraId="42BBA391">
            <w:pPr>
              <w:spacing w:line="360" w:lineRule="auto"/>
              <w:jc w:val="center"/>
              <w:rPr>
                <w:rFonts w:hint="eastAsia" w:ascii="宋体" w:hAnsi="宋体" w:eastAsia="宋体" w:cs="宋体"/>
                <w:bCs/>
                <w:sz w:val="24"/>
                <w:szCs w:val="24"/>
              </w:rPr>
            </w:pPr>
          </w:p>
        </w:tc>
      </w:tr>
    </w:tbl>
    <w:p w14:paraId="736BA390">
      <w:pPr>
        <w:spacing w:line="360" w:lineRule="auto"/>
        <w:outlineLvl w:val="1"/>
        <w:rPr>
          <w:rFonts w:hint="eastAsia" w:ascii="宋体" w:hAnsi="宋体" w:eastAsia="宋体"/>
          <w:b/>
          <w:bCs/>
          <w:sz w:val="24"/>
          <w:szCs w:val="18"/>
        </w:rPr>
      </w:pPr>
    </w:p>
    <w:p w14:paraId="032460FD">
      <w:pPr>
        <w:pStyle w:val="7"/>
        <w:spacing w:line="360" w:lineRule="auto"/>
        <w:ind w:left="0" w:leftChars="0" w:firstLine="0" w:firstLineChars="0"/>
        <w:rPr>
          <w:rFonts w:hint="eastAsia" w:ascii="宋体" w:hAnsi="宋体" w:eastAsia="宋体" w:cs="宋体"/>
          <w:bCs/>
          <w:kern w:val="0"/>
          <w:sz w:val="24"/>
          <w:szCs w:val="24"/>
          <w:shd w:val="clear" w:color="auto" w:fill="FFFFFF" w:themeFill="background1"/>
        </w:rPr>
      </w:pPr>
      <w:r>
        <w:rPr>
          <w:rFonts w:hint="eastAsia" w:ascii="宋体" w:hAnsi="宋体" w:eastAsia="宋体" w:cs="宋体"/>
          <w:bCs/>
          <w:kern w:val="0"/>
          <w:sz w:val="24"/>
          <w:szCs w:val="24"/>
          <w:shd w:val="clear" w:color="auto" w:fill="FFFFFF" w:themeFill="background1"/>
        </w:rPr>
        <w:t>注：1.</w:t>
      </w:r>
      <w:r>
        <w:rPr>
          <w:rFonts w:hint="eastAsia" w:ascii="宋体" w:hAnsi="宋体" w:eastAsia="宋体" w:cs="宋体"/>
          <w:bCs/>
          <w:sz w:val="24"/>
          <w:szCs w:val="24"/>
          <w:shd w:val="clear" w:color="auto" w:fill="FFFFFF" w:themeFill="background1"/>
        </w:rPr>
        <w:t>货物指标要求清单中</w:t>
      </w:r>
      <w:r>
        <w:rPr>
          <w:rFonts w:hint="eastAsia" w:ascii="宋体" w:hAnsi="宋体" w:eastAsia="宋体" w:cs="宋体"/>
          <w:bCs/>
          <w:kern w:val="0"/>
          <w:sz w:val="24"/>
          <w:szCs w:val="24"/>
          <w:shd w:val="clear" w:color="auto" w:fill="FFFFFF" w:themeFill="background1"/>
        </w:rPr>
        <w:t>如某项标识中包含多条技术参数或要求，则该项标识所含内容均需满足或优于招标文件要求，否则不予认可。</w:t>
      </w:r>
    </w:p>
    <w:p w14:paraId="605340BF">
      <w:pPr>
        <w:widowControl/>
        <w:spacing w:line="360" w:lineRule="auto"/>
        <w:ind w:firstLine="480" w:firstLineChars="200"/>
        <w:jc w:val="left"/>
        <w:rPr>
          <w:rFonts w:hint="eastAsia" w:ascii="宋体" w:hAnsi="宋体" w:eastAsia="宋体"/>
          <w:bCs/>
          <w:shd w:val="clear" w:color="auto" w:fill="FFFFFF" w:themeFill="background1"/>
        </w:rPr>
      </w:pPr>
      <w:r>
        <w:rPr>
          <w:rFonts w:hint="eastAsia" w:ascii="宋体" w:hAnsi="宋体" w:eastAsia="宋体" w:cs="宋体"/>
          <w:bCs/>
          <w:kern w:val="0"/>
          <w:sz w:val="24"/>
          <w:szCs w:val="24"/>
          <w:shd w:val="clear" w:color="auto" w:fill="FFFFFF" w:themeFill="background1"/>
        </w:rPr>
        <w:t>2.所有产品的技术参数及要求，采购人验收时将逐条核对，如发现与实际情况不符、虚假响应等，采购人有权报监管部门按规定处理，由此产生的责任与后果均由中标人自行承担。</w:t>
      </w:r>
    </w:p>
    <w:p w14:paraId="686C37D7">
      <w:pPr>
        <w:pStyle w:val="2"/>
        <w:spacing w:line="360" w:lineRule="auto"/>
        <w:rPr>
          <w:rFonts w:hint="eastAsia" w:ascii="宋体" w:hAnsi="宋体" w:eastAsia="宋体" w:cs="宋体"/>
          <w:bCs w:val="0"/>
          <w:sz w:val="24"/>
          <w:szCs w:val="24"/>
        </w:rPr>
      </w:pPr>
      <w:r>
        <w:rPr>
          <w:rFonts w:hint="eastAsia" w:ascii="宋体" w:hAnsi="宋体" w:eastAsia="宋体" w:cs="宋体"/>
          <w:bCs w:val="0"/>
          <w:sz w:val="24"/>
          <w:szCs w:val="24"/>
        </w:rPr>
        <w:t>三、安装调试、质保及售后服务要求</w:t>
      </w:r>
    </w:p>
    <w:p w14:paraId="4E578633">
      <w:pPr>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1、中标人免费安装、调试、培训且提供具体的培训方案。</w:t>
      </w:r>
    </w:p>
    <w:p w14:paraId="30559D67">
      <w:pPr>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2、所有设备物品为全新产品，质保期验收合格之日起，整机质保2年。</w:t>
      </w:r>
    </w:p>
    <w:p w14:paraId="6AB46E33">
      <w:pPr>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3、所有设备验收时必须现场操作所列功能，可以正常使用，涉及到耗材等由中标方提供。</w:t>
      </w:r>
    </w:p>
    <w:p w14:paraId="1E9A5CEA">
      <w:pPr>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4、维修响应：中标人在保修期内接到用户电话后，在1小时内响应，12小时内到达现场，24小时以内解决问题，不能修复的必须采取无偿更换设备措施，以保证用户的正常使用。保修期外供中标人终生提供零配件及维修保养，可收取维修成本。</w:t>
      </w:r>
    </w:p>
    <w:p w14:paraId="7C9241C4">
      <w:pPr>
        <w:rPr>
          <w:rFonts w:hint="eastAsia"/>
        </w:rPr>
      </w:pPr>
    </w:p>
    <w:p w14:paraId="1747A700">
      <w:pPr>
        <w:pStyle w:val="2"/>
        <w:spacing w:line="360" w:lineRule="auto"/>
        <w:rPr>
          <w:rFonts w:hint="eastAsia" w:ascii="宋体" w:hAnsi="宋体" w:eastAsia="宋体" w:cs="宋体"/>
          <w:bCs w:val="0"/>
          <w:sz w:val="24"/>
          <w:szCs w:val="24"/>
        </w:rPr>
      </w:pPr>
      <w:r>
        <w:rPr>
          <w:rFonts w:hint="eastAsia" w:ascii="宋体" w:hAnsi="宋体" w:eastAsia="宋体" w:cs="宋体"/>
          <w:bCs w:val="0"/>
          <w:sz w:val="24"/>
          <w:szCs w:val="24"/>
        </w:rPr>
        <w:t>四、报价要求</w:t>
      </w:r>
    </w:p>
    <w:p w14:paraId="1EFEEAAF">
      <w:pPr>
        <w:spacing w:line="360" w:lineRule="auto"/>
        <w:rPr>
          <w:rFonts w:hint="eastAsia" w:ascii="宋体" w:hAnsi="宋体" w:eastAsia="宋体" w:cs="宋体"/>
          <w:bCs/>
          <w:sz w:val="24"/>
          <w:szCs w:val="24"/>
        </w:rPr>
      </w:pPr>
      <w:r>
        <w:rPr>
          <w:rFonts w:hint="eastAsia" w:ascii="宋体" w:hAnsi="宋体" w:eastAsia="宋体" w:cs="宋体"/>
          <w:bCs/>
          <w:sz w:val="24"/>
          <w:szCs w:val="24"/>
        </w:rPr>
        <w:t>本项目报投标总价，</w:t>
      </w:r>
      <w:r>
        <w:rPr>
          <w:rFonts w:hint="eastAsia" w:ascii="宋体" w:hAnsi="宋体" w:eastAsia="宋体"/>
          <w:bCs/>
          <w:sz w:val="24"/>
          <w:szCs w:val="18"/>
        </w:rPr>
        <w:t>最高限价</w:t>
      </w:r>
      <w:r>
        <w:rPr>
          <w:rFonts w:hint="eastAsia" w:ascii="宋体" w:hAnsi="宋体"/>
          <w:sz w:val="24"/>
          <w:szCs w:val="24"/>
        </w:rPr>
        <w:t>288</w:t>
      </w:r>
      <w:r>
        <w:rPr>
          <w:rFonts w:hint="eastAsia" w:ascii="宋体" w:hAnsi="宋体" w:eastAsia="宋体"/>
          <w:bCs/>
          <w:sz w:val="24"/>
          <w:szCs w:val="18"/>
        </w:rPr>
        <w:t>万，超过</w:t>
      </w:r>
      <w:r>
        <w:rPr>
          <w:rFonts w:hint="eastAsia" w:ascii="宋体" w:hAnsi="宋体"/>
          <w:sz w:val="24"/>
          <w:szCs w:val="24"/>
        </w:rPr>
        <w:t>288</w:t>
      </w:r>
      <w:r>
        <w:rPr>
          <w:rFonts w:hint="eastAsia" w:ascii="宋体" w:hAnsi="宋体" w:eastAsia="宋体"/>
          <w:bCs/>
          <w:sz w:val="24"/>
          <w:szCs w:val="18"/>
        </w:rPr>
        <w:t>万投标无效，总价作为项目价格分计算依据，报价包含完成本项目的全部费用，采购人后期不再追加费用，请各投标人综合考虑，谨慎报价。</w:t>
      </w:r>
    </w:p>
    <w:p w14:paraId="01E82DED">
      <w:pPr>
        <w:pStyle w:val="2"/>
        <w:spacing w:line="360" w:lineRule="auto"/>
        <w:rPr>
          <w:rFonts w:hint="eastAsia" w:ascii="宋体" w:hAnsi="宋体" w:eastAsia="宋体" w:cs="宋体"/>
          <w:bCs w:val="0"/>
          <w:sz w:val="24"/>
          <w:szCs w:val="24"/>
        </w:rPr>
      </w:pPr>
      <w:r>
        <w:rPr>
          <w:rFonts w:hint="eastAsia" w:ascii="宋体" w:hAnsi="宋体" w:eastAsia="宋体" w:cs="宋体"/>
          <w:bCs w:val="0"/>
          <w:sz w:val="24"/>
          <w:szCs w:val="24"/>
        </w:rPr>
        <w:t>五、其他要求</w:t>
      </w:r>
    </w:p>
    <w:p w14:paraId="6A2DCD8B">
      <w:pPr>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1、包装和运输要求：中标人交付的全部货物，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中标人承担。</w:t>
      </w:r>
    </w:p>
    <w:p w14:paraId="5FB0E82B">
      <w:pPr>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2、验收要求：</w:t>
      </w:r>
    </w:p>
    <w:p w14:paraId="3A78872C">
      <w:pPr>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（1）货物交付前，中标人应对货物的质量、数量等方面进行详细、全面的检验，并向甲方出具证明货物符合合同约定的文件；</w:t>
      </w:r>
      <w:r>
        <w:rPr>
          <w:rFonts w:hint="eastAsia" w:ascii="宋体" w:hAnsi="宋体" w:eastAsia="宋体" w:cs="宋体"/>
          <w:b/>
          <w:sz w:val="24"/>
          <w:szCs w:val="24"/>
        </w:rPr>
        <w:t>合同签订后供货前，如采购人有要求，中标人在应接到采购人通知后3个工作日内提供实物到采购人指定地点进行功能逐项验证，验证内容须与其投标文件响应内容一致，如在规定时间内不提供验证或验证不满足要求的，采购人有权拒绝验货，同时追究中标人相应责任；</w:t>
      </w:r>
      <w:r>
        <w:rPr>
          <w:rFonts w:hint="eastAsia" w:ascii="宋体" w:hAnsi="宋体" w:eastAsia="宋体" w:cs="宋体"/>
          <w:bCs/>
          <w:sz w:val="24"/>
          <w:szCs w:val="24"/>
        </w:rPr>
        <w:t>货物交付时，中标人在约定时间内组织验收，并可依法邀请相关方参加，验收应出具验收书。</w:t>
      </w:r>
    </w:p>
    <w:p w14:paraId="44AE0771">
      <w:pPr>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2）合同期满或者履行完毕后，采购人有权组织（包括依法邀请国家认可的质量检测机构参加）对中标人履约的验收，即：按照合同约定的技术、服务、安全标准，组织对每一项技术、服务、安全标准的履约情况的验收，并出具验收书。</w:t>
      </w:r>
    </w:p>
    <w:p w14:paraId="6CCF0B33">
      <w:pPr>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3、知识产权要求：中标人应保证采购人在使用该货物或其任何一部分时不受任何第三方提出的侵犯其著作权、商标权、专利权等知识产权方面的起诉；如果任何第三方提出侵权指控，那么乙方须与该第三方交涉并承担由此发生的一切责任、费用和赔偿。</w:t>
      </w:r>
    </w:p>
    <w:p w14:paraId="4567B33D">
      <w:pPr>
        <w:spacing w:line="360" w:lineRule="auto"/>
        <w:ind w:firstLine="437"/>
        <w:rPr>
          <w:rFonts w:hint="eastAsia" w:ascii="宋体" w:hAnsi="宋体" w:eastAsia="宋体"/>
          <w:bCs/>
          <w:sz w:val="24"/>
          <w:szCs w:val="18"/>
        </w:rPr>
      </w:pPr>
      <w:r>
        <w:rPr>
          <w:rFonts w:hint="eastAsia" w:ascii="宋体" w:hAnsi="宋体" w:eastAsia="宋体" w:cs="宋体"/>
          <w:bCs/>
          <w:sz w:val="24"/>
          <w:szCs w:val="24"/>
        </w:rPr>
        <w:t>4、所投产品若含有国家强制性要求的，必须符合国家现行的规定和要求</w:t>
      </w:r>
      <w:r>
        <w:rPr>
          <w:rFonts w:hint="eastAsia" w:ascii="宋体" w:hAnsi="宋体" w:eastAsia="宋体"/>
          <w:bCs/>
          <w:sz w:val="24"/>
          <w:szCs w:val="18"/>
        </w:rPr>
        <w:t>。</w:t>
      </w:r>
    </w:p>
    <w:p w14:paraId="5B141B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789986"/>
    <w:multiLevelType w:val="singleLevel"/>
    <w:tmpl w:val="BB789986"/>
    <w:lvl w:ilvl="0" w:tentative="0">
      <w:start w:val="1"/>
      <w:numFmt w:val="chineseCounting"/>
      <w:suff w:val="nothing"/>
      <w:lvlText w:val="（%1）"/>
      <w:lvlJc w:val="left"/>
      <w:rPr>
        <w:rFonts w:hint="eastAsia"/>
      </w:rPr>
    </w:lvl>
  </w:abstractNum>
  <w:abstractNum w:abstractNumId="1">
    <w:nsid w:val="32631E18"/>
    <w:multiLevelType w:val="singleLevel"/>
    <w:tmpl w:val="32631E18"/>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817B1B"/>
    <w:rsid w:val="4F817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envelope return"/>
    <w:basedOn w:val="1"/>
    <w:next w:val="5"/>
    <w:qFormat/>
    <w:uiPriority w:val="99"/>
    <w:pPr>
      <w:snapToGrid w:val="0"/>
    </w:pPr>
    <w:rPr>
      <w:rFonts w:ascii="Arial" w:hAnsi="Arial" w:cs="Arial"/>
    </w:rPr>
  </w:style>
  <w:style w:type="paragraph" w:styleId="5">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unhideWhenUsed/>
    <w:qFormat/>
    <w:uiPriority w:val="99"/>
    <w:pPr>
      <w:ind w:firstLine="420" w:firstLineChars="200"/>
    </w:pPr>
    <w:rPr>
      <w:rFonts w:ascii="Times New Roman" w:cs="Times New Roman"/>
    </w:rPr>
  </w:style>
  <w:style w:type="paragraph" w:customStyle="1" w:styleId="10">
    <w:name w:val="D&amp;L"/>
    <w:basedOn w:val="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2026-08-11T07:44:00Z</dcterms:created>
  <dc:creator>fitttt</dc:creator>
  <cp:lastModifiedBy>fitttt</cp:lastModifiedBy>
  <dcterms:modified xsi:type="dcterms:W3CDTF">2026-08-11T07:45:21Z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034F6DDF29B04DAA91CF74084CDC82E5_11</vt:lpwstr>
  </property>
  <property fmtid="{D5CDD505-2E9C-101B-9397-08002B2CF9AE}" pid="4" name="KSOTemplateDocerSaveRecord">
    <vt:lpwstr>eyJoZGlkIjoiNjc2Y2I4ZTQ1YjAxMzBjM2UzZDZjMGJkY2U3OTQ2NjAiLCJ1c2VySWQiOiIyOTA3MjE4MzQifQ==</vt:lpwstr>
  </property>
</Properties>
</file>