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DD4E6">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p>
    <w:p w14:paraId="1A4D4523">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p>
    <w:p w14:paraId="2162116E">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bookmarkStart w:id="0" w:name="_Hlk9544796"/>
      <w:r>
        <w:rPr>
          <w:rFonts w:hint="eastAsia" w:ascii="宋体" w:hAnsi="宋体" w:eastAsia="宋体"/>
          <w:b/>
          <w:bCs/>
          <w:sz w:val="52"/>
          <w:szCs w:val="52"/>
        </w:rPr>
        <w:t>安徽省政府采购项目</w:t>
      </w:r>
    </w:p>
    <w:p w14:paraId="4A4367E7">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公开招标文件示范文本</w:t>
      </w:r>
      <w:bookmarkEnd w:id="0"/>
      <w:r>
        <w:rPr>
          <w:rFonts w:hint="eastAsia" w:ascii="宋体" w:hAnsi="宋体" w:eastAsia="宋体"/>
          <w:b/>
          <w:bCs/>
          <w:sz w:val="52"/>
          <w:szCs w:val="52"/>
        </w:rPr>
        <w:t>（服务类）</w:t>
      </w:r>
    </w:p>
    <w:p w14:paraId="16F5D293">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（2024年版）</w:t>
      </w:r>
    </w:p>
    <w:p w14:paraId="6F9C1A15">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52A178CF">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17A48DAB">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1EDBA540">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6B5F50B4">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42A7FC08">
      <w:pPr>
        <w:tabs>
          <w:tab w:val="left" w:pos="2410"/>
        </w:tabs>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b/>
          <w:spacing w:val="20"/>
          <w:kern w:val="0"/>
          <w:sz w:val="32"/>
          <w:szCs w:val="32"/>
        </w:rPr>
        <w:t>项目名称：安徽理工大学2025年鄂尔多斯盆地深大冻结井筒井壁监测与结构优化关键技术研究及应用科研外协服务项目</w:t>
      </w:r>
    </w:p>
    <w:p w14:paraId="417C9573">
      <w:pPr>
        <w:tabs>
          <w:tab w:val="left" w:pos="2410"/>
        </w:tabs>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rPr>
        <w:fldChar w:fldCharType="begin"/>
      </w:r>
      <w:r>
        <w:rPr>
          <w:rFonts w:hint="eastAsia" w:ascii="宋体" w:hAnsi="宋体" w:eastAsia="宋体"/>
          <w:b/>
          <w:spacing w:val="20"/>
          <w:kern w:val="0"/>
          <w:sz w:val="32"/>
          <w:szCs w:val="32"/>
        </w:rPr>
        <w:instrText xml:space="preserve"> HYPERLINK "https://pay.anhui.zcygov.cn/purchaseplan_front/" \l "/plan/list/view?id=1000000000005245253&amp;_app_=zcy.procurement" \t "https://www.anhui.zcygov.cn/project-center/_procurement_/purchasePlans/_blank" </w:instrText>
      </w:r>
      <w:r>
        <w:rPr>
          <w:rFonts w:hint="eastAsia" w:ascii="宋体" w:hAnsi="宋体" w:eastAsia="宋体"/>
          <w:b/>
          <w:spacing w:val="20"/>
          <w:kern w:val="0"/>
          <w:sz w:val="32"/>
          <w:szCs w:val="32"/>
        </w:rPr>
        <w:fldChar w:fldCharType="separate"/>
      </w:r>
      <w:r>
        <w:rPr>
          <w:rFonts w:hint="eastAsia" w:ascii="宋体" w:hAnsi="宋体" w:eastAsia="宋体"/>
          <w:b/>
          <w:spacing w:val="20"/>
          <w:kern w:val="0"/>
          <w:sz w:val="32"/>
          <w:szCs w:val="32"/>
        </w:rPr>
        <w:t>FSSD34000120257852号</w:t>
      </w:r>
      <w:r>
        <w:rPr>
          <w:rFonts w:hint="eastAsia" w:ascii="宋体" w:hAnsi="宋体" w:eastAsia="宋体"/>
          <w:b/>
          <w:spacing w:val="20"/>
          <w:kern w:val="0"/>
          <w:sz w:val="32"/>
          <w:szCs w:val="32"/>
        </w:rPr>
        <w:fldChar w:fldCharType="end"/>
      </w:r>
    </w:p>
    <w:p w14:paraId="637E2EBF">
      <w:pPr>
        <w:tabs>
          <w:tab w:val="left" w:pos="2410"/>
        </w:tabs>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b/>
          <w:spacing w:val="20"/>
          <w:kern w:val="0"/>
          <w:sz w:val="32"/>
          <w:szCs w:val="32"/>
        </w:rPr>
        <w:t xml:space="preserve">采 购 人：安徽理工大学     </w:t>
      </w:r>
    </w:p>
    <w:p w14:paraId="7AD44AA5">
      <w:pPr>
        <w:tabs>
          <w:tab w:val="left" w:pos="2410"/>
        </w:tabs>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b/>
          <w:spacing w:val="20"/>
          <w:kern w:val="0"/>
          <w:sz w:val="32"/>
          <w:szCs w:val="32"/>
        </w:rPr>
        <w:t>采购代理机构：上海容基工程项目管理有限公司</w:t>
      </w:r>
    </w:p>
    <w:p w14:paraId="3D40A669">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743CD765">
      <w:pPr>
        <w:tabs>
          <w:tab w:val="left" w:pos="2410"/>
        </w:tabs>
        <w:autoSpaceDE w:val="0"/>
        <w:autoSpaceDN w:val="0"/>
        <w:adjustRightInd w:val="0"/>
        <w:snapToGrid w:val="0"/>
        <w:spacing w:line="360" w:lineRule="auto"/>
        <w:jc w:val="center"/>
        <w:rPr>
          <w:rFonts w:hint="eastAsia" w:ascii="宋体" w:hAnsi="宋体" w:eastAsia="宋体"/>
          <w:b/>
          <w:sz w:val="28"/>
        </w:rPr>
      </w:pPr>
      <w:r>
        <w:rPr>
          <w:rFonts w:hint="eastAsia" w:ascii="宋体" w:hAnsi="宋体" w:eastAsia="宋体"/>
          <w:b/>
          <w:sz w:val="36"/>
        </w:rPr>
        <w:t xml:space="preserve"> 2025 年1</w:t>
      </w:r>
      <w:r>
        <w:rPr>
          <w:rFonts w:hint="eastAsia" w:ascii="宋体" w:hAnsi="宋体" w:eastAsia="宋体"/>
          <w:b/>
          <w:sz w:val="36"/>
          <w:lang w:val="en-US" w:eastAsia="zh-CN"/>
        </w:rPr>
        <w:t>1</w:t>
      </w:r>
      <w:r>
        <w:rPr>
          <w:rFonts w:hint="eastAsia" w:ascii="宋体" w:hAnsi="宋体" w:eastAsia="宋体"/>
          <w:b/>
          <w:sz w:val="36"/>
        </w:rPr>
        <w:t>月</w:t>
      </w:r>
      <w:r>
        <w:rPr>
          <w:rFonts w:ascii="宋体" w:hAnsi="宋体" w:eastAsia="宋体"/>
          <w:b/>
          <w:sz w:val="36"/>
        </w:rPr>
        <w:br w:type="page"/>
      </w:r>
    </w:p>
    <w:p w14:paraId="5D2021F2">
      <w:pPr>
        <w:rPr>
          <w:rFonts w:hint="eastAsia" w:ascii="宋体" w:hAnsi="宋体" w:eastAsia="宋体"/>
          <w:b/>
          <w:sz w:val="28"/>
        </w:rPr>
      </w:pPr>
    </w:p>
    <w:p w14:paraId="34C31C41">
      <w:pPr>
        <w:tabs>
          <w:tab w:val="left" w:pos="2410"/>
        </w:tabs>
        <w:autoSpaceDE w:val="0"/>
        <w:autoSpaceDN w:val="0"/>
        <w:adjustRightInd w:val="0"/>
        <w:snapToGrid w:val="0"/>
        <w:spacing w:line="360" w:lineRule="auto"/>
        <w:jc w:val="center"/>
        <w:rPr>
          <w:rFonts w:hint="eastAsia" w:ascii="宋体" w:hAnsi="宋体" w:eastAsia="宋体"/>
          <w:b/>
          <w:sz w:val="28"/>
        </w:rPr>
      </w:pPr>
      <w:r>
        <w:rPr>
          <w:rFonts w:hint="eastAsia" w:ascii="宋体" w:hAnsi="宋体" w:eastAsia="宋体"/>
          <w:b/>
          <w:sz w:val="28"/>
        </w:rPr>
        <w:t>目  录</w:t>
      </w:r>
    </w:p>
    <w:p w14:paraId="3C1FAD33">
      <w:pPr>
        <w:pStyle w:val="18"/>
        <w:tabs>
          <w:tab w:val="right" w:leader="dot" w:pos="8306"/>
        </w:tabs>
      </w:pPr>
      <w:r>
        <w:rPr>
          <w:rFonts w:asciiTheme="minorEastAsia" w:hAnsiTheme="minorEastAsia"/>
          <w:b/>
          <w:sz w:val="24"/>
          <w:szCs w:val="24"/>
        </w:rPr>
        <w:fldChar w:fldCharType="begin"/>
      </w:r>
      <w:r>
        <w:rPr>
          <w:rFonts w:hint="eastAsia" w:asciiTheme="minorEastAsia" w:hAnsiTheme="minorEastAsia"/>
          <w:b/>
          <w:sz w:val="24"/>
          <w:szCs w:val="24"/>
        </w:rPr>
        <w:instrText xml:space="preserve">TOC \o "1-2" \h \z \u</w:instrText>
      </w:r>
      <w:r>
        <w:rPr>
          <w:rFonts w:asciiTheme="minorEastAsia" w:hAnsiTheme="minorEastAsia"/>
          <w:b/>
          <w:sz w:val="24"/>
          <w:szCs w:val="24"/>
        </w:rPr>
        <w:fldChar w:fldCharType="separate"/>
      </w:r>
      <w:r>
        <w:fldChar w:fldCharType="begin"/>
      </w:r>
      <w:r>
        <w:instrText xml:space="preserve"> HYPERLINK \l "_Toc32331" </w:instrText>
      </w:r>
      <w:r>
        <w:fldChar w:fldCharType="separate"/>
      </w:r>
      <w:r>
        <w:rPr>
          <w:rFonts w:hint="eastAsia" w:asciiTheme="minorEastAsia" w:hAnsiTheme="minorEastAsia"/>
        </w:rPr>
        <w:t xml:space="preserve">第一章 </w:t>
      </w:r>
      <w:r>
        <w:rPr>
          <w:rFonts w:asciiTheme="minorEastAsia" w:hAnsiTheme="minorEastAsia"/>
        </w:rPr>
        <w:t xml:space="preserve"> 投标邀请</w:t>
      </w:r>
      <w:r>
        <w:tab/>
      </w:r>
      <w:r>
        <w:fldChar w:fldCharType="begin"/>
      </w:r>
      <w:r>
        <w:instrText xml:space="preserve"> PAGEREF _Toc32331 \h </w:instrText>
      </w:r>
      <w:r>
        <w:fldChar w:fldCharType="separate"/>
      </w:r>
      <w:r>
        <w:t>1</w:t>
      </w:r>
      <w:r>
        <w:fldChar w:fldCharType="end"/>
      </w:r>
      <w:r>
        <w:fldChar w:fldCharType="end"/>
      </w:r>
    </w:p>
    <w:p w14:paraId="26445139">
      <w:pPr>
        <w:pStyle w:val="18"/>
        <w:tabs>
          <w:tab w:val="right" w:leader="dot" w:pos="8306"/>
        </w:tabs>
      </w:pPr>
      <w:r>
        <w:fldChar w:fldCharType="begin"/>
      </w:r>
      <w:r>
        <w:instrText xml:space="preserve"> HYPERLINK \l "_Toc8888" </w:instrText>
      </w:r>
      <w:r>
        <w:fldChar w:fldCharType="separate"/>
      </w:r>
      <w:r>
        <w:rPr>
          <w:rFonts w:hint="eastAsia" w:asciiTheme="minorEastAsia" w:hAnsiTheme="minorEastAsia"/>
        </w:rPr>
        <w:t>第二章</w:t>
      </w:r>
      <w:r>
        <w:rPr>
          <w:rFonts w:asciiTheme="minorEastAsia" w:hAnsiTheme="minorEastAsia"/>
        </w:rPr>
        <w:t>投标人须知</w:t>
      </w:r>
      <w:r>
        <w:tab/>
      </w:r>
      <w:r>
        <w:fldChar w:fldCharType="begin"/>
      </w:r>
      <w:r>
        <w:instrText xml:space="preserve"> PAGEREF _Toc8888 \h </w:instrText>
      </w:r>
      <w:r>
        <w:fldChar w:fldCharType="separate"/>
      </w:r>
      <w:r>
        <w:t>4</w:t>
      </w:r>
      <w:r>
        <w:fldChar w:fldCharType="end"/>
      </w:r>
      <w:r>
        <w:fldChar w:fldCharType="end"/>
      </w:r>
    </w:p>
    <w:p w14:paraId="25ECCD6D">
      <w:pPr>
        <w:pStyle w:val="18"/>
        <w:tabs>
          <w:tab w:val="right" w:leader="dot" w:pos="8306"/>
        </w:tabs>
      </w:pPr>
      <w:r>
        <w:fldChar w:fldCharType="begin"/>
      </w:r>
      <w:r>
        <w:instrText xml:space="preserve"> HYPERLINK \l "_Toc22605" </w:instrText>
      </w:r>
      <w:r>
        <w:fldChar w:fldCharType="separate"/>
      </w:r>
      <w:r>
        <w:rPr>
          <w:rFonts w:hint="eastAsia" w:asciiTheme="minorEastAsia" w:hAnsiTheme="minorEastAsia"/>
        </w:rPr>
        <w:t>第三章  采购需求</w:t>
      </w:r>
      <w:r>
        <w:tab/>
      </w:r>
      <w:r>
        <w:fldChar w:fldCharType="begin"/>
      </w:r>
      <w:r>
        <w:instrText xml:space="preserve"> PAGEREF _Toc22605 \h </w:instrText>
      </w:r>
      <w:r>
        <w:fldChar w:fldCharType="separate"/>
      </w:r>
      <w:r>
        <w:t>19</w:t>
      </w:r>
      <w:r>
        <w:fldChar w:fldCharType="end"/>
      </w:r>
      <w:r>
        <w:fldChar w:fldCharType="end"/>
      </w:r>
    </w:p>
    <w:p w14:paraId="0891A0A6">
      <w:pPr>
        <w:pStyle w:val="18"/>
        <w:tabs>
          <w:tab w:val="right" w:leader="dot" w:pos="8306"/>
        </w:tabs>
      </w:pPr>
      <w:r>
        <w:fldChar w:fldCharType="begin"/>
      </w:r>
      <w:r>
        <w:instrText xml:space="preserve"> HYPERLINK \l "_Toc30824" </w:instrText>
      </w:r>
      <w:r>
        <w:fldChar w:fldCharType="separate"/>
      </w:r>
      <w:r>
        <w:rPr>
          <w:rFonts w:hint="eastAsia" w:asciiTheme="minorEastAsia" w:hAnsiTheme="minorEastAsia"/>
        </w:rPr>
        <w:t>第四章  评标方法和标准（综合评分法）</w:t>
      </w:r>
      <w:r>
        <w:tab/>
      </w:r>
      <w:r>
        <w:fldChar w:fldCharType="begin"/>
      </w:r>
      <w:r>
        <w:instrText xml:space="preserve"> PAGEREF _Toc30824 \h </w:instrText>
      </w:r>
      <w:r>
        <w:fldChar w:fldCharType="separate"/>
      </w:r>
      <w:r>
        <w:t>24</w:t>
      </w:r>
      <w:r>
        <w:fldChar w:fldCharType="end"/>
      </w:r>
      <w:r>
        <w:fldChar w:fldCharType="end"/>
      </w:r>
    </w:p>
    <w:p w14:paraId="55CCAFCF">
      <w:pPr>
        <w:pStyle w:val="18"/>
        <w:tabs>
          <w:tab w:val="right" w:leader="dot" w:pos="8306"/>
        </w:tabs>
      </w:pPr>
      <w:r>
        <w:fldChar w:fldCharType="begin"/>
      </w:r>
      <w:r>
        <w:instrText xml:space="preserve"> HYPERLINK \l "_Toc20405" </w:instrText>
      </w:r>
      <w:r>
        <w:fldChar w:fldCharType="separate"/>
      </w:r>
      <w:r>
        <w:rPr>
          <w:rFonts w:hint="eastAsia" w:asciiTheme="minorEastAsia" w:hAnsiTheme="minorEastAsia"/>
        </w:rPr>
        <w:t xml:space="preserve">第五章  </w:t>
      </w:r>
      <w:r>
        <w:rPr>
          <w:rFonts w:asciiTheme="minorEastAsia" w:hAnsiTheme="minorEastAsia"/>
        </w:rPr>
        <w:t>政府采购合同</w:t>
      </w:r>
      <w:r>
        <w:rPr>
          <w:rFonts w:hint="eastAsia" w:asciiTheme="minorEastAsia" w:hAnsiTheme="minorEastAsia"/>
        </w:rPr>
        <w:t>（仅供参考）</w:t>
      </w:r>
      <w:r>
        <w:tab/>
      </w:r>
      <w:r>
        <w:fldChar w:fldCharType="begin"/>
      </w:r>
      <w:r>
        <w:instrText xml:space="preserve"> PAGEREF _Toc20405 \h </w:instrText>
      </w:r>
      <w:r>
        <w:fldChar w:fldCharType="separate"/>
      </w:r>
      <w:r>
        <w:t>32</w:t>
      </w:r>
      <w:r>
        <w:fldChar w:fldCharType="end"/>
      </w:r>
      <w:r>
        <w:fldChar w:fldCharType="end"/>
      </w:r>
    </w:p>
    <w:p w14:paraId="2881782F">
      <w:pPr>
        <w:pStyle w:val="18"/>
        <w:tabs>
          <w:tab w:val="right" w:leader="dot" w:pos="8306"/>
        </w:tabs>
      </w:pPr>
      <w:r>
        <w:fldChar w:fldCharType="begin"/>
      </w:r>
      <w:r>
        <w:instrText xml:space="preserve"> HYPERLINK \l "_Toc13555" </w:instrText>
      </w:r>
      <w:r>
        <w:fldChar w:fldCharType="separate"/>
      </w:r>
      <w:r>
        <w:rPr>
          <w:rFonts w:hint="eastAsia" w:asciiTheme="minorEastAsia" w:hAnsiTheme="minorEastAsia"/>
        </w:rPr>
        <w:t>第六章  投标文件格式</w:t>
      </w:r>
      <w:r>
        <w:tab/>
      </w:r>
      <w:r>
        <w:fldChar w:fldCharType="begin"/>
      </w:r>
      <w:r>
        <w:instrText xml:space="preserve"> PAGEREF _Toc13555 \h </w:instrText>
      </w:r>
      <w:r>
        <w:fldChar w:fldCharType="separate"/>
      </w:r>
      <w:r>
        <w:t>41</w:t>
      </w:r>
      <w:r>
        <w:fldChar w:fldCharType="end"/>
      </w:r>
      <w:r>
        <w:fldChar w:fldCharType="end"/>
      </w:r>
    </w:p>
    <w:p w14:paraId="09EC70B4">
      <w:pPr>
        <w:pStyle w:val="18"/>
        <w:tabs>
          <w:tab w:val="right" w:leader="dot" w:pos="8306"/>
        </w:tabs>
      </w:pPr>
      <w:r>
        <w:fldChar w:fldCharType="begin"/>
      </w:r>
      <w:r>
        <w:instrText xml:space="preserve"> HYPERLINK \l "_Toc20819" </w:instrText>
      </w:r>
      <w:r>
        <w:fldChar w:fldCharType="separate"/>
      </w:r>
      <w:r>
        <w:rPr>
          <w:rFonts w:hint="eastAsia" w:asciiTheme="minorEastAsia" w:hAnsiTheme="minorEastAsia"/>
        </w:rPr>
        <w:t>第七章</w:t>
      </w:r>
      <w:r>
        <w:rPr>
          <w:rFonts w:hint="eastAsia" w:ascii="宋体" w:hAnsi="宋体" w:eastAsia="宋体"/>
          <w:bCs/>
        </w:rPr>
        <w:t xml:space="preserve">  政府采购</w:t>
      </w:r>
      <w:r>
        <w:rPr>
          <w:rFonts w:hint="eastAsia" w:asciiTheme="minorEastAsia" w:hAnsiTheme="minorEastAsia"/>
        </w:rPr>
        <w:t>投标人</w:t>
      </w:r>
      <w:r>
        <w:rPr>
          <w:rFonts w:hint="eastAsia" w:ascii="宋体" w:hAnsi="宋体" w:eastAsia="宋体"/>
          <w:bCs/>
        </w:rPr>
        <w:t>询问函和质疑函范本</w:t>
      </w:r>
      <w:r>
        <w:tab/>
      </w:r>
      <w:r>
        <w:fldChar w:fldCharType="begin"/>
      </w:r>
      <w:r>
        <w:instrText xml:space="preserve"> PAGEREF _Toc20819 \h </w:instrText>
      </w:r>
      <w:r>
        <w:fldChar w:fldCharType="separate"/>
      </w:r>
      <w:r>
        <w:t>57</w:t>
      </w:r>
      <w:r>
        <w:fldChar w:fldCharType="end"/>
      </w:r>
      <w:r>
        <w:fldChar w:fldCharType="end"/>
      </w:r>
    </w:p>
    <w:p w14:paraId="4EAC63C2">
      <w:pPr>
        <w:spacing w:line="360" w:lineRule="auto"/>
        <w:rPr>
          <w:rFonts w:hint="eastAsia" w:asciiTheme="minorEastAsia" w:hAnsiTheme="minorEastAsia" w:eastAsiaTheme="minorEastAsia"/>
          <w:b/>
          <w:sz w:val="32"/>
        </w:rPr>
      </w:pPr>
      <w:r>
        <w:rPr>
          <w:rFonts w:asciiTheme="minorEastAsia" w:hAnsiTheme="minorEastAsia" w:eastAsiaTheme="minorEastAsia"/>
          <w:szCs w:val="24"/>
        </w:rPr>
        <w:fldChar w:fldCharType="end"/>
      </w:r>
    </w:p>
    <w:p w14:paraId="467BF66C">
      <w:pPr>
        <w:spacing w:line="360" w:lineRule="auto"/>
        <w:jc w:val="center"/>
        <w:outlineLvl w:val="1"/>
        <w:rPr>
          <w:rFonts w:hint="eastAsia" w:asciiTheme="minorEastAsia" w:hAnsiTheme="minorEastAsia" w:eastAsiaTheme="minorEastAsia"/>
          <w:b/>
          <w:sz w:val="28"/>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CA96B1F">
      <w:pPr>
        <w:spacing w:line="360" w:lineRule="auto"/>
        <w:jc w:val="center"/>
        <w:outlineLvl w:val="0"/>
        <w:rPr>
          <w:rFonts w:hint="eastAsia" w:asciiTheme="minorEastAsia" w:hAnsiTheme="minorEastAsia" w:eastAsiaTheme="minorEastAsia"/>
          <w:b/>
          <w:sz w:val="28"/>
        </w:rPr>
      </w:pPr>
      <w:bookmarkStart w:id="1" w:name="_Toc32331"/>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投标邀请</w:t>
      </w:r>
      <w:bookmarkEnd w:id="1"/>
    </w:p>
    <w:p w14:paraId="2A7F4E98">
      <w:pPr>
        <w:spacing w:line="360" w:lineRule="auto"/>
        <w:ind w:firstLine="437"/>
        <w:outlineLvl w:val="1"/>
        <w:rPr>
          <w:rFonts w:hint="eastAsia" w:ascii="宋体" w:hAnsi="宋体" w:eastAsia="宋体"/>
          <w:b/>
          <w:bCs/>
          <w:sz w:val="24"/>
          <w:szCs w:val="18"/>
        </w:rPr>
      </w:pPr>
      <w:bookmarkStart w:id="2" w:name="_Toc1381"/>
      <w:bookmarkStart w:id="3" w:name="_Toc31518"/>
      <w:r>
        <w:rPr>
          <w:rFonts w:hint="eastAsia" w:ascii="宋体" w:hAnsi="宋体" w:eastAsia="宋体"/>
          <w:b/>
          <w:bCs/>
          <w:sz w:val="24"/>
          <w:szCs w:val="18"/>
        </w:rPr>
        <w:t>一、</w:t>
      </w:r>
      <w:bookmarkEnd w:id="2"/>
      <w:r>
        <w:rPr>
          <w:rFonts w:hint="eastAsia" w:ascii="宋体" w:hAnsi="宋体" w:eastAsia="宋体"/>
          <w:b/>
          <w:bCs/>
          <w:sz w:val="24"/>
          <w:szCs w:val="18"/>
        </w:rPr>
        <w:t>项目基本情况</w:t>
      </w:r>
      <w:bookmarkEnd w:id="3"/>
    </w:p>
    <w:p w14:paraId="70F6D7E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 xml:space="preserve">1.项目编号： </w:t>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 xml:space="preserve"> HYPERLINK "https://pay.anhui.zcygov.cn/purchaseplan_front/" \l "/plan/list/view?id=1000000000005245253&amp;_app_=zcy.procurement" \t "https://www.anhui.zcygov.cn/project-center/_procurement_/purchasePlans/_blank" </w:instrText>
      </w:r>
      <w:r>
        <w:rPr>
          <w:rFonts w:hint="eastAsia" w:asciiTheme="minorEastAsia" w:hAnsiTheme="minorEastAsia" w:eastAsiaTheme="minorEastAsia"/>
          <w:sz w:val="24"/>
        </w:rPr>
        <w:fldChar w:fldCharType="separate"/>
      </w:r>
      <w:r>
        <w:rPr>
          <w:rFonts w:hint="eastAsia" w:asciiTheme="minorEastAsia" w:hAnsiTheme="minorEastAsia" w:eastAsiaTheme="minorEastAsia"/>
          <w:sz w:val="24"/>
        </w:rPr>
        <w:t>FSSD34000120257852号</w:t>
      </w:r>
      <w:r>
        <w:rPr>
          <w:rFonts w:hint="eastAsia" w:asciiTheme="minorEastAsia" w:hAnsiTheme="minorEastAsia" w:eastAsiaTheme="minorEastAsia"/>
          <w:sz w:val="24"/>
        </w:rPr>
        <w:fldChar w:fldCharType="end"/>
      </w:r>
    </w:p>
    <w:p w14:paraId="48C501E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2.项目名称：安徽理工大学2025年鄂尔多斯盆地深大冻结井筒井壁监测与结构优化关键技术研究及应用科研外协服务项目</w:t>
      </w:r>
    </w:p>
    <w:p w14:paraId="48E7884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3.预算金额：450万元</w:t>
      </w:r>
    </w:p>
    <w:p w14:paraId="7564324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4.最高限价：450万元</w:t>
      </w:r>
    </w:p>
    <w:p w14:paraId="1FE9E53A">
      <w:pPr>
        <w:spacing w:line="360" w:lineRule="auto"/>
        <w:ind w:firstLine="435"/>
        <w:rPr>
          <w:rFonts w:hint="eastAsia" w:eastAsia="宋体" w:asciiTheme="minorEastAsia" w:hAnsiTheme="minorEastAsia"/>
          <w:sz w:val="24"/>
        </w:rPr>
      </w:pPr>
      <w:r>
        <w:rPr>
          <w:rFonts w:hint="eastAsia" w:asciiTheme="minorEastAsia" w:hAnsiTheme="minorEastAsia" w:eastAsiaTheme="minorEastAsia"/>
          <w:sz w:val="24"/>
        </w:rPr>
        <w:t>5.采购需求：本项目主要为鄂尔多斯盆地深大冻结井筒井壁监测与结构优化关键技术研究及应用科研外协服务</w:t>
      </w:r>
      <w:r>
        <w:rPr>
          <w:rFonts w:hint="eastAsia" w:ascii="宋体" w:hAnsi="宋体" w:eastAsia="宋体" w:cs="宋体"/>
          <w:sz w:val="24"/>
          <w:szCs w:val="24"/>
        </w:rPr>
        <w:t>，详见招标文件。</w:t>
      </w:r>
    </w:p>
    <w:p w14:paraId="6B0B994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6.合同履行期限：10年。</w:t>
      </w:r>
    </w:p>
    <w:p w14:paraId="3704A71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7.本项目不接受联合体投标。</w:t>
      </w:r>
    </w:p>
    <w:p w14:paraId="488A0254">
      <w:pPr>
        <w:spacing w:line="360" w:lineRule="auto"/>
        <w:ind w:firstLine="437"/>
        <w:outlineLvl w:val="1"/>
        <w:rPr>
          <w:rFonts w:hint="eastAsia" w:ascii="宋体" w:hAnsi="宋体" w:eastAsia="宋体"/>
          <w:b/>
          <w:bCs/>
          <w:sz w:val="24"/>
          <w:szCs w:val="18"/>
        </w:rPr>
      </w:pPr>
      <w:bookmarkStart w:id="4" w:name="_Toc13530"/>
      <w:bookmarkStart w:id="5" w:name="_Toc9204"/>
      <w:r>
        <w:rPr>
          <w:rFonts w:hint="eastAsia" w:ascii="宋体" w:hAnsi="宋体" w:eastAsia="宋体"/>
          <w:b/>
          <w:bCs/>
          <w:sz w:val="24"/>
          <w:szCs w:val="18"/>
        </w:rPr>
        <w:t>二、</w:t>
      </w:r>
      <w:bookmarkEnd w:id="4"/>
      <w:r>
        <w:rPr>
          <w:rFonts w:hint="eastAsia" w:ascii="宋体" w:hAnsi="宋体" w:eastAsia="宋体"/>
          <w:b/>
          <w:bCs/>
          <w:sz w:val="24"/>
          <w:szCs w:val="18"/>
        </w:rPr>
        <w:t>申请人的资格要求</w:t>
      </w:r>
      <w:bookmarkEnd w:id="5"/>
    </w:p>
    <w:p w14:paraId="71883178">
      <w:pPr>
        <w:spacing w:line="360" w:lineRule="auto"/>
        <w:ind w:firstLine="435"/>
        <w:rPr>
          <w:rFonts w:hint="eastAsia" w:asciiTheme="minorEastAsia" w:hAnsiTheme="minorEastAsia" w:eastAsiaTheme="minorEastAsia"/>
          <w:sz w:val="24"/>
        </w:rPr>
      </w:pPr>
      <w:bookmarkStart w:id="6" w:name="_Toc30110"/>
      <w:r>
        <w:rPr>
          <w:rFonts w:hint="eastAsia" w:asciiTheme="minorEastAsia" w:hAnsiTheme="minorEastAsia" w:eastAsiaTheme="minorEastAsia"/>
          <w:sz w:val="24"/>
        </w:rPr>
        <w:t>1.满足《中华人民共和国政府采购法》第二十二条规定；</w:t>
      </w:r>
    </w:p>
    <w:p w14:paraId="10DECA7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2.落实政府采购政策需满足的资格要求：</w:t>
      </w:r>
    </w:p>
    <w:p w14:paraId="4E09490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2.1中小企业政策</w:t>
      </w:r>
    </w:p>
    <w:p w14:paraId="5542CA8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2.1.1☑本项目不专门面向中小企业预留采购份额。</w:t>
      </w:r>
    </w:p>
    <w:p w14:paraId="7E5FD5E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2.1.2□本项目专门面向中小企业采购。（</w:t>
      </w:r>
      <w:r>
        <w:rPr>
          <w:rFonts w:hint="eastAsia" w:asciiTheme="minorEastAsia" w:hAnsiTheme="minorEastAsia" w:eastAsiaTheme="minorEastAsia"/>
          <w:b/>
          <w:bCs/>
          <w:sz w:val="24"/>
        </w:rPr>
        <w:t>投标人所提供的服务全部由中小微企业或监狱企业或残疾人福利性单位承接</w:t>
      </w:r>
      <w:r>
        <w:rPr>
          <w:rFonts w:hint="eastAsia" w:asciiTheme="minorEastAsia" w:hAnsiTheme="minorEastAsia" w:eastAsiaTheme="minorEastAsia"/>
          <w:sz w:val="24"/>
        </w:rPr>
        <w:t>）</w:t>
      </w:r>
    </w:p>
    <w:p w14:paraId="3D9F239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2.1.3□本项目预留部分采购项目预算专门面向中小企业采购。对于预留份额，提供的货物由符合政策要求的中小企业制造。预留份额通过以下措施进行：</w:t>
      </w:r>
      <w:r>
        <w:rPr>
          <w:rFonts w:hint="eastAsia" w:asciiTheme="minorEastAsia" w:hAnsiTheme="minorEastAsia" w:eastAsiaTheme="minorEastAsia"/>
          <w:sz w:val="24"/>
          <w:u w:val="single"/>
        </w:rPr>
        <w:t>/</w:t>
      </w:r>
      <w:r>
        <w:rPr>
          <w:rFonts w:hint="eastAsia" w:asciiTheme="minorEastAsia" w:hAnsiTheme="minorEastAsia" w:eastAsiaTheme="minorEastAsia"/>
          <w:sz w:val="24"/>
        </w:rPr>
        <w:t>。</w:t>
      </w:r>
    </w:p>
    <w:p w14:paraId="1D244154">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2.2</w:t>
      </w:r>
      <w:r>
        <w:rPr>
          <w:rFonts w:hint="eastAsia" w:asciiTheme="minorEastAsia" w:hAnsiTheme="minorEastAsia" w:eastAsiaTheme="minorEastAsia"/>
          <w:sz w:val="24"/>
        </w:rPr>
        <w:t>其它落实政府采购政策的资格要求：</w:t>
      </w:r>
      <w:r>
        <w:rPr>
          <w:rFonts w:hint="eastAsia" w:asciiTheme="minorEastAsia" w:hAnsiTheme="minorEastAsia" w:eastAsiaTheme="minorEastAsia"/>
          <w:sz w:val="24"/>
          <w:u w:val="single"/>
        </w:rPr>
        <w:t>无</w:t>
      </w:r>
      <w:r>
        <w:rPr>
          <w:rFonts w:hint="eastAsia" w:asciiTheme="minorEastAsia" w:hAnsiTheme="minorEastAsia" w:eastAsiaTheme="minorEastAsia"/>
          <w:sz w:val="24"/>
        </w:rPr>
        <w:t>。</w:t>
      </w:r>
    </w:p>
    <w:p w14:paraId="12EAEA37">
      <w:pPr>
        <w:spacing w:line="360" w:lineRule="auto"/>
        <w:ind w:firstLine="435"/>
        <w:rPr>
          <w:rFonts w:hint="eastAsia" w:eastAsiaTheme="minorEastAsia"/>
        </w:rPr>
      </w:pPr>
      <w:r>
        <w:rPr>
          <w:rFonts w:hint="eastAsia" w:ascii="宋体" w:hAnsi="宋体" w:eastAsia="宋体" w:cs="宋体"/>
          <w:sz w:val="24"/>
          <w:szCs w:val="24"/>
        </w:rPr>
        <w:t>3.</w:t>
      </w:r>
      <w:r>
        <w:rPr>
          <w:rFonts w:hint="eastAsia" w:asciiTheme="minorEastAsia" w:hAnsiTheme="minorEastAsia" w:eastAsiaTheme="minorEastAsia"/>
          <w:sz w:val="24"/>
        </w:rPr>
        <w:t>本项目的特定资格要求：无</w:t>
      </w:r>
    </w:p>
    <w:p w14:paraId="59280A6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3.1投标人不得存在以下不良信用记录情形：</w:t>
      </w:r>
    </w:p>
    <w:p w14:paraId="70233999">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①</w:t>
      </w:r>
      <w:r>
        <w:rPr>
          <w:rFonts w:hint="eastAsia" w:asciiTheme="minorEastAsia" w:hAnsiTheme="minorEastAsia" w:eastAsiaTheme="minorEastAsia"/>
          <w:sz w:val="24"/>
        </w:rPr>
        <w:t>投标人</w:t>
      </w:r>
      <w:r>
        <w:rPr>
          <w:rFonts w:hint="eastAsia" w:ascii="宋体" w:hAnsi="宋体" w:eastAsia="宋体" w:cs="宋体"/>
          <w:sz w:val="24"/>
          <w:szCs w:val="24"/>
        </w:rPr>
        <w:t>被人民法院列入失信被执行人的；</w:t>
      </w:r>
    </w:p>
    <w:p w14:paraId="1265A748">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②</w:t>
      </w:r>
      <w:r>
        <w:rPr>
          <w:rFonts w:hint="eastAsia" w:asciiTheme="minorEastAsia" w:hAnsiTheme="minorEastAsia" w:eastAsiaTheme="minorEastAsia"/>
          <w:sz w:val="24"/>
        </w:rPr>
        <w:t>投标人</w:t>
      </w:r>
      <w:r>
        <w:rPr>
          <w:rFonts w:hint="eastAsia" w:ascii="宋体" w:hAnsi="宋体" w:eastAsia="宋体" w:cs="宋体"/>
          <w:sz w:val="24"/>
          <w:szCs w:val="24"/>
        </w:rPr>
        <w:t>被税务部门列入重大税收违法案件当事人名单的；</w:t>
      </w:r>
    </w:p>
    <w:p w14:paraId="60CF4301">
      <w:pPr>
        <w:spacing w:line="360" w:lineRule="auto"/>
        <w:ind w:firstLine="435"/>
        <w:rPr>
          <w:rFonts w:hint="eastAsia" w:eastAsiaTheme="minorEastAsia"/>
        </w:rPr>
      </w:pPr>
      <w:r>
        <w:rPr>
          <w:rFonts w:hint="eastAsia" w:ascii="宋体" w:hAnsi="宋体" w:eastAsia="宋体" w:cs="宋体"/>
          <w:sz w:val="24"/>
          <w:szCs w:val="24"/>
        </w:rPr>
        <w:t>③</w:t>
      </w:r>
      <w:r>
        <w:rPr>
          <w:rFonts w:hint="eastAsia" w:asciiTheme="minorEastAsia" w:hAnsiTheme="minorEastAsia" w:eastAsiaTheme="minorEastAsia"/>
          <w:sz w:val="24"/>
        </w:rPr>
        <w:t>投标人</w:t>
      </w:r>
      <w:r>
        <w:rPr>
          <w:rFonts w:hint="eastAsia" w:ascii="宋体" w:hAnsi="宋体" w:eastAsia="宋体" w:cs="宋体"/>
          <w:sz w:val="24"/>
          <w:szCs w:val="24"/>
        </w:rPr>
        <w:t>被政府采购监管部门列入政府采购严重违法失信行为记录名单的。</w:t>
      </w:r>
    </w:p>
    <w:p w14:paraId="0A4A7301">
      <w:pPr>
        <w:spacing w:line="360" w:lineRule="auto"/>
        <w:ind w:firstLine="437"/>
        <w:outlineLvl w:val="1"/>
        <w:rPr>
          <w:rFonts w:hint="eastAsia" w:ascii="宋体" w:hAnsi="宋体" w:eastAsia="宋体"/>
          <w:b/>
          <w:bCs/>
          <w:sz w:val="24"/>
          <w:szCs w:val="18"/>
        </w:rPr>
      </w:pPr>
      <w:bookmarkStart w:id="7" w:name="_Toc21681"/>
      <w:r>
        <w:rPr>
          <w:rFonts w:hint="eastAsia" w:ascii="宋体" w:hAnsi="宋体" w:eastAsia="宋体"/>
          <w:b/>
          <w:bCs/>
          <w:sz w:val="24"/>
          <w:szCs w:val="18"/>
        </w:rPr>
        <w:t>三、</w:t>
      </w:r>
      <w:bookmarkEnd w:id="6"/>
      <w:r>
        <w:rPr>
          <w:rFonts w:hint="eastAsia" w:ascii="宋体" w:hAnsi="宋体" w:eastAsia="宋体"/>
          <w:b/>
          <w:bCs/>
          <w:sz w:val="24"/>
          <w:szCs w:val="18"/>
        </w:rPr>
        <w:t>获取招标文件</w:t>
      </w:r>
      <w:bookmarkEnd w:id="7"/>
    </w:p>
    <w:p w14:paraId="652AA795">
      <w:pPr>
        <w:spacing w:line="360" w:lineRule="auto"/>
        <w:ind w:firstLine="540"/>
        <w:rPr>
          <w:rFonts w:hint="eastAsia" w:asciiTheme="minorEastAsia" w:hAnsiTheme="minorEastAsia" w:eastAsiaTheme="minorEastAsia" w:cstheme="minorEastAsia"/>
          <w:i/>
          <w:iCs/>
          <w:sz w:val="24"/>
          <w:szCs w:val="24"/>
        </w:rPr>
      </w:pPr>
      <w:bookmarkStart w:id="8" w:name="_Toc7957"/>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 xml:space="preserve"> 2025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11</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11</w:t>
      </w:r>
      <w:r>
        <w:rPr>
          <w:rFonts w:hint="eastAsia" w:asciiTheme="minorEastAsia" w:hAnsiTheme="minorEastAsia" w:eastAsiaTheme="minorEastAsia" w:cstheme="minorEastAsia"/>
          <w:sz w:val="24"/>
          <w:szCs w:val="24"/>
        </w:rPr>
        <w:t>日至</w:t>
      </w:r>
      <w:r>
        <w:rPr>
          <w:rFonts w:hint="eastAsia" w:asciiTheme="minorEastAsia" w:hAnsiTheme="minorEastAsia" w:eastAsiaTheme="minorEastAsia" w:cstheme="minorEastAsia"/>
          <w:sz w:val="24"/>
          <w:szCs w:val="24"/>
          <w:u w:val="single"/>
        </w:rPr>
        <w:t xml:space="preserve"> 2025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11</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18</w:t>
      </w:r>
      <w:r>
        <w:rPr>
          <w:rFonts w:hint="eastAsia" w:asciiTheme="minorEastAsia" w:hAnsiTheme="minorEastAsia" w:eastAsiaTheme="minorEastAsia" w:cstheme="minorEastAsia"/>
          <w:sz w:val="24"/>
          <w:szCs w:val="24"/>
        </w:rPr>
        <w:t>日，每天上午</w:t>
      </w:r>
      <w:r>
        <w:rPr>
          <w:rFonts w:hint="eastAsia" w:ascii="宋体" w:hAnsi="宋体" w:eastAsia="宋体"/>
          <w:sz w:val="24"/>
        </w:rPr>
        <w:t>0:00到12：00 ，下午12:00到23:59</w:t>
      </w:r>
      <w:r>
        <w:rPr>
          <w:rFonts w:hint="eastAsia" w:asciiTheme="minorEastAsia" w:hAnsiTheme="minorEastAsia" w:eastAsiaTheme="minorEastAsia" w:cstheme="minorEastAsia"/>
          <w:i/>
          <w:iCs/>
          <w:sz w:val="24"/>
          <w:szCs w:val="24"/>
        </w:rPr>
        <w:t>（北京时间，法定节假日除外）</w:t>
      </w:r>
    </w:p>
    <w:p w14:paraId="306BDE24">
      <w:pPr>
        <w:spacing w:line="360" w:lineRule="auto"/>
        <w:ind w:firstLine="540"/>
        <w:rPr>
          <w:rFonts w:hint="eastAsia" w:ascii="宋体" w:hAnsi="宋体" w:eastAsia="宋体"/>
          <w:sz w:val="24"/>
          <w:szCs w:val="18"/>
          <w:u w:val="single"/>
        </w:rPr>
      </w:pPr>
      <w:r>
        <w:rPr>
          <w:rFonts w:hint="eastAsia" w:asciiTheme="minorEastAsia" w:hAnsiTheme="minorEastAsia" w:eastAsiaTheme="minorEastAsia" w:cstheme="minorEastAsia"/>
          <w:sz w:val="24"/>
          <w:szCs w:val="24"/>
        </w:rPr>
        <w:t>地点：</w:t>
      </w:r>
      <w:r>
        <w:rPr>
          <w:rFonts w:hint="eastAsia" w:ascii="宋体" w:hAnsi="宋体" w:eastAsia="宋体"/>
          <w:sz w:val="24"/>
        </w:rPr>
        <w:t>“徽采云”电子交易系统</w:t>
      </w:r>
    </w:p>
    <w:p w14:paraId="3535CAD8">
      <w:pPr>
        <w:wordWrap w:val="0"/>
        <w:spacing w:line="360" w:lineRule="auto"/>
        <w:ind w:firstLine="539"/>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方式：</w:t>
      </w:r>
      <w:r>
        <w:rPr>
          <w:rFonts w:hint="eastAsia" w:ascii="宋体" w:hAnsi="宋体" w:eastAsia="宋体"/>
          <w:sz w:val="24"/>
        </w:rPr>
        <w:t>投标人登录“徽采云”电子交易系统（https://login.anhui.zcygov.cn/user-login/#/login）在线申请获取招标文件（进入“项目采购”应用，在获取招标文件菜单中选择项目，申请获取招标文件）。登录须持有电子交易系统兼容的数字证书，详情参见“安徽省政府采购网-徽采学院-电子交易系统学习专题-投标人-操作手册”</w:t>
      </w:r>
    </w:p>
    <w:p w14:paraId="6BB38A0C">
      <w:pPr>
        <w:spacing w:line="360" w:lineRule="auto"/>
        <w:ind w:firstLine="437"/>
        <w:outlineLvl w:val="1"/>
        <w:rPr>
          <w:rFonts w:hint="eastAsia" w:ascii="宋体" w:hAnsi="宋体" w:eastAsia="宋体"/>
          <w:b/>
          <w:bCs/>
          <w:sz w:val="24"/>
          <w:szCs w:val="18"/>
        </w:rPr>
      </w:pPr>
      <w:bookmarkStart w:id="9" w:name="_Toc25902"/>
      <w:r>
        <w:rPr>
          <w:rFonts w:hint="eastAsia" w:ascii="宋体" w:hAnsi="宋体" w:eastAsia="宋体"/>
          <w:b/>
          <w:bCs/>
          <w:sz w:val="24"/>
          <w:szCs w:val="18"/>
        </w:rPr>
        <w:t>四、</w:t>
      </w:r>
      <w:bookmarkEnd w:id="8"/>
      <w:r>
        <w:rPr>
          <w:rFonts w:hint="eastAsia" w:ascii="宋体" w:hAnsi="宋体" w:eastAsia="宋体"/>
          <w:b/>
          <w:bCs/>
          <w:sz w:val="24"/>
          <w:szCs w:val="18"/>
        </w:rPr>
        <w:t>提交投标文件截止时间、开标时间和地点</w:t>
      </w:r>
      <w:bookmarkEnd w:id="9"/>
    </w:p>
    <w:p w14:paraId="61C3D66F">
      <w:pPr>
        <w:spacing w:line="360" w:lineRule="auto"/>
        <w:ind w:firstLine="480" w:firstLineChars="200"/>
        <w:rPr>
          <w:rFonts w:hint="eastAsia" w:asciiTheme="minorEastAsia" w:hAnsiTheme="minorEastAsia" w:eastAsiaTheme="minorEastAsia" w:cstheme="minorEastAsia"/>
          <w:bCs/>
          <w:i/>
          <w:iCs/>
          <w:sz w:val="24"/>
          <w:szCs w:val="24"/>
        </w:rPr>
      </w:pPr>
      <w:bookmarkStart w:id="10" w:name="_Toc5082"/>
      <w:r>
        <w:rPr>
          <w:rFonts w:hint="eastAsia" w:asciiTheme="minorEastAsia" w:hAnsiTheme="minorEastAsia" w:eastAsiaTheme="minorEastAsia" w:cstheme="minorEastAsia"/>
          <w:bCs/>
          <w:sz w:val="24"/>
          <w:szCs w:val="24"/>
          <w:u w:val="none"/>
        </w:rPr>
        <w:t xml:space="preserve"> 2025 年</w:t>
      </w:r>
      <w:r>
        <w:rPr>
          <w:rFonts w:hint="eastAsia" w:asciiTheme="minorEastAsia" w:hAnsiTheme="minorEastAsia" w:eastAsiaTheme="minorEastAsia" w:cstheme="minorEastAsia"/>
          <w:bCs/>
          <w:sz w:val="24"/>
          <w:szCs w:val="24"/>
          <w:u w:val="none"/>
          <w:lang w:val="en-US" w:eastAsia="zh-CN"/>
        </w:rPr>
        <w:t>12</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none"/>
          <w:lang w:val="en-US" w:eastAsia="zh-CN"/>
        </w:rPr>
        <w:t>2</w:t>
      </w:r>
      <w:r>
        <w:rPr>
          <w:rFonts w:hint="eastAsia" w:asciiTheme="minorEastAsia" w:hAnsiTheme="minorEastAsia" w:eastAsiaTheme="minorEastAsia" w:cstheme="minorEastAsia"/>
          <w:bCs/>
          <w:sz w:val="24"/>
          <w:szCs w:val="24"/>
          <w:u w:val="none"/>
        </w:rPr>
        <w:t xml:space="preserve">日 </w:t>
      </w:r>
      <w:r>
        <w:rPr>
          <w:rFonts w:hint="eastAsia" w:asciiTheme="minorEastAsia" w:hAnsiTheme="minorEastAsia" w:eastAsiaTheme="minorEastAsia" w:cstheme="minorEastAsia"/>
          <w:bCs/>
          <w:sz w:val="24"/>
          <w:szCs w:val="24"/>
          <w:u w:val="none"/>
          <w:lang w:val="en-US" w:eastAsia="zh-CN"/>
        </w:rPr>
        <w:t>9</w:t>
      </w:r>
      <w:r>
        <w:rPr>
          <w:rFonts w:hint="eastAsia" w:asciiTheme="minorEastAsia" w:hAnsiTheme="minorEastAsia" w:eastAsiaTheme="minorEastAsia" w:cstheme="minorEastAsia"/>
          <w:bCs/>
          <w:sz w:val="24"/>
          <w:szCs w:val="24"/>
          <w:u w:val="none"/>
        </w:rPr>
        <w:t>点 00 分</w:t>
      </w:r>
      <w:r>
        <w:rPr>
          <w:rFonts w:hint="eastAsia" w:asciiTheme="minorEastAsia" w:hAnsiTheme="minorEastAsia" w:eastAsiaTheme="minorEastAsia" w:cstheme="minorEastAsia"/>
          <w:bCs/>
          <w:i/>
          <w:iCs/>
          <w:sz w:val="24"/>
          <w:szCs w:val="24"/>
        </w:rPr>
        <w:t>（北京时间）</w:t>
      </w:r>
    </w:p>
    <w:p w14:paraId="310645B4">
      <w:pPr>
        <w:spacing w:line="360" w:lineRule="auto"/>
        <w:ind w:firstLine="480" w:firstLineChars="200"/>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ascii="宋体" w:hAnsi="宋体" w:eastAsia="宋体"/>
          <w:sz w:val="24"/>
          <w:szCs w:val="18"/>
        </w:rPr>
        <w:t>“徽采云”电子交易系统。</w:t>
      </w:r>
    </w:p>
    <w:p w14:paraId="58ACDB03">
      <w:pPr>
        <w:spacing w:line="360" w:lineRule="auto"/>
        <w:ind w:firstLine="437"/>
        <w:outlineLvl w:val="1"/>
        <w:rPr>
          <w:rFonts w:hint="eastAsia" w:ascii="宋体" w:hAnsi="宋体" w:eastAsia="宋体"/>
          <w:b/>
          <w:bCs/>
          <w:sz w:val="24"/>
          <w:szCs w:val="18"/>
        </w:rPr>
      </w:pPr>
      <w:bookmarkStart w:id="11" w:name="_Toc7753"/>
      <w:r>
        <w:rPr>
          <w:rFonts w:hint="eastAsia" w:ascii="宋体" w:hAnsi="宋体" w:eastAsia="宋体"/>
          <w:b/>
          <w:bCs/>
          <w:sz w:val="24"/>
          <w:szCs w:val="18"/>
        </w:rPr>
        <w:t>五、</w:t>
      </w:r>
      <w:bookmarkEnd w:id="10"/>
      <w:r>
        <w:rPr>
          <w:rFonts w:hint="eastAsia" w:ascii="宋体" w:hAnsi="宋体" w:eastAsia="宋体"/>
          <w:b/>
          <w:bCs/>
          <w:sz w:val="24"/>
          <w:szCs w:val="18"/>
        </w:rPr>
        <w:t>公告期限</w:t>
      </w:r>
      <w:bookmarkEnd w:id="11"/>
    </w:p>
    <w:p w14:paraId="7A5AED02">
      <w:pPr>
        <w:spacing w:line="360" w:lineRule="auto"/>
        <w:ind w:firstLine="437"/>
        <w:rPr>
          <w:rFonts w:hint="eastAsia" w:ascii="宋体" w:hAnsi="宋体" w:eastAsia="宋体"/>
          <w:sz w:val="24"/>
          <w:szCs w:val="18"/>
        </w:rPr>
      </w:pPr>
      <w:bookmarkStart w:id="12" w:name="_Toc1215"/>
      <w:r>
        <w:rPr>
          <w:rFonts w:hint="eastAsia" w:ascii="宋体" w:hAnsi="宋体" w:eastAsia="宋体"/>
          <w:sz w:val="24"/>
          <w:szCs w:val="18"/>
        </w:rPr>
        <w:t>自本公告发布之日起5个工作日。</w:t>
      </w:r>
    </w:p>
    <w:p w14:paraId="0D436DA6">
      <w:pPr>
        <w:spacing w:line="360" w:lineRule="auto"/>
        <w:ind w:firstLine="437"/>
        <w:outlineLvl w:val="1"/>
        <w:rPr>
          <w:rFonts w:hint="eastAsia" w:ascii="宋体" w:hAnsi="宋体" w:eastAsia="宋体"/>
          <w:b/>
          <w:bCs/>
          <w:sz w:val="24"/>
          <w:szCs w:val="18"/>
        </w:rPr>
      </w:pPr>
      <w:bookmarkStart w:id="13" w:name="_Toc31539"/>
      <w:bookmarkStart w:id="14" w:name="_Toc35393626"/>
      <w:bookmarkStart w:id="15" w:name="_Toc35393795"/>
      <w:r>
        <w:rPr>
          <w:rFonts w:hint="eastAsia" w:ascii="宋体" w:hAnsi="宋体" w:eastAsia="宋体"/>
          <w:b/>
          <w:bCs/>
          <w:sz w:val="24"/>
          <w:szCs w:val="18"/>
        </w:rPr>
        <w:t>六、其他补充事宜</w:t>
      </w:r>
      <w:bookmarkEnd w:id="13"/>
      <w:bookmarkEnd w:id="14"/>
      <w:bookmarkEnd w:id="15"/>
    </w:p>
    <w:bookmarkEnd w:id="12"/>
    <w:p w14:paraId="6ED23FF6">
      <w:pPr>
        <w:spacing w:line="360" w:lineRule="auto"/>
        <w:ind w:firstLine="480" w:firstLineChars="200"/>
        <w:rPr>
          <w:rFonts w:hint="eastAsia" w:ascii="宋体" w:hAnsi="宋体" w:eastAsia="宋体" w:cs="宋体"/>
          <w:sz w:val="24"/>
          <w:szCs w:val="24"/>
        </w:rPr>
      </w:pPr>
      <w:bookmarkStart w:id="16" w:name="_Toc7265"/>
      <w:bookmarkStart w:id="17" w:name="_Toc13296"/>
      <w:r>
        <w:rPr>
          <w:rFonts w:hint="eastAsia" w:ascii="宋体" w:hAnsi="宋体" w:eastAsia="宋体" w:cs="宋体"/>
          <w:sz w:val="24"/>
          <w:szCs w:val="24"/>
        </w:rPr>
        <w:t>1.项目采用全流程电子化采购方式，相关操作说明详情参见“安徽省政府采购网-徽采学院-电子交易系统学习专题-投标人-操作手册”</w:t>
      </w:r>
    </w:p>
    <w:p w14:paraId="12ECA539">
      <w:pPr>
        <w:pStyle w:val="9"/>
        <w:spacing w:after="0" w:line="360" w:lineRule="auto"/>
        <w:ind w:firstLine="480" w:firstLineChars="200"/>
        <w:rPr>
          <w:rFonts w:hint="eastAsia" w:ascii="宋体" w:hAnsi="宋体" w:eastAsia="宋体" w:cs="宋体"/>
          <w:sz w:val="24"/>
          <w:lang w:val="en-US"/>
        </w:rPr>
      </w:pPr>
      <w:r>
        <w:rPr>
          <w:rFonts w:hint="eastAsia" w:ascii="宋体" w:hAnsi="宋体" w:eastAsia="宋体" w:cs="宋体"/>
          <w:sz w:val="24"/>
          <w:lang w:val="en-US"/>
        </w:rPr>
        <w:t>2.本项目落实节能环保、中小微型企业扶持等相关政府采购政策；</w:t>
      </w:r>
    </w:p>
    <w:p w14:paraId="1B8B4211">
      <w:pPr>
        <w:pStyle w:val="9"/>
        <w:spacing w:after="0" w:line="360" w:lineRule="auto"/>
        <w:ind w:firstLine="480" w:firstLineChars="200"/>
        <w:rPr>
          <w:rFonts w:hint="eastAsia" w:ascii="宋体" w:hAnsi="宋体" w:eastAsia="宋体" w:cs="宋体"/>
          <w:sz w:val="24"/>
          <w:lang w:val="en-US"/>
        </w:rPr>
      </w:pPr>
      <w:r>
        <w:rPr>
          <w:rFonts w:hint="eastAsia" w:ascii="宋体" w:hAnsi="宋体" w:eastAsia="宋体" w:cs="宋体"/>
          <w:sz w:val="24"/>
          <w:lang w:val="en-US"/>
        </w:rPr>
        <w:t>3.本次招标公告在安徽省政府采购网上发布；</w:t>
      </w:r>
    </w:p>
    <w:p w14:paraId="48724F28">
      <w:pPr>
        <w:spacing w:line="360" w:lineRule="auto"/>
        <w:ind w:firstLine="437"/>
        <w:outlineLvl w:val="1"/>
        <w:rPr>
          <w:rFonts w:hint="eastAsia" w:ascii="宋体" w:hAnsi="宋体" w:eastAsia="宋体" w:cs="宋体"/>
          <w:sz w:val="24"/>
        </w:rPr>
      </w:pPr>
      <w:r>
        <w:rPr>
          <w:rFonts w:hint="eastAsia" w:ascii="宋体" w:hAnsi="宋体" w:eastAsia="宋体" w:cs="宋体"/>
          <w:sz w:val="24"/>
        </w:rPr>
        <w:t>4.潜在投标人应合理安排招标文件获取时间，特别是网络速度慢的地区防止在系统关闭前网络拥堵无法操作。如果因计算机及网络故障造成无法完成招标文件获取，责任自负。招标文件获取过程中有任何疑问，请在工作时间（09：00-17:30，节假日休息）拨打技术支持热线（非项目咨询）：95763。项目咨询请拨打代理机构项目联系人电话：</w:t>
      </w:r>
      <w:r>
        <w:rPr>
          <w:rFonts w:hint="eastAsia" w:ascii="宋体" w:hAnsi="宋体" w:eastAsia="宋体" w:cs="宋体"/>
          <w:sz w:val="24"/>
          <w:szCs w:val="24"/>
        </w:rPr>
        <w:t>17353743691</w:t>
      </w:r>
      <w:r>
        <w:rPr>
          <w:rFonts w:hint="eastAsia" w:ascii="宋体" w:hAnsi="宋体" w:eastAsia="宋体" w:cs="宋体"/>
          <w:sz w:val="24"/>
        </w:rPr>
        <w:t>。</w:t>
      </w:r>
    </w:p>
    <w:p w14:paraId="64538839">
      <w:pPr>
        <w:spacing w:line="360" w:lineRule="auto"/>
        <w:ind w:firstLine="437"/>
        <w:outlineLvl w:val="1"/>
        <w:rPr>
          <w:rFonts w:hint="eastAsia" w:ascii="宋体" w:hAnsi="宋体" w:eastAsia="宋体"/>
          <w:b/>
          <w:bCs/>
          <w:sz w:val="24"/>
          <w:szCs w:val="18"/>
        </w:rPr>
      </w:pPr>
      <w:r>
        <w:rPr>
          <w:rFonts w:hint="eastAsia" w:ascii="宋体" w:hAnsi="宋体" w:eastAsia="宋体"/>
          <w:b/>
          <w:bCs/>
          <w:sz w:val="24"/>
          <w:szCs w:val="18"/>
        </w:rPr>
        <w:t>七、</w:t>
      </w:r>
      <w:bookmarkEnd w:id="16"/>
      <w:r>
        <w:rPr>
          <w:rFonts w:hint="eastAsia" w:ascii="宋体" w:hAnsi="宋体" w:eastAsia="宋体"/>
          <w:b/>
          <w:bCs/>
          <w:sz w:val="24"/>
          <w:szCs w:val="18"/>
        </w:rPr>
        <w:t>对本次招标提出询问，请按以下方式联系</w:t>
      </w:r>
      <w:bookmarkEnd w:id="17"/>
    </w:p>
    <w:p w14:paraId="739DD29D">
      <w:pPr>
        <w:spacing w:line="360" w:lineRule="auto"/>
        <w:ind w:firstLine="437"/>
        <w:rPr>
          <w:rFonts w:hint="eastAsia" w:ascii="宋体" w:hAnsi="宋体" w:eastAsia="宋体" w:cs="宋体"/>
          <w:sz w:val="24"/>
          <w:szCs w:val="18"/>
        </w:rPr>
      </w:pPr>
      <w:r>
        <w:rPr>
          <w:rFonts w:hint="eastAsia" w:ascii="宋体" w:hAnsi="宋体" w:eastAsia="宋体" w:cs="宋体"/>
          <w:sz w:val="24"/>
          <w:szCs w:val="18"/>
        </w:rPr>
        <w:t>1.采购人信息</w:t>
      </w:r>
    </w:p>
    <w:p w14:paraId="08A5BE0F">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名  称：安徽理工大学</w:t>
      </w:r>
    </w:p>
    <w:p w14:paraId="59790403">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地  址：淮南市泰丰大街168号</w:t>
      </w:r>
    </w:p>
    <w:p w14:paraId="129BDAA2">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联系人：孙老师</w:t>
      </w:r>
    </w:p>
    <w:p w14:paraId="001F2FC7">
      <w:pPr>
        <w:spacing w:line="360" w:lineRule="auto"/>
        <w:ind w:firstLine="435"/>
        <w:rPr>
          <w:rFonts w:hint="eastAsia" w:ascii="宋体" w:hAnsi="宋体" w:eastAsia="宋体" w:cs="宋体"/>
          <w:sz w:val="24"/>
          <w:szCs w:val="18"/>
        </w:rPr>
      </w:pPr>
      <w:r>
        <w:rPr>
          <w:rFonts w:hint="eastAsia" w:ascii="宋体" w:hAnsi="宋体" w:eastAsia="宋体" w:cs="宋体"/>
          <w:sz w:val="24"/>
          <w:szCs w:val="24"/>
        </w:rPr>
        <w:t>联系方式：0554-6634216</w:t>
      </w:r>
    </w:p>
    <w:p w14:paraId="47789E3D">
      <w:pPr>
        <w:spacing w:line="360" w:lineRule="auto"/>
        <w:ind w:firstLine="437"/>
        <w:rPr>
          <w:rFonts w:hint="eastAsia" w:ascii="宋体" w:hAnsi="宋体" w:eastAsia="宋体" w:cs="宋体"/>
          <w:sz w:val="24"/>
          <w:szCs w:val="18"/>
        </w:rPr>
      </w:pPr>
      <w:r>
        <w:rPr>
          <w:rFonts w:hint="eastAsia" w:ascii="宋体" w:hAnsi="宋体" w:eastAsia="宋体" w:cs="宋体"/>
          <w:sz w:val="24"/>
          <w:szCs w:val="18"/>
        </w:rPr>
        <w:t>2.采购代理机构信息</w:t>
      </w:r>
    </w:p>
    <w:p w14:paraId="795B65CC">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名  称：上海容基工程项目管理有限公司</w:t>
      </w:r>
    </w:p>
    <w:p w14:paraId="425D30F4">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lang w:val="zh-CN"/>
        </w:rPr>
        <w:t>淮南市安成镇青年电子商务产业园二期二栋3层</w:t>
      </w:r>
    </w:p>
    <w:p w14:paraId="0C2BE593">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联系人：陈兴亮</w:t>
      </w:r>
    </w:p>
    <w:p w14:paraId="0B12DF38">
      <w:pPr>
        <w:spacing w:line="360" w:lineRule="auto"/>
        <w:ind w:firstLine="435"/>
        <w:rPr>
          <w:rFonts w:hint="eastAsia" w:ascii="宋体" w:hAnsi="宋体" w:eastAsia="宋体" w:cs="宋体"/>
          <w:sz w:val="24"/>
          <w:szCs w:val="18"/>
        </w:rPr>
      </w:pPr>
      <w:r>
        <w:rPr>
          <w:rFonts w:hint="eastAsia" w:ascii="宋体" w:hAnsi="宋体" w:eastAsia="宋体" w:cs="宋体"/>
          <w:sz w:val="24"/>
          <w:szCs w:val="24"/>
        </w:rPr>
        <w:t>联系方式：17353743691</w:t>
      </w:r>
    </w:p>
    <w:p w14:paraId="6E0A1E44">
      <w:pPr>
        <w:spacing w:line="360" w:lineRule="auto"/>
        <w:ind w:firstLine="437"/>
        <w:rPr>
          <w:rFonts w:hint="eastAsia" w:ascii="宋体" w:hAnsi="宋体" w:eastAsia="宋体" w:cs="宋体"/>
          <w:b/>
          <w:sz w:val="24"/>
          <w:szCs w:val="18"/>
        </w:rPr>
      </w:pPr>
      <w:r>
        <w:rPr>
          <w:rFonts w:hint="eastAsia" w:ascii="宋体" w:hAnsi="宋体" w:eastAsia="宋体" w:cs="宋体"/>
          <w:bCs/>
          <w:sz w:val="24"/>
          <w:szCs w:val="18"/>
        </w:rPr>
        <w:t>3</w:t>
      </w:r>
      <w:r>
        <w:rPr>
          <w:rFonts w:hint="eastAsia" w:ascii="宋体" w:hAnsi="宋体" w:eastAsia="宋体" w:cs="宋体"/>
          <w:b/>
          <w:sz w:val="24"/>
          <w:szCs w:val="18"/>
        </w:rPr>
        <w:t>.</w:t>
      </w:r>
      <w:r>
        <w:rPr>
          <w:rFonts w:hint="eastAsia" w:ascii="宋体" w:hAnsi="宋体" w:eastAsia="宋体" w:cs="宋体"/>
          <w:sz w:val="24"/>
          <w:szCs w:val="18"/>
        </w:rPr>
        <w:t>政府采购监督管理部门信息</w:t>
      </w:r>
    </w:p>
    <w:p w14:paraId="1537F604">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名  称：安徽省财政厅</w:t>
      </w:r>
    </w:p>
    <w:p w14:paraId="1EE5ACBB">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地  址：合肥市阜南西路238号</w:t>
      </w:r>
    </w:p>
    <w:p w14:paraId="6C203B07">
      <w:pPr>
        <w:spacing w:line="360" w:lineRule="auto"/>
        <w:ind w:firstLine="435"/>
        <w:rPr>
          <w:rFonts w:hint="eastAsia" w:ascii="宋体" w:hAnsi="宋体" w:eastAsia="宋体"/>
          <w:sz w:val="24"/>
          <w:szCs w:val="18"/>
          <w:u w:val="single"/>
        </w:rPr>
      </w:pPr>
      <w:r>
        <w:rPr>
          <w:rFonts w:hint="eastAsia" w:ascii="宋体" w:hAnsi="宋体" w:eastAsia="宋体" w:cs="宋体"/>
          <w:sz w:val="24"/>
          <w:szCs w:val="24"/>
        </w:rPr>
        <w:t>联系方式：0551-68150309</w:t>
      </w:r>
    </w:p>
    <w:p w14:paraId="2B85651E">
      <w:pPr>
        <w:widowControl/>
        <w:jc w:val="left"/>
        <w:rPr>
          <w:rFonts w:hint="eastAsia" w:ascii="宋体" w:hAnsi="宋体" w:eastAsia="宋体"/>
          <w:sz w:val="24"/>
          <w:szCs w:val="18"/>
        </w:rPr>
      </w:pPr>
      <w:r>
        <w:rPr>
          <w:rFonts w:ascii="宋体" w:hAnsi="宋体" w:eastAsia="宋体"/>
          <w:sz w:val="24"/>
          <w:szCs w:val="18"/>
        </w:rPr>
        <w:br w:type="page"/>
      </w:r>
    </w:p>
    <w:p w14:paraId="37850731">
      <w:pPr>
        <w:spacing w:line="360" w:lineRule="auto"/>
        <w:jc w:val="center"/>
        <w:outlineLvl w:val="0"/>
        <w:rPr>
          <w:rFonts w:hint="eastAsia" w:asciiTheme="minorEastAsia" w:hAnsiTheme="minorEastAsia" w:eastAsiaTheme="minorEastAsia"/>
          <w:b/>
          <w:sz w:val="28"/>
        </w:rPr>
      </w:pPr>
      <w:bookmarkStart w:id="18" w:name="_Toc8888"/>
      <w:r>
        <w:rPr>
          <w:rFonts w:hint="eastAsia" w:asciiTheme="minorEastAsia" w:hAnsiTheme="minorEastAsia" w:eastAsiaTheme="minorEastAsia"/>
          <w:b/>
          <w:sz w:val="28"/>
        </w:rPr>
        <w:t>第二章</w:t>
      </w:r>
      <w:r>
        <w:rPr>
          <w:rFonts w:asciiTheme="minorEastAsia" w:hAnsiTheme="minorEastAsia" w:eastAsiaTheme="minorEastAsia"/>
          <w:b/>
          <w:sz w:val="28"/>
        </w:rPr>
        <w:t>投标人须知</w:t>
      </w:r>
      <w:bookmarkEnd w:id="18"/>
    </w:p>
    <w:p w14:paraId="0571ADBC">
      <w:pPr>
        <w:spacing w:line="360" w:lineRule="auto"/>
        <w:jc w:val="center"/>
        <w:outlineLvl w:val="1"/>
        <w:rPr>
          <w:rFonts w:hint="eastAsia" w:asciiTheme="minorEastAsia" w:hAnsiTheme="minorEastAsia" w:eastAsiaTheme="minorEastAsia"/>
          <w:b/>
          <w:sz w:val="24"/>
        </w:rPr>
      </w:pPr>
      <w:bookmarkStart w:id="19" w:name="_Toc13589"/>
      <w:bookmarkStart w:id="20" w:name="_Toc7178"/>
      <w:r>
        <w:rPr>
          <w:rFonts w:hint="eastAsia" w:asciiTheme="minorEastAsia" w:hAnsiTheme="minorEastAsia" w:eastAsiaTheme="minorEastAsia"/>
          <w:b/>
          <w:sz w:val="24"/>
        </w:rPr>
        <w:t>一、</w:t>
      </w:r>
      <w:r>
        <w:rPr>
          <w:rFonts w:asciiTheme="minorEastAsia" w:hAnsiTheme="minorEastAsia" w:eastAsiaTheme="minorEastAsia"/>
          <w:b/>
          <w:sz w:val="24"/>
        </w:rPr>
        <w:t>投标人须知前附表</w:t>
      </w:r>
      <w:bookmarkEnd w:id="19"/>
      <w:bookmarkEnd w:id="20"/>
    </w:p>
    <w:p w14:paraId="7522AAFC">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5"/>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5EB6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66D66">
            <w:pPr>
              <w:pStyle w:val="3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条款号</w:t>
            </w:r>
          </w:p>
        </w:tc>
        <w:tc>
          <w:tcPr>
            <w:tcW w:w="1174" w:type="pct"/>
            <w:vAlign w:val="center"/>
          </w:tcPr>
          <w:p w14:paraId="679FB29A">
            <w:pPr>
              <w:pStyle w:val="3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条款名称</w:t>
            </w:r>
          </w:p>
        </w:tc>
        <w:tc>
          <w:tcPr>
            <w:tcW w:w="3244" w:type="pct"/>
            <w:vAlign w:val="center"/>
          </w:tcPr>
          <w:p w14:paraId="7493A1E6">
            <w:pPr>
              <w:pStyle w:val="3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内容、说明与要求</w:t>
            </w:r>
          </w:p>
        </w:tc>
      </w:tr>
      <w:tr w14:paraId="5909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7DEF602">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1174" w:type="pct"/>
            <w:vAlign w:val="center"/>
          </w:tcPr>
          <w:p w14:paraId="2F9065C5">
            <w:pPr>
              <w:pStyle w:val="33"/>
              <w:widowControl w:val="0"/>
              <w:spacing w:before="0" w:beforeAutospacing="0" w:after="0" w:afterAutospacing="0" w:line="360" w:lineRule="auto"/>
              <w:jc w:val="left"/>
              <w:rPr>
                <w:rFonts w:hint="eastAsia" w:ascii="宋体" w:hAnsi="宋体" w:eastAsia="宋体"/>
                <w:b w:val="0"/>
                <w:sz w:val="24"/>
              </w:rPr>
            </w:pPr>
            <w:r>
              <w:rPr>
                <w:rFonts w:hint="eastAsia" w:ascii="宋体" w:hAnsi="宋体" w:eastAsia="宋体"/>
                <w:b w:val="0"/>
                <w:kern w:val="2"/>
                <w:sz w:val="24"/>
                <w:szCs w:val="22"/>
              </w:rPr>
              <w:t>现场考察或标前答疑会</w:t>
            </w:r>
          </w:p>
        </w:tc>
        <w:tc>
          <w:tcPr>
            <w:tcW w:w="3244" w:type="pct"/>
            <w:vAlign w:val="center"/>
          </w:tcPr>
          <w:p w14:paraId="519D1580">
            <w:pPr>
              <w:spacing w:line="360" w:lineRule="auto"/>
              <w:rPr>
                <w:rFonts w:hint="eastAsia" w:ascii="宋体" w:hAnsi="宋体" w:eastAsia="宋体"/>
                <w:bCs/>
                <w:sz w:val="24"/>
              </w:rPr>
            </w:pPr>
            <w:r>
              <w:rPr>
                <w:rFonts w:ascii="Segoe UI Symbol" w:hAnsi="Segoe UI Symbol" w:eastAsia="宋体" w:cs="Segoe UI Symbol"/>
                <w:bCs/>
                <w:sz w:val="24"/>
                <w:szCs w:val="24"/>
              </w:rPr>
              <w:t>☑</w:t>
            </w:r>
            <w:r>
              <w:rPr>
                <w:rFonts w:hint="eastAsia" w:ascii="宋体" w:hAnsi="宋体" w:eastAsia="宋体"/>
                <w:sz w:val="24"/>
              </w:rPr>
              <w:t>不组织或不召开</w:t>
            </w:r>
          </w:p>
          <w:p w14:paraId="124EAEA9">
            <w:pPr>
              <w:spacing w:line="360" w:lineRule="auto"/>
              <w:rPr>
                <w:rFonts w:hint="eastAsia" w:ascii="宋体" w:hAnsi="宋体" w:eastAsia="宋体"/>
                <w:bCs/>
                <w:sz w:val="24"/>
              </w:rPr>
            </w:pPr>
            <w:r>
              <w:rPr>
                <w:rFonts w:hint="eastAsia" w:ascii="宋体" w:hAnsi="宋体" w:eastAsia="宋体"/>
                <w:sz w:val="24"/>
              </w:rPr>
              <w:t>□</w:t>
            </w:r>
            <w:r>
              <w:rPr>
                <w:rFonts w:hint="eastAsia" w:ascii="宋体" w:hAnsi="宋体" w:eastAsia="宋体"/>
                <w:bCs/>
                <w:sz w:val="24"/>
              </w:rPr>
              <w:t>统一组织或统一召开</w:t>
            </w:r>
          </w:p>
          <w:p w14:paraId="6F8F5718">
            <w:pPr>
              <w:spacing w:line="360" w:lineRule="auto"/>
              <w:rPr>
                <w:rFonts w:hint="eastAsia" w:ascii="宋体" w:hAnsi="宋体" w:eastAsia="宋体"/>
                <w:bCs/>
                <w:sz w:val="24"/>
                <w:u w:val="single"/>
              </w:rPr>
            </w:pPr>
            <w:r>
              <w:rPr>
                <w:rFonts w:hint="eastAsia" w:ascii="宋体" w:hAnsi="宋体" w:eastAsia="宋体"/>
                <w:bCs/>
                <w:sz w:val="24"/>
              </w:rPr>
              <w:t>时间：年月日时分</w:t>
            </w:r>
          </w:p>
          <w:p w14:paraId="690D1B6B">
            <w:pPr>
              <w:spacing w:line="360" w:lineRule="auto"/>
              <w:rPr>
                <w:rFonts w:hint="eastAsia" w:ascii="宋体" w:hAnsi="宋体" w:eastAsia="宋体"/>
                <w:bCs/>
                <w:sz w:val="24"/>
                <w:u w:val="single"/>
              </w:rPr>
            </w:pPr>
            <w:r>
              <w:rPr>
                <w:rFonts w:hint="eastAsia" w:ascii="宋体" w:hAnsi="宋体" w:eastAsia="宋体"/>
                <w:bCs/>
                <w:sz w:val="24"/>
              </w:rPr>
              <w:t>地点：</w:t>
            </w:r>
          </w:p>
          <w:p w14:paraId="36E1C0B2">
            <w:pPr>
              <w:spacing w:line="360" w:lineRule="auto"/>
              <w:rPr>
                <w:rFonts w:hint="eastAsia" w:ascii="宋体" w:hAnsi="宋体" w:eastAsia="宋体"/>
                <w:bCs/>
                <w:sz w:val="24"/>
                <w:u w:val="single"/>
              </w:rPr>
            </w:pPr>
            <w:r>
              <w:rPr>
                <w:rFonts w:hint="eastAsia" w:ascii="宋体" w:hAnsi="宋体" w:eastAsia="宋体"/>
                <w:bCs/>
                <w:sz w:val="24"/>
              </w:rPr>
              <w:t>联系人及联系电话：</w:t>
            </w:r>
          </w:p>
          <w:p w14:paraId="0DAA4AED">
            <w:pPr>
              <w:pStyle w:val="33"/>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Cs w:val="0"/>
                <w:sz w:val="24"/>
              </w:rPr>
              <w:t>注：如投标人未参加采购人统一组织的现场考察或采购人统一召开的标前答疑会，视同放弃现场考察或标前答疑会，由此引起的一切责任由投标人自行承担。</w:t>
            </w:r>
          </w:p>
        </w:tc>
      </w:tr>
      <w:tr w14:paraId="6C05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00C8CB5">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6</w:t>
            </w:r>
            <w:r>
              <w:rPr>
                <w:rFonts w:ascii="宋体" w:hAnsi="宋体" w:eastAsia="宋体"/>
                <w:bCs/>
                <w:kern w:val="2"/>
              </w:rPr>
              <w:t>.1</w:t>
            </w:r>
          </w:p>
        </w:tc>
        <w:tc>
          <w:tcPr>
            <w:tcW w:w="1174" w:type="pct"/>
            <w:vAlign w:val="center"/>
          </w:tcPr>
          <w:p w14:paraId="0C7EE016">
            <w:pPr>
              <w:pStyle w:val="33"/>
              <w:widowControl w:val="0"/>
              <w:spacing w:before="0" w:beforeAutospacing="0" w:after="0" w:afterAutospacing="0"/>
              <w:jc w:val="left"/>
              <w:rPr>
                <w:rFonts w:hint="eastAsia" w:ascii="宋体" w:hAnsi="宋体" w:eastAsia="宋体"/>
                <w:b w:val="0"/>
                <w:sz w:val="24"/>
              </w:rPr>
            </w:pPr>
            <w:r>
              <w:rPr>
                <w:rFonts w:hint="eastAsia" w:ascii="宋体" w:hAnsi="宋体" w:eastAsia="宋体"/>
                <w:b w:val="0"/>
                <w:sz w:val="24"/>
              </w:rPr>
              <w:t>网上询问截止时间</w:t>
            </w:r>
          </w:p>
        </w:tc>
        <w:tc>
          <w:tcPr>
            <w:tcW w:w="3244" w:type="pct"/>
            <w:vAlign w:val="center"/>
          </w:tcPr>
          <w:p w14:paraId="7A6767C8">
            <w:pPr>
              <w:pStyle w:val="33"/>
              <w:widowControl w:val="0"/>
              <w:spacing w:before="0" w:beforeAutospacing="0" w:after="0" w:afterAutospacing="0"/>
              <w:jc w:val="both"/>
              <w:rPr>
                <w:rFonts w:hint="eastAsia" w:ascii="宋体" w:hAnsi="宋体" w:eastAsia="宋体"/>
                <w:b w:val="0"/>
                <w:sz w:val="24"/>
              </w:rPr>
            </w:pPr>
            <w:r>
              <w:rPr>
                <w:rFonts w:hint="eastAsia" w:ascii="宋体" w:hAnsi="宋体" w:eastAsia="宋体"/>
                <w:b w:val="0"/>
                <w:sz w:val="24"/>
                <w:u w:val="single"/>
              </w:rPr>
              <w:t>2025</w:t>
            </w:r>
            <w:r>
              <w:rPr>
                <w:rFonts w:ascii="宋体" w:hAnsi="宋体" w:eastAsia="宋体"/>
                <w:b w:val="0"/>
                <w:sz w:val="24"/>
              </w:rPr>
              <w:t>年</w:t>
            </w:r>
            <w:r>
              <w:rPr>
                <w:rFonts w:hint="eastAsia" w:ascii="宋体" w:hAnsi="宋体" w:eastAsia="宋体"/>
                <w:b w:val="0"/>
                <w:sz w:val="24"/>
                <w:lang w:val="en-US" w:eastAsia="zh-CN"/>
              </w:rPr>
              <w:t>11</w:t>
            </w:r>
            <w:r>
              <w:rPr>
                <w:rFonts w:ascii="宋体" w:hAnsi="宋体" w:eastAsia="宋体"/>
                <w:b w:val="0"/>
                <w:sz w:val="24"/>
              </w:rPr>
              <w:t>月</w:t>
            </w:r>
            <w:r>
              <w:rPr>
                <w:rFonts w:hint="eastAsia" w:ascii="宋体" w:hAnsi="宋体" w:eastAsia="宋体"/>
                <w:b w:val="0"/>
                <w:sz w:val="24"/>
                <w:lang w:val="en-US" w:eastAsia="zh-CN"/>
              </w:rPr>
              <w:t>18</w:t>
            </w:r>
            <w:r>
              <w:rPr>
                <w:rFonts w:ascii="宋体" w:hAnsi="宋体" w:eastAsia="宋体"/>
                <w:b w:val="0"/>
                <w:sz w:val="24"/>
              </w:rPr>
              <w:t>日</w:t>
            </w:r>
            <w:r>
              <w:rPr>
                <w:rFonts w:hint="eastAsia" w:ascii="宋体" w:hAnsi="宋体" w:eastAsia="宋体"/>
                <w:b w:val="0"/>
                <w:sz w:val="24"/>
                <w:u w:val="single"/>
              </w:rPr>
              <w:t>17</w:t>
            </w:r>
            <w:r>
              <w:rPr>
                <w:rFonts w:ascii="宋体" w:hAnsi="宋体" w:eastAsia="宋体"/>
                <w:b w:val="0"/>
                <w:sz w:val="24"/>
              </w:rPr>
              <w:t>时</w:t>
            </w:r>
            <w:r>
              <w:rPr>
                <w:rFonts w:hint="eastAsia" w:ascii="宋体" w:hAnsi="宋体" w:eastAsia="宋体"/>
                <w:b w:val="0"/>
                <w:sz w:val="24"/>
                <w:u w:val="single"/>
              </w:rPr>
              <w:t>00</w:t>
            </w:r>
            <w:r>
              <w:rPr>
                <w:rFonts w:hint="eastAsia" w:ascii="宋体" w:hAnsi="宋体" w:eastAsia="宋体"/>
                <w:b w:val="0"/>
                <w:sz w:val="24"/>
              </w:rPr>
              <w:t>分</w:t>
            </w:r>
          </w:p>
        </w:tc>
      </w:tr>
      <w:tr w14:paraId="3EC1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58A0408">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7</w:t>
            </w:r>
            <w:r>
              <w:rPr>
                <w:rFonts w:ascii="宋体" w:hAnsi="宋体" w:eastAsia="宋体"/>
                <w:bCs/>
                <w:kern w:val="2"/>
              </w:rPr>
              <w:t>.1</w:t>
            </w:r>
          </w:p>
        </w:tc>
        <w:tc>
          <w:tcPr>
            <w:tcW w:w="1174" w:type="pct"/>
            <w:vAlign w:val="center"/>
          </w:tcPr>
          <w:p w14:paraId="3AC97F66">
            <w:pPr>
              <w:pStyle w:val="33"/>
              <w:widowControl w:val="0"/>
              <w:spacing w:before="0" w:beforeAutospacing="0" w:after="0" w:afterAutospacing="0"/>
              <w:jc w:val="left"/>
              <w:rPr>
                <w:rFonts w:hint="eastAsia" w:ascii="宋体" w:hAnsi="宋体" w:eastAsia="宋体"/>
                <w:b w:val="0"/>
                <w:sz w:val="24"/>
              </w:rPr>
            </w:pPr>
            <w:r>
              <w:rPr>
                <w:rFonts w:hint="eastAsia" w:ascii="宋体" w:hAnsi="宋体" w:eastAsia="宋体"/>
                <w:b w:val="0"/>
                <w:sz w:val="24"/>
              </w:rPr>
              <w:t>包别划分</w:t>
            </w:r>
          </w:p>
        </w:tc>
        <w:tc>
          <w:tcPr>
            <w:tcW w:w="3244" w:type="pct"/>
            <w:vAlign w:val="center"/>
          </w:tcPr>
          <w:p w14:paraId="5F293363">
            <w:pPr>
              <w:pStyle w:val="33"/>
              <w:widowControl w:val="0"/>
              <w:spacing w:before="0" w:beforeAutospacing="0" w:after="0" w:afterAutospacing="0" w:line="360" w:lineRule="auto"/>
              <w:jc w:val="both"/>
              <w:rPr>
                <w:rFonts w:hint="eastAsia" w:ascii="宋体" w:hAnsi="宋体" w:eastAsia="宋体"/>
                <w:b w:val="0"/>
                <w:sz w:val="24"/>
              </w:rPr>
            </w:pPr>
            <w:r>
              <w:rPr>
                <w:rFonts w:ascii="Segoe UI Symbol" w:hAnsi="Segoe UI Symbol" w:eastAsia="宋体" w:cs="Segoe UI Symbol"/>
                <w:b w:val="0"/>
                <w:bCs w:val="0"/>
                <w:sz w:val="24"/>
                <w:szCs w:val="24"/>
              </w:rPr>
              <w:t>☑</w:t>
            </w:r>
            <w:r>
              <w:rPr>
                <w:rFonts w:ascii="宋体" w:hAnsi="宋体" w:eastAsia="宋体"/>
                <w:b w:val="0"/>
                <w:sz w:val="24"/>
              </w:rPr>
              <w:t>不分包     □分为  个包</w:t>
            </w:r>
          </w:p>
          <w:p w14:paraId="4AA533CE">
            <w:pPr>
              <w:pStyle w:val="33"/>
              <w:widowControl w:val="0"/>
              <w:spacing w:before="0" w:beforeAutospacing="0" w:after="0" w:afterAutospacing="0"/>
              <w:jc w:val="both"/>
              <w:rPr>
                <w:rFonts w:hint="eastAsia" w:ascii="宋体" w:hAnsi="宋体" w:eastAsia="宋体"/>
                <w:b w:val="0"/>
                <w:sz w:val="24"/>
                <w:u w:val="single"/>
              </w:rPr>
            </w:pPr>
            <w:r>
              <w:rPr>
                <w:rFonts w:hint="eastAsia" w:ascii="宋体" w:hAnsi="宋体" w:eastAsia="宋体"/>
                <w:b w:val="0"/>
                <w:sz w:val="24"/>
              </w:rPr>
              <w:t>投标人对多个包进行投标的中标</w:t>
            </w:r>
            <w:r>
              <w:rPr>
                <w:rFonts w:ascii="宋体" w:hAnsi="宋体" w:eastAsia="宋体"/>
                <w:b w:val="0"/>
                <w:sz w:val="24"/>
              </w:rPr>
              <w:t>包</w:t>
            </w:r>
            <w:r>
              <w:rPr>
                <w:rFonts w:hint="eastAsia" w:ascii="宋体" w:hAnsi="宋体" w:eastAsia="宋体"/>
                <w:b w:val="0"/>
                <w:sz w:val="24"/>
              </w:rPr>
              <w:t>数规定：无</w:t>
            </w:r>
          </w:p>
        </w:tc>
      </w:tr>
      <w:tr w14:paraId="0A98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81" w:type="pct"/>
            <w:vAlign w:val="center"/>
          </w:tcPr>
          <w:p w14:paraId="19B41EFE">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10</w:t>
            </w:r>
            <w:r>
              <w:rPr>
                <w:rFonts w:ascii="宋体" w:hAnsi="宋体" w:eastAsia="宋体"/>
                <w:bCs/>
                <w:kern w:val="2"/>
              </w:rPr>
              <w:t>.1</w:t>
            </w:r>
          </w:p>
        </w:tc>
        <w:tc>
          <w:tcPr>
            <w:tcW w:w="1174" w:type="pct"/>
            <w:vAlign w:val="center"/>
          </w:tcPr>
          <w:p w14:paraId="2E15B584">
            <w:pPr>
              <w:pStyle w:val="33"/>
              <w:widowControl w:val="0"/>
              <w:spacing w:before="0" w:beforeAutospacing="0" w:after="0" w:afterAutospacing="0" w:line="360" w:lineRule="auto"/>
              <w:jc w:val="left"/>
              <w:rPr>
                <w:rFonts w:hint="eastAsia" w:ascii="宋体" w:hAnsi="宋体" w:eastAsia="宋体"/>
                <w:b w:val="0"/>
                <w:sz w:val="24"/>
              </w:rPr>
            </w:pPr>
            <w:r>
              <w:rPr>
                <w:rFonts w:hint="eastAsia" w:ascii="宋体" w:hAnsi="宋体" w:eastAsia="宋体"/>
                <w:b w:val="0"/>
                <w:sz w:val="24"/>
              </w:rPr>
              <w:t>投标保证金</w:t>
            </w:r>
          </w:p>
        </w:tc>
        <w:tc>
          <w:tcPr>
            <w:tcW w:w="3244" w:type="pct"/>
            <w:vAlign w:val="center"/>
          </w:tcPr>
          <w:p w14:paraId="11E1481F">
            <w:pPr>
              <w:spacing w:line="360" w:lineRule="auto"/>
              <w:rPr>
                <w:rFonts w:hint="eastAsia"/>
              </w:rPr>
            </w:pPr>
            <w:r>
              <w:rPr>
                <w:rFonts w:hint="eastAsia" w:ascii="宋体" w:hAnsi="宋体" w:eastAsia="宋体"/>
                <w:bCs/>
                <w:kern w:val="0"/>
                <w:sz w:val="24"/>
                <w:szCs w:val="28"/>
              </w:rPr>
              <w:t>不收取</w:t>
            </w:r>
          </w:p>
        </w:tc>
      </w:tr>
      <w:tr w14:paraId="7256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844BC30">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11</w:t>
            </w:r>
            <w:r>
              <w:rPr>
                <w:rFonts w:ascii="宋体" w:hAnsi="宋体" w:eastAsia="宋体"/>
                <w:bCs/>
                <w:kern w:val="2"/>
              </w:rPr>
              <w:t>.1</w:t>
            </w:r>
          </w:p>
        </w:tc>
        <w:tc>
          <w:tcPr>
            <w:tcW w:w="1174" w:type="pct"/>
            <w:vAlign w:val="center"/>
          </w:tcPr>
          <w:p w14:paraId="1FF43962">
            <w:pPr>
              <w:pStyle w:val="33"/>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投标有效期</w:t>
            </w:r>
          </w:p>
        </w:tc>
        <w:tc>
          <w:tcPr>
            <w:tcW w:w="3244" w:type="pct"/>
            <w:vAlign w:val="center"/>
          </w:tcPr>
          <w:p w14:paraId="774A2410">
            <w:pPr>
              <w:pStyle w:val="33"/>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u w:val="single"/>
              </w:rPr>
              <w:t>120</w:t>
            </w:r>
            <w:r>
              <w:rPr>
                <w:rFonts w:hint="eastAsia" w:ascii="宋体" w:hAnsi="宋体" w:eastAsia="宋体"/>
                <w:b w:val="0"/>
                <w:sz w:val="24"/>
              </w:rPr>
              <w:t>日历日</w:t>
            </w:r>
          </w:p>
        </w:tc>
      </w:tr>
      <w:tr w14:paraId="5D06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9B6673B">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13</w:t>
            </w:r>
            <w:r>
              <w:rPr>
                <w:rFonts w:ascii="宋体" w:hAnsi="宋体" w:eastAsia="宋体"/>
                <w:bCs/>
                <w:kern w:val="2"/>
              </w:rPr>
              <w:t>.</w:t>
            </w:r>
            <w:r>
              <w:rPr>
                <w:rFonts w:hint="eastAsia" w:ascii="宋体" w:hAnsi="宋体" w:eastAsia="宋体"/>
                <w:bCs/>
                <w:kern w:val="2"/>
              </w:rPr>
              <w:t>1</w:t>
            </w:r>
          </w:p>
        </w:tc>
        <w:tc>
          <w:tcPr>
            <w:tcW w:w="1174" w:type="pct"/>
            <w:vAlign w:val="center"/>
          </w:tcPr>
          <w:p w14:paraId="65A3343F">
            <w:pPr>
              <w:pStyle w:val="33"/>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投标文件解密时间</w:t>
            </w:r>
          </w:p>
        </w:tc>
        <w:tc>
          <w:tcPr>
            <w:tcW w:w="3244" w:type="pct"/>
            <w:vAlign w:val="center"/>
          </w:tcPr>
          <w:p w14:paraId="411851CB">
            <w:pPr>
              <w:pStyle w:val="33"/>
              <w:widowControl w:val="0"/>
              <w:spacing w:before="0" w:beforeAutospacing="0" w:after="0" w:afterAutospacing="0" w:line="360" w:lineRule="auto"/>
              <w:jc w:val="both"/>
              <w:rPr>
                <w:rFonts w:hint="eastAsia" w:ascii="宋体" w:hAnsi="宋体" w:eastAsia="宋体"/>
                <w:b w:val="0"/>
                <w:sz w:val="24"/>
                <w:u w:val="single"/>
              </w:rPr>
            </w:pPr>
            <w:r>
              <w:rPr>
                <w:rFonts w:hint="eastAsia" w:ascii="宋体" w:hAnsi="宋体" w:eastAsia="宋体"/>
                <w:b w:val="0"/>
                <w:sz w:val="24"/>
              </w:rPr>
              <w:t>投标截止时间后</w:t>
            </w:r>
            <w:r>
              <w:rPr>
                <w:rFonts w:hint="eastAsia" w:ascii="宋体" w:hAnsi="宋体" w:eastAsia="宋体"/>
                <w:b w:val="0"/>
                <w:sz w:val="24"/>
                <w:u w:val="single"/>
              </w:rPr>
              <w:t>60</w:t>
            </w:r>
            <w:r>
              <w:rPr>
                <w:rFonts w:hint="eastAsia" w:ascii="宋体" w:hAnsi="宋体" w:eastAsia="宋体"/>
                <w:b w:val="0"/>
                <w:sz w:val="24"/>
              </w:rPr>
              <w:t>分钟内</w:t>
            </w:r>
          </w:p>
        </w:tc>
      </w:tr>
      <w:tr w14:paraId="2DB8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3D023BE">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14.1</w:t>
            </w:r>
          </w:p>
        </w:tc>
        <w:tc>
          <w:tcPr>
            <w:tcW w:w="1174" w:type="pct"/>
            <w:vAlign w:val="center"/>
          </w:tcPr>
          <w:p w14:paraId="42F81421">
            <w:pPr>
              <w:pStyle w:val="33"/>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资格审查</w:t>
            </w:r>
          </w:p>
        </w:tc>
        <w:tc>
          <w:tcPr>
            <w:tcW w:w="3244" w:type="pct"/>
            <w:vAlign w:val="center"/>
          </w:tcPr>
          <w:p w14:paraId="4229033D">
            <w:pPr>
              <w:pStyle w:val="33"/>
              <w:widowControl w:val="0"/>
              <w:spacing w:before="0" w:beforeAutospacing="0" w:after="0" w:afterAutospacing="0" w:line="360" w:lineRule="auto"/>
              <w:jc w:val="both"/>
              <w:rPr>
                <w:rFonts w:hint="eastAsia" w:ascii="宋体" w:hAnsi="宋体" w:eastAsia="宋体"/>
                <w:b w:val="0"/>
                <w:bCs w:val="0"/>
                <w:sz w:val="24"/>
              </w:rPr>
            </w:pPr>
            <w:r>
              <w:rPr>
                <w:rFonts w:ascii="Segoe UI Symbol" w:hAnsi="Segoe UI Symbol" w:eastAsia="宋体" w:cs="Segoe UI Symbol"/>
                <w:b w:val="0"/>
                <w:bCs w:val="0"/>
                <w:sz w:val="24"/>
                <w:szCs w:val="24"/>
              </w:rPr>
              <w:t>☑</w:t>
            </w:r>
            <w:r>
              <w:rPr>
                <w:rFonts w:hint="eastAsia" w:ascii="宋体" w:hAnsi="宋体" w:eastAsia="宋体"/>
                <w:b w:val="0"/>
                <w:bCs w:val="0"/>
                <w:sz w:val="24"/>
              </w:rPr>
              <w:t>采购人审查</w:t>
            </w:r>
          </w:p>
          <w:p w14:paraId="3A6E1F6A">
            <w:pPr>
              <w:pStyle w:val="33"/>
              <w:widowControl w:val="0"/>
              <w:spacing w:before="0" w:beforeAutospacing="0" w:after="0" w:afterAutospacing="0" w:line="360" w:lineRule="auto"/>
              <w:jc w:val="both"/>
              <w:rPr>
                <w:rFonts w:hint="eastAsia" w:ascii="宋体" w:hAnsi="宋体" w:eastAsia="宋体"/>
                <w:b w:val="0"/>
                <w:sz w:val="24"/>
                <w:u w:val="single"/>
              </w:rPr>
            </w:pPr>
            <w:r>
              <w:rPr>
                <w:rFonts w:ascii="宋体" w:hAnsi="宋体" w:eastAsia="宋体"/>
                <w:b w:val="0"/>
                <w:bCs w:val="0"/>
                <w:sz w:val="24"/>
                <w:szCs w:val="24"/>
              </w:rPr>
              <w:t>□</w:t>
            </w:r>
            <w:r>
              <w:rPr>
                <w:rFonts w:hint="eastAsia" w:ascii="宋体" w:hAnsi="宋体" w:eastAsia="宋体"/>
                <w:b w:val="0"/>
                <w:bCs w:val="0"/>
                <w:sz w:val="24"/>
              </w:rPr>
              <w:t>采购人出具委托函委托采购代理机构进行审查</w:t>
            </w:r>
          </w:p>
        </w:tc>
      </w:tr>
      <w:tr w14:paraId="0EE7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FF88AE">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.2</w:t>
            </w:r>
          </w:p>
        </w:tc>
        <w:tc>
          <w:tcPr>
            <w:tcW w:w="1174" w:type="pct"/>
            <w:vAlign w:val="center"/>
          </w:tcPr>
          <w:p w14:paraId="142B30CA">
            <w:pPr>
              <w:pStyle w:val="33"/>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评标方法</w:t>
            </w:r>
          </w:p>
        </w:tc>
        <w:tc>
          <w:tcPr>
            <w:tcW w:w="3244" w:type="pct"/>
            <w:vAlign w:val="center"/>
          </w:tcPr>
          <w:p w14:paraId="57FB63FD">
            <w:pPr>
              <w:pStyle w:val="33"/>
              <w:widowControl w:val="0"/>
              <w:spacing w:before="0" w:beforeAutospacing="0" w:after="0" w:afterAutospacing="0" w:line="360" w:lineRule="auto"/>
              <w:jc w:val="both"/>
              <w:rPr>
                <w:rFonts w:hint="eastAsia" w:ascii="宋体" w:hAnsi="宋体" w:eastAsia="宋体"/>
                <w:b w:val="0"/>
                <w:sz w:val="24"/>
                <w:u w:val="single"/>
              </w:rPr>
            </w:pPr>
            <w:r>
              <w:rPr>
                <w:rFonts w:ascii="宋体" w:hAnsi="宋体" w:eastAsia="宋体"/>
                <w:b w:val="0"/>
                <w:bCs w:val="0"/>
                <w:sz w:val="24"/>
                <w:szCs w:val="24"/>
              </w:rPr>
              <w:t>□</w:t>
            </w:r>
            <w:r>
              <w:rPr>
                <w:rFonts w:hint="eastAsia" w:ascii="宋体" w:hAnsi="宋体" w:eastAsia="宋体"/>
                <w:b w:val="0"/>
                <w:sz w:val="24"/>
              </w:rPr>
              <w:t>最低评标价法</w:t>
            </w:r>
          </w:p>
          <w:p w14:paraId="6237BA00">
            <w:pPr>
              <w:pStyle w:val="33"/>
              <w:widowControl w:val="0"/>
              <w:spacing w:before="0" w:beforeAutospacing="0" w:after="0" w:afterAutospacing="0" w:line="360" w:lineRule="auto"/>
              <w:jc w:val="both"/>
              <w:rPr>
                <w:rFonts w:hint="eastAsia" w:ascii="宋体" w:hAnsi="宋体" w:eastAsia="宋体"/>
                <w:b w:val="0"/>
                <w:sz w:val="24"/>
              </w:rPr>
            </w:pPr>
            <w:r>
              <w:rPr>
                <w:rFonts w:ascii="Segoe UI Symbol" w:hAnsi="Segoe UI Symbol" w:eastAsia="宋体" w:cs="Segoe UI Symbol"/>
                <w:b w:val="0"/>
                <w:bCs w:val="0"/>
                <w:sz w:val="24"/>
                <w:szCs w:val="24"/>
              </w:rPr>
              <w:t>☑</w:t>
            </w:r>
            <w:r>
              <w:rPr>
                <w:rFonts w:hint="eastAsia" w:ascii="宋体" w:hAnsi="宋体" w:eastAsia="宋体"/>
                <w:b w:val="0"/>
                <w:sz w:val="24"/>
              </w:rPr>
              <w:t>综合评分法</w:t>
            </w:r>
          </w:p>
        </w:tc>
      </w:tr>
      <w:tr w14:paraId="25C1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EF5CAB7">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.3</w:t>
            </w:r>
          </w:p>
        </w:tc>
        <w:tc>
          <w:tcPr>
            <w:tcW w:w="1174" w:type="pct"/>
            <w:vAlign w:val="center"/>
          </w:tcPr>
          <w:p w14:paraId="166EBF53">
            <w:pPr>
              <w:pStyle w:val="33"/>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报价扣除</w:t>
            </w:r>
          </w:p>
          <w:p w14:paraId="31AE9BC2">
            <w:pPr>
              <w:pStyle w:val="33"/>
              <w:widowControl w:val="0"/>
              <w:spacing w:before="0" w:beforeAutospacing="0" w:after="0" w:afterAutospacing="0" w:line="360" w:lineRule="auto"/>
              <w:jc w:val="both"/>
              <w:rPr>
                <w:rFonts w:hint="eastAsia" w:ascii="宋体" w:hAnsi="宋体" w:eastAsia="宋体"/>
                <w:b w:val="0"/>
                <w:i/>
                <w:sz w:val="24"/>
              </w:rPr>
            </w:pPr>
            <w:r>
              <w:rPr>
                <w:rFonts w:hint="eastAsia" w:ascii="宋体" w:hAnsi="宋体" w:eastAsia="宋体"/>
                <w:b w:val="0"/>
                <w:i/>
                <w:sz w:val="24"/>
              </w:rPr>
              <w:t>（非专门面向中小企业采购项目适用）</w:t>
            </w:r>
          </w:p>
        </w:tc>
        <w:tc>
          <w:tcPr>
            <w:tcW w:w="3244" w:type="pct"/>
            <w:vAlign w:val="center"/>
          </w:tcPr>
          <w:p w14:paraId="129A3BB1">
            <w:pPr>
              <w:pStyle w:val="33"/>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（1）</w:t>
            </w:r>
            <w:r>
              <w:rPr>
                <w:rFonts w:ascii="宋体" w:hAnsi="宋体" w:eastAsia="宋体"/>
                <w:b w:val="0"/>
                <w:sz w:val="24"/>
              </w:rPr>
              <w:t>小型和微型</w:t>
            </w:r>
            <w:r>
              <w:rPr>
                <w:rFonts w:hint="eastAsia" w:ascii="宋体" w:hAnsi="宋体" w:eastAsia="宋体"/>
                <w:b w:val="0"/>
                <w:sz w:val="24"/>
              </w:rPr>
              <w:t>企业价格扣除：</w:t>
            </w:r>
            <w:r>
              <w:rPr>
                <w:rFonts w:hint="eastAsia" w:ascii="宋体" w:hAnsi="宋体" w:eastAsia="宋体"/>
                <w:b w:val="0"/>
                <w:sz w:val="24"/>
                <w:u w:val="single"/>
              </w:rPr>
              <w:t xml:space="preserve"> 10% </w:t>
            </w:r>
            <w:r>
              <w:rPr>
                <w:rFonts w:hint="eastAsia" w:ascii="宋体" w:hAnsi="宋体" w:eastAsia="宋体"/>
                <w:b w:val="0"/>
                <w:sz w:val="24"/>
              </w:rPr>
              <w:t>。</w:t>
            </w:r>
          </w:p>
          <w:p w14:paraId="41F0C374">
            <w:pPr>
              <w:pStyle w:val="33"/>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（2）监狱企业价格扣除：同</w:t>
            </w:r>
            <w:r>
              <w:rPr>
                <w:rFonts w:ascii="宋体" w:hAnsi="宋体" w:eastAsia="宋体"/>
                <w:b w:val="0"/>
                <w:sz w:val="24"/>
              </w:rPr>
              <w:t>小型和微型企业</w:t>
            </w:r>
            <w:r>
              <w:rPr>
                <w:rFonts w:hint="eastAsia" w:ascii="宋体" w:hAnsi="宋体" w:eastAsia="宋体"/>
                <w:b w:val="0"/>
                <w:sz w:val="24"/>
              </w:rPr>
              <w:t>。</w:t>
            </w:r>
          </w:p>
          <w:p w14:paraId="4C86FDED">
            <w:pPr>
              <w:pStyle w:val="33"/>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（3）残疾人福利性单位价格扣除：同</w:t>
            </w:r>
            <w:r>
              <w:rPr>
                <w:rFonts w:ascii="宋体" w:hAnsi="宋体" w:eastAsia="宋体"/>
                <w:b w:val="0"/>
                <w:sz w:val="24"/>
              </w:rPr>
              <w:t>小型和微型企业</w:t>
            </w:r>
            <w:r>
              <w:rPr>
                <w:rFonts w:hint="eastAsia" w:ascii="宋体" w:hAnsi="宋体" w:eastAsia="宋体"/>
                <w:b w:val="0"/>
                <w:sz w:val="24"/>
              </w:rPr>
              <w:t>。</w:t>
            </w:r>
          </w:p>
          <w:p w14:paraId="71C83D31">
            <w:pPr>
              <w:pStyle w:val="33"/>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w:t>
            </w:r>
            <w:r>
              <w:rPr>
                <w:rFonts w:hint="eastAsia" w:ascii="宋体" w:hAnsi="宋体" w:eastAsia="宋体"/>
                <w:b w:val="0"/>
                <w:sz w:val="24"/>
              </w:rPr>
              <w:t>。</w:t>
            </w:r>
          </w:p>
          <w:p w14:paraId="29E087AC">
            <w:pPr>
              <w:pStyle w:val="33"/>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w:t>
            </w:r>
            <w:r>
              <w:rPr>
                <w:rFonts w:hint="eastAsia" w:ascii="宋体" w:hAnsi="宋体" w:eastAsia="宋体"/>
                <w:b w:val="0"/>
                <w:sz w:val="24"/>
              </w:rPr>
              <w:t>。</w:t>
            </w:r>
            <w:r>
              <w:rPr>
                <w:rFonts w:hint="eastAsia" w:ascii="宋体" w:hAnsi="宋体" w:eastAsia="宋体"/>
                <w:b w:val="0"/>
                <w:i/>
                <w:sz w:val="24"/>
              </w:rPr>
              <w:t>（允许大中型企业向小微企业分包的项目适用）</w:t>
            </w:r>
          </w:p>
        </w:tc>
      </w:tr>
      <w:tr w14:paraId="1C2B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19163EE">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1</w:t>
            </w:r>
          </w:p>
        </w:tc>
        <w:tc>
          <w:tcPr>
            <w:tcW w:w="1174" w:type="pct"/>
            <w:vAlign w:val="center"/>
          </w:tcPr>
          <w:p w14:paraId="11B36AAB">
            <w:pPr>
              <w:pStyle w:val="33"/>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3244" w:type="pct"/>
            <w:vAlign w:val="center"/>
          </w:tcPr>
          <w:p w14:paraId="2B0FE75B">
            <w:pPr>
              <w:pStyle w:val="33"/>
              <w:widowControl w:val="0"/>
              <w:spacing w:before="0" w:beforeAutospacing="0" w:after="0" w:afterAutospacing="0" w:line="360" w:lineRule="auto"/>
              <w:jc w:val="both"/>
              <w:rPr>
                <w:rFonts w:hint="eastAsia" w:ascii="宋体" w:hAnsi="宋体" w:eastAsia="宋体"/>
                <w:b w:val="0"/>
                <w:sz w:val="24"/>
                <w:u w:val="single"/>
              </w:rPr>
            </w:pPr>
            <w:r>
              <w:rPr>
                <w:rFonts w:hint="eastAsia" w:ascii="宋体" w:hAnsi="宋体" w:eastAsia="宋体" w:cs="宋体"/>
                <w:b w:val="0"/>
                <w:sz w:val="24"/>
                <w:szCs w:val="24"/>
              </w:rPr>
              <w:t>1-3家</w:t>
            </w:r>
          </w:p>
        </w:tc>
      </w:tr>
      <w:tr w14:paraId="149E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74C3F17">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2</w:t>
            </w:r>
          </w:p>
        </w:tc>
        <w:tc>
          <w:tcPr>
            <w:tcW w:w="1174" w:type="pct"/>
            <w:vAlign w:val="center"/>
          </w:tcPr>
          <w:p w14:paraId="531D2FA5">
            <w:pPr>
              <w:pStyle w:val="33"/>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确定中标人</w:t>
            </w:r>
          </w:p>
        </w:tc>
        <w:tc>
          <w:tcPr>
            <w:tcW w:w="3244" w:type="pct"/>
            <w:vAlign w:val="center"/>
          </w:tcPr>
          <w:p w14:paraId="21B9A210">
            <w:pPr>
              <w:spacing w:line="360" w:lineRule="auto"/>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sym w:font="Wingdings" w:char="00FE"/>
            </w:r>
            <w:r>
              <w:rPr>
                <w:rFonts w:hint="eastAsia" w:asciiTheme="minorEastAsia" w:hAnsiTheme="minorEastAsia" w:eastAsiaTheme="minorEastAsia"/>
                <w:kern w:val="0"/>
                <w:sz w:val="24"/>
                <w:szCs w:val="24"/>
              </w:rPr>
              <w:t>采购人委托评标委员会确定</w:t>
            </w:r>
          </w:p>
          <w:p w14:paraId="698B0079">
            <w:pPr>
              <w:pStyle w:val="33"/>
              <w:widowControl w:val="0"/>
              <w:spacing w:before="0" w:beforeAutospacing="0" w:after="0" w:afterAutospacing="0" w:line="360" w:lineRule="auto"/>
              <w:jc w:val="both"/>
              <w:rPr>
                <w:rFonts w:hint="eastAsia" w:ascii="宋体" w:hAnsi="宋体" w:eastAsia="宋体"/>
                <w:b w:val="0"/>
                <w:sz w:val="24"/>
              </w:rPr>
            </w:pPr>
            <w:r>
              <w:rPr>
                <w:rFonts w:hint="eastAsia" w:asciiTheme="minorEastAsia" w:hAnsiTheme="minorEastAsia" w:eastAsiaTheme="minorEastAsia"/>
                <w:b w:val="0"/>
                <w:bCs w:val="0"/>
                <w:kern w:val="2"/>
                <w:sz w:val="24"/>
                <w:szCs w:val="24"/>
              </w:rPr>
              <w:t>□采购人确定</w:t>
            </w:r>
          </w:p>
        </w:tc>
      </w:tr>
      <w:tr w14:paraId="564C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02A00BC">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ascii="宋体" w:hAnsi="宋体" w:eastAsia="宋体"/>
                <w:bCs/>
                <w:kern w:val="2"/>
              </w:rPr>
              <w:t>2</w:t>
            </w:r>
            <w:r>
              <w:rPr>
                <w:rFonts w:hint="eastAsia" w:ascii="宋体" w:hAnsi="宋体" w:eastAsia="宋体"/>
                <w:bCs/>
                <w:kern w:val="2"/>
              </w:rPr>
              <w:t>3</w:t>
            </w:r>
            <w:r>
              <w:rPr>
                <w:rFonts w:ascii="宋体" w:hAnsi="宋体" w:eastAsia="宋体"/>
                <w:bCs/>
                <w:kern w:val="2"/>
              </w:rPr>
              <w:t>.3</w:t>
            </w:r>
          </w:p>
        </w:tc>
        <w:tc>
          <w:tcPr>
            <w:tcW w:w="1174" w:type="pct"/>
            <w:vAlign w:val="center"/>
          </w:tcPr>
          <w:p w14:paraId="366AEFBC">
            <w:pPr>
              <w:pStyle w:val="33"/>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随中标结果公告同时公告的内容</w:t>
            </w:r>
          </w:p>
        </w:tc>
        <w:tc>
          <w:tcPr>
            <w:tcW w:w="3244" w:type="pct"/>
            <w:vAlign w:val="center"/>
          </w:tcPr>
          <w:p w14:paraId="3F7BC50E">
            <w:pPr>
              <w:pStyle w:val="33"/>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（1）中小企业声明函；</w:t>
            </w:r>
            <w:r>
              <w:rPr>
                <w:rFonts w:hint="eastAsia" w:ascii="宋体" w:hAnsi="宋体" w:eastAsia="宋体"/>
                <w:b w:val="0"/>
                <w:i/>
                <w:iCs/>
                <w:sz w:val="24"/>
              </w:rPr>
              <w:t>（如有）</w:t>
            </w:r>
          </w:p>
          <w:p w14:paraId="0A43880D">
            <w:pPr>
              <w:pStyle w:val="33"/>
              <w:widowControl w:val="0"/>
              <w:spacing w:before="0" w:beforeAutospacing="0" w:after="0" w:afterAutospacing="0" w:line="360" w:lineRule="auto"/>
              <w:jc w:val="both"/>
              <w:rPr>
                <w:rFonts w:hint="eastAsia" w:ascii="宋体" w:hAnsi="宋体" w:eastAsia="宋体"/>
                <w:b w:val="0"/>
                <w:i/>
                <w:sz w:val="24"/>
              </w:rPr>
            </w:pPr>
            <w:r>
              <w:rPr>
                <w:rFonts w:hint="eastAsia" w:ascii="宋体" w:hAnsi="宋体" w:eastAsia="宋体"/>
                <w:b w:val="0"/>
                <w:sz w:val="24"/>
              </w:rPr>
              <w:t>（2）残疾人福利性单位声明函；</w:t>
            </w:r>
            <w:r>
              <w:rPr>
                <w:rFonts w:hint="eastAsia" w:ascii="宋体" w:hAnsi="宋体" w:eastAsia="宋体"/>
                <w:b w:val="0"/>
                <w:i/>
                <w:iCs/>
                <w:sz w:val="24"/>
              </w:rPr>
              <w:t>（如有）</w:t>
            </w:r>
          </w:p>
          <w:p w14:paraId="5BC705A8">
            <w:pPr>
              <w:pStyle w:val="33"/>
              <w:widowControl w:val="0"/>
              <w:spacing w:before="0" w:beforeAutospacing="0" w:after="0" w:afterAutospacing="0" w:line="360" w:lineRule="auto"/>
              <w:jc w:val="both"/>
              <w:rPr>
                <w:rFonts w:hint="eastAsia" w:ascii="宋体" w:hAnsi="宋体" w:eastAsia="宋体"/>
                <w:b w:val="0"/>
                <w:i/>
                <w:iCs/>
                <w:sz w:val="24"/>
              </w:rPr>
            </w:pPr>
            <w:r>
              <w:rPr>
                <w:rFonts w:hint="eastAsia" w:ascii="宋体" w:hAnsi="宋体" w:eastAsia="宋体"/>
                <w:b w:val="0"/>
                <w:sz w:val="24"/>
              </w:rPr>
              <w:t>（3）中标（成交）投标人的评审总得分</w:t>
            </w:r>
          </w:p>
          <w:p w14:paraId="7D30DAF0">
            <w:pPr>
              <w:pStyle w:val="33"/>
              <w:widowControl w:val="0"/>
              <w:spacing w:before="0" w:beforeAutospacing="0" w:after="0" w:afterAutospacing="0" w:line="360" w:lineRule="auto"/>
              <w:jc w:val="both"/>
              <w:rPr>
                <w:rFonts w:hint="eastAsia" w:ascii="宋体" w:hAnsi="宋体" w:eastAsia="宋体"/>
                <w:b w:val="0"/>
                <w:bCs w:val="0"/>
                <w:sz w:val="24"/>
                <w:szCs w:val="24"/>
              </w:rPr>
            </w:pPr>
            <w:r>
              <w:rPr>
                <w:rFonts w:hint="eastAsia" w:ascii="宋体" w:hAnsi="宋体" w:eastAsia="宋体"/>
                <w:b w:val="0"/>
                <w:sz w:val="24"/>
              </w:rPr>
              <w:t>（4）招标文件中规定进行公示的其他内容。（如有）</w:t>
            </w:r>
          </w:p>
        </w:tc>
      </w:tr>
      <w:tr w14:paraId="165A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435A38E">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24</w:t>
            </w:r>
            <w:r>
              <w:rPr>
                <w:rFonts w:ascii="宋体" w:hAnsi="宋体" w:eastAsia="宋体"/>
                <w:bCs/>
                <w:kern w:val="2"/>
              </w:rPr>
              <w:t>.1</w:t>
            </w:r>
          </w:p>
        </w:tc>
        <w:tc>
          <w:tcPr>
            <w:tcW w:w="1174" w:type="pct"/>
            <w:vAlign w:val="center"/>
          </w:tcPr>
          <w:p w14:paraId="58D06323">
            <w:pPr>
              <w:pStyle w:val="33"/>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中标通知书发出的形式</w:t>
            </w:r>
          </w:p>
        </w:tc>
        <w:tc>
          <w:tcPr>
            <w:tcW w:w="3244" w:type="pct"/>
            <w:vAlign w:val="center"/>
          </w:tcPr>
          <w:p w14:paraId="4D782CC7">
            <w:pPr>
              <w:pStyle w:val="33"/>
              <w:widowControl w:val="0"/>
              <w:spacing w:before="0" w:beforeAutospacing="0" w:after="0" w:afterAutospacing="0" w:line="360" w:lineRule="auto"/>
              <w:jc w:val="both"/>
              <w:rPr>
                <w:rFonts w:hint="eastAsia" w:ascii="宋体" w:hAnsi="宋体" w:eastAsia="宋体"/>
                <w:b w:val="0"/>
                <w:bCs w:val="0"/>
                <w:sz w:val="24"/>
                <w:szCs w:val="24"/>
              </w:rPr>
            </w:pPr>
            <w:r>
              <w:rPr>
                <w:rFonts w:ascii="Segoe UI Symbol" w:hAnsi="Segoe UI Symbol" w:eastAsia="宋体" w:cs="Segoe UI Symbol"/>
                <w:b w:val="0"/>
                <w:bCs w:val="0"/>
                <w:sz w:val="24"/>
                <w:szCs w:val="24"/>
              </w:rPr>
              <w:t>☑</w:t>
            </w:r>
            <w:r>
              <w:rPr>
                <w:rFonts w:hint="eastAsia" w:ascii="宋体" w:hAnsi="宋体" w:eastAsia="宋体"/>
                <w:b w:val="0"/>
                <w:bCs w:val="0"/>
                <w:sz w:val="24"/>
                <w:szCs w:val="24"/>
              </w:rPr>
              <w:t xml:space="preserve">书面 </w:t>
            </w:r>
            <w:r>
              <w:rPr>
                <w:rFonts w:hint="eastAsia" w:ascii="宋体" w:hAnsi="宋体" w:eastAsia="宋体"/>
                <w:b w:val="0"/>
                <w:bCs w:val="0"/>
                <w:sz w:val="24"/>
                <w:szCs w:val="24"/>
              </w:rPr>
              <w:sym w:font="Wingdings" w:char="00A8"/>
            </w:r>
            <w:r>
              <w:rPr>
                <w:rFonts w:hint="eastAsia" w:ascii="宋体" w:hAnsi="宋体" w:eastAsia="宋体"/>
                <w:b w:val="0"/>
                <w:bCs w:val="0"/>
                <w:sz w:val="24"/>
                <w:szCs w:val="24"/>
              </w:rPr>
              <w:t>数据电文</w:t>
            </w:r>
          </w:p>
        </w:tc>
      </w:tr>
      <w:tr w14:paraId="0792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CCBEABA">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25</w:t>
            </w:r>
            <w:r>
              <w:rPr>
                <w:rFonts w:ascii="宋体" w:hAnsi="宋体" w:eastAsia="宋体"/>
                <w:bCs/>
                <w:kern w:val="2"/>
              </w:rPr>
              <w:t>.1</w:t>
            </w:r>
          </w:p>
        </w:tc>
        <w:tc>
          <w:tcPr>
            <w:tcW w:w="1174" w:type="pct"/>
            <w:vAlign w:val="center"/>
          </w:tcPr>
          <w:p w14:paraId="25F8A874">
            <w:pPr>
              <w:pStyle w:val="33"/>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告知招标结果的形式</w:t>
            </w:r>
          </w:p>
        </w:tc>
        <w:tc>
          <w:tcPr>
            <w:tcW w:w="3244" w:type="pct"/>
            <w:vAlign w:val="center"/>
          </w:tcPr>
          <w:p w14:paraId="4F633D89">
            <w:pPr>
              <w:spacing w:line="360" w:lineRule="auto"/>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sym w:font="Wingdings" w:char="00FE"/>
            </w:r>
            <w:r>
              <w:rPr>
                <w:rFonts w:hint="eastAsia" w:asciiTheme="minorEastAsia" w:hAnsiTheme="minorEastAsia" w:eastAsiaTheme="minorEastAsia"/>
                <w:kern w:val="0"/>
                <w:sz w:val="24"/>
                <w:szCs w:val="24"/>
              </w:rPr>
              <w:t>投标人自行登录电子</w:t>
            </w:r>
            <w:r>
              <w:rPr>
                <w:rFonts w:hint="eastAsia" w:ascii="宋体" w:hAnsi="宋体" w:eastAsia="宋体" w:cs="宋体"/>
                <w:sz w:val="24"/>
                <w:szCs w:val="24"/>
              </w:rPr>
              <w:t>交易</w:t>
            </w:r>
            <w:r>
              <w:rPr>
                <w:rFonts w:hint="eastAsia" w:asciiTheme="minorEastAsia" w:hAnsiTheme="minorEastAsia" w:eastAsiaTheme="minorEastAsia"/>
                <w:kern w:val="0"/>
                <w:sz w:val="24"/>
                <w:szCs w:val="24"/>
              </w:rPr>
              <w:t>系统查看</w:t>
            </w:r>
          </w:p>
          <w:p w14:paraId="2D3C90FB">
            <w:pPr>
              <w:pStyle w:val="33"/>
              <w:widowControl w:val="0"/>
              <w:spacing w:before="0" w:beforeAutospacing="0" w:after="0" w:afterAutospacing="0" w:line="360" w:lineRule="auto"/>
              <w:jc w:val="both"/>
              <w:rPr>
                <w:rFonts w:hint="eastAsia" w:asciiTheme="minorEastAsia" w:hAnsiTheme="minorEastAsia" w:eastAsiaTheme="minorEastAsia"/>
                <w:b w:val="0"/>
                <w:bCs w:val="0"/>
                <w:kern w:val="2"/>
                <w:sz w:val="24"/>
                <w:szCs w:val="24"/>
              </w:rPr>
            </w:pPr>
            <w:r>
              <w:rPr>
                <w:rFonts w:hint="eastAsia" w:asciiTheme="minorEastAsia" w:hAnsiTheme="minorEastAsia" w:eastAsiaTheme="minorEastAsia"/>
                <w:b w:val="0"/>
                <w:bCs w:val="0"/>
                <w:kern w:val="2"/>
                <w:sz w:val="24"/>
                <w:szCs w:val="24"/>
              </w:rPr>
              <w:t>□评标现场告知</w:t>
            </w:r>
          </w:p>
        </w:tc>
      </w:tr>
      <w:tr w14:paraId="6615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7" w:hRule="atLeast"/>
          <w:jc w:val="center"/>
        </w:trPr>
        <w:tc>
          <w:tcPr>
            <w:tcW w:w="581" w:type="pct"/>
            <w:vAlign w:val="center"/>
          </w:tcPr>
          <w:p w14:paraId="2077B611">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26</w:t>
            </w:r>
            <w:r>
              <w:rPr>
                <w:rFonts w:ascii="宋体" w:hAnsi="宋体" w:eastAsia="宋体"/>
                <w:bCs/>
                <w:kern w:val="2"/>
              </w:rPr>
              <w:t>.1</w:t>
            </w:r>
          </w:p>
        </w:tc>
        <w:tc>
          <w:tcPr>
            <w:tcW w:w="1174" w:type="pct"/>
            <w:vAlign w:val="center"/>
          </w:tcPr>
          <w:p w14:paraId="2B9071E2">
            <w:pPr>
              <w:pStyle w:val="33"/>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履约保证金</w:t>
            </w:r>
          </w:p>
        </w:tc>
        <w:tc>
          <w:tcPr>
            <w:tcW w:w="3244" w:type="pct"/>
          </w:tcPr>
          <w:p w14:paraId="5F6DBE6C">
            <w:pPr>
              <w:spacing w:line="440" w:lineRule="exact"/>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（1）金额：</w:t>
            </w:r>
          </w:p>
          <w:p w14:paraId="102F0E7A">
            <w:pPr>
              <w:spacing w:line="440" w:lineRule="exact"/>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□免收</w:t>
            </w:r>
          </w:p>
          <w:p w14:paraId="784B1E9B">
            <w:pPr>
              <w:spacing w:line="440" w:lineRule="exact"/>
              <w:jc w:val="left"/>
              <w:rPr>
                <w:rFonts w:hint="eastAsia" w:ascii="宋体" w:hAnsi="宋体" w:eastAsia="宋体" w:cs="宋体"/>
                <w:bCs/>
                <w:kern w:val="0"/>
                <w:sz w:val="24"/>
                <w:szCs w:val="24"/>
                <w:highlight w:val="none"/>
              </w:rPr>
            </w:pPr>
            <w:r>
              <w:rPr>
                <w:rFonts w:ascii="宋体" w:hAnsi="宋体" w:eastAsia="宋体" w:cs="宋体"/>
                <w:bCs/>
                <w:kern w:val="0"/>
                <w:sz w:val="24"/>
                <w:szCs w:val="24"/>
                <w:highlight w:val="none"/>
              </w:rPr>
              <w:t>☑合同价的</w:t>
            </w:r>
            <w:r>
              <w:rPr>
                <w:rFonts w:hint="eastAsia" w:ascii="宋体" w:hAnsi="宋体" w:eastAsia="宋体" w:cs="宋体"/>
                <w:bCs/>
                <w:kern w:val="0"/>
                <w:sz w:val="24"/>
                <w:szCs w:val="24"/>
                <w:highlight w:val="none"/>
                <w:u w:val="single"/>
              </w:rPr>
              <w:t xml:space="preserve"> 2.5 </w:t>
            </w:r>
            <w:r>
              <w:rPr>
                <w:rFonts w:hint="eastAsia" w:ascii="宋体" w:hAnsi="宋体" w:eastAsia="宋体" w:cs="宋体"/>
                <w:bCs/>
                <w:kern w:val="0"/>
                <w:sz w:val="24"/>
                <w:szCs w:val="24"/>
                <w:highlight w:val="none"/>
              </w:rPr>
              <w:t>%</w:t>
            </w:r>
          </w:p>
          <w:p w14:paraId="74E21AAA">
            <w:pPr>
              <w:spacing w:line="440" w:lineRule="exact"/>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□定额收取：人民币</w:t>
            </w:r>
            <w:r>
              <w:rPr>
                <w:rFonts w:hint="eastAsia" w:ascii="宋体" w:hAnsi="宋体" w:eastAsia="宋体" w:cs="宋体"/>
                <w:bCs/>
                <w:kern w:val="0"/>
                <w:sz w:val="24"/>
                <w:szCs w:val="24"/>
                <w:highlight w:val="none"/>
                <w:u w:val="single"/>
              </w:rPr>
              <w:t xml:space="preserve">  /  </w:t>
            </w:r>
            <w:r>
              <w:rPr>
                <w:rFonts w:hint="eastAsia" w:ascii="宋体" w:hAnsi="宋体" w:eastAsia="宋体" w:cs="宋体"/>
                <w:bCs/>
                <w:kern w:val="0"/>
                <w:sz w:val="24"/>
                <w:szCs w:val="24"/>
                <w:highlight w:val="none"/>
              </w:rPr>
              <w:t>元</w:t>
            </w:r>
          </w:p>
          <w:p w14:paraId="2125DD6D">
            <w:pPr>
              <w:spacing w:line="440" w:lineRule="exact"/>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（2）支付方式：</w:t>
            </w:r>
          </w:p>
          <w:p w14:paraId="44AC6734">
            <w:pPr>
              <w:spacing w:line="440" w:lineRule="exact"/>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sym w:font="Wingdings" w:char="00FE"/>
            </w:r>
            <w:r>
              <w:rPr>
                <w:rFonts w:hint="eastAsia" w:ascii="宋体" w:hAnsi="宋体" w:eastAsia="宋体" w:cs="宋体"/>
                <w:bCs/>
                <w:kern w:val="0"/>
                <w:sz w:val="24"/>
                <w:szCs w:val="24"/>
                <w:highlight w:val="none"/>
              </w:rPr>
              <w:t xml:space="preserve">转账/电汇 </w:t>
            </w:r>
            <w:r>
              <w:rPr>
                <w:rFonts w:hint="eastAsia" w:ascii="宋体" w:hAnsi="宋体" w:eastAsia="宋体" w:cs="宋体"/>
                <w:bCs/>
                <w:kern w:val="0"/>
                <w:sz w:val="24"/>
                <w:szCs w:val="24"/>
                <w:highlight w:val="none"/>
              </w:rPr>
              <w:sym w:font="Wingdings" w:char="00FE"/>
            </w:r>
            <w:r>
              <w:rPr>
                <w:rFonts w:hint="eastAsia" w:ascii="宋体" w:hAnsi="宋体" w:eastAsia="宋体" w:cs="宋体"/>
                <w:bCs/>
                <w:kern w:val="0"/>
                <w:sz w:val="24"/>
                <w:szCs w:val="24"/>
                <w:highlight w:val="none"/>
              </w:rPr>
              <w:t xml:space="preserve">支票 </w:t>
            </w:r>
            <w:r>
              <w:rPr>
                <w:rFonts w:hint="eastAsia" w:ascii="宋体" w:hAnsi="宋体" w:eastAsia="宋体" w:cs="宋体"/>
                <w:bCs/>
                <w:kern w:val="0"/>
                <w:sz w:val="24"/>
                <w:szCs w:val="24"/>
                <w:highlight w:val="none"/>
              </w:rPr>
              <w:sym w:font="Wingdings" w:char="00FE"/>
            </w:r>
            <w:r>
              <w:rPr>
                <w:rFonts w:hint="eastAsia" w:ascii="宋体" w:hAnsi="宋体" w:eastAsia="宋体" w:cs="宋体"/>
                <w:bCs/>
                <w:kern w:val="0"/>
                <w:sz w:val="24"/>
                <w:szCs w:val="24"/>
                <w:highlight w:val="none"/>
              </w:rPr>
              <w:t xml:space="preserve">汇票 </w:t>
            </w:r>
            <w:r>
              <w:rPr>
                <w:rFonts w:hint="eastAsia" w:ascii="宋体" w:hAnsi="宋体" w:eastAsia="宋体" w:cs="宋体"/>
                <w:bCs/>
                <w:kern w:val="0"/>
                <w:sz w:val="24"/>
                <w:szCs w:val="24"/>
                <w:highlight w:val="none"/>
              </w:rPr>
              <w:sym w:font="Wingdings" w:char="00FE"/>
            </w:r>
            <w:r>
              <w:rPr>
                <w:rFonts w:hint="eastAsia" w:ascii="宋体" w:hAnsi="宋体" w:eastAsia="宋体" w:cs="宋体"/>
                <w:bCs/>
                <w:kern w:val="0"/>
                <w:sz w:val="24"/>
                <w:szCs w:val="24"/>
                <w:highlight w:val="none"/>
              </w:rPr>
              <w:t xml:space="preserve">本票 </w:t>
            </w:r>
            <w:r>
              <w:rPr>
                <w:rFonts w:hint="eastAsia" w:ascii="宋体" w:hAnsi="宋体" w:eastAsia="宋体" w:cs="宋体"/>
                <w:bCs/>
                <w:kern w:val="0"/>
                <w:sz w:val="24"/>
                <w:szCs w:val="24"/>
                <w:highlight w:val="none"/>
              </w:rPr>
              <w:sym w:font="Wingdings" w:char="00FE"/>
            </w:r>
            <w:r>
              <w:rPr>
                <w:rFonts w:hint="eastAsia" w:ascii="宋体" w:hAnsi="宋体" w:eastAsia="宋体" w:cs="宋体"/>
                <w:bCs/>
                <w:kern w:val="0"/>
                <w:sz w:val="24"/>
                <w:szCs w:val="24"/>
                <w:highlight w:val="none"/>
              </w:rPr>
              <w:t xml:space="preserve">保险 </w:t>
            </w:r>
            <w:r>
              <w:rPr>
                <w:rFonts w:hint="eastAsia" w:ascii="宋体" w:hAnsi="宋体" w:eastAsia="宋体" w:cs="宋体"/>
                <w:bCs/>
                <w:kern w:val="0"/>
                <w:sz w:val="24"/>
                <w:szCs w:val="24"/>
                <w:highlight w:val="none"/>
              </w:rPr>
              <w:sym w:font="Wingdings" w:char="00FE"/>
            </w:r>
            <w:r>
              <w:rPr>
                <w:rFonts w:hint="eastAsia" w:ascii="宋体" w:hAnsi="宋体" w:eastAsia="宋体" w:cs="宋体"/>
                <w:bCs/>
                <w:kern w:val="0"/>
                <w:sz w:val="24"/>
                <w:szCs w:val="24"/>
                <w:highlight w:val="none"/>
              </w:rPr>
              <w:t>保函</w:t>
            </w:r>
          </w:p>
          <w:p w14:paraId="2500101B">
            <w:pPr>
              <w:spacing w:line="440" w:lineRule="exact"/>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（3）收取单位：</w:t>
            </w:r>
            <w:r>
              <w:rPr>
                <w:rFonts w:hint="eastAsia" w:ascii="宋体" w:hAnsi="宋体" w:eastAsia="宋体" w:cs="宋体"/>
                <w:bCs/>
                <w:kern w:val="0"/>
                <w:sz w:val="24"/>
                <w:szCs w:val="24"/>
                <w:highlight w:val="none"/>
                <w:u w:val="single"/>
              </w:rPr>
              <w:t>安徽理工大学</w:t>
            </w:r>
          </w:p>
          <w:p w14:paraId="0E76A9F6">
            <w:pPr>
              <w:spacing w:line="440" w:lineRule="exact"/>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（4）收取账号：</w:t>
            </w:r>
          </w:p>
          <w:p w14:paraId="79630726">
            <w:pPr>
              <w:spacing w:line="440" w:lineRule="exact"/>
              <w:jc w:val="left"/>
              <w:rPr>
                <w:rFonts w:hint="eastAsia" w:ascii="宋体" w:hAnsi="宋体" w:eastAsia="宋体" w:cs="宋体"/>
                <w:bCs/>
                <w:kern w:val="0"/>
                <w:sz w:val="24"/>
                <w:szCs w:val="24"/>
                <w:highlight w:val="none"/>
                <w:u w:val="single"/>
              </w:rPr>
            </w:pPr>
            <w:r>
              <w:rPr>
                <w:rFonts w:hint="eastAsia" w:ascii="宋体" w:hAnsi="宋体" w:eastAsia="宋体" w:cs="宋体"/>
                <w:bCs/>
                <w:kern w:val="0"/>
                <w:sz w:val="24"/>
                <w:szCs w:val="24"/>
                <w:highlight w:val="none"/>
                <w:u w:val="single"/>
              </w:rPr>
              <w:t xml:space="preserve">户名：安徽理工大学 </w:t>
            </w:r>
          </w:p>
          <w:p w14:paraId="67163344">
            <w:pPr>
              <w:spacing w:line="440" w:lineRule="exact"/>
              <w:jc w:val="left"/>
              <w:rPr>
                <w:rFonts w:hint="eastAsia" w:ascii="宋体" w:hAnsi="宋体" w:eastAsia="宋体" w:cs="宋体"/>
                <w:bCs/>
                <w:kern w:val="0"/>
                <w:sz w:val="24"/>
                <w:szCs w:val="24"/>
                <w:highlight w:val="none"/>
                <w:u w:val="single"/>
              </w:rPr>
            </w:pPr>
            <w:r>
              <w:rPr>
                <w:rFonts w:hint="eastAsia" w:ascii="宋体" w:hAnsi="宋体" w:eastAsia="宋体" w:cs="宋体"/>
                <w:bCs/>
                <w:kern w:val="0"/>
                <w:sz w:val="24"/>
                <w:szCs w:val="24"/>
                <w:highlight w:val="none"/>
                <w:u w:val="single"/>
              </w:rPr>
              <w:t>开户银行：工商银行淮南市洞山支行</w:t>
            </w:r>
          </w:p>
          <w:p w14:paraId="59B99849">
            <w:pPr>
              <w:spacing w:line="440" w:lineRule="exact"/>
              <w:jc w:val="left"/>
              <w:rPr>
                <w:rFonts w:hint="eastAsia" w:ascii="宋体" w:hAnsi="宋体" w:eastAsia="宋体" w:cs="宋体"/>
                <w:bCs/>
                <w:kern w:val="0"/>
                <w:sz w:val="24"/>
                <w:szCs w:val="24"/>
                <w:highlight w:val="none"/>
                <w:u w:val="single"/>
              </w:rPr>
            </w:pPr>
            <w:r>
              <w:rPr>
                <w:rFonts w:hint="eastAsia" w:ascii="宋体" w:hAnsi="宋体" w:eastAsia="宋体" w:cs="宋体"/>
                <w:bCs/>
                <w:kern w:val="0"/>
                <w:sz w:val="24"/>
                <w:szCs w:val="24"/>
                <w:highlight w:val="none"/>
                <w:u w:val="single"/>
              </w:rPr>
              <w:t>帐号：1304002709024950996</w:t>
            </w:r>
          </w:p>
          <w:p w14:paraId="40140787">
            <w:pPr>
              <w:spacing w:line="360" w:lineRule="auto"/>
              <w:rPr>
                <w:rFonts w:hint="eastAsia" w:ascii="宋体" w:hAnsi="宋体" w:eastAsia="宋体"/>
                <w:bCs/>
                <w:kern w:val="0"/>
                <w:sz w:val="24"/>
                <w:szCs w:val="28"/>
                <w:highlight w:val="none"/>
              </w:rPr>
            </w:pPr>
            <w:r>
              <w:rPr>
                <w:rFonts w:hint="eastAsia" w:ascii="宋体" w:hAnsi="宋体" w:eastAsia="宋体" w:cs="宋体"/>
                <w:bCs/>
                <w:kern w:val="0"/>
                <w:sz w:val="24"/>
                <w:szCs w:val="24"/>
                <w:highlight w:val="none"/>
              </w:rPr>
              <w:t>（5）</w:t>
            </w:r>
            <w:r>
              <w:rPr>
                <w:rFonts w:hint="eastAsia" w:ascii="宋体" w:hAnsi="宋体" w:eastAsia="宋体" w:cs="宋体"/>
                <w:sz w:val="24"/>
                <w:szCs w:val="24"/>
                <w:highlight w:val="none"/>
              </w:rPr>
              <w:t>退还时间：项目结束验收合格后及时退还，中标人提交退还申请一次性退还。</w:t>
            </w:r>
          </w:p>
          <w:p w14:paraId="5B71AC2B">
            <w:pPr>
              <w:spacing w:line="360" w:lineRule="auto"/>
              <w:rPr>
                <w:rFonts w:hint="eastAsia" w:ascii="宋体" w:hAnsi="宋体" w:eastAsia="宋体"/>
                <w:b/>
                <w:bCs/>
                <w:kern w:val="0"/>
                <w:sz w:val="24"/>
                <w:szCs w:val="24"/>
                <w:highlight w:val="none"/>
              </w:rPr>
            </w:pPr>
            <w:r>
              <w:rPr>
                <w:rFonts w:hint="eastAsia" w:ascii="宋体" w:hAnsi="宋体" w:eastAsia="宋体"/>
                <w:b/>
                <w:bCs/>
                <w:kern w:val="0"/>
                <w:sz w:val="24"/>
                <w:szCs w:val="24"/>
                <w:highlight w:val="none"/>
              </w:rPr>
              <w:t>注意事项：</w:t>
            </w:r>
          </w:p>
          <w:p w14:paraId="32E6DD91">
            <w:pPr>
              <w:spacing w:line="360" w:lineRule="auto"/>
              <w:rPr>
                <w:rFonts w:hint="eastAsia" w:ascii="宋体" w:hAnsi="宋体" w:eastAsia="宋体" w:cs="宋体"/>
                <w:b/>
                <w:bCs/>
                <w:kern w:val="0"/>
                <w:sz w:val="24"/>
                <w:szCs w:val="24"/>
                <w:highlight w:val="none"/>
              </w:rPr>
            </w:pPr>
            <w:r>
              <w:rPr>
                <w:rFonts w:hint="eastAsia" w:ascii="宋体" w:hAnsi="宋体" w:eastAsia="宋体" w:cs="宋体"/>
                <w:bCs/>
                <w:kern w:val="0"/>
                <w:sz w:val="24"/>
                <w:szCs w:val="24"/>
                <w:highlight w:val="none"/>
              </w:rPr>
              <w:t>（</w:t>
            </w:r>
            <w:r>
              <w:rPr>
                <w:rFonts w:hint="eastAsia" w:ascii="宋体" w:hAnsi="宋体" w:eastAsia="宋体" w:cs="宋体"/>
                <w:b/>
                <w:bCs/>
                <w:kern w:val="0"/>
                <w:sz w:val="24"/>
                <w:szCs w:val="24"/>
                <w:highlight w:val="none"/>
              </w:rPr>
              <w:t xml:space="preserve">1）采用银行保函（或担保机构担保或保证保险）形式提交履约保证金的，必须具有明确有效的查询途径（二维码；或网址链接及查询方式），否则该银行保函（或担保机构担保或保证保险）不予认可。以上各类机构出具的以担保函、保证保险承担责任的方式均须满足无条件见索即付条件。 </w:t>
            </w:r>
          </w:p>
          <w:p w14:paraId="5DCEC563">
            <w:pPr>
              <w:spacing w:line="360" w:lineRule="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w:t>
            </w:r>
            <w:bookmarkStart w:id="21" w:name="EBb12f0bd4505244a9acdf6eb54e1b0cd4"/>
            <w:r>
              <w:rPr>
                <w:rFonts w:hint="eastAsia" w:ascii="宋体" w:hAnsi="宋体" w:eastAsia="宋体" w:cs="宋体"/>
                <w:b/>
                <w:bCs/>
                <w:kern w:val="0"/>
                <w:sz w:val="24"/>
                <w:szCs w:val="24"/>
                <w:highlight w:val="none"/>
              </w:rPr>
              <w:t>若中标人在规定时限内未提交保证金的，招标人将书面通知中标人，书面通知后5日内不能办理的，招标人将有权提请政府采购主管部门，取消其中标资格。</w:t>
            </w:r>
            <w:bookmarkEnd w:id="21"/>
          </w:p>
          <w:p w14:paraId="60774C44">
            <w:pPr>
              <w:spacing w:line="360" w:lineRule="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（3）</w:t>
            </w:r>
            <w:r>
              <w:rPr>
                <w:rFonts w:hint="eastAsia" w:ascii="宋体" w:hAnsi="宋体" w:eastAsia="宋体"/>
                <w:b/>
                <w:kern w:val="0"/>
                <w:sz w:val="24"/>
                <w:szCs w:val="28"/>
                <w:highlight w:val="none"/>
              </w:rPr>
              <w:t>如采用担保机构出具的保函（担保机构担保），应执行“安徽省财政厅关于推广使用政府采购电子保函业务的通知”从“徽采云”平台全流程线上电子保函服务功能窗口进行保函办理或经采购人同意后从经安徽省地方金融监督管理局审查批准，依法取得融资担保业务经营许可证的融资担保机构出具的无条件保函。</w:t>
            </w:r>
            <w:r>
              <w:rPr>
                <w:rFonts w:hint="eastAsia" w:ascii="宋体" w:hAnsi="宋体" w:eastAsia="宋体" w:cs="宋体"/>
                <w:b/>
                <w:bCs/>
                <w:kern w:val="0"/>
                <w:sz w:val="24"/>
                <w:szCs w:val="24"/>
                <w:highlight w:val="none"/>
              </w:rPr>
              <w:t>中标人提交银行履约保函、担保机构担保书、保证保险等的担保期限不得少于中标项目的合同期限。担保期限到期但中标项目尚未履约完毕的，中标人应当进行续保或者补缴履约保证金。中标人应当续保或者补缴履约保证金而没有续保或者补缴履约保证金的，招标人可以暂停支付中标人同等金额的合同价款。</w:t>
            </w:r>
          </w:p>
          <w:p w14:paraId="5BB5BCB8">
            <w:pPr>
              <w:spacing w:line="360" w:lineRule="auto"/>
              <w:rPr>
                <w:rFonts w:hint="eastAsia" w:ascii="宋体" w:hAnsi="宋体" w:eastAsia="宋体"/>
                <w:b/>
                <w:bCs/>
                <w:kern w:val="0"/>
                <w:sz w:val="24"/>
                <w:szCs w:val="24"/>
                <w:highlight w:val="none"/>
              </w:rPr>
            </w:pPr>
            <w:r>
              <w:rPr>
                <w:rFonts w:hint="eastAsia" w:ascii="宋体" w:hAnsi="宋体" w:eastAsia="宋体" w:cs="宋体"/>
                <w:b/>
                <w:sz w:val="24"/>
                <w:szCs w:val="24"/>
                <w:highlight w:val="none"/>
              </w:rPr>
              <w:t>（4）以担保函、保证保险形式缴纳履约保证金的，受益人和收取单位须为采购人。</w:t>
            </w:r>
          </w:p>
        </w:tc>
      </w:tr>
      <w:tr w14:paraId="5216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D885EA5">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27</w:t>
            </w:r>
            <w:r>
              <w:rPr>
                <w:rFonts w:ascii="宋体" w:hAnsi="宋体" w:eastAsia="宋体"/>
                <w:bCs/>
                <w:kern w:val="2"/>
              </w:rPr>
              <w:t>.1</w:t>
            </w:r>
          </w:p>
        </w:tc>
        <w:tc>
          <w:tcPr>
            <w:tcW w:w="1174" w:type="pct"/>
            <w:vAlign w:val="center"/>
          </w:tcPr>
          <w:p w14:paraId="23A3D056">
            <w:pPr>
              <w:pStyle w:val="33"/>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签订合同和合同公告时间</w:t>
            </w:r>
          </w:p>
        </w:tc>
        <w:tc>
          <w:tcPr>
            <w:tcW w:w="3244" w:type="pct"/>
          </w:tcPr>
          <w:p w14:paraId="5E7C3866">
            <w:pPr>
              <w:adjustRightInd w:val="0"/>
              <w:snapToGrid w:val="0"/>
              <w:spacing w:line="360" w:lineRule="auto"/>
              <w:rPr>
                <w:rFonts w:hint="eastAsia" w:ascii="宋体" w:hAnsi="宋体" w:eastAsia="宋体" w:cs="宋体"/>
                <w:sz w:val="24"/>
                <w:szCs w:val="24"/>
              </w:rPr>
            </w:pPr>
            <w:r>
              <w:rPr>
                <w:rFonts w:ascii="宋体" w:hAnsi="宋体" w:eastAsia="宋体" w:cs="宋体"/>
                <w:sz w:val="24"/>
                <w:szCs w:val="24"/>
              </w:rPr>
              <w:t>（1）采购人与中标人应当自发出中标通知书之日起7个工作日内签订合同，采购合同签订之日起2个工作日内完成政府采购合同公开。</w:t>
            </w:r>
          </w:p>
          <w:p w14:paraId="5E8C93FE">
            <w:pPr>
              <w:adjustRightInd w:val="0"/>
              <w:snapToGrid w:val="0"/>
              <w:spacing w:line="360" w:lineRule="auto"/>
              <w:rPr>
                <w:rFonts w:hint="eastAsia" w:ascii="宋体" w:hAnsi="宋体" w:eastAsia="宋体"/>
                <w:b/>
                <w:bCs/>
                <w:kern w:val="0"/>
                <w:sz w:val="24"/>
                <w:szCs w:val="24"/>
              </w:rPr>
            </w:pPr>
            <w:r>
              <w:rPr>
                <w:rFonts w:ascii="宋体" w:hAnsi="宋体" w:eastAsia="宋体" w:cs="宋体"/>
                <w:sz w:val="24"/>
                <w:szCs w:val="24"/>
              </w:rPr>
              <w:t>（2）采购人与中标人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0127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0DBAD0C">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28</w:t>
            </w:r>
            <w:r>
              <w:rPr>
                <w:rFonts w:ascii="宋体" w:hAnsi="宋体" w:eastAsia="宋体"/>
                <w:bCs/>
                <w:kern w:val="2"/>
              </w:rPr>
              <w:t>.1</w:t>
            </w:r>
          </w:p>
        </w:tc>
        <w:tc>
          <w:tcPr>
            <w:tcW w:w="1174" w:type="pct"/>
            <w:vAlign w:val="center"/>
          </w:tcPr>
          <w:p w14:paraId="468A7E00">
            <w:pPr>
              <w:pStyle w:val="33"/>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代理费用</w:t>
            </w:r>
          </w:p>
        </w:tc>
        <w:tc>
          <w:tcPr>
            <w:tcW w:w="3244" w:type="pct"/>
            <w:vAlign w:val="center"/>
          </w:tcPr>
          <w:p w14:paraId="4A109B45">
            <w:pPr>
              <w:spacing w:line="440" w:lineRule="exact"/>
              <w:jc w:val="left"/>
              <w:rPr>
                <w:rFonts w:hint="eastAsia" w:ascii="宋体" w:hAnsi="宋体" w:eastAsia="宋体" w:cs="宋体"/>
                <w:sz w:val="24"/>
                <w:szCs w:val="24"/>
              </w:rPr>
            </w:pPr>
            <w:r>
              <w:rPr>
                <w:rFonts w:hint="eastAsia" w:ascii="宋体" w:hAnsi="宋体" w:eastAsia="宋体" w:cs="宋体"/>
                <w:bCs/>
                <w:kern w:val="0"/>
                <w:sz w:val="24"/>
                <w:szCs w:val="24"/>
              </w:rPr>
              <w:t>（1）收费对象</w:t>
            </w:r>
            <w:r>
              <w:rPr>
                <w:rFonts w:hint="eastAsia" w:ascii="宋体" w:hAnsi="宋体" w:eastAsia="宋体" w:cs="宋体"/>
                <w:spacing w:val="-12"/>
                <w:sz w:val="24"/>
                <w:szCs w:val="24"/>
              </w:rPr>
              <w:t>：</w:t>
            </w:r>
            <w:r>
              <w:rPr>
                <w:rFonts w:hint="eastAsia" w:ascii="宋体" w:hAnsi="宋体" w:eastAsia="宋体" w:cs="宋体"/>
                <w:bCs/>
                <w:kern w:val="0"/>
                <w:sz w:val="24"/>
                <w:szCs w:val="24"/>
              </w:rPr>
              <w:sym w:font="Wingdings" w:char="00A8"/>
            </w:r>
            <w:r>
              <w:rPr>
                <w:rFonts w:hint="eastAsia" w:ascii="宋体" w:hAnsi="宋体" w:eastAsia="宋体" w:cs="宋体"/>
                <w:spacing w:val="14"/>
                <w:sz w:val="24"/>
                <w:szCs w:val="24"/>
              </w:rPr>
              <w:t xml:space="preserve">采购人   </w:t>
            </w:r>
            <w:r>
              <w:rPr>
                <w:rFonts w:hint="eastAsia" w:ascii="宋体" w:hAnsi="宋体" w:eastAsia="宋体" w:cs="宋体"/>
                <w:bCs/>
                <w:kern w:val="0"/>
                <w:sz w:val="24"/>
                <w:szCs w:val="24"/>
              </w:rPr>
              <w:sym w:font="Wingdings" w:char="00FE"/>
            </w:r>
            <w:r>
              <w:rPr>
                <w:rFonts w:hint="eastAsia" w:ascii="宋体" w:hAnsi="宋体" w:eastAsia="宋体" w:cs="宋体"/>
                <w:spacing w:val="14"/>
                <w:sz w:val="24"/>
                <w:szCs w:val="24"/>
              </w:rPr>
              <w:t>中标人</w:t>
            </w:r>
          </w:p>
          <w:p w14:paraId="7A2174AA">
            <w:pPr>
              <w:spacing w:line="440" w:lineRule="exact"/>
              <w:jc w:val="left"/>
              <w:rPr>
                <w:rFonts w:hint="eastAsia" w:ascii="宋体" w:hAnsi="宋体" w:eastAsia="宋体" w:cs="宋体"/>
                <w:bCs/>
                <w:kern w:val="0"/>
                <w:sz w:val="24"/>
                <w:szCs w:val="24"/>
              </w:rPr>
            </w:pPr>
            <w:r>
              <w:rPr>
                <w:rFonts w:hint="eastAsia" w:ascii="宋体" w:hAnsi="宋体" w:eastAsia="宋体" w:cs="宋体"/>
                <w:bCs/>
                <w:kern w:val="0"/>
                <w:sz w:val="24"/>
                <w:szCs w:val="24"/>
              </w:rPr>
              <w:t>（2）收取方式：转账/电汇</w:t>
            </w:r>
          </w:p>
          <w:p w14:paraId="70858C59">
            <w:pPr>
              <w:pStyle w:val="33"/>
              <w:widowControl w:val="0"/>
              <w:spacing w:before="0" w:beforeAutospacing="0" w:after="0" w:afterAutospacing="0" w:line="440" w:lineRule="exact"/>
              <w:jc w:val="left"/>
              <w:rPr>
                <w:rFonts w:hint="eastAsia" w:ascii="宋体" w:hAnsi="宋体" w:eastAsia="宋体" w:cs="宋体"/>
                <w:b w:val="0"/>
                <w:sz w:val="24"/>
                <w:u w:val="single"/>
              </w:rPr>
            </w:pPr>
            <w:r>
              <w:rPr>
                <w:rFonts w:hint="eastAsia" w:ascii="宋体" w:hAnsi="宋体" w:eastAsia="宋体" w:cs="宋体"/>
                <w:b w:val="0"/>
                <w:bCs w:val="0"/>
                <w:sz w:val="24"/>
                <w:szCs w:val="24"/>
              </w:rPr>
              <w:t>（3）收费标准：</w:t>
            </w:r>
            <w:r>
              <w:rPr>
                <w:rFonts w:hint="eastAsia" w:ascii="宋体" w:hAnsi="宋体" w:eastAsia="宋体" w:cs="宋体"/>
                <w:b w:val="0"/>
                <w:sz w:val="24"/>
              </w:rPr>
              <w:t>代理服务费收取按照表1的规定标准，中标（成交）金额100万元（含）以上部分按标准的70%收取；中标（成交）金额35万元（含）以上至100万元以下部分的货物、服务项目及中标（成交）金额45万元（含）以上至100万元以下部分的工程项目按标准的80%收取；如出现首次招标发生流标、废标等异常终止情形的，则再次招标时按照标准的100%收取。</w:t>
            </w:r>
          </w:p>
          <w:p w14:paraId="4E66366E">
            <w:pPr>
              <w:pStyle w:val="33"/>
              <w:widowControl w:val="0"/>
              <w:spacing w:before="0" w:beforeAutospacing="0" w:after="0" w:afterAutospacing="0" w:line="440" w:lineRule="exact"/>
              <w:rPr>
                <w:rFonts w:hint="eastAsia" w:ascii="宋体" w:hAnsi="宋体" w:eastAsia="宋体" w:cs="宋体"/>
                <w:bCs w:val="0"/>
                <w:sz w:val="24"/>
              </w:rPr>
            </w:pPr>
            <w:r>
              <w:rPr>
                <w:rFonts w:hint="eastAsia" w:ascii="宋体" w:hAnsi="宋体" w:eastAsia="宋体" w:cs="宋体"/>
                <w:bCs w:val="0"/>
                <w:sz w:val="24"/>
              </w:rPr>
              <w:t>表1  招标采购代理服务收费标准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4"/>
              <w:gridCol w:w="816"/>
              <w:gridCol w:w="816"/>
              <w:gridCol w:w="816"/>
            </w:tblGrid>
            <w:tr w14:paraId="5C99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0" w:type="auto"/>
                  <w:vAlign w:val="center"/>
                </w:tcPr>
                <w:p w14:paraId="4242FCCB">
                  <w:pPr>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中标（成交）金额</w:t>
                  </w:r>
                </w:p>
              </w:tc>
              <w:tc>
                <w:tcPr>
                  <w:tcW w:w="0" w:type="auto"/>
                  <w:vAlign w:val="center"/>
                </w:tcPr>
                <w:p w14:paraId="1EE8C1A1">
                  <w:pPr>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货物</w:t>
                  </w:r>
                </w:p>
              </w:tc>
              <w:tc>
                <w:tcPr>
                  <w:tcW w:w="0" w:type="auto"/>
                  <w:vAlign w:val="center"/>
                </w:tcPr>
                <w:p w14:paraId="6258F4B5">
                  <w:pPr>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服务</w:t>
                  </w:r>
                </w:p>
              </w:tc>
              <w:tc>
                <w:tcPr>
                  <w:tcW w:w="0" w:type="auto"/>
                  <w:vAlign w:val="center"/>
                </w:tcPr>
                <w:p w14:paraId="09B0BEF1">
                  <w:pPr>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工程</w:t>
                  </w:r>
                </w:p>
              </w:tc>
            </w:tr>
            <w:tr w14:paraId="1127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0" w:type="auto"/>
                  <w:vAlign w:val="center"/>
                </w:tcPr>
                <w:p w14:paraId="12A79291">
                  <w:pPr>
                    <w:spacing w:line="440" w:lineRule="exact"/>
                    <w:jc w:val="left"/>
                    <w:rPr>
                      <w:rFonts w:hint="eastAsia" w:ascii="宋体" w:hAnsi="宋体" w:eastAsia="宋体" w:cs="宋体"/>
                      <w:bCs/>
                      <w:sz w:val="24"/>
                      <w:szCs w:val="24"/>
                    </w:rPr>
                  </w:pPr>
                  <w:r>
                    <w:rPr>
                      <w:rFonts w:hint="eastAsia" w:ascii="宋体" w:hAnsi="宋体" w:eastAsia="宋体" w:cs="宋体"/>
                      <w:bCs/>
                      <w:sz w:val="24"/>
                      <w:szCs w:val="24"/>
                    </w:rPr>
                    <w:t>35万元（含）-100万元</w:t>
                  </w:r>
                </w:p>
              </w:tc>
              <w:tc>
                <w:tcPr>
                  <w:tcW w:w="0" w:type="auto"/>
                  <w:vAlign w:val="center"/>
                </w:tcPr>
                <w:p w14:paraId="41AE79CD">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1.5%</w:t>
                  </w:r>
                </w:p>
              </w:tc>
              <w:tc>
                <w:tcPr>
                  <w:tcW w:w="0" w:type="auto"/>
                  <w:vAlign w:val="center"/>
                </w:tcPr>
                <w:p w14:paraId="5D837EFE">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1.5%</w:t>
                  </w:r>
                </w:p>
              </w:tc>
              <w:tc>
                <w:tcPr>
                  <w:tcW w:w="0" w:type="auto"/>
                  <w:vAlign w:val="center"/>
                </w:tcPr>
                <w:p w14:paraId="18ABC818">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w:t>
                  </w:r>
                </w:p>
              </w:tc>
            </w:tr>
            <w:tr w14:paraId="08AF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44E99A8">
                  <w:pPr>
                    <w:spacing w:line="440" w:lineRule="exact"/>
                    <w:jc w:val="left"/>
                    <w:rPr>
                      <w:rFonts w:hint="eastAsia" w:ascii="宋体" w:hAnsi="宋体" w:eastAsia="宋体" w:cs="宋体"/>
                      <w:bCs/>
                      <w:sz w:val="24"/>
                      <w:szCs w:val="24"/>
                    </w:rPr>
                  </w:pPr>
                  <w:r>
                    <w:rPr>
                      <w:rFonts w:hint="eastAsia" w:ascii="宋体" w:hAnsi="宋体" w:eastAsia="宋体" w:cs="宋体"/>
                      <w:bCs/>
                      <w:sz w:val="24"/>
                      <w:szCs w:val="24"/>
                    </w:rPr>
                    <w:t>45万元（含）-100万元</w:t>
                  </w:r>
                </w:p>
              </w:tc>
              <w:tc>
                <w:tcPr>
                  <w:tcW w:w="0" w:type="auto"/>
                  <w:vAlign w:val="center"/>
                </w:tcPr>
                <w:p w14:paraId="1669950E">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w:t>
                  </w:r>
                </w:p>
              </w:tc>
              <w:tc>
                <w:tcPr>
                  <w:tcW w:w="0" w:type="auto"/>
                  <w:vAlign w:val="center"/>
                </w:tcPr>
                <w:p w14:paraId="6B87F773">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w:t>
                  </w:r>
                </w:p>
              </w:tc>
              <w:tc>
                <w:tcPr>
                  <w:tcW w:w="0" w:type="auto"/>
                  <w:vAlign w:val="center"/>
                </w:tcPr>
                <w:p w14:paraId="5A2CEDE9">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1.0%</w:t>
                  </w:r>
                </w:p>
              </w:tc>
            </w:tr>
            <w:tr w14:paraId="3B47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27C79EB">
                  <w:pPr>
                    <w:spacing w:line="440" w:lineRule="exact"/>
                    <w:jc w:val="left"/>
                    <w:rPr>
                      <w:rFonts w:hint="eastAsia" w:ascii="宋体" w:hAnsi="宋体" w:eastAsia="宋体" w:cs="宋体"/>
                      <w:bCs/>
                      <w:sz w:val="24"/>
                      <w:szCs w:val="24"/>
                    </w:rPr>
                  </w:pPr>
                  <w:r>
                    <w:rPr>
                      <w:rFonts w:hint="eastAsia" w:ascii="宋体" w:hAnsi="宋体" w:eastAsia="宋体" w:cs="宋体"/>
                      <w:bCs/>
                      <w:sz w:val="24"/>
                      <w:szCs w:val="24"/>
                    </w:rPr>
                    <w:t>100万元（含）-500万元</w:t>
                  </w:r>
                </w:p>
              </w:tc>
              <w:tc>
                <w:tcPr>
                  <w:tcW w:w="0" w:type="auto"/>
                  <w:vAlign w:val="center"/>
                </w:tcPr>
                <w:p w14:paraId="5C5E11BF">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1.1%</w:t>
                  </w:r>
                </w:p>
              </w:tc>
              <w:tc>
                <w:tcPr>
                  <w:tcW w:w="0" w:type="auto"/>
                  <w:vAlign w:val="center"/>
                </w:tcPr>
                <w:p w14:paraId="1FDBC360">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0.8%</w:t>
                  </w:r>
                </w:p>
              </w:tc>
              <w:tc>
                <w:tcPr>
                  <w:tcW w:w="0" w:type="auto"/>
                  <w:vAlign w:val="center"/>
                </w:tcPr>
                <w:p w14:paraId="4CE2FE6F">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0.7%</w:t>
                  </w:r>
                </w:p>
              </w:tc>
            </w:tr>
            <w:tr w14:paraId="3512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C18A99C">
                  <w:pPr>
                    <w:spacing w:line="440" w:lineRule="exact"/>
                    <w:jc w:val="left"/>
                    <w:rPr>
                      <w:rFonts w:hint="eastAsia" w:ascii="宋体" w:hAnsi="宋体" w:eastAsia="宋体" w:cs="宋体"/>
                      <w:bCs/>
                      <w:sz w:val="24"/>
                      <w:szCs w:val="24"/>
                    </w:rPr>
                  </w:pPr>
                  <w:r>
                    <w:rPr>
                      <w:rFonts w:hint="eastAsia" w:ascii="宋体" w:hAnsi="宋体" w:eastAsia="宋体" w:cs="宋体"/>
                      <w:bCs/>
                      <w:sz w:val="24"/>
                      <w:szCs w:val="24"/>
                    </w:rPr>
                    <w:t>500万元（含）-1000万元</w:t>
                  </w:r>
                </w:p>
              </w:tc>
              <w:tc>
                <w:tcPr>
                  <w:tcW w:w="0" w:type="auto"/>
                  <w:vAlign w:val="center"/>
                </w:tcPr>
                <w:p w14:paraId="692F9C96">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0.8%</w:t>
                  </w:r>
                </w:p>
              </w:tc>
              <w:tc>
                <w:tcPr>
                  <w:tcW w:w="0" w:type="auto"/>
                  <w:vAlign w:val="center"/>
                </w:tcPr>
                <w:p w14:paraId="62971B4E">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0.45%</w:t>
                  </w:r>
                </w:p>
              </w:tc>
              <w:tc>
                <w:tcPr>
                  <w:tcW w:w="0" w:type="auto"/>
                  <w:vAlign w:val="center"/>
                </w:tcPr>
                <w:p w14:paraId="59FF5FFE">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0.55%</w:t>
                  </w:r>
                </w:p>
              </w:tc>
            </w:tr>
            <w:tr w14:paraId="5EF8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0C26E42">
                  <w:pPr>
                    <w:spacing w:line="440" w:lineRule="exact"/>
                    <w:jc w:val="left"/>
                    <w:rPr>
                      <w:rFonts w:hint="eastAsia" w:ascii="宋体" w:hAnsi="宋体" w:eastAsia="宋体" w:cs="宋体"/>
                      <w:bCs/>
                      <w:sz w:val="24"/>
                      <w:szCs w:val="24"/>
                    </w:rPr>
                  </w:pPr>
                  <w:r>
                    <w:rPr>
                      <w:rFonts w:hint="eastAsia" w:ascii="宋体" w:hAnsi="宋体" w:eastAsia="宋体" w:cs="宋体"/>
                      <w:bCs/>
                      <w:sz w:val="24"/>
                      <w:szCs w:val="24"/>
                    </w:rPr>
                    <w:t>1000万元（含）-5000万元</w:t>
                  </w:r>
                </w:p>
              </w:tc>
              <w:tc>
                <w:tcPr>
                  <w:tcW w:w="0" w:type="auto"/>
                  <w:vAlign w:val="center"/>
                </w:tcPr>
                <w:p w14:paraId="5E0CA3EE">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0.5%</w:t>
                  </w:r>
                </w:p>
              </w:tc>
              <w:tc>
                <w:tcPr>
                  <w:tcW w:w="0" w:type="auto"/>
                  <w:vAlign w:val="center"/>
                </w:tcPr>
                <w:p w14:paraId="25F9C604">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0.25%</w:t>
                  </w:r>
                </w:p>
              </w:tc>
              <w:tc>
                <w:tcPr>
                  <w:tcW w:w="0" w:type="auto"/>
                  <w:vAlign w:val="center"/>
                </w:tcPr>
                <w:p w14:paraId="7A2E5826">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0.35%</w:t>
                  </w:r>
                </w:p>
              </w:tc>
            </w:tr>
            <w:tr w14:paraId="74ED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279D91B">
                  <w:pPr>
                    <w:spacing w:line="440" w:lineRule="exact"/>
                    <w:jc w:val="left"/>
                    <w:rPr>
                      <w:rFonts w:hint="eastAsia" w:ascii="宋体" w:hAnsi="宋体" w:eastAsia="宋体" w:cs="宋体"/>
                      <w:bCs/>
                      <w:sz w:val="24"/>
                      <w:szCs w:val="24"/>
                    </w:rPr>
                  </w:pPr>
                  <w:r>
                    <w:rPr>
                      <w:rFonts w:hint="eastAsia" w:ascii="宋体" w:hAnsi="宋体" w:eastAsia="宋体" w:cs="宋体"/>
                      <w:bCs/>
                      <w:sz w:val="24"/>
                      <w:szCs w:val="24"/>
                    </w:rPr>
                    <w:t>5000万元（含）-10000万元</w:t>
                  </w:r>
                </w:p>
              </w:tc>
              <w:tc>
                <w:tcPr>
                  <w:tcW w:w="0" w:type="auto"/>
                  <w:vAlign w:val="center"/>
                </w:tcPr>
                <w:p w14:paraId="178A8155">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0.25%</w:t>
                  </w:r>
                </w:p>
              </w:tc>
              <w:tc>
                <w:tcPr>
                  <w:tcW w:w="0" w:type="auto"/>
                  <w:vAlign w:val="center"/>
                </w:tcPr>
                <w:p w14:paraId="379046EA">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0.1%</w:t>
                  </w:r>
                </w:p>
              </w:tc>
              <w:tc>
                <w:tcPr>
                  <w:tcW w:w="0" w:type="auto"/>
                  <w:vAlign w:val="center"/>
                </w:tcPr>
                <w:p w14:paraId="34FD4FDB">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0.2%</w:t>
                  </w:r>
                </w:p>
              </w:tc>
            </w:tr>
            <w:tr w14:paraId="1710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13CE15F">
                  <w:pPr>
                    <w:spacing w:line="440" w:lineRule="exact"/>
                    <w:jc w:val="left"/>
                    <w:rPr>
                      <w:rFonts w:hint="eastAsia" w:ascii="宋体" w:hAnsi="宋体" w:eastAsia="宋体" w:cs="宋体"/>
                      <w:bCs/>
                      <w:sz w:val="24"/>
                      <w:szCs w:val="24"/>
                    </w:rPr>
                  </w:pPr>
                  <w:r>
                    <w:rPr>
                      <w:rFonts w:hint="eastAsia" w:ascii="宋体" w:hAnsi="宋体" w:eastAsia="宋体" w:cs="宋体"/>
                      <w:bCs/>
                      <w:sz w:val="24"/>
                      <w:szCs w:val="24"/>
                    </w:rPr>
                    <w:t>10000万元（含）-100000万元以下</w:t>
                  </w:r>
                </w:p>
              </w:tc>
              <w:tc>
                <w:tcPr>
                  <w:tcW w:w="0" w:type="auto"/>
                  <w:vAlign w:val="center"/>
                </w:tcPr>
                <w:p w14:paraId="279EE795">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0.05%</w:t>
                  </w:r>
                </w:p>
              </w:tc>
              <w:tc>
                <w:tcPr>
                  <w:tcW w:w="0" w:type="auto"/>
                  <w:vAlign w:val="center"/>
                </w:tcPr>
                <w:p w14:paraId="16271274">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0.05%</w:t>
                  </w:r>
                </w:p>
              </w:tc>
              <w:tc>
                <w:tcPr>
                  <w:tcW w:w="0" w:type="auto"/>
                  <w:vAlign w:val="center"/>
                </w:tcPr>
                <w:p w14:paraId="73FB9F04">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0.05%</w:t>
                  </w:r>
                </w:p>
              </w:tc>
            </w:tr>
          </w:tbl>
          <w:p w14:paraId="65EB36F3">
            <w:pPr>
              <w:spacing w:line="440" w:lineRule="exact"/>
              <w:jc w:val="left"/>
              <w:rPr>
                <w:rFonts w:hint="eastAsia" w:ascii="宋体" w:hAnsi="宋体" w:eastAsia="宋体" w:cs="宋体"/>
                <w:bCs/>
                <w:kern w:val="0"/>
                <w:sz w:val="24"/>
                <w:szCs w:val="24"/>
                <w:u w:val="single"/>
              </w:rPr>
            </w:pPr>
            <w:r>
              <w:rPr>
                <w:rFonts w:hint="eastAsia" w:ascii="宋体" w:hAnsi="宋体" w:eastAsia="宋体" w:cs="宋体"/>
                <w:b/>
                <w:bCs/>
                <w:sz w:val="24"/>
                <w:szCs w:val="22"/>
              </w:rPr>
              <w:t>注：代理服务收费标准按差额定率累进法计算。</w:t>
            </w:r>
          </w:p>
          <w:p w14:paraId="0BA807CF">
            <w:pPr>
              <w:pStyle w:val="33"/>
              <w:widowControl w:val="0"/>
              <w:spacing w:before="0" w:beforeAutospacing="0" w:after="0" w:afterAutospacing="0" w:line="440" w:lineRule="exact"/>
              <w:jc w:val="left"/>
              <w:rPr>
                <w:rFonts w:hint="eastAsia" w:ascii="宋体" w:hAnsi="宋体" w:eastAsia="宋体" w:cs="宋体"/>
                <w:b w:val="0"/>
                <w:sz w:val="24"/>
                <w:szCs w:val="24"/>
              </w:rPr>
            </w:pPr>
            <w:r>
              <w:rPr>
                <w:rFonts w:hint="eastAsia" w:ascii="宋体" w:hAnsi="宋体" w:eastAsia="宋体" w:cs="宋体"/>
                <w:b w:val="0"/>
                <w:sz w:val="24"/>
                <w:szCs w:val="24"/>
              </w:rPr>
              <w:t>（4）收取单位：上海容基工程项目管理有限公司</w:t>
            </w:r>
          </w:p>
          <w:p w14:paraId="48404985">
            <w:pPr>
              <w:pStyle w:val="33"/>
              <w:widowControl w:val="0"/>
              <w:spacing w:before="0" w:beforeAutospacing="0" w:after="0" w:afterAutospacing="0" w:line="440" w:lineRule="exact"/>
              <w:jc w:val="left"/>
              <w:rPr>
                <w:rFonts w:hint="eastAsia" w:ascii="宋体" w:hAnsi="宋体" w:eastAsia="宋体" w:cs="宋体"/>
                <w:b w:val="0"/>
                <w:sz w:val="24"/>
                <w:szCs w:val="24"/>
              </w:rPr>
            </w:pPr>
            <w:r>
              <w:rPr>
                <w:rFonts w:hint="eastAsia" w:ascii="宋体" w:hAnsi="宋体" w:eastAsia="宋体" w:cs="宋体"/>
                <w:b w:val="0"/>
                <w:sz w:val="24"/>
                <w:szCs w:val="24"/>
              </w:rPr>
              <w:t xml:space="preserve">户名：上海容基工程项目管理有限公司淮南分公司  </w:t>
            </w:r>
          </w:p>
          <w:p w14:paraId="65514B6E">
            <w:pPr>
              <w:pStyle w:val="33"/>
              <w:widowControl w:val="0"/>
              <w:spacing w:before="0" w:beforeAutospacing="0" w:after="0" w:afterAutospacing="0" w:line="440" w:lineRule="exact"/>
              <w:jc w:val="left"/>
              <w:rPr>
                <w:rFonts w:hint="eastAsia" w:ascii="宋体" w:hAnsi="宋体" w:eastAsia="宋体" w:cs="宋体"/>
                <w:b w:val="0"/>
                <w:sz w:val="24"/>
                <w:szCs w:val="24"/>
              </w:rPr>
            </w:pPr>
            <w:r>
              <w:rPr>
                <w:rFonts w:hint="eastAsia" w:ascii="宋体" w:hAnsi="宋体" w:eastAsia="宋体" w:cs="宋体"/>
                <w:b w:val="0"/>
                <w:sz w:val="24"/>
                <w:szCs w:val="24"/>
              </w:rPr>
              <w:t xml:space="preserve">账号：181243083750  </w:t>
            </w:r>
          </w:p>
          <w:p w14:paraId="7AC7AC2D">
            <w:pPr>
              <w:pStyle w:val="33"/>
              <w:widowControl w:val="0"/>
              <w:spacing w:before="0" w:beforeAutospacing="0" w:after="0" w:afterAutospacing="0" w:line="440" w:lineRule="exact"/>
              <w:jc w:val="left"/>
              <w:rPr>
                <w:rFonts w:hint="eastAsia" w:ascii="宋体" w:hAnsi="宋体" w:eastAsia="宋体" w:cs="宋体"/>
                <w:b w:val="0"/>
                <w:sz w:val="24"/>
                <w:szCs w:val="24"/>
              </w:rPr>
            </w:pPr>
            <w:r>
              <w:rPr>
                <w:rFonts w:hint="eastAsia" w:ascii="宋体" w:hAnsi="宋体" w:eastAsia="宋体" w:cs="宋体"/>
                <w:b w:val="0"/>
                <w:sz w:val="24"/>
                <w:szCs w:val="24"/>
              </w:rPr>
              <w:t>开户银行：中国银行股份有限公司淮南化三建支行</w:t>
            </w:r>
          </w:p>
          <w:p w14:paraId="592525CB">
            <w:pPr>
              <w:pStyle w:val="33"/>
              <w:widowControl w:val="0"/>
              <w:spacing w:before="0" w:beforeAutospacing="0" w:after="0" w:afterAutospacing="0" w:line="360" w:lineRule="auto"/>
              <w:jc w:val="both"/>
              <w:rPr>
                <w:rFonts w:hint="eastAsia" w:ascii="宋体" w:hAnsi="宋体" w:eastAsia="宋体"/>
                <w:b w:val="0"/>
                <w:sz w:val="24"/>
                <w:highlight w:val="yellow"/>
              </w:rPr>
            </w:pPr>
            <w:r>
              <w:rPr>
                <w:rFonts w:hint="eastAsia" w:ascii="宋体" w:hAnsi="宋体" w:eastAsia="宋体" w:cs="宋体"/>
                <w:b w:val="0"/>
                <w:sz w:val="24"/>
                <w:szCs w:val="24"/>
              </w:rPr>
              <w:t>（5）缴纳时间：领取中标通知书前</w:t>
            </w:r>
          </w:p>
        </w:tc>
      </w:tr>
      <w:tr w14:paraId="5CAE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E51CA9B">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31</w:t>
            </w:r>
            <w:r>
              <w:rPr>
                <w:rFonts w:ascii="宋体" w:hAnsi="宋体" w:eastAsia="宋体"/>
                <w:bCs/>
                <w:kern w:val="2"/>
              </w:rPr>
              <w:t>.</w:t>
            </w:r>
            <w:r>
              <w:rPr>
                <w:rFonts w:hint="eastAsia" w:ascii="宋体" w:hAnsi="宋体" w:eastAsia="宋体"/>
                <w:bCs/>
                <w:kern w:val="2"/>
              </w:rPr>
              <w:t>3</w:t>
            </w:r>
          </w:p>
        </w:tc>
        <w:tc>
          <w:tcPr>
            <w:tcW w:w="1174" w:type="pct"/>
            <w:vAlign w:val="center"/>
          </w:tcPr>
          <w:p w14:paraId="52D693F8">
            <w:pPr>
              <w:pStyle w:val="33"/>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质疑函递交方式、接收部门、联系电话和通讯地址</w:t>
            </w:r>
          </w:p>
        </w:tc>
        <w:tc>
          <w:tcPr>
            <w:tcW w:w="3244" w:type="pct"/>
            <w:vAlign w:val="center"/>
          </w:tcPr>
          <w:p w14:paraId="0CF7799F">
            <w:pPr>
              <w:pStyle w:val="33"/>
              <w:widowControl w:val="0"/>
              <w:spacing w:before="0" w:beforeAutospacing="0" w:after="0" w:afterAutospacing="0" w:line="360" w:lineRule="auto"/>
              <w:jc w:val="left"/>
              <w:rPr>
                <w:rFonts w:hint="eastAsia" w:ascii="宋体" w:hAnsi="宋体" w:eastAsia="宋体" w:cs="宋体"/>
                <w:b w:val="0"/>
                <w:sz w:val="24"/>
                <w:szCs w:val="24"/>
              </w:rPr>
            </w:pPr>
            <w:r>
              <w:rPr>
                <w:rFonts w:hint="eastAsia" w:ascii="宋体" w:hAnsi="宋体" w:eastAsia="宋体" w:cs="宋体"/>
                <w:b w:val="0"/>
                <w:sz w:val="24"/>
                <w:szCs w:val="24"/>
              </w:rPr>
              <w:t>提交方式：书面形式</w:t>
            </w:r>
          </w:p>
          <w:p w14:paraId="0D018B27">
            <w:pPr>
              <w:pStyle w:val="33"/>
              <w:widowControl w:val="0"/>
              <w:spacing w:before="0" w:beforeAutospacing="0" w:after="0" w:afterAutospacing="0" w:line="360" w:lineRule="auto"/>
              <w:jc w:val="left"/>
              <w:rPr>
                <w:rFonts w:hint="eastAsia" w:ascii="宋体" w:hAnsi="宋体" w:eastAsia="宋体" w:cs="宋体"/>
                <w:b w:val="0"/>
                <w:sz w:val="24"/>
                <w:szCs w:val="24"/>
              </w:rPr>
            </w:pPr>
            <w:r>
              <w:rPr>
                <w:rFonts w:hint="eastAsia" w:ascii="宋体" w:hAnsi="宋体" w:eastAsia="宋体" w:cs="宋体"/>
                <w:b w:val="0"/>
                <w:sz w:val="24"/>
                <w:szCs w:val="24"/>
              </w:rPr>
              <w:t>接收部门：上海容基工程项目管理有限公司</w:t>
            </w:r>
          </w:p>
          <w:p w14:paraId="0F440819">
            <w:pPr>
              <w:pStyle w:val="33"/>
              <w:widowControl w:val="0"/>
              <w:spacing w:before="0" w:beforeAutospacing="0" w:after="0" w:afterAutospacing="0" w:line="360" w:lineRule="auto"/>
              <w:jc w:val="left"/>
              <w:rPr>
                <w:rFonts w:hint="eastAsia" w:ascii="宋体" w:hAnsi="宋体" w:eastAsia="宋体" w:cs="宋体"/>
                <w:b w:val="0"/>
                <w:sz w:val="24"/>
                <w:szCs w:val="24"/>
              </w:rPr>
            </w:pPr>
            <w:r>
              <w:rPr>
                <w:rFonts w:hint="eastAsia" w:ascii="宋体" w:hAnsi="宋体" w:eastAsia="宋体" w:cs="宋体"/>
                <w:b w:val="0"/>
                <w:sz w:val="24"/>
                <w:szCs w:val="24"/>
              </w:rPr>
              <w:t>联系电话：0554-2160379、17353743691</w:t>
            </w:r>
          </w:p>
          <w:p w14:paraId="3FF77203">
            <w:pPr>
              <w:pStyle w:val="33"/>
              <w:widowControl w:val="0"/>
              <w:spacing w:before="0" w:beforeAutospacing="0" w:after="0" w:afterAutospacing="0" w:line="360" w:lineRule="auto"/>
              <w:jc w:val="left"/>
              <w:rPr>
                <w:rFonts w:hint="eastAsia" w:ascii="宋体" w:hAnsi="宋体" w:eastAsia="宋体" w:cs="宋体"/>
                <w:b w:val="0"/>
                <w:sz w:val="24"/>
                <w:szCs w:val="24"/>
              </w:rPr>
            </w:pPr>
            <w:r>
              <w:rPr>
                <w:rFonts w:hint="eastAsia" w:ascii="宋体" w:hAnsi="宋体" w:eastAsia="宋体" w:cs="宋体"/>
                <w:b w:val="0"/>
                <w:sz w:val="24"/>
                <w:szCs w:val="24"/>
              </w:rPr>
              <w:t>电子邮箱：274665174@qq.com</w:t>
            </w:r>
          </w:p>
          <w:p w14:paraId="12DDA925">
            <w:pPr>
              <w:pStyle w:val="33"/>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cs="宋体"/>
                <w:b w:val="0"/>
                <w:sz w:val="24"/>
                <w:szCs w:val="24"/>
              </w:rPr>
              <w:t>通讯地址：</w:t>
            </w:r>
            <w:r>
              <w:rPr>
                <w:rFonts w:hint="eastAsia" w:ascii="宋体" w:hAnsi="宋体" w:eastAsia="宋体" w:cs="宋体"/>
                <w:b w:val="0"/>
                <w:sz w:val="24"/>
                <w:szCs w:val="24"/>
                <w:lang w:val="zh-CN"/>
              </w:rPr>
              <w:t>淮南市安成镇青年电子商务产业园二期二栋3层</w:t>
            </w:r>
          </w:p>
        </w:tc>
      </w:tr>
      <w:tr w14:paraId="0502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4ECC7DC">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32</w:t>
            </w:r>
          </w:p>
        </w:tc>
        <w:tc>
          <w:tcPr>
            <w:tcW w:w="1174" w:type="pct"/>
            <w:vAlign w:val="center"/>
          </w:tcPr>
          <w:p w14:paraId="7ABC18F0">
            <w:pPr>
              <w:pStyle w:val="33"/>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其他内容</w:t>
            </w:r>
          </w:p>
        </w:tc>
        <w:tc>
          <w:tcPr>
            <w:tcW w:w="3244" w:type="pct"/>
            <w:vAlign w:val="center"/>
          </w:tcPr>
          <w:p w14:paraId="1D159D1C">
            <w:pPr>
              <w:pStyle w:val="33"/>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1、解释权：</w:t>
            </w:r>
          </w:p>
          <w:p w14:paraId="613900A1">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构成本招标文件的各个组成文件应互为解释，互为说明；</w:t>
            </w:r>
          </w:p>
          <w:p w14:paraId="62DA08F0">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6195C0F8">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4918C582">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除招标文件中有特别规定外，仅适用于招标投标阶段的规定，按招标公告、</w:t>
            </w:r>
            <w:r>
              <w:rPr>
                <w:rFonts w:hint="eastAsia" w:asciiTheme="minorEastAsia" w:hAnsiTheme="minorEastAsia" w:eastAsiaTheme="minorEastAsia"/>
                <w:bCs/>
                <w:sz w:val="24"/>
                <w:szCs w:val="24"/>
              </w:rPr>
              <w:t>投标邀请、</w:t>
            </w:r>
            <w:r>
              <w:rPr>
                <w:rFonts w:asciiTheme="minorEastAsia" w:hAnsiTheme="minorEastAsia" w:eastAsiaTheme="minorEastAsia"/>
                <w:bCs/>
                <w:sz w:val="24"/>
                <w:szCs w:val="24"/>
              </w:rPr>
              <w:t>投标人须知、评标</w:t>
            </w:r>
            <w:r>
              <w:rPr>
                <w:rFonts w:hint="eastAsia" w:asciiTheme="minorEastAsia" w:hAnsiTheme="minorEastAsia" w:eastAsiaTheme="minorEastAsia"/>
                <w:bCs/>
                <w:sz w:val="24"/>
                <w:szCs w:val="24"/>
              </w:rPr>
              <w:t>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、投标文件格式的先后顺序解释；</w:t>
            </w:r>
          </w:p>
          <w:p w14:paraId="565DD6C7">
            <w:pPr>
              <w:pStyle w:val="33"/>
              <w:widowControl w:val="0"/>
              <w:spacing w:before="0" w:beforeAutospacing="0" w:after="0" w:afterAutospacing="0" w:line="360" w:lineRule="auto"/>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（5）</w:t>
            </w:r>
            <w:r>
              <w:rPr>
                <w:rFonts w:asciiTheme="minorEastAsia" w:hAnsiTheme="minorEastAsia" w:eastAsiaTheme="minorEastAsia"/>
                <w:b w:val="0"/>
                <w:kern w:val="2"/>
                <w:sz w:val="24"/>
                <w:szCs w:val="24"/>
              </w:rPr>
              <w:t>按本款前述规定仍不能形成结论的，由</w:t>
            </w:r>
            <w:r>
              <w:rPr>
                <w:rFonts w:hint="eastAsia" w:asciiTheme="minorEastAsia" w:hAnsiTheme="minorEastAsia" w:eastAsiaTheme="minorEastAsia"/>
                <w:b w:val="0"/>
                <w:kern w:val="2"/>
                <w:sz w:val="24"/>
                <w:szCs w:val="24"/>
              </w:rPr>
              <w:t>采购</w:t>
            </w:r>
            <w:r>
              <w:rPr>
                <w:rFonts w:asciiTheme="minorEastAsia" w:hAnsiTheme="minorEastAsia" w:eastAsiaTheme="minorEastAsia"/>
                <w:b w:val="0"/>
                <w:kern w:val="2"/>
                <w:sz w:val="24"/>
                <w:szCs w:val="24"/>
              </w:rPr>
              <w:t>人负责解释。</w:t>
            </w:r>
          </w:p>
          <w:p w14:paraId="6905863A">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2、“政采贷”融资指引：有融资需求的</w:t>
            </w:r>
            <w:r>
              <w:rPr>
                <w:rFonts w:hint="eastAsia" w:ascii="宋体" w:hAnsi="宋体" w:eastAsia="宋体" w:cs="宋体"/>
                <w:sz w:val="24"/>
                <w:szCs w:val="24"/>
              </w:rPr>
              <w:t>中</w:t>
            </w:r>
            <w:r>
              <w:rPr>
                <w:rFonts w:ascii="宋体" w:hAnsi="宋体" w:eastAsia="宋体" w:cs="宋体"/>
                <w:sz w:val="24"/>
                <w:szCs w:val="24"/>
              </w:rPr>
              <w:t>标人</w:t>
            </w:r>
            <w:r>
              <w:rPr>
                <w:rFonts w:hint="eastAsia" w:asciiTheme="minorEastAsia" w:hAnsiTheme="minorEastAsia" w:eastAsiaTheme="minorEastAsia"/>
                <w:bCs/>
                <w:sz w:val="24"/>
                <w:szCs w:val="24"/>
              </w:rPr>
              <w:t>在取得政府采购中标或成交通知书后，可访问安徽省政府采购网“政采贷”栏目，查看和联系第三方平台或者金融机构，商洽融资事项，确定融资意向。</w:t>
            </w:r>
            <w:r>
              <w:rPr>
                <w:rFonts w:hint="eastAsia" w:ascii="宋体" w:hAnsi="宋体" w:eastAsia="宋体" w:cs="宋体"/>
                <w:sz w:val="24"/>
                <w:szCs w:val="24"/>
              </w:rPr>
              <w:t>中</w:t>
            </w:r>
            <w:r>
              <w:rPr>
                <w:rFonts w:ascii="宋体" w:hAnsi="宋体" w:eastAsia="宋体" w:cs="宋体"/>
                <w:sz w:val="24"/>
                <w:szCs w:val="24"/>
              </w:rPr>
              <w:t>标人</w:t>
            </w:r>
            <w:r>
              <w:rPr>
                <w:rFonts w:hint="eastAsia" w:asciiTheme="minorEastAsia" w:hAnsiTheme="minorEastAsia" w:eastAsiaTheme="minorEastAsia"/>
                <w:bCs/>
                <w:sz w:val="24"/>
                <w:szCs w:val="24"/>
              </w:rPr>
              <w:t>签署政府采购中标（成交）合同后，登录“徽采云”金融服务模块，选择意向产品进行申请，并填写相关信息，“徽采云”金融服务模块将</w:t>
            </w:r>
            <w:r>
              <w:rPr>
                <w:rFonts w:hint="eastAsia" w:ascii="宋体" w:hAnsi="宋体" w:eastAsia="宋体" w:cs="宋体"/>
                <w:sz w:val="24"/>
                <w:szCs w:val="24"/>
              </w:rPr>
              <w:t>中</w:t>
            </w:r>
            <w:r>
              <w:rPr>
                <w:rFonts w:ascii="宋体" w:hAnsi="宋体" w:eastAsia="宋体" w:cs="宋体"/>
                <w:sz w:val="24"/>
                <w:szCs w:val="24"/>
              </w:rPr>
              <w:t>标人</w:t>
            </w:r>
            <w:r>
              <w:rPr>
                <w:rFonts w:hint="eastAsia" w:asciiTheme="minorEastAsia" w:hAnsiTheme="minorEastAsia" w:eastAsiaTheme="minorEastAsia"/>
                <w:bCs/>
                <w:sz w:val="24"/>
                <w:szCs w:val="24"/>
              </w:rPr>
              <w:t>融资申请信息推送第三方平台、意向金融机构。</w:t>
            </w:r>
          </w:p>
          <w:p w14:paraId="13FB5B87">
            <w:pPr>
              <w:pStyle w:val="33"/>
              <w:widowControl w:val="0"/>
              <w:spacing w:before="0" w:beforeAutospacing="0" w:after="0" w:afterAutospacing="0" w:line="360" w:lineRule="auto"/>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3、电子保函指引：中标人可访问安徽省政府采购网“融资/保函”栏目，申请办理电子保函（包括：履约保函、预付款保函）。</w:t>
            </w:r>
          </w:p>
          <w:p w14:paraId="2CF31892">
            <w:pPr>
              <w:pStyle w:val="33"/>
              <w:widowControl w:val="0"/>
              <w:spacing w:before="0" w:beforeAutospacing="0" w:after="0" w:afterAutospacing="0" w:line="360" w:lineRule="auto"/>
              <w:jc w:val="both"/>
              <w:rPr>
                <w:rFonts w:hint="eastAsia" w:asciiTheme="minorEastAsia" w:hAnsiTheme="minorEastAsia" w:eastAsiaTheme="minorEastAsia"/>
                <w:b w:val="0"/>
                <w:kern w:val="2"/>
                <w:sz w:val="24"/>
                <w:szCs w:val="24"/>
              </w:rPr>
            </w:pPr>
            <w:r>
              <w:rPr>
                <w:rFonts w:hint="eastAsia" w:ascii="宋体" w:hAnsi="宋体" w:eastAsia="宋体" w:cs="宋体"/>
                <w:bCs w:val="0"/>
                <w:kern w:val="2"/>
                <w:sz w:val="24"/>
                <w:szCs w:val="24"/>
              </w:rPr>
              <w:t>4、如无明确要求，本项目报价最低精确到分。</w:t>
            </w:r>
          </w:p>
        </w:tc>
      </w:tr>
    </w:tbl>
    <w:p w14:paraId="464F1DD4">
      <w:pPr>
        <w:spacing w:line="360" w:lineRule="auto"/>
        <w:jc w:val="center"/>
        <w:outlineLvl w:val="1"/>
        <w:rPr>
          <w:rFonts w:hint="eastAsia" w:asciiTheme="minorEastAsia" w:hAnsiTheme="minorEastAsia" w:eastAsiaTheme="minorEastAsia"/>
          <w:b/>
          <w:sz w:val="24"/>
        </w:rPr>
      </w:pPr>
      <w:r>
        <w:rPr>
          <w:rFonts w:asciiTheme="minorEastAsia" w:hAnsiTheme="minorEastAsia" w:eastAsiaTheme="minorEastAsia"/>
          <w:b/>
          <w:sz w:val="28"/>
        </w:rPr>
        <w:br w:type="page"/>
      </w:r>
      <w:bookmarkStart w:id="22" w:name="_Toc24882"/>
      <w:bookmarkStart w:id="23" w:name="_Toc9427"/>
      <w:r>
        <w:rPr>
          <w:rFonts w:hint="eastAsia" w:asciiTheme="minorEastAsia" w:hAnsiTheme="minorEastAsia" w:eastAsiaTheme="minorEastAsia"/>
          <w:b/>
          <w:sz w:val="24"/>
        </w:rPr>
        <w:t>二、</w:t>
      </w:r>
      <w:r>
        <w:rPr>
          <w:rFonts w:asciiTheme="minorEastAsia" w:hAnsiTheme="minorEastAsia" w:eastAsiaTheme="minorEastAsia"/>
          <w:b/>
          <w:sz w:val="24"/>
        </w:rPr>
        <w:t>投标人须知</w:t>
      </w:r>
      <w:r>
        <w:rPr>
          <w:rFonts w:hint="eastAsia" w:asciiTheme="minorEastAsia" w:hAnsiTheme="minorEastAsia" w:eastAsiaTheme="minorEastAsia"/>
          <w:b/>
          <w:sz w:val="24"/>
        </w:rPr>
        <w:t>正文</w:t>
      </w:r>
      <w:bookmarkEnd w:id="22"/>
      <w:bookmarkEnd w:id="23"/>
    </w:p>
    <w:p w14:paraId="6438306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1.采购人、采购代理机构及投标人</w:t>
      </w:r>
    </w:p>
    <w:p w14:paraId="5AA57F7C">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1A18AE5C">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3FE5D1FE">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p>
    <w:p w14:paraId="6EB5DD8E">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.4投标人：是指向采购人提供货物、工程或者服务的法人、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本项目的投标人须满足以下条件：</w:t>
      </w:r>
    </w:p>
    <w:p w14:paraId="52017A16">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w:t>
      </w:r>
      <w:r>
        <w:rPr>
          <w:rFonts w:hint="eastAsia" w:ascii="宋体" w:hAnsi="宋体" w:eastAsia="宋体"/>
          <w:sz w:val="24"/>
        </w:rPr>
        <w:t>投标人</w:t>
      </w:r>
      <w:r>
        <w:rPr>
          <w:rFonts w:ascii="宋体" w:hAnsi="宋体" w:eastAsia="宋体"/>
          <w:sz w:val="24"/>
        </w:rPr>
        <w:t>条件的规定，遵守本项目采购人本级和上级财政部门政府采购的有关规定。</w:t>
      </w:r>
    </w:p>
    <w:p w14:paraId="1DB56E3E">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以采购代理机构认可的方式获得了本项目的招标文件。</w:t>
      </w:r>
    </w:p>
    <w:p w14:paraId="5453089B">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3若采购需求中写明允许采购进口产品，投标人应保证所投产品可履行合法报通关手续进入中国关境内。</w:t>
      </w:r>
    </w:p>
    <w:p w14:paraId="107DF21C">
      <w:pPr>
        <w:spacing w:line="360" w:lineRule="auto"/>
        <w:ind w:firstLine="435"/>
        <w:rPr>
          <w:rFonts w:hint="eastAsia" w:ascii="宋体" w:hAnsi="宋体" w:eastAsia="宋体"/>
          <w:sz w:val="24"/>
        </w:rPr>
      </w:pPr>
      <w:r>
        <w:rPr>
          <w:rFonts w:hint="eastAsia" w:ascii="宋体" w:hAnsi="宋体" w:eastAsia="宋体"/>
          <w:sz w:val="24"/>
        </w:rPr>
        <w:t>若采购需求中未写明允许采购进口产品，如投标人所投产品为进口产品，其投标将被认定为</w:t>
      </w:r>
      <w:r>
        <w:rPr>
          <w:rFonts w:hint="eastAsia" w:ascii="宋体" w:hAnsi="宋体" w:eastAsia="宋体"/>
          <w:b/>
          <w:sz w:val="24"/>
        </w:rPr>
        <w:t>投标无效</w:t>
      </w:r>
      <w:r>
        <w:rPr>
          <w:rFonts w:hint="eastAsia" w:ascii="宋体" w:hAnsi="宋体" w:eastAsia="宋体"/>
          <w:sz w:val="24"/>
        </w:rPr>
        <w:t>。</w:t>
      </w:r>
    </w:p>
    <w:p w14:paraId="4ABDE0CE">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w:t>
      </w:r>
      <w:r>
        <w:rPr>
          <w:rFonts w:hint="eastAsia" w:ascii="宋体" w:hAnsi="宋体" w:eastAsia="宋体"/>
          <w:sz w:val="24"/>
        </w:rPr>
        <w:t>若招标公告</w:t>
      </w:r>
      <w:r>
        <w:rPr>
          <w:rFonts w:ascii="宋体" w:hAnsi="宋体" w:eastAsia="宋体"/>
          <w:sz w:val="24"/>
        </w:rPr>
        <w:t>中允许联合体投标，对联合体规定如下：</w:t>
      </w:r>
    </w:p>
    <w:p w14:paraId="7166275C">
      <w:pPr>
        <w:spacing w:line="360" w:lineRule="auto"/>
        <w:ind w:firstLine="480" w:firstLineChars="200"/>
        <w:rPr>
          <w:rFonts w:hint="eastAsia" w:ascii="宋体" w:hAnsi="宋体" w:eastAsia="宋体"/>
          <w:sz w:val="24"/>
        </w:rPr>
      </w:pPr>
      <w:r>
        <w:rPr>
          <w:rFonts w:hint="eastAsia" w:ascii="宋体" w:hAnsi="宋体" w:eastAsia="宋体"/>
          <w:sz w:val="24"/>
        </w:rPr>
        <w:t>1.</w:t>
      </w:r>
      <w:r>
        <w:rPr>
          <w:rFonts w:ascii="宋体" w:hAnsi="宋体" w:eastAsia="宋体"/>
          <w:sz w:val="24"/>
        </w:rPr>
        <w:t>5.1两个以上</w:t>
      </w:r>
      <w:r>
        <w:rPr>
          <w:rFonts w:hint="eastAsia" w:ascii="宋体" w:hAnsi="宋体" w:eastAsia="宋体"/>
          <w:sz w:val="24"/>
        </w:rPr>
        <w:t>投标人</w:t>
      </w:r>
      <w:r>
        <w:rPr>
          <w:rFonts w:ascii="宋体" w:hAnsi="宋体" w:eastAsia="宋体"/>
          <w:sz w:val="24"/>
        </w:rPr>
        <w:t>可以组成一个投标联合体，以一个投标人的身份投标。联合体投标的，</w:t>
      </w:r>
      <w:r>
        <w:rPr>
          <w:rFonts w:hint="eastAsia" w:ascii="宋体" w:hAnsi="宋体" w:eastAsia="宋体"/>
          <w:sz w:val="24"/>
        </w:rPr>
        <w:t>招标文件获取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w:t>
      </w:r>
      <w:r>
        <w:rPr>
          <w:rFonts w:hint="eastAsia" w:ascii="宋体" w:hAnsi="宋体" w:eastAsia="宋体"/>
          <w:sz w:val="24"/>
        </w:rPr>
        <w:t>一成员单位</w:t>
      </w:r>
      <w:r>
        <w:rPr>
          <w:rFonts w:ascii="宋体" w:hAnsi="宋体" w:eastAsia="宋体"/>
          <w:sz w:val="24"/>
        </w:rPr>
        <w:t>办理均可。</w:t>
      </w:r>
    </w:p>
    <w:p w14:paraId="7700DD2B">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5.2联合体各方均应符合《中华人民共和国政府采购法》第二十二条规定的条件。</w:t>
      </w:r>
    </w:p>
    <w:p w14:paraId="7731B86C">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5.3采购人根据采购项目对投标人的特殊要求，联合体中至少应当有一方符合相关规定。</w:t>
      </w:r>
    </w:p>
    <w:p w14:paraId="497D068A">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作为投标文件</w:t>
      </w:r>
      <w:r>
        <w:rPr>
          <w:rFonts w:hint="eastAsia" w:ascii="宋体" w:hAnsi="宋体" w:eastAsia="宋体"/>
          <w:sz w:val="24"/>
        </w:rPr>
        <w:t>的</w:t>
      </w:r>
      <w:r>
        <w:rPr>
          <w:rFonts w:ascii="宋体" w:hAnsi="宋体" w:eastAsia="宋体"/>
          <w:sz w:val="24"/>
        </w:rPr>
        <w:t>一部分提交。</w:t>
      </w:r>
    </w:p>
    <w:p w14:paraId="5C70A6FC">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5.5大中型企业、其他自然人、法人或者非法人组织与小型、微型企业组成联合体共同参加投标，</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w:t>
      </w:r>
      <w:r>
        <w:rPr>
          <w:rFonts w:ascii="宋体" w:hAnsi="宋体" w:eastAsia="宋体"/>
          <w:sz w:val="24"/>
        </w:rPr>
        <w:t>投标总金额的比例。</w:t>
      </w:r>
    </w:p>
    <w:p w14:paraId="68C2FCFE">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5.6</w:t>
      </w:r>
      <w:r>
        <w:rPr>
          <w:rFonts w:hint="eastAsia" w:ascii="宋体" w:hAnsi="宋体" w:eastAsia="宋体"/>
          <w:sz w:val="24"/>
        </w:rPr>
        <w:t>联合体中有同类资质的投标人按照联合体分工承担相同工作的，</w:t>
      </w:r>
      <w:r>
        <w:rPr>
          <w:rFonts w:ascii="宋体" w:hAnsi="宋体" w:eastAsia="宋体"/>
          <w:sz w:val="24"/>
        </w:rPr>
        <w:t>应当按照</w:t>
      </w:r>
      <w:r>
        <w:rPr>
          <w:rFonts w:hint="eastAsia" w:ascii="宋体" w:hAnsi="宋体" w:eastAsia="宋体"/>
          <w:sz w:val="24"/>
        </w:rPr>
        <w:t>资质等级较低的投标人确定资质等级。</w:t>
      </w:r>
    </w:p>
    <w:p w14:paraId="1B70883F">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5.7以联合体形式参加政府采购活动的，联合体各方不得再单独参加或者与其他</w:t>
      </w:r>
      <w:r>
        <w:rPr>
          <w:rFonts w:hint="eastAsia" w:ascii="宋体" w:hAnsi="宋体" w:eastAsia="宋体"/>
          <w:sz w:val="24"/>
        </w:rPr>
        <w:t>投标人</w:t>
      </w:r>
      <w:r>
        <w:rPr>
          <w:rFonts w:ascii="宋体" w:hAnsi="宋体" w:eastAsia="宋体"/>
          <w:sz w:val="24"/>
        </w:rPr>
        <w:t>另外组成联合体参加本项目投标，否则相关投标将被认定为</w:t>
      </w:r>
      <w:r>
        <w:rPr>
          <w:rFonts w:ascii="宋体" w:hAnsi="宋体" w:eastAsia="宋体"/>
          <w:b/>
          <w:sz w:val="24"/>
        </w:rPr>
        <w:t>投标无效</w:t>
      </w:r>
      <w:r>
        <w:rPr>
          <w:rFonts w:ascii="宋体" w:hAnsi="宋体" w:eastAsia="宋体"/>
          <w:sz w:val="24"/>
        </w:rPr>
        <w:t>。</w:t>
      </w:r>
    </w:p>
    <w:p w14:paraId="4727A8E9">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5.8对联合体投标的其他资格要求见</w:t>
      </w:r>
      <w:r>
        <w:rPr>
          <w:rFonts w:hint="eastAsia" w:ascii="宋体" w:hAnsi="宋体" w:eastAsia="宋体"/>
          <w:sz w:val="24"/>
        </w:rPr>
        <w:t>申请人的资格要求</w:t>
      </w:r>
      <w:r>
        <w:rPr>
          <w:rFonts w:ascii="宋体" w:hAnsi="宋体" w:eastAsia="宋体"/>
          <w:sz w:val="24"/>
        </w:rPr>
        <w:t>。</w:t>
      </w:r>
    </w:p>
    <w:p w14:paraId="5787CC2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2.资金落实情况</w:t>
      </w:r>
    </w:p>
    <w:p w14:paraId="0FB1033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本</w:t>
      </w:r>
      <w:r>
        <w:rPr>
          <w:rFonts w:hint="eastAsia" w:ascii="宋体" w:hAnsi="宋体" w:eastAsia="宋体"/>
          <w:sz w:val="24"/>
        </w:rPr>
        <w:t>项目</w:t>
      </w:r>
      <w:r>
        <w:rPr>
          <w:rFonts w:hint="eastAsia" w:asciiTheme="minorEastAsia" w:hAnsiTheme="minorEastAsia" w:eastAsiaTheme="minorEastAsia"/>
          <w:sz w:val="24"/>
        </w:rPr>
        <w:t>的采购人已获得足以支付本次招标后所签订的合同项下的资金。</w:t>
      </w:r>
    </w:p>
    <w:p w14:paraId="14D5FEA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3.投标费用</w:t>
      </w:r>
    </w:p>
    <w:p w14:paraId="7097D935">
      <w:pPr>
        <w:spacing w:line="360" w:lineRule="auto"/>
        <w:ind w:firstLine="435"/>
        <w:rPr>
          <w:rFonts w:hint="eastAsia" w:ascii="宋体" w:hAnsi="宋体" w:eastAsia="宋体"/>
          <w:sz w:val="24"/>
        </w:rPr>
      </w:pPr>
      <w:r>
        <w:rPr>
          <w:rFonts w:hint="eastAsia" w:ascii="宋体" w:hAnsi="宋体" w:eastAsia="宋体"/>
          <w:sz w:val="24"/>
        </w:rPr>
        <w:t>不论投标的结果如何，投标人应承担所有与准备和参加投标有关的费用。</w:t>
      </w:r>
    </w:p>
    <w:p w14:paraId="0C74C67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4.适用法律</w:t>
      </w:r>
    </w:p>
    <w:p w14:paraId="76EE483F">
      <w:pPr>
        <w:spacing w:line="360" w:lineRule="auto"/>
        <w:ind w:firstLine="435"/>
        <w:rPr>
          <w:rFonts w:hint="eastAsia" w:asciiTheme="minorEastAsia" w:hAnsiTheme="minorEastAsia" w:eastAsiaTheme="minorEastAsia"/>
          <w:sz w:val="24"/>
        </w:rPr>
      </w:pPr>
      <w:r>
        <w:rPr>
          <w:rFonts w:hint="eastAsia" w:ascii="宋体" w:hAnsi="宋体" w:eastAsia="宋体"/>
          <w:sz w:val="24"/>
        </w:rPr>
        <w:t>本项目采购人、采购代理机构、投标人、评标委员会的相关行为均受《中华人民共和国政府采购法》、《中</w:t>
      </w:r>
      <w:r>
        <w:rPr>
          <w:rFonts w:hint="eastAsia" w:ascii="宋体" w:hAnsi="宋体" w:eastAsia="宋体"/>
          <w:sz w:val="24"/>
          <w:szCs w:val="22"/>
        </w:rPr>
        <w:t>华人民共和国政府采购法实施条例》及本项目本级和上级财政部门、政府采购监督管理部门的政府采购有关规定的约束，其权利受到上述法律法规的保护。</w:t>
      </w:r>
    </w:p>
    <w:p w14:paraId="2E569F9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5.招标文件构成</w:t>
      </w:r>
    </w:p>
    <w:p w14:paraId="4C35EDED">
      <w:pPr>
        <w:spacing w:line="360" w:lineRule="auto"/>
        <w:ind w:firstLine="435"/>
        <w:rPr>
          <w:rFonts w:hint="eastAsia" w:ascii="宋体" w:hAnsi="宋体" w:eastAsia="宋体"/>
          <w:sz w:val="24"/>
        </w:rPr>
      </w:pPr>
      <w:r>
        <w:rPr>
          <w:rFonts w:hint="eastAsia" w:ascii="宋体" w:hAnsi="宋体" w:eastAsia="宋体"/>
          <w:sz w:val="24"/>
        </w:rPr>
        <w:t>5.1招标文件包括下列内容：</w:t>
      </w:r>
    </w:p>
    <w:p w14:paraId="4BF57729">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投标邀请</w:t>
      </w:r>
    </w:p>
    <w:p w14:paraId="22E94679">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投标人须知</w:t>
      </w:r>
    </w:p>
    <w:p w14:paraId="6A415CFB">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6898FEE5">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评标</w:t>
      </w:r>
      <w:r>
        <w:rPr>
          <w:rFonts w:hint="eastAsia" w:asciiTheme="minorEastAsia" w:hAnsiTheme="minorEastAsia" w:eastAsiaTheme="minorEastAsia"/>
          <w:sz w:val="24"/>
        </w:rPr>
        <w:t>方法</w:t>
      </w:r>
      <w:r>
        <w:rPr>
          <w:rFonts w:asciiTheme="minorEastAsia" w:hAnsiTheme="minorEastAsia" w:eastAsiaTheme="minorEastAsia"/>
          <w:sz w:val="24"/>
        </w:rPr>
        <w:t>和标准</w:t>
      </w:r>
    </w:p>
    <w:p w14:paraId="50777EBE">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政府采购合同</w:t>
      </w:r>
    </w:p>
    <w:p w14:paraId="134619EA">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投标文件格式</w:t>
      </w:r>
    </w:p>
    <w:p w14:paraId="035CE627">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1DF605D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w:t>
      </w:r>
      <w:r>
        <w:rPr>
          <w:rFonts w:hint="eastAsia" w:ascii="宋体" w:hAnsi="宋体" w:eastAsia="宋体"/>
          <w:bCs/>
          <w:sz w:val="24"/>
          <w:szCs w:val="22"/>
        </w:rPr>
        <w:t>标前答疑会</w:t>
      </w:r>
      <w:r>
        <w:rPr>
          <w:rFonts w:hint="eastAsia" w:asciiTheme="minorEastAsia" w:hAnsiTheme="minorEastAsia" w:eastAsiaTheme="minorEastAsia"/>
          <w:sz w:val="24"/>
        </w:rPr>
        <w:t>）</w:t>
      </w:r>
      <w:r>
        <w:rPr>
          <w:rFonts w:asciiTheme="minorEastAsia" w:hAnsiTheme="minorEastAsia" w:eastAsiaTheme="minorEastAsia"/>
          <w:sz w:val="24"/>
        </w:rPr>
        <w:t>及相关事项见</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w:t>
      </w:r>
    </w:p>
    <w:p w14:paraId="024BC2C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投标人应认真阅读招标文件所有的事项、格式、条款和技术规范等。</w:t>
      </w:r>
    </w:p>
    <w:p w14:paraId="2F7B4D4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招标文件的澄清与修改</w:t>
      </w:r>
    </w:p>
    <w:p w14:paraId="2850EE4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投标人如对招标文件内容有疑问，必须在</w:t>
      </w:r>
      <w:r>
        <w:rPr>
          <w:rFonts w:ascii="宋体" w:hAnsi="宋体" w:eastAsia="宋体"/>
          <w:sz w:val="24"/>
          <w:u w:val="single"/>
        </w:rPr>
        <w:t>投标人须知前附表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截止时间前以网上提问形式</w:t>
      </w:r>
      <w:r>
        <w:rPr>
          <w:rFonts w:hint="eastAsia" w:asciiTheme="minorEastAsia" w:hAnsiTheme="minorEastAsia" w:eastAsiaTheme="minorEastAsia"/>
          <w:sz w:val="24"/>
        </w:rPr>
        <w:t>（电子交易系统）</w:t>
      </w:r>
      <w:r>
        <w:rPr>
          <w:rFonts w:asciiTheme="minorEastAsia" w:hAnsiTheme="minorEastAsia" w:eastAsiaTheme="minorEastAsia"/>
          <w:sz w:val="24"/>
        </w:rPr>
        <w:t>提交给采购代理机构。</w:t>
      </w:r>
    </w:p>
    <w:p w14:paraId="43D29EF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2采购人可主动地或在答复投标人提出的询问时对招标文件进行澄清与修改。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在安徽省政府采购网以发布更正公告的方式</w:t>
      </w:r>
      <w:r>
        <w:rPr>
          <w:rFonts w:asciiTheme="minorEastAsia" w:hAnsiTheme="minorEastAsia" w:eastAsiaTheme="minorEastAsia"/>
          <w:sz w:val="24"/>
        </w:rPr>
        <w:t>，</w:t>
      </w:r>
      <w:r>
        <w:rPr>
          <w:rFonts w:hint="eastAsia" w:asciiTheme="minorEastAsia" w:hAnsiTheme="minorEastAsia" w:eastAsiaTheme="minorEastAsia"/>
          <w:sz w:val="24"/>
        </w:rPr>
        <w:t>澄清或修改招标文件，更正公告的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为招标文件</w:t>
      </w:r>
      <w:r>
        <w:rPr>
          <w:rFonts w:hint="eastAsia" w:asciiTheme="minorEastAsia" w:hAnsiTheme="minorEastAsia" w:eastAsiaTheme="minorEastAsia"/>
          <w:sz w:val="24"/>
        </w:rPr>
        <w:t>的</w:t>
      </w:r>
      <w:r>
        <w:rPr>
          <w:rFonts w:asciiTheme="minorEastAsia" w:hAnsiTheme="minorEastAsia" w:eastAsiaTheme="minorEastAsia"/>
          <w:sz w:val="24"/>
        </w:rPr>
        <w:t>组成部分，对投标人起约束作用</w:t>
      </w:r>
      <w:r>
        <w:rPr>
          <w:rFonts w:hint="eastAsia" w:asciiTheme="minorEastAsia" w:hAnsiTheme="minorEastAsia" w:eastAsiaTheme="minorEastAsia"/>
          <w:sz w:val="24"/>
        </w:rPr>
        <w:t>。投标人应主动上网查询。采购代理机构不承担投标人未及时关注相关信息引发的相关责任。</w:t>
      </w:r>
    </w:p>
    <w:p w14:paraId="022A57C2">
      <w:pPr>
        <w:spacing w:line="360" w:lineRule="auto"/>
        <w:ind w:firstLine="435"/>
        <w:rPr>
          <w:rFonts w:hint="eastAsia" w:ascii="宋体" w:hAnsi="宋体" w:eastAsia="宋体"/>
          <w:sz w:val="24"/>
        </w:rPr>
      </w:pPr>
      <w:r>
        <w:rPr>
          <w:rFonts w:hint="eastAsia" w:ascii="宋体" w:hAnsi="宋体" w:eastAsia="宋体"/>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2D756D04">
      <w:pPr>
        <w:spacing w:line="360" w:lineRule="auto"/>
        <w:ind w:firstLine="435"/>
        <w:rPr>
          <w:rFonts w:hint="eastAsia" w:asciiTheme="minorEastAsia" w:hAnsiTheme="minorEastAsia" w:eastAsiaTheme="minorEastAsia"/>
          <w:i/>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疑问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项目投标的</w:t>
      </w:r>
      <w:r>
        <w:rPr>
          <w:rFonts w:hint="eastAsia" w:asciiTheme="minorEastAsia" w:hAnsiTheme="minorEastAsia" w:eastAsiaTheme="minorEastAsia"/>
          <w:sz w:val="24"/>
        </w:rPr>
        <w:t>投标人</w:t>
      </w:r>
      <w:r>
        <w:rPr>
          <w:rFonts w:asciiTheme="minorEastAsia" w:hAnsiTheme="minorEastAsia" w:eastAsiaTheme="minorEastAsia"/>
          <w:sz w:val="24"/>
        </w:rPr>
        <w:t>将被视为完全认同</w:t>
      </w:r>
      <w:r>
        <w:rPr>
          <w:rFonts w:hint="eastAsia" w:asciiTheme="minorEastAsia" w:hAnsiTheme="minorEastAsia" w:eastAsiaTheme="minorEastAsia"/>
          <w:sz w:val="24"/>
        </w:rPr>
        <w:t>本</w:t>
      </w:r>
      <w:r>
        <w:rPr>
          <w:rFonts w:asciiTheme="minorEastAsia" w:hAnsiTheme="minorEastAsia" w:eastAsiaTheme="minorEastAsia"/>
          <w:sz w:val="24"/>
        </w:rPr>
        <w:t>招标文件（含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0CE40D7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投标范围及投标文件中标准和计量单位的使用</w:t>
      </w:r>
    </w:p>
    <w:p w14:paraId="23E67FD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w:t>
      </w:r>
      <w:r>
        <w:rPr>
          <w:rFonts w:ascii="宋体" w:hAnsi="宋体" w:eastAsia="宋体"/>
          <w:sz w:val="24"/>
        </w:rPr>
        <w:t>项目</w:t>
      </w:r>
      <w:r>
        <w:rPr>
          <w:rFonts w:asciiTheme="minorEastAsia" w:hAnsiTheme="minorEastAsia" w:eastAsiaTheme="minorEastAsia"/>
          <w:sz w:val="24"/>
        </w:rPr>
        <w:t>有分包的，投标人可对招标文件其中某一个或几个分包进行投标，除非在</w:t>
      </w:r>
      <w:r>
        <w:rPr>
          <w:rFonts w:asciiTheme="minorEastAsia" w:hAnsiTheme="minorEastAsia" w:eastAsiaTheme="minorEastAsia"/>
          <w:sz w:val="24"/>
          <w:u w:val="single"/>
        </w:rPr>
        <w:t>投标人须知前附表</w:t>
      </w:r>
      <w:r>
        <w:rPr>
          <w:rFonts w:asciiTheme="minorEastAsia" w:hAnsiTheme="minorEastAsia" w:eastAsiaTheme="minorEastAsia"/>
          <w:sz w:val="24"/>
        </w:rPr>
        <w:t>中另有规定。</w:t>
      </w:r>
    </w:p>
    <w:p w14:paraId="5CC3A94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.2投标人应当对所投分包招标文件中“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需求”所列的所有内容进行投标，如仅响应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w:t>
      </w:r>
      <w:r>
        <w:rPr>
          <w:rFonts w:asciiTheme="minorEastAsia" w:hAnsiTheme="minorEastAsia" w:eastAsiaTheme="minorEastAsia"/>
          <w:sz w:val="24"/>
        </w:rPr>
        <w:t>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594310BE">
      <w:pPr>
        <w:spacing w:line="360" w:lineRule="auto"/>
        <w:ind w:firstLine="435"/>
        <w:rPr>
          <w:rFonts w:hint="eastAsia" w:asciiTheme="minorEastAsia" w:hAnsiTheme="minorEastAsia" w:eastAsiaTheme="minorEastAsia"/>
          <w:sz w:val="24"/>
        </w:rPr>
      </w:pPr>
      <w:bookmarkStart w:id="24" w:name="_Hlk16458980"/>
      <w:r>
        <w:rPr>
          <w:rFonts w:hint="eastAsia" w:asciiTheme="minorEastAsia" w:hAnsiTheme="minorEastAsia" w:eastAsiaTheme="minorEastAsia"/>
          <w:sz w:val="24"/>
        </w:rPr>
        <w:t>7</w:t>
      </w:r>
      <w:r>
        <w:rPr>
          <w:rFonts w:asciiTheme="minorEastAsia" w:hAnsiTheme="minorEastAsia" w:eastAsiaTheme="minorEastAsia"/>
          <w:sz w:val="24"/>
        </w:rPr>
        <w:t>.3无论招标文件中是否要求，</w:t>
      </w:r>
      <w:r>
        <w:rPr>
          <w:rFonts w:hint="eastAsia" w:asciiTheme="minorEastAsia" w:hAnsiTheme="minorEastAsia" w:eastAsiaTheme="minorEastAsia"/>
          <w:sz w:val="24"/>
        </w:rPr>
        <w:t>投标人所投货物、服务及工程（如有）均应符合国家强制性标准。</w:t>
      </w:r>
    </w:p>
    <w:bookmarkEnd w:id="24"/>
    <w:p w14:paraId="7CE6291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投标人与采购</w:t>
      </w:r>
      <w:r>
        <w:rPr>
          <w:rFonts w:hint="eastAsia" w:asciiTheme="minorEastAsia" w:hAnsiTheme="minorEastAsia" w:eastAsiaTheme="minorEastAsia"/>
          <w:sz w:val="24"/>
        </w:rPr>
        <w:t>代理</w:t>
      </w:r>
      <w:r>
        <w:rPr>
          <w:rFonts w:asciiTheme="minorEastAsia" w:hAnsiTheme="minorEastAsia" w:eastAsiaTheme="minorEastAsia"/>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4C2DF3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ascii="宋体" w:hAnsi="宋体" w:eastAsia="宋体"/>
          <w:sz w:val="24"/>
        </w:rPr>
        <w:t>招标文件</w:t>
      </w:r>
      <w:r>
        <w:rPr>
          <w:rFonts w:asciiTheme="minorEastAsia" w:hAnsiTheme="minorEastAsia" w:eastAsiaTheme="minorEastAsia"/>
          <w:sz w:val="24"/>
        </w:rPr>
        <w:t>中有特殊要求外，投标文件中所使用的计量单位，应采用中华人民共和国法定计量单位。</w:t>
      </w:r>
    </w:p>
    <w:p w14:paraId="62FA6A64">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投标文件构成</w:t>
      </w:r>
    </w:p>
    <w:p w14:paraId="3BD0729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ascii="宋体" w:hAnsi="宋体" w:eastAsia="宋体"/>
          <w:sz w:val="24"/>
        </w:rPr>
        <w:t>投标人</w:t>
      </w:r>
      <w:r>
        <w:rPr>
          <w:rFonts w:asciiTheme="minorEastAsia" w:hAnsiTheme="minorEastAsia" w:eastAsiaTheme="minorEastAsia"/>
          <w:sz w:val="24"/>
        </w:rPr>
        <w:t>应完整地按招标文件提供的投标文件格式及要求</w:t>
      </w:r>
      <w:r>
        <w:rPr>
          <w:rFonts w:hint="eastAsia" w:asciiTheme="minorEastAsia" w:hAnsiTheme="minorEastAsia" w:eastAsiaTheme="minorEastAsia"/>
          <w:sz w:val="24"/>
        </w:rPr>
        <w:t>编</w:t>
      </w:r>
      <w:r>
        <w:rPr>
          <w:rFonts w:asciiTheme="minorEastAsia" w:hAnsiTheme="minorEastAsia" w:eastAsiaTheme="minorEastAsia"/>
          <w:sz w:val="24"/>
        </w:rPr>
        <w:t>写投标文件，</w:t>
      </w:r>
      <w:r>
        <w:rPr>
          <w:rFonts w:hint="eastAsia" w:asciiTheme="minorEastAsia" w:hAnsiTheme="minorEastAsia" w:eastAsiaTheme="minorEastAsia"/>
          <w:sz w:val="24"/>
        </w:rPr>
        <w:t>具体内容详见本项目投标文件格式的相关内容。</w:t>
      </w:r>
    </w:p>
    <w:p w14:paraId="46C9EDA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8.2</w:t>
      </w:r>
      <w:r>
        <w:rPr>
          <w:rFonts w:ascii="宋体" w:hAnsi="宋体" w:eastAsia="宋体"/>
          <w:sz w:val="24"/>
        </w:rPr>
        <w:t>投标人</w:t>
      </w:r>
      <w:r>
        <w:rPr>
          <w:rFonts w:asciiTheme="minorEastAsia" w:hAnsiTheme="minorEastAsia" w:eastAsiaTheme="minorEastAsia"/>
          <w:sz w:val="24"/>
        </w:rPr>
        <w:t>应提交</w:t>
      </w:r>
      <w:r>
        <w:rPr>
          <w:rFonts w:hint="eastAsia" w:asciiTheme="minorEastAsia" w:hAnsiTheme="minorEastAsia" w:eastAsiaTheme="minorEastAsia"/>
          <w:sz w:val="24"/>
        </w:rPr>
        <w:t>招标文件要求的</w:t>
      </w:r>
      <w:r>
        <w:rPr>
          <w:rFonts w:asciiTheme="minorEastAsia" w:hAnsiTheme="minorEastAsia" w:eastAsiaTheme="minorEastAsia"/>
          <w:sz w:val="24"/>
        </w:rPr>
        <w:t>证明文件，证明其投标内容符合招标文件规定</w:t>
      </w:r>
      <w:r>
        <w:rPr>
          <w:rFonts w:hint="eastAsia" w:asciiTheme="minorEastAsia" w:hAnsiTheme="minorEastAsia" w:eastAsiaTheme="minorEastAsia"/>
          <w:sz w:val="24"/>
        </w:rPr>
        <w:t>，</w:t>
      </w:r>
      <w:r>
        <w:rPr>
          <w:rFonts w:asciiTheme="minorEastAsia" w:hAnsiTheme="minorEastAsia" w:eastAsiaTheme="minorEastAsia"/>
          <w:sz w:val="24"/>
        </w:rPr>
        <w:t>该证明文件是投标文件的一部分</w:t>
      </w:r>
      <w:r>
        <w:rPr>
          <w:rFonts w:hint="eastAsia" w:asciiTheme="minorEastAsia" w:hAnsiTheme="minorEastAsia" w:eastAsiaTheme="minorEastAsia"/>
          <w:sz w:val="24"/>
        </w:rPr>
        <w:t>。</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bookmarkStart w:id="25" w:name="_Hlk11703583"/>
      <w:r>
        <w:rPr>
          <w:rFonts w:hint="eastAsia" w:asciiTheme="minorEastAsia" w:hAnsiTheme="minorEastAsia" w:eastAsiaTheme="minorEastAsia"/>
          <w:sz w:val="24"/>
        </w:rPr>
        <w:t>等。</w:t>
      </w:r>
    </w:p>
    <w:bookmarkEnd w:id="25"/>
    <w:p w14:paraId="4BAE890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8.3</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公正，除非另有规定或说明，投标人对同一项目投标时，不得同时提供</w:t>
      </w:r>
      <w:r>
        <w:rPr>
          <w:rFonts w:hint="eastAsia" w:asciiTheme="minorEastAsia" w:hAnsiTheme="minorEastAsia" w:eastAsiaTheme="minorEastAsia"/>
          <w:sz w:val="24"/>
        </w:rPr>
        <w:t>备选</w:t>
      </w:r>
      <w:r>
        <w:rPr>
          <w:rFonts w:asciiTheme="minorEastAsia" w:hAnsiTheme="minorEastAsia" w:eastAsiaTheme="minorEastAsia"/>
          <w:sz w:val="24"/>
        </w:rPr>
        <w:t>投标方案。</w:t>
      </w:r>
    </w:p>
    <w:p w14:paraId="01CC240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投标报价</w:t>
      </w:r>
    </w:p>
    <w:p w14:paraId="0F8E901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2.1投标人的报价应当包括满足本次招标全部采购需求</w:t>
      </w:r>
      <w:r>
        <w:rPr>
          <w:rFonts w:hint="eastAsia" w:asciiTheme="minorEastAsia" w:hAnsiTheme="minorEastAsia" w:eastAsiaTheme="minorEastAsia"/>
          <w:sz w:val="24"/>
        </w:rPr>
        <w:t>。除招标文件另有规定外，所有投标均应以人民币报价。投标人的投标报价应遵守《中华人民共和国价格法》。</w:t>
      </w:r>
    </w:p>
    <w:p w14:paraId="6B396AC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.2投标人报价超过招标文件规定的预算金额或者分项、分包最高限价，其投标将被认定为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14:paraId="14C2A1F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3投标报价</w:t>
      </w:r>
      <w:r>
        <w:rPr>
          <w:rFonts w:asciiTheme="minorEastAsia" w:hAnsiTheme="minorEastAsia" w:eastAsiaTheme="minorEastAsia"/>
          <w:sz w:val="24"/>
        </w:rPr>
        <w:t>在合同履行过程中是固定不变的，不得以任何理由予以变更。任何包含价格调整要求的投标，其投标将被认定为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09CC982A">
      <w:pPr>
        <w:spacing w:line="360" w:lineRule="auto"/>
        <w:ind w:firstLine="435"/>
        <w:rPr>
          <w:rFonts w:hint="eastAsia" w:ascii="宋体" w:hAnsi="宋体" w:eastAsia="宋体"/>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rPr>
        <w:t>必要时提交相关证明材料；投标人不能证明其报价合理性的，其投标将被认定为</w:t>
      </w:r>
      <w:r>
        <w:rPr>
          <w:rFonts w:asciiTheme="minorEastAsia" w:hAnsiTheme="minorEastAsia" w:eastAsiaTheme="minorEastAsia"/>
          <w:b/>
          <w:sz w:val="24"/>
        </w:rPr>
        <w:t>投标无效</w:t>
      </w:r>
      <w:r>
        <w:rPr>
          <w:rFonts w:hint="eastAsia" w:asciiTheme="minorEastAsia" w:hAnsiTheme="minorEastAsia" w:eastAsiaTheme="minorEastAsia"/>
          <w:sz w:val="24"/>
        </w:rPr>
        <w:t>。</w:t>
      </w:r>
    </w:p>
    <w:p w14:paraId="08F63A6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采购人不接受具有附加条件的报价。</w:t>
      </w:r>
    </w:p>
    <w:p w14:paraId="692B75A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投标保证金</w:t>
      </w:r>
    </w:p>
    <w:p w14:paraId="434C972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10.1本项目不收取投标保证金。</w:t>
      </w:r>
    </w:p>
    <w:p w14:paraId="6C4E873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投标有效期</w:t>
      </w:r>
    </w:p>
    <w:p w14:paraId="1BA5DB4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11.1投标有效期为从投标截止之日算起的日历天数，投标有效期详见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44D97F7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rPr>
        <w:t>投标无效</w:t>
      </w:r>
      <w:r>
        <w:rPr>
          <w:rFonts w:hint="eastAsia" w:asciiTheme="minorEastAsia" w:hAnsiTheme="minorEastAsia" w:eastAsiaTheme="minorEastAsia"/>
          <w:sz w:val="24"/>
        </w:rPr>
        <w:t>。</w:t>
      </w:r>
    </w:p>
    <w:p w14:paraId="66FBE82C">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.3</w:t>
      </w:r>
      <w:r>
        <w:rPr>
          <w:rFonts w:hint="eastAsia" w:asciiTheme="minorEastAsia" w:hAnsiTheme="minorEastAsia" w:eastAsiaTheme="minorEastAsia"/>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06C80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投标文件的递交、修改与撤回</w:t>
      </w:r>
    </w:p>
    <w:p w14:paraId="4435CCC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2.1投标人应当在招标公告规定的投标截止时间前</w:t>
      </w:r>
      <w:r>
        <w:rPr>
          <w:rFonts w:asciiTheme="minorEastAsia" w:hAnsiTheme="minorEastAsia" w:eastAsiaTheme="minorEastAsia"/>
          <w:sz w:val="24"/>
        </w:rPr>
        <w:t>，将加密的投标文件</w:t>
      </w:r>
      <w:r>
        <w:rPr>
          <w:rFonts w:hint="eastAsia" w:asciiTheme="minorEastAsia" w:hAnsiTheme="minorEastAsia" w:eastAsiaTheme="minorEastAsia"/>
          <w:sz w:val="24"/>
        </w:rPr>
        <w:t>在电子交易系统</w:t>
      </w:r>
      <w:r>
        <w:rPr>
          <w:rFonts w:asciiTheme="minorEastAsia" w:hAnsiTheme="minorEastAsia" w:eastAsiaTheme="minorEastAsia"/>
          <w:sz w:val="24"/>
        </w:rPr>
        <w:t>上传。</w:t>
      </w:r>
    </w:p>
    <w:p w14:paraId="5EFCD1C4">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24083B4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开标</w:t>
      </w:r>
    </w:p>
    <w:p w14:paraId="6AD5C11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开标时，</w:t>
      </w:r>
      <w:r>
        <w:rPr>
          <w:rFonts w:ascii="宋体" w:hAnsi="宋体" w:eastAsia="宋体" w:cs="宋体"/>
          <w:sz w:val="24"/>
          <w:szCs w:val="24"/>
        </w:rPr>
        <w:t>各投标人应在</w:t>
      </w:r>
      <w:r>
        <w:rPr>
          <w:rFonts w:ascii="宋体" w:hAnsi="宋体" w:eastAsia="宋体" w:cs="宋体"/>
          <w:sz w:val="24"/>
          <w:szCs w:val="24"/>
          <w:u w:val="single"/>
        </w:rPr>
        <w:t>投标人须知前附表</w:t>
      </w:r>
      <w:r>
        <w:rPr>
          <w:rFonts w:ascii="宋体" w:hAnsi="宋体" w:eastAsia="宋体" w:cs="宋体"/>
          <w:sz w:val="24"/>
          <w:szCs w:val="24"/>
        </w:rPr>
        <w:t>规定的解密时间前</w:t>
      </w:r>
      <w:r>
        <w:rPr>
          <w:rFonts w:asciiTheme="minorEastAsia" w:hAnsiTheme="minorEastAsia" w:eastAsiaTheme="minorEastAsia"/>
          <w:sz w:val="24"/>
        </w:rPr>
        <w:t>对</w:t>
      </w:r>
      <w:r>
        <w:rPr>
          <w:rFonts w:hint="eastAsia" w:ascii="宋体" w:hAnsi="宋体" w:eastAsia="宋体" w:cs="宋体"/>
          <w:sz w:val="24"/>
          <w:szCs w:val="24"/>
        </w:rPr>
        <w:t>其</w:t>
      </w:r>
      <w:r>
        <w:rPr>
          <w:rFonts w:asciiTheme="minorEastAsia" w:hAnsiTheme="minorEastAsia" w:eastAsiaTheme="minorEastAsia"/>
          <w:sz w:val="24"/>
        </w:rPr>
        <w:t>投标文件</w:t>
      </w:r>
      <w:r>
        <w:rPr>
          <w:rFonts w:hint="eastAsia" w:asciiTheme="minorEastAsia" w:hAnsiTheme="minorEastAsia" w:eastAsiaTheme="minorEastAsia"/>
          <w:sz w:val="24"/>
        </w:rPr>
        <w:t>进行</w:t>
      </w:r>
      <w:r>
        <w:rPr>
          <w:rFonts w:asciiTheme="minorEastAsia" w:hAnsiTheme="minorEastAsia" w:eastAsiaTheme="minorEastAsia"/>
          <w:sz w:val="24"/>
        </w:rPr>
        <w:t>解密。</w:t>
      </w:r>
    </w:p>
    <w:p w14:paraId="255C999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开标时，采购代理机构将通过网上开标系统公布</w:t>
      </w:r>
      <w:r>
        <w:rPr>
          <w:rFonts w:hint="eastAsia" w:asciiTheme="minorEastAsia" w:hAnsiTheme="minorEastAsia" w:eastAsiaTheme="minorEastAsia"/>
          <w:sz w:val="24"/>
        </w:rPr>
        <w:t>开标结果，公布内容包括投标人名称、投标价格及招标文件规定的内容。</w:t>
      </w:r>
    </w:p>
    <w:p w14:paraId="6C7C3B3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13.3采购人或采购代理机构将对开标过程进行记录，由参加开标的各投标人代表和相关工作人员签字确认，并存档备查。</w:t>
      </w:r>
    </w:p>
    <w:p w14:paraId="74F7E01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投标人未派代表参加开标的，视同投标人认可开标结果。</w:t>
      </w:r>
    </w:p>
    <w:p w14:paraId="645D37DC">
      <w:pPr>
        <w:spacing w:line="360" w:lineRule="auto"/>
        <w:ind w:firstLine="435"/>
        <w:rPr>
          <w:rFonts w:hint="eastAsia" w:asciiTheme="minorEastAsia" w:hAnsiTheme="minorEastAsia" w:eastAsiaTheme="minorEastAsia"/>
          <w:sz w:val="28"/>
        </w:rPr>
      </w:pPr>
      <w:r>
        <w:rPr>
          <w:rFonts w:hint="eastAsia" w:asciiTheme="minorEastAsia" w:hAnsiTheme="minorEastAsia" w:eastAsiaTheme="minorEastAsia"/>
          <w:sz w:val="24"/>
        </w:rPr>
        <w:t>13.4投标人代表对开标过程和开标记录有疑义，以及认为采购人、采购代理机构相关工作人员有需要回避的情形的，应当场提出询问或者回避申请。</w:t>
      </w:r>
    </w:p>
    <w:p w14:paraId="6734DAD8">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资格审查及组建评标委员会</w:t>
      </w:r>
    </w:p>
    <w:p w14:paraId="71BC8E3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14.1采购人或采购代理机构依据法律法规和招标文件中规定的内</w:t>
      </w:r>
      <w:r>
        <w:rPr>
          <w:rFonts w:asciiTheme="minorEastAsia" w:hAnsiTheme="minorEastAsia" w:eastAsiaTheme="minorEastAsia"/>
          <w:sz w:val="24"/>
        </w:rPr>
        <w:t>容</w:t>
      </w:r>
      <w:r>
        <w:rPr>
          <w:rFonts w:hint="eastAsia" w:asciiTheme="minorEastAsia" w:hAnsiTheme="minorEastAsia" w:eastAsiaTheme="minorEastAsia"/>
          <w:sz w:val="24"/>
        </w:rPr>
        <w:t>，对投标人资格进行审查，未</w:t>
      </w:r>
      <w:r>
        <w:rPr>
          <w:rFonts w:asciiTheme="minorEastAsia" w:hAnsiTheme="minorEastAsia" w:eastAsiaTheme="minorEastAsia"/>
          <w:sz w:val="24"/>
        </w:rPr>
        <w:t>通过资格审查的投标人</w:t>
      </w:r>
      <w:r>
        <w:rPr>
          <w:rFonts w:hint="eastAsia" w:asciiTheme="minorEastAsia" w:hAnsiTheme="minorEastAsia" w:eastAsiaTheme="minorEastAsia"/>
          <w:sz w:val="24"/>
        </w:rPr>
        <w:t>不</w:t>
      </w:r>
      <w:r>
        <w:rPr>
          <w:rFonts w:asciiTheme="minorEastAsia" w:hAnsiTheme="minorEastAsia" w:eastAsiaTheme="minorEastAsia"/>
          <w:sz w:val="24"/>
        </w:rPr>
        <w:t>进入评标</w:t>
      </w:r>
      <w:r>
        <w:rPr>
          <w:rFonts w:hint="eastAsia" w:asciiTheme="minorEastAsia" w:hAnsiTheme="minorEastAsia" w:eastAsiaTheme="minorEastAsia"/>
          <w:sz w:val="24"/>
        </w:rPr>
        <w:t>。</w:t>
      </w:r>
    </w:p>
    <w:p w14:paraId="69A80C6C">
      <w:pPr>
        <w:spacing w:line="360" w:lineRule="auto"/>
        <w:ind w:firstLine="435"/>
        <w:rPr>
          <w:rFonts w:hint="eastAsia" w:ascii="宋体" w:hAnsi="宋体" w:eastAsia="宋体" w:cs="宋体"/>
          <w:sz w:val="24"/>
          <w:szCs w:val="24"/>
        </w:rPr>
      </w:pPr>
      <w:bookmarkStart w:id="26" w:name="_Hlk24663244"/>
      <w:r>
        <w:rPr>
          <w:rFonts w:hint="eastAsia" w:ascii="宋体" w:hAnsi="宋体" w:eastAsia="宋体" w:cs="宋体"/>
          <w:sz w:val="24"/>
          <w:szCs w:val="24"/>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投标人，其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6EF1799A">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以联合体形式参加投标的，联合体成员存在以上不良信用记录的，联合体投标将被认定为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40D2F824">
      <w:pPr>
        <w:spacing w:line="360" w:lineRule="auto"/>
        <w:ind w:firstLine="435"/>
        <w:rPr>
          <w:rFonts w:hint="eastAsia" w:asciiTheme="minorEastAsia" w:hAnsiTheme="minorEastAsia" w:eastAsiaTheme="minorEastAsia"/>
          <w:sz w:val="24"/>
        </w:rPr>
      </w:pPr>
      <w:r>
        <w:rPr>
          <w:rFonts w:hint="eastAsia" w:ascii="宋体" w:hAnsi="宋体" w:eastAsia="宋体" w:cs="宋体"/>
          <w:sz w:val="24"/>
          <w:szCs w:val="24"/>
        </w:rPr>
        <w:t>以上信用查询记录，采购人或采购代理机构将下载查询结果页面后与其他招标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6"/>
    <w:p w14:paraId="788645D5">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14.3按照</w:t>
      </w:r>
      <w:r>
        <w:rPr>
          <w:rFonts w:hint="eastAsia" w:ascii="宋体" w:hAnsi="宋体" w:eastAsia="宋体"/>
          <w:sz w:val="24"/>
        </w:rPr>
        <w:t>《</w:t>
      </w:r>
      <w:r>
        <w:rPr>
          <w:rFonts w:ascii="宋体" w:hAnsi="宋体" w:eastAsia="宋体"/>
          <w:sz w:val="24"/>
        </w:rPr>
        <w:t>中华人民共和国政府采购法》</w:t>
      </w:r>
      <w:r>
        <w:rPr>
          <w:rFonts w:hint="eastAsia" w:asciiTheme="minorEastAsia" w:hAnsiTheme="minorEastAsia" w:eastAsiaTheme="minorEastAsia"/>
          <w:sz w:val="24"/>
        </w:rPr>
        <w:t>、</w:t>
      </w:r>
      <w:r>
        <w:rPr>
          <w:rFonts w:asciiTheme="minorEastAsia" w:hAnsiTheme="minorEastAsia" w:eastAsiaTheme="minorEastAsia"/>
          <w:sz w:val="24"/>
        </w:rPr>
        <w:t>《中华人民共和国政府采购</w:t>
      </w:r>
      <w:r>
        <w:rPr>
          <w:rFonts w:hint="eastAsia" w:asciiTheme="minorEastAsia" w:hAnsiTheme="minorEastAsia" w:eastAsiaTheme="minorEastAsia"/>
          <w:sz w:val="24"/>
        </w:rPr>
        <w:t>法</w:t>
      </w:r>
      <w:r>
        <w:rPr>
          <w:rFonts w:asciiTheme="minorEastAsia" w:hAnsiTheme="minorEastAsia" w:eastAsiaTheme="minorEastAsia"/>
          <w:sz w:val="24"/>
        </w:rPr>
        <w:t>实施条例》</w:t>
      </w:r>
      <w:r>
        <w:rPr>
          <w:rFonts w:hint="eastAsia" w:asciiTheme="minorEastAsia" w:hAnsiTheme="minorEastAsia" w:eastAsiaTheme="minorEastAsia"/>
          <w:sz w:val="24"/>
        </w:rPr>
        <w:t>及本项目本级</w:t>
      </w:r>
      <w:r>
        <w:rPr>
          <w:rFonts w:asciiTheme="minorEastAsia" w:hAnsiTheme="minorEastAsia" w:eastAsiaTheme="minorEastAsia"/>
          <w:sz w:val="24"/>
        </w:rPr>
        <w:t>和上级财政部门</w:t>
      </w:r>
      <w:r>
        <w:rPr>
          <w:rFonts w:hint="eastAsia" w:asciiTheme="minorEastAsia" w:hAnsiTheme="minorEastAsia" w:eastAsiaTheme="minorEastAsia"/>
          <w:sz w:val="24"/>
        </w:rPr>
        <w:t>、政府采购监督管理部门的有关规定依法组建的</w:t>
      </w:r>
      <w:r>
        <w:rPr>
          <w:rFonts w:asciiTheme="minorEastAsia" w:hAnsiTheme="minorEastAsia" w:eastAsiaTheme="minorEastAsia"/>
          <w:sz w:val="24"/>
        </w:rPr>
        <w:t>评标委员会</w:t>
      </w:r>
      <w:r>
        <w:rPr>
          <w:rFonts w:hint="eastAsia" w:asciiTheme="minorEastAsia" w:hAnsiTheme="minorEastAsia" w:eastAsiaTheme="minorEastAsia"/>
          <w:sz w:val="24"/>
        </w:rPr>
        <w:t>，负责本项目评标工作。</w:t>
      </w:r>
    </w:p>
    <w:p w14:paraId="5231E48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w:t>
      </w:r>
      <w:r>
        <w:rPr>
          <w:rFonts w:hint="eastAsia" w:asciiTheme="minorEastAsia" w:hAnsiTheme="minorEastAsia" w:eastAsiaTheme="minorEastAsia"/>
          <w:b/>
          <w:sz w:val="24"/>
        </w:rPr>
        <w:t>投标文件符合性审查与澄清</w:t>
      </w:r>
    </w:p>
    <w:p w14:paraId="5F18FB7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.1符合性审查是指依据招标文件的规定，从投标文件的有效性和完整性对招标文件的响应程度</w:t>
      </w:r>
      <w:r>
        <w:rPr>
          <w:rFonts w:ascii="宋体" w:hAnsi="宋体" w:eastAsia="宋体"/>
          <w:sz w:val="24"/>
        </w:rPr>
        <w:t>进行</w:t>
      </w:r>
      <w:r>
        <w:rPr>
          <w:rFonts w:asciiTheme="minorEastAsia" w:hAnsiTheme="minorEastAsia" w:eastAsiaTheme="minorEastAsia"/>
          <w:sz w:val="24"/>
        </w:rPr>
        <w:t>审查，以确定是否对招标文件的实质性要求做出响应。</w:t>
      </w:r>
    </w:p>
    <w:p w14:paraId="5C73D7B3">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2投标文件的澄清</w:t>
      </w:r>
    </w:p>
    <w:p w14:paraId="6326D534">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2</w:t>
      </w:r>
      <w:r>
        <w:rPr>
          <w:rFonts w:ascii="宋体" w:hAnsi="宋体" w:eastAsia="宋体"/>
          <w:sz w:val="24"/>
        </w:rPr>
        <w:t>.1为有助于投标</w:t>
      </w:r>
      <w:r>
        <w:rPr>
          <w:rFonts w:hint="eastAsia" w:ascii="宋体" w:hAnsi="宋体" w:eastAsia="宋体"/>
          <w:sz w:val="24"/>
        </w:rPr>
        <w:t>文件</w:t>
      </w:r>
      <w:r>
        <w:rPr>
          <w:rFonts w:ascii="宋体" w:hAnsi="宋体" w:eastAsia="宋体"/>
          <w:sz w:val="24"/>
        </w:rPr>
        <w:t>的审查、评价和比较，在评标期间，评标委员会将以书面</w:t>
      </w:r>
      <w:r>
        <w:rPr>
          <w:rFonts w:hint="eastAsia" w:ascii="宋体" w:hAnsi="宋体" w:eastAsia="宋体"/>
          <w:sz w:val="24"/>
        </w:rPr>
        <w:t>方式（询标）</w:t>
      </w:r>
      <w:r>
        <w:rPr>
          <w:rFonts w:ascii="宋体" w:hAnsi="宋体" w:eastAsia="宋体"/>
          <w:sz w:val="24"/>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rPr>
        <w:t>审</w:t>
      </w:r>
      <w:r>
        <w:rPr>
          <w:rFonts w:ascii="宋体" w:hAnsi="宋体" w:eastAsia="宋体"/>
          <w:sz w:val="24"/>
        </w:rPr>
        <w:t>查投标人的报价，有可能影响履约的情况作必要的澄清、说明或补正。投标人的澄清、说明或补正应在评标委员会规定的时间内以书面</w:t>
      </w:r>
      <w:r>
        <w:rPr>
          <w:rFonts w:hint="eastAsia" w:ascii="宋体" w:hAnsi="宋体" w:eastAsia="宋体"/>
          <w:sz w:val="24"/>
        </w:rPr>
        <w:t>方式</w:t>
      </w:r>
      <w:r>
        <w:rPr>
          <w:rFonts w:ascii="宋体" w:hAnsi="宋体" w:eastAsia="宋体"/>
          <w:sz w:val="24"/>
        </w:rPr>
        <w:t>进行，并不得超出投标文件范围或者改变投标文件的实质性内容。</w:t>
      </w:r>
    </w:p>
    <w:p w14:paraId="63CE0A4C">
      <w:pPr>
        <w:spacing w:line="360" w:lineRule="auto"/>
        <w:ind w:firstLine="435"/>
        <w:rPr>
          <w:rFonts w:hint="eastAsia" w:ascii="宋体" w:hAnsi="宋体" w:eastAsia="宋体"/>
          <w:sz w:val="24"/>
        </w:rPr>
      </w:pPr>
      <w:r>
        <w:rPr>
          <w:rFonts w:hint="eastAsia" w:ascii="宋体" w:hAnsi="宋体" w:eastAsia="宋体"/>
          <w:sz w:val="24"/>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726E00B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15.2</w:t>
      </w:r>
      <w:r>
        <w:rPr>
          <w:rFonts w:asciiTheme="minorEastAsia" w:hAnsiTheme="minorEastAsia" w:eastAsiaTheme="minorEastAsia"/>
          <w:sz w:val="24"/>
        </w:rPr>
        <w:t>.2</w:t>
      </w:r>
      <w:r>
        <w:rPr>
          <w:rFonts w:hint="eastAsia" w:asciiTheme="minorEastAsia" w:hAnsiTheme="minorEastAsia" w:eastAsiaTheme="minorEastAsia"/>
          <w:sz w:val="24"/>
        </w:rPr>
        <w:t>投标人的澄清、说明或补正将作为投标文件的一部分。</w:t>
      </w:r>
    </w:p>
    <w:p w14:paraId="011E5708">
      <w:pPr>
        <w:spacing w:line="360" w:lineRule="auto"/>
        <w:ind w:firstLine="435"/>
        <w:rPr>
          <w:rFonts w:hint="eastAsia" w:ascii="宋体" w:hAnsi="宋体" w:eastAsia="宋体"/>
          <w:sz w:val="24"/>
        </w:rPr>
      </w:pPr>
      <w:r>
        <w:rPr>
          <w:rFonts w:hint="eastAsia" w:ascii="宋体" w:hAnsi="宋体" w:eastAsia="宋体"/>
          <w:sz w:val="24"/>
        </w:rPr>
        <w:t>15.2</w:t>
      </w:r>
      <w:r>
        <w:rPr>
          <w:rFonts w:ascii="宋体" w:hAnsi="宋体" w:eastAsia="宋体"/>
          <w:sz w:val="24"/>
        </w:rPr>
        <w:t>.3评标委员会对投标人提交的澄清、说明或补正有疑问的，可以要求投标人进一步澄清、说明或补正，直至满足评标委员会的要求。</w:t>
      </w:r>
    </w:p>
    <w:p w14:paraId="03FD8CC6">
      <w:pPr>
        <w:spacing w:line="360" w:lineRule="auto"/>
        <w:ind w:firstLine="435"/>
        <w:rPr>
          <w:rFonts w:hint="eastAsia" w:ascii="宋体" w:hAnsi="宋体" w:eastAsia="宋体"/>
          <w:sz w:val="24"/>
        </w:rPr>
      </w:pPr>
      <w:r>
        <w:rPr>
          <w:rFonts w:hint="eastAsia" w:ascii="宋体" w:hAnsi="宋体" w:eastAsia="宋体"/>
          <w:sz w:val="24"/>
        </w:rPr>
        <w:t>15.3</w:t>
      </w:r>
      <w:r>
        <w:rPr>
          <w:rFonts w:ascii="宋体" w:hAnsi="宋体" w:eastAsia="宋体"/>
          <w:sz w:val="24"/>
        </w:rPr>
        <w:t>投标文件报价出现前后不一致的，按照下列规定修正：</w:t>
      </w:r>
    </w:p>
    <w:p w14:paraId="310E4A9E">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）投标文件中开标一览表内容与投标文件中相应内容不一致的，以开标一览表为准；</w:t>
      </w:r>
    </w:p>
    <w:p w14:paraId="0C5167B3">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2A03FF7B">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）单价金额小数点或者百分比有明显错位的，以开标一览表的总价为准，并修改单价；</w:t>
      </w:r>
    </w:p>
    <w:p w14:paraId="766CCB6A">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4</w:t>
      </w:r>
      <w:r>
        <w:rPr>
          <w:rFonts w:ascii="宋体" w:hAnsi="宋体" w:eastAsia="宋体"/>
          <w:sz w:val="24"/>
        </w:rPr>
        <w:t>）总价金额与按单价汇总金额不一致的，以单价金额计算结果为准。</w:t>
      </w:r>
    </w:p>
    <w:p w14:paraId="46C48CC4">
      <w:pPr>
        <w:spacing w:line="360" w:lineRule="auto"/>
        <w:ind w:firstLine="435"/>
        <w:rPr>
          <w:rFonts w:hint="eastAsia"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15.</w:t>
      </w:r>
      <w:r>
        <w:rPr>
          <w:rFonts w:ascii="宋体" w:hAnsi="宋体" w:eastAsia="宋体"/>
          <w:sz w:val="24"/>
        </w:rPr>
        <w:t>4条的规定经投标人确认后产生约束力，投标人不确认的，其投标将被认定为</w:t>
      </w:r>
      <w:r>
        <w:rPr>
          <w:rFonts w:ascii="宋体" w:hAnsi="宋体" w:eastAsia="宋体"/>
          <w:b/>
          <w:sz w:val="24"/>
        </w:rPr>
        <w:t>投标无效</w:t>
      </w:r>
      <w:r>
        <w:rPr>
          <w:rFonts w:ascii="宋体" w:hAnsi="宋体" w:eastAsia="宋体"/>
          <w:sz w:val="24"/>
        </w:rPr>
        <w:t>。</w:t>
      </w:r>
    </w:p>
    <w:p w14:paraId="7D5928F8">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对不同文字文本投标文件的解释发生异议的，以中文文本为准。</w:t>
      </w:r>
    </w:p>
    <w:p w14:paraId="6085B644">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16.投标无效</w:t>
      </w:r>
    </w:p>
    <w:p w14:paraId="04AE386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1根据本</w:t>
      </w:r>
      <w:r>
        <w:rPr>
          <w:rFonts w:hint="eastAsia" w:asciiTheme="minorEastAsia" w:hAnsiTheme="minorEastAsia" w:eastAsiaTheme="minorEastAsia"/>
          <w:sz w:val="24"/>
        </w:rPr>
        <w:t>招标文件</w:t>
      </w:r>
      <w:r>
        <w:rPr>
          <w:rFonts w:asciiTheme="minorEastAsia" w:hAnsiTheme="minorEastAsia" w:eastAsiaTheme="minorEastAsia"/>
          <w:sz w:val="24"/>
        </w:rPr>
        <w:t>的规定，评标委员会要审查每份投标文件是否实质上响应了招标文件的要求。投标人不得通过修正或撤销不符合要求的偏离，从而使其投标成为实质上响应的投标。</w:t>
      </w:r>
    </w:p>
    <w:p w14:paraId="2AB792C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评标委员会决定投标的响应性只根据招标文件要求和投标文件内容。</w:t>
      </w:r>
    </w:p>
    <w:p w14:paraId="5F85B1D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无论何种原因，即使投标人投标时携带了证书材料的原件，但投标文件中未提供与之内容完全一致的扫描件的，评标委员会视同其未提供。</w:t>
      </w:r>
    </w:p>
    <w:p w14:paraId="2704094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2如发现下列情况之一的，其投标将被认定为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60E5AF6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1）投标文件未按照招标文件规定要求签署、盖章的；</w:t>
      </w:r>
    </w:p>
    <w:p w14:paraId="6686F9D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2）不具备招标文件中规定的资格要求的；</w:t>
      </w:r>
    </w:p>
    <w:p w14:paraId="632C0E9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3）报价超过招标文件中规定的预算金额或者最高限价的；</w:t>
      </w:r>
    </w:p>
    <w:p w14:paraId="2C37998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4）投标文件含有采购人不能接受的附加条件的；</w:t>
      </w:r>
    </w:p>
    <w:p w14:paraId="6C08D8FB">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asciiTheme="minorEastAsia" w:hAnsiTheme="minorEastAsia" w:eastAsiaTheme="minorEastAsia"/>
          <w:sz w:val="24"/>
        </w:rPr>
        <w:t>5）法律、法规和招标文件规定的其他无效情形。</w:t>
      </w:r>
    </w:p>
    <w:p w14:paraId="2A78FD5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17.比较与评价</w:t>
      </w:r>
    </w:p>
    <w:p w14:paraId="7E9B924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17.1经符合性审查合格的投标文件，评标委员会将根据招标文件确定的评标方法和标准，对其投标文件作进一步的比较与评价。</w:t>
      </w:r>
    </w:p>
    <w:p w14:paraId="3148677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17.2评标严格按照</w:t>
      </w:r>
      <w:r>
        <w:rPr>
          <w:rFonts w:hint="eastAsia" w:ascii="宋体" w:hAnsi="宋体" w:eastAsia="宋体"/>
          <w:sz w:val="24"/>
        </w:rPr>
        <w:t>招标文件</w:t>
      </w:r>
      <w:r>
        <w:rPr>
          <w:rFonts w:hint="eastAsia" w:asciiTheme="minorEastAsia" w:hAnsiTheme="minorEastAsia" w:eastAsiaTheme="minorEastAsia"/>
          <w:sz w:val="24"/>
        </w:rPr>
        <w:t>的要求和条件进行。根据实际情况，在</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中规定采用下列一种评标方法，详细评标方法和标准见招标文件第四章：</w:t>
      </w:r>
    </w:p>
    <w:p w14:paraId="41B54161">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1）最低评标价法，是指</w:t>
      </w:r>
      <w:r>
        <w:rPr>
          <w:rFonts w:ascii="宋体" w:hAnsi="宋体" w:eastAsia="宋体"/>
          <w:sz w:val="24"/>
        </w:rPr>
        <w:t>投标文件满足招标文件全部实质性要求</w:t>
      </w:r>
      <w:r>
        <w:rPr>
          <w:rFonts w:hint="eastAsia" w:ascii="宋体" w:hAnsi="宋体" w:eastAsia="宋体"/>
          <w:sz w:val="24"/>
        </w:rPr>
        <w:t>，</w:t>
      </w:r>
      <w:r>
        <w:rPr>
          <w:rFonts w:ascii="宋体" w:hAnsi="宋体" w:eastAsia="宋体"/>
          <w:sz w:val="24"/>
        </w:rPr>
        <w:t>且投标报价最低的</w:t>
      </w:r>
      <w:r>
        <w:rPr>
          <w:rFonts w:hint="eastAsia" w:ascii="宋体" w:hAnsi="宋体" w:eastAsia="宋体"/>
          <w:sz w:val="24"/>
        </w:rPr>
        <w:t>投标人</w:t>
      </w:r>
      <w:r>
        <w:rPr>
          <w:rFonts w:ascii="宋体" w:hAnsi="宋体" w:eastAsia="宋体"/>
          <w:sz w:val="24"/>
        </w:rPr>
        <w:t>为中标</w:t>
      </w:r>
      <w:r>
        <w:rPr>
          <w:rFonts w:hint="eastAsia" w:ascii="宋体" w:hAnsi="宋体" w:eastAsia="宋体"/>
          <w:sz w:val="24"/>
        </w:rPr>
        <w:t>候选</w:t>
      </w:r>
      <w:r>
        <w:rPr>
          <w:rFonts w:ascii="宋体" w:hAnsi="宋体" w:eastAsia="宋体"/>
          <w:sz w:val="24"/>
        </w:rPr>
        <w:t>人的评标方法</w:t>
      </w:r>
      <w:r>
        <w:rPr>
          <w:rFonts w:hint="eastAsia" w:ascii="宋体" w:hAnsi="宋体" w:eastAsia="宋体"/>
          <w:sz w:val="24"/>
        </w:rPr>
        <w:t>。</w:t>
      </w:r>
    </w:p>
    <w:p w14:paraId="6199EC38">
      <w:pPr>
        <w:spacing w:line="360" w:lineRule="auto"/>
        <w:ind w:firstLine="435"/>
        <w:rPr>
          <w:rFonts w:hint="eastAsia" w:ascii="宋体" w:hAnsi="宋体" w:eastAsia="宋体"/>
          <w:sz w:val="24"/>
        </w:rPr>
      </w:pPr>
      <w:r>
        <w:rPr>
          <w:rFonts w:hint="eastAsia" w:ascii="宋体" w:hAnsi="宋体" w:eastAsia="宋体"/>
          <w:sz w:val="24"/>
        </w:rPr>
        <w:t>（2）综合评分法，是</w:t>
      </w:r>
      <w:r>
        <w:rPr>
          <w:rFonts w:ascii="宋体" w:hAnsi="宋体" w:eastAsia="宋体"/>
          <w:sz w:val="24"/>
        </w:rPr>
        <w:t>指投标文件满足招标</w:t>
      </w:r>
      <w:r>
        <w:rPr>
          <w:rFonts w:hint="eastAsia" w:ascii="宋体" w:hAnsi="宋体" w:eastAsia="宋体"/>
          <w:sz w:val="24"/>
        </w:rPr>
        <w:t>文件</w:t>
      </w:r>
      <w:r>
        <w:rPr>
          <w:rFonts w:ascii="宋体" w:hAnsi="宋体" w:eastAsia="宋体"/>
          <w:sz w:val="24"/>
        </w:rPr>
        <w:t>全部实质性要求</w:t>
      </w:r>
      <w:r>
        <w:rPr>
          <w:rFonts w:hint="eastAsia" w:ascii="宋体" w:hAnsi="宋体" w:eastAsia="宋体"/>
          <w:sz w:val="24"/>
        </w:rPr>
        <w:t>，</w:t>
      </w:r>
      <w:r>
        <w:rPr>
          <w:rFonts w:ascii="宋体" w:hAnsi="宋体" w:eastAsia="宋体"/>
          <w:sz w:val="24"/>
        </w:rPr>
        <w:t>且按照评审因素的</w:t>
      </w:r>
      <w:r>
        <w:rPr>
          <w:rFonts w:hint="eastAsia" w:ascii="宋体" w:hAnsi="宋体" w:eastAsia="宋体"/>
          <w:sz w:val="24"/>
        </w:rPr>
        <w:t>量化</w:t>
      </w:r>
      <w:r>
        <w:rPr>
          <w:rFonts w:ascii="宋体" w:hAnsi="宋体" w:eastAsia="宋体"/>
          <w:sz w:val="24"/>
        </w:rPr>
        <w:t>指标评审得分最高的</w:t>
      </w:r>
      <w:r>
        <w:rPr>
          <w:rFonts w:hint="eastAsia" w:ascii="宋体" w:hAnsi="宋体" w:eastAsia="宋体"/>
          <w:sz w:val="24"/>
        </w:rPr>
        <w:t>投标人</w:t>
      </w:r>
      <w:r>
        <w:rPr>
          <w:rFonts w:ascii="宋体" w:hAnsi="宋体" w:eastAsia="宋体"/>
          <w:sz w:val="24"/>
        </w:rPr>
        <w:t>为中标候选人的评标方法。</w:t>
      </w:r>
    </w:p>
    <w:p w14:paraId="69081335">
      <w:pPr>
        <w:spacing w:line="360" w:lineRule="auto"/>
        <w:ind w:firstLine="435"/>
        <w:rPr>
          <w:rFonts w:hint="eastAsia" w:ascii="宋体" w:hAnsi="宋体" w:eastAsia="宋体"/>
          <w:sz w:val="24"/>
        </w:rPr>
      </w:pPr>
      <w:r>
        <w:rPr>
          <w:rFonts w:hint="eastAsia" w:ascii="宋体" w:hAnsi="宋体" w:eastAsia="宋体"/>
          <w:sz w:val="24"/>
        </w:rPr>
        <w:t>17.</w:t>
      </w:r>
      <w:r>
        <w:rPr>
          <w:rFonts w:ascii="宋体" w:hAnsi="宋体" w:eastAsia="宋体"/>
          <w:sz w:val="24"/>
        </w:rPr>
        <w:t>3根据《政府采购促进中小企业发展管理办法》（财库〔2020〕46号）、《三部门联合发布关于促进残疾人就业政府采购政策的通知》（财库〔2017〕141号）</w:t>
      </w:r>
      <w:r>
        <w:rPr>
          <w:rFonts w:hint="eastAsia" w:ascii="宋体" w:hAnsi="宋体" w:eastAsia="宋体"/>
          <w:sz w:val="24"/>
        </w:rPr>
        <w:t>和</w:t>
      </w:r>
      <w:r>
        <w:rPr>
          <w:rFonts w:ascii="宋体" w:hAnsi="宋体" w:eastAsia="宋体"/>
          <w:sz w:val="24"/>
        </w:rPr>
        <w:t>《财政部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u w:val="single"/>
        </w:rPr>
        <w:t>投标人须知前附表</w:t>
      </w:r>
      <w:r>
        <w:rPr>
          <w:rFonts w:ascii="宋体" w:hAnsi="宋体" w:eastAsia="宋体"/>
          <w:sz w:val="24"/>
        </w:rPr>
        <w:t>中规定的标准扣除后的价格参与评审。对于同时属于小微企</w:t>
      </w:r>
      <w:r>
        <w:rPr>
          <w:rFonts w:hint="eastAsia" w:ascii="宋体" w:hAnsi="宋体" w:eastAsia="宋体"/>
          <w:sz w:val="24"/>
        </w:rPr>
        <w:t>业、监狱企业或残疾人福利性单位的，不重复进行投标报价扣除。</w:t>
      </w:r>
    </w:p>
    <w:p w14:paraId="75D5C38C">
      <w:pPr>
        <w:spacing w:line="360" w:lineRule="auto"/>
        <w:ind w:firstLine="435"/>
        <w:rPr>
          <w:rFonts w:hint="eastAsia" w:ascii="宋体" w:hAnsi="宋体" w:eastAsia="宋体"/>
          <w:sz w:val="24"/>
        </w:rPr>
      </w:pPr>
      <w:r>
        <w:rPr>
          <w:rFonts w:hint="eastAsia" w:ascii="宋体" w:hAnsi="宋体" w:eastAsia="宋体"/>
          <w:sz w:val="24"/>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rPr>
        <w:t>30%以上的，可给予联合体或者大中型企业的投标报价按照</w:t>
      </w:r>
      <w:r>
        <w:rPr>
          <w:rFonts w:ascii="宋体" w:hAnsi="宋体" w:eastAsia="宋体"/>
          <w:sz w:val="24"/>
          <w:u w:val="single"/>
        </w:rPr>
        <w:t>投标人须知前附表</w:t>
      </w:r>
      <w:r>
        <w:rPr>
          <w:rFonts w:ascii="宋体" w:hAnsi="宋体" w:eastAsia="宋体"/>
          <w:sz w:val="24"/>
        </w:rPr>
        <w:t>中规定的标准扣除后的价格参与评审。组成联合体或者接受分包的小微企业与联合体内其他企业、分包企业之间存在直接控股、管理关系的，不享受价格扣除优惠政策。</w:t>
      </w:r>
    </w:p>
    <w:p w14:paraId="24BBD642">
      <w:pPr>
        <w:spacing w:line="360" w:lineRule="auto"/>
        <w:ind w:firstLine="435"/>
        <w:rPr>
          <w:rFonts w:hint="eastAsia" w:ascii="宋体" w:hAnsi="宋体" w:eastAsia="宋体"/>
          <w:sz w:val="24"/>
        </w:rPr>
      </w:pPr>
      <w:r>
        <w:rPr>
          <w:rFonts w:hint="eastAsia" w:ascii="宋体" w:hAnsi="宋体" w:eastAsia="宋体"/>
          <w:sz w:val="24"/>
        </w:rPr>
        <w:t>以联合体形式参加政府采购活动，联合体各方均为中小企业的，联合体视同中小企业。其中，联合体各方均为小微企业的，联合体视同小微企业。</w:t>
      </w:r>
    </w:p>
    <w:p w14:paraId="55177A5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废标、重新招标与变更采购方式</w:t>
      </w:r>
    </w:p>
    <w:p w14:paraId="00BC553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18.1出现下列情形之一，将导致项目废标：</w:t>
      </w:r>
    </w:p>
    <w:p w14:paraId="541CCB28">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1）符合专业条件的投标人或者对招标文件做实质性响应的投标人不足规定数量的；</w:t>
      </w:r>
    </w:p>
    <w:p w14:paraId="6FAAAAA0">
      <w:pPr>
        <w:spacing w:line="360" w:lineRule="auto"/>
        <w:ind w:firstLine="435"/>
        <w:rPr>
          <w:rFonts w:hint="eastAsia" w:ascii="宋体" w:hAnsi="宋体" w:eastAsia="宋体"/>
          <w:sz w:val="24"/>
        </w:rPr>
      </w:pPr>
      <w:r>
        <w:rPr>
          <w:rFonts w:hint="eastAsia" w:ascii="宋体" w:hAnsi="宋体" w:eastAsia="宋体"/>
          <w:sz w:val="24"/>
        </w:rPr>
        <w:t>（2）出现影响采购公正的违法、违规行为的；</w:t>
      </w:r>
    </w:p>
    <w:p w14:paraId="0160B36A">
      <w:pPr>
        <w:spacing w:line="360" w:lineRule="auto"/>
        <w:ind w:firstLine="435"/>
        <w:rPr>
          <w:rFonts w:hint="eastAsia" w:ascii="宋体" w:hAnsi="宋体" w:eastAsia="宋体"/>
          <w:sz w:val="24"/>
        </w:rPr>
      </w:pPr>
      <w:r>
        <w:rPr>
          <w:rFonts w:hint="eastAsia" w:ascii="宋体" w:hAnsi="宋体" w:eastAsia="宋体"/>
          <w:sz w:val="24"/>
        </w:rPr>
        <w:t>（3）投标人的报价均超过了采购预算，采购人不能支付的；</w:t>
      </w:r>
    </w:p>
    <w:p w14:paraId="75CFA39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（4）因重大变故，采购任务取消的。</w:t>
      </w:r>
    </w:p>
    <w:p w14:paraId="39C335D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18.2公开招标数额标准以上的采购项目，投标截止后投标人不足</w:t>
      </w:r>
      <w:r>
        <w:rPr>
          <w:rFonts w:asciiTheme="minorEastAsia" w:hAnsiTheme="minorEastAsia" w:eastAsiaTheme="minorEastAsia"/>
          <w:sz w:val="24"/>
        </w:rPr>
        <w:t>3家或者通过</w:t>
      </w:r>
      <w:r>
        <w:rPr>
          <w:rFonts w:hint="eastAsia" w:asciiTheme="minorEastAsia" w:hAnsiTheme="minorEastAsia" w:eastAsiaTheme="minorEastAsia"/>
          <w:sz w:val="24"/>
        </w:rPr>
        <w:t>资格审查或符合性审查的投标人不足</w:t>
      </w:r>
      <w:r>
        <w:rPr>
          <w:rFonts w:asciiTheme="minorEastAsia" w:hAnsiTheme="minorEastAsia" w:eastAsiaTheme="minorEastAsia"/>
          <w:sz w:val="24"/>
        </w:rPr>
        <w:t>3家的，除采购任务取消情形外，按照以下方式处理：</w:t>
      </w:r>
    </w:p>
    <w:p w14:paraId="10F54CA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（1）招标文件存在不合理条款或者招标程序不符合规定的，采购人、采购代理机构改正后依法重新招标；</w:t>
      </w:r>
    </w:p>
    <w:p w14:paraId="2D8A6A7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（2）招标文件没有不合理条款、招标程序符合规定，需要采用其他采购方式采购的，采购人应当依法报</w:t>
      </w:r>
      <w:r>
        <w:rPr>
          <w:rFonts w:hint="eastAsia" w:ascii="宋体" w:hAnsi="宋体" w:eastAsia="宋体" w:cs="宋体"/>
          <w:color w:val="000000"/>
          <w:sz w:val="24"/>
          <w:szCs w:val="24"/>
        </w:rPr>
        <w:t>政府采购监督管理部门</w:t>
      </w:r>
      <w:r>
        <w:rPr>
          <w:rFonts w:hint="eastAsia" w:asciiTheme="minorEastAsia" w:hAnsiTheme="minorEastAsia" w:eastAsiaTheme="minorEastAsia"/>
          <w:sz w:val="24"/>
        </w:rPr>
        <w:t>批准。</w:t>
      </w:r>
    </w:p>
    <w:p w14:paraId="3222981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7430994B">
      <w:pPr>
        <w:spacing w:line="360" w:lineRule="auto"/>
        <w:ind w:firstLine="435"/>
        <w:rPr>
          <w:rFonts w:hint="eastAsia" w:ascii="宋体" w:hAnsi="宋体" w:eastAsia="宋体"/>
          <w:sz w:val="24"/>
        </w:rPr>
      </w:pPr>
      <w:r>
        <w:rPr>
          <w:rFonts w:hint="eastAsia" w:ascii="宋体" w:hAnsi="宋体" w:eastAsia="宋体"/>
          <w:sz w:val="24"/>
        </w:rPr>
        <w:t>19.1评标将在严格保密的情况下进行。</w:t>
      </w:r>
    </w:p>
    <w:p w14:paraId="0775B947">
      <w:pPr>
        <w:spacing w:line="360" w:lineRule="auto"/>
        <w:ind w:firstLine="435"/>
        <w:rPr>
          <w:rFonts w:hint="eastAsia" w:ascii="宋体" w:hAnsi="宋体" w:eastAsia="宋体"/>
          <w:sz w:val="24"/>
        </w:rPr>
      </w:pPr>
      <w:r>
        <w:rPr>
          <w:rFonts w:hint="eastAsia" w:ascii="宋体" w:hAnsi="宋体" w:eastAsia="宋体"/>
          <w:sz w:val="24"/>
        </w:rPr>
        <w:t>19.2有关人员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守评</w:t>
      </w:r>
      <w:r>
        <w:rPr>
          <w:rFonts w:hint="eastAsia" w:ascii="宋体" w:hAnsi="宋体" w:eastAsia="宋体"/>
          <w:sz w:val="24"/>
        </w:rPr>
        <w:t>标</w:t>
      </w:r>
      <w:r>
        <w:rPr>
          <w:rFonts w:ascii="宋体" w:hAnsi="宋体" w:eastAsia="宋体"/>
          <w:sz w:val="24"/>
        </w:rPr>
        <w:t>工作纪律，不得</w:t>
      </w:r>
      <w:r>
        <w:rPr>
          <w:rFonts w:hint="eastAsia" w:ascii="宋体" w:hAnsi="宋体" w:eastAsia="宋体"/>
          <w:sz w:val="24"/>
        </w:rPr>
        <w:t>泄露</w:t>
      </w:r>
      <w:r>
        <w:rPr>
          <w:rFonts w:ascii="宋体" w:hAnsi="宋体" w:eastAsia="宋体"/>
          <w:sz w:val="24"/>
        </w:rPr>
        <w:t>评</w:t>
      </w:r>
      <w:r>
        <w:rPr>
          <w:rFonts w:hint="eastAsia" w:ascii="宋体" w:hAnsi="宋体" w:eastAsia="宋体"/>
          <w:sz w:val="24"/>
        </w:rPr>
        <w:t>标文件</w:t>
      </w:r>
      <w:r>
        <w:rPr>
          <w:rFonts w:ascii="宋体" w:hAnsi="宋体" w:eastAsia="宋体"/>
          <w:sz w:val="24"/>
        </w:rPr>
        <w:t>、评</w:t>
      </w:r>
      <w:r>
        <w:rPr>
          <w:rFonts w:hint="eastAsia" w:ascii="宋体" w:hAnsi="宋体" w:eastAsia="宋体"/>
          <w:sz w:val="24"/>
        </w:rPr>
        <w:t>标</w:t>
      </w:r>
      <w:r>
        <w:rPr>
          <w:rFonts w:ascii="宋体" w:hAnsi="宋体" w:eastAsia="宋体"/>
          <w:sz w:val="24"/>
        </w:rPr>
        <w:t>情况和评</w:t>
      </w:r>
      <w:r>
        <w:rPr>
          <w:rFonts w:hint="eastAsia" w:ascii="宋体" w:hAnsi="宋体" w:eastAsia="宋体"/>
          <w:sz w:val="24"/>
        </w:rPr>
        <w:t>标</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4A5182F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中标候选人的确定原则及标准</w:t>
      </w:r>
    </w:p>
    <w:p w14:paraId="341A94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20.1</w:t>
      </w:r>
      <w:r>
        <w:rPr>
          <w:rFonts w:asciiTheme="minorEastAsia" w:hAnsiTheme="minorEastAsia" w:eastAsiaTheme="minorEastAsia"/>
          <w:sz w:val="24"/>
        </w:rPr>
        <w:t>评</w:t>
      </w:r>
      <w:r>
        <w:rPr>
          <w:rFonts w:hint="eastAsia" w:asciiTheme="minorEastAsia" w:hAnsiTheme="minorEastAsia" w:eastAsiaTheme="minorEastAsia"/>
          <w:sz w:val="24"/>
        </w:rPr>
        <w:t>标</w:t>
      </w:r>
      <w:r>
        <w:rPr>
          <w:rFonts w:asciiTheme="minorEastAsia" w:hAnsiTheme="minorEastAsia" w:eastAsiaTheme="minorEastAsia"/>
          <w:sz w:val="24"/>
        </w:rPr>
        <w:t>委员会依据本项目招标文件所约定的评标方法，对实质上响应招标文件的投标人按下列方法进行排序</w:t>
      </w:r>
      <w:r>
        <w:rPr>
          <w:rFonts w:hint="eastAsia" w:asciiTheme="minorEastAsia" w:hAnsiTheme="minorEastAsia" w:eastAsiaTheme="minorEastAsia"/>
          <w:sz w:val="24"/>
        </w:rPr>
        <w:t>，确定中标候选人</w:t>
      </w:r>
      <w:r>
        <w:rPr>
          <w:rFonts w:asciiTheme="minorEastAsia" w:hAnsiTheme="minorEastAsia" w:eastAsiaTheme="minorEastAsia"/>
          <w:sz w:val="24"/>
        </w:rPr>
        <w:t>：</w:t>
      </w:r>
    </w:p>
    <w:p w14:paraId="7ACA559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rPr>
        <w:t>出现两家或两家以上相同者，采取评标委员会随机抽取的方式确定中标候选顺序。</w:t>
      </w:r>
    </w:p>
    <w:p w14:paraId="3F4307CE">
      <w:pPr>
        <w:spacing w:line="360" w:lineRule="auto"/>
        <w:ind w:firstLine="435"/>
        <w:rPr>
          <w:rFonts w:hint="eastAsia" w:eastAsiaTheme="minorEastAsia"/>
        </w:rPr>
      </w:pPr>
      <w:r>
        <w:rPr>
          <w:rFonts w:hint="eastAsia" w:asciiTheme="minorEastAsia" w:hAnsiTheme="minorEastAsia" w:eastAsiaTheme="minorEastAsia"/>
          <w:sz w:val="24"/>
        </w:rPr>
        <w:t>（</w:t>
      </w:r>
      <w:r>
        <w:rPr>
          <w:rFonts w:asciiTheme="minorEastAsia" w:hAnsiTheme="minorEastAsia" w:eastAsiaTheme="minorEastAsia"/>
          <w:sz w:val="24"/>
        </w:rPr>
        <w:t>2）采用综合评分法的，评标结果按评审后得分由高到低顺序排列。得分相同的，</w:t>
      </w:r>
      <w:r>
        <w:rPr>
          <w:rFonts w:hint="eastAsia" w:asciiTheme="minorEastAsia" w:hAnsiTheme="minorEastAsia" w:eastAsiaTheme="minorEastAsia"/>
          <w:sz w:val="24"/>
        </w:rPr>
        <w:t>按投标报价由低到高顺序排列。</w:t>
      </w:r>
      <w:r>
        <w:rPr>
          <w:rFonts w:asciiTheme="minorEastAsia" w:hAnsiTheme="minorEastAsia" w:eastAsiaTheme="minorEastAsia"/>
          <w:sz w:val="24"/>
        </w:rPr>
        <w:t>得分与投标报价均相同的</w:t>
      </w:r>
      <w:r>
        <w:rPr>
          <w:rFonts w:hint="eastAsia" w:asciiTheme="minorEastAsia" w:hAnsiTheme="minorEastAsia" w:eastAsiaTheme="minorEastAsia"/>
          <w:sz w:val="24"/>
        </w:rPr>
        <w:t>，则采取评标委员会随机抽取的方式确定中标候选顺序。</w:t>
      </w:r>
    </w:p>
    <w:p w14:paraId="098F444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确定中标候选人和中标人</w:t>
      </w:r>
    </w:p>
    <w:p w14:paraId="583B147C">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.1评标委员会将根据评标标准，按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中规定数量推荐中标候选人。</w:t>
      </w:r>
    </w:p>
    <w:p w14:paraId="6D8DB7D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21.2按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由评标委员会或采购人确定中标人。</w:t>
      </w:r>
    </w:p>
    <w:p w14:paraId="70D2379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.3</w:t>
      </w:r>
      <w:r>
        <w:rPr>
          <w:rFonts w:hint="eastAsia" w:asciiTheme="minorEastAsia" w:hAnsiTheme="minorEastAsia" w:eastAsiaTheme="minorEastAsia"/>
          <w:sz w:val="24"/>
        </w:rPr>
        <w:t>因重大变故采购任务取消时，采购人有权拒绝任何投标人中标，且对受影响的投标人不承担任何责任。</w:t>
      </w:r>
    </w:p>
    <w:p w14:paraId="4BABE4E3">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22</w:t>
      </w:r>
      <w:r>
        <w:rPr>
          <w:rFonts w:asciiTheme="minorEastAsia" w:hAnsiTheme="minorEastAsia" w:eastAsiaTheme="minorEastAsia"/>
          <w:b/>
          <w:sz w:val="24"/>
        </w:rPr>
        <w:t>.</w:t>
      </w:r>
      <w:r>
        <w:rPr>
          <w:rFonts w:hint="eastAsia" w:asciiTheme="minorEastAsia" w:hAnsiTheme="minorEastAsia" w:eastAsiaTheme="minorEastAsia"/>
          <w:b/>
          <w:sz w:val="24"/>
        </w:rPr>
        <w:t>编写评标报告</w:t>
      </w:r>
    </w:p>
    <w:p w14:paraId="1C78BF7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F57153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中标结果公告</w:t>
      </w:r>
    </w:p>
    <w:p w14:paraId="2AD6EEE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.1</w:t>
      </w:r>
      <w:r>
        <w:rPr>
          <w:rFonts w:hint="eastAsia" w:asciiTheme="minorEastAsia" w:hAnsiTheme="minorEastAsia" w:eastAsiaTheme="minorEastAsia"/>
          <w:sz w:val="24"/>
        </w:rPr>
        <w:t>除</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规定由评标委员会直接确定中标</w:t>
      </w:r>
      <w:r>
        <w:rPr>
          <w:rFonts w:hint="eastAsia" w:asciiTheme="minorEastAsia" w:hAnsiTheme="minorEastAsia" w:eastAsiaTheme="minorEastAsia"/>
          <w:sz w:val="24"/>
        </w:rPr>
        <w:t>人外，</w:t>
      </w:r>
      <w:r>
        <w:rPr>
          <w:rFonts w:asciiTheme="minorEastAsia" w:hAnsiTheme="minorEastAsia" w:eastAsiaTheme="minorEastAsia"/>
          <w:sz w:val="24"/>
        </w:rPr>
        <w:t>在评标结束后2个工作日内</w:t>
      </w:r>
      <w:r>
        <w:rPr>
          <w:rFonts w:hint="eastAsia" w:asciiTheme="minorEastAsia" w:hAnsiTheme="minorEastAsia" w:eastAsiaTheme="minorEastAsia"/>
          <w:sz w:val="24"/>
        </w:rPr>
        <w:t>，</w:t>
      </w:r>
      <w:r>
        <w:rPr>
          <w:rFonts w:asciiTheme="minorEastAsia" w:hAnsiTheme="minorEastAsia" w:eastAsiaTheme="minorEastAsia"/>
          <w:sz w:val="24"/>
        </w:rPr>
        <w:t>采购代理机构将评标报告送采购人。采购人应当自收到评标报告之日起</w:t>
      </w:r>
      <w:r>
        <w:rPr>
          <w:rFonts w:hint="eastAsia" w:asciiTheme="minorEastAsia" w:hAnsiTheme="minorEastAsia" w:eastAsiaTheme="minorEastAsia"/>
          <w:sz w:val="24"/>
        </w:rPr>
        <w:t>5</w:t>
      </w:r>
      <w:r>
        <w:rPr>
          <w:rFonts w:asciiTheme="minorEastAsia" w:hAnsiTheme="minorEastAsia" w:eastAsiaTheme="minorEastAsia"/>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296CAD0">
      <w:pPr>
        <w:spacing w:line="360" w:lineRule="auto"/>
        <w:ind w:firstLine="435"/>
        <w:rPr>
          <w:rFonts w:hint="eastAsia" w:ascii="宋体" w:hAnsi="宋体" w:eastAsia="宋体"/>
          <w:sz w:val="24"/>
          <w:szCs w:val="18"/>
        </w:rPr>
      </w:pPr>
      <w:r>
        <w:rPr>
          <w:rFonts w:hint="eastAsia" w:asciiTheme="minorEastAsia" w:hAnsiTheme="minorEastAsia" w:eastAsiaTheme="minorEastAsia"/>
          <w:sz w:val="24"/>
        </w:rPr>
        <w:t>23</w:t>
      </w:r>
      <w:r>
        <w:rPr>
          <w:rFonts w:asciiTheme="minorEastAsia" w:hAnsiTheme="minorEastAsia" w:eastAsiaTheme="minorEastAsia"/>
          <w:sz w:val="24"/>
        </w:rPr>
        <w:t>.2</w:t>
      </w:r>
      <w:r>
        <w:rPr>
          <w:rFonts w:hint="eastAsia" w:ascii="宋体" w:hAnsi="宋体" w:eastAsia="宋体"/>
          <w:sz w:val="24"/>
          <w:szCs w:val="18"/>
        </w:rPr>
        <w:t>自中标人确定之日起2个工作日内，采购代理机构将在安徽省政府采购网（www.ccgp-anhui.gov.cn）上发布中标结果公告。</w:t>
      </w:r>
    </w:p>
    <w:p w14:paraId="3DEF535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23.3</w:t>
      </w:r>
      <w:r>
        <w:rPr>
          <w:rFonts w:asciiTheme="minorEastAsia" w:hAnsiTheme="minorEastAsia" w:eastAsiaTheme="minorEastAsia"/>
          <w:sz w:val="24"/>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sz w:val="24"/>
          <w:u w:val="single"/>
        </w:rPr>
        <w:t>投标人须知前附表</w:t>
      </w:r>
      <w:r>
        <w:rPr>
          <w:rFonts w:asciiTheme="minorEastAsia" w:hAnsiTheme="minorEastAsia" w:eastAsiaTheme="minorEastAsia"/>
          <w:sz w:val="24"/>
        </w:rPr>
        <w:t>中约定进行公告的内容。中标公告期限为1个工作日。</w:t>
      </w:r>
    </w:p>
    <w:p w14:paraId="215C4EC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24</w:t>
      </w:r>
      <w:r>
        <w:rPr>
          <w:rFonts w:asciiTheme="minorEastAsia" w:hAnsiTheme="minorEastAsia" w:eastAsiaTheme="minorEastAsia"/>
          <w:b/>
          <w:sz w:val="24"/>
        </w:rPr>
        <w:t>.</w:t>
      </w:r>
      <w:r>
        <w:rPr>
          <w:rFonts w:hint="eastAsia" w:asciiTheme="minorEastAsia" w:hAnsiTheme="minorEastAsia" w:eastAsiaTheme="minorEastAsia"/>
          <w:b/>
          <w:sz w:val="24"/>
        </w:rPr>
        <w:t>中标通知书</w:t>
      </w:r>
    </w:p>
    <w:p w14:paraId="6D45ED0B">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.1采购代理机构</w:t>
      </w:r>
      <w:r>
        <w:rPr>
          <w:rFonts w:ascii="宋体" w:hAnsi="宋体" w:eastAsia="宋体"/>
          <w:sz w:val="24"/>
        </w:rPr>
        <w:t>发布</w:t>
      </w:r>
      <w:r>
        <w:rPr>
          <w:rFonts w:asciiTheme="minorEastAsia" w:hAnsiTheme="minorEastAsia" w:eastAsiaTheme="minorEastAsia"/>
          <w:sz w:val="24"/>
        </w:rPr>
        <w:t>中标结果公告</w:t>
      </w:r>
      <w:r>
        <w:rPr>
          <w:rFonts w:hint="eastAsia" w:asciiTheme="minorEastAsia" w:hAnsiTheme="minorEastAsia" w:eastAsiaTheme="minorEastAsia"/>
          <w:iCs/>
          <w:sz w:val="24"/>
        </w:rPr>
        <w:t>的</w:t>
      </w:r>
      <w:r>
        <w:rPr>
          <w:rFonts w:asciiTheme="minorEastAsia" w:hAnsiTheme="minorEastAsia" w:eastAsiaTheme="minorEastAsia"/>
          <w:sz w:val="24"/>
        </w:rPr>
        <w:t>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形式向中标人发出中标通知书。</w:t>
      </w:r>
    </w:p>
    <w:p w14:paraId="2EA3C246">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.2中标通知书对采购人和中标</w:t>
      </w:r>
      <w:r>
        <w:rPr>
          <w:rFonts w:hint="eastAsia" w:asciiTheme="minorEastAsia" w:hAnsiTheme="minorEastAsia" w:eastAsiaTheme="minorEastAsia"/>
          <w:sz w:val="24"/>
        </w:rPr>
        <w:t>人</w:t>
      </w:r>
      <w:r>
        <w:rPr>
          <w:rFonts w:asciiTheme="minorEastAsia" w:hAnsiTheme="minorEastAsia" w:eastAsiaTheme="minorEastAsia"/>
          <w:sz w:val="24"/>
        </w:rPr>
        <w:t>具有同等法律效力。中标通知书发出以后，采购人改变中标结果或者中标</w:t>
      </w:r>
      <w:r>
        <w:rPr>
          <w:rFonts w:hint="eastAsia" w:asciiTheme="minorEastAsia" w:hAnsiTheme="minorEastAsia" w:eastAsiaTheme="minorEastAsia"/>
          <w:sz w:val="24"/>
        </w:rPr>
        <w:t>人</w:t>
      </w:r>
      <w:r>
        <w:rPr>
          <w:rFonts w:asciiTheme="minorEastAsia" w:hAnsiTheme="minorEastAsia" w:eastAsiaTheme="minorEastAsia"/>
          <w:sz w:val="24"/>
        </w:rPr>
        <w:t>放弃中标，应当承担相应的法律责任。</w:t>
      </w:r>
    </w:p>
    <w:p w14:paraId="5B60B3E5">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.3中标通知书是</w:t>
      </w:r>
      <w:r>
        <w:rPr>
          <w:rFonts w:ascii="宋体" w:hAnsi="宋体" w:eastAsia="宋体"/>
          <w:sz w:val="24"/>
        </w:rPr>
        <w:t>合同</w:t>
      </w:r>
      <w:r>
        <w:rPr>
          <w:rFonts w:asciiTheme="minorEastAsia" w:hAnsiTheme="minorEastAsia" w:eastAsiaTheme="minorEastAsia"/>
          <w:sz w:val="24"/>
        </w:rPr>
        <w:t>的组成部分。</w:t>
      </w:r>
    </w:p>
    <w:p w14:paraId="27E2487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25</w:t>
      </w:r>
      <w:r>
        <w:rPr>
          <w:rFonts w:asciiTheme="minorEastAsia" w:hAnsiTheme="minorEastAsia" w:eastAsiaTheme="minorEastAsia"/>
          <w:b/>
          <w:sz w:val="24"/>
        </w:rPr>
        <w:t>.</w:t>
      </w:r>
      <w:r>
        <w:rPr>
          <w:rFonts w:hint="eastAsia" w:asciiTheme="minorEastAsia" w:hAnsiTheme="minorEastAsia" w:eastAsiaTheme="minorEastAsia"/>
          <w:b/>
          <w:sz w:val="24"/>
        </w:rPr>
        <w:t>告知招标结果</w:t>
      </w:r>
    </w:p>
    <w:p w14:paraId="2F01A7E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25</w:t>
      </w:r>
      <w:r>
        <w:rPr>
          <w:rFonts w:asciiTheme="minorEastAsia" w:hAnsiTheme="minorEastAsia" w:eastAsiaTheme="minorEastAsia"/>
          <w:sz w:val="24"/>
        </w:rPr>
        <w:t>.1</w:t>
      </w:r>
      <w:r>
        <w:rPr>
          <w:rFonts w:hint="eastAsia" w:asciiTheme="minorEastAsia" w:hAnsiTheme="minorEastAsia" w:eastAsiaTheme="minorEastAsia"/>
          <w:sz w:val="24"/>
        </w:rPr>
        <w:t>在公告</w:t>
      </w:r>
      <w:r>
        <w:rPr>
          <w:rFonts w:asciiTheme="minorEastAsia" w:hAnsiTheme="minorEastAsia" w:eastAsiaTheme="minorEastAsia"/>
          <w:sz w:val="24"/>
        </w:rPr>
        <w:t>中标结果的同时，采购代理机构同时以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hint="eastAsia" w:asciiTheme="minorEastAsia" w:hAnsiTheme="minorEastAsia" w:eastAsiaTheme="minorEastAsia"/>
          <w:sz w:val="24"/>
        </w:rPr>
        <w:t>告知未通过资格审查的投标人未通过的原因；采用综合评分法评审的，还将告知未中标人本人的评审得分和排序。</w:t>
      </w:r>
    </w:p>
    <w:p w14:paraId="6D936A7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履约保证金</w:t>
      </w:r>
    </w:p>
    <w:p w14:paraId="4B68226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26.1中标人应按照</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规定缴纳履约保证金。</w:t>
      </w:r>
    </w:p>
    <w:p w14:paraId="74FBEAA1">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26.</w:t>
      </w:r>
      <w:r>
        <w:rPr>
          <w:rFonts w:asciiTheme="minorEastAsia" w:hAnsiTheme="minorEastAsia" w:eastAsiaTheme="minorEastAsia"/>
          <w:sz w:val="24"/>
        </w:rPr>
        <w:t>2</w:t>
      </w:r>
      <w:r>
        <w:rPr>
          <w:rFonts w:hint="eastAsia" w:ascii="宋体" w:hAnsi="宋体" w:eastAsia="宋体"/>
          <w:sz w:val="24"/>
        </w:rPr>
        <w:t>如果</w:t>
      </w:r>
      <w:r>
        <w:rPr>
          <w:rFonts w:hint="eastAsia" w:asciiTheme="minorEastAsia" w:hAnsiTheme="minorEastAsia" w:eastAsiaTheme="minorEastAsia"/>
          <w:sz w:val="24"/>
        </w:rPr>
        <w:t>中标人没有按照上述履约保证金的规定执行，将视为放弃中标资格。在此情况下，采购人可</w:t>
      </w:r>
      <w:r>
        <w:rPr>
          <w:rFonts w:asciiTheme="minorEastAsia" w:hAnsiTheme="minorEastAsia" w:eastAsiaTheme="minorEastAsia"/>
          <w:sz w:val="24"/>
        </w:rPr>
        <w:t>确定下一</w:t>
      </w:r>
      <w:r>
        <w:rPr>
          <w:rFonts w:hint="eastAsia" w:ascii="宋体" w:hAnsi="宋体" w:eastAsia="宋体"/>
          <w:sz w:val="24"/>
        </w:rPr>
        <w:t>中标</w:t>
      </w:r>
      <w:r>
        <w:rPr>
          <w:rFonts w:hint="eastAsia" w:asciiTheme="minorEastAsia" w:hAnsiTheme="minorEastAsia" w:eastAsiaTheme="minorEastAsia"/>
          <w:sz w:val="24"/>
        </w:rPr>
        <w:t>候选</w:t>
      </w:r>
      <w:r>
        <w:rPr>
          <w:rFonts w:asciiTheme="minorEastAsia" w:hAnsiTheme="minorEastAsia" w:eastAsiaTheme="minorEastAsia"/>
          <w:sz w:val="24"/>
        </w:rPr>
        <w:t>人为中标</w:t>
      </w:r>
      <w:r>
        <w:rPr>
          <w:rFonts w:hint="eastAsia" w:asciiTheme="minorEastAsia" w:hAnsiTheme="minorEastAsia" w:eastAsiaTheme="minorEastAsia"/>
          <w:sz w:val="24"/>
        </w:rPr>
        <w:t>人</w:t>
      </w:r>
      <w:r>
        <w:rPr>
          <w:rFonts w:asciiTheme="minorEastAsia" w:hAnsiTheme="minorEastAsia" w:eastAsiaTheme="minorEastAsia"/>
          <w:sz w:val="24"/>
        </w:rPr>
        <w:t>，也可以重新开展采购活动。</w:t>
      </w:r>
    </w:p>
    <w:p w14:paraId="7F652B4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27</w:t>
      </w:r>
      <w:r>
        <w:rPr>
          <w:rFonts w:asciiTheme="minorEastAsia" w:hAnsiTheme="minorEastAsia" w:eastAsiaTheme="minorEastAsia"/>
          <w:b/>
          <w:sz w:val="24"/>
        </w:rPr>
        <w:t>.</w:t>
      </w:r>
      <w:r>
        <w:rPr>
          <w:rFonts w:hint="eastAsia" w:asciiTheme="minorEastAsia" w:hAnsiTheme="minorEastAsia" w:eastAsiaTheme="minorEastAsia"/>
          <w:b/>
          <w:sz w:val="24"/>
        </w:rPr>
        <w:t>签订合同</w:t>
      </w:r>
    </w:p>
    <w:p w14:paraId="673B433F">
      <w:pPr>
        <w:spacing w:line="360" w:lineRule="auto"/>
        <w:ind w:firstLine="435"/>
        <w:rPr>
          <w:rFonts w:hint="eastAsia" w:ascii="宋体" w:hAnsi="宋体" w:eastAsia="宋体"/>
          <w:sz w:val="24"/>
        </w:rPr>
      </w:pPr>
      <w:r>
        <w:rPr>
          <w:rFonts w:hint="eastAsia" w:ascii="宋体" w:hAnsi="宋体" w:eastAsia="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678FC816">
      <w:pPr>
        <w:spacing w:line="360" w:lineRule="auto"/>
        <w:ind w:firstLine="435"/>
        <w:rPr>
          <w:rFonts w:hint="eastAsia" w:ascii="宋体" w:hAnsi="宋体" w:eastAsia="宋体"/>
          <w:sz w:val="24"/>
        </w:rPr>
      </w:pPr>
      <w:r>
        <w:rPr>
          <w:rFonts w:hint="eastAsia" w:ascii="宋体" w:hAnsi="宋体" w:eastAsia="宋体"/>
          <w:sz w:val="24"/>
        </w:rPr>
        <w:t>27.2招标文件、中标人的投标文件及其澄清文件等，均为签订合同的依据。</w:t>
      </w:r>
    </w:p>
    <w:p w14:paraId="11FBEC08">
      <w:pPr>
        <w:spacing w:line="360" w:lineRule="auto"/>
        <w:ind w:firstLine="435"/>
        <w:rPr>
          <w:rFonts w:hint="eastAsia" w:ascii="宋体" w:hAnsi="宋体" w:eastAsia="宋体"/>
          <w:sz w:val="24"/>
        </w:rPr>
      </w:pPr>
      <w:r>
        <w:rPr>
          <w:rFonts w:hint="eastAsia" w:ascii="宋体" w:hAnsi="宋体" w:eastAsia="宋体"/>
          <w:sz w:val="24"/>
        </w:rPr>
        <w:t>27.3中</w:t>
      </w:r>
      <w:r>
        <w:rPr>
          <w:rFonts w:ascii="宋体" w:hAnsi="宋体" w:eastAsia="宋体"/>
          <w:sz w:val="24"/>
        </w:rPr>
        <w:t>标</w:t>
      </w:r>
      <w:r>
        <w:rPr>
          <w:rFonts w:hint="eastAsia" w:ascii="宋体" w:hAnsi="宋体" w:eastAsia="宋体"/>
          <w:sz w:val="24"/>
        </w:rPr>
        <w:t>人</w:t>
      </w:r>
      <w:r>
        <w:rPr>
          <w:rFonts w:ascii="宋体" w:hAnsi="宋体" w:eastAsia="宋体"/>
          <w:sz w:val="24"/>
        </w:rPr>
        <w:t>拒绝与采购人签订合同的，采购人可以按照评审报告推荐的中标候选人</w:t>
      </w:r>
      <w:r>
        <w:rPr>
          <w:rFonts w:hint="eastAsia" w:ascii="宋体" w:hAnsi="宋体" w:eastAsia="宋体"/>
          <w:sz w:val="24"/>
        </w:rPr>
        <w:t>名单</w:t>
      </w:r>
      <w:r>
        <w:rPr>
          <w:rFonts w:ascii="宋体" w:hAnsi="宋体" w:eastAsia="宋体"/>
          <w:sz w:val="24"/>
        </w:rPr>
        <w:t>排序</w:t>
      </w:r>
      <w:r>
        <w:rPr>
          <w:rFonts w:hint="eastAsia" w:ascii="宋体" w:hAnsi="宋体" w:eastAsia="宋体"/>
          <w:sz w:val="24"/>
        </w:rPr>
        <w:t>，</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，也可以重新开展政府采购活动。</w:t>
      </w:r>
    </w:p>
    <w:p w14:paraId="089AA1F0">
      <w:pPr>
        <w:spacing w:line="360" w:lineRule="auto"/>
        <w:ind w:firstLine="435"/>
        <w:rPr>
          <w:rFonts w:hint="eastAsia" w:ascii="宋体" w:hAnsi="宋体" w:eastAsia="宋体"/>
          <w:sz w:val="24"/>
        </w:rPr>
      </w:pPr>
      <w:r>
        <w:rPr>
          <w:rFonts w:hint="eastAsia" w:ascii="宋体" w:hAnsi="宋体" w:eastAsia="宋体"/>
          <w:sz w:val="24"/>
        </w:rPr>
        <w:t>27.4依据《政府采购促进中小企业发展管理办法》（财库〔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p>
    <w:p w14:paraId="2F431C0D">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28</w:t>
      </w:r>
      <w:r>
        <w:rPr>
          <w:rFonts w:asciiTheme="minorEastAsia" w:hAnsiTheme="minorEastAsia" w:eastAsiaTheme="minorEastAsia"/>
          <w:b/>
          <w:sz w:val="24"/>
        </w:rPr>
        <w:t>.</w:t>
      </w:r>
      <w:r>
        <w:rPr>
          <w:rFonts w:hint="eastAsia" w:asciiTheme="minorEastAsia" w:hAnsiTheme="minorEastAsia" w:eastAsiaTheme="minorEastAsia"/>
          <w:b/>
          <w:sz w:val="24"/>
        </w:rPr>
        <w:t>代理费用</w:t>
      </w:r>
    </w:p>
    <w:p w14:paraId="3C97EA7A">
      <w:pPr>
        <w:spacing w:line="360" w:lineRule="auto"/>
        <w:ind w:firstLine="435"/>
        <w:rPr>
          <w:rFonts w:hint="eastAsia" w:ascii="宋体" w:hAnsi="宋体" w:eastAsia="宋体"/>
          <w:sz w:val="24"/>
        </w:rPr>
      </w:pPr>
      <w:r>
        <w:rPr>
          <w:rFonts w:hint="eastAsia" w:ascii="宋体" w:hAnsi="宋体" w:eastAsia="宋体"/>
          <w:sz w:val="24"/>
        </w:rPr>
        <w:t>28</w:t>
      </w:r>
      <w:r>
        <w:rPr>
          <w:rFonts w:ascii="宋体" w:hAnsi="宋体" w:eastAsia="宋体"/>
          <w:sz w:val="24"/>
        </w:rPr>
        <w:t>.1</w:t>
      </w:r>
      <w:r>
        <w:rPr>
          <w:rFonts w:hint="eastAsia" w:ascii="宋体" w:hAnsi="宋体" w:eastAsia="宋体"/>
          <w:sz w:val="24"/>
        </w:rPr>
        <w:t>本项目代理费用的收取按</w:t>
      </w:r>
      <w:r>
        <w:rPr>
          <w:rFonts w:hint="eastAsia" w:asciiTheme="minorEastAsia" w:hAnsiTheme="minorEastAsia" w:eastAsiaTheme="minorEastAsia"/>
          <w:sz w:val="24"/>
          <w:u w:val="single"/>
        </w:rPr>
        <w:t>投标人须知前附表的</w:t>
      </w:r>
      <w:r>
        <w:rPr>
          <w:rFonts w:hint="eastAsia" w:ascii="宋体" w:hAnsi="宋体" w:eastAsia="宋体"/>
          <w:sz w:val="24"/>
        </w:rPr>
        <w:t>规定执行</w:t>
      </w:r>
      <w:r>
        <w:rPr>
          <w:rFonts w:hint="eastAsia" w:asciiTheme="minorEastAsia" w:hAnsiTheme="minorEastAsia" w:eastAsiaTheme="minorEastAsia"/>
          <w:sz w:val="24"/>
        </w:rPr>
        <w:t>。</w:t>
      </w:r>
    </w:p>
    <w:p w14:paraId="2B0B164D">
      <w:pPr>
        <w:spacing w:line="360" w:lineRule="auto"/>
        <w:ind w:firstLine="437"/>
        <w:outlineLvl w:val="2"/>
        <w:rPr>
          <w:rFonts w:hint="eastAsia" w:asciiTheme="minorEastAsia" w:hAnsiTheme="minorEastAsia" w:eastAsiaTheme="minorEastAsia"/>
          <w:b/>
          <w:sz w:val="24"/>
        </w:rPr>
      </w:pPr>
      <w:bookmarkStart w:id="27" w:name="_Toc518923100"/>
      <w:bookmarkStart w:id="28" w:name="_Toc2583661"/>
      <w:r>
        <w:rPr>
          <w:rFonts w:hint="eastAsia" w:asciiTheme="minorEastAsia" w:hAnsiTheme="minorEastAsia" w:eastAsiaTheme="minorEastAsia"/>
          <w:b/>
          <w:sz w:val="24"/>
        </w:rPr>
        <w:t>29.廉洁自律</w:t>
      </w:r>
      <w:r>
        <w:rPr>
          <w:rFonts w:asciiTheme="minorEastAsia" w:hAnsiTheme="minorEastAsia" w:eastAsiaTheme="minorEastAsia"/>
          <w:b/>
          <w:sz w:val="24"/>
        </w:rPr>
        <w:t>规定</w:t>
      </w:r>
      <w:bookmarkEnd w:id="27"/>
      <w:bookmarkEnd w:id="28"/>
    </w:p>
    <w:p w14:paraId="6363427D">
      <w:pPr>
        <w:spacing w:line="360" w:lineRule="auto"/>
        <w:ind w:firstLine="435"/>
        <w:rPr>
          <w:rFonts w:hint="eastAsia" w:ascii="宋体" w:hAnsi="宋体" w:eastAsia="宋体"/>
          <w:sz w:val="24"/>
        </w:rPr>
      </w:pPr>
      <w:r>
        <w:rPr>
          <w:rFonts w:hint="eastAsia" w:ascii="宋体" w:hAnsi="宋体" w:eastAsia="宋体"/>
          <w:sz w:val="24"/>
        </w:rPr>
        <w:t>29.1采购代理机构</w:t>
      </w:r>
      <w:r>
        <w:rPr>
          <w:rFonts w:ascii="宋体" w:hAnsi="宋体" w:eastAsia="宋体"/>
          <w:sz w:val="24"/>
        </w:rPr>
        <w:t>工作人员</w:t>
      </w:r>
      <w:r>
        <w:rPr>
          <w:rFonts w:hint="eastAsia" w:ascii="宋体" w:hAnsi="宋体" w:eastAsia="宋体"/>
          <w:sz w:val="24"/>
        </w:rPr>
        <w:t>不得以不正当手段获取政府采购代理业务，不得与采购人、投标人恶意串通。</w:t>
      </w:r>
    </w:p>
    <w:p w14:paraId="71FAB04A">
      <w:pPr>
        <w:spacing w:line="360" w:lineRule="auto"/>
        <w:ind w:firstLine="435"/>
        <w:rPr>
          <w:rFonts w:hint="eastAsia" w:ascii="宋体" w:hAnsi="宋体" w:eastAsia="宋体"/>
          <w:sz w:val="24"/>
        </w:rPr>
      </w:pPr>
      <w:r>
        <w:rPr>
          <w:rFonts w:hint="eastAsia" w:ascii="宋体" w:hAnsi="宋体" w:eastAsia="宋体"/>
          <w:sz w:val="24"/>
        </w:rPr>
        <w:t>29.</w:t>
      </w:r>
      <w:r>
        <w:rPr>
          <w:rFonts w:ascii="宋体" w:hAnsi="宋体" w:eastAsia="宋体"/>
          <w:sz w:val="24"/>
        </w:rPr>
        <w:t>2</w:t>
      </w:r>
      <w:r>
        <w:rPr>
          <w:rFonts w:hint="eastAsia" w:ascii="宋体" w:hAnsi="宋体" w:eastAsia="宋体"/>
          <w:sz w:val="24"/>
        </w:rPr>
        <w:t>采购代理机构工作人员不得接受采购人或者投标人组织的宴请、旅游、娱乐，不得收受礼品、现金、有价证券等，不得向采购人或者投标人报销应当由个人承担的费用。</w:t>
      </w:r>
    </w:p>
    <w:p w14:paraId="394A02E4">
      <w:pPr>
        <w:spacing w:line="360" w:lineRule="auto"/>
        <w:ind w:firstLine="437"/>
        <w:outlineLvl w:val="2"/>
        <w:rPr>
          <w:rFonts w:hint="eastAsia" w:asciiTheme="minorEastAsia" w:hAnsiTheme="minorEastAsia" w:eastAsiaTheme="minorEastAsia"/>
          <w:b/>
          <w:sz w:val="24"/>
        </w:rPr>
      </w:pPr>
      <w:bookmarkStart w:id="29" w:name="_Toc518923101"/>
      <w:bookmarkStart w:id="30" w:name="_Toc2583662"/>
      <w:r>
        <w:rPr>
          <w:rFonts w:hint="eastAsia" w:asciiTheme="minorEastAsia" w:hAnsiTheme="minorEastAsia" w:eastAsiaTheme="minorEastAsia"/>
          <w:b/>
          <w:sz w:val="24"/>
        </w:rPr>
        <w:t>30.人员回避</w:t>
      </w:r>
      <w:bookmarkEnd w:id="29"/>
      <w:bookmarkEnd w:id="30"/>
    </w:p>
    <w:p w14:paraId="675DAFFB">
      <w:pPr>
        <w:spacing w:line="360" w:lineRule="auto"/>
        <w:ind w:firstLine="435"/>
        <w:rPr>
          <w:rFonts w:hint="eastAsia" w:ascii="仿宋_GB2312" w:hAnsi="宋体" w:eastAsia="仿宋_GB2312"/>
          <w:sz w:val="24"/>
        </w:rPr>
      </w:pPr>
      <w:r>
        <w:rPr>
          <w:rFonts w:hint="eastAsia" w:ascii="宋体" w:hAnsi="宋体" w:eastAsia="宋体"/>
          <w:sz w:val="24"/>
        </w:rPr>
        <w:t>投标人</w:t>
      </w:r>
      <w:r>
        <w:rPr>
          <w:rFonts w:ascii="宋体" w:hAnsi="宋体" w:eastAsia="宋体"/>
          <w:sz w:val="24"/>
        </w:rPr>
        <w:t>认为采购人员</w:t>
      </w:r>
      <w:r>
        <w:rPr>
          <w:rFonts w:hint="eastAsia" w:ascii="宋体" w:hAnsi="宋体" w:eastAsia="宋体"/>
          <w:sz w:val="24"/>
        </w:rPr>
        <w:t>及其</w:t>
      </w:r>
      <w:r>
        <w:rPr>
          <w:rFonts w:ascii="宋体" w:hAnsi="宋体" w:eastAsia="宋体"/>
          <w:sz w:val="24"/>
        </w:rPr>
        <w:t>相关人员有</w:t>
      </w:r>
      <w:r>
        <w:rPr>
          <w:rFonts w:hint="eastAsia" w:ascii="宋体" w:hAnsi="宋体" w:eastAsia="宋体"/>
          <w:sz w:val="24"/>
        </w:rPr>
        <w:t>法律</w:t>
      </w:r>
      <w:r>
        <w:rPr>
          <w:rFonts w:ascii="宋体" w:hAnsi="宋体" w:eastAsia="宋体"/>
          <w:sz w:val="24"/>
        </w:rPr>
        <w:t>法规所列与其他</w:t>
      </w:r>
      <w:r>
        <w:rPr>
          <w:rFonts w:hint="eastAsia" w:ascii="宋体" w:hAnsi="宋体" w:eastAsia="宋体"/>
          <w:sz w:val="24"/>
        </w:rPr>
        <w:t>投标人有</w:t>
      </w:r>
      <w:r>
        <w:rPr>
          <w:rFonts w:ascii="宋体" w:hAnsi="宋体" w:eastAsia="宋体"/>
          <w:sz w:val="24"/>
        </w:rPr>
        <w:t>利害关系的，可以向</w:t>
      </w:r>
      <w:r>
        <w:rPr>
          <w:rFonts w:hint="eastAsia" w:ascii="宋体" w:hAnsi="宋体" w:eastAsia="宋体"/>
          <w:sz w:val="24"/>
        </w:rPr>
        <w:t>采购人或</w:t>
      </w:r>
      <w:r>
        <w:rPr>
          <w:rFonts w:ascii="宋体" w:hAnsi="宋体" w:eastAsia="宋体"/>
          <w:sz w:val="24"/>
        </w:rPr>
        <w:t>采购代理机构书面提出回避申请，并说明理由。</w:t>
      </w:r>
    </w:p>
    <w:p w14:paraId="1035112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31</w:t>
      </w:r>
      <w:r>
        <w:rPr>
          <w:rFonts w:asciiTheme="minorEastAsia" w:hAnsiTheme="minorEastAsia" w:eastAsiaTheme="minorEastAsia"/>
          <w:b/>
          <w:sz w:val="24"/>
        </w:rPr>
        <w:t>.</w:t>
      </w:r>
      <w:r>
        <w:rPr>
          <w:rFonts w:hint="eastAsia" w:asciiTheme="minorEastAsia" w:hAnsiTheme="minorEastAsia" w:eastAsiaTheme="minorEastAsia"/>
          <w:b/>
          <w:sz w:val="24"/>
        </w:rPr>
        <w:t>质疑的提出与接收</w:t>
      </w:r>
    </w:p>
    <w:p w14:paraId="5EDF6D90">
      <w:pPr>
        <w:spacing w:line="360" w:lineRule="auto"/>
        <w:ind w:firstLine="435"/>
        <w:rPr>
          <w:rFonts w:hint="eastAsia" w:ascii="宋体" w:hAnsi="宋体" w:eastAsia="宋体"/>
          <w:sz w:val="24"/>
        </w:rPr>
      </w:pPr>
      <w:r>
        <w:rPr>
          <w:rFonts w:hint="eastAsia" w:ascii="宋体" w:hAnsi="宋体" w:eastAsia="宋体"/>
          <w:sz w:val="24"/>
        </w:rPr>
        <w:t>31.1投标人认为招标文件、招标过程和中标结果使自己的权益受到损害的，可以在知道或者应知其权益受到损害之日起七个工作日内，以书面形式向采购人或其委托的采购代理机构提出质疑。</w:t>
      </w:r>
    </w:p>
    <w:p w14:paraId="3C7B2533">
      <w:pPr>
        <w:spacing w:line="360" w:lineRule="auto"/>
        <w:ind w:firstLine="435"/>
        <w:rPr>
          <w:rFonts w:hint="eastAsia" w:ascii="宋体" w:hAnsi="宋体" w:eastAsia="宋体"/>
          <w:sz w:val="24"/>
        </w:rPr>
      </w:pPr>
      <w:r>
        <w:rPr>
          <w:rFonts w:hint="eastAsia" w:ascii="宋体" w:hAnsi="宋体" w:eastAsia="宋体"/>
          <w:sz w:val="24"/>
        </w:rPr>
        <w:t>31.2质疑投标人应按照财政部制定的《政府采购投标人质疑函范本》格式（详见招标文件）和《政府采购质疑和投诉办法》的要求，在法定质疑期内以书面形式提出质疑，超出法定质疑期提交的质疑将被拒绝。针对同一采购程序环节的质疑应一次性提出。</w:t>
      </w:r>
    </w:p>
    <w:p w14:paraId="5B4EE0FB">
      <w:pPr>
        <w:spacing w:line="360" w:lineRule="auto"/>
        <w:ind w:firstLine="435"/>
        <w:rPr>
          <w:rFonts w:hint="eastAsia" w:ascii="宋体" w:hAnsi="宋体" w:eastAsia="宋体"/>
          <w:sz w:val="24"/>
        </w:rPr>
      </w:pPr>
      <w:r>
        <w:rPr>
          <w:rFonts w:hint="eastAsia" w:ascii="宋体" w:hAnsi="宋体" w:eastAsia="宋体"/>
          <w:sz w:val="24"/>
        </w:rPr>
        <w:t>31.3采购代理机构质疑函接收部门、联系电话和通讯地址，见</w:t>
      </w:r>
      <w:r>
        <w:rPr>
          <w:rFonts w:hint="eastAsia" w:ascii="宋体" w:hAnsi="宋体" w:eastAsia="宋体"/>
          <w:sz w:val="24"/>
          <w:u w:val="single"/>
        </w:rPr>
        <w:t>投标人须知前附表</w:t>
      </w:r>
      <w:r>
        <w:rPr>
          <w:rFonts w:hint="eastAsia" w:ascii="宋体" w:hAnsi="宋体" w:eastAsia="宋体"/>
          <w:sz w:val="24"/>
        </w:rPr>
        <w:t>。</w:t>
      </w:r>
    </w:p>
    <w:p w14:paraId="7C19D3A6">
      <w:pPr>
        <w:spacing w:line="360" w:lineRule="auto"/>
        <w:ind w:firstLine="435"/>
        <w:rPr>
          <w:rFonts w:hint="eastAsia" w:ascii="宋体" w:hAnsi="宋体" w:eastAsia="宋体"/>
          <w:sz w:val="24"/>
        </w:rPr>
      </w:pPr>
      <w:r>
        <w:rPr>
          <w:rFonts w:hint="eastAsia" w:ascii="宋体" w:hAnsi="宋体" w:eastAsia="宋体"/>
          <w:sz w:val="24"/>
        </w:rPr>
        <w:t>注：上述条款中所要求的书面形式包含通过电子交易系统递交方式。</w:t>
      </w:r>
    </w:p>
    <w:p w14:paraId="05D978AD">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32</w:t>
      </w:r>
      <w:r>
        <w:rPr>
          <w:rFonts w:asciiTheme="minorEastAsia" w:hAnsiTheme="minorEastAsia" w:eastAsiaTheme="minorEastAsia"/>
          <w:b/>
          <w:sz w:val="24"/>
        </w:rPr>
        <w:t>.</w:t>
      </w:r>
      <w:r>
        <w:rPr>
          <w:rFonts w:hint="eastAsia" w:asciiTheme="minorEastAsia" w:hAnsiTheme="minorEastAsia" w:eastAsiaTheme="minorEastAsia"/>
          <w:b/>
          <w:sz w:val="24"/>
        </w:rPr>
        <w:t>需要补充的其他内容</w:t>
      </w:r>
    </w:p>
    <w:p w14:paraId="02F7319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需要补充的其他内容，见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6035E576">
      <w:pPr>
        <w:widowControl/>
        <w:jc w:val="left"/>
        <w:rPr>
          <w:rFonts w:hint="eastAsia" w:asciiTheme="minorEastAsia" w:hAnsiTheme="minorEastAsia" w:eastAsiaTheme="minorEastAsia"/>
          <w:b/>
          <w:sz w:val="28"/>
        </w:rPr>
      </w:pPr>
      <w:r>
        <w:rPr>
          <w:rFonts w:asciiTheme="minorEastAsia" w:hAnsiTheme="minorEastAsia" w:eastAsiaTheme="minorEastAsia"/>
          <w:sz w:val="24"/>
        </w:rPr>
        <w:br w:type="page"/>
      </w:r>
    </w:p>
    <w:p w14:paraId="0EB0D2E3">
      <w:pPr>
        <w:numPr>
          <w:ilvl w:val="0"/>
          <w:numId w:val="1"/>
        </w:numPr>
        <w:spacing w:line="360" w:lineRule="auto"/>
        <w:jc w:val="center"/>
        <w:outlineLvl w:val="0"/>
        <w:rPr>
          <w:rFonts w:hint="eastAsia" w:asciiTheme="minorEastAsia" w:hAnsiTheme="minorEastAsia" w:eastAsiaTheme="minorEastAsia"/>
          <w:b/>
          <w:sz w:val="28"/>
        </w:rPr>
      </w:pPr>
      <w:bookmarkStart w:id="31" w:name="_Toc22605"/>
      <w:r>
        <w:rPr>
          <w:rFonts w:hint="eastAsia" w:asciiTheme="minorEastAsia" w:hAnsiTheme="minorEastAsia" w:eastAsiaTheme="minorEastAsia"/>
          <w:b/>
          <w:sz w:val="28"/>
        </w:rPr>
        <w:t>采购需求</w:t>
      </w:r>
      <w:bookmarkEnd w:id="31"/>
    </w:p>
    <w:p w14:paraId="309711FA">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前注：</w:t>
      </w:r>
    </w:p>
    <w:p w14:paraId="2E99708C">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1.本采购需求中提出的服务方案仅为参考，如无明确限制，投标人可以进行优化，提供满足采购人实际需要的更优（或者性能实质上不低于的）服务方案，且此方案须经评标委员会评审认可。</w:t>
      </w:r>
    </w:p>
    <w:p w14:paraId="4F7F84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2.下列采购需求中：</w:t>
      </w:r>
    </w:p>
    <w:p w14:paraId="6A1298B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678E4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6DFAB19">
      <w:pPr>
        <w:spacing w:line="360" w:lineRule="auto"/>
        <w:ind w:firstLine="480" w:firstLineChars="200"/>
        <w:rPr>
          <w:rFonts w:hint="eastAsia" w:ascii="宋体" w:hAnsi="宋体" w:eastAsia="宋体"/>
          <w:bCs/>
          <w:sz w:val="24"/>
          <w:szCs w:val="18"/>
        </w:rPr>
      </w:pPr>
      <w:r>
        <w:rPr>
          <w:rFonts w:hint="eastAsia" w:ascii="宋体" w:hAnsi="宋体" w:eastAsia="宋体" w:cs="宋体"/>
          <w:sz w:val="24"/>
          <w:szCs w:val="24"/>
        </w:rPr>
        <w:t>3.如采购人允许采用分包方式履行合同的，应当明确可以分包履行的相关内容。</w:t>
      </w:r>
    </w:p>
    <w:p w14:paraId="0DB3A9D7">
      <w:pPr>
        <w:spacing w:line="360" w:lineRule="auto"/>
        <w:ind w:firstLine="437"/>
        <w:outlineLvl w:val="1"/>
        <w:rPr>
          <w:rFonts w:hint="eastAsia" w:ascii="宋体" w:hAnsi="宋体" w:eastAsia="宋体"/>
          <w:b/>
          <w:sz w:val="24"/>
          <w:szCs w:val="18"/>
        </w:rPr>
      </w:pPr>
      <w:bookmarkStart w:id="32" w:name="_Hlk16461016"/>
      <w:bookmarkStart w:id="33" w:name="_Hlk23621890"/>
      <w:bookmarkStart w:id="34" w:name="_Hlk212576051"/>
      <w:r>
        <w:rPr>
          <w:rFonts w:hint="eastAsia" w:ascii="宋体" w:hAnsi="宋体" w:eastAsia="宋体"/>
          <w:b/>
          <w:sz w:val="24"/>
          <w:szCs w:val="18"/>
        </w:rPr>
        <w:t>一、采购需求前附表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546F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08742B8">
            <w:pPr>
              <w:pStyle w:val="34"/>
              <w:pBdr>
                <w:bottom w:val="none" w:color="auto" w:sz="0" w:space="0"/>
              </w:pBdr>
              <w:tabs>
                <w:tab w:val="clear" w:pos="4153"/>
                <w:tab w:val="clear" w:pos="8306"/>
              </w:tabs>
              <w:adjustRightInd/>
              <w:spacing w:line="240" w:lineRule="auto"/>
              <w:textAlignment w:val="auto"/>
              <w:rPr>
                <w:rFonts w:hint="eastAsia" w:ascii="宋体" w:hAnsi="宋体" w:eastAsia="宋体"/>
                <w:b/>
                <w:kern w:val="2"/>
              </w:rPr>
            </w:pPr>
            <w:r>
              <w:rPr>
                <w:rFonts w:hint="eastAsia" w:ascii="宋体" w:hAnsi="宋体" w:eastAsia="宋体"/>
                <w:b/>
                <w:kern w:val="2"/>
              </w:rPr>
              <w:t>序号</w:t>
            </w:r>
          </w:p>
        </w:tc>
        <w:tc>
          <w:tcPr>
            <w:tcW w:w="1192" w:type="pct"/>
            <w:vAlign w:val="center"/>
          </w:tcPr>
          <w:p w14:paraId="20176DBA">
            <w:pPr>
              <w:pStyle w:val="3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条款名称</w:t>
            </w:r>
          </w:p>
        </w:tc>
        <w:tc>
          <w:tcPr>
            <w:tcW w:w="3217" w:type="pct"/>
            <w:vAlign w:val="center"/>
          </w:tcPr>
          <w:p w14:paraId="3DD94D17">
            <w:pPr>
              <w:pStyle w:val="3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内容、说明与要求</w:t>
            </w:r>
          </w:p>
        </w:tc>
      </w:tr>
      <w:tr w14:paraId="5D69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B1D6814">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p>
        </w:tc>
        <w:tc>
          <w:tcPr>
            <w:tcW w:w="1192" w:type="pct"/>
            <w:vAlign w:val="center"/>
          </w:tcPr>
          <w:p w14:paraId="422EA141">
            <w:pPr>
              <w:pStyle w:val="33"/>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付款方式</w:t>
            </w:r>
          </w:p>
        </w:tc>
        <w:tc>
          <w:tcPr>
            <w:tcW w:w="3217" w:type="pct"/>
            <w:vAlign w:val="center"/>
          </w:tcPr>
          <w:p w14:paraId="7D7A7509">
            <w:pPr>
              <w:pStyle w:val="33"/>
              <w:widowControl w:val="0"/>
              <w:spacing w:before="0" w:beforeAutospacing="0" w:after="0" w:afterAutospacing="0" w:line="360" w:lineRule="auto"/>
              <w:jc w:val="left"/>
              <w:rPr>
                <w:rFonts w:hint="eastAsia" w:ascii="宋体" w:hAnsi="宋体" w:eastAsia="宋体"/>
                <w:b w:val="0"/>
                <w:sz w:val="24"/>
                <w:szCs w:val="24"/>
              </w:rPr>
            </w:pPr>
            <w:r>
              <w:rPr>
                <w:rFonts w:hint="eastAsia" w:ascii="宋体" w:hAnsi="宋体" w:eastAsia="宋体"/>
                <w:b w:val="0"/>
                <w:sz w:val="24"/>
                <w:szCs w:val="24"/>
              </w:rPr>
              <w:t>（1）乙方提交专利导航通过专家审查，完成新街二矿副井、东回风井光纤光栅式监测系统建设，并通过阶段验收后，支付合同款的30%。</w:t>
            </w:r>
          </w:p>
          <w:p w14:paraId="353C29D9">
            <w:pPr>
              <w:pStyle w:val="33"/>
              <w:widowControl w:val="0"/>
              <w:spacing w:before="0" w:beforeAutospacing="0" w:after="0" w:afterAutospacing="0" w:line="360" w:lineRule="auto"/>
              <w:jc w:val="left"/>
              <w:rPr>
                <w:rFonts w:hint="eastAsia" w:ascii="宋体" w:hAnsi="宋体" w:eastAsia="宋体"/>
                <w:b w:val="0"/>
                <w:sz w:val="24"/>
                <w:szCs w:val="24"/>
              </w:rPr>
            </w:pPr>
            <w:r>
              <w:rPr>
                <w:rFonts w:hint="eastAsia" w:ascii="宋体" w:hAnsi="宋体" w:eastAsia="宋体"/>
                <w:b w:val="0"/>
                <w:sz w:val="24"/>
                <w:szCs w:val="24"/>
              </w:rPr>
              <w:t>（2）乙方提交新街二矿副井、东风井井壁监测关键技术研究及应用成果报告，并通过阶段验收后，支付合同价款的20%。</w:t>
            </w:r>
          </w:p>
          <w:p w14:paraId="43351463">
            <w:pPr>
              <w:pStyle w:val="33"/>
              <w:widowControl w:val="0"/>
              <w:spacing w:before="0" w:beforeAutospacing="0" w:after="0" w:afterAutospacing="0" w:line="360" w:lineRule="auto"/>
              <w:jc w:val="left"/>
              <w:rPr>
                <w:rFonts w:hint="eastAsia" w:ascii="宋体" w:hAnsi="宋体" w:eastAsia="宋体"/>
                <w:b w:val="0"/>
                <w:sz w:val="24"/>
                <w:szCs w:val="24"/>
              </w:rPr>
            </w:pPr>
            <w:r>
              <w:rPr>
                <w:rFonts w:hint="eastAsia" w:ascii="宋体" w:hAnsi="宋体" w:eastAsia="宋体"/>
                <w:b w:val="0"/>
                <w:sz w:val="24"/>
                <w:szCs w:val="24"/>
              </w:rPr>
              <w:t>（3）乙方完成全部研究内容，完成专利受理、论文录用，协助甲方团标立项，通过阶段验收后，支付合同价款的10%。</w:t>
            </w:r>
          </w:p>
          <w:p w14:paraId="07F21D57">
            <w:pPr>
              <w:pStyle w:val="33"/>
              <w:widowControl w:val="0"/>
              <w:spacing w:before="0" w:beforeAutospacing="0" w:after="0" w:afterAutospacing="0" w:line="360" w:lineRule="auto"/>
              <w:jc w:val="left"/>
              <w:rPr>
                <w:rFonts w:hint="eastAsia" w:ascii="宋体" w:hAnsi="宋体" w:eastAsia="宋体"/>
                <w:b w:val="0"/>
                <w:sz w:val="24"/>
                <w:szCs w:val="24"/>
              </w:rPr>
            </w:pPr>
            <w:r>
              <w:rPr>
                <w:rFonts w:hint="eastAsia" w:ascii="宋体" w:hAnsi="宋体" w:eastAsia="宋体"/>
                <w:b w:val="0"/>
                <w:sz w:val="24"/>
                <w:szCs w:val="24"/>
              </w:rPr>
              <w:t>（4）乙方完成全部专利授权、论文见刊，结算合同价款10%的知识产权保证金。</w:t>
            </w:r>
          </w:p>
          <w:p w14:paraId="1EF7DCC3">
            <w:pPr>
              <w:pStyle w:val="33"/>
              <w:widowControl w:val="0"/>
              <w:spacing w:before="0" w:beforeAutospacing="0" w:after="0" w:afterAutospacing="0" w:line="360" w:lineRule="auto"/>
              <w:jc w:val="left"/>
              <w:rPr>
                <w:rFonts w:hint="eastAsia" w:ascii="宋体" w:hAnsi="宋体" w:eastAsia="宋体"/>
                <w:b w:val="0"/>
                <w:sz w:val="24"/>
                <w:szCs w:val="24"/>
              </w:rPr>
            </w:pPr>
            <w:r>
              <w:rPr>
                <w:rFonts w:hint="eastAsia" w:ascii="宋体" w:hAnsi="宋体" w:eastAsia="宋体"/>
                <w:b w:val="0"/>
                <w:sz w:val="24"/>
                <w:szCs w:val="24"/>
              </w:rPr>
              <w:t>（5）乙方协助申报省部级/协会科技进步1等奖项后结算合同价款的10%。</w:t>
            </w:r>
          </w:p>
          <w:p w14:paraId="0E9C8D63">
            <w:pPr>
              <w:pStyle w:val="33"/>
              <w:widowControl w:val="0"/>
              <w:spacing w:before="0" w:beforeAutospacing="0" w:after="0" w:afterAutospacing="0" w:line="360" w:lineRule="auto"/>
              <w:jc w:val="left"/>
              <w:rPr>
                <w:rFonts w:hint="eastAsia" w:ascii="宋体" w:hAnsi="宋体" w:eastAsia="宋体"/>
                <w:b w:val="0"/>
                <w:sz w:val="24"/>
                <w:szCs w:val="24"/>
              </w:rPr>
            </w:pPr>
            <w:r>
              <w:rPr>
                <w:rFonts w:hint="eastAsia" w:ascii="宋体" w:hAnsi="宋体" w:eastAsia="宋体"/>
                <w:b w:val="0"/>
                <w:sz w:val="24"/>
                <w:szCs w:val="24"/>
              </w:rPr>
              <w:t>（6）合同签订后中标方须为招标方提供10年监测系统服务。第1~3年服务期结束后，乙方完成监测系统构及井筒建设技术指导，研发成果不存在缺陷且符合合同约定要求，提供本项目研究成果后，结算合同价款的10%。</w:t>
            </w:r>
          </w:p>
          <w:p w14:paraId="6BCC6B22">
            <w:pPr>
              <w:pStyle w:val="33"/>
              <w:widowControl w:val="0"/>
              <w:spacing w:before="0" w:beforeAutospacing="0" w:after="0" w:afterAutospacing="0" w:line="360" w:lineRule="auto"/>
              <w:jc w:val="left"/>
              <w:rPr>
                <w:rFonts w:hint="eastAsia" w:ascii="宋体" w:hAnsi="宋体" w:eastAsia="宋体"/>
                <w:b w:val="0"/>
                <w:sz w:val="24"/>
                <w:szCs w:val="24"/>
              </w:rPr>
            </w:pPr>
            <w:r>
              <w:rPr>
                <w:rFonts w:hint="eastAsia" w:ascii="宋体" w:hAnsi="宋体" w:eastAsia="宋体"/>
                <w:b w:val="0"/>
                <w:sz w:val="24"/>
                <w:szCs w:val="24"/>
              </w:rPr>
              <w:t>（7）第4~10年服务期结束后，经验收合格，支付剩余合同款。</w:t>
            </w:r>
          </w:p>
        </w:tc>
      </w:tr>
      <w:tr w14:paraId="3D48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9AB9FD0">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1192" w:type="pct"/>
            <w:vAlign w:val="center"/>
          </w:tcPr>
          <w:p w14:paraId="081EB1ED">
            <w:pPr>
              <w:pStyle w:val="33"/>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服务地点</w:t>
            </w:r>
          </w:p>
        </w:tc>
        <w:tc>
          <w:tcPr>
            <w:tcW w:w="3217" w:type="pct"/>
            <w:vAlign w:val="center"/>
          </w:tcPr>
          <w:p w14:paraId="1C9C8FE4">
            <w:pPr>
              <w:pStyle w:val="33"/>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服务地点为新街能源有限公司一矿、二矿。</w:t>
            </w:r>
          </w:p>
        </w:tc>
      </w:tr>
      <w:tr w14:paraId="6EDA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ECEA0C9">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1192" w:type="pct"/>
            <w:vAlign w:val="center"/>
          </w:tcPr>
          <w:p w14:paraId="47FAF917">
            <w:pPr>
              <w:pStyle w:val="33"/>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服务期限</w:t>
            </w:r>
          </w:p>
        </w:tc>
        <w:tc>
          <w:tcPr>
            <w:tcW w:w="3217" w:type="pct"/>
            <w:vAlign w:val="center"/>
          </w:tcPr>
          <w:p w14:paraId="0232B86F">
            <w:pPr>
              <w:pStyle w:val="33"/>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szCs w:val="24"/>
              </w:rPr>
              <w:t>10年。</w:t>
            </w:r>
          </w:p>
        </w:tc>
      </w:tr>
      <w:tr w14:paraId="4430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06FC1ED">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4</w:t>
            </w:r>
          </w:p>
        </w:tc>
        <w:tc>
          <w:tcPr>
            <w:tcW w:w="1192" w:type="pct"/>
            <w:vAlign w:val="center"/>
          </w:tcPr>
          <w:p w14:paraId="1A6F80EF">
            <w:pPr>
              <w:pStyle w:val="33"/>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本项目采购标的名称及所属行业</w:t>
            </w:r>
          </w:p>
        </w:tc>
        <w:tc>
          <w:tcPr>
            <w:tcW w:w="3217" w:type="pct"/>
            <w:vAlign w:val="center"/>
          </w:tcPr>
          <w:p w14:paraId="42B21083">
            <w:pPr>
              <w:spacing w:line="360" w:lineRule="auto"/>
              <w:jc w:val="left"/>
              <w:rPr>
                <w:rFonts w:hint="eastAsia" w:ascii="宋体" w:hAnsi="宋体" w:eastAsiaTheme="minorEastAsia"/>
                <w:sz w:val="24"/>
                <w:u w:val="single"/>
              </w:rPr>
            </w:pPr>
            <w:r>
              <w:rPr>
                <w:rFonts w:hint="eastAsia" w:asciiTheme="minorEastAsia" w:hAnsiTheme="minorEastAsia" w:eastAsiaTheme="minorEastAsia"/>
                <w:sz w:val="24"/>
              </w:rPr>
              <w:t>标的名称：安徽理工大学2025年鄂尔多斯盆地深大冻结井筒井壁监测与结构优化关键技术研究及应用科研外协服务项目</w:t>
            </w:r>
          </w:p>
        </w:tc>
      </w:tr>
      <w:tr w14:paraId="69C5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3" w:type="dxa"/>
            <w:vAlign w:val="center"/>
          </w:tcPr>
          <w:p w14:paraId="0E0F3283">
            <w:pPr>
              <w:pStyle w:val="34"/>
              <w:pBdr>
                <w:bottom w:val="none" w:color="auto" w:sz="0" w:space="0"/>
              </w:pBdr>
              <w:tabs>
                <w:tab w:val="clear" w:pos="4153"/>
                <w:tab w:val="clear" w:pos="8306"/>
              </w:tabs>
              <w:adjustRightInd/>
              <w:spacing w:line="440" w:lineRule="exact"/>
              <w:textAlignment w:val="auto"/>
              <w:rPr>
                <w:rFonts w:hint="eastAsia" w:ascii="宋体" w:hAnsi="宋体" w:eastAsia="宋体"/>
                <w:bCs/>
                <w:kern w:val="2"/>
              </w:rPr>
            </w:pPr>
            <w:r>
              <w:rPr>
                <w:rFonts w:hint="eastAsia" w:ascii="宋体" w:hAnsi="宋体" w:eastAsia="宋体" w:cs="宋体"/>
                <w:bCs/>
                <w:kern w:val="2"/>
              </w:rPr>
              <w:t>5</w:t>
            </w:r>
          </w:p>
        </w:tc>
        <w:tc>
          <w:tcPr>
            <w:tcW w:w="2228" w:type="dxa"/>
            <w:vAlign w:val="center"/>
          </w:tcPr>
          <w:p w14:paraId="78118A27">
            <w:pPr>
              <w:pStyle w:val="33"/>
              <w:widowControl w:val="0"/>
              <w:spacing w:before="0" w:beforeAutospacing="0" w:after="0" w:afterAutospacing="0" w:line="440" w:lineRule="exact"/>
              <w:rPr>
                <w:rFonts w:hint="eastAsia" w:ascii="宋体" w:hAnsi="宋体" w:eastAsia="宋体"/>
                <w:b w:val="0"/>
                <w:sz w:val="24"/>
              </w:rPr>
            </w:pPr>
            <w:r>
              <w:rPr>
                <w:rFonts w:hint="eastAsia" w:ascii="宋体" w:hAnsi="宋体" w:eastAsia="宋体" w:cs="宋体"/>
                <w:b w:val="0"/>
                <w:sz w:val="24"/>
              </w:rPr>
              <w:t>所属行业</w:t>
            </w:r>
          </w:p>
        </w:tc>
        <w:tc>
          <w:tcPr>
            <w:tcW w:w="6014" w:type="dxa"/>
            <w:vAlign w:val="center"/>
          </w:tcPr>
          <w:p w14:paraId="53EDEDB5">
            <w:pPr>
              <w:spacing w:line="360" w:lineRule="auto"/>
              <w:jc w:val="center"/>
              <w:rPr>
                <w:rFonts w:hint="eastAsia" w:asciiTheme="minorEastAsia" w:hAnsiTheme="minorEastAsia" w:eastAsiaTheme="minorEastAsia"/>
                <w:b/>
                <w:bCs/>
                <w:sz w:val="24"/>
                <w:highlight w:val="yellow"/>
              </w:rPr>
            </w:pPr>
            <w:r>
              <w:rPr>
                <w:rFonts w:hint="eastAsia" w:ascii="宋体" w:hAnsi="宋体" w:eastAsia="宋体" w:cs="宋体"/>
                <w:bCs/>
                <w:sz w:val="24"/>
                <w:szCs w:val="24"/>
              </w:rPr>
              <w:t>其它未列明行业</w:t>
            </w:r>
          </w:p>
        </w:tc>
      </w:tr>
      <w:bookmarkEnd w:id="32"/>
      <w:bookmarkEnd w:id="33"/>
    </w:tbl>
    <w:p w14:paraId="48F11CAF">
      <w:pPr>
        <w:pStyle w:val="9"/>
        <w:rPr>
          <w:rFonts w:hint="eastAsia"/>
          <w:bCs/>
        </w:rPr>
      </w:pPr>
    </w:p>
    <w:bookmarkEnd w:id="34"/>
    <w:p w14:paraId="64E638F8">
      <w:pPr>
        <w:spacing w:line="360" w:lineRule="auto"/>
        <w:ind w:firstLine="437"/>
        <w:outlineLvl w:val="1"/>
        <w:rPr>
          <w:rFonts w:hint="eastAsia"/>
          <w:bCs/>
        </w:rPr>
      </w:pPr>
      <w:bookmarkStart w:id="35" w:name="_Hlk212576002"/>
      <w:r>
        <w:rPr>
          <w:rFonts w:hint="eastAsia" w:ascii="宋体" w:hAnsi="宋体" w:eastAsia="宋体"/>
          <w:b/>
          <w:sz w:val="24"/>
          <w:szCs w:val="18"/>
        </w:rPr>
        <w:t>二、服务要求：</w:t>
      </w:r>
    </w:p>
    <w:p w14:paraId="6F24624D">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1、科研外协服务</w:t>
      </w:r>
    </w:p>
    <w:p w14:paraId="61DC0680">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（1）研究多物理场耦合作用下井筒-光纤耦合作用关系及数据解耦方法，揭示井筒井壁与光纤协同变形机理</w:t>
      </w:r>
    </w:p>
    <w:p w14:paraId="50F2574F">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1）研究井筒施工阶段植入式光纤与井筒间的耦合作用关系；</w:t>
      </w:r>
    </w:p>
    <w:p w14:paraId="7C0C405F">
      <w:pPr>
        <w:spacing w:line="360" w:lineRule="auto"/>
        <w:jc w:val="left"/>
        <w:rPr>
          <w:rFonts w:hint="eastAsia" w:asciiTheme="minorEastAsia" w:hAnsiTheme="minorEastAsia" w:eastAsiaTheme="minorEastAsia"/>
          <w:b/>
          <w:bCs/>
          <w:sz w:val="24"/>
        </w:rPr>
      </w:pPr>
      <w:r>
        <w:rPr>
          <w:rFonts w:hint="eastAsia" w:ascii="宋体" w:hAnsi="宋体" w:eastAsia="宋体" w:cs="宋体"/>
          <w:szCs w:val="21"/>
        </w:rPr>
        <w:t>★</w:t>
      </w:r>
      <w:r>
        <w:rPr>
          <w:rFonts w:hint="eastAsia" w:asciiTheme="minorEastAsia" w:hAnsiTheme="minorEastAsia" w:eastAsiaTheme="minorEastAsia"/>
          <w:sz w:val="24"/>
        </w:rPr>
        <w:t>2）提出多物理场耦合作用下光纤数据解耦方法，建立光纤监测数据与井筒物理参量的对应关系，实现井筒受力变形物理参量高精度响应。</w:t>
      </w:r>
      <w:r>
        <w:rPr>
          <w:rFonts w:hint="eastAsia" w:asciiTheme="minorEastAsia" w:hAnsiTheme="minorEastAsia" w:eastAsiaTheme="minorEastAsia"/>
          <w:b/>
          <w:bCs/>
          <w:sz w:val="24"/>
        </w:rPr>
        <w:t>须提供投标团队有关光纤监测数据处理相关算法和公式截图。</w:t>
      </w:r>
    </w:p>
    <w:p w14:paraId="7D0E7212">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3）研究井筒井壁-光纤传感器应变传递关系，揭示井筒井壁与光纤协同变形机理</w:t>
      </w:r>
    </w:p>
    <w:p w14:paraId="2E3B1C98">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（2）井筒光纤多参量动态监测表征模型、破坏机理与光纤监测数据反演研究</w:t>
      </w:r>
    </w:p>
    <w:p w14:paraId="2CC4B708">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1）建立基于光纤演化特征的井筒变形表征方法，揭示井筒变形破坏机理并确定预警阈值；</w:t>
      </w:r>
    </w:p>
    <w:p w14:paraId="11AE7025">
      <w:pPr>
        <w:spacing w:line="360" w:lineRule="auto"/>
        <w:jc w:val="left"/>
        <w:rPr>
          <w:rFonts w:hint="eastAsia" w:asciiTheme="minorEastAsia" w:hAnsiTheme="minorEastAsia" w:eastAsiaTheme="minorEastAsia"/>
          <w:sz w:val="24"/>
        </w:rPr>
      </w:pPr>
      <w:r>
        <w:rPr>
          <w:rFonts w:hint="eastAsia" w:ascii="宋体" w:hAnsi="宋体" w:eastAsia="宋体" w:cs="宋体"/>
          <w:szCs w:val="21"/>
        </w:rPr>
        <w:t>★</w:t>
      </w:r>
      <w:r>
        <w:rPr>
          <w:rFonts w:hint="eastAsia" w:asciiTheme="minorEastAsia" w:hAnsiTheme="minorEastAsia" w:eastAsiaTheme="minorEastAsia"/>
          <w:sz w:val="24"/>
        </w:rPr>
        <w:t>2）研究井筒植入式光纤传感器布设工艺；研发保障监测元件高存活率、强抗干扰性与长时稳定性的综合保障技术，实现全寿命周期可靠预警。</w:t>
      </w:r>
      <w:r>
        <w:rPr>
          <w:rFonts w:hint="eastAsia" w:asciiTheme="minorEastAsia" w:hAnsiTheme="minorEastAsia" w:eastAsiaTheme="minorEastAsia"/>
          <w:b/>
          <w:bCs/>
          <w:sz w:val="24"/>
        </w:rPr>
        <w:t>须提供投标团队有关光纤传感器提高稳定性相关算法和公式截图。</w:t>
      </w:r>
    </w:p>
    <w:p w14:paraId="6C1104CB">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（3）冻结法施工光纤植入工艺优化与全寿命周期监测系统可靠性保障体系</w:t>
      </w:r>
    </w:p>
    <w:p w14:paraId="63F1D947">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1）攻克冻结期超低温、掘砌期高扰动环境下光纤传感器高存活率植入工艺；</w:t>
      </w:r>
    </w:p>
    <w:p w14:paraId="50296A9C">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2）建立成井后运行期多层级防护与风险管控机制；</w:t>
      </w:r>
    </w:p>
    <w:p w14:paraId="5FEBB923">
      <w:pPr>
        <w:spacing w:line="360" w:lineRule="auto"/>
        <w:jc w:val="left"/>
        <w:rPr>
          <w:rFonts w:hint="eastAsia" w:asciiTheme="minorEastAsia" w:hAnsiTheme="minorEastAsia" w:eastAsiaTheme="minorEastAsia"/>
          <w:sz w:val="24"/>
        </w:rPr>
      </w:pPr>
      <w:r>
        <w:rPr>
          <w:rFonts w:hint="eastAsia" w:ascii="宋体" w:hAnsi="宋体" w:eastAsia="宋体" w:cs="宋体"/>
          <w:szCs w:val="21"/>
        </w:rPr>
        <w:t>★</w:t>
      </w:r>
      <w:r>
        <w:rPr>
          <w:rFonts w:hint="eastAsia" w:asciiTheme="minorEastAsia" w:hAnsiTheme="minorEastAsia" w:eastAsiaTheme="minorEastAsia"/>
          <w:sz w:val="24"/>
        </w:rPr>
        <w:t>3）制定覆盖光纤监测系统设计、施工、运维全链条的协同保障措施，确保光纤监测系统长时稳定可靠。</w:t>
      </w:r>
      <w:r>
        <w:rPr>
          <w:rFonts w:hint="eastAsia" w:asciiTheme="minorEastAsia" w:hAnsiTheme="minorEastAsia" w:eastAsiaTheme="minorEastAsia"/>
          <w:b/>
          <w:bCs/>
          <w:sz w:val="24"/>
        </w:rPr>
        <w:t>须提供投标团队有关光纤传感器优化或者提高监测系统可靠性相关算法和公式截图。</w:t>
      </w:r>
    </w:p>
    <w:p w14:paraId="712A6514">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（4）井筒及硐室群多尺度灾变光纤感知网络构建与多场耦合智能预警系统</w:t>
      </w:r>
    </w:p>
    <w:p w14:paraId="0274A9A7">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1）以新井二井副井、东风井2个井筒为监测对象，按设计要求埋深监测传感器；</w:t>
      </w:r>
    </w:p>
    <w:p w14:paraId="509D2909">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2）研发覆盖井筒井壁损伤萌生至宏观变形全过程的分布式光纤感知网络，并布局优化技术</w:t>
      </w:r>
    </w:p>
    <w:p w14:paraId="383C0F0C">
      <w:pPr>
        <w:spacing w:line="360" w:lineRule="auto"/>
        <w:jc w:val="left"/>
        <w:rPr>
          <w:rFonts w:hint="eastAsia" w:asciiTheme="minorEastAsia" w:hAnsiTheme="minorEastAsia" w:eastAsiaTheme="minorEastAsia"/>
          <w:sz w:val="24"/>
        </w:rPr>
      </w:pPr>
      <w:r>
        <w:rPr>
          <w:rFonts w:hint="eastAsia" w:ascii="宋体" w:hAnsi="宋体" w:eastAsia="宋体" w:cs="宋体"/>
          <w:szCs w:val="21"/>
        </w:rPr>
        <w:t>★</w:t>
      </w:r>
      <w:r>
        <w:rPr>
          <w:rFonts w:hint="eastAsia" w:asciiTheme="minorEastAsia" w:hAnsiTheme="minorEastAsia" w:eastAsiaTheme="minorEastAsia"/>
          <w:sz w:val="24"/>
        </w:rPr>
        <w:t>3）突破光纤海量多参量数据的实时监测处理与特征提取瓶颈，建立融合多物理场耦合机制的灾变演化光纤表征模型及动态预警阈值设定方法，实现硐室群灾变过程的精准感知与智能预警。</w:t>
      </w:r>
      <w:r>
        <w:rPr>
          <w:rFonts w:hint="eastAsia" w:asciiTheme="minorEastAsia" w:hAnsiTheme="minorEastAsia" w:eastAsiaTheme="minorEastAsia"/>
          <w:b/>
          <w:bCs/>
          <w:sz w:val="24"/>
        </w:rPr>
        <w:t>须提供投标团队有关光纤传感器对于地下工程灾害预警相关算法和公式截图。</w:t>
      </w:r>
    </w:p>
    <w:p w14:paraId="731A027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2、详细监测方案</w:t>
      </w:r>
    </w:p>
    <w:p w14:paraId="47DE9263">
      <w:pPr>
        <w:spacing w:line="360" w:lineRule="auto"/>
        <w:ind w:firstLine="420"/>
        <w:jc w:val="left"/>
        <w:rPr>
          <w:rFonts w:hint="eastAsia" w:asciiTheme="minorEastAsia" w:hAnsiTheme="minorEastAsia" w:eastAsiaTheme="minorEastAsia"/>
          <w:sz w:val="24"/>
        </w:rPr>
      </w:pPr>
      <w:r>
        <w:rPr>
          <w:rFonts w:hint="eastAsia" w:asciiTheme="minorEastAsia" w:hAnsiTheme="minorEastAsia" w:eastAsiaTheme="minorEastAsia"/>
          <w:sz w:val="24"/>
        </w:rPr>
        <w:t>开展2条井筒光纤光栅式监测，须提出每个井筒详细监测方案，包括并不限于以下内容：</w:t>
      </w:r>
    </w:p>
    <w:p w14:paraId="40A2A81F">
      <w:pPr>
        <w:spacing w:line="360" w:lineRule="auto"/>
        <w:jc w:val="left"/>
        <w:rPr>
          <w:rFonts w:hint="eastAsia" w:asciiTheme="minorEastAsia" w:hAnsiTheme="minorEastAsia" w:eastAsiaTheme="minorEastAsia"/>
          <w:sz w:val="24"/>
        </w:rPr>
      </w:pPr>
      <w:r>
        <w:rPr>
          <w:rFonts w:hint="eastAsia" w:ascii="宋体" w:hAnsi="宋体" w:eastAsia="宋体" w:cs="宋体"/>
          <w:szCs w:val="21"/>
        </w:rPr>
        <w:t>★</w:t>
      </w:r>
      <w:r>
        <w:rPr>
          <w:rFonts w:hint="eastAsia" w:asciiTheme="minorEastAsia" w:hAnsiTheme="minorEastAsia" w:eastAsiaTheme="minorEastAsia"/>
          <w:sz w:val="24"/>
        </w:rPr>
        <w:t>（1）井筒监测传感器布置图及功能说明；须给出新街二矿副立井、东回风井的详细监测方案及传感器布置图；</w:t>
      </w:r>
    </w:p>
    <w:p w14:paraId="3B188408">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（2）新街二矿副井、东风井每个井筒外壁监测层位不少于3层、内壁和壁座监测层位不少于6层、马头门监测层位不少于2层；</w:t>
      </w:r>
    </w:p>
    <w:p w14:paraId="368DE76C">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（3）明确采用光纤光栅监测方式；</w:t>
      </w:r>
    </w:p>
    <w:p w14:paraId="7CF3DCC4">
      <w:pPr>
        <w:spacing w:line="360" w:lineRule="auto"/>
        <w:jc w:val="left"/>
        <w:rPr>
          <w:rFonts w:hint="eastAsia" w:asciiTheme="minorEastAsia" w:hAnsiTheme="minorEastAsia" w:eastAsiaTheme="minorEastAsia"/>
          <w:sz w:val="24"/>
        </w:rPr>
      </w:pPr>
      <w:r>
        <w:rPr>
          <w:rFonts w:hint="eastAsia" w:ascii="宋体" w:hAnsi="宋体" w:eastAsia="宋体" w:cs="宋体"/>
          <w:szCs w:val="21"/>
        </w:rPr>
        <w:t>★</w:t>
      </w:r>
      <w:r>
        <w:rPr>
          <w:rFonts w:hint="eastAsia" w:asciiTheme="minorEastAsia" w:hAnsiTheme="minorEastAsia" w:eastAsiaTheme="minorEastAsia"/>
          <w:sz w:val="24"/>
        </w:rPr>
        <w:t>（4）监测内容必须包含、但不限于内壁钢筋应力（环向及竖向）、内壁混凝土应变（环向及竖向）、外壁钢筋应力（环向及竖向）、外壁混凝土应变（环向及竖向）、壁间水压、壁间温度、冻结温度、冻结压力、冻结壁变形等。须提供曾承担完成的类似井壁物理力学参数监测结果相关图表截图。</w:t>
      </w:r>
    </w:p>
    <w:p w14:paraId="326956C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3、监测系统应满足并不限于以下要求：</w:t>
      </w:r>
    </w:p>
    <w:p w14:paraId="0E3392E0">
      <w:pPr>
        <w:spacing w:line="360" w:lineRule="auto"/>
        <w:ind w:firstLine="420"/>
        <w:jc w:val="left"/>
        <w:rPr>
          <w:rFonts w:hint="eastAsia" w:asciiTheme="minorEastAsia" w:hAnsiTheme="minorEastAsia" w:eastAsiaTheme="minorEastAsia"/>
          <w:sz w:val="24"/>
        </w:rPr>
      </w:pPr>
      <w:r>
        <w:rPr>
          <w:rFonts w:hint="eastAsia" w:asciiTheme="minorEastAsia" w:hAnsiTheme="minorEastAsia" w:eastAsiaTheme="minorEastAsia"/>
          <w:sz w:val="24"/>
        </w:rPr>
        <w:t>系统实施至少包含以下内容：</w:t>
      </w:r>
    </w:p>
    <w:p w14:paraId="6B9648C7">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（1）系统安装安全培训；</w:t>
      </w:r>
    </w:p>
    <w:p w14:paraId="7F72FD57">
      <w:pPr>
        <w:spacing w:line="360" w:lineRule="auto"/>
        <w:jc w:val="left"/>
        <w:rPr>
          <w:rFonts w:hint="eastAsia" w:asciiTheme="minorEastAsia" w:hAnsiTheme="minorEastAsia" w:eastAsiaTheme="minorEastAsia"/>
          <w:sz w:val="24"/>
        </w:rPr>
      </w:pPr>
      <w:r>
        <w:rPr>
          <w:rFonts w:hint="eastAsia" w:ascii="宋体" w:hAnsi="宋体" w:eastAsia="宋体" w:cs="宋体"/>
          <w:szCs w:val="21"/>
        </w:rPr>
        <w:t>★</w:t>
      </w:r>
      <w:r>
        <w:rPr>
          <w:rFonts w:hint="eastAsia" w:asciiTheme="minorEastAsia" w:hAnsiTheme="minorEastAsia" w:eastAsiaTheme="minorEastAsia"/>
          <w:sz w:val="24"/>
        </w:rPr>
        <w:t>（2）传感器标定及预处理；需给出标定方法及预处理方法，并附相关说明和过程图片；</w:t>
      </w:r>
    </w:p>
    <w:p w14:paraId="796DE6F7">
      <w:pPr>
        <w:spacing w:line="360" w:lineRule="auto"/>
        <w:jc w:val="left"/>
        <w:rPr>
          <w:rFonts w:hint="eastAsia" w:asciiTheme="minorEastAsia" w:hAnsiTheme="minorEastAsia" w:eastAsiaTheme="minorEastAsia"/>
          <w:sz w:val="24"/>
        </w:rPr>
      </w:pPr>
      <w:r>
        <w:rPr>
          <w:rFonts w:hint="eastAsia" w:ascii="宋体" w:hAnsi="宋体" w:eastAsia="宋体" w:cs="宋体"/>
          <w:szCs w:val="21"/>
        </w:rPr>
        <w:t>★</w:t>
      </w:r>
      <w:r>
        <w:rPr>
          <w:rFonts w:hint="eastAsia" w:asciiTheme="minorEastAsia" w:hAnsiTheme="minorEastAsia" w:eastAsiaTheme="minorEastAsia"/>
          <w:sz w:val="24"/>
        </w:rPr>
        <w:t>（3）井下竖向主光缆的敷设与固定、应变式传感器安装、传感器保护、井下环向副光缆的敷设与固定等施工环节的方法；须给出主、副光缆固定方法、传感器保护方法和施工过程图片；</w:t>
      </w:r>
    </w:p>
    <w:p w14:paraId="08429562">
      <w:pPr>
        <w:spacing w:line="360" w:lineRule="auto"/>
        <w:jc w:val="left"/>
        <w:rPr>
          <w:rFonts w:hint="eastAsia" w:asciiTheme="minorEastAsia" w:hAnsiTheme="minorEastAsia" w:eastAsiaTheme="minorEastAsia"/>
          <w:sz w:val="24"/>
        </w:rPr>
      </w:pPr>
      <w:r>
        <w:rPr>
          <w:rFonts w:hint="eastAsia" w:ascii="宋体" w:hAnsi="宋体" w:eastAsia="宋体" w:cs="宋体"/>
          <w:szCs w:val="21"/>
        </w:rPr>
        <w:t>★</w:t>
      </w:r>
      <w:r>
        <w:rPr>
          <w:rFonts w:hint="eastAsia" w:asciiTheme="minorEastAsia" w:hAnsiTheme="minorEastAsia" w:eastAsiaTheme="minorEastAsia"/>
          <w:sz w:val="24"/>
        </w:rPr>
        <w:t>（4）光缆接线盒及解调仪的安装、光缆的接续和保护、地面主光缆的敷设与固定、地面监测设备的安装和调试等施工环节的方法。须给出光缆在吊盘和地面的保护方法；</w:t>
      </w:r>
    </w:p>
    <w:p w14:paraId="7D69899E">
      <w:pPr>
        <w:spacing w:line="360" w:lineRule="auto"/>
        <w:jc w:val="left"/>
        <w:rPr>
          <w:rFonts w:hint="eastAsia" w:asciiTheme="minorEastAsia" w:hAnsiTheme="minorEastAsia" w:eastAsiaTheme="minorEastAsia"/>
          <w:b/>
          <w:bCs/>
          <w:sz w:val="24"/>
        </w:rPr>
      </w:pPr>
      <w:r>
        <w:rPr>
          <w:rFonts w:hint="eastAsia" w:ascii="宋体" w:hAnsi="宋体" w:eastAsia="宋体" w:cs="宋体"/>
          <w:szCs w:val="21"/>
        </w:rPr>
        <w:t>★</w:t>
      </w:r>
      <w:r>
        <w:rPr>
          <w:rFonts w:hint="eastAsia" w:asciiTheme="minorEastAsia" w:hAnsiTheme="minorEastAsia" w:eastAsiaTheme="minorEastAsia"/>
          <w:sz w:val="24"/>
        </w:rPr>
        <w:t>（5）监测系统平台的冻结壁监测模块具备冻结站运行状态及掘进参数显示功能：支持冻结壁分组管理，切换监测设备点位列表分布。支持拓扑图上传展示。支持自动化对接施工单位冻结站运行和测温数据，包括井帮温度、盐水温度、测孔温度实时监测数据可视化展示。</w:t>
      </w:r>
      <w:r>
        <w:rPr>
          <w:rFonts w:hint="eastAsia" w:asciiTheme="minorEastAsia" w:hAnsiTheme="minorEastAsia" w:eastAsiaTheme="minorEastAsia"/>
          <w:b/>
          <w:bCs/>
          <w:sz w:val="24"/>
        </w:rPr>
        <w:t>需要提供数据测试、数据处理原理及计算方法，以及类似软件功能截图证明。</w:t>
      </w:r>
    </w:p>
    <w:p w14:paraId="54D17B5E">
      <w:pPr>
        <w:spacing w:line="360" w:lineRule="auto"/>
        <w:jc w:val="left"/>
        <w:rPr>
          <w:rFonts w:hint="eastAsia" w:asciiTheme="minorEastAsia" w:hAnsiTheme="minorEastAsia" w:eastAsiaTheme="minorEastAsia"/>
          <w:sz w:val="24"/>
        </w:rPr>
      </w:pPr>
      <w:r>
        <w:rPr>
          <w:rFonts w:hint="eastAsia" w:ascii="宋体" w:hAnsi="宋体" w:eastAsia="宋体" w:cs="宋体"/>
          <w:szCs w:val="21"/>
        </w:rPr>
        <w:t>★</w:t>
      </w:r>
      <w:r>
        <w:rPr>
          <w:rFonts w:hint="eastAsia" w:asciiTheme="minorEastAsia" w:hAnsiTheme="minorEastAsia" w:eastAsiaTheme="minorEastAsia"/>
          <w:sz w:val="24"/>
        </w:rPr>
        <w:t>（6）监测系统平台的冻结壁监测模块具备冻结温度场预测功能：支持预警数据的统计和展示。支持dat井筒预定义文件解析，温度场反演计算和在线预测，自动展示温度场性状和图片绘制。</w:t>
      </w:r>
      <w:r>
        <w:rPr>
          <w:rFonts w:hint="eastAsia" w:asciiTheme="minorEastAsia" w:hAnsiTheme="minorEastAsia" w:eastAsiaTheme="minorEastAsia"/>
          <w:b/>
          <w:bCs/>
          <w:sz w:val="24"/>
        </w:rPr>
        <w:t>须要提供软件功能截图证明，给出温度场反演计算原理，并提供类似软件计算结果截图。</w:t>
      </w:r>
    </w:p>
    <w:p w14:paraId="0376A07D">
      <w:pPr>
        <w:spacing w:line="360" w:lineRule="auto"/>
        <w:jc w:val="left"/>
        <w:rPr>
          <w:rFonts w:hint="eastAsia" w:asciiTheme="minorEastAsia" w:hAnsiTheme="minorEastAsia" w:eastAsiaTheme="minorEastAsia"/>
          <w:sz w:val="24"/>
        </w:rPr>
      </w:pPr>
      <w:r>
        <w:rPr>
          <w:rFonts w:hint="eastAsia" w:ascii="宋体" w:hAnsi="宋体" w:eastAsia="宋体" w:cs="宋体"/>
          <w:szCs w:val="21"/>
        </w:rPr>
        <w:t>★</w:t>
      </w:r>
      <w:r>
        <w:rPr>
          <w:rFonts w:hint="eastAsia" w:asciiTheme="minorEastAsia" w:hAnsiTheme="minorEastAsia" w:eastAsiaTheme="minorEastAsia"/>
          <w:sz w:val="24"/>
        </w:rPr>
        <w:t>（7）监测系统平台的井壁外壁监测模块：支持外壁监测拓扑图展示。支持井壁受力、变形和温度监测拓扑图。支持自动化对接外壁受力、温度等监测数据。支持预警数据的统计和展示。</w:t>
      </w:r>
      <w:r>
        <w:rPr>
          <w:rFonts w:hint="eastAsia" w:asciiTheme="minorEastAsia" w:hAnsiTheme="minorEastAsia" w:eastAsiaTheme="minorEastAsia"/>
          <w:b/>
          <w:bCs/>
          <w:sz w:val="24"/>
        </w:rPr>
        <w:t>须提供井壁不同监测层位预警阈值和计算方法，并给出类似工程井壁外壁监测受力监测结果显示截图。</w:t>
      </w:r>
    </w:p>
    <w:p w14:paraId="78F79EFE">
      <w:pPr>
        <w:spacing w:line="360" w:lineRule="auto"/>
        <w:jc w:val="left"/>
        <w:rPr>
          <w:rFonts w:hint="eastAsia" w:asciiTheme="minorEastAsia" w:hAnsiTheme="minorEastAsia" w:eastAsiaTheme="minorEastAsia"/>
          <w:sz w:val="24"/>
        </w:rPr>
      </w:pPr>
      <w:r>
        <w:rPr>
          <w:rFonts w:hint="eastAsia" w:ascii="宋体" w:hAnsi="宋体" w:eastAsia="宋体" w:cs="宋体"/>
          <w:szCs w:val="21"/>
        </w:rPr>
        <w:t>★</w:t>
      </w:r>
      <w:r>
        <w:rPr>
          <w:rFonts w:hint="eastAsia" w:asciiTheme="minorEastAsia" w:hAnsiTheme="minorEastAsia" w:eastAsiaTheme="minorEastAsia"/>
          <w:sz w:val="24"/>
        </w:rPr>
        <w:t>（8）监测系统平台的井壁内壁监测模块：支持内壁设备点位分组分布。支持点位拓扑图上传。支持监测数据自动对接采集，包括壁间压力、温度、钢筋应力、混凝土应变等监测指标可视化展示。支持预警数据的统计和展示。</w:t>
      </w:r>
      <w:r>
        <w:rPr>
          <w:rFonts w:hint="eastAsia" w:asciiTheme="minorEastAsia" w:hAnsiTheme="minorEastAsia" w:eastAsiaTheme="minorEastAsia"/>
          <w:b/>
          <w:bCs/>
          <w:sz w:val="24"/>
        </w:rPr>
        <w:t>须提供井壁不同监测层位预警阈值和计算方法，并给出类似工程井壁内壁监测受力监测结果显示截图。</w:t>
      </w:r>
    </w:p>
    <w:p w14:paraId="4E9B7055">
      <w:pPr>
        <w:spacing w:line="360" w:lineRule="auto"/>
        <w:jc w:val="left"/>
        <w:rPr>
          <w:rFonts w:hint="eastAsia" w:asciiTheme="minorEastAsia" w:hAnsiTheme="minorEastAsia" w:eastAsiaTheme="minorEastAsia"/>
          <w:sz w:val="24"/>
        </w:rPr>
      </w:pPr>
      <w:r>
        <w:rPr>
          <w:rFonts w:hint="eastAsia" w:ascii="宋体" w:hAnsi="宋体" w:eastAsia="宋体" w:cs="宋体"/>
          <w:szCs w:val="21"/>
        </w:rPr>
        <w:t>★</w:t>
      </w:r>
      <w:r>
        <w:rPr>
          <w:rFonts w:hint="eastAsia" w:asciiTheme="minorEastAsia" w:hAnsiTheme="minorEastAsia" w:eastAsiaTheme="minorEastAsia"/>
          <w:sz w:val="24"/>
        </w:rPr>
        <w:t>（9）监测系统平台的硐室监测模块：支持硐室水平层级点位分布图展示，支持3D、BIM上传硐室结构模型并展示。支持监测数据自动对接采集，包括位移、应力、应变等指标。支持预警数据的统计和展示。</w:t>
      </w:r>
      <w:r>
        <w:rPr>
          <w:rFonts w:hint="eastAsia" w:asciiTheme="minorEastAsia" w:hAnsiTheme="minorEastAsia" w:eastAsiaTheme="minorEastAsia"/>
          <w:b/>
          <w:bCs/>
          <w:sz w:val="24"/>
        </w:rPr>
        <w:t>须提供连接硐室监测断面预警阈值和计算方法，并给出类似工程井筒连接硐室监测受力监测结果显示截图。</w:t>
      </w:r>
    </w:p>
    <w:p w14:paraId="3C3142AC">
      <w:pPr>
        <w:spacing w:line="360" w:lineRule="auto"/>
        <w:ind w:firstLine="420"/>
        <w:jc w:val="left"/>
        <w:rPr>
          <w:rFonts w:hint="eastAsia" w:asciiTheme="minorEastAsia" w:hAnsiTheme="minorEastAsia" w:eastAsiaTheme="minorEastAsia"/>
          <w:sz w:val="24"/>
        </w:rPr>
      </w:pPr>
      <w:r>
        <w:rPr>
          <w:rFonts w:hint="eastAsia" w:asciiTheme="minorEastAsia" w:hAnsiTheme="minorEastAsia" w:eastAsiaTheme="minorEastAsia"/>
          <w:sz w:val="24"/>
        </w:rPr>
        <w:t>中标单位须及时开展数据分析及预测预报，根据工程进度和监测情况至少每半月提交一次监测数据分析报告，发现数据异常及时汇报；质保期结束后应及时将监测系统、数据处理方法等整体移交给采购人；此后7年维保期期间，中标单位应免费提供监测系统维保咨询服务。</w:t>
      </w:r>
    </w:p>
    <w:p w14:paraId="48D7998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4、形成成果文件</w:t>
      </w:r>
    </w:p>
    <w:p w14:paraId="12289540">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（1）新街二矿井壁监测元件成活率不得低于85%，预警准确率不小于95%。</w:t>
      </w:r>
    </w:p>
    <w:p w14:paraId="39F2723F">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（2）协助申报不少于3项团体标准通过行业协会立项审查及省部级/协会科技进步1等奖一项。</w:t>
      </w:r>
    </w:p>
    <w:p w14:paraId="2515A4FE">
      <w:pPr>
        <w:spacing w:line="360" w:lineRule="auto"/>
        <w:jc w:val="left"/>
        <w:rPr>
          <w:rFonts w:hint="eastAsia" w:asciiTheme="minorEastAsia" w:hAnsiTheme="minorEastAsia" w:eastAsiaTheme="minorEastAsia"/>
          <w:sz w:val="24"/>
          <w:lang w:val="zh-CN"/>
        </w:rPr>
      </w:pPr>
      <w:r>
        <w:rPr>
          <w:rFonts w:hint="eastAsia" w:asciiTheme="minorEastAsia" w:hAnsiTheme="minorEastAsia" w:eastAsiaTheme="minorEastAsia"/>
          <w:sz w:val="24"/>
        </w:rPr>
        <w:t>（3）录用或SCI/EI检索论文4篇</w:t>
      </w:r>
      <w:r>
        <w:rPr>
          <w:rFonts w:hint="eastAsia" w:asciiTheme="minorEastAsia" w:hAnsiTheme="minorEastAsia" w:eastAsiaTheme="minorEastAsia"/>
          <w:sz w:val="24"/>
          <w:lang w:val="zh-CN"/>
        </w:rPr>
        <w:t>。</w:t>
      </w:r>
    </w:p>
    <w:p w14:paraId="7D4FE7DF">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（4）受理发明专利4项。</w:t>
      </w:r>
    </w:p>
    <w:p w14:paraId="7D7F48A6">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（5）提交研究报告（包括纸质报告、图件及电子文档），纸质版10份，电子版1份。</w:t>
      </w:r>
    </w:p>
    <w:p w14:paraId="17130537">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（6）提交展示研究成果的视频1部。</w:t>
      </w:r>
    </w:p>
    <w:bookmarkEnd w:id="35"/>
    <w:p w14:paraId="4FBBBAAA">
      <w:pPr>
        <w:rPr>
          <w:rFonts w:hint="eastAsia" w:asciiTheme="minorEastAsia" w:hAnsiTheme="minorEastAsia" w:eastAsiaTheme="minorEastAsia"/>
          <w:b/>
          <w:sz w:val="28"/>
        </w:rPr>
      </w:pPr>
      <w:bookmarkStart w:id="36" w:name="_Toc30824"/>
      <w:r>
        <w:rPr>
          <w:rFonts w:hint="eastAsia" w:asciiTheme="minorEastAsia" w:hAnsiTheme="minorEastAsia" w:eastAsiaTheme="minorEastAsia"/>
          <w:b/>
          <w:sz w:val="28"/>
        </w:rPr>
        <w:br w:type="page"/>
      </w:r>
    </w:p>
    <w:p w14:paraId="6FF4E19F">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第四章  评标方法和标准（综合评分法）</w:t>
      </w:r>
      <w:bookmarkEnd w:id="36"/>
    </w:p>
    <w:p w14:paraId="2080971C">
      <w:pPr>
        <w:spacing w:line="360" w:lineRule="auto"/>
        <w:ind w:firstLine="437"/>
        <w:outlineLvl w:val="1"/>
        <w:rPr>
          <w:rFonts w:hint="eastAsia" w:asciiTheme="minorEastAsia" w:hAnsiTheme="minorEastAsia" w:eastAsiaTheme="minorEastAsia"/>
          <w:b/>
          <w:sz w:val="24"/>
        </w:rPr>
      </w:pPr>
      <w:bookmarkStart w:id="37" w:name="_Toc11823"/>
      <w:bookmarkStart w:id="38" w:name="_Toc4705"/>
      <w:r>
        <w:rPr>
          <w:rFonts w:hint="eastAsia" w:asciiTheme="minorEastAsia" w:hAnsiTheme="minorEastAsia" w:eastAsiaTheme="minorEastAsia"/>
          <w:b/>
          <w:sz w:val="24"/>
        </w:rPr>
        <w:t>一、总则</w:t>
      </w:r>
      <w:bookmarkEnd w:id="37"/>
      <w:bookmarkEnd w:id="38"/>
    </w:p>
    <w:p w14:paraId="0031DAE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本项目将按照招标文件第二章 投标人须知的相关要求</w:t>
      </w:r>
      <w:r>
        <w:rPr>
          <w:rFonts w:asciiTheme="minorEastAsia" w:hAnsiTheme="minorEastAsia" w:eastAsiaTheme="minorEastAsia"/>
          <w:sz w:val="24"/>
        </w:rPr>
        <w:t>及本章的规定评标。</w:t>
      </w:r>
    </w:p>
    <w:p w14:paraId="13A684B7">
      <w:pPr>
        <w:spacing w:line="360" w:lineRule="auto"/>
        <w:ind w:firstLine="437"/>
        <w:outlineLvl w:val="1"/>
        <w:rPr>
          <w:rFonts w:hint="eastAsia" w:asciiTheme="minorEastAsia" w:hAnsiTheme="minorEastAsia" w:eastAsiaTheme="minorEastAsia"/>
          <w:b/>
          <w:sz w:val="24"/>
        </w:rPr>
      </w:pPr>
      <w:bookmarkStart w:id="39" w:name="_Toc31871"/>
      <w:bookmarkStart w:id="40" w:name="_Toc32410"/>
      <w:r>
        <w:rPr>
          <w:rFonts w:hint="eastAsia" w:asciiTheme="minorEastAsia" w:hAnsiTheme="minorEastAsia" w:eastAsiaTheme="minorEastAsia"/>
          <w:b/>
          <w:sz w:val="24"/>
        </w:rPr>
        <w:t>二、评标方法</w:t>
      </w:r>
      <w:bookmarkEnd w:id="39"/>
      <w:bookmarkEnd w:id="40"/>
    </w:p>
    <w:p w14:paraId="763E22F1">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2.1资格审查</w:t>
      </w:r>
    </w:p>
    <w:tbl>
      <w:tblPr>
        <w:tblStyle w:val="25"/>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651"/>
        <w:gridCol w:w="4556"/>
        <w:gridCol w:w="1894"/>
      </w:tblGrid>
      <w:tr w14:paraId="5743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8CF642E">
            <w:pPr>
              <w:adjustRightInd w:val="0"/>
              <w:snapToGrid w:val="0"/>
              <w:spacing w:line="360" w:lineRule="auto"/>
              <w:ind w:right="-10"/>
              <w:jc w:val="center"/>
              <w:rPr>
                <w:rFonts w:hint="eastAsia" w:ascii="宋体" w:hAnsi="宋体" w:eastAsia="宋体"/>
                <w:sz w:val="24"/>
              </w:rPr>
            </w:pPr>
            <w:r>
              <w:rPr>
                <w:rFonts w:hint="eastAsia" w:ascii="宋体" w:hAnsi="宋体" w:eastAsia="宋体"/>
                <w:b/>
                <w:sz w:val="24"/>
                <w:szCs w:val="22"/>
              </w:rPr>
              <w:t>资格审查表</w:t>
            </w:r>
          </w:p>
        </w:tc>
      </w:tr>
      <w:tr w14:paraId="5C3A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40CA1850">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942" w:type="pct"/>
            <w:tcBorders>
              <w:bottom w:val="single" w:color="auto" w:sz="4" w:space="0"/>
            </w:tcBorders>
            <w:vAlign w:val="center"/>
          </w:tcPr>
          <w:p w14:paraId="241385C3">
            <w:pPr>
              <w:pStyle w:val="34"/>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szCs w:val="24"/>
              </w:rPr>
            </w:pPr>
            <w:r>
              <w:rPr>
                <w:rFonts w:hint="eastAsia" w:ascii="宋体" w:hAnsi="宋体" w:eastAsia="宋体"/>
                <w:kern w:val="2"/>
                <w:szCs w:val="24"/>
              </w:rPr>
              <w:t>审查因素</w:t>
            </w:r>
          </w:p>
        </w:tc>
        <w:tc>
          <w:tcPr>
            <w:tcW w:w="2600" w:type="pct"/>
            <w:tcBorders>
              <w:bottom w:val="single" w:color="auto" w:sz="4" w:space="0"/>
            </w:tcBorders>
            <w:vAlign w:val="center"/>
          </w:tcPr>
          <w:p w14:paraId="1BFF555F">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审查内容</w:t>
            </w:r>
          </w:p>
        </w:tc>
        <w:tc>
          <w:tcPr>
            <w:tcW w:w="1079" w:type="pct"/>
            <w:tcBorders>
              <w:bottom w:val="single" w:color="auto" w:sz="4" w:space="0"/>
            </w:tcBorders>
            <w:vAlign w:val="center"/>
          </w:tcPr>
          <w:p w14:paraId="2D7AD496">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633B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7" w:type="pct"/>
            <w:tcBorders>
              <w:bottom w:val="single" w:color="auto" w:sz="4" w:space="0"/>
            </w:tcBorders>
            <w:vAlign w:val="center"/>
          </w:tcPr>
          <w:p w14:paraId="42844745">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1</w:t>
            </w:r>
          </w:p>
        </w:tc>
        <w:tc>
          <w:tcPr>
            <w:tcW w:w="942" w:type="pct"/>
            <w:tcBorders>
              <w:bottom w:val="single" w:color="auto" w:sz="4" w:space="0"/>
            </w:tcBorders>
            <w:vAlign w:val="center"/>
          </w:tcPr>
          <w:p w14:paraId="67AF0246">
            <w:pPr>
              <w:spacing w:after="50" w:line="360" w:lineRule="auto"/>
              <w:ind w:right="-10"/>
              <w:jc w:val="center"/>
              <w:rPr>
                <w:rFonts w:hint="eastAsia" w:ascii="宋体" w:hAnsi="宋体" w:eastAsia="宋体"/>
                <w:sz w:val="24"/>
                <w:szCs w:val="28"/>
              </w:rPr>
            </w:pPr>
            <w:r>
              <w:rPr>
                <w:rFonts w:ascii="宋体" w:hAnsi="宋体" w:eastAsia="宋体" w:cs="宋体"/>
                <w:spacing w:val="9"/>
                <w:sz w:val="24"/>
                <w:szCs w:val="24"/>
              </w:rPr>
              <w:t>营业执照</w:t>
            </w:r>
          </w:p>
        </w:tc>
        <w:tc>
          <w:tcPr>
            <w:tcW w:w="2600" w:type="pct"/>
            <w:tcBorders>
              <w:bottom w:val="single" w:color="auto" w:sz="4" w:space="0"/>
            </w:tcBorders>
            <w:vAlign w:val="center"/>
          </w:tcPr>
          <w:p w14:paraId="3FF719F6">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05ABC6BE">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投标人为事业单位的，应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29F4085E">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投标人是非企业机构的，应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11F1D179">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投标人是个体工商户的，应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04FDC1D6">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（5）</w:t>
            </w:r>
            <w:r>
              <w:rPr>
                <w:rFonts w:ascii="宋体" w:hAnsi="宋体" w:eastAsia="宋体" w:cs="宋体"/>
                <w:sz w:val="24"/>
                <w:szCs w:val="24"/>
              </w:rPr>
              <w:t>投标人是自然人的，应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p>
        </w:tc>
        <w:tc>
          <w:tcPr>
            <w:tcW w:w="1079" w:type="pct"/>
            <w:vAlign w:val="center"/>
          </w:tcPr>
          <w:p w14:paraId="1601EF09">
            <w:pPr>
              <w:spacing w:line="360" w:lineRule="auto"/>
              <w:jc w:val="left"/>
              <w:rPr>
                <w:rFonts w:hint="eastAsia" w:ascii="宋体" w:hAnsi="宋体" w:eastAsia="宋体"/>
                <w:sz w:val="24"/>
              </w:rPr>
            </w:pPr>
            <w:r>
              <w:rPr>
                <w:rFonts w:hint="eastAsia" w:ascii="宋体" w:hAnsi="宋体" w:eastAsia="宋体" w:cs="宋体"/>
                <w:sz w:val="24"/>
                <w:szCs w:val="24"/>
              </w:rPr>
              <w:t>提供材料扫描件或电子证照，应完整的体现出材料或电子证照全部内容。联合体投标的联合体各方均须提供。</w:t>
            </w:r>
          </w:p>
        </w:tc>
      </w:tr>
      <w:tr w14:paraId="37C3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7" w:type="pct"/>
            <w:tcBorders>
              <w:bottom w:val="single" w:color="auto" w:sz="4" w:space="0"/>
            </w:tcBorders>
            <w:vAlign w:val="center"/>
          </w:tcPr>
          <w:p w14:paraId="0A233E26">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2</w:t>
            </w:r>
          </w:p>
        </w:tc>
        <w:tc>
          <w:tcPr>
            <w:tcW w:w="942" w:type="pct"/>
            <w:tcBorders>
              <w:bottom w:val="single" w:color="auto" w:sz="4" w:space="0"/>
            </w:tcBorders>
            <w:vAlign w:val="center"/>
          </w:tcPr>
          <w:p w14:paraId="0513F95F">
            <w:pPr>
              <w:spacing w:after="50" w:line="360" w:lineRule="auto"/>
              <w:ind w:right="-10"/>
              <w:jc w:val="center"/>
              <w:rPr>
                <w:rFonts w:hint="eastAsia" w:ascii="宋体" w:hAnsi="宋体" w:eastAsia="宋体"/>
                <w:sz w:val="24"/>
                <w:szCs w:val="28"/>
              </w:rPr>
            </w:pPr>
            <w:r>
              <w:rPr>
                <w:rFonts w:hint="eastAsia" w:ascii="宋体" w:hAnsi="宋体" w:eastAsia="宋体"/>
                <w:sz w:val="24"/>
                <w:szCs w:val="18"/>
              </w:rPr>
              <w:t>投标人资格声明书</w:t>
            </w:r>
          </w:p>
        </w:tc>
        <w:tc>
          <w:tcPr>
            <w:tcW w:w="2600" w:type="pct"/>
            <w:tcBorders>
              <w:bottom w:val="single" w:color="auto" w:sz="4" w:space="0"/>
            </w:tcBorders>
            <w:vAlign w:val="center"/>
          </w:tcPr>
          <w:p w14:paraId="6A526283">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rPr>
              <w:t>。</w:t>
            </w:r>
          </w:p>
        </w:tc>
        <w:tc>
          <w:tcPr>
            <w:tcW w:w="1079" w:type="pct"/>
            <w:vAlign w:val="center"/>
          </w:tcPr>
          <w:p w14:paraId="759A33D9">
            <w:pPr>
              <w:spacing w:line="360" w:lineRule="auto"/>
              <w:jc w:val="left"/>
              <w:rPr>
                <w:rFonts w:hint="eastAsia" w:ascii="宋体" w:hAnsi="宋体" w:eastAsia="宋体" w:cs="宋体"/>
                <w:sz w:val="24"/>
                <w:szCs w:val="24"/>
              </w:rPr>
            </w:pPr>
            <w:r>
              <w:rPr>
                <w:rFonts w:hint="eastAsia" w:ascii="宋体" w:hAnsi="宋体" w:eastAsia="宋体"/>
                <w:sz w:val="24"/>
              </w:rPr>
              <w:t>详见第六章投标文件格式。</w:t>
            </w:r>
          </w:p>
        </w:tc>
      </w:tr>
      <w:tr w14:paraId="32E4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745F85D9">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3</w:t>
            </w:r>
          </w:p>
        </w:tc>
        <w:tc>
          <w:tcPr>
            <w:tcW w:w="942" w:type="pct"/>
            <w:tcBorders>
              <w:bottom w:val="single" w:color="auto" w:sz="4" w:space="0"/>
            </w:tcBorders>
            <w:vAlign w:val="center"/>
          </w:tcPr>
          <w:p w14:paraId="0F9EC913">
            <w:pPr>
              <w:spacing w:after="50" w:line="360" w:lineRule="auto"/>
              <w:ind w:right="-10"/>
              <w:jc w:val="center"/>
              <w:rPr>
                <w:rFonts w:hint="eastAsia" w:ascii="宋体" w:hAnsi="宋体" w:eastAsia="宋体"/>
                <w:sz w:val="24"/>
                <w:szCs w:val="28"/>
              </w:rPr>
            </w:pPr>
            <w:r>
              <w:rPr>
                <w:rFonts w:hint="eastAsia" w:ascii="宋体" w:hAnsi="宋体" w:eastAsia="宋体" w:cs="宋体"/>
                <w:sz w:val="24"/>
                <w:szCs w:val="24"/>
              </w:rPr>
              <w:t>投标人信用记录</w:t>
            </w:r>
          </w:p>
        </w:tc>
        <w:tc>
          <w:tcPr>
            <w:tcW w:w="2600" w:type="pct"/>
            <w:tcBorders>
              <w:bottom w:val="single" w:color="auto" w:sz="4" w:space="0"/>
            </w:tcBorders>
            <w:vAlign w:val="center"/>
          </w:tcPr>
          <w:p w14:paraId="59949F77">
            <w:pPr>
              <w:spacing w:after="50" w:line="360" w:lineRule="auto"/>
              <w:ind w:right="-10"/>
              <w:jc w:val="left"/>
              <w:rPr>
                <w:rFonts w:hint="eastAsia"/>
              </w:rPr>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79" w:type="pct"/>
            <w:tcBorders>
              <w:bottom w:val="single" w:color="auto" w:sz="4" w:space="0"/>
            </w:tcBorders>
            <w:vAlign w:val="center"/>
          </w:tcPr>
          <w:p w14:paraId="35B66F99">
            <w:pPr>
              <w:spacing w:line="360" w:lineRule="auto"/>
              <w:jc w:val="left"/>
              <w:rPr>
                <w:rFonts w:hint="eastAsia"/>
              </w:rPr>
            </w:pPr>
            <w:r>
              <w:rPr>
                <w:rFonts w:hint="eastAsia" w:ascii="宋体" w:hAnsi="宋体" w:eastAsia="宋体" w:cs="宋体"/>
                <w:sz w:val="24"/>
                <w:szCs w:val="24"/>
              </w:rPr>
              <w:t>无须投标人提供，由采购人或采购代理机构查询。</w:t>
            </w:r>
          </w:p>
        </w:tc>
      </w:tr>
      <w:tr w14:paraId="651A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62636215">
            <w:pPr>
              <w:adjustRightInd w:val="0"/>
              <w:snapToGrid w:val="0"/>
              <w:spacing w:line="360" w:lineRule="auto"/>
              <w:ind w:right="-10"/>
              <w:jc w:val="center"/>
              <w:rPr>
                <w:rFonts w:hint="eastAsia" w:ascii="宋体" w:hAnsi="宋体" w:eastAsia="宋体"/>
                <w:sz w:val="24"/>
                <w:lang w:eastAsia="zh-CN"/>
              </w:rPr>
            </w:pPr>
            <w:r>
              <w:rPr>
                <w:rFonts w:hint="eastAsia" w:ascii="宋体" w:hAnsi="宋体" w:eastAsia="宋体"/>
                <w:sz w:val="24"/>
                <w:lang w:val="en-US" w:eastAsia="zh-CN"/>
              </w:rPr>
              <w:t>4</w:t>
            </w:r>
          </w:p>
        </w:tc>
        <w:tc>
          <w:tcPr>
            <w:tcW w:w="942" w:type="pct"/>
            <w:vAlign w:val="center"/>
          </w:tcPr>
          <w:p w14:paraId="19B69B1E">
            <w:pPr>
              <w:spacing w:after="50" w:line="360" w:lineRule="auto"/>
              <w:ind w:right="-10"/>
              <w:rPr>
                <w:rFonts w:hint="eastAsia" w:ascii="宋体" w:hAnsi="宋体" w:eastAsia="宋体" w:cs="宋体"/>
                <w:spacing w:val="10"/>
                <w:sz w:val="24"/>
                <w:szCs w:val="24"/>
              </w:rPr>
            </w:pPr>
            <w:r>
              <w:rPr>
                <w:rFonts w:ascii="宋体" w:hAnsi="宋体" w:eastAsia="宋体" w:cs="宋体"/>
                <w:spacing w:val="10"/>
                <w:sz w:val="24"/>
                <w:szCs w:val="24"/>
              </w:rPr>
              <w:t>其他特定资格要求</w:t>
            </w:r>
          </w:p>
        </w:tc>
        <w:tc>
          <w:tcPr>
            <w:tcW w:w="2600" w:type="pct"/>
            <w:vAlign w:val="center"/>
          </w:tcPr>
          <w:p w14:paraId="0D699F6D">
            <w:pPr>
              <w:spacing w:after="50" w:line="360" w:lineRule="auto"/>
              <w:ind w:right="-10"/>
              <w:rPr>
                <w:rFonts w:hint="eastAsia" w:ascii="宋体" w:hAnsi="宋体" w:eastAsia="宋体" w:cs="宋体"/>
                <w:spacing w:val="10"/>
                <w:sz w:val="24"/>
                <w:szCs w:val="24"/>
              </w:rPr>
            </w:pPr>
            <w:r>
              <w:rPr>
                <w:rFonts w:ascii="宋体" w:hAnsi="宋体" w:eastAsia="宋体" w:cs="宋体"/>
                <w:spacing w:val="10"/>
                <w:sz w:val="24"/>
                <w:szCs w:val="24"/>
              </w:rPr>
              <w:t>如有，见第一章《投标邀请》</w:t>
            </w:r>
          </w:p>
        </w:tc>
        <w:tc>
          <w:tcPr>
            <w:tcW w:w="1079" w:type="pct"/>
            <w:vAlign w:val="center"/>
          </w:tcPr>
          <w:p w14:paraId="2815BDB0">
            <w:pPr>
              <w:spacing w:after="50" w:line="360" w:lineRule="auto"/>
              <w:ind w:right="-10"/>
              <w:rPr>
                <w:rFonts w:hint="eastAsia" w:ascii="宋体" w:hAnsi="宋体" w:eastAsia="宋体" w:cs="宋体"/>
                <w:spacing w:val="10"/>
                <w:sz w:val="24"/>
                <w:szCs w:val="24"/>
              </w:rPr>
            </w:pPr>
            <w:r>
              <w:rPr>
                <w:rFonts w:hint="eastAsia" w:ascii="宋体" w:hAnsi="宋体" w:eastAsia="宋体" w:cs="宋体"/>
                <w:sz w:val="24"/>
                <w:szCs w:val="24"/>
              </w:rPr>
              <w:t>提供材料扫描件或电子证照，应完整的体现出材料或电子证照全部内容。</w:t>
            </w:r>
          </w:p>
        </w:tc>
      </w:tr>
    </w:tbl>
    <w:p w14:paraId="52F963C9">
      <w:pPr>
        <w:spacing w:line="360" w:lineRule="auto"/>
        <w:ind w:firstLine="435"/>
        <w:rPr>
          <w:rFonts w:hint="eastAsia"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投标人必须通过资格审查表中的全部评审指标。</w:t>
      </w:r>
    </w:p>
    <w:p w14:paraId="4475E90A">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2.2符合性审查</w:t>
      </w:r>
    </w:p>
    <w:p w14:paraId="7A7A085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评标委员会对通过资格审查的投标人的投标文件进行符合性审查，以确定其是否满足招标文件的实质性要求。符合性审查表如下：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5"/>
        <w:gridCol w:w="3128"/>
        <w:gridCol w:w="2514"/>
      </w:tblGrid>
      <w:tr w14:paraId="2612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69FA88F">
            <w:pPr>
              <w:adjustRightInd w:val="0"/>
              <w:snapToGrid w:val="0"/>
              <w:spacing w:line="360" w:lineRule="auto"/>
              <w:ind w:right="-10"/>
              <w:jc w:val="center"/>
              <w:rPr>
                <w:rFonts w:hint="eastAsia" w:ascii="宋体" w:hAnsi="宋体" w:eastAsia="宋体"/>
                <w:b/>
                <w:bCs/>
                <w:sz w:val="24"/>
              </w:rPr>
            </w:pPr>
            <w:r>
              <w:rPr>
                <w:rFonts w:hint="eastAsia" w:ascii="宋体" w:hAnsi="宋体" w:eastAsia="宋体"/>
                <w:b/>
                <w:bCs/>
                <w:sz w:val="24"/>
              </w:rPr>
              <w:t>符合性审查表</w:t>
            </w:r>
          </w:p>
        </w:tc>
      </w:tr>
      <w:tr w14:paraId="6DDB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2677D679">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1241" w:type="pct"/>
            <w:tcBorders>
              <w:bottom w:val="single" w:color="auto" w:sz="4" w:space="0"/>
            </w:tcBorders>
            <w:vAlign w:val="center"/>
          </w:tcPr>
          <w:p w14:paraId="5E6B9EF8">
            <w:pPr>
              <w:pStyle w:val="34"/>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rPr>
            </w:pPr>
            <w:r>
              <w:rPr>
                <w:rFonts w:hint="eastAsia" w:ascii="宋体" w:hAnsi="宋体" w:eastAsia="宋体"/>
                <w:kern w:val="2"/>
              </w:rPr>
              <w:t>审查指标</w:t>
            </w:r>
          </w:p>
        </w:tc>
        <w:tc>
          <w:tcPr>
            <w:tcW w:w="1835" w:type="pct"/>
            <w:tcBorders>
              <w:bottom w:val="single" w:color="auto" w:sz="4" w:space="0"/>
            </w:tcBorders>
            <w:vAlign w:val="center"/>
          </w:tcPr>
          <w:p w14:paraId="61BE8714">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472" w:type="pct"/>
            <w:tcBorders>
              <w:bottom w:val="single" w:color="auto" w:sz="4" w:space="0"/>
            </w:tcBorders>
            <w:vAlign w:val="center"/>
          </w:tcPr>
          <w:p w14:paraId="6550F530">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71DD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89AE426">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1241" w:type="pct"/>
            <w:vAlign w:val="center"/>
          </w:tcPr>
          <w:p w14:paraId="392F366F">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rPr>
              <w:t>开标一览表</w:t>
            </w:r>
          </w:p>
        </w:tc>
        <w:tc>
          <w:tcPr>
            <w:tcW w:w="1835" w:type="pct"/>
            <w:vAlign w:val="center"/>
          </w:tcPr>
          <w:p w14:paraId="634815BE">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格式、填写要求符合招标文件规定并加盖投标人签章</w:t>
            </w:r>
          </w:p>
        </w:tc>
        <w:tc>
          <w:tcPr>
            <w:tcW w:w="1472" w:type="pct"/>
            <w:vAlign w:val="center"/>
          </w:tcPr>
          <w:p w14:paraId="5F76F68F">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49C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10E1275">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1241" w:type="pct"/>
            <w:vAlign w:val="center"/>
          </w:tcPr>
          <w:p w14:paraId="73E6EE4A">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投标函</w:t>
            </w:r>
          </w:p>
        </w:tc>
        <w:tc>
          <w:tcPr>
            <w:tcW w:w="1835" w:type="pct"/>
            <w:vAlign w:val="center"/>
          </w:tcPr>
          <w:p w14:paraId="7D507A46">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格式、填写要求符合招标文件规定并加盖投标人签章</w:t>
            </w:r>
          </w:p>
        </w:tc>
        <w:tc>
          <w:tcPr>
            <w:tcW w:w="1472" w:type="pct"/>
            <w:vAlign w:val="center"/>
          </w:tcPr>
          <w:p w14:paraId="136FD721">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3E1D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4C4B6A01">
            <w:pPr>
              <w:adjustRightInd w:val="0"/>
              <w:snapToGrid w:val="0"/>
              <w:spacing w:line="360" w:lineRule="auto"/>
              <w:ind w:right="-10"/>
              <w:jc w:val="center"/>
              <w:rPr>
                <w:rFonts w:hint="eastAsia" w:asciiTheme="minorEastAsia" w:hAnsiTheme="minorEastAsia" w:eastAsiaTheme="minorEastAsia"/>
                <w:sz w:val="24"/>
              </w:rPr>
            </w:pPr>
            <w:r>
              <w:rPr>
                <w:rFonts w:asciiTheme="minorEastAsia" w:hAnsiTheme="minorEastAsia" w:eastAsiaTheme="minorEastAsia"/>
                <w:sz w:val="24"/>
              </w:rPr>
              <w:t>3</w:t>
            </w:r>
          </w:p>
        </w:tc>
        <w:tc>
          <w:tcPr>
            <w:tcW w:w="1241" w:type="pct"/>
            <w:vAlign w:val="center"/>
          </w:tcPr>
          <w:p w14:paraId="042E97EF">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授权书</w:t>
            </w:r>
          </w:p>
        </w:tc>
        <w:tc>
          <w:tcPr>
            <w:tcW w:w="1835" w:type="pct"/>
            <w:vAlign w:val="center"/>
          </w:tcPr>
          <w:p w14:paraId="0A877110">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格式、填写要求符合招标文件规定并加盖投标人签章</w:t>
            </w:r>
          </w:p>
        </w:tc>
        <w:tc>
          <w:tcPr>
            <w:tcW w:w="1472" w:type="pct"/>
            <w:vAlign w:val="center"/>
          </w:tcPr>
          <w:p w14:paraId="09091FFF">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法定代表人参加投标的无需此件，提供身份证明即可。详见第六章投标文件格式。</w:t>
            </w:r>
          </w:p>
        </w:tc>
      </w:tr>
      <w:tr w14:paraId="7676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363802A">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c>
          <w:tcPr>
            <w:tcW w:w="1241" w:type="pct"/>
            <w:vAlign w:val="center"/>
          </w:tcPr>
          <w:p w14:paraId="1B387A04">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投标报价</w:t>
            </w:r>
          </w:p>
        </w:tc>
        <w:tc>
          <w:tcPr>
            <w:tcW w:w="1835" w:type="pct"/>
            <w:vAlign w:val="center"/>
          </w:tcPr>
          <w:p w14:paraId="60ADAC1D">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w:t>
            </w:r>
            <w:r>
              <w:rPr>
                <w:rFonts w:hint="eastAsia" w:asciiTheme="minorEastAsia" w:hAnsiTheme="minorEastAsia" w:eastAsiaTheme="minorEastAsia"/>
                <w:sz w:val="24"/>
              </w:rPr>
              <w:t>招标文件投标人须知正文第9条要求</w:t>
            </w:r>
          </w:p>
        </w:tc>
        <w:tc>
          <w:tcPr>
            <w:tcW w:w="1472" w:type="pct"/>
            <w:vAlign w:val="center"/>
          </w:tcPr>
          <w:p w14:paraId="01B0CB60">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03D1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485C69F0">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5</w:t>
            </w:r>
          </w:p>
        </w:tc>
        <w:tc>
          <w:tcPr>
            <w:tcW w:w="1241" w:type="pct"/>
            <w:vAlign w:val="center"/>
          </w:tcPr>
          <w:p w14:paraId="1C58F907">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商务响应情况</w:t>
            </w:r>
          </w:p>
        </w:tc>
        <w:tc>
          <w:tcPr>
            <w:tcW w:w="1835" w:type="pct"/>
            <w:vAlign w:val="center"/>
          </w:tcPr>
          <w:p w14:paraId="1C56370B">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符合招标文件采购需求中对付款方式、服务地点、服务期限等实质性要求</w:t>
            </w:r>
          </w:p>
        </w:tc>
        <w:tc>
          <w:tcPr>
            <w:tcW w:w="1472" w:type="pct"/>
            <w:vAlign w:val="center"/>
          </w:tcPr>
          <w:p w14:paraId="328A6EFF">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0186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573A22D">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6</w:t>
            </w:r>
          </w:p>
        </w:tc>
        <w:tc>
          <w:tcPr>
            <w:tcW w:w="1241" w:type="pct"/>
            <w:vAlign w:val="center"/>
          </w:tcPr>
          <w:p w14:paraId="402151BE">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其他要求</w:t>
            </w:r>
          </w:p>
        </w:tc>
        <w:tc>
          <w:tcPr>
            <w:tcW w:w="1835" w:type="pct"/>
            <w:vAlign w:val="center"/>
          </w:tcPr>
          <w:p w14:paraId="5949C51B">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符合法律、行政法规规定的其他条件或招标文件列明的其他实质性要求</w:t>
            </w:r>
          </w:p>
        </w:tc>
        <w:tc>
          <w:tcPr>
            <w:tcW w:w="1472" w:type="pct"/>
            <w:vAlign w:val="center"/>
          </w:tcPr>
          <w:p w14:paraId="7E1B89E7">
            <w:pPr>
              <w:adjustRightInd w:val="0"/>
              <w:snapToGrid w:val="0"/>
              <w:spacing w:line="360" w:lineRule="auto"/>
              <w:ind w:right="-10"/>
              <w:jc w:val="center"/>
              <w:rPr>
                <w:rFonts w:hint="eastAsia" w:asciiTheme="minorEastAsia" w:hAnsiTheme="minorEastAsia" w:eastAsiaTheme="minorEastAsia"/>
                <w:sz w:val="24"/>
              </w:rPr>
            </w:pPr>
          </w:p>
        </w:tc>
      </w:tr>
    </w:tbl>
    <w:p w14:paraId="1887913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投标人必须通过符合性审查表中的全部评审指标。</w:t>
      </w:r>
    </w:p>
    <w:p w14:paraId="4EDE69E5">
      <w:pPr>
        <w:rPr>
          <w:rFonts w:hint="eastAsia" w:asciiTheme="minorEastAsia" w:hAnsiTheme="minorEastAsia" w:eastAsiaTheme="minorEastAsia"/>
          <w:sz w:val="24"/>
        </w:rPr>
      </w:pPr>
      <w:bookmarkStart w:id="41" w:name="_Hlk212575959"/>
      <w:r>
        <w:rPr>
          <w:rFonts w:hint="eastAsia" w:asciiTheme="minorEastAsia" w:hAnsiTheme="minorEastAsia" w:eastAsiaTheme="minorEastAsia"/>
          <w:sz w:val="24"/>
        </w:rPr>
        <w:br w:type="page"/>
      </w:r>
    </w:p>
    <w:p w14:paraId="23D9A0D4">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2.3详细审查</w:t>
      </w:r>
    </w:p>
    <w:p w14:paraId="6EFBA17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.3.1</w:t>
      </w:r>
      <w:r>
        <w:rPr>
          <w:rFonts w:hint="eastAsia" w:asciiTheme="minorEastAsia" w:hAnsiTheme="minorEastAsia" w:eastAsiaTheme="minorEastAsia"/>
          <w:sz w:val="24"/>
        </w:rPr>
        <w:t>评标委员会按照下表对投标文件进行详细审查和评分。</w:t>
      </w:r>
    </w:p>
    <w:p w14:paraId="6ED4BBC6">
      <w:pPr>
        <w:spacing w:line="360" w:lineRule="auto"/>
        <w:ind w:firstLine="435"/>
        <w:rPr>
          <w:rFonts w:hint="eastAsia"/>
        </w:rPr>
      </w:pPr>
      <w:r>
        <w:rPr>
          <w:rFonts w:hint="eastAsia" w:asciiTheme="minorEastAsia" w:hAnsiTheme="minorEastAsia" w:eastAsiaTheme="minorEastAsia"/>
          <w:sz w:val="24"/>
        </w:rPr>
        <w:t>2</w:t>
      </w:r>
      <w:r>
        <w:rPr>
          <w:rFonts w:asciiTheme="minorEastAsia" w:hAnsiTheme="minorEastAsia" w:eastAsiaTheme="minorEastAsia"/>
          <w:sz w:val="24"/>
        </w:rPr>
        <w:t>.3.2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分，其中：技术资信分值占总分值的权重为</w:t>
      </w:r>
      <w:r>
        <w:rPr>
          <w:rFonts w:hint="eastAsia" w:asciiTheme="minorEastAsia" w:hAnsiTheme="minorEastAsia" w:eastAsiaTheme="minorEastAsia"/>
          <w:sz w:val="24"/>
          <w:u w:val="single"/>
        </w:rPr>
        <w:t>90</w:t>
      </w:r>
      <w:r>
        <w:rPr>
          <w:rFonts w:asciiTheme="minorEastAsia" w:hAnsiTheme="minorEastAsia" w:eastAsiaTheme="minorEastAsia"/>
          <w:sz w:val="24"/>
        </w:rPr>
        <w:t>%，价格分值占总分值的权重为</w:t>
      </w:r>
      <w:r>
        <w:rPr>
          <w:rFonts w:hint="eastAsia" w:asciiTheme="minorEastAsia" w:hAnsiTheme="minorEastAsia" w:eastAsiaTheme="minorEastAsia"/>
          <w:sz w:val="24"/>
          <w:u w:val="single"/>
        </w:rPr>
        <w:t>10</w:t>
      </w:r>
      <w:r>
        <w:rPr>
          <w:rFonts w:asciiTheme="minorEastAsia" w:hAnsiTheme="minorEastAsia" w:eastAsiaTheme="minorEastAsia"/>
          <w:sz w:val="24"/>
        </w:rPr>
        <w:t>%。具体评分细则如下：</w:t>
      </w:r>
    </w:p>
    <w:tbl>
      <w:tblPr>
        <w:tblStyle w:val="25"/>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520"/>
        <w:gridCol w:w="5394"/>
        <w:gridCol w:w="806"/>
      </w:tblGrid>
      <w:tr w14:paraId="61ED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25" w:type="dxa"/>
            <w:tcBorders>
              <w:top w:val="single" w:color="auto" w:sz="4" w:space="0"/>
              <w:left w:val="single" w:color="auto" w:sz="4" w:space="0"/>
              <w:bottom w:val="single" w:color="auto" w:sz="4" w:space="0"/>
              <w:right w:val="single" w:color="auto" w:sz="4" w:space="0"/>
            </w:tcBorders>
            <w:vAlign w:val="center"/>
          </w:tcPr>
          <w:p w14:paraId="72348639">
            <w:pPr>
              <w:pStyle w:val="6"/>
              <w:ind w:firstLine="0"/>
            </w:pPr>
            <w:r>
              <w:rPr>
                <w:rFonts w:hint="eastAsia"/>
              </w:rPr>
              <w:t>类别</w:t>
            </w:r>
          </w:p>
        </w:tc>
        <w:tc>
          <w:tcPr>
            <w:tcW w:w="1520" w:type="dxa"/>
            <w:tcBorders>
              <w:top w:val="single" w:color="auto" w:sz="4" w:space="0"/>
              <w:left w:val="single" w:color="auto" w:sz="4" w:space="0"/>
              <w:bottom w:val="single" w:color="auto" w:sz="4" w:space="0"/>
              <w:right w:val="single" w:color="auto" w:sz="4" w:space="0"/>
            </w:tcBorders>
            <w:vAlign w:val="center"/>
          </w:tcPr>
          <w:p w14:paraId="640E3D1A">
            <w:pPr>
              <w:pStyle w:val="6"/>
              <w:ind w:firstLine="0"/>
            </w:pPr>
            <w:r>
              <w:rPr>
                <w:rFonts w:hint="eastAsia"/>
              </w:rPr>
              <w:t>评分内容</w:t>
            </w:r>
          </w:p>
        </w:tc>
        <w:tc>
          <w:tcPr>
            <w:tcW w:w="5394" w:type="dxa"/>
            <w:tcBorders>
              <w:top w:val="single" w:color="auto" w:sz="4" w:space="0"/>
              <w:left w:val="single" w:color="auto" w:sz="4" w:space="0"/>
              <w:bottom w:val="single" w:color="auto" w:sz="4" w:space="0"/>
              <w:right w:val="single" w:color="auto" w:sz="4" w:space="0"/>
            </w:tcBorders>
            <w:vAlign w:val="center"/>
          </w:tcPr>
          <w:p w14:paraId="114B0D27">
            <w:pPr>
              <w:pStyle w:val="6"/>
            </w:pPr>
            <w:r>
              <w:rPr>
                <w:rFonts w:hint="eastAsia"/>
              </w:rPr>
              <w:t>评分标准</w:t>
            </w:r>
          </w:p>
        </w:tc>
        <w:tc>
          <w:tcPr>
            <w:tcW w:w="806" w:type="dxa"/>
            <w:tcBorders>
              <w:top w:val="single" w:color="auto" w:sz="4" w:space="0"/>
              <w:left w:val="single" w:color="auto" w:sz="4" w:space="0"/>
              <w:bottom w:val="single" w:color="auto" w:sz="4" w:space="0"/>
              <w:right w:val="single" w:color="auto" w:sz="4" w:space="0"/>
            </w:tcBorders>
            <w:vAlign w:val="center"/>
          </w:tcPr>
          <w:p w14:paraId="07444A91">
            <w:pPr>
              <w:pStyle w:val="6"/>
              <w:ind w:firstLine="0"/>
            </w:pPr>
            <w:r>
              <w:rPr>
                <w:rFonts w:hint="eastAsia"/>
              </w:rPr>
              <w:t>分值范围</w:t>
            </w:r>
          </w:p>
        </w:tc>
      </w:tr>
      <w:tr w14:paraId="30ED3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restart"/>
            <w:tcBorders>
              <w:top w:val="single" w:color="auto" w:sz="4" w:space="0"/>
              <w:left w:val="single" w:color="auto" w:sz="4" w:space="0"/>
              <w:right w:val="single" w:color="auto" w:sz="4" w:space="0"/>
            </w:tcBorders>
            <w:vAlign w:val="center"/>
          </w:tcPr>
          <w:p w14:paraId="68F1F0C9">
            <w:pPr>
              <w:pStyle w:val="6"/>
              <w:ind w:left="0" w:leftChars="0" w:firstLine="0" w:firstLineChars="0"/>
            </w:pPr>
            <w:bookmarkStart w:id="230" w:name="_GoBack"/>
            <w:bookmarkEnd w:id="230"/>
            <w:r>
              <w:rPr>
                <w:rFonts w:hint="eastAsia"/>
              </w:rPr>
              <w:t>技术资信分</w:t>
            </w:r>
          </w:p>
          <w:p w14:paraId="24AF3AD8">
            <w:pPr>
              <w:pStyle w:val="6"/>
            </w:pPr>
            <w:r>
              <w:rPr>
                <w:rFonts w:hint="eastAsia"/>
              </w:rPr>
              <w:t>（90分）</w:t>
            </w:r>
          </w:p>
        </w:tc>
        <w:tc>
          <w:tcPr>
            <w:tcW w:w="1520" w:type="dxa"/>
            <w:tcBorders>
              <w:top w:val="single" w:color="auto" w:sz="4" w:space="0"/>
              <w:left w:val="single" w:color="auto" w:sz="4" w:space="0"/>
              <w:bottom w:val="single" w:color="auto" w:sz="4" w:space="0"/>
              <w:right w:val="single" w:color="auto" w:sz="4" w:space="0"/>
            </w:tcBorders>
            <w:vAlign w:val="center"/>
          </w:tcPr>
          <w:p w14:paraId="7171328E">
            <w:pPr>
              <w:pStyle w:val="6"/>
              <w:ind w:firstLine="0"/>
            </w:pPr>
            <w:r>
              <w:rPr>
                <w:rFonts w:hint="eastAsia"/>
              </w:rPr>
              <w:t>所投服务要求响应情况</w:t>
            </w:r>
          </w:p>
        </w:tc>
        <w:tc>
          <w:tcPr>
            <w:tcW w:w="5394" w:type="dxa"/>
            <w:tcBorders>
              <w:top w:val="single" w:color="auto" w:sz="4" w:space="0"/>
              <w:left w:val="single" w:color="auto" w:sz="4" w:space="0"/>
              <w:bottom w:val="single" w:color="auto" w:sz="4" w:space="0"/>
              <w:right w:val="single" w:color="auto" w:sz="4" w:space="0"/>
            </w:tcBorders>
            <w:vAlign w:val="center"/>
          </w:tcPr>
          <w:p w14:paraId="1EAD535F">
            <w:pPr>
              <w:pStyle w:val="6"/>
            </w:pPr>
            <w:r>
              <w:rPr>
                <w:rFonts w:hint="eastAsia"/>
              </w:rPr>
              <w:t>根据投标文件对招标文件采购需求服务需求中的“服务需求”的响应情况进行评分：</w:t>
            </w:r>
          </w:p>
          <w:p w14:paraId="7A6418A2">
            <w:pPr>
              <w:pStyle w:val="6"/>
            </w:pPr>
            <w:r>
              <w:rPr>
                <w:rFonts w:hint="eastAsia"/>
              </w:rPr>
              <w:t>标注★号的条款，每满足一项得3分，共14项，满分42分；</w:t>
            </w:r>
          </w:p>
          <w:p w14:paraId="6D11F6BC">
            <w:pPr>
              <w:pStyle w:val="6"/>
            </w:pPr>
            <w:r>
              <w:rPr>
                <w:rFonts w:hint="eastAsia"/>
              </w:rPr>
              <w:t>注：</w:t>
            </w:r>
          </w:p>
          <w:p w14:paraId="65337C1C">
            <w:pPr>
              <w:pStyle w:val="6"/>
            </w:pPr>
            <w:r>
              <w:rPr>
                <w:rFonts w:hint="eastAsia"/>
              </w:rPr>
              <w:t>（1）如某项标识中包含多条服务要求，则该项标识所含内容均需满足或优于招标文件要求，否则不予认可。</w:t>
            </w:r>
          </w:p>
          <w:p w14:paraId="032D3B15">
            <w:pPr>
              <w:pStyle w:val="6"/>
            </w:pPr>
            <w:r>
              <w:rPr>
                <w:rFonts w:hint="eastAsia"/>
              </w:rPr>
              <w:t>（2）以投标响应表、“服务需求表”中要求提供的证明材料作为评审依据。</w:t>
            </w:r>
          </w:p>
        </w:tc>
        <w:tc>
          <w:tcPr>
            <w:tcW w:w="806" w:type="dxa"/>
            <w:tcBorders>
              <w:top w:val="single" w:color="auto" w:sz="4" w:space="0"/>
              <w:left w:val="single" w:color="auto" w:sz="4" w:space="0"/>
              <w:bottom w:val="single" w:color="auto" w:sz="4" w:space="0"/>
              <w:right w:val="single" w:color="auto" w:sz="4" w:space="0"/>
            </w:tcBorders>
            <w:vAlign w:val="center"/>
          </w:tcPr>
          <w:p w14:paraId="7940403C">
            <w:pPr>
              <w:pStyle w:val="6"/>
              <w:ind w:firstLine="0"/>
            </w:pPr>
            <w:r>
              <w:rPr>
                <w:rFonts w:hint="eastAsia"/>
              </w:rPr>
              <w:t>0-42分</w:t>
            </w:r>
          </w:p>
        </w:tc>
      </w:tr>
      <w:tr w14:paraId="0C2A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continue"/>
            <w:tcBorders>
              <w:left w:val="single" w:color="auto" w:sz="4" w:space="0"/>
              <w:right w:val="single" w:color="auto" w:sz="4" w:space="0"/>
            </w:tcBorders>
            <w:vAlign w:val="center"/>
          </w:tcPr>
          <w:p w14:paraId="16CCC18F">
            <w:pPr>
              <w:pStyle w:val="6"/>
            </w:pPr>
          </w:p>
        </w:tc>
        <w:tc>
          <w:tcPr>
            <w:tcW w:w="1520" w:type="dxa"/>
            <w:tcBorders>
              <w:top w:val="single" w:color="auto" w:sz="4" w:space="0"/>
              <w:left w:val="single" w:color="auto" w:sz="4" w:space="0"/>
              <w:bottom w:val="single" w:color="auto" w:sz="4" w:space="0"/>
              <w:right w:val="single" w:color="auto" w:sz="4" w:space="0"/>
            </w:tcBorders>
            <w:vAlign w:val="center"/>
          </w:tcPr>
          <w:p w14:paraId="482A4F22">
            <w:pPr>
              <w:pStyle w:val="6"/>
              <w:ind w:firstLine="0"/>
            </w:pPr>
            <w:r>
              <w:rPr>
                <w:rFonts w:hint="eastAsia"/>
              </w:rPr>
              <w:t>投标人业绩</w:t>
            </w:r>
          </w:p>
        </w:tc>
        <w:tc>
          <w:tcPr>
            <w:tcW w:w="5394" w:type="dxa"/>
            <w:tcBorders>
              <w:top w:val="single" w:color="auto" w:sz="4" w:space="0"/>
              <w:left w:val="single" w:color="auto" w:sz="4" w:space="0"/>
              <w:bottom w:val="single" w:color="auto" w:sz="4" w:space="0"/>
              <w:right w:val="single" w:color="auto" w:sz="4" w:space="0"/>
            </w:tcBorders>
            <w:vAlign w:val="center"/>
          </w:tcPr>
          <w:p w14:paraId="1A2AB06F">
            <w:pPr>
              <w:pStyle w:val="6"/>
            </w:pPr>
            <w:r>
              <w:rPr>
                <w:rFonts w:hint="eastAsia"/>
              </w:rPr>
              <w:t>1.自2022年1月1日至今（以合同签订日期为准），投标人具备类似服务业绩，每提供1个业绩合同得1.5分，最高得3分。</w:t>
            </w:r>
          </w:p>
          <w:p w14:paraId="72BF4712">
            <w:pPr>
              <w:pStyle w:val="6"/>
            </w:pPr>
            <w:r>
              <w:rPr>
                <w:rFonts w:hint="eastAsia"/>
              </w:rPr>
              <w:t>注：2.投标文件中须提供业绩合同及发票的扫描件或复印件（纵向课题仅提供项目批准文件），如合同或验收合格证明材料中无法体现时间或项目内容的，须另附业主盖章的相关证明文件。</w:t>
            </w:r>
          </w:p>
        </w:tc>
        <w:tc>
          <w:tcPr>
            <w:tcW w:w="806" w:type="dxa"/>
            <w:tcBorders>
              <w:top w:val="single" w:color="auto" w:sz="4" w:space="0"/>
              <w:left w:val="single" w:color="auto" w:sz="4" w:space="0"/>
              <w:bottom w:val="single" w:color="auto" w:sz="4" w:space="0"/>
              <w:right w:val="single" w:color="auto" w:sz="4" w:space="0"/>
            </w:tcBorders>
            <w:vAlign w:val="center"/>
          </w:tcPr>
          <w:p w14:paraId="2F1678F3">
            <w:pPr>
              <w:pStyle w:val="6"/>
              <w:ind w:firstLine="0"/>
            </w:pPr>
            <w:r>
              <w:rPr>
                <w:rFonts w:hint="eastAsia"/>
              </w:rPr>
              <w:t>0-3分</w:t>
            </w:r>
          </w:p>
        </w:tc>
      </w:tr>
      <w:tr w14:paraId="6EF4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continue"/>
            <w:tcBorders>
              <w:left w:val="single" w:color="auto" w:sz="4" w:space="0"/>
              <w:right w:val="single" w:color="auto" w:sz="4" w:space="0"/>
            </w:tcBorders>
            <w:vAlign w:val="center"/>
          </w:tcPr>
          <w:p w14:paraId="5E7CF3EC">
            <w:pPr>
              <w:pStyle w:val="6"/>
            </w:pPr>
          </w:p>
        </w:tc>
        <w:tc>
          <w:tcPr>
            <w:tcW w:w="1520" w:type="dxa"/>
            <w:tcBorders>
              <w:top w:val="single" w:color="auto" w:sz="4" w:space="0"/>
              <w:left w:val="single" w:color="auto" w:sz="4" w:space="0"/>
              <w:bottom w:val="single" w:color="auto" w:sz="4" w:space="0"/>
              <w:right w:val="single" w:color="auto" w:sz="4" w:space="0"/>
            </w:tcBorders>
            <w:vAlign w:val="center"/>
          </w:tcPr>
          <w:p w14:paraId="7AA67D39">
            <w:pPr>
              <w:pStyle w:val="6"/>
              <w:ind w:firstLine="0"/>
            </w:pPr>
            <w:r>
              <w:rPr>
                <w:rFonts w:hint="eastAsia"/>
              </w:rPr>
              <w:t>人员配备</w:t>
            </w:r>
          </w:p>
        </w:tc>
        <w:tc>
          <w:tcPr>
            <w:tcW w:w="5394" w:type="dxa"/>
            <w:tcBorders>
              <w:top w:val="single" w:color="auto" w:sz="4" w:space="0"/>
              <w:left w:val="single" w:color="auto" w:sz="4" w:space="0"/>
              <w:bottom w:val="single" w:color="auto" w:sz="4" w:space="0"/>
              <w:right w:val="single" w:color="auto" w:sz="4" w:space="0"/>
            </w:tcBorders>
            <w:vAlign w:val="center"/>
          </w:tcPr>
          <w:p w14:paraId="601EE167">
            <w:pPr>
              <w:pStyle w:val="6"/>
            </w:pPr>
            <w:r>
              <w:rPr>
                <w:rFonts w:hint="eastAsia"/>
              </w:rPr>
              <w:t>投标人拟为本项目配备以下人员：</w:t>
            </w:r>
          </w:p>
          <w:p w14:paraId="1BBA0343">
            <w:pPr>
              <w:pStyle w:val="6"/>
            </w:pPr>
            <w:r>
              <w:rPr>
                <w:rFonts w:hint="eastAsia"/>
              </w:rPr>
              <w:t>1.项目经理：具有采矿或地质相关专业高级技术职称的，得1分；</w:t>
            </w:r>
          </w:p>
          <w:p w14:paraId="4A1BE8D2">
            <w:pPr>
              <w:pStyle w:val="6"/>
            </w:pPr>
            <w:r>
              <w:rPr>
                <w:rFonts w:hint="eastAsia"/>
              </w:rPr>
              <w:t>2.项目人员（不含项目经理）：具有采矿或地质相关专业高级技术职称的，每提供一人得1分，最高4分；</w:t>
            </w:r>
          </w:p>
          <w:p w14:paraId="2BBFA512">
            <w:pPr>
              <w:pStyle w:val="6"/>
            </w:pPr>
            <w:r>
              <w:rPr>
                <w:rFonts w:hint="eastAsia"/>
              </w:rPr>
              <w:t>注：响应文件中同时提供：</w:t>
            </w:r>
          </w:p>
          <w:p w14:paraId="722C62C7">
            <w:pPr>
              <w:pStyle w:val="6"/>
            </w:pPr>
            <w:r>
              <w:rPr>
                <w:rFonts w:hint="eastAsia"/>
              </w:rPr>
              <w:t xml:space="preserve">（1）人员名单（格式自拟），项目经理及人员必须是投标单位的正式员工（提供学历证、职称证、社保缴费证明扫描件等材料）； </w:t>
            </w:r>
          </w:p>
          <w:p w14:paraId="2BD651D3">
            <w:pPr>
              <w:pStyle w:val="6"/>
            </w:pPr>
            <w:r>
              <w:rPr>
                <w:rFonts w:hint="eastAsia"/>
              </w:rPr>
              <w:t>（2）上述人员提供投标截止日前半年内任意连续三个月的社保证明，未提供或提供不全的不得分；</w:t>
            </w:r>
          </w:p>
          <w:p w14:paraId="580DC3EC">
            <w:pPr>
              <w:pStyle w:val="6"/>
            </w:pPr>
            <w:r>
              <w:rPr>
                <w:rFonts w:hint="eastAsia"/>
              </w:rPr>
              <w:t>（3）提供以上人员资格证书扫描件，未提供的不得分。</w:t>
            </w:r>
          </w:p>
        </w:tc>
        <w:tc>
          <w:tcPr>
            <w:tcW w:w="806" w:type="dxa"/>
            <w:tcBorders>
              <w:top w:val="single" w:color="auto" w:sz="4" w:space="0"/>
              <w:left w:val="single" w:color="auto" w:sz="4" w:space="0"/>
              <w:bottom w:val="single" w:color="auto" w:sz="4" w:space="0"/>
              <w:right w:val="single" w:color="auto" w:sz="4" w:space="0"/>
            </w:tcBorders>
            <w:vAlign w:val="center"/>
          </w:tcPr>
          <w:p w14:paraId="23221E63">
            <w:pPr>
              <w:pStyle w:val="6"/>
              <w:ind w:firstLine="0"/>
            </w:pPr>
            <w:r>
              <w:rPr>
                <w:rFonts w:hint="eastAsia"/>
              </w:rPr>
              <w:t>0-5分</w:t>
            </w:r>
          </w:p>
        </w:tc>
      </w:tr>
      <w:tr w14:paraId="29FA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continue"/>
            <w:tcBorders>
              <w:left w:val="single" w:color="auto" w:sz="4" w:space="0"/>
              <w:right w:val="single" w:color="auto" w:sz="4" w:space="0"/>
            </w:tcBorders>
            <w:vAlign w:val="center"/>
          </w:tcPr>
          <w:p w14:paraId="330ACC39">
            <w:pPr>
              <w:pStyle w:val="6"/>
            </w:pPr>
          </w:p>
        </w:tc>
        <w:tc>
          <w:tcPr>
            <w:tcW w:w="1520" w:type="dxa"/>
            <w:tcBorders>
              <w:top w:val="single" w:color="auto" w:sz="4" w:space="0"/>
              <w:left w:val="single" w:color="auto" w:sz="4" w:space="0"/>
              <w:bottom w:val="single" w:color="auto" w:sz="4" w:space="0"/>
              <w:right w:val="single" w:color="auto" w:sz="4" w:space="0"/>
            </w:tcBorders>
            <w:vAlign w:val="center"/>
          </w:tcPr>
          <w:p w14:paraId="40497741">
            <w:pPr>
              <w:pStyle w:val="6"/>
              <w:ind w:firstLine="0"/>
            </w:pPr>
            <w:r>
              <w:rPr>
                <w:rFonts w:hint="eastAsia"/>
              </w:rPr>
              <w:t>总体实施方案</w:t>
            </w:r>
          </w:p>
        </w:tc>
        <w:tc>
          <w:tcPr>
            <w:tcW w:w="5394" w:type="dxa"/>
            <w:tcBorders>
              <w:top w:val="single" w:color="auto" w:sz="4" w:space="0"/>
              <w:left w:val="single" w:color="auto" w:sz="4" w:space="0"/>
              <w:bottom w:val="single" w:color="auto" w:sz="4" w:space="0"/>
              <w:right w:val="single" w:color="auto" w:sz="4" w:space="0"/>
            </w:tcBorders>
            <w:vAlign w:val="center"/>
          </w:tcPr>
          <w:p w14:paraId="5D70DC91">
            <w:pPr>
              <w:pStyle w:val="6"/>
            </w:pPr>
            <w:r>
              <w:rPr>
                <w:rFonts w:hint="eastAsia"/>
              </w:rPr>
              <w:t>根据供应商提供的项目总体实施工作方案进行综合评分：</w:t>
            </w:r>
          </w:p>
          <w:p w14:paraId="4DCA8C5A">
            <w:pPr>
              <w:pStyle w:val="6"/>
            </w:pPr>
            <w:r>
              <w:rPr>
                <w:rFonts w:hint="eastAsia"/>
              </w:rPr>
              <w:t>1.方案针对性强、流程及可行性合理完整、切合实际得5分；</w:t>
            </w:r>
          </w:p>
          <w:p w14:paraId="6E774530">
            <w:pPr>
              <w:pStyle w:val="6"/>
            </w:pPr>
            <w:r>
              <w:rPr>
                <w:rFonts w:hint="eastAsia"/>
              </w:rPr>
              <w:t>2.方案针对性、流程及可行性基本满足项目需求得3分；</w:t>
            </w:r>
          </w:p>
          <w:p w14:paraId="70A6433D">
            <w:pPr>
              <w:pStyle w:val="6"/>
            </w:pPr>
            <w:r>
              <w:rPr>
                <w:rFonts w:hint="eastAsia"/>
              </w:rPr>
              <w:t>3.方案针对性、流程及可行性有待加强的得1分；</w:t>
            </w:r>
          </w:p>
          <w:p w14:paraId="356E5E4B">
            <w:pPr>
              <w:pStyle w:val="6"/>
            </w:pPr>
            <w:r>
              <w:rPr>
                <w:rFonts w:hint="eastAsia"/>
              </w:rPr>
              <w:t>4.方案针对性、流程有所欠缺，有待完善的得1分；</w:t>
            </w:r>
          </w:p>
          <w:p w14:paraId="662422B5">
            <w:pPr>
              <w:pStyle w:val="6"/>
            </w:pPr>
            <w:r>
              <w:rPr>
                <w:rFonts w:hint="eastAsia"/>
              </w:rPr>
              <w:t>5.未提供方案不得分。</w:t>
            </w:r>
          </w:p>
        </w:tc>
        <w:tc>
          <w:tcPr>
            <w:tcW w:w="806" w:type="dxa"/>
            <w:tcBorders>
              <w:top w:val="single" w:color="auto" w:sz="4" w:space="0"/>
              <w:left w:val="single" w:color="auto" w:sz="4" w:space="0"/>
              <w:bottom w:val="single" w:color="auto" w:sz="4" w:space="0"/>
              <w:right w:val="single" w:color="auto" w:sz="4" w:space="0"/>
            </w:tcBorders>
            <w:vAlign w:val="center"/>
          </w:tcPr>
          <w:p w14:paraId="13547431">
            <w:pPr>
              <w:pStyle w:val="6"/>
              <w:ind w:firstLine="0"/>
            </w:pPr>
            <w:r>
              <w:rPr>
                <w:rFonts w:hint="eastAsia"/>
              </w:rPr>
              <w:t>0-5分</w:t>
            </w:r>
          </w:p>
        </w:tc>
      </w:tr>
      <w:tr w14:paraId="3727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continue"/>
            <w:tcBorders>
              <w:left w:val="single" w:color="auto" w:sz="4" w:space="0"/>
              <w:right w:val="single" w:color="auto" w:sz="4" w:space="0"/>
            </w:tcBorders>
            <w:vAlign w:val="center"/>
          </w:tcPr>
          <w:p w14:paraId="7CCF55A7">
            <w:pPr>
              <w:pStyle w:val="6"/>
            </w:pPr>
          </w:p>
        </w:tc>
        <w:tc>
          <w:tcPr>
            <w:tcW w:w="1520" w:type="dxa"/>
            <w:tcBorders>
              <w:top w:val="single" w:color="auto" w:sz="4" w:space="0"/>
              <w:left w:val="single" w:color="auto" w:sz="4" w:space="0"/>
              <w:bottom w:val="single" w:color="auto" w:sz="4" w:space="0"/>
              <w:right w:val="single" w:color="auto" w:sz="4" w:space="0"/>
            </w:tcBorders>
            <w:vAlign w:val="center"/>
          </w:tcPr>
          <w:p w14:paraId="3915E5C6">
            <w:pPr>
              <w:pStyle w:val="6"/>
              <w:ind w:firstLine="0"/>
            </w:pPr>
            <w:r>
              <w:rPr>
                <w:rFonts w:hint="eastAsia"/>
              </w:rPr>
              <w:t>项目重点难点、关键点及措施</w:t>
            </w:r>
          </w:p>
        </w:tc>
        <w:tc>
          <w:tcPr>
            <w:tcW w:w="5394" w:type="dxa"/>
            <w:tcBorders>
              <w:top w:val="single" w:color="auto" w:sz="4" w:space="0"/>
              <w:left w:val="single" w:color="auto" w:sz="4" w:space="0"/>
              <w:bottom w:val="single" w:color="auto" w:sz="4" w:space="0"/>
              <w:right w:val="single" w:color="auto" w:sz="4" w:space="0"/>
            </w:tcBorders>
          </w:tcPr>
          <w:p w14:paraId="181CAB62">
            <w:pPr>
              <w:pStyle w:val="6"/>
            </w:pPr>
            <w:r>
              <w:rPr>
                <w:rFonts w:hint="eastAsia"/>
              </w:rPr>
              <w:t>根据投标人对项目需求及内容的理解，对项目重点难点、关键点及措施的分析进行评分。</w:t>
            </w:r>
          </w:p>
          <w:p w14:paraId="1EE788E6">
            <w:pPr>
              <w:pStyle w:val="6"/>
            </w:pPr>
            <w:r>
              <w:rPr>
                <w:rFonts w:hint="eastAsia"/>
              </w:rPr>
              <w:t>1.方案详细、措施完善，具有可行性、实用性、针对性强，得5分；</w:t>
            </w:r>
          </w:p>
          <w:p w14:paraId="337B9F2B">
            <w:pPr>
              <w:pStyle w:val="6"/>
            </w:pPr>
            <w:r>
              <w:rPr>
                <w:rFonts w:hint="eastAsia"/>
              </w:rPr>
              <w:t>2.方案基本全面、基本符合采购需求，具有可行性、实用性、针对性，得3分；</w:t>
            </w:r>
          </w:p>
          <w:p w14:paraId="289616A1">
            <w:pPr>
              <w:pStyle w:val="6"/>
            </w:pPr>
            <w:r>
              <w:rPr>
                <w:rFonts w:hint="eastAsia"/>
              </w:rPr>
              <w:t>3.方案简单，针对性、实用性及可行性有待进一步提升的, 得1分；</w:t>
            </w:r>
          </w:p>
          <w:p w14:paraId="20EEE872">
            <w:pPr>
              <w:pStyle w:val="6"/>
            </w:pPr>
            <w:r>
              <w:rPr>
                <w:rFonts w:hint="eastAsia"/>
              </w:rPr>
              <w:t>4.差或无相应内容的不得分。</w:t>
            </w:r>
          </w:p>
        </w:tc>
        <w:tc>
          <w:tcPr>
            <w:tcW w:w="806" w:type="dxa"/>
            <w:tcBorders>
              <w:top w:val="single" w:color="auto" w:sz="4" w:space="0"/>
              <w:left w:val="single" w:color="auto" w:sz="4" w:space="0"/>
              <w:bottom w:val="single" w:color="auto" w:sz="4" w:space="0"/>
              <w:right w:val="single" w:color="auto" w:sz="4" w:space="0"/>
            </w:tcBorders>
            <w:vAlign w:val="center"/>
          </w:tcPr>
          <w:p w14:paraId="08581B9C">
            <w:pPr>
              <w:pStyle w:val="6"/>
              <w:ind w:firstLine="0"/>
            </w:pPr>
            <w:r>
              <w:rPr>
                <w:rFonts w:hint="eastAsia"/>
              </w:rPr>
              <w:t>0-5分</w:t>
            </w:r>
          </w:p>
        </w:tc>
      </w:tr>
      <w:tr w14:paraId="3B3E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continue"/>
            <w:tcBorders>
              <w:left w:val="single" w:color="auto" w:sz="4" w:space="0"/>
              <w:right w:val="single" w:color="auto" w:sz="4" w:space="0"/>
            </w:tcBorders>
            <w:vAlign w:val="center"/>
          </w:tcPr>
          <w:p w14:paraId="0EE34A42">
            <w:pPr>
              <w:pStyle w:val="6"/>
            </w:pPr>
          </w:p>
        </w:tc>
        <w:tc>
          <w:tcPr>
            <w:tcW w:w="1520" w:type="dxa"/>
            <w:tcBorders>
              <w:top w:val="single" w:color="auto" w:sz="4" w:space="0"/>
              <w:left w:val="single" w:color="auto" w:sz="4" w:space="0"/>
              <w:bottom w:val="single" w:color="auto" w:sz="4" w:space="0"/>
              <w:right w:val="single" w:color="auto" w:sz="4" w:space="0"/>
            </w:tcBorders>
            <w:vAlign w:val="center"/>
          </w:tcPr>
          <w:p w14:paraId="40A47D0D">
            <w:pPr>
              <w:pStyle w:val="6"/>
              <w:ind w:firstLine="0"/>
            </w:pPr>
            <w:r>
              <w:rPr>
                <w:rFonts w:hint="eastAsia"/>
              </w:rPr>
              <w:t>主要设备配置方案</w:t>
            </w:r>
          </w:p>
        </w:tc>
        <w:tc>
          <w:tcPr>
            <w:tcW w:w="5394" w:type="dxa"/>
            <w:tcBorders>
              <w:top w:val="single" w:color="auto" w:sz="4" w:space="0"/>
              <w:left w:val="single" w:color="auto" w:sz="4" w:space="0"/>
              <w:bottom w:val="single" w:color="auto" w:sz="4" w:space="0"/>
              <w:right w:val="single" w:color="auto" w:sz="4" w:space="0"/>
            </w:tcBorders>
          </w:tcPr>
          <w:p w14:paraId="015E229C">
            <w:pPr>
              <w:pStyle w:val="6"/>
            </w:pPr>
            <w:r>
              <w:rPr>
                <w:rFonts w:hint="eastAsia"/>
              </w:rPr>
              <w:t>投标人应根据本项目特点，投入的设备数量、选型配置等满足项目需要。</w:t>
            </w:r>
          </w:p>
          <w:p w14:paraId="136267B5">
            <w:pPr>
              <w:pStyle w:val="6"/>
            </w:pPr>
            <w:r>
              <w:rPr>
                <w:rFonts w:hint="eastAsia"/>
              </w:rPr>
              <w:t>1.设备配置详细完善，针对性、实用性及可行性强，有利于项目顺利实施的，得5分；</w:t>
            </w:r>
          </w:p>
          <w:p w14:paraId="4131449A">
            <w:pPr>
              <w:pStyle w:val="6"/>
            </w:pPr>
            <w:r>
              <w:rPr>
                <w:rFonts w:hint="eastAsia"/>
              </w:rPr>
              <w:t>2.设备配置详细，符合采购需求的要求，具有一定的针对性、实用性及可行性，基本满足项目实施需要的，得3分；</w:t>
            </w:r>
          </w:p>
          <w:p w14:paraId="1A218F9E">
            <w:pPr>
              <w:pStyle w:val="6"/>
            </w:pPr>
            <w:r>
              <w:rPr>
                <w:rFonts w:hint="eastAsia"/>
              </w:rPr>
              <w:t>3.设备配置简单，实用性及可行性有待进一步提升的, 得1分；</w:t>
            </w:r>
          </w:p>
          <w:p w14:paraId="148F5D18">
            <w:pPr>
              <w:pStyle w:val="6"/>
            </w:pPr>
            <w:r>
              <w:rPr>
                <w:rFonts w:hint="eastAsia"/>
              </w:rPr>
              <w:t>4.差或未提供不得分。</w:t>
            </w:r>
          </w:p>
        </w:tc>
        <w:tc>
          <w:tcPr>
            <w:tcW w:w="806" w:type="dxa"/>
            <w:tcBorders>
              <w:top w:val="single" w:color="auto" w:sz="4" w:space="0"/>
              <w:left w:val="single" w:color="auto" w:sz="4" w:space="0"/>
              <w:bottom w:val="single" w:color="auto" w:sz="4" w:space="0"/>
              <w:right w:val="single" w:color="auto" w:sz="4" w:space="0"/>
            </w:tcBorders>
            <w:vAlign w:val="center"/>
          </w:tcPr>
          <w:p w14:paraId="5AF31A23">
            <w:pPr>
              <w:pStyle w:val="6"/>
              <w:ind w:firstLine="0"/>
            </w:pPr>
            <w:r>
              <w:rPr>
                <w:rFonts w:hint="eastAsia"/>
              </w:rPr>
              <w:t>0-5分</w:t>
            </w:r>
          </w:p>
        </w:tc>
      </w:tr>
      <w:tr w14:paraId="4E43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continue"/>
            <w:tcBorders>
              <w:left w:val="single" w:color="auto" w:sz="4" w:space="0"/>
              <w:right w:val="single" w:color="auto" w:sz="4" w:space="0"/>
            </w:tcBorders>
            <w:vAlign w:val="center"/>
          </w:tcPr>
          <w:p w14:paraId="6DCB67EA">
            <w:pPr>
              <w:pStyle w:val="6"/>
            </w:pPr>
          </w:p>
        </w:tc>
        <w:tc>
          <w:tcPr>
            <w:tcW w:w="1520" w:type="dxa"/>
            <w:tcBorders>
              <w:top w:val="single" w:color="auto" w:sz="4" w:space="0"/>
              <w:left w:val="single" w:color="auto" w:sz="4" w:space="0"/>
              <w:bottom w:val="single" w:color="auto" w:sz="4" w:space="0"/>
              <w:right w:val="single" w:color="auto" w:sz="4" w:space="0"/>
            </w:tcBorders>
            <w:vAlign w:val="center"/>
          </w:tcPr>
          <w:p w14:paraId="2F5E62F6">
            <w:pPr>
              <w:pStyle w:val="6"/>
              <w:ind w:firstLine="0"/>
            </w:pPr>
            <w:r>
              <w:rPr>
                <w:rFonts w:hint="eastAsia"/>
              </w:rPr>
              <w:t>主要安全技术措施</w:t>
            </w:r>
          </w:p>
        </w:tc>
        <w:tc>
          <w:tcPr>
            <w:tcW w:w="5394" w:type="dxa"/>
            <w:tcBorders>
              <w:top w:val="single" w:color="auto" w:sz="4" w:space="0"/>
              <w:left w:val="single" w:color="auto" w:sz="4" w:space="0"/>
              <w:bottom w:val="single" w:color="auto" w:sz="4" w:space="0"/>
              <w:right w:val="single" w:color="auto" w:sz="4" w:space="0"/>
            </w:tcBorders>
          </w:tcPr>
          <w:p w14:paraId="53074105">
            <w:pPr>
              <w:pStyle w:val="6"/>
            </w:pPr>
            <w:r>
              <w:rPr>
                <w:rFonts w:hint="eastAsia"/>
              </w:rPr>
              <w:t xml:space="preserve">依据主要安全技术措施进行评审。 </w:t>
            </w:r>
          </w:p>
          <w:p w14:paraId="58564BDC">
            <w:pPr>
              <w:pStyle w:val="6"/>
            </w:pPr>
            <w:r>
              <w:rPr>
                <w:rFonts w:hint="eastAsia"/>
              </w:rPr>
              <w:t>1、提供的安全技术措施详细、针对性和可行性强的得5分；</w:t>
            </w:r>
          </w:p>
          <w:p w14:paraId="01A9181C">
            <w:pPr>
              <w:pStyle w:val="6"/>
            </w:pPr>
            <w:r>
              <w:rPr>
                <w:rFonts w:hint="eastAsia"/>
              </w:rPr>
              <w:t>2.提供的安全技术措施符合采购需求、有一定的针对性和可行性的得3分；</w:t>
            </w:r>
          </w:p>
          <w:p w14:paraId="4F0E8DD6">
            <w:pPr>
              <w:pStyle w:val="6"/>
            </w:pPr>
            <w:r>
              <w:rPr>
                <w:rFonts w:hint="eastAsia"/>
              </w:rPr>
              <w:t>3、提供的安全技术措施针对性和可行性需要进一步完善的得1分；</w:t>
            </w:r>
          </w:p>
          <w:p w14:paraId="7C643643">
            <w:pPr>
              <w:pStyle w:val="6"/>
            </w:pPr>
            <w:r>
              <w:rPr>
                <w:rFonts w:hint="eastAsia"/>
              </w:rPr>
              <w:t>4、无相应内容的不得分；</w:t>
            </w:r>
          </w:p>
        </w:tc>
        <w:tc>
          <w:tcPr>
            <w:tcW w:w="806" w:type="dxa"/>
            <w:tcBorders>
              <w:top w:val="single" w:color="auto" w:sz="4" w:space="0"/>
              <w:left w:val="single" w:color="auto" w:sz="4" w:space="0"/>
              <w:bottom w:val="single" w:color="auto" w:sz="4" w:space="0"/>
              <w:right w:val="single" w:color="auto" w:sz="4" w:space="0"/>
            </w:tcBorders>
            <w:vAlign w:val="center"/>
          </w:tcPr>
          <w:p w14:paraId="2B82A6BF">
            <w:pPr>
              <w:pStyle w:val="6"/>
              <w:ind w:firstLine="0"/>
            </w:pPr>
            <w:r>
              <w:rPr>
                <w:rFonts w:hint="eastAsia"/>
              </w:rPr>
              <w:t>0-5分</w:t>
            </w:r>
          </w:p>
        </w:tc>
      </w:tr>
      <w:tr w14:paraId="286A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continue"/>
            <w:tcBorders>
              <w:left w:val="single" w:color="auto" w:sz="4" w:space="0"/>
              <w:right w:val="single" w:color="auto" w:sz="4" w:space="0"/>
            </w:tcBorders>
            <w:vAlign w:val="center"/>
          </w:tcPr>
          <w:p w14:paraId="15F77382">
            <w:pPr>
              <w:pStyle w:val="6"/>
            </w:pPr>
          </w:p>
        </w:tc>
        <w:tc>
          <w:tcPr>
            <w:tcW w:w="1520" w:type="dxa"/>
            <w:tcBorders>
              <w:top w:val="single" w:color="auto" w:sz="4" w:space="0"/>
              <w:left w:val="single" w:color="auto" w:sz="4" w:space="0"/>
              <w:bottom w:val="single" w:color="auto" w:sz="4" w:space="0"/>
              <w:right w:val="single" w:color="auto" w:sz="4" w:space="0"/>
            </w:tcBorders>
            <w:vAlign w:val="center"/>
          </w:tcPr>
          <w:p w14:paraId="51170357">
            <w:pPr>
              <w:pStyle w:val="6"/>
              <w:ind w:firstLine="0"/>
            </w:pPr>
            <w:r>
              <w:rPr>
                <w:rFonts w:hint="eastAsia"/>
              </w:rPr>
              <w:t>技术路线</w:t>
            </w:r>
          </w:p>
        </w:tc>
        <w:tc>
          <w:tcPr>
            <w:tcW w:w="5394" w:type="dxa"/>
            <w:tcBorders>
              <w:top w:val="single" w:color="auto" w:sz="4" w:space="0"/>
              <w:left w:val="single" w:color="auto" w:sz="4" w:space="0"/>
              <w:bottom w:val="single" w:color="auto" w:sz="4" w:space="0"/>
              <w:right w:val="single" w:color="auto" w:sz="4" w:space="0"/>
            </w:tcBorders>
          </w:tcPr>
          <w:p w14:paraId="7AE7F486">
            <w:pPr>
              <w:pStyle w:val="6"/>
            </w:pPr>
            <w:r>
              <w:rPr>
                <w:rFonts w:hint="eastAsia"/>
              </w:rPr>
              <w:t xml:space="preserve">供应商提供针对本项目的技术路线：依据项目目标任务，结合项目地质条件等进行评审。 </w:t>
            </w:r>
          </w:p>
          <w:p w14:paraId="2F9CA34E">
            <w:pPr>
              <w:pStyle w:val="6"/>
            </w:pPr>
            <w:r>
              <w:rPr>
                <w:rFonts w:hint="eastAsia"/>
              </w:rPr>
              <w:t xml:space="preserve">（1）技术路线清晰、质量控制内容全面、工作部署详 细完整，可行性、实用性、针对性强，得5分； </w:t>
            </w:r>
          </w:p>
          <w:p w14:paraId="2731AD19">
            <w:pPr>
              <w:pStyle w:val="6"/>
            </w:pPr>
            <w:r>
              <w:rPr>
                <w:rFonts w:hint="eastAsia"/>
              </w:rPr>
              <w:t xml:space="preserve">（2）技术路线基本清晰、质量控制内容基本全面、工作部署基本完整，具有可行性、实用性、针对性，得3 分； </w:t>
            </w:r>
          </w:p>
          <w:p w14:paraId="37CA4FAE">
            <w:pPr>
              <w:pStyle w:val="6"/>
            </w:pPr>
            <w:r>
              <w:rPr>
                <w:rFonts w:hint="eastAsia"/>
              </w:rPr>
              <w:t xml:space="preserve">（3）技术路线、质量控制内容和工作部署有待提升，可行性、实用性、针对性有待完善，得1分； </w:t>
            </w:r>
          </w:p>
          <w:p w14:paraId="675F9782">
            <w:pPr>
              <w:pStyle w:val="6"/>
            </w:pPr>
            <w:r>
              <w:rPr>
                <w:rFonts w:hint="eastAsia"/>
              </w:rPr>
              <w:t>（4）技术路线不可行、质量控制内容和工作部署差或 未提供相关内容的，得0分</w:t>
            </w:r>
          </w:p>
        </w:tc>
        <w:tc>
          <w:tcPr>
            <w:tcW w:w="806" w:type="dxa"/>
            <w:tcBorders>
              <w:top w:val="single" w:color="auto" w:sz="4" w:space="0"/>
              <w:left w:val="single" w:color="auto" w:sz="4" w:space="0"/>
              <w:bottom w:val="single" w:color="auto" w:sz="4" w:space="0"/>
              <w:right w:val="single" w:color="auto" w:sz="4" w:space="0"/>
            </w:tcBorders>
            <w:vAlign w:val="center"/>
          </w:tcPr>
          <w:p w14:paraId="59443323">
            <w:pPr>
              <w:pStyle w:val="6"/>
              <w:ind w:firstLine="0"/>
            </w:pPr>
            <w:r>
              <w:rPr>
                <w:rFonts w:hint="eastAsia"/>
              </w:rPr>
              <w:t>0-5分</w:t>
            </w:r>
          </w:p>
        </w:tc>
      </w:tr>
      <w:tr w14:paraId="2B8C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continue"/>
            <w:tcBorders>
              <w:left w:val="single" w:color="auto" w:sz="4" w:space="0"/>
              <w:right w:val="single" w:color="auto" w:sz="4" w:space="0"/>
            </w:tcBorders>
            <w:vAlign w:val="center"/>
          </w:tcPr>
          <w:p w14:paraId="1ED0CCBE">
            <w:pPr>
              <w:pStyle w:val="6"/>
            </w:pPr>
          </w:p>
        </w:tc>
        <w:tc>
          <w:tcPr>
            <w:tcW w:w="1520" w:type="dxa"/>
            <w:tcBorders>
              <w:top w:val="single" w:color="auto" w:sz="4" w:space="0"/>
              <w:left w:val="single" w:color="auto" w:sz="4" w:space="0"/>
              <w:bottom w:val="single" w:color="auto" w:sz="4" w:space="0"/>
              <w:right w:val="single" w:color="auto" w:sz="4" w:space="0"/>
            </w:tcBorders>
            <w:vAlign w:val="center"/>
          </w:tcPr>
          <w:p w14:paraId="4B4B4C3F">
            <w:pPr>
              <w:pStyle w:val="6"/>
              <w:ind w:firstLine="0"/>
            </w:pPr>
            <w:r>
              <w:rPr>
                <w:rFonts w:hint="eastAsia"/>
              </w:rPr>
              <w:t>质量控制措施</w:t>
            </w:r>
          </w:p>
        </w:tc>
        <w:tc>
          <w:tcPr>
            <w:tcW w:w="5394" w:type="dxa"/>
            <w:tcBorders>
              <w:top w:val="single" w:color="auto" w:sz="4" w:space="0"/>
              <w:left w:val="single" w:color="auto" w:sz="4" w:space="0"/>
              <w:bottom w:val="single" w:color="auto" w:sz="4" w:space="0"/>
              <w:right w:val="single" w:color="auto" w:sz="4" w:space="0"/>
            </w:tcBorders>
            <w:vAlign w:val="center"/>
          </w:tcPr>
          <w:p w14:paraId="22B8E1B5">
            <w:pPr>
              <w:pStyle w:val="6"/>
            </w:pPr>
            <w:r>
              <w:rPr>
                <w:rFonts w:hint="eastAsia"/>
              </w:rPr>
              <w:t>针对本项目的质量控制措施进行评审。</w:t>
            </w:r>
          </w:p>
          <w:p w14:paraId="29B7A7E9">
            <w:pPr>
              <w:pStyle w:val="6"/>
            </w:pPr>
            <w:r>
              <w:rPr>
                <w:rFonts w:hint="eastAsia"/>
              </w:rPr>
              <w:t>1.对质量要求认识全面，关键质量控制措施科学合理，能有效满足项目质量需求，可行性强的得5分；</w:t>
            </w:r>
          </w:p>
          <w:p w14:paraId="05B1503E">
            <w:pPr>
              <w:pStyle w:val="6"/>
            </w:pPr>
            <w:r>
              <w:rPr>
                <w:rFonts w:hint="eastAsia"/>
              </w:rPr>
              <w:t>2.对质量要求认识较全面，关键质量控制措施较合理，能较好满足本项目要求的得3分；</w:t>
            </w:r>
          </w:p>
          <w:p w14:paraId="7E600FA5">
            <w:pPr>
              <w:pStyle w:val="6"/>
            </w:pPr>
            <w:r>
              <w:rPr>
                <w:rFonts w:hint="eastAsia"/>
              </w:rPr>
              <w:t>3.对质量要求基本了解，关键质量控制措施基本可行，能基本满足本项目要求的得1分；</w:t>
            </w:r>
          </w:p>
          <w:p w14:paraId="464524D4">
            <w:pPr>
              <w:pStyle w:val="6"/>
            </w:pPr>
            <w:r>
              <w:rPr>
                <w:rFonts w:hint="eastAsia"/>
              </w:rPr>
              <w:t>4.不提供方案措施的得0分。</w:t>
            </w:r>
          </w:p>
        </w:tc>
        <w:tc>
          <w:tcPr>
            <w:tcW w:w="806" w:type="dxa"/>
            <w:tcBorders>
              <w:top w:val="single" w:color="auto" w:sz="4" w:space="0"/>
              <w:left w:val="single" w:color="auto" w:sz="4" w:space="0"/>
              <w:bottom w:val="single" w:color="auto" w:sz="4" w:space="0"/>
              <w:right w:val="single" w:color="auto" w:sz="4" w:space="0"/>
            </w:tcBorders>
            <w:vAlign w:val="center"/>
          </w:tcPr>
          <w:p w14:paraId="65A2A477">
            <w:pPr>
              <w:pStyle w:val="6"/>
              <w:ind w:firstLine="0"/>
            </w:pPr>
            <w:r>
              <w:rPr>
                <w:rFonts w:hint="eastAsia"/>
              </w:rPr>
              <w:t>0-5分</w:t>
            </w:r>
          </w:p>
        </w:tc>
      </w:tr>
      <w:tr w14:paraId="54A9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continue"/>
            <w:tcBorders>
              <w:left w:val="single" w:color="auto" w:sz="4" w:space="0"/>
              <w:right w:val="single" w:color="auto" w:sz="4" w:space="0"/>
            </w:tcBorders>
            <w:vAlign w:val="center"/>
          </w:tcPr>
          <w:p w14:paraId="44343ED1">
            <w:pPr>
              <w:pStyle w:val="6"/>
            </w:pPr>
          </w:p>
        </w:tc>
        <w:tc>
          <w:tcPr>
            <w:tcW w:w="1520" w:type="dxa"/>
            <w:tcBorders>
              <w:top w:val="single" w:color="auto" w:sz="4" w:space="0"/>
              <w:left w:val="single" w:color="auto" w:sz="4" w:space="0"/>
              <w:bottom w:val="single" w:color="auto" w:sz="4" w:space="0"/>
              <w:right w:val="single" w:color="auto" w:sz="4" w:space="0"/>
            </w:tcBorders>
            <w:vAlign w:val="center"/>
          </w:tcPr>
          <w:p w14:paraId="235AAAF3">
            <w:pPr>
              <w:pStyle w:val="6"/>
              <w:ind w:firstLine="0"/>
            </w:pPr>
            <w:r>
              <w:rPr>
                <w:rFonts w:hint="eastAsia"/>
              </w:rPr>
              <w:t>预期成果及进度安排</w:t>
            </w:r>
          </w:p>
        </w:tc>
        <w:tc>
          <w:tcPr>
            <w:tcW w:w="5394" w:type="dxa"/>
            <w:tcBorders>
              <w:top w:val="single" w:color="auto" w:sz="4" w:space="0"/>
              <w:left w:val="single" w:color="auto" w:sz="4" w:space="0"/>
              <w:bottom w:val="single" w:color="auto" w:sz="4" w:space="0"/>
              <w:right w:val="single" w:color="auto" w:sz="4" w:space="0"/>
            </w:tcBorders>
            <w:vAlign w:val="center"/>
          </w:tcPr>
          <w:p w14:paraId="685CE9A4">
            <w:pPr>
              <w:pStyle w:val="6"/>
            </w:pPr>
            <w:r>
              <w:rPr>
                <w:rFonts w:hint="eastAsia"/>
              </w:rPr>
              <w:t xml:space="preserve">供应商提供针对本项目的预期成果及进度安排： </w:t>
            </w:r>
          </w:p>
          <w:p w14:paraId="4F7C2FB7">
            <w:pPr>
              <w:pStyle w:val="6"/>
            </w:pPr>
            <w:r>
              <w:rPr>
                <w:rFonts w:hint="eastAsia"/>
              </w:rPr>
              <w:t xml:space="preserve">1.预期成果及进度安排详细完整，可行性、实用性、针对性强，得5分； </w:t>
            </w:r>
          </w:p>
          <w:p w14:paraId="6A3F51F9">
            <w:pPr>
              <w:pStyle w:val="6"/>
            </w:pPr>
            <w:r>
              <w:rPr>
                <w:rFonts w:hint="eastAsia"/>
              </w:rPr>
              <w:t xml:space="preserve">2.预期成果及进度安排基本全面、工作部署基本完整，具有可行性、实用性、针对性，得3 分； </w:t>
            </w:r>
          </w:p>
          <w:p w14:paraId="1A38BD23">
            <w:pPr>
              <w:pStyle w:val="6"/>
            </w:pPr>
            <w:r>
              <w:rPr>
                <w:rFonts w:hint="eastAsia"/>
              </w:rPr>
              <w:t xml:space="preserve">3.预期成果及进度安排有待提升，可行性、实用性、针对性有待完善，得1分； </w:t>
            </w:r>
          </w:p>
          <w:p w14:paraId="0DBCAEFA">
            <w:pPr>
              <w:pStyle w:val="6"/>
            </w:pPr>
            <w:r>
              <w:rPr>
                <w:rFonts w:hint="eastAsia"/>
              </w:rPr>
              <w:t xml:space="preserve">4.未提供相关内容的，不得分。 </w:t>
            </w:r>
          </w:p>
        </w:tc>
        <w:tc>
          <w:tcPr>
            <w:tcW w:w="806" w:type="dxa"/>
            <w:tcBorders>
              <w:top w:val="single" w:color="auto" w:sz="4" w:space="0"/>
              <w:left w:val="single" w:color="auto" w:sz="4" w:space="0"/>
              <w:bottom w:val="single" w:color="auto" w:sz="4" w:space="0"/>
              <w:right w:val="single" w:color="auto" w:sz="4" w:space="0"/>
            </w:tcBorders>
            <w:vAlign w:val="center"/>
          </w:tcPr>
          <w:p w14:paraId="1A915655">
            <w:pPr>
              <w:pStyle w:val="6"/>
              <w:ind w:firstLine="0"/>
            </w:pPr>
            <w:r>
              <w:rPr>
                <w:rFonts w:hint="eastAsia"/>
              </w:rPr>
              <w:t>0-5分</w:t>
            </w:r>
          </w:p>
        </w:tc>
      </w:tr>
      <w:tr w14:paraId="641E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continue"/>
            <w:tcBorders>
              <w:left w:val="single" w:color="auto" w:sz="4" w:space="0"/>
              <w:right w:val="single" w:color="auto" w:sz="4" w:space="0"/>
            </w:tcBorders>
            <w:vAlign w:val="center"/>
          </w:tcPr>
          <w:p w14:paraId="10304117">
            <w:pPr>
              <w:pStyle w:val="6"/>
            </w:pPr>
          </w:p>
        </w:tc>
        <w:tc>
          <w:tcPr>
            <w:tcW w:w="1520" w:type="dxa"/>
            <w:tcBorders>
              <w:top w:val="single" w:color="auto" w:sz="4" w:space="0"/>
              <w:left w:val="single" w:color="auto" w:sz="4" w:space="0"/>
              <w:bottom w:val="single" w:color="auto" w:sz="4" w:space="0"/>
              <w:right w:val="single" w:color="auto" w:sz="4" w:space="0"/>
            </w:tcBorders>
            <w:vAlign w:val="center"/>
          </w:tcPr>
          <w:p w14:paraId="263DD21E">
            <w:pPr>
              <w:pStyle w:val="6"/>
              <w:ind w:firstLine="0"/>
            </w:pPr>
            <w:r>
              <w:rPr>
                <w:rFonts w:hint="eastAsia"/>
              </w:rPr>
              <w:t>应急方案</w:t>
            </w:r>
          </w:p>
        </w:tc>
        <w:tc>
          <w:tcPr>
            <w:tcW w:w="5394" w:type="dxa"/>
            <w:tcBorders>
              <w:top w:val="single" w:color="auto" w:sz="4" w:space="0"/>
              <w:left w:val="single" w:color="auto" w:sz="4" w:space="0"/>
              <w:bottom w:val="single" w:color="auto" w:sz="4" w:space="0"/>
              <w:right w:val="single" w:color="auto" w:sz="4" w:space="0"/>
            </w:tcBorders>
            <w:vAlign w:val="center"/>
          </w:tcPr>
          <w:p w14:paraId="2CB29CAB">
            <w:pPr>
              <w:pStyle w:val="6"/>
            </w:pPr>
            <w:r>
              <w:rPr>
                <w:rFonts w:hint="eastAsia"/>
              </w:rPr>
              <w:t xml:space="preserve">投标人根据本项目特点特征自行编制应急方案，内容包括但不限于承诺具体应急响应时间、应急措施等，评标委员会对提供的应急方案进行综合评分： </w:t>
            </w:r>
          </w:p>
          <w:p w14:paraId="5B3128CE">
            <w:pPr>
              <w:pStyle w:val="6"/>
            </w:pPr>
            <w:r>
              <w:rPr>
                <w:rFonts w:hint="eastAsia"/>
              </w:rPr>
              <w:t xml:space="preserve">1.应急响应时间短，应急措施详细，方案完善、具有针对性和可行性的，得5分； </w:t>
            </w:r>
          </w:p>
          <w:p w14:paraId="07F75B21">
            <w:pPr>
              <w:pStyle w:val="6"/>
            </w:pPr>
            <w:r>
              <w:rPr>
                <w:rFonts w:hint="eastAsia"/>
              </w:rPr>
              <w:t xml:space="preserve">2.应急响应时间、应急措施方案，具有一定的针对性和可行性的，得 3分； </w:t>
            </w:r>
          </w:p>
          <w:p w14:paraId="376FB0DE">
            <w:pPr>
              <w:pStyle w:val="6"/>
            </w:pPr>
            <w:r>
              <w:rPr>
                <w:rFonts w:hint="eastAsia"/>
              </w:rPr>
              <w:t xml:space="preserve">3.投标人承诺应急响应时间长，应急措施需要进一步完善，方案有待改进的，得1分： </w:t>
            </w:r>
          </w:p>
          <w:p w14:paraId="52E1111C">
            <w:pPr>
              <w:pStyle w:val="6"/>
            </w:pPr>
            <w:r>
              <w:rPr>
                <w:rFonts w:hint="eastAsia"/>
              </w:rPr>
              <w:t>4.方案较差或未提供不得分。</w:t>
            </w:r>
          </w:p>
        </w:tc>
        <w:tc>
          <w:tcPr>
            <w:tcW w:w="806" w:type="dxa"/>
            <w:tcBorders>
              <w:top w:val="single" w:color="auto" w:sz="4" w:space="0"/>
              <w:left w:val="single" w:color="auto" w:sz="4" w:space="0"/>
              <w:bottom w:val="single" w:color="auto" w:sz="4" w:space="0"/>
              <w:right w:val="single" w:color="auto" w:sz="4" w:space="0"/>
            </w:tcBorders>
            <w:vAlign w:val="center"/>
          </w:tcPr>
          <w:p w14:paraId="1F5A3E8F">
            <w:pPr>
              <w:pStyle w:val="6"/>
              <w:ind w:firstLine="0"/>
            </w:pPr>
            <w:r>
              <w:rPr>
                <w:rFonts w:hint="eastAsia"/>
              </w:rPr>
              <w:t>0-5分</w:t>
            </w:r>
          </w:p>
        </w:tc>
      </w:tr>
      <w:tr w14:paraId="2083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Borders>
              <w:left w:val="single" w:color="auto" w:sz="4" w:space="0"/>
              <w:right w:val="single" w:color="auto" w:sz="4" w:space="0"/>
            </w:tcBorders>
            <w:vAlign w:val="center"/>
          </w:tcPr>
          <w:p w14:paraId="085A2324">
            <w:pPr>
              <w:pStyle w:val="6"/>
            </w:pPr>
            <w:r>
              <w:rPr>
                <w:rFonts w:hint="eastAsia"/>
              </w:rPr>
              <w:t>价格分</w:t>
            </w:r>
          </w:p>
          <w:p w14:paraId="0502DFAB">
            <w:pPr>
              <w:pStyle w:val="6"/>
            </w:pPr>
            <w:r>
              <w:rPr>
                <w:rFonts w:hint="eastAsia"/>
              </w:rPr>
              <w:t>（10分）</w:t>
            </w:r>
          </w:p>
        </w:tc>
        <w:tc>
          <w:tcPr>
            <w:tcW w:w="7720" w:type="dxa"/>
            <w:gridSpan w:val="3"/>
            <w:tcBorders>
              <w:top w:val="single" w:color="auto" w:sz="4" w:space="0"/>
              <w:left w:val="single" w:color="auto" w:sz="4" w:space="0"/>
              <w:bottom w:val="single" w:color="auto" w:sz="4" w:space="0"/>
              <w:right w:val="single" w:color="auto" w:sz="4" w:space="0"/>
            </w:tcBorders>
            <w:vAlign w:val="center"/>
          </w:tcPr>
          <w:p w14:paraId="5A4B5074">
            <w:pPr>
              <w:pStyle w:val="6"/>
            </w:pPr>
            <w:r>
              <w:rPr>
                <w:rFonts w:hint="eastAsia"/>
              </w:rPr>
              <w:t>价格分统一采用低价优先法，招标文件要求且投标价格最低的投标报价为评标基准价，其价格分为满分10分。其他投标人的价格分统一按照下列公式计算：</w:t>
            </w:r>
          </w:p>
          <w:p w14:paraId="165A47DD">
            <w:pPr>
              <w:pStyle w:val="6"/>
            </w:pPr>
            <w:r>
              <w:rPr>
                <w:rFonts w:hint="eastAsia"/>
              </w:rPr>
              <w:t>投标报价得分＝（评标基准价/投标报价）×10％×100</w:t>
            </w:r>
          </w:p>
        </w:tc>
      </w:tr>
      <w:bookmarkEnd w:id="41"/>
    </w:tbl>
    <w:p w14:paraId="72F6C3F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.3.3</w:t>
      </w:r>
      <w:r>
        <w:rPr>
          <w:rFonts w:hint="eastAsia" w:asciiTheme="minorEastAsia" w:hAnsiTheme="minorEastAsia" w:eastAsiaTheme="minorEastAsia"/>
          <w:sz w:val="24"/>
        </w:rPr>
        <w:t>分值汇总</w:t>
      </w:r>
    </w:p>
    <w:p w14:paraId="7FC8945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评标委员会各成员应当独立对每个</w:t>
      </w:r>
      <w:r>
        <w:rPr>
          <w:rFonts w:hint="eastAsia" w:asciiTheme="minorEastAsia" w:hAnsiTheme="minorEastAsia" w:eastAsiaTheme="minorEastAsia"/>
          <w:sz w:val="24"/>
        </w:rPr>
        <w:t>有效</w:t>
      </w:r>
      <w:r>
        <w:rPr>
          <w:rFonts w:asciiTheme="minorEastAsia" w:hAnsiTheme="minorEastAsia" w:eastAsiaTheme="minorEastAsia"/>
          <w:sz w:val="24"/>
        </w:rPr>
        <w:t>投标人的投标文件进行评</w:t>
      </w:r>
      <w:r>
        <w:rPr>
          <w:rFonts w:hint="eastAsia" w:asciiTheme="minorEastAsia" w:hAnsiTheme="minorEastAsia" w:eastAsiaTheme="minorEastAsia"/>
          <w:sz w:val="24"/>
        </w:rPr>
        <w:t>分</w:t>
      </w:r>
      <w:r>
        <w:rPr>
          <w:rFonts w:asciiTheme="minorEastAsia" w:hAnsiTheme="minorEastAsia" w:eastAsiaTheme="minorEastAsia"/>
          <w:sz w:val="24"/>
        </w:rPr>
        <w:t>，并汇总每个投</w:t>
      </w:r>
      <w:r>
        <w:rPr>
          <w:rFonts w:hint="eastAsia" w:asciiTheme="minorEastAsia" w:hAnsiTheme="minorEastAsia" w:eastAsiaTheme="minorEastAsia"/>
          <w:sz w:val="24"/>
        </w:rPr>
        <w:t>标人的得分。取各位评委评分之平均值，四舍五入保留至小数点后两位数，</w:t>
      </w:r>
      <w:r>
        <w:rPr>
          <w:rFonts w:asciiTheme="minorEastAsia" w:hAnsiTheme="minorEastAsia" w:eastAsiaTheme="minorEastAsia"/>
          <w:sz w:val="24"/>
        </w:rPr>
        <w:t>得到该投标</w:t>
      </w:r>
      <w:r>
        <w:rPr>
          <w:rFonts w:hint="eastAsia" w:asciiTheme="minorEastAsia" w:hAnsiTheme="minorEastAsia" w:eastAsiaTheme="minorEastAsia"/>
          <w:sz w:val="24"/>
        </w:rPr>
        <w:t>人</w:t>
      </w:r>
      <w:r>
        <w:rPr>
          <w:rFonts w:asciiTheme="minorEastAsia" w:hAnsiTheme="minorEastAsia" w:eastAsiaTheme="minorEastAsia"/>
          <w:sz w:val="24"/>
        </w:rPr>
        <w:t>的技术资信分</w:t>
      </w:r>
      <w:r>
        <w:rPr>
          <w:rFonts w:hint="eastAsia" w:asciiTheme="minorEastAsia" w:hAnsiTheme="minorEastAsia" w:eastAsiaTheme="minorEastAsia"/>
          <w:sz w:val="24"/>
        </w:rPr>
        <w:t>。</w:t>
      </w:r>
    </w:p>
    <w:p w14:paraId="4CF00E6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将投标</w:t>
      </w:r>
      <w:r>
        <w:rPr>
          <w:rFonts w:hint="eastAsia" w:asciiTheme="minorEastAsia" w:hAnsiTheme="minorEastAsia" w:eastAsiaTheme="minorEastAsia"/>
          <w:sz w:val="24"/>
        </w:rPr>
        <w:t>人</w:t>
      </w:r>
      <w:r>
        <w:rPr>
          <w:rFonts w:asciiTheme="minorEastAsia" w:hAnsiTheme="minorEastAsia" w:eastAsiaTheme="minorEastAsia"/>
          <w:sz w:val="24"/>
        </w:rPr>
        <w:t>的技术资信分加上根据上述标准计算出的价格分，即为该投标</w:t>
      </w:r>
      <w:r>
        <w:rPr>
          <w:rFonts w:hint="eastAsia" w:asciiTheme="minorEastAsia" w:hAnsiTheme="minorEastAsia" w:eastAsiaTheme="minorEastAsia"/>
          <w:sz w:val="24"/>
        </w:rPr>
        <w:t>人</w:t>
      </w:r>
      <w:r>
        <w:rPr>
          <w:rFonts w:asciiTheme="minorEastAsia" w:hAnsiTheme="minorEastAsia" w:eastAsiaTheme="minorEastAsia"/>
          <w:sz w:val="24"/>
        </w:rPr>
        <w:t>的综合总得分。</w:t>
      </w:r>
      <w:r>
        <w:rPr>
          <w:rFonts w:asciiTheme="minorEastAsia" w:hAnsiTheme="minorEastAsia" w:eastAsiaTheme="minorEastAsia"/>
          <w:sz w:val="24"/>
        </w:rPr>
        <w:br w:type="page"/>
      </w:r>
    </w:p>
    <w:p w14:paraId="30652078">
      <w:pPr>
        <w:spacing w:line="360" w:lineRule="auto"/>
        <w:jc w:val="center"/>
        <w:outlineLvl w:val="0"/>
        <w:rPr>
          <w:rFonts w:hint="eastAsia" w:asciiTheme="minorEastAsia" w:hAnsiTheme="minorEastAsia" w:eastAsiaTheme="minorEastAsia"/>
          <w:b/>
          <w:sz w:val="28"/>
        </w:rPr>
      </w:pPr>
      <w:bookmarkStart w:id="42" w:name="_Toc20405"/>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42"/>
      <w:r>
        <w:rPr>
          <w:rFonts w:hint="eastAsia" w:asciiTheme="minorEastAsia" w:hAnsiTheme="minorEastAsia" w:eastAsiaTheme="minorEastAsia"/>
          <w:b/>
          <w:sz w:val="28"/>
        </w:rPr>
        <w:t>（仅供参考）</w:t>
      </w:r>
    </w:p>
    <w:p w14:paraId="329B6506">
      <w:pPr>
        <w:spacing w:line="480" w:lineRule="auto"/>
        <w:jc w:val="center"/>
        <w:rPr>
          <w:rFonts w:hint="eastAsia" w:cs="Times New Roman" w:asciiTheme="minorEastAsia" w:hAnsiTheme="minorEastAsia" w:eastAsiaTheme="minorEastAsia"/>
          <w:b/>
          <w:color w:val="000000" w:themeColor="text1"/>
          <w:sz w:val="28"/>
          <w:szCs w:val="28"/>
          <w14:textFill>
            <w14:solidFill>
              <w14:schemeClr w14:val="tx1"/>
            </w14:solidFill>
          </w14:textFill>
        </w:rPr>
      </w:pPr>
      <w:bookmarkStart w:id="43" w:name="_Toc331685784"/>
    </w:p>
    <w:p w14:paraId="0E7F7152">
      <w:pPr>
        <w:spacing w:line="480" w:lineRule="auto"/>
        <w:jc w:val="center"/>
        <w:rPr>
          <w:rFonts w:hint="eastAsia" w:cs="Times New Roman" w:asciiTheme="minorEastAsia" w:hAnsiTheme="minorEastAsia" w:eastAsiaTheme="minorEastAsia"/>
          <w:b/>
          <w:color w:val="000000" w:themeColor="text1"/>
          <w:sz w:val="28"/>
          <w:szCs w:val="28"/>
          <w14:textFill>
            <w14:solidFill>
              <w14:schemeClr w14:val="tx1"/>
            </w14:solidFill>
          </w14:textFill>
        </w:rPr>
      </w:pPr>
    </w:p>
    <w:p w14:paraId="4A2B1DF8">
      <w:pPr>
        <w:pStyle w:val="9"/>
        <w:rPr>
          <w:rFonts w:hint="eastAsia"/>
        </w:rPr>
      </w:pPr>
    </w:p>
    <w:p w14:paraId="7329A25C">
      <w:pPr>
        <w:spacing w:line="480" w:lineRule="auto"/>
        <w:jc w:val="center"/>
        <w:rPr>
          <w:rFonts w:hint="eastAsia" w:cs="Times New Roman" w:asciiTheme="minorEastAsia" w:hAnsiTheme="minorEastAsia" w:eastAsiaTheme="minorEastAsia"/>
          <w:b/>
          <w:color w:val="000000" w:themeColor="text1"/>
          <w:sz w:val="28"/>
          <w:szCs w:val="28"/>
          <w14:textFill>
            <w14:solidFill>
              <w14:schemeClr w14:val="tx1"/>
            </w14:solidFill>
          </w14:textFill>
        </w:rPr>
      </w:pPr>
      <w:bookmarkStart w:id="44" w:name="_Toc3714"/>
      <w:r>
        <w:rPr>
          <w:rFonts w:cs="Times New Roman" w:asciiTheme="minorEastAsia" w:hAnsiTheme="minorEastAsia" w:eastAsiaTheme="minorEastAsia"/>
          <w:b/>
          <w:color w:val="000000" w:themeColor="text1"/>
          <w:sz w:val="28"/>
          <w:szCs w:val="28"/>
          <w14:textFill>
            <w14:solidFill>
              <w14:schemeClr w14:val="tx1"/>
            </w14:solidFill>
          </w14:textFill>
        </w:rPr>
        <w:t>政府采购合同</w:t>
      </w:r>
      <w:r>
        <w:rPr>
          <w:rFonts w:hint="eastAsia" w:cs="Times New Roman" w:asciiTheme="minorEastAsia" w:hAnsiTheme="minorEastAsia" w:eastAsiaTheme="minorEastAsia"/>
          <w:b/>
          <w:color w:val="000000" w:themeColor="text1"/>
          <w:sz w:val="28"/>
          <w:szCs w:val="28"/>
          <w14:textFill>
            <w14:solidFill>
              <w14:schemeClr w14:val="tx1"/>
            </w14:solidFill>
          </w14:textFill>
        </w:rPr>
        <w:t>参考范本</w:t>
      </w:r>
      <w:bookmarkEnd w:id="44"/>
    </w:p>
    <w:p w14:paraId="1F469983">
      <w:pPr>
        <w:spacing w:line="480" w:lineRule="auto"/>
        <w:jc w:val="center"/>
        <w:rPr>
          <w:rFonts w:hint="eastAsia" w:cs="Times New Roman" w:asciiTheme="minorEastAsia" w:hAnsiTheme="minorEastAsia" w:eastAsiaTheme="minorEastAsia"/>
          <w:b/>
          <w:color w:val="000000" w:themeColor="text1"/>
          <w:sz w:val="28"/>
          <w:szCs w:val="28"/>
          <w14:textFill>
            <w14:solidFill>
              <w14:schemeClr w14:val="tx1"/>
            </w14:solidFill>
          </w14:textFill>
        </w:rPr>
      </w:pPr>
      <w:bookmarkStart w:id="45" w:name="_Toc8560"/>
      <w:r>
        <w:rPr>
          <w:rFonts w:hint="eastAsia" w:cs="Times New Roman" w:asciiTheme="minorEastAsia" w:hAnsiTheme="minorEastAsia" w:eastAsiaTheme="minorEastAsia"/>
          <w:b/>
          <w:color w:val="000000" w:themeColor="text1"/>
          <w:sz w:val="28"/>
          <w:szCs w:val="28"/>
          <w14:textFill>
            <w14:solidFill>
              <w14:schemeClr w14:val="tx1"/>
            </w14:solidFill>
          </w14:textFill>
        </w:rPr>
        <w:t>（服务类）</w:t>
      </w:r>
      <w:bookmarkEnd w:id="45"/>
    </w:p>
    <w:p w14:paraId="727BF441">
      <w:pPr>
        <w:spacing w:line="480" w:lineRule="auto"/>
        <w:jc w:val="center"/>
        <w:rPr>
          <w:rFonts w:hint="eastAsia" w:cs="Times New Roman" w:asciiTheme="minorEastAsia" w:hAnsiTheme="minorEastAsia" w:eastAsiaTheme="minorEastAsia"/>
          <w:b/>
          <w:color w:val="000000" w:themeColor="text1"/>
          <w:sz w:val="24"/>
          <w:szCs w:val="24"/>
          <w14:textFill>
            <w14:solidFill>
              <w14:schemeClr w14:val="tx1"/>
            </w14:solidFill>
          </w14:textFill>
        </w:rPr>
      </w:pPr>
    </w:p>
    <w:p w14:paraId="18564E43">
      <w:pPr>
        <w:spacing w:line="480" w:lineRule="auto"/>
        <w:jc w:val="center"/>
        <w:rPr>
          <w:rFonts w:hint="eastAsia" w:cs="Times New Roman" w:asciiTheme="minorEastAsia" w:hAnsiTheme="minorEastAsia" w:eastAsiaTheme="minorEastAsia"/>
          <w:b/>
          <w:color w:val="000000" w:themeColor="text1"/>
          <w:sz w:val="24"/>
          <w:szCs w:val="24"/>
          <w14:textFill>
            <w14:solidFill>
              <w14:schemeClr w14:val="tx1"/>
            </w14:solidFill>
          </w14:textFill>
        </w:rPr>
      </w:pPr>
    </w:p>
    <w:p w14:paraId="42052280">
      <w:pPr>
        <w:spacing w:line="480" w:lineRule="auto"/>
        <w:jc w:val="center"/>
        <w:rPr>
          <w:rFonts w:hint="eastAsia" w:cs="Times New Roman" w:asciiTheme="minorEastAsia" w:hAnsiTheme="minorEastAsia" w:eastAsiaTheme="minorEastAsia"/>
          <w:b/>
          <w:color w:val="000000" w:themeColor="text1"/>
          <w:sz w:val="24"/>
          <w:szCs w:val="24"/>
          <w14:textFill>
            <w14:solidFill>
              <w14:schemeClr w14:val="tx1"/>
            </w14:solidFill>
          </w14:textFill>
        </w:rPr>
      </w:pPr>
    </w:p>
    <w:p w14:paraId="5A097140">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bookmarkStart w:id="46" w:name="_Toc2449"/>
      <w:r>
        <w:rPr>
          <w:rFonts w:hint="eastAsia" w:asciiTheme="minorEastAsia" w:hAnsiTheme="minorEastAsia" w:eastAsiaTheme="minorEastAsia"/>
          <w:b/>
          <w:color w:val="000000" w:themeColor="text1"/>
          <w:sz w:val="24"/>
          <w14:textFill>
            <w14:solidFill>
              <w14:schemeClr w14:val="tx1"/>
            </w14:solidFill>
          </w14:textFill>
        </w:rPr>
        <w:t>第一部分 合同书</w:t>
      </w:r>
      <w:bookmarkEnd w:id="46"/>
    </w:p>
    <w:p w14:paraId="374A7B8B">
      <w:pPr>
        <w:spacing w:line="480" w:lineRule="auto"/>
        <w:jc w:val="center"/>
        <w:rPr>
          <w:rFonts w:hint="eastAsia" w:cs="Times New Roman" w:asciiTheme="minorEastAsia" w:hAnsiTheme="minorEastAsia" w:eastAsiaTheme="minorEastAsia"/>
          <w:b/>
          <w:color w:val="000000" w:themeColor="text1"/>
          <w:sz w:val="24"/>
          <w:szCs w:val="24"/>
          <w14:textFill>
            <w14:solidFill>
              <w14:schemeClr w14:val="tx1"/>
            </w14:solidFill>
          </w14:textFill>
        </w:rPr>
      </w:pPr>
    </w:p>
    <w:p w14:paraId="3F724E6D">
      <w:pPr>
        <w:spacing w:line="480" w:lineRule="auto"/>
        <w:jc w:val="center"/>
        <w:rPr>
          <w:rFonts w:hint="eastAsia" w:cs="Times New Roman" w:asciiTheme="minorEastAsia" w:hAnsiTheme="minorEastAsia" w:eastAsiaTheme="minorEastAsia"/>
          <w:b/>
          <w:color w:val="000000" w:themeColor="text1"/>
          <w:sz w:val="24"/>
          <w:szCs w:val="24"/>
          <w14:textFill>
            <w14:solidFill>
              <w14:schemeClr w14:val="tx1"/>
            </w14:solidFill>
          </w14:textFill>
        </w:rPr>
      </w:pPr>
    </w:p>
    <w:p w14:paraId="1F3777A7">
      <w:pPr>
        <w:pStyle w:val="9"/>
        <w:rPr>
          <w:rFonts w:hint="eastAsia"/>
        </w:rPr>
      </w:pPr>
    </w:p>
    <w:p w14:paraId="2DF60328">
      <w:pPr>
        <w:pStyle w:val="9"/>
        <w:rPr>
          <w:rFonts w:hint="eastAsia"/>
        </w:rPr>
      </w:pPr>
    </w:p>
    <w:p w14:paraId="51E3E5EE">
      <w:pPr>
        <w:spacing w:before="120" w:line="480" w:lineRule="auto"/>
        <w:ind w:left="960"/>
        <w:rPr>
          <w:rFonts w:hint="eastAsia"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项目名称：</w:t>
      </w:r>
      <w:r>
        <w:rPr>
          <w:rFonts w:hint="eastAsia" w:cs="Times New Roman" w:asciiTheme="minorEastAsia" w:hAnsiTheme="minorEastAsia" w:eastAsiaTheme="minorEastAsia"/>
          <w:i/>
          <w:iCs/>
          <w:color w:val="000000" w:themeColor="text1"/>
          <w:sz w:val="24"/>
          <w:szCs w:val="24"/>
          <w14:textFill>
            <w14:solidFill>
              <w14:schemeClr w14:val="tx1"/>
            </w14:solidFill>
          </w14:textFill>
        </w:rPr>
        <w:t>（分包项目须填写完整的分包号及分包名称）</w:t>
      </w:r>
    </w:p>
    <w:p w14:paraId="2EF8B17B">
      <w:pPr>
        <w:spacing w:before="120" w:line="480" w:lineRule="auto"/>
        <w:ind w:left="960"/>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项目编号：</w:t>
      </w:r>
    </w:p>
    <w:p w14:paraId="15BD833E">
      <w:pPr>
        <w:spacing w:before="120" w:line="480" w:lineRule="auto"/>
        <w:ind w:left="960"/>
        <w:rPr>
          <w:rFonts w:hint="eastAsia"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甲方（采购人）：</w:t>
      </w:r>
    </w:p>
    <w:p w14:paraId="2260A6E9">
      <w:pPr>
        <w:spacing w:before="120" w:line="480" w:lineRule="auto"/>
        <w:ind w:left="960"/>
        <w:rPr>
          <w:rFonts w:hint="eastAsia"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乙方（中标人）：</w:t>
      </w:r>
    </w:p>
    <w:p w14:paraId="70EFF3C3">
      <w:pPr>
        <w:spacing w:before="120" w:line="480" w:lineRule="auto"/>
        <w:ind w:firstLine="960" w:firstLineChars="400"/>
        <w:rPr>
          <w:rFonts w:hint="eastAsia"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签订地：</w:t>
      </w:r>
    </w:p>
    <w:p w14:paraId="406765BE">
      <w:pPr>
        <w:spacing w:before="120" w:line="480" w:lineRule="auto"/>
        <w:ind w:firstLine="960" w:firstLineChars="400"/>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签订日期：年月日</w:t>
      </w:r>
    </w:p>
    <w:p w14:paraId="59B7050F">
      <w:pPr>
        <w:widowControl/>
        <w:jc w:val="left"/>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br w:type="page"/>
      </w:r>
    </w:p>
    <w:p w14:paraId="5D4A04E3">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Arial" w:hAnsi="Arial" w:eastAsia="宋体" w:cs="Arial"/>
          <w:sz w:val="24"/>
          <w:szCs w:val="24"/>
          <w:u w:val="single"/>
        </w:rPr>
        <w:t>安徽理工大学</w:t>
      </w:r>
      <w:r>
        <w:rPr>
          <w:rFonts w:hint="eastAsia" w:asciiTheme="minorEastAsia" w:hAnsiTheme="minorEastAsia" w:eastAsiaTheme="minorEastAsia"/>
          <w:color w:val="000000" w:themeColor="text1"/>
          <w:sz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以下简称：甲方</w:t>
      </w:r>
      <w:r>
        <w:rPr>
          <w:rFonts w:hint="eastAsia" w:asciiTheme="minorEastAsia" w:hAnsiTheme="minorEastAsia" w:eastAsiaTheme="minorEastAsia"/>
          <w:color w:val="000000" w:themeColor="text1"/>
          <w:sz w:val="24"/>
          <w14:textFill>
            <w14:solidFill>
              <w14:schemeClr w14:val="tx1"/>
            </w14:solidFill>
          </w14:textFill>
        </w:rPr>
        <w:t>）通过</w:t>
      </w:r>
      <w:r>
        <w:rPr>
          <w:rFonts w:hint="eastAsia" w:ascii="Arial" w:hAnsi="Arial" w:eastAsia="宋体" w:cs="Arial"/>
          <w:sz w:val="24"/>
          <w:szCs w:val="24"/>
          <w:u w:val="single"/>
        </w:rPr>
        <w:t>上海容基工程项目管理有限公司</w:t>
      </w:r>
      <w:r>
        <w:rPr>
          <w:rFonts w:hint="eastAsia" w:asciiTheme="minorEastAsia" w:hAnsiTheme="minorEastAsia" w:eastAsiaTheme="minorEastAsia"/>
          <w:color w:val="000000" w:themeColor="text1"/>
          <w:sz w:val="24"/>
          <w14:textFill>
            <w14:solidFill>
              <w14:schemeClr w14:val="tx1"/>
            </w14:solidFill>
          </w14:textFill>
        </w:rPr>
        <w:t>组织的</w:t>
      </w:r>
      <w:r>
        <w:rPr>
          <w:rFonts w:hint="eastAsia" w:asciiTheme="minorEastAsia" w:hAnsiTheme="minorEastAsia" w:eastAsiaTheme="minorEastAsia"/>
          <w:color w:val="000000" w:themeColor="text1"/>
          <w:sz w:val="24"/>
          <w:u w:val="single"/>
          <w14:textFill>
            <w14:solidFill>
              <w14:schemeClr w14:val="tx1"/>
            </w14:solidFill>
          </w14:textFill>
        </w:rPr>
        <w:t>公开招标</w:t>
      </w:r>
      <w:r>
        <w:rPr>
          <w:rFonts w:hint="eastAsia" w:asciiTheme="minorEastAsia" w:hAnsiTheme="minorEastAsia" w:eastAsiaTheme="minorEastAsia"/>
          <w:color w:val="000000" w:themeColor="text1"/>
          <w:sz w:val="24"/>
          <w14:textFill>
            <w14:solidFill>
              <w14:schemeClr w14:val="tx1"/>
            </w14:solidFill>
          </w14:textFill>
        </w:rPr>
        <w:t>方式采购活动，经</w:t>
      </w:r>
      <w:r>
        <w:rPr>
          <w:rFonts w:hint="eastAsia" w:asciiTheme="minorEastAsia" w:hAnsiTheme="minorEastAsia" w:eastAsiaTheme="minorEastAsia"/>
          <w:color w:val="000000" w:themeColor="text1"/>
          <w:sz w:val="24"/>
          <w:u w:val="single"/>
          <w14:textFill>
            <w14:solidFill>
              <w14:schemeClr w14:val="tx1"/>
            </w14:solidFill>
          </w14:textFill>
        </w:rPr>
        <w:t>评标委员会</w:t>
      </w:r>
      <w:r>
        <w:rPr>
          <w:rFonts w:hint="eastAsia" w:asciiTheme="minorEastAsia" w:hAnsiTheme="minorEastAsia" w:eastAsiaTheme="minorEastAsia"/>
          <w:color w:val="000000" w:themeColor="text1"/>
          <w:sz w:val="24"/>
          <w14:textFill>
            <w14:solidFill>
              <w14:schemeClr w14:val="tx1"/>
            </w14:solidFill>
          </w14:textFill>
        </w:rPr>
        <w:t>评定，</w:t>
      </w:r>
      <w:r>
        <w:rPr>
          <w:rFonts w:ascii="Arial" w:hAnsi="Arial" w:eastAsia="宋体" w:cs="Arial"/>
          <w:i/>
          <w:iCs/>
          <w:sz w:val="24"/>
          <w:szCs w:val="24"/>
          <w:u w:val="single"/>
        </w:rPr>
        <w:t>（中标人名称）</w:t>
      </w:r>
      <w:r>
        <w:rPr>
          <w:rFonts w:hint="eastAsia" w:asciiTheme="minorEastAsia" w:hAnsiTheme="minorEastAsia" w:eastAsiaTheme="minorEastAsia"/>
          <w:color w:val="000000" w:themeColor="text1"/>
          <w:sz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以下简称：乙方</w:t>
      </w:r>
      <w:r>
        <w:rPr>
          <w:rFonts w:hint="eastAsia" w:asciiTheme="minorEastAsia" w:hAnsiTheme="minorEastAsia" w:eastAsiaTheme="minorEastAsia"/>
          <w:color w:val="000000" w:themeColor="text1"/>
          <w:sz w:val="24"/>
          <w14:textFill>
            <w14:solidFill>
              <w14:schemeClr w14:val="tx1"/>
            </w14:solidFill>
          </w14:textFill>
        </w:rPr>
        <w:t>）为本项目中标人，现</w:t>
      </w:r>
      <w:r>
        <w:rPr>
          <w:rFonts w:hint="eastAsia" w:cs="Times New Roman" w:asciiTheme="minorEastAsia" w:hAnsiTheme="minorEastAsia" w:eastAsiaTheme="minorEastAsia"/>
          <w:color w:val="000000" w:themeColor="text1"/>
          <w:sz w:val="24"/>
          <w:szCs w:val="24"/>
          <w14:textFill>
            <w14:solidFill>
              <w14:schemeClr w14:val="tx1"/>
            </w14:solidFill>
          </w14:textFill>
        </w:rPr>
        <w:t>按照招标文件确定的事项签订本合同。</w:t>
      </w:r>
    </w:p>
    <w:p w14:paraId="7BAA5CA4">
      <w:pPr>
        <w:spacing w:line="360" w:lineRule="auto"/>
        <w:ind w:firstLine="435"/>
        <w:rPr>
          <w:rFonts w:hint="eastAsia"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51B0FA29">
      <w:pPr>
        <w:spacing w:line="360" w:lineRule="auto"/>
        <w:ind w:firstLine="437"/>
        <w:outlineLvl w:val="2"/>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47" w:name="_Toc2232"/>
      <w:bookmarkStart w:id="48" w:name="_Toc24059"/>
      <w:bookmarkStart w:id="49" w:name="_Toc302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1.1合同组成部分</w:t>
      </w:r>
      <w:bookmarkEnd w:id="47"/>
      <w:bookmarkEnd w:id="48"/>
      <w:bookmarkEnd w:id="49"/>
    </w:p>
    <w:p w14:paraId="0D79D708">
      <w:pPr>
        <w:spacing w:line="360" w:lineRule="auto"/>
        <w:ind w:firstLine="435"/>
        <w:rPr>
          <w:rFonts w:hint="eastAsia"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下列文件为本合同的组成部分，并构成一个整体，需综合解释、相互补充。如果下列文件内容出现不一致的情形，那么在保证按照招标文件确定的事项前提下，组成本合同的多个文件的优先适用顺序如下：</w:t>
      </w:r>
    </w:p>
    <w:p w14:paraId="163B031C">
      <w:pPr>
        <w:spacing w:line="360" w:lineRule="auto"/>
        <w:ind w:firstLine="435"/>
        <w:rPr>
          <w:rFonts w:hint="eastAsia"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1.1.1本合同及其补充合同、变更协议；</w:t>
      </w:r>
    </w:p>
    <w:p w14:paraId="70F2FB4C">
      <w:pPr>
        <w:spacing w:line="360" w:lineRule="auto"/>
        <w:ind w:firstLine="435"/>
        <w:rPr>
          <w:rFonts w:hint="eastAsia"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1.1.2中标通知书；</w:t>
      </w:r>
    </w:p>
    <w:p w14:paraId="349F804E">
      <w:pPr>
        <w:spacing w:line="360" w:lineRule="auto"/>
        <w:ind w:firstLine="435"/>
        <w:rPr>
          <w:rFonts w:hint="eastAsia"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1.1.3投标文件（含澄清或者说明文件）；</w:t>
      </w:r>
    </w:p>
    <w:p w14:paraId="660A072D">
      <w:pPr>
        <w:spacing w:line="360" w:lineRule="auto"/>
        <w:ind w:firstLine="435"/>
        <w:rPr>
          <w:rFonts w:hint="eastAsia"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1.1.4招标文件（含澄清或者修改文件）；</w:t>
      </w:r>
    </w:p>
    <w:p w14:paraId="29C23732">
      <w:pPr>
        <w:spacing w:line="360" w:lineRule="auto"/>
        <w:ind w:firstLine="435"/>
        <w:rPr>
          <w:rFonts w:hint="eastAsia"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1.1.5其他相关招标文件。</w:t>
      </w:r>
    </w:p>
    <w:p w14:paraId="1ACC3795">
      <w:pPr>
        <w:spacing w:line="360" w:lineRule="auto"/>
        <w:ind w:firstLine="437"/>
        <w:outlineLvl w:val="2"/>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50" w:name="_Toc6311"/>
      <w:bookmarkStart w:id="51" w:name="_Toc6773"/>
      <w:bookmarkStart w:id="52" w:name="_Toc22185"/>
      <w:bookmarkStart w:id="53" w:name="_Toc2918"/>
      <w:bookmarkStart w:id="54" w:name="_Toc1858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1.2 </w:t>
      </w:r>
      <w:bookmarkEnd w:id="50"/>
      <w:bookmarkEnd w:id="51"/>
      <w:bookmarkEnd w:id="52"/>
      <w:bookmarkEnd w:id="53"/>
      <w:bookmarkEnd w:id="5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服务</w:t>
      </w:r>
    </w:p>
    <w:p w14:paraId="277D0E5F">
      <w:pPr>
        <w:spacing w:line="360" w:lineRule="auto"/>
        <w:ind w:firstLine="435"/>
        <w:rPr>
          <w:rFonts w:hint="eastAsia"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1.2.1服务</w:t>
      </w:r>
      <w:r>
        <w:rPr>
          <w:rFonts w:cs="Times New Roman" w:asciiTheme="minorEastAsia" w:hAnsiTheme="minorEastAsia" w:eastAsiaTheme="minorEastAsia"/>
          <w:color w:val="000000" w:themeColor="text1"/>
          <w:sz w:val="24"/>
          <w:szCs w:val="24"/>
          <w14:textFill>
            <w14:solidFill>
              <w14:schemeClr w14:val="tx1"/>
            </w14:solidFill>
          </w14:textFill>
        </w:rPr>
        <w:t>名称：</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039D11AE">
      <w:pPr>
        <w:spacing w:line="360" w:lineRule="auto"/>
        <w:ind w:firstLine="435"/>
        <w:rPr>
          <w:rFonts w:hint="eastAsia"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1.2.2服务内容</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3BBBF868">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1.2.3服务质量：。</w:t>
      </w:r>
    </w:p>
    <w:p w14:paraId="35359076">
      <w:pPr>
        <w:spacing w:line="360" w:lineRule="auto"/>
        <w:ind w:firstLine="437"/>
        <w:outlineLvl w:val="2"/>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55" w:name="_Toc21551"/>
      <w:bookmarkStart w:id="56" w:name="_Toc21631"/>
      <w:bookmarkStart w:id="57" w:name="_Toc2329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3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价款</w:t>
      </w:r>
      <w:bookmarkEnd w:id="55"/>
      <w:bookmarkEnd w:id="56"/>
      <w:bookmarkEnd w:id="57"/>
    </w:p>
    <w:p w14:paraId="62F3E12C">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本合同总价为</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元</w:t>
      </w:r>
      <w:r>
        <w:rPr>
          <w:rFonts w:hint="eastAsia" w:cs="Times New Roman" w:asciiTheme="minorEastAsia" w:hAnsiTheme="minorEastAsia" w:eastAsiaTheme="minorEastAsia"/>
          <w:color w:val="000000" w:themeColor="text1"/>
          <w:sz w:val="24"/>
          <w:szCs w:val="24"/>
          <w14:textFill>
            <w14:solidFill>
              <w14:schemeClr w14:val="tx1"/>
            </w14:solidFill>
          </w14:textFill>
        </w:rPr>
        <w:t>（大写：人民币元）</w:t>
      </w:r>
      <w:r>
        <w:rPr>
          <w:rFonts w:cs="Times New Roman" w:asciiTheme="minorEastAsia" w:hAnsiTheme="minorEastAsia" w:eastAsiaTheme="minorEastAsia"/>
          <w:color w:val="000000" w:themeColor="text1"/>
          <w:sz w:val="24"/>
          <w:szCs w:val="24"/>
          <w14:textFill>
            <w14:solidFill>
              <w14:schemeClr w14:val="tx1"/>
            </w14:solidFill>
          </w14:textFill>
        </w:rPr>
        <w:t>。</w:t>
      </w:r>
    </w:p>
    <w:p w14:paraId="41123AD0">
      <w:pPr>
        <w:spacing w:line="360" w:lineRule="auto"/>
        <w:ind w:firstLine="435"/>
        <w:rPr>
          <w:rFonts w:hint="eastAsia" w:cs="Times New Roman" w:asciiTheme="minorEastAsia" w:hAnsiTheme="minorEastAsia" w:eastAsiaTheme="minorEastAsia"/>
          <w:color w:val="000000" w:themeColor="text1"/>
          <w:sz w:val="24"/>
          <w:szCs w:val="24"/>
          <w:u w:val="single"/>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分项价格：</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16C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36711A1">
            <w:pPr>
              <w:jc w:val="center"/>
              <w:rPr>
                <w:rFonts w:hint="eastAsia" w:cs="Times New Roman" w:asciiTheme="minorEastAsia" w:hAnsiTheme="minorEastAsia" w:eastAsiaTheme="minorEastAsia"/>
                <w:color w:val="000000" w:themeColor="text1"/>
                <w:sz w:val="24"/>
                <w:szCs w:val="24"/>
                <w:lang w:val="zh-CN"/>
                <w14:textFill>
                  <w14:solidFill>
                    <w14:schemeClr w14:val="tx1"/>
                  </w14:solidFill>
                </w14:textFill>
              </w:rPr>
            </w:pPr>
            <w:r>
              <w:rPr>
                <w:rFonts w:cs="Times New Roman" w:asciiTheme="minorEastAsia" w:hAnsiTheme="minorEastAsia" w:eastAsiaTheme="minorEastAsia"/>
                <w:color w:val="000000" w:themeColor="text1"/>
                <w:sz w:val="24"/>
                <w:szCs w:val="24"/>
                <w:lang w:val="zh-CN"/>
                <w14:textFill>
                  <w14:solidFill>
                    <w14:schemeClr w14:val="tx1"/>
                  </w14:solidFill>
                </w14:textFill>
              </w:rPr>
              <w:t>序号</w:t>
            </w:r>
          </w:p>
        </w:tc>
        <w:tc>
          <w:tcPr>
            <w:tcW w:w="4316" w:type="dxa"/>
            <w:vAlign w:val="center"/>
          </w:tcPr>
          <w:p w14:paraId="541C460C">
            <w:pPr>
              <w:ind w:firstLine="200"/>
              <w:jc w:val="center"/>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分项名称</w:t>
            </w:r>
          </w:p>
        </w:tc>
        <w:tc>
          <w:tcPr>
            <w:tcW w:w="3237" w:type="dxa"/>
            <w:gridSpan w:val="2"/>
            <w:vAlign w:val="center"/>
          </w:tcPr>
          <w:p w14:paraId="5BB81E3D">
            <w:pPr>
              <w:jc w:val="center"/>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分项价格</w:t>
            </w:r>
          </w:p>
        </w:tc>
      </w:tr>
      <w:tr w14:paraId="08CD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A2E7D45">
            <w:pPr>
              <w:jc w:val="center"/>
              <w:rPr>
                <w:rFonts w:hint="eastAsia"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w:t>
            </w:r>
          </w:p>
        </w:tc>
        <w:tc>
          <w:tcPr>
            <w:tcW w:w="4316" w:type="dxa"/>
            <w:vAlign w:val="center"/>
          </w:tcPr>
          <w:p w14:paraId="348873C5">
            <w:pPr>
              <w:ind w:firstLine="200"/>
              <w:jc w:val="center"/>
              <w:rPr>
                <w:rFonts w:hint="eastAsia"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71CE0CC7">
            <w:pPr>
              <w:ind w:firstLine="200"/>
              <w:jc w:val="center"/>
              <w:rPr>
                <w:rFonts w:hint="eastAsia" w:cs="Times New Roman" w:asciiTheme="minorEastAsia" w:hAnsiTheme="minorEastAsia" w:eastAsiaTheme="minorEastAsia"/>
                <w:color w:val="000000" w:themeColor="text1"/>
                <w:sz w:val="24"/>
                <w:szCs w:val="24"/>
                <w14:textFill>
                  <w14:solidFill>
                    <w14:schemeClr w14:val="tx1"/>
                  </w14:solidFill>
                </w14:textFill>
              </w:rPr>
            </w:pPr>
          </w:p>
        </w:tc>
      </w:tr>
      <w:tr w14:paraId="677C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09205EC">
            <w:pPr>
              <w:jc w:val="center"/>
              <w:rPr>
                <w:rFonts w:hint="eastAsia"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2</w:t>
            </w:r>
          </w:p>
        </w:tc>
        <w:tc>
          <w:tcPr>
            <w:tcW w:w="4316" w:type="dxa"/>
            <w:vAlign w:val="center"/>
          </w:tcPr>
          <w:p w14:paraId="3CFA1649">
            <w:pPr>
              <w:ind w:firstLine="200"/>
              <w:jc w:val="center"/>
              <w:rPr>
                <w:rFonts w:hint="eastAsia"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6135C968">
            <w:pPr>
              <w:ind w:firstLine="200"/>
              <w:jc w:val="center"/>
              <w:rPr>
                <w:rFonts w:hint="eastAsia" w:cs="Times New Roman" w:asciiTheme="minorEastAsia" w:hAnsiTheme="minorEastAsia" w:eastAsiaTheme="minorEastAsia"/>
                <w:color w:val="000000" w:themeColor="text1"/>
                <w:sz w:val="24"/>
                <w:szCs w:val="24"/>
                <w14:textFill>
                  <w14:solidFill>
                    <w14:schemeClr w14:val="tx1"/>
                  </w14:solidFill>
                </w14:textFill>
              </w:rPr>
            </w:pPr>
          </w:p>
        </w:tc>
      </w:tr>
      <w:tr w14:paraId="5B69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E789394">
            <w:pPr>
              <w:jc w:val="center"/>
              <w:rPr>
                <w:rFonts w:hint="eastAsia" w:cs="Times New Roman" w:asciiTheme="minorEastAsia" w:hAnsiTheme="minorEastAsia" w:eastAsiaTheme="minorEastAsia"/>
                <w:color w:val="000000" w:themeColor="text1"/>
                <w:sz w:val="24"/>
                <w:szCs w:val="24"/>
                <w:lang w:val="zh-CN"/>
                <w14:textFill>
                  <w14:solidFill>
                    <w14:schemeClr w14:val="tx1"/>
                  </w14:solidFill>
                </w14:textFill>
              </w:rPr>
            </w:pPr>
            <w:r>
              <w:rPr>
                <w:rFonts w:cs="Times New Roman" w:asciiTheme="minorEastAsia" w:hAnsiTheme="minorEastAsia" w:eastAsiaTheme="minorEastAsia"/>
                <w:color w:val="000000" w:themeColor="text1"/>
                <w:sz w:val="24"/>
                <w:szCs w:val="24"/>
                <w:lang w:val="zh-CN"/>
                <w14:textFill>
                  <w14:solidFill>
                    <w14:schemeClr w14:val="tx1"/>
                  </w14:solidFill>
                </w14:textFill>
              </w:rPr>
              <w:t>3</w:t>
            </w:r>
          </w:p>
        </w:tc>
        <w:tc>
          <w:tcPr>
            <w:tcW w:w="4316" w:type="dxa"/>
            <w:vAlign w:val="center"/>
          </w:tcPr>
          <w:p w14:paraId="62C2683C">
            <w:pPr>
              <w:ind w:firstLine="200"/>
              <w:jc w:val="center"/>
              <w:rPr>
                <w:rFonts w:hint="eastAsia"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5725ACF9">
            <w:pPr>
              <w:ind w:firstLine="200"/>
              <w:jc w:val="center"/>
              <w:rPr>
                <w:rFonts w:hint="eastAsia" w:cs="Times New Roman" w:asciiTheme="minorEastAsia" w:hAnsiTheme="minorEastAsia" w:eastAsiaTheme="minorEastAsia"/>
                <w:color w:val="000000" w:themeColor="text1"/>
                <w:sz w:val="24"/>
                <w:szCs w:val="24"/>
                <w14:textFill>
                  <w14:solidFill>
                    <w14:schemeClr w14:val="tx1"/>
                  </w14:solidFill>
                </w14:textFill>
              </w:rPr>
            </w:pPr>
          </w:p>
        </w:tc>
      </w:tr>
      <w:tr w14:paraId="6756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FCCDB64">
            <w:pPr>
              <w:jc w:val="center"/>
              <w:rPr>
                <w:rFonts w:hint="eastAsia"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w:t>
            </w:r>
          </w:p>
        </w:tc>
        <w:tc>
          <w:tcPr>
            <w:tcW w:w="4316" w:type="dxa"/>
            <w:vAlign w:val="center"/>
          </w:tcPr>
          <w:p w14:paraId="710975E0">
            <w:pPr>
              <w:ind w:firstLine="200"/>
              <w:jc w:val="center"/>
              <w:rPr>
                <w:rFonts w:hint="eastAsia"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12FBF79B">
            <w:pPr>
              <w:ind w:firstLine="200"/>
              <w:jc w:val="center"/>
              <w:rPr>
                <w:rFonts w:hint="eastAsia" w:cs="Times New Roman" w:asciiTheme="minorEastAsia" w:hAnsiTheme="minorEastAsia" w:eastAsiaTheme="minorEastAsia"/>
                <w:color w:val="000000" w:themeColor="text1"/>
                <w:sz w:val="24"/>
                <w:szCs w:val="24"/>
                <w14:textFill>
                  <w14:solidFill>
                    <w14:schemeClr w14:val="tx1"/>
                  </w14:solidFill>
                </w14:textFill>
              </w:rPr>
            </w:pPr>
          </w:p>
        </w:tc>
      </w:tr>
      <w:tr w14:paraId="39367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04E05E50">
            <w:pPr>
              <w:ind w:firstLine="200"/>
              <w:jc w:val="center"/>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总价</w:t>
            </w:r>
          </w:p>
        </w:tc>
        <w:tc>
          <w:tcPr>
            <w:tcW w:w="3237" w:type="dxa"/>
            <w:gridSpan w:val="2"/>
            <w:vAlign w:val="center"/>
          </w:tcPr>
          <w:p w14:paraId="2E8ED963">
            <w:pPr>
              <w:ind w:firstLine="200"/>
              <w:jc w:val="center"/>
              <w:rPr>
                <w:rFonts w:hint="eastAsia" w:cs="Times New Roman" w:asciiTheme="minorEastAsia" w:hAnsiTheme="minorEastAsia" w:eastAsiaTheme="minorEastAsia"/>
                <w:color w:val="000000" w:themeColor="text1"/>
                <w:sz w:val="24"/>
                <w:szCs w:val="24"/>
                <w14:textFill>
                  <w14:solidFill>
                    <w14:schemeClr w14:val="tx1"/>
                  </w14:solidFill>
                </w14:textFill>
              </w:rPr>
            </w:pPr>
          </w:p>
        </w:tc>
      </w:tr>
    </w:tbl>
    <w:p w14:paraId="79C89911">
      <w:pPr>
        <w:spacing w:line="360" w:lineRule="auto"/>
        <w:ind w:firstLine="437"/>
        <w:outlineLvl w:val="2"/>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58" w:name="_Toc1814"/>
      <w:bookmarkStart w:id="59" w:name="_Toc22618"/>
      <w:bookmarkStart w:id="60" w:name="_Toc10340"/>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4 付款方式和发票开具方式</w:t>
      </w:r>
      <w:bookmarkEnd w:id="58"/>
      <w:bookmarkEnd w:id="59"/>
      <w:bookmarkEnd w:id="60"/>
    </w:p>
    <w:p w14:paraId="1FA52401">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1.4.1</w:t>
      </w:r>
      <w:r>
        <w:rPr>
          <w:rFonts w:cs="Times New Roman" w:asciiTheme="minorEastAsia" w:hAnsiTheme="minorEastAsia" w:eastAsiaTheme="minorEastAsia"/>
          <w:color w:val="000000" w:themeColor="text1"/>
          <w:sz w:val="24"/>
          <w:szCs w:val="24"/>
          <w14:textFill>
            <w14:solidFill>
              <w14:schemeClr w14:val="tx1"/>
            </w14:solidFill>
          </w14:textFill>
        </w:rPr>
        <w:t>付款方式：</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D62F389">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1.4.2发票开具方式：。</w:t>
      </w:r>
    </w:p>
    <w:p w14:paraId="782598F2">
      <w:pPr>
        <w:spacing w:line="360" w:lineRule="auto"/>
        <w:ind w:firstLine="437"/>
        <w:outlineLvl w:val="2"/>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1" w:name="_Toc32071"/>
      <w:bookmarkStart w:id="62" w:name="_Toc2846"/>
      <w:bookmarkStart w:id="63" w:name="_Toc1930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5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服务</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期限</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、地点和方式</w:t>
      </w:r>
      <w:bookmarkEnd w:id="61"/>
      <w:bookmarkEnd w:id="62"/>
      <w:bookmarkEnd w:id="63"/>
    </w:p>
    <w:p w14:paraId="5569755F">
      <w:pPr>
        <w:spacing w:line="360" w:lineRule="auto"/>
        <w:ind w:firstLine="435"/>
        <w:rPr>
          <w:rFonts w:hint="eastAsia"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1.5.1服务期限</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9C8A849">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1.5.2服务地点</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31ECCC24">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1.5.3服务方式：。</w:t>
      </w:r>
    </w:p>
    <w:p w14:paraId="64604FD3">
      <w:pPr>
        <w:spacing w:line="360" w:lineRule="auto"/>
        <w:ind w:firstLine="437"/>
        <w:outlineLvl w:val="2"/>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4" w:name="_Toc27250"/>
      <w:bookmarkStart w:id="65" w:name="_Toc21423"/>
      <w:bookmarkStart w:id="66" w:name="_Toc1955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1.6 违约责任</w:t>
      </w:r>
      <w:bookmarkEnd w:id="64"/>
      <w:bookmarkEnd w:id="65"/>
      <w:bookmarkEnd w:id="66"/>
    </w:p>
    <w:p w14:paraId="5DE34E2F">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1.6.1</w:t>
      </w:r>
      <w:r>
        <w:rPr>
          <w:rFonts w:cs="Times New Roman" w:asciiTheme="minorEastAsia" w:hAnsiTheme="minorEastAsia" w:eastAsiaTheme="minorEastAsia"/>
          <w:color w:val="000000" w:themeColor="text1"/>
          <w:sz w:val="24"/>
          <w:szCs w:val="24"/>
          <w14:textFill>
            <w14:solidFill>
              <w14:schemeClr w14:val="tx1"/>
            </w14:solidFill>
          </w14:textFill>
        </w:rPr>
        <w:t>除不可抗力外，如果乙方没有按照本合同约定的期限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地点和方式</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，那么甲方可要求乙方支付违约金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一日的应提供而未</w:t>
      </w:r>
      <w:r>
        <w:rPr>
          <w:rFonts w:hint="eastAsia" w:cs="Times New Roman" w:asciiTheme="minorEastAsia" w:hAnsiTheme="minorEastAsia" w:eastAsiaTheme="minorEastAsia"/>
          <w:color w:val="000000" w:themeColor="text1"/>
          <w:sz w:val="24"/>
          <w:szCs w:val="24"/>
          <w14:textFill>
            <w14:solidFill>
              <w14:schemeClr w14:val="tx1"/>
            </w14:solidFill>
          </w14:textFill>
        </w:rPr>
        <w:t>提供</w:t>
      </w:r>
      <w:r>
        <w:rPr>
          <w:rFonts w:cs="Times New Roman" w:asciiTheme="minorEastAsia" w:hAnsiTheme="minorEastAsia" w:eastAsiaTheme="minorEastAsia"/>
          <w:color w:val="000000" w:themeColor="text1"/>
          <w:sz w:val="24"/>
          <w:szCs w:val="24"/>
          <w14:textFill>
            <w14:solidFill>
              <w14:schemeClr w14:val="tx1"/>
            </w14:solidFill>
          </w14:textFill>
        </w:rPr>
        <w:t>服务价格的%计算</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最高限额为</w:t>
      </w:r>
      <w:r>
        <w:rPr>
          <w:rFonts w:hint="eastAsia" w:cs="Times New Roman" w:asciiTheme="minorEastAsia" w:hAnsiTheme="minorEastAsia" w:eastAsiaTheme="minorEastAsia"/>
          <w:color w:val="000000" w:themeColor="text1"/>
          <w:sz w:val="24"/>
          <w:szCs w:val="24"/>
          <w14:textFill>
            <w14:solidFill>
              <w14:schemeClr w14:val="tx1"/>
            </w14:solidFill>
          </w14:textFill>
        </w:rPr>
        <w:t>本</w:t>
      </w:r>
      <w:r>
        <w:rPr>
          <w:rFonts w:cs="Times New Roman" w:asciiTheme="minorEastAsia" w:hAnsiTheme="minorEastAsia" w:eastAsiaTheme="minorEastAsia"/>
          <w:color w:val="000000" w:themeColor="text1"/>
          <w:sz w:val="24"/>
          <w:szCs w:val="24"/>
          <w14:textFill>
            <w14:solidFill>
              <w14:schemeClr w14:val="tx1"/>
            </w14:solidFill>
          </w14:textFill>
        </w:rPr>
        <w:t>合同总价的%</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迟延</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的违约金计算数额达到前述最高限额之日起</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甲方有权在要求乙方支付违约金的同时</w:t>
      </w:r>
      <w:r>
        <w:rPr>
          <w:rFonts w:hint="eastAsia" w:cs="Times New Roman" w:asciiTheme="minorEastAsia" w:hAnsiTheme="minorEastAsia" w:eastAsiaTheme="minorEastAsia"/>
          <w:color w:val="000000" w:themeColor="text1"/>
          <w:sz w:val="24"/>
          <w:szCs w:val="24"/>
          <w14:textFill>
            <w14:solidFill>
              <w14:schemeClr w14:val="tx1"/>
            </w14:solidFill>
          </w14:textFill>
        </w:rPr>
        <w:t>，书面通知乙方</w:t>
      </w:r>
      <w:r>
        <w:rPr>
          <w:rFonts w:cs="Times New Roman" w:asciiTheme="minorEastAsia" w:hAnsiTheme="minorEastAsia" w:eastAsiaTheme="minorEastAsia"/>
          <w:color w:val="000000" w:themeColor="text1"/>
          <w:sz w:val="24"/>
          <w:szCs w:val="24"/>
          <w14:textFill>
            <w14:solidFill>
              <w14:schemeClr w14:val="tx1"/>
            </w14:solidFill>
          </w14:textFill>
        </w:rPr>
        <w:t>解除本合同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743B3691">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1.6.2</w:t>
      </w:r>
      <w:r>
        <w:rPr>
          <w:rFonts w:cs="Times New Roman" w:asciiTheme="minorEastAsia" w:hAnsiTheme="minorEastAsia" w:eastAsiaTheme="minorEastAsia"/>
          <w:color w:val="000000" w:themeColor="text1"/>
          <w:sz w:val="24"/>
          <w:szCs w:val="24"/>
          <w14:textFill>
            <w14:solidFill>
              <w14:schemeClr w14:val="tx1"/>
            </w14:solidFill>
          </w14:textFill>
        </w:rPr>
        <w:t>除不可抗力外，如果甲方没有按照本合同约定的付款方式付款，那么乙方可要求甲方支付违约金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14:textFill>
            <w14:solidFill>
              <w14:schemeClr w14:val="tx1"/>
            </w14:solidFill>
          </w14:textFill>
        </w:rPr>
        <w:t>付款</w:t>
      </w:r>
      <w:r>
        <w:rPr>
          <w:rFonts w:cs="Times New Roman" w:asciiTheme="minorEastAsia" w:hAnsiTheme="minorEastAsia" w:eastAsiaTheme="minorEastAsia"/>
          <w:color w:val="000000" w:themeColor="text1"/>
          <w:sz w:val="24"/>
          <w:szCs w:val="24"/>
          <w14:textFill>
            <w14:solidFill>
              <w14:schemeClr w14:val="tx1"/>
            </w14:solidFill>
          </w14:textFill>
        </w:rPr>
        <w:t>一日的应付而未付款的%计算</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最高限额为</w:t>
      </w:r>
      <w:r>
        <w:rPr>
          <w:rFonts w:hint="eastAsia" w:cs="Times New Roman" w:asciiTheme="minorEastAsia" w:hAnsiTheme="minorEastAsia" w:eastAsiaTheme="minorEastAsia"/>
          <w:color w:val="000000" w:themeColor="text1"/>
          <w:sz w:val="24"/>
          <w:szCs w:val="24"/>
          <w14:textFill>
            <w14:solidFill>
              <w14:schemeClr w14:val="tx1"/>
            </w14:solidFill>
          </w14:textFill>
        </w:rPr>
        <w:t>本</w:t>
      </w:r>
      <w:r>
        <w:rPr>
          <w:rFonts w:cs="Times New Roman" w:asciiTheme="minorEastAsia" w:hAnsiTheme="minorEastAsia" w:eastAsiaTheme="minorEastAsia"/>
          <w:color w:val="000000" w:themeColor="text1"/>
          <w:sz w:val="24"/>
          <w:szCs w:val="24"/>
          <w14:textFill>
            <w14:solidFill>
              <w14:schemeClr w14:val="tx1"/>
            </w14:solidFill>
          </w14:textFill>
        </w:rPr>
        <w:t>合同总价的%</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迟延</w:t>
      </w:r>
      <w:r>
        <w:rPr>
          <w:rFonts w:hint="eastAsia" w:cs="Times New Roman" w:asciiTheme="minorEastAsia" w:hAnsiTheme="minorEastAsia" w:eastAsiaTheme="minorEastAsia"/>
          <w:color w:val="000000" w:themeColor="text1"/>
          <w:sz w:val="24"/>
          <w:szCs w:val="24"/>
          <w14:textFill>
            <w14:solidFill>
              <w14:schemeClr w14:val="tx1"/>
            </w14:solidFill>
          </w14:textFill>
        </w:rPr>
        <w:t>付款</w:t>
      </w:r>
      <w:r>
        <w:rPr>
          <w:rFonts w:cs="Times New Roman" w:asciiTheme="minorEastAsia" w:hAnsiTheme="minorEastAsia" w:eastAsiaTheme="minorEastAsia"/>
          <w:color w:val="000000" w:themeColor="text1"/>
          <w:sz w:val="24"/>
          <w:szCs w:val="24"/>
          <w14:textFill>
            <w14:solidFill>
              <w14:schemeClr w14:val="tx1"/>
            </w14:solidFill>
          </w14:textFill>
        </w:rPr>
        <w:t>的违约金计算数额达到前述最高限额之日起</w:t>
      </w:r>
      <w:r>
        <w:rPr>
          <w:rFonts w:hint="eastAsia" w:cs="Times New Roman" w:asciiTheme="minorEastAsia" w:hAnsiTheme="minorEastAsia" w:eastAsiaTheme="minorEastAsia"/>
          <w:color w:val="000000" w:themeColor="text1"/>
          <w:sz w:val="24"/>
          <w:szCs w:val="24"/>
          <w14:textFill>
            <w14:solidFill>
              <w14:schemeClr w14:val="tx1"/>
            </w14:solidFill>
          </w14:textFill>
        </w:rPr>
        <w:t>，乙</w:t>
      </w:r>
      <w:r>
        <w:rPr>
          <w:rFonts w:cs="Times New Roman" w:asciiTheme="minorEastAsia" w:hAnsiTheme="minorEastAsia" w:eastAsiaTheme="minorEastAsia"/>
          <w:color w:val="000000" w:themeColor="text1"/>
          <w:sz w:val="24"/>
          <w:szCs w:val="24"/>
          <w14:textFill>
            <w14:solidFill>
              <w14:schemeClr w14:val="tx1"/>
            </w14:solidFill>
          </w14:textFill>
        </w:rPr>
        <w:t>方有权在要求甲方支付违约金的同时</w:t>
      </w:r>
      <w:r>
        <w:rPr>
          <w:rFonts w:hint="eastAsia" w:cs="Times New Roman" w:asciiTheme="minorEastAsia" w:hAnsiTheme="minorEastAsia" w:eastAsiaTheme="minorEastAsia"/>
          <w:color w:val="000000" w:themeColor="text1"/>
          <w:sz w:val="24"/>
          <w:szCs w:val="24"/>
          <w14:textFill>
            <w14:solidFill>
              <w14:schemeClr w14:val="tx1"/>
            </w14:solidFill>
          </w14:textFill>
        </w:rPr>
        <w:t>，书面通知甲方</w:t>
      </w:r>
      <w:r>
        <w:rPr>
          <w:rFonts w:cs="Times New Roman" w:asciiTheme="minorEastAsia" w:hAnsiTheme="minorEastAsia" w:eastAsiaTheme="minorEastAsia"/>
          <w:color w:val="000000" w:themeColor="text1"/>
          <w:sz w:val="24"/>
          <w:szCs w:val="24"/>
          <w14:textFill>
            <w14:solidFill>
              <w14:schemeClr w14:val="tx1"/>
            </w14:solidFill>
          </w14:textFill>
        </w:rPr>
        <w:t>解除本合同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EA93C2F">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7692F1">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8F00669">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B32C256">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05562F11">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56586023">
      <w:pPr>
        <w:spacing w:line="360" w:lineRule="auto"/>
        <w:ind w:firstLine="437"/>
        <w:outlineLvl w:val="2"/>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7" w:name="_Toc16021"/>
      <w:bookmarkStart w:id="68" w:name="_Toc15583"/>
      <w:bookmarkStart w:id="69" w:name="_Toc2837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1.7合同</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争议的解决</w:t>
      </w:r>
      <w:bookmarkEnd w:id="67"/>
      <w:bookmarkEnd w:id="68"/>
      <w:bookmarkEnd w:id="69"/>
    </w:p>
    <w:p w14:paraId="176D0B10">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本合</w:t>
      </w:r>
      <w:r>
        <w:rPr>
          <w:rFonts w:cs="Times New Roman" w:asciiTheme="minorEastAsia" w:hAnsiTheme="minorEastAsia" w:eastAsiaTheme="minorEastAsia"/>
          <w:color w:val="000000" w:themeColor="text1"/>
          <w:sz w:val="24"/>
          <w:szCs w:val="24"/>
          <w14:textFill>
            <w14:solidFill>
              <w14:schemeClr w14:val="tx1"/>
            </w14:solidFill>
          </w14:textFill>
        </w:rPr>
        <w:t>同履行过程中发生的任何争议，双方当事人均可</w:t>
      </w:r>
      <w:r>
        <w:rPr>
          <w:rFonts w:hint="eastAsia" w:cs="Times New Roman" w:asciiTheme="minorEastAsia" w:hAnsiTheme="minorEastAsia" w:eastAsiaTheme="minorEastAsia"/>
          <w:color w:val="000000" w:themeColor="text1"/>
          <w:sz w:val="24"/>
          <w:szCs w:val="24"/>
          <w14:textFill>
            <w14:solidFill>
              <w14:schemeClr w14:val="tx1"/>
            </w14:solidFill>
          </w14:textFill>
        </w:rPr>
        <w:t>通过和解或者调解解决；不愿和解、调解或者和解、调解不成的，可以选择下列第</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1  </w:t>
      </w:r>
      <w:r>
        <w:rPr>
          <w:rFonts w:hint="eastAsia" w:cs="Times New Roman" w:asciiTheme="minorEastAsia" w:hAnsiTheme="minorEastAsia" w:eastAsiaTheme="minorEastAsia"/>
          <w:color w:val="000000" w:themeColor="text1"/>
          <w:sz w:val="24"/>
          <w:szCs w:val="24"/>
          <w14:textFill>
            <w14:solidFill>
              <w14:schemeClr w14:val="tx1"/>
            </w14:solidFill>
          </w14:textFill>
        </w:rPr>
        <w:t>种方式解决：</w:t>
      </w:r>
    </w:p>
    <w:p w14:paraId="4D4E3150">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1.7.1将争议提交仲裁委员会依申请仲裁时其现行有效的仲裁规则裁决；</w:t>
      </w:r>
    </w:p>
    <w:p w14:paraId="4BC6B55C">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1.7.2向人民法院起诉。</w:t>
      </w:r>
    </w:p>
    <w:p w14:paraId="21286876">
      <w:pPr>
        <w:spacing w:line="360" w:lineRule="auto"/>
        <w:ind w:firstLine="437"/>
        <w:outlineLvl w:val="2"/>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70" w:name="_Toc11173"/>
      <w:bookmarkStart w:id="71" w:name="_Toc7245"/>
      <w:bookmarkStart w:id="72" w:name="_Toc1532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1.8</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合同生效</w:t>
      </w:r>
      <w:bookmarkEnd w:id="70"/>
      <w:bookmarkEnd w:id="71"/>
      <w:bookmarkEnd w:id="72"/>
    </w:p>
    <w:p w14:paraId="263C28C5">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ascii="宋体" w:hAnsi="宋体" w:eastAsia="宋体" w:cs="宋体"/>
          <w:sz w:val="24"/>
          <w:szCs w:val="24"/>
        </w:rPr>
        <w:t>本合同一式陆份，自双方法定代表人或授权代表签字并盖章后生效</w:t>
      </w:r>
      <w:r>
        <w:rPr>
          <w:rFonts w:cs="Times New Roman" w:asciiTheme="minorEastAsia" w:hAnsiTheme="minorEastAsia" w:eastAsiaTheme="minorEastAsia"/>
          <w:color w:val="000000" w:themeColor="text1"/>
          <w:sz w:val="24"/>
          <w:szCs w:val="24"/>
          <w14:textFill>
            <w14:solidFill>
              <w14:schemeClr w14:val="tx1"/>
            </w14:solidFill>
          </w14:textFill>
        </w:rPr>
        <w:t>。</w:t>
      </w:r>
    </w:p>
    <w:p w14:paraId="6CF4E65B">
      <w:pPr>
        <w:autoSpaceDE w:val="0"/>
        <w:autoSpaceDN w:val="0"/>
        <w:adjustRightInd w:val="0"/>
        <w:spacing w:line="560" w:lineRule="exact"/>
        <w:rPr>
          <w:rFonts w:hint="eastAsia" w:cs="Times New Roman" w:asciiTheme="minorEastAsia" w:hAnsiTheme="minorEastAsia" w:eastAsiaTheme="minorEastAsia"/>
          <w:color w:val="000000" w:themeColor="text1"/>
          <w:sz w:val="24"/>
          <w:szCs w:val="24"/>
          <w:lang w:val="zh-CN"/>
          <w14:textFill>
            <w14:solidFill>
              <w14:schemeClr w14:val="tx1"/>
            </w14:solidFill>
          </w14:textFill>
        </w:rPr>
      </w:pPr>
    </w:p>
    <w:p w14:paraId="0A361444">
      <w:pPr>
        <w:autoSpaceDE w:val="0"/>
        <w:autoSpaceDN w:val="0"/>
        <w:adjustRightInd w:val="0"/>
        <w:spacing w:line="560" w:lineRule="exact"/>
        <w:rPr>
          <w:rFonts w:hint="eastAsia" w:cs="Times New Roman" w:asciiTheme="minorEastAsia" w:hAnsiTheme="minorEastAsia" w:eastAsiaTheme="minorEastAsia"/>
          <w:color w:val="000000" w:themeColor="text1"/>
          <w:sz w:val="24"/>
          <w:szCs w:val="24"/>
          <w:lang w:val="zh-CN"/>
          <w14:textFill>
            <w14:solidFill>
              <w14:schemeClr w14:val="tx1"/>
            </w14:solidFill>
          </w14:textFill>
        </w:rPr>
      </w:pPr>
    </w:p>
    <w:p w14:paraId="57B43B0F">
      <w:pPr>
        <w:autoSpaceDE w:val="0"/>
        <w:autoSpaceDN w:val="0"/>
        <w:adjustRightInd w:val="0"/>
        <w:spacing w:line="560" w:lineRule="exact"/>
        <w:rPr>
          <w:rFonts w:hint="eastAsia" w:cs="Times New Roman" w:asciiTheme="minorEastAsia" w:hAnsiTheme="minorEastAsia" w:eastAsiaTheme="minorEastAsia"/>
          <w:color w:val="000000" w:themeColor="text1"/>
          <w:sz w:val="24"/>
          <w:szCs w:val="24"/>
          <w:lang w:val="zh-CN"/>
          <w14:textFill>
            <w14:solidFill>
              <w14:schemeClr w14:val="tx1"/>
            </w14:solidFill>
          </w14:textFill>
        </w:rPr>
      </w:pPr>
    </w:p>
    <w:p w14:paraId="384A9DCB">
      <w:pPr>
        <w:autoSpaceDE w:val="0"/>
        <w:autoSpaceDN w:val="0"/>
        <w:adjustRightInd w:val="0"/>
        <w:spacing w:line="560" w:lineRule="exact"/>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甲 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 xml:space="preserve">          乙方：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p>
    <w:p w14:paraId="21944B71">
      <w:pPr>
        <w:autoSpaceDE w:val="0"/>
        <w:autoSpaceDN w:val="0"/>
        <w:adjustRightInd w:val="0"/>
        <w:spacing w:line="560" w:lineRule="exact"/>
        <w:rPr>
          <w:rFonts w:hint="eastAsia"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法定代表人                             法定代表人</w:t>
      </w:r>
    </w:p>
    <w:p w14:paraId="511EE798">
      <w:pPr>
        <w:autoSpaceDE w:val="0"/>
        <w:autoSpaceDN w:val="0"/>
        <w:adjustRightInd w:val="0"/>
        <w:spacing w:line="560" w:lineRule="exact"/>
        <w:rPr>
          <w:rFonts w:hint="eastAsia"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或授权代表（签字）：                      或授权代表（签字）：</w:t>
      </w:r>
    </w:p>
    <w:p w14:paraId="29A79F3E">
      <w:pPr>
        <w:widowControl/>
        <w:spacing w:line="560" w:lineRule="exact"/>
        <w:jc w:val="left"/>
        <w:rPr>
          <w:rFonts w:hint="eastAsia" w:cs="Times New Roman" w:asciiTheme="minorEastAsia" w:hAnsiTheme="minorEastAsia" w:eastAsiaTheme="minorEastAsia"/>
          <w:bCs/>
          <w:color w:val="000000" w:themeColor="text1"/>
          <w:sz w:val="24"/>
          <w:szCs w:val="24"/>
          <w14:textFill>
            <w14:solidFill>
              <w14:schemeClr w14:val="tx1"/>
            </w14:solidFill>
          </w14:textFill>
        </w:rPr>
      </w:pPr>
      <w:bookmarkStart w:id="73" w:name="_Toc331685783"/>
      <w:r>
        <w:rPr>
          <w:rFonts w:hint="eastAsia" w:cs="Times New Roman" w:asciiTheme="minorEastAsia" w:hAnsiTheme="minorEastAsia" w:eastAsiaTheme="minorEastAsia"/>
          <w:bCs/>
          <w:color w:val="000000" w:themeColor="text1"/>
          <w:sz w:val="24"/>
          <w:szCs w:val="24"/>
          <w14:textFill>
            <w14:solidFill>
              <w14:schemeClr w14:val="tx1"/>
            </w14:solidFill>
          </w14:textFill>
        </w:rPr>
        <w:t>时间：年月日               时间：年月日</w:t>
      </w:r>
    </w:p>
    <w:p w14:paraId="1E94CC04">
      <w:pPr>
        <w:spacing w:line="560" w:lineRule="exact"/>
        <w:rPr>
          <w:rFonts w:hint="eastAsia" w:ascii="宋体" w:hAnsi="宋体" w:eastAsia="宋体"/>
          <w:color w:val="000000" w:themeColor="text1"/>
          <w:sz w:val="24"/>
          <w:szCs w:val="24"/>
          <w14:textFill>
            <w14:solidFill>
              <w14:schemeClr w14:val="tx1"/>
            </w14:solidFill>
          </w14:textFill>
        </w:rPr>
      </w:pPr>
      <w:bookmarkStart w:id="74" w:name="_Hlk110099149"/>
      <w:r>
        <w:rPr>
          <w:rFonts w:hint="eastAsia" w:ascii="宋体" w:hAnsi="宋体" w:eastAsia="宋体"/>
          <w:color w:val="000000" w:themeColor="text1"/>
          <w:sz w:val="24"/>
          <w:szCs w:val="24"/>
          <w14:textFill>
            <w14:solidFill>
              <w14:schemeClr w14:val="tx1"/>
            </w14:solidFill>
          </w14:textFill>
        </w:rPr>
        <w:t>乙方账户信息</w:t>
      </w:r>
    </w:p>
    <w:p w14:paraId="4D637BA9">
      <w:pPr>
        <w:spacing w:line="56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户名：</w:t>
      </w:r>
    </w:p>
    <w:p w14:paraId="7C8BE3CC">
      <w:pPr>
        <w:spacing w:line="56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账号：</w:t>
      </w:r>
    </w:p>
    <w:p w14:paraId="1DAF0E69">
      <w:pPr>
        <w:spacing w:line="56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开户银行：</w:t>
      </w:r>
    </w:p>
    <w:bookmarkEnd w:id="74"/>
    <w:p w14:paraId="5FC88B03">
      <w:pPr>
        <w:autoSpaceDE w:val="0"/>
        <w:autoSpaceDN w:val="0"/>
        <w:adjustRightInd w:val="0"/>
        <w:spacing w:line="360" w:lineRule="auto"/>
        <w:rPr>
          <w:rFonts w:ascii="Arial" w:hAnsi="Arial" w:eastAsia="宋体" w:cs="Arial"/>
          <w:bCs/>
          <w:sz w:val="24"/>
          <w:szCs w:val="24"/>
          <w:lang w:val="zh-CN"/>
        </w:rPr>
      </w:pPr>
      <w:r>
        <w:rPr>
          <w:rFonts w:hint="eastAsia" w:ascii="Arial" w:hAnsi="Arial" w:eastAsia="宋体" w:cs="Arial"/>
          <w:bCs/>
          <w:sz w:val="24"/>
          <w:szCs w:val="24"/>
        </w:rPr>
        <w:t>见证方</w:t>
      </w:r>
      <w:r>
        <w:rPr>
          <w:rFonts w:ascii="Arial" w:hAnsi="Arial" w:eastAsia="宋体" w:cs="Arial"/>
          <w:bCs/>
          <w:sz w:val="24"/>
          <w:szCs w:val="24"/>
          <w:lang w:val="zh-CN"/>
        </w:rPr>
        <w:t>：</w:t>
      </w:r>
      <w:r>
        <w:rPr>
          <w:rFonts w:ascii="Arial" w:hAnsi="Arial" w:eastAsia="宋体" w:cs="Arial"/>
          <w:bCs/>
          <w:sz w:val="24"/>
          <w:szCs w:val="24"/>
          <w:u w:val="single"/>
        </w:rPr>
        <w:t>（</w:t>
      </w:r>
      <w:r>
        <w:rPr>
          <w:rFonts w:ascii="Arial" w:hAnsi="Arial" w:eastAsia="宋体" w:cs="Arial"/>
          <w:bCs/>
          <w:sz w:val="24"/>
          <w:szCs w:val="24"/>
          <w:u w:val="single"/>
          <w:lang w:val="zh-CN"/>
        </w:rPr>
        <w:t>单位盖章）</w:t>
      </w:r>
    </w:p>
    <w:p w14:paraId="2B89ED20">
      <w:pPr>
        <w:autoSpaceDE w:val="0"/>
        <w:autoSpaceDN w:val="0"/>
        <w:adjustRightInd w:val="0"/>
        <w:spacing w:line="360" w:lineRule="auto"/>
        <w:rPr>
          <w:rFonts w:ascii="Arial" w:hAnsi="Arial" w:eastAsia="宋体" w:cs="Arial"/>
          <w:sz w:val="24"/>
          <w:szCs w:val="24"/>
          <w:lang w:val="zh-CN"/>
        </w:rPr>
      </w:pPr>
      <w:r>
        <w:rPr>
          <w:rFonts w:ascii="Arial" w:hAnsi="Arial" w:eastAsia="宋体" w:cs="Arial"/>
          <w:sz w:val="24"/>
          <w:szCs w:val="24"/>
          <w:lang w:val="zh-CN"/>
        </w:rPr>
        <w:t>法定代表人</w:t>
      </w:r>
    </w:p>
    <w:p w14:paraId="655AA1D7">
      <w:pPr>
        <w:autoSpaceDE w:val="0"/>
        <w:autoSpaceDN w:val="0"/>
        <w:adjustRightInd w:val="0"/>
        <w:spacing w:line="360" w:lineRule="auto"/>
        <w:rPr>
          <w:rFonts w:ascii="Arial" w:hAnsi="Arial" w:eastAsia="宋体" w:cs="Arial"/>
          <w:sz w:val="24"/>
          <w:szCs w:val="24"/>
          <w:lang w:val="zh-CN"/>
        </w:rPr>
      </w:pPr>
      <w:r>
        <w:rPr>
          <w:rFonts w:ascii="Arial" w:hAnsi="Arial" w:eastAsia="宋体" w:cs="Arial"/>
          <w:sz w:val="24"/>
          <w:szCs w:val="24"/>
          <w:lang w:val="zh-CN"/>
        </w:rPr>
        <w:t>或授权代表（签字）：</w:t>
      </w:r>
    </w:p>
    <w:p w14:paraId="60FF9E4E">
      <w:pPr>
        <w:widowControl/>
        <w:spacing w:line="360" w:lineRule="auto"/>
        <w:jc w:val="left"/>
        <w:rPr>
          <w:rFonts w:ascii="Arial" w:hAnsi="Arial" w:eastAsia="宋体" w:cs="Arial"/>
          <w:bCs/>
          <w:sz w:val="24"/>
          <w:szCs w:val="24"/>
        </w:rPr>
      </w:pPr>
      <w:r>
        <w:rPr>
          <w:rFonts w:ascii="Arial" w:hAnsi="Arial" w:eastAsia="宋体" w:cs="Arial"/>
          <w:bCs/>
          <w:sz w:val="24"/>
          <w:szCs w:val="24"/>
        </w:rPr>
        <w:t>时间：年月日</w:t>
      </w:r>
    </w:p>
    <w:p w14:paraId="4968F113">
      <w:pPr>
        <w:widowControl/>
        <w:jc w:val="left"/>
        <w:rPr>
          <w:rFonts w:hint="eastAsia"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br w:type="page"/>
      </w:r>
    </w:p>
    <w:p w14:paraId="59F53E77">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bookmarkStart w:id="75" w:name="_Toc415"/>
      <w:r>
        <w:rPr>
          <w:rFonts w:hint="eastAsia" w:asciiTheme="minorEastAsia" w:hAnsiTheme="minorEastAsia" w:eastAsiaTheme="minorEastAsia"/>
          <w:b/>
          <w:color w:val="000000" w:themeColor="text1"/>
          <w:sz w:val="24"/>
          <w14:textFill>
            <w14:solidFill>
              <w14:schemeClr w14:val="tx1"/>
            </w14:solidFill>
          </w14:textFill>
        </w:rPr>
        <w:t>第二部分合同一般条款</w:t>
      </w:r>
      <w:bookmarkEnd w:id="73"/>
      <w:bookmarkEnd w:id="75"/>
    </w:p>
    <w:p w14:paraId="306A4FE5">
      <w:pPr>
        <w:spacing w:line="360" w:lineRule="auto"/>
        <w:ind w:firstLine="437"/>
        <w:outlineLvl w:val="2"/>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76" w:name="_Toc28763"/>
      <w:bookmarkStart w:id="77" w:name="_Ref467378404"/>
      <w:bookmarkStart w:id="78" w:name="_Toc16917"/>
      <w:bookmarkStart w:id="79" w:name="_Toc279701240"/>
      <w:bookmarkStart w:id="80" w:name="_Ref467378463"/>
      <w:bookmarkStart w:id="81" w:name="_Ref467379214"/>
      <w:bookmarkStart w:id="82" w:name="_Ref467378499"/>
      <w:bookmarkStart w:id="83" w:name="_Ref467379225"/>
      <w:bookmarkStart w:id="84" w:name="_Ref467379101"/>
      <w:bookmarkStart w:id="85" w:name="_Toc259093669"/>
      <w:bookmarkStart w:id="86" w:name="_Ref467379195"/>
      <w:bookmarkStart w:id="87" w:name="_Ref467379205"/>
      <w:bookmarkStart w:id="88" w:name="_Toc487900349"/>
      <w:bookmarkStart w:id="89" w:name="_Ref467379109"/>
      <w:bookmarkStart w:id="90" w:name="_Toc19614"/>
      <w:bookmarkStart w:id="91" w:name="_Ref46737909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定义</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7987D6E9">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本合同中的下列</w:t>
      </w:r>
      <w:r>
        <w:rPr>
          <w:rFonts w:hint="eastAsia" w:cs="Times New Roman" w:asciiTheme="minorEastAsia" w:hAnsiTheme="minorEastAsia" w:eastAsiaTheme="minorEastAsia"/>
          <w:color w:val="000000" w:themeColor="text1"/>
          <w:sz w:val="24"/>
          <w:szCs w:val="24"/>
          <w14:textFill>
            <w14:solidFill>
              <w14:schemeClr w14:val="tx1"/>
            </w14:solidFill>
          </w14:textFill>
        </w:rPr>
        <w:t>词</w:t>
      </w:r>
      <w:r>
        <w:rPr>
          <w:rFonts w:cs="Times New Roman" w:asciiTheme="minorEastAsia" w:hAnsiTheme="minorEastAsia" w:eastAsiaTheme="minorEastAsia"/>
          <w:color w:val="000000" w:themeColor="text1"/>
          <w:sz w:val="24"/>
          <w:szCs w:val="24"/>
          <w14:textFill>
            <w14:solidFill>
              <w14:schemeClr w14:val="tx1"/>
            </w14:solidFill>
          </w14:textFill>
        </w:rPr>
        <w:t>语应</w:t>
      </w:r>
      <w:r>
        <w:rPr>
          <w:rFonts w:hint="eastAsia" w:cs="Times New Roman" w:asciiTheme="minorEastAsia" w:hAnsiTheme="minorEastAsia" w:eastAsiaTheme="minorEastAsia"/>
          <w:color w:val="000000" w:themeColor="text1"/>
          <w:sz w:val="24"/>
          <w:szCs w:val="24"/>
          <w14:textFill>
            <w14:solidFill>
              <w14:schemeClr w14:val="tx1"/>
            </w14:solidFill>
          </w14:textFill>
        </w:rPr>
        <w:t>按以下内容进行</w:t>
      </w:r>
      <w:r>
        <w:rPr>
          <w:rFonts w:cs="Times New Roman" w:asciiTheme="minorEastAsia" w:hAnsiTheme="minorEastAsia" w:eastAsiaTheme="minorEastAsia"/>
          <w:color w:val="000000" w:themeColor="text1"/>
          <w:sz w:val="24"/>
          <w:szCs w:val="24"/>
          <w14:textFill>
            <w14:solidFill>
              <w14:schemeClr w14:val="tx1"/>
            </w14:solidFill>
          </w14:textFill>
        </w:rPr>
        <w:t>解释：</w:t>
      </w:r>
    </w:p>
    <w:p w14:paraId="6B4C96DD">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“合同”系指采购人和中标人签订的载明双方当事人所达成的协议，并包括所有的附件、附录和构成合同的其他文件。</w:t>
      </w:r>
    </w:p>
    <w:p w14:paraId="74447D9D">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1.2“合同价”系指根据合同约定，中标人在完全履行合同义务后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采购人应支付给中标人的价格。</w:t>
      </w:r>
    </w:p>
    <w:p w14:paraId="0293EE71">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1.3“</w:t>
      </w:r>
      <w:r>
        <w:rPr>
          <w:rFonts w:hint="eastAsia" w:cs="Times New Roman" w:asciiTheme="minorEastAsia" w:hAnsiTheme="minorEastAsia" w:eastAsiaTheme="minorEastAsia"/>
          <w:color w:val="000000" w:themeColor="text1"/>
          <w:sz w:val="24"/>
          <w:szCs w:val="24"/>
          <w14:textFill>
            <w14:solidFill>
              <w14:schemeClr w14:val="tx1"/>
            </w14:solidFill>
          </w14:textFill>
        </w:rPr>
        <w:t>服务</w:t>
      </w:r>
      <w:r>
        <w:rPr>
          <w:rFonts w:cs="Times New Roman" w:asciiTheme="minorEastAsia" w:hAnsiTheme="minorEastAsia" w:eastAsiaTheme="minorEastAsia"/>
          <w:color w:val="000000" w:themeColor="text1"/>
          <w:sz w:val="24"/>
          <w:szCs w:val="24"/>
          <w14:textFill>
            <w14:solidFill>
              <w14:schemeClr w14:val="tx1"/>
            </w14:solidFill>
          </w14:textFill>
        </w:rPr>
        <w:t>”系指</w:t>
      </w:r>
      <w:r>
        <w:rPr>
          <w:rFonts w:hint="eastAsia" w:cs="Times New Roman" w:asciiTheme="minorEastAsia" w:hAnsiTheme="minorEastAsia" w:eastAsiaTheme="minorEastAsia"/>
          <w:color w:val="000000" w:themeColor="text1"/>
          <w:sz w:val="24"/>
          <w:szCs w:val="24"/>
          <w14:textFill>
            <w14:solidFill>
              <w14:schemeClr w14:val="tx1"/>
            </w14:solidFill>
          </w14:textFill>
        </w:rPr>
        <w:t>中标人</w:t>
      </w:r>
      <w:r>
        <w:rPr>
          <w:rFonts w:cs="Times New Roman" w:asciiTheme="minorEastAsia" w:hAnsiTheme="minorEastAsia" w:eastAsiaTheme="minorEastAsia"/>
          <w:color w:val="000000" w:themeColor="text1"/>
          <w:sz w:val="24"/>
          <w:szCs w:val="24"/>
          <w14:textFill>
            <w14:solidFill>
              <w14:schemeClr w14:val="tx1"/>
            </w14:solidFill>
          </w14:textFill>
        </w:rPr>
        <w:t>根据合同约定应向采购人</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w:t>
      </w:r>
      <w:r>
        <w:rPr>
          <w:rFonts w:hint="eastAsia" w:cs="Times New Roman" w:asciiTheme="minorEastAsia" w:hAnsiTheme="minorEastAsia" w:eastAsiaTheme="minorEastAsia"/>
          <w:color w:val="000000" w:themeColor="text1"/>
          <w:sz w:val="24"/>
          <w:szCs w:val="24"/>
          <w14:textFill>
            <w14:solidFill>
              <w14:schemeClr w14:val="tx1"/>
            </w14:solidFill>
          </w14:textFill>
        </w:rPr>
        <w:t>除货物和工程以外的其他政府采购对象，包括采购人自身需要的服务和向社会公众提供的公共服务。</w:t>
      </w:r>
    </w:p>
    <w:p w14:paraId="002F2904">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bookmarkStart w:id="92" w:name="_Ref46737884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甲方</w:t>
      </w:r>
      <w:r>
        <w:rPr>
          <w:rFonts w:cs="Times New Roman" w:asciiTheme="minorEastAsia" w:hAnsiTheme="minorEastAsia" w:eastAsiaTheme="minorEastAsia"/>
          <w:color w:val="000000" w:themeColor="text1"/>
          <w:sz w:val="24"/>
          <w:szCs w:val="24"/>
          <w14:textFill>
            <w14:solidFill>
              <w14:schemeClr w14:val="tx1"/>
            </w14:solidFill>
          </w14:textFill>
        </w:rPr>
        <w:t>”系指与</w:t>
      </w:r>
      <w:r>
        <w:rPr>
          <w:rFonts w:hint="eastAsia" w:cs="Times New Roman" w:asciiTheme="minorEastAsia" w:hAnsiTheme="minorEastAsia" w:eastAsiaTheme="minorEastAsia"/>
          <w:color w:val="000000" w:themeColor="text1"/>
          <w:sz w:val="24"/>
          <w:szCs w:val="24"/>
          <w14:textFill>
            <w14:solidFill>
              <w14:schemeClr w14:val="tx1"/>
            </w14:solidFill>
          </w14:textFill>
        </w:rPr>
        <w:t>中标人</w:t>
      </w:r>
      <w:r>
        <w:rPr>
          <w:rFonts w:cs="Times New Roman" w:asciiTheme="minorEastAsia" w:hAnsiTheme="minorEastAsia" w:eastAsiaTheme="minorEastAsia"/>
          <w:color w:val="000000" w:themeColor="text1"/>
          <w:sz w:val="24"/>
          <w:szCs w:val="24"/>
          <w14:textFill>
            <w14:solidFill>
              <w14:schemeClr w14:val="tx1"/>
            </w14:solidFill>
          </w14:textFill>
        </w:rPr>
        <w:t>签署合同的采购人</w:t>
      </w:r>
      <w:bookmarkEnd w:id="92"/>
      <w:r>
        <w:rPr>
          <w:rFonts w:hint="eastAsia" w:cs="Times New Roman" w:asciiTheme="minorEastAsia" w:hAnsiTheme="minorEastAsia" w:eastAsiaTheme="minorEastAsia"/>
          <w:color w:val="000000" w:themeColor="text1"/>
          <w:sz w:val="24"/>
          <w:szCs w:val="24"/>
          <w14:textFill>
            <w14:solidFill>
              <w14:schemeClr w14:val="tx1"/>
            </w14:solidFill>
          </w14:textFill>
        </w:rPr>
        <w:t>；采购人委托采购代理机构代表其与乙方签订合同的，采购人的授权委托书作为合同附件。</w:t>
      </w:r>
    </w:p>
    <w:p w14:paraId="2C452844">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bookmarkStart w:id="93" w:name="_Ref46737940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“乙方”系指根据合同约定</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的中标人</w:t>
      </w:r>
      <w:bookmarkEnd w:id="93"/>
      <w:r>
        <w:rPr>
          <w:rFonts w:hint="eastAsia" w:cs="Times New Roman" w:asciiTheme="minorEastAsia" w:hAnsiTheme="minorEastAsia" w:eastAsiaTheme="minorEastAsia"/>
          <w:color w:val="000000" w:themeColor="text1"/>
          <w:sz w:val="24"/>
          <w:szCs w:val="24"/>
          <w14:textFill>
            <w14:solidFill>
              <w14:schemeClr w14:val="tx1"/>
            </w14:solidFill>
          </w14:textFill>
        </w:rPr>
        <w:t>；两个以上的自然人、法人或者其他组织组成一个联合体，以一个投标人的身份共同参加政府采购的，联合体各方均应为乙方或者与乙方相同地位的合同当事人，并就合同约定的事项对甲方承担连带责任。</w:t>
      </w:r>
    </w:p>
    <w:p w14:paraId="742690CF">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bookmarkStart w:id="94" w:name="_Ref467379436"/>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“现场”系指合同约定</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的地点。</w:t>
      </w:r>
      <w:bookmarkEnd w:id="94"/>
    </w:p>
    <w:p w14:paraId="068E5C86">
      <w:pPr>
        <w:spacing w:line="360" w:lineRule="auto"/>
        <w:ind w:firstLine="437"/>
        <w:outlineLvl w:val="2"/>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95" w:name="_Toc259093670"/>
      <w:bookmarkStart w:id="96" w:name="_Toc279701241"/>
      <w:bookmarkStart w:id="97" w:name="_Toc13336"/>
      <w:bookmarkStart w:id="98" w:name="_Toc487900350"/>
      <w:bookmarkStart w:id="99" w:name="_Toc27635"/>
      <w:bookmarkStart w:id="100" w:name="_Toc3250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2 技术规范</w:t>
      </w:r>
      <w:bookmarkEnd w:id="95"/>
      <w:bookmarkEnd w:id="96"/>
      <w:bookmarkEnd w:id="97"/>
      <w:bookmarkEnd w:id="98"/>
      <w:bookmarkEnd w:id="99"/>
      <w:bookmarkEnd w:id="100"/>
    </w:p>
    <w:p w14:paraId="1E8035F5">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货物所应遵守的技术规范应与</w:t>
      </w:r>
      <w:r>
        <w:rPr>
          <w:rFonts w:hint="eastAsia" w:cs="Times New Roman" w:asciiTheme="minorEastAsia" w:hAnsiTheme="minorEastAsia" w:eastAsiaTheme="minorEastAsia"/>
          <w:color w:val="000000" w:themeColor="text1"/>
          <w:sz w:val="24"/>
          <w:szCs w:val="24"/>
          <w14:textFill>
            <w14:solidFill>
              <w14:schemeClr w14:val="tx1"/>
            </w14:solidFill>
          </w14:textFill>
        </w:rPr>
        <w:t>招标文件</w:t>
      </w:r>
      <w:r>
        <w:rPr>
          <w:rFonts w:cs="Times New Roman" w:asciiTheme="minorEastAsia" w:hAnsiTheme="minorEastAsia" w:eastAsiaTheme="minorEastAsia"/>
          <w:color w:val="000000" w:themeColor="text1"/>
          <w:sz w:val="24"/>
          <w:szCs w:val="24"/>
          <w14:textFill>
            <w14:solidFill>
              <w14:schemeClr w14:val="tx1"/>
            </w14:solidFill>
          </w14:textFill>
        </w:rPr>
        <w:t>规定的技术规范和技术规范附件(如果有的话)及其技术规范偏差表(如果被甲方接受的话)相一致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w:t>
      </w:r>
      <w:r>
        <w:rPr>
          <w:rFonts w:hint="eastAsia" w:cs="Times New Roman" w:asciiTheme="minorEastAsia" w:hAnsiTheme="minorEastAsia" w:eastAsiaTheme="minorEastAsia"/>
          <w:color w:val="000000" w:themeColor="text1"/>
          <w:sz w:val="24"/>
          <w:szCs w:val="24"/>
          <w14:textFill>
            <w14:solidFill>
              <w14:schemeClr w14:val="tx1"/>
            </w14:solidFill>
          </w14:textFill>
        </w:rPr>
        <w:t>招标文件</w:t>
      </w:r>
      <w:r>
        <w:rPr>
          <w:rFonts w:cs="Times New Roman" w:asciiTheme="minorEastAsia" w:hAnsiTheme="minorEastAsia" w:eastAsiaTheme="minorEastAsia"/>
          <w:color w:val="000000" w:themeColor="text1"/>
          <w:sz w:val="24"/>
          <w:szCs w:val="24"/>
          <w14:textFill>
            <w14:solidFill>
              <w14:schemeClr w14:val="tx1"/>
            </w14:solidFill>
          </w14:textFill>
        </w:rPr>
        <w:t>中没有技术规范的相应说明，那么应以国家有关部门最新颁布的相应标准</w:t>
      </w:r>
      <w:r>
        <w:rPr>
          <w:rFonts w:hint="eastAsia" w:cs="Times New Roman" w:asciiTheme="minorEastAsia" w:hAnsiTheme="minorEastAsia" w:eastAsiaTheme="minorEastAsia"/>
          <w:color w:val="000000" w:themeColor="text1"/>
          <w:sz w:val="24"/>
          <w:szCs w:val="24"/>
          <w14:textFill>
            <w14:solidFill>
              <w14:schemeClr w14:val="tx1"/>
            </w14:solidFill>
          </w14:textFill>
        </w:rPr>
        <w:t>和</w:t>
      </w:r>
      <w:r>
        <w:rPr>
          <w:rFonts w:cs="Times New Roman" w:asciiTheme="minorEastAsia" w:hAnsiTheme="minorEastAsia" w:eastAsiaTheme="minorEastAsia"/>
          <w:color w:val="000000" w:themeColor="text1"/>
          <w:sz w:val="24"/>
          <w:szCs w:val="24"/>
          <w14:textFill>
            <w14:solidFill>
              <w14:schemeClr w14:val="tx1"/>
            </w14:solidFill>
          </w14:textFill>
        </w:rPr>
        <w:t>规范为准。</w:t>
      </w:r>
    </w:p>
    <w:p w14:paraId="37A2B11A">
      <w:pPr>
        <w:spacing w:line="360" w:lineRule="auto"/>
        <w:ind w:firstLine="437"/>
        <w:outlineLvl w:val="2"/>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01" w:name="_Toc31634"/>
      <w:bookmarkStart w:id="102" w:name="_Toc487900351"/>
      <w:bookmarkStart w:id="103" w:name="_Toc9829"/>
      <w:bookmarkStart w:id="104" w:name="_Toc27853"/>
      <w:bookmarkStart w:id="105" w:name="_Toc279701242"/>
      <w:bookmarkStart w:id="106" w:name="_Toc25909367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3 知识产权</w:t>
      </w:r>
      <w:bookmarkEnd w:id="101"/>
      <w:bookmarkEnd w:id="102"/>
      <w:bookmarkEnd w:id="103"/>
      <w:bookmarkEnd w:id="104"/>
      <w:bookmarkEnd w:id="105"/>
      <w:bookmarkEnd w:id="106"/>
    </w:p>
    <w:p w14:paraId="7770F5A7">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2.3.1乙</w:t>
      </w:r>
      <w:r>
        <w:rPr>
          <w:rFonts w:cs="Times New Roman" w:asciiTheme="minorEastAsia" w:hAnsiTheme="minorEastAsia" w:eastAsiaTheme="minorEastAsia"/>
          <w:color w:val="000000" w:themeColor="text1"/>
          <w:sz w:val="24"/>
          <w:szCs w:val="24"/>
          <w14:textFill>
            <w14:solidFill>
              <w14:schemeClr w14:val="tx1"/>
            </w14:solidFill>
          </w14:textFill>
        </w:rPr>
        <w:t>方应保证</w:t>
      </w:r>
      <w:r>
        <w:rPr>
          <w:rFonts w:hint="eastAsia" w:cs="Times New Roman" w:asciiTheme="minorEastAsia" w:hAnsiTheme="minorEastAsia" w:eastAsiaTheme="minorEastAsia"/>
          <w:color w:val="000000" w:themeColor="text1"/>
          <w:sz w:val="24"/>
          <w:szCs w:val="24"/>
          <w14:textFill>
            <w14:solidFill>
              <w14:schemeClr w14:val="tx1"/>
            </w14:solidFill>
          </w14:textFill>
        </w:rPr>
        <w:t>其提供的服务</w:t>
      </w:r>
      <w:r>
        <w:rPr>
          <w:rFonts w:cs="Times New Roman" w:asciiTheme="minorEastAsia" w:hAnsiTheme="minorEastAsia" w:eastAsiaTheme="minorEastAsia"/>
          <w:color w:val="000000" w:themeColor="text1"/>
          <w:sz w:val="24"/>
          <w:szCs w:val="24"/>
          <w14:textFill>
            <w14:solidFill>
              <w14:schemeClr w14:val="tx1"/>
            </w14:solidFill>
          </w14:textFill>
        </w:rPr>
        <w:t>不受任何第三方提出的侵犯其著作权、商标权、专利权等知识产权方面的起诉</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如果任何第三方提出侵权</w:t>
      </w:r>
      <w:r>
        <w:rPr>
          <w:rFonts w:hint="eastAsia" w:cs="Times New Roman" w:asciiTheme="minorEastAsia" w:hAnsiTheme="minorEastAsia" w:eastAsiaTheme="minorEastAsia"/>
          <w:color w:val="000000" w:themeColor="text1"/>
          <w:sz w:val="24"/>
          <w:szCs w:val="24"/>
          <w14:textFill>
            <w14:solidFill>
              <w14:schemeClr w14:val="tx1"/>
            </w14:solidFill>
          </w14:textFill>
        </w:rPr>
        <w:t>指控</w:t>
      </w:r>
      <w:r>
        <w:rPr>
          <w:rFonts w:cs="Times New Roman" w:asciiTheme="minorEastAsia" w:hAnsiTheme="minorEastAsia" w:eastAsiaTheme="minorEastAsia"/>
          <w:color w:val="000000" w:themeColor="text1"/>
          <w:sz w:val="24"/>
          <w:szCs w:val="24"/>
          <w14:textFill>
            <w14:solidFill>
              <w14:schemeClr w14:val="tx1"/>
            </w14:solidFill>
          </w14:textFill>
        </w:rPr>
        <w:t>，那么乙方须与该第三方交涉并承担由此发生的一切责任、费用和赔偿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38D053F">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2.3.2具有知识产权的计算机软件等货物的知识产权归属，</w:t>
      </w: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140F2C37">
      <w:pPr>
        <w:spacing w:line="360" w:lineRule="auto"/>
        <w:ind w:firstLine="437"/>
        <w:outlineLvl w:val="2"/>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07" w:name="_Ref467379536"/>
      <w:bookmarkStart w:id="108" w:name="_Ref467378541"/>
      <w:bookmarkStart w:id="109" w:name="_Ref467379542"/>
      <w:bookmarkStart w:id="110" w:name="_Ref467379527"/>
      <w:bookmarkStart w:id="111" w:name="_Toc279701245"/>
      <w:bookmarkStart w:id="112" w:name="_Ref467378591"/>
      <w:bookmarkStart w:id="113" w:name="_Toc259093674"/>
      <w:bookmarkStart w:id="114" w:name="_Toc487900354"/>
      <w:bookmarkStart w:id="115" w:name="_Toc19074"/>
      <w:bookmarkStart w:id="116" w:name="_Toc26182"/>
      <w:bookmarkStart w:id="117" w:name="_Toc3027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bookmarkEnd w:id="107"/>
      <w:bookmarkEnd w:id="108"/>
      <w:bookmarkEnd w:id="109"/>
      <w:bookmarkEnd w:id="110"/>
      <w:bookmarkEnd w:id="111"/>
      <w:bookmarkEnd w:id="112"/>
      <w:bookmarkEnd w:id="113"/>
      <w:bookmarkEnd w:id="114"/>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4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履约检查和问题反馈</w:t>
      </w:r>
      <w:bookmarkEnd w:id="115"/>
      <w:bookmarkEnd w:id="116"/>
      <w:bookmarkEnd w:id="117"/>
    </w:p>
    <w:p w14:paraId="251FE3CB">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bookmarkStart w:id="118" w:name="_Toc186431854"/>
      <w:bookmarkStart w:id="119" w:name="_Toc487900357"/>
      <w:bookmarkStart w:id="120" w:name="_Ref467379793"/>
      <w:bookmarkStart w:id="121" w:name="_Ref467379807"/>
      <w:bookmarkStart w:id="122" w:name="_Toc259093676"/>
      <w:bookmarkStart w:id="123" w:name="_Toc279701247"/>
      <w:r>
        <w:rPr>
          <w:rFonts w:hint="eastAsia" w:cs="Times New Roman" w:asciiTheme="minorEastAsia" w:hAnsiTheme="minorEastAsia" w:eastAsiaTheme="minorEastAsia"/>
          <w:color w:val="000000" w:themeColor="text1"/>
          <w:sz w:val="24"/>
          <w:szCs w:val="24"/>
          <w14:textFill>
            <w14:solidFill>
              <w14:schemeClr w14:val="tx1"/>
            </w14:solidFill>
          </w14:textFill>
        </w:rPr>
        <w:t>2.4</w:t>
      </w:r>
      <w:r>
        <w:rPr>
          <w:rFonts w:cs="Times New Roman" w:asciiTheme="minorEastAsia" w:hAnsiTheme="minorEastAsia" w:eastAsiaTheme="minorEastAsia"/>
          <w:color w:val="000000" w:themeColor="text1"/>
          <w:sz w:val="24"/>
          <w:szCs w:val="24"/>
          <w14:textFill>
            <w14:solidFill>
              <w14:schemeClr w14:val="tx1"/>
            </w14:solidFill>
          </w14:textFill>
        </w:rPr>
        <w:t>.1甲方</w:t>
      </w:r>
      <w:r>
        <w:rPr>
          <w:rFonts w:hint="eastAsia" w:cs="Times New Roman" w:asciiTheme="minorEastAsia" w:hAnsiTheme="minorEastAsia" w:eastAsiaTheme="minorEastAsia"/>
          <w:color w:val="000000" w:themeColor="text1"/>
          <w:sz w:val="24"/>
          <w:szCs w:val="24"/>
          <w14:textFill>
            <w14:solidFill>
              <w14:schemeClr w14:val="tx1"/>
            </w14:solidFill>
          </w14:textFill>
        </w:rPr>
        <w:t>有权</w:t>
      </w:r>
      <w:r>
        <w:rPr>
          <w:rFonts w:cs="Times New Roman" w:asciiTheme="minorEastAsia" w:hAnsiTheme="minorEastAsia" w:eastAsiaTheme="minorEastAsia"/>
          <w:color w:val="000000" w:themeColor="text1"/>
          <w:sz w:val="24"/>
          <w:szCs w:val="24"/>
          <w14:textFill>
            <w14:solidFill>
              <w14:schemeClr w14:val="tx1"/>
            </w14:solidFill>
          </w14:textFill>
        </w:rPr>
        <w:t>在其认为必要时</w:t>
      </w:r>
      <w:r>
        <w:rPr>
          <w:rFonts w:hint="eastAsia" w:cs="Times New Roman" w:asciiTheme="minorEastAsia" w:hAnsiTheme="minorEastAsia" w:eastAsiaTheme="minorEastAsia"/>
          <w:color w:val="000000" w:themeColor="text1"/>
          <w:sz w:val="24"/>
          <w:szCs w:val="24"/>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5372A3DC">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.2合同履行期间，甲方有权将履行过程中出现的问题反馈给乙方，双方当事人应以书面形式约定需要完善和改进的内容</w:t>
      </w:r>
      <w:bookmarkEnd w:id="118"/>
      <w:bookmarkStart w:id="124" w:name="_Toc186431855"/>
      <w:r>
        <w:rPr>
          <w:rFonts w:hint="eastAsia" w:cs="Times New Roman" w:asciiTheme="minorEastAsia" w:hAnsiTheme="minorEastAsia" w:eastAsiaTheme="minorEastAsia"/>
          <w:color w:val="000000" w:themeColor="text1"/>
          <w:sz w:val="24"/>
          <w:szCs w:val="24"/>
          <w14:textFill>
            <w14:solidFill>
              <w14:schemeClr w14:val="tx1"/>
            </w14:solidFill>
          </w14:textFill>
        </w:rPr>
        <w:t>。</w:t>
      </w:r>
    </w:p>
    <w:bookmarkEnd w:id="124"/>
    <w:p w14:paraId="700502D7">
      <w:pPr>
        <w:spacing w:line="360" w:lineRule="auto"/>
        <w:ind w:firstLine="437"/>
        <w:outlineLvl w:val="2"/>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25" w:name="_Toc28451"/>
      <w:bookmarkStart w:id="126" w:name="_Toc19219"/>
      <w:bookmarkStart w:id="127" w:name="_Toc783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5结算方式和付款条件</w:t>
      </w:r>
      <w:bookmarkEnd w:id="119"/>
      <w:bookmarkEnd w:id="120"/>
      <w:bookmarkEnd w:id="121"/>
      <w:bookmarkEnd w:id="122"/>
      <w:bookmarkEnd w:id="123"/>
      <w:bookmarkEnd w:id="125"/>
      <w:bookmarkEnd w:id="126"/>
      <w:bookmarkEnd w:id="127"/>
    </w:p>
    <w:p w14:paraId="0B4ADCBB">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5202B7B1">
      <w:pPr>
        <w:spacing w:line="360" w:lineRule="auto"/>
        <w:ind w:firstLine="437"/>
        <w:outlineLvl w:val="2"/>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28" w:name="_Ref467379863"/>
      <w:bookmarkStart w:id="129" w:name="_Toc279701248"/>
      <w:bookmarkStart w:id="130" w:name="_Toc259093677"/>
      <w:bookmarkStart w:id="131" w:name="_Toc487900358"/>
      <w:bookmarkStart w:id="132" w:name="_Ref467379923"/>
      <w:bookmarkStart w:id="133" w:name="_Ref467379852"/>
      <w:bookmarkStart w:id="134" w:name="_Toc16110"/>
      <w:bookmarkStart w:id="135" w:name="_Toc774"/>
      <w:bookmarkStart w:id="136" w:name="_Toc322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6技术资料</w:t>
      </w:r>
      <w:bookmarkEnd w:id="128"/>
      <w:bookmarkEnd w:id="129"/>
      <w:bookmarkEnd w:id="130"/>
      <w:bookmarkEnd w:id="131"/>
      <w:bookmarkEnd w:id="132"/>
      <w:bookmarkEnd w:id="133"/>
      <w:r>
        <w:rPr>
          <w:rFonts w:cs="Times New Roman" w:asciiTheme="minorEastAsia" w:hAnsiTheme="minorEastAsia" w:eastAsiaTheme="minorEastAsia"/>
          <w:b/>
          <w:bCs/>
          <w:color w:val="000000" w:themeColor="text1"/>
          <w:sz w:val="24"/>
          <w:szCs w:val="24"/>
          <w:lang w:val="zh-CN"/>
          <w14:textFill>
            <w14:solidFill>
              <w14:schemeClr w14:val="tx1"/>
            </w14:solidFill>
          </w14:textFill>
        </w:rPr>
        <w:t>和保密义务</w:t>
      </w:r>
      <w:bookmarkEnd w:id="134"/>
      <w:bookmarkEnd w:id="135"/>
      <w:bookmarkEnd w:id="136"/>
    </w:p>
    <w:p w14:paraId="4D4DDF43">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6.1</w:t>
      </w:r>
      <w:r>
        <w:rPr>
          <w:rFonts w:hint="eastAsia" w:cs="Times New Roman" w:asciiTheme="minorEastAsia" w:hAnsiTheme="minorEastAsia" w:eastAsiaTheme="minorEastAsia"/>
          <w:color w:val="000000" w:themeColor="text1"/>
          <w:sz w:val="24"/>
          <w:szCs w:val="24"/>
          <w14:textFill>
            <w14:solidFill>
              <w14:schemeClr w14:val="tx1"/>
            </w14:solidFill>
          </w14:textFill>
        </w:rPr>
        <w:t>乙方有权依据合同约定和项目需要，向甲方了解有关情况，调阅有关资料等，甲方应予积极配合；</w:t>
      </w:r>
    </w:p>
    <w:p w14:paraId="3F7ADEA3">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.2乙方有义务妥善保管和保护由甲方提供的前款信息和资料等；</w:t>
      </w:r>
    </w:p>
    <w:p w14:paraId="67BBF020">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000000" w:themeColor="text1"/>
          <w:sz w:val="24"/>
          <w:szCs w:val="24"/>
          <w14:textFill>
            <w14:solidFill>
              <w14:schemeClr w14:val="tx1"/>
            </w14:solidFill>
          </w14:textFill>
        </w:rPr>
        <w:t>技术情报</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技术资料</w:t>
      </w:r>
      <w:r>
        <w:rPr>
          <w:rFonts w:hint="eastAsia" w:cs="Times New Roman" w:asciiTheme="minorEastAsia" w:hAnsiTheme="minorEastAsia" w:eastAsiaTheme="minorEastAsia"/>
          <w:color w:val="000000" w:themeColor="text1"/>
          <w:sz w:val="24"/>
          <w:szCs w:val="24"/>
          <w14:textFill>
            <w14:solidFill>
              <w14:schemeClr w14:val="tx1"/>
            </w14:solidFill>
          </w14:textFill>
        </w:rPr>
        <w:t>、商业秘密和商业信息等，并采取一切合理和必要措施和方式防止任何第三方接触到对方当事人的上述保密信息和资料。</w:t>
      </w:r>
    </w:p>
    <w:p w14:paraId="2FF7DE75">
      <w:pPr>
        <w:spacing w:line="360" w:lineRule="auto"/>
        <w:ind w:firstLine="437"/>
        <w:outlineLvl w:val="2"/>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37" w:name="_Toc7860"/>
      <w:r>
        <w:rPr>
          <w:rFonts w:cs="Times New Roman" w:asciiTheme="minorEastAsia" w:hAnsiTheme="minorEastAsia" w:eastAsiaTheme="minorEastAsia"/>
          <w:b/>
          <w:bCs/>
          <w:color w:val="000000" w:themeColor="text1"/>
          <w:sz w:val="24"/>
          <w:szCs w:val="24"/>
          <w:lang w:val="zh-CN"/>
          <w14:textFill>
            <w14:solidFill>
              <w14:schemeClr w14:val="tx1"/>
            </w14:solidFill>
          </w14:textFill>
        </w:rPr>
        <w:t>2.7 质量保证</w:t>
      </w:r>
      <w:bookmarkEnd w:id="137"/>
    </w:p>
    <w:p w14:paraId="531DF862">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.1乙方应建立和完善履行合同的内部质量保证体系，并提供相关内部规章制度给甲方，以便甲方进行监督检查；</w:t>
      </w:r>
    </w:p>
    <w:p w14:paraId="3FCEA530">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.2乙方应保证履行合同的人员数量和素质、软件和硬件设备的配置、场地、环境和设施等满足全面履行合同的要求，并应接受甲方的监督检查。</w:t>
      </w:r>
    </w:p>
    <w:p w14:paraId="75A3F741">
      <w:pPr>
        <w:spacing w:line="360" w:lineRule="auto"/>
        <w:ind w:firstLine="437"/>
        <w:outlineLvl w:val="2"/>
        <w:rPr>
          <w:rFonts w:hint="eastAsia" w:cs="Times New Roman" w:asciiTheme="minorEastAsia" w:hAnsiTheme="minorEastAsia" w:eastAsiaTheme="minorEastAsia"/>
          <w:b/>
          <w:color w:val="000000" w:themeColor="text1"/>
          <w:sz w:val="24"/>
          <w:szCs w:val="24"/>
          <w14:textFill>
            <w14:solidFill>
              <w14:schemeClr w14:val="tx1"/>
            </w14:solidFill>
          </w14:textFill>
        </w:rPr>
      </w:pPr>
      <w:bookmarkStart w:id="138" w:name="_Toc22267"/>
      <w:r>
        <w:rPr>
          <w:rFonts w:hint="eastAsia" w:cs="Times New Roman" w:asciiTheme="minorEastAsia" w:hAnsiTheme="minorEastAsia" w:eastAsiaTheme="minorEastAsia"/>
          <w:b/>
          <w:color w:val="000000" w:themeColor="text1"/>
          <w:sz w:val="24"/>
          <w:szCs w:val="24"/>
          <w14:textFill>
            <w14:solidFill>
              <w14:schemeClr w14:val="tx1"/>
            </w14:solidFill>
          </w14:textFill>
        </w:rPr>
        <w:t>2.8 延迟履行</w:t>
      </w:r>
      <w:bookmarkEnd w:id="138"/>
    </w:p>
    <w:p w14:paraId="2E516A22">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在合同履行过程中，如果乙方遇到不能按时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的情况，应及时以书面形式将不能按时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的理由、预期延误时间通知甲方</w:t>
      </w:r>
      <w:r>
        <w:rPr>
          <w:rFonts w:hint="eastAsia" w:cs="Times New Roman" w:asciiTheme="minorEastAsia" w:hAnsiTheme="minorEastAsia" w:eastAsiaTheme="minorEastAsia"/>
          <w:color w:val="000000" w:themeColor="text1"/>
          <w:sz w:val="24"/>
          <w:szCs w:val="24"/>
          <w14:textFill>
            <w14:solidFill>
              <w14:schemeClr w14:val="tx1"/>
            </w14:solidFill>
          </w14:textFill>
        </w:rPr>
        <w:t>；甲</w:t>
      </w:r>
      <w:r>
        <w:rPr>
          <w:rFonts w:cs="Times New Roman" w:asciiTheme="minorEastAsia" w:hAnsiTheme="minorEastAsia" w:eastAsiaTheme="minorEastAsia"/>
          <w:color w:val="000000" w:themeColor="text1"/>
          <w:sz w:val="24"/>
          <w:szCs w:val="24"/>
          <w14:textFill>
            <w14:solidFill>
              <w14:schemeClr w14:val="tx1"/>
            </w14:solidFill>
          </w14:textFill>
        </w:rPr>
        <w:t>方收到乙方通知后，认为其理由正当的，可以书面形式酌情同意乙方可以延长</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的具体时间。</w:t>
      </w:r>
    </w:p>
    <w:p w14:paraId="04615506">
      <w:pPr>
        <w:spacing w:line="360" w:lineRule="auto"/>
        <w:ind w:firstLine="437"/>
        <w:outlineLvl w:val="2"/>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39" w:name="_Toc7502"/>
      <w:bookmarkStart w:id="140" w:name="_Toc259093683"/>
      <w:bookmarkStart w:id="141" w:name="_Ref467378121"/>
      <w:bookmarkStart w:id="142" w:name="_Toc279701254"/>
      <w:bookmarkStart w:id="143" w:name="_Toc487900364"/>
      <w:r>
        <w:rPr>
          <w:rFonts w:cs="Times New Roman" w:asciiTheme="minorEastAsia" w:hAnsiTheme="minorEastAsia" w:eastAsiaTheme="minorEastAsia"/>
          <w:b/>
          <w:bCs/>
          <w:color w:val="000000" w:themeColor="text1"/>
          <w:sz w:val="24"/>
          <w:szCs w:val="24"/>
          <w:lang w:val="zh-CN"/>
          <w14:textFill>
            <w14:solidFill>
              <w14:schemeClr w14:val="tx1"/>
            </w14:solidFill>
          </w14:textFill>
        </w:rPr>
        <w:t>2.9 合同变更</w:t>
      </w:r>
      <w:bookmarkEnd w:id="139"/>
    </w:p>
    <w:p w14:paraId="25078346">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.1双方当事人协商一致，可以签订书面补充合同的形式变更合同，但不得违背招标文件确定的事项；</w:t>
      </w:r>
    </w:p>
    <w:p w14:paraId="2C43E1D5">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44" w:name="_Toc259093688"/>
      <w:bookmarkStart w:id="145" w:name="_Toc487900369"/>
      <w:bookmarkStart w:id="146" w:name="_Toc279701259"/>
    </w:p>
    <w:p w14:paraId="433B7435">
      <w:pPr>
        <w:spacing w:line="360" w:lineRule="auto"/>
        <w:ind w:firstLine="437"/>
        <w:outlineLvl w:val="2"/>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47" w:name="_Toc10366"/>
      <w:bookmarkStart w:id="148" w:name="_Toc22955"/>
      <w:bookmarkStart w:id="149" w:name="_Toc15237"/>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0合同转让</w:t>
      </w:r>
      <w:bookmarkEnd w:id="144"/>
      <w:bookmarkEnd w:id="145"/>
      <w:bookmarkEnd w:id="146"/>
      <w:r>
        <w:rPr>
          <w:rFonts w:cs="Times New Roman" w:asciiTheme="minorEastAsia" w:hAnsiTheme="minorEastAsia" w:eastAsiaTheme="minorEastAsia"/>
          <w:b/>
          <w:bCs/>
          <w:color w:val="000000" w:themeColor="text1"/>
          <w:sz w:val="24"/>
          <w:szCs w:val="24"/>
          <w:lang w:val="zh-CN"/>
          <w14:textFill>
            <w14:solidFill>
              <w14:schemeClr w14:val="tx1"/>
            </w14:solidFill>
          </w14:textFill>
        </w:rPr>
        <w:t>和分包</w:t>
      </w:r>
      <w:bookmarkEnd w:id="147"/>
      <w:bookmarkEnd w:id="148"/>
      <w:bookmarkEnd w:id="149"/>
    </w:p>
    <w:p w14:paraId="5AE5E833">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合同的权利义务依法不</w:t>
      </w:r>
      <w:r>
        <w:rPr>
          <w:rFonts w:hint="eastAsia" w:cs="Times New Roman" w:asciiTheme="minorEastAsia" w:hAnsiTheme="minorEastAsia" w:eastAsiaTheme="minorEastAsia"/>
          <w:color w:val="000000" w:themeColor="text1"/>
          <w:sz w:val="24"/>
          <w:szCs w:val="24"/>
          <w14:textFill>
            <w14:solidFill>
              <w14:schemeClr w14:val="tx1"/>
            </w14:solidFill>
          </w14:textFill>
        </w:rPr>
        <w:t>得</w:t>
      </w:r>
      <w:r>
        <w:rPr>
          <w:rFonts w:cs="Times New Roman" w:asciiTheme="minorEastAsia" w:hAnsiTheme="minorEastAsia" w:eastAsiaTheme="minorEastAsia"/>
          <w:color w:val="000000" w:themeColor="text1"/>
          <w:sz w:val="24"/>
          <w:szCs w:val="24"/>
          <w14:textFill>
            <w14:solidFill>
              <w14:schemeClr w14:val="tx1"/>
            </w14:solidFill>
          </w14:textFill>
        </w:rPr>
        <w:t>转让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但经甲方</w:t>
      </w:r>
      <w:r>
        <w:rPr>
          <w:rFonts w:hint="eastAsia" w:cs="Times New Roman" w:asciiTheme="minorEastAsia" w:hAnsiTheme="minorEastAsia" w:eastAsiaTheme="minorEastAsia"/>
          <w:color w:val="000000" w:themeColor="text1"/>
          <w:sz w:val="24"/>
          <w:szCs w:val="24"/>
          <w14:textFill>
            <w14:solidFill>
              <w14:schemeClr w14:val="tx1"/>
            </w14:solidFill>
          </w14:textFill>
        </w:rPr>
        <w:t>同意，乙方可以依法采取分包方式履行合同，即：依法可以</w:t>
      </w:r>
      <w:r>
        <w:rPr>
          <w:rFonts w:cs="Times New Roman" w:asciiTheme="minorEastAsia" w:hAnsiTheme="minorEastAsia" w:eastAsiaTheme="minorEastAsia"/>
          <w:color w:val="000000" w:themeColor="text1"/>
          <w:sz w:val="24"/>
          <w:szCs w:val="24"/>
          <w14:textFill>
            <w14:solidFill>
              <w14:schemeClr w14:val="tx1"/>
            </w14:solidFill>
          </w14:textFill>
        </w:rPr>
        <w:t>将合同项下的部分非主体、非关键性工作分包给他人完成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接受分包的人应当具备相应的资格条件，并不得再次分包</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且乙方应就分包项目向甲方负责</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并</w:t>
      </w:r>
      <w:r>
        <w:rPr>
          <w:rFonts w:hint="eastAsia" w:cs="Times New Roman" w:asciiTheme="minorEastAsia" w:hAnsiTheme="minorEastAsia" w:eastAsiaTheme="minorEastAsia"/>
          <w:color w:val="000000" w:themeColor="text1"/>
          <w:sz w:val="24"/>
          <w:szCs w:val="24"/>
          <w14:textFill>
            <w14:solidFill>
              <w14:schemeClr w14:val="tx1"/>
            </w14:solidFill>
          </w14:textFill>
        </w:rPr>
        <w:t>与分包投标人就分包项目向甲方承担连带责任。</w:t>
      </w:r>
    </w:p>
    <w:p w14:paraId="4109C94A">
      <w:pPr>
        <w:spacing w:line="360" w:lineRule="auto"/>
        <w:ind w:firstLine="437"/>
        <w:outlineLvl w:val="2"/>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0" w:name="_Toc13566"/>
      <w:bookmarkStart w:id="151" w:name="_Toc16508"/>
      <w:bookmarkStart w:id="152" w:name="_Toc1406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 不可抗力</w:t>
      </w:r>
      <w:bookmarkEnd w:id="150"/>
      <w:bookmarkEnd w:id="151"/>
      <w:bookmarkEnd w:id="152"/>
    </w:p>
    <w:p w14:paraId="2F7BF0C7">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0D0D46A">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.2因不可抗力致使不能实现合同目的的，当事人可以解除合同；</w:t>
      </w:r>
    </w:p>
    <w:p w14:paraId="2671C359">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.3因</w:t>
      </w:r>
      <w:r>
        <w:rPr>
          <w:rFonts w:cs="Times New Roman" w:asciiTheme="minorEastAsia" w:hAnsiTheme="minorEastAsia" w:eastAsiaTheme="minorEastAsia"/>
          <w:color w:val="000000" w:themeColor="text1"/>
          <w:sz w:val="24"/>
          <w:szCs w:val="24"/>
          <w14:textFill>
            <w14:solidFill>
              <w14:schemeClr w14:val="tx1"/>
            </w14:solidFill>
          </w14:textFill>
        </w:rPr>
        <w:t>不可抗力致使合同有变更必要的，双方当事人应在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约定时间内以书面形式变更合同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755FE2D4">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受</w:t>
      </w:r>
      <w:r>
        <w:rPr>
          <w:rFonts w:hint="eastAsia" w:cs="Times New Roman" w:asciiTheme="minorEastAsia" w:hAnsiTheme="minorEastAsia" w:eastAsiaTheme="minorEastAsia"/>
          <w:color w:val="000000" w:themeColor="text1"/>
          <w:sz w:val="24"/>
          <w:szCs w:val="24"/>
          <w14:textFill>
            <w14:solidFill>
              <w14:schemeClr w14:val="tx1"/>
            </w14:solidFill>
          </w14:textFill>
        </w:rPr>
        <w:t>不可抗力</w:t>
      </w:r>
      <w:r>
        <w:rPr>
          <w:rFonts w:cs="Times New Roman" w:asciiTheme="minorEastAsia" w:hAnsiTheme="minorEastAsia" w:eastAsiaTheme="minorEastAsia"/>
          <w:color w:val="000000" w:themeColor="text1"/>
          <w:sz w:val="24"/>
          <w:szCs w:val="24"/>
          <w14:textFill>
            <w14:solidFill>
              <w14:schemeClr w14:val="tx1"/>
            </w14:solidFill>
          </w14:textFill>
        </w:rPr>
        <w:t>影响的一方在不可抗力发生后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约定时间内以书面形式通知</w:t>
      </w:r>
      <w:r>
        <w:rPr>
          <w:rFonts w:hint="eastAsia" w:cs="Times New Roman" w:asciiTheme="minorEastAsia" w:hAnsiTheme="minorEastAsia" w:eastAsiaTheme="minorEastAsia"/>
          <w:color w:val="000000" w:themeColor="text1"/>
          <w:sz w:val="24"/>
          <w:szCs w:val="24"/>
          <w14:textFill>
            <w14:solidFill>
              <w14:schemeClr w14:val="tx1"/>
            </w14:solidFill>
          </w14:textFill>
        </w:rPr>
        <w:t>对</w:t>
      </w:r>
      <w:r>
        <w:rPr>
          <w:rFonts w:cs="Times New Roman" w:asciiTheme="minorEastAsia" w:hAnsiTheme="minorEastAsia" w:eastAsiaTheme="minorEastAsia"/>
          <w:color w:val="000000" w:themeColor="text1"/>
          <w:sz w:val="24"/>
          <w:szCs w:val="24"/>
          <w14:textFill>
            <w14:solidFill>
              <w14:schemeClr w14:val="tx1"/>
            </w14:solidFill>
          </w14:textFill>
        </w:rPr>
        <w:t>方当事人，并在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约定时间内，将有关部门出具的证明文件送达</w:t>
      </w:r>
      <w:r>
        <w:rPr>
          <w:rFonts w:hint="eastAsia" w:cs="Times New Roman" w:asciiTheme="minorEastAsia" w:hAnsiTheme="minorEastAsia" w:eastAsiaTheme="minorEastAsia"/>
          <w:color w:val="000000" w:themeColor="text1"/>
          <w:sz w:val="24"/>
          <w:szCs w:val="24"/>
          <w14:textFill>
            <w14:solidFill>
              <w14:schemeClr w14:val="tx1"/>
            </w14:solidFill>
          </w14:textFill>
        </w:rPr>
        <w:t>对方当事人</w:t>
      </w:r>
      <w:r>
        <w:rPr>
          <w:rFonts w:cs="Times New Roman" w:asciiTheme="minorEastAsia" w:hAnsiTheme="minorEastAsia" w:eastAsiaTheme="minorEastAsia"/>
          <w:color w:val="000000" w:themeColor="text1"/>
          <w:sz w:val="24"/>
          <w:szCs w:val="24"/>
          <w14:textFill>
            <w14:solidFill>
              <w14:schemeClr w14:val="tx1"/>
            </w14:solidFill>
          </w14:textFill>
        </w:rPr>
        <w:t>。</w:t>
      </w:r>
    </w:p>
    <w:p w14:paraId="7A8DD360">
      <w:pPr>
        <w:spacing w:line="360" w:lineRule="auto"/>
        <w:ind w:firstLine="437"/>
        <w:outlineLvl w:val="2"/>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3" w:name="_Toc259093684"/>
      <w:bookmarkStart w:id="154" w:name="_Toc689"/>
      <w:bookmarkStart w:id="155" w:name="_Toc30676"/>
      <w:bookmarkStart w:id="156" w:name="_Toc279701255"/>
      <w:bookmarkStart w:id="157" w:name="_Toc6969"/>
      <w:bookmarkStart w:id="158" w:name="_Toc48790036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12税费</w:t>
      </w:r>
      <w:bookmarkEnd w:id="153"/>
      <w:bookmarkEnd w:id="154"/>
      <w:bookmarkEnd w:id="155"/>
      <w:bookmarkEnd w:id="156"/>
      <w:bookmarkEnd w:id="157"/>
      <w:bookmarkEnd w:id="158"/>
    </w:p>
    <w:p w14:paraId="2DF30D87">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与合同有关的一切税费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均按照中华人民共和国法律的相关规定</w:t>
      </w:r>
      <w:r>
        <w:rPr>
          <w:rFonts w:hint="eastAsia" w:cs="Times New Roman" w:asciiTheme="minorEastAsia" w:hAnsiTheme="minorEastAsia" w:eastAsiaTheme="minorEastAsia"/>
          <w:color w:val="000000" w:themeColor="text1"/>
          <w:sz w:val="24"/>
          <w:szCs w:val="24"/>
          <w14:textFill>
            <w14:solidFill>
              <w14:schemeClr w14:val="tx1"/>
            </w14:solidFill>
          </w14:textFill>
        </w:rPr>
        <w:t>缴纳</w:t>
      </w:r>
      <w:r>
        <w:rPr>
          <w:rFonts w:cs="Times New Roman" w:asciiTheme="minorEastAsia" w:hAnsiTheme="minorEastAsia" w:eastAsiaTheme="minorEastAsia"/>
          <w:color w:val="000000" w:themeColor="text1"/>
          <w:sz w:val="24"/>
          <w:szCs w:val="24"/>
          <w14:textFill>
            <w14:solidFill>
              <w14:schemeClr w14:val="tx1"/>
            </w14:solidFill>
          </w14:textFill>
        </w:rPr>
        <w:t>。</w:t>
      </w:r>
    </w:p>
    <w:p w14:paraId="605AAD10">
      <w:pPr>
        <w:spacing w:line="360" w:lineRule="auto"/>
        <w:ind w:firstLine="437"/>
        <w:outlineLvl w:val="2"/>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9" w:name="_Toc487900368"/>
      <w:bookmarkStart w:id="160" w:name="_Toc16959"/>
      <w:bookmarkStart w:id="161" w:name="_Toc279701258"/>
      <w:bookmarkStart w:id="162" w:name="_Toc7102"/>
      <w:bookmarkStart w:id="163" w:name="_Toc8298"/>
      <w:bookmarkStart w:id="164" w:name="_Toc259093687"/>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13乙方破产</w:t>
      </w:r>
      <w:bookmarkEnd w:id="159"/>
      <w:bookmarkEnd w:id="160"/>
      <w:bookmarkEnd w:id="161"/>
      <w:bookmarkEnd w:id="162"/>
      <w:bookmarkEnd w:id="163"/>
      <w:bookmarkEnd w:id="164"/>
    </w:p>
    <w:p w14:paraId="11AE216C">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，但合同的</w:t>
      </w:r>
      <w:r>
        <w:rPr>
          <w:rFonts w:cs="Times New Roman" w:asciiTheme="minorEastAsia" w:hAnsiTheme="minorEastAsia" w:eastAsiaTheme="minorEastAsia"/>
          <w:color w:val="000000" w:themeColor="text1"/>
          <w:sz w:val="24"/>
          <w:szCs w:val="24"/>
          <w14:textFill>
            <w14:solidFill>
              <w14:schemeClr w14:val="tx1"/>
            </w14:solidFill>
          </w14:textFill>
        </w:rPr>
        <w:t>终止不损害或不影响甲方已经采取或将要采取的任何要求乙方支付违约金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赔偿损失等的行动或补救措施的权利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6044E135">
      <w:pPr>
        <w:spacing w:line="360" w:lineRule="auto"/>
        <w:ind w:firstLine="437"/>
        <w:outlineLvl w:val="2"/>
        <w:rPr>
          <w:rFonts w:hint="eastAsia" w:cs="Times New Roman" w:asciiTheme="minorEastAsia" w:hAnsiTheme="minorEastAsia" w:eastAsiaTheme="minorEastAsia"/>
          <w:b/>
          <w:color w:val="000000" w:themeColor="text1"/>
          <w:sz w:val="24"/>
          <w:szCs w:val="24"/>
          <w14:textFill>
            <w14:solidFill>
              <w14:schemeClr w14:val="tx1"/>
            </w14:solidFill>
          </w14:textFill>
        </w:rPr>
      </w:pPr>
      <w:bookmarkStart w:id="165" w:name="_Toc6134"/>
      <w:bookmarkStart w:id="166" w:name="_Toc15387"/>
      <w:bookmarkStart w:id="167" w:name="_Toc2933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4</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合同中止、终止</w:t>
      </w:r>
      <w:bookmarkEnd w:id="165"/>
      <w:bookmarkEnd w:id="166"/>
      <w:bookmarkEnd w:id="167"/>
    </w:p>
    <w:p w14:paraId="4D809834">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.1双方当事人不得擅自中止或者终止合同；</w:t>
      </w:r>
    </w:p>
    <w:p w14:paraId="595BD696">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33440E36">
      <w:pPr>
        <w:spacing w:line="360" w:lineRule="auto"/>
        <w:ind w:firstLine="437"/>
        <w:outlineLvl w:val="2"/>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68" w:name="_Toc6596"/>
      <w:bookmarkStart w:id="169" w:name="_Toc1125"/>
      <w:bookmarkStart w:id="170" w:name="_Toc1456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检验和验收</w:t>
      </w:r>
      <w:bookmarkEnd w:id="168"/>
      <w:bookmarkEnd w:id="169"/>
      <w:bookmarkEnd w:id="170"/>
    </w:p>
    <w:p w14:paraId="54E1FFAA">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1乙方按照</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的约定</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定期提交服务报告</w:t>
      </w:r>
      <w:r>
        <w:rPr>
          <w:rFonts w:hint="eastAsia" w:cs="Times New Roman" w:asciiTheme="minorEastAsia" w:hAnsiTheme="minorEastAsia" w:eastAsiaTheme="minorEastAsia"/>
          <w:color w:val="000000" w:themeColor="text1"/>
          <w:sz w:val="24"/>
          <w:szCs w:val="24"/>
          <w14:textFill>
            <w14:solidFill>
              <w14:schemeClr w14:val="tx1"/>
            </w14:solidFill>
          </w14:textFill>
        </w:rPr>
        <w:t>，甲方按照</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的约定进行定期验收</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7D19F29F">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77DC41B">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2.15.3检验和验收标准、程序等具体内容以及前述验收书的效力详见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hint="eastAsia" w:cs="Times New Roman" w:asciiTheme="minorEastAsia" w:hAnsiTheme="minorEastAsia" w:eastAsiaTheme="minorEastAsia"/>
          <w:i/>
          <w:color w:val="000000" w:themeColor="text1"/>
          <w:sz w:val="24"/>
          <w:szCs w:val="24"/>
          <w14:textFill>
            <w14:solidFill>
              <w14:schemeClr w14:val="tx1"/>
            </w14:solidFill>
          </w14:textFill>
        </w:rPr>
        <w:t>。</w:t>
      </w:r>
    </w:p>
    <w:bookmarkEnd w:id="140"/>
    <w:bookmarkEnd w:id="141"/>
    <w:bookmarkEnd w:id="142"/>
    <w:bookmarkEnd w:id="143"/>
    <w:p w14:paraId="5ED933DF">
      <w:pPr>
        <w:spacing w:line="360" w:lineRule="auto"/>
        <w:ind w:firstLine="437"/>
        <w:outlineLvl w:val="2"/>
        <w:rPr>
          <w:rFonts w:hint="eastAsia" w:cs="Times New Roman" w:asciiTheme="minorEastAsia" w:hAnsiTheme="minorEastAsia" w:eastAsiaTheme="minorEastAsia"/>
          <w:b/>
          <w:bCs/>
          <w:color w:val="000000" w:themeColor="text1"/>
          <w:sz w:val="24"/>
          <w:szCs w:val="24"/>
          <w14:textFill>
            <w14:solidFill>
              <w14:schemeClr w14:val="tx1"/>
            </w14:solidFill>
          </w14:textFill>
        </w:rPr>
      </w:pPr>
      <w:bookmarkStart w:id="171" w:name="_Toc18567"/>
      <w:bookmarkStart w:id="172" w:name="_Toc279701263"/>
      <w:bookmarkStart w:id="173" w:name="_Toc487900373"/>
      <w:bookmarkStart w:id="174" w:name="_Toc10330"/>
      <w:bookmarkStart w:id="175" w:name="_Toc12773"/>
      <w:bookmarkStart w:id="176" w:name="_Toc259093692"/>
      <w:r>
        <w:rPr>
          <w:rFonts w:hint="eastAsia" w:cs="Times New Roman" w:asciiTheme="minorEastAsia" w:hAnsiTheme="minorEastAsia" w:eastAsiaTheme="minorEastAsia"/>
          <w:b/>
          <w:bCs/>
          <w:color w:val="000000" w:themeColor="text1"/>
          <w:sz w:val="24"/>
          <w:szCs w:val="24"/>
          <w14:textFill>
            <w14:solidFill>
              <w14:schemeClr w14:val="tx1"/>
            </w14:solidFill>
          </w14:textFill>
        </w:rPr>
        <w:t>2.</w:t>
      </w:r>
      <w:r>
        <w:rPr>
          <w:rFonts w:cs="Times New Roman" w:asciiTheme="minorEastAsia" w:hAnsiTheme="minorEastAsia" w:eastAsiaTheme="minorEastAsia"/>
          <w:b/>
          <w:bCs/>
          <w:color w:val="000000" w:themeColor="text1"/>
          <w:sz w:val="24"/>
          <w:szCs w:val="24"/>
          <w14:textFill>
            <w14:solidFill>
              <w14:schemeClr w14:val="tx1"/>
            </w14:solidFill>
          </w14:textFill>
        </w:rPr>
        <w:t>16</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合同使用的文字和</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适用的法律</w:t>
      </w:r>
      <w:bookmarkEnd w:id="171"/>
      <w:bookmarkEnd w:id="172"/>
      <w:bookmarkEnd w:id="173"/>
      <w:bookmarkEnd w:id="174"/>
      <w:bookmarkEnd w:id="175"/>
      <w:bookmarkEnd w:id="176"/>
    </w:p>
    <w:p w14:paraId="4DA7D9B6">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16.1合同使用汉语书就</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变更和解释</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3B5803F1">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16</w:t>
      </w:r>
      <w:r>
        <w:rPr>
          <w:rFonts w:hint="eastAsia" w:cs="Times New Roman" w:asciiTheme="minorEastAsia" w:hAnsiTheme="minorEastAsia" w:eastAsiaTheme="minorEastAsia"/>
          <w:color w:val="000000" w:themeColor="text1"/>
          <w:sz w:val="24"/>
          <w:szCs w:val="24"/>
          <w14:textFill>
            <w14:solidFill>
              <w14:schemeClr w14:val="tx1"/>
            </w14:solidFill>
          </w14:textFill>
        </w:rPr>
        <w:t>.2合同适用</w:t>
      </w:r>
      <w:r>
        <w:rPr>
          <w:rFonts w:cs="Times New Roman" w:asciiTheme="minorEastAsia" w:hAnsiTheme="minorEastAsia" w:eastAsiaTheme="minorEastAsia"/>
          <w:color w:val="000000" w:themeColor="text1"/>
          <w:sz w:val="24"/>
          <w:szCs w:val="24"/>
          <w14:textFill>
            <w14:solidFill>
              <w14:schemeClr w14:val="tx1"/>
            </w14:solidFill>
          </w14:textFill>
        </w:rPr>
        <w:t>中华人民共和国法律。</w:t>
      </w:r>
    </w:p>
    <w:p w14:paraId="3A9C12D0">
      <w:pPr>
        <w:spacing w:line="360" w:lineRule="auto"/>
        <w:ind w:firstLine="437"/>
        <w:outlineLvl w:val="2"/>
        <w:rPr>
          <w:rFonts w:hint="eastAsia" w:cs="Times New Roman" w:asciiTheme="minorEastAsia" w:hAnsiTheme="minorEastAsia" w:eastAsiaTheme="minorEastAsia"/>
          <w:b/>
          <w:color w:val="000000" w:themeColor="text1"/>
          <w:sz w:val="24"/>
          <w:szCs w:val="24"/>
          <w14:textFill>
            <w14:solidFill>
              <w14:schemeClr w14:val="tx1"/>
            </w14:solidFill>
          </w14:textFill>
        </w:rPr>
      </w:pPr>
      <w:bookmarkStart w:id="177" w:name="_Toc16673"/>
      <w:bookmarkStart w:id="178" w:name="_Toc259093693"/>
      <w:bookmarkStart w:id="179" w:name="_Toc279701264"/>
      <w:bookmarkStart w:id="180" w:name="_Toc12004"/>
      <w:bookmarkStart w:id="181" w:name="_Toc3148"/>
      <w:bookmarkStart w:id="182" w:name="_Toc48790037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17履约保证金</w:t>
      </w:r>
      <w:bookmarkEnd w:id="177"/>
      <w:bookmarkEnd w:id="178"/>
      <w:bookmarkEnd w:id="179"/>
      <w:bookmarkEnd w:id="180"/>
      <w:bookmarkEnd w:id="181"/>
    </w:p>
    <w:p w14:paraId="108A7C5F">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17</w:t>
      </w:r>
      <w:r>
        <w:rPr>
          <w:rFonts w:hint="eastAsia" w:cs="Times New Roman" w:asciiTheme="minorEastAsia" w:hAnsiTheme="minorEastAsia" w:eastAsiaTheme="minorEastAsia"/>
          <w:color w:val="000000" w:themeColor="text1"/>
          <w:sz w:val="24"/>
          <w:szCs w:val="24"/>
          <w14:textFill>
            <w14:solidFill>
              <w14:schemeClr w14:val="tx1"/>
            </w14:solidFill>
          </w14:textFill>
        </w:rPr>
        <w:t>.1招标文件要求乙方提交履约保证金的，乙方</w:t>
      </w:r>
      <w:r>
        <w:rPr>
          <w:rFonts w:cs="Times New Roman" w:asciiTheme="minorEastAsia" w:hAnsiTheme="minorEastAsia" w:eastAsiaTheme="minorEastAsia"/>
          <w:color w:val="000000" w:themeColor="text1"/>
          <w:sz w:val="24"/>
          <w:szCs w:val="24"/>
          <w14:textFill>
            <w14:solidFill>
              <w14:schemeClr w14:val="tx1"/>
            </w14:solidFill>
          </w14:textFill>
        </w:rPr>
        <w:t>应按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约定的方式</w:t>
      </w:r>
      <w:r>
        <w:rPr>
          <w:rFonts w:hint="eastAsia" w:cs="Times New Roman" w:asciiTheme="minorEastAsia" w:hAnsiTheme="minorEastAsia" w:eastAsiaTheme="minorEastAsia"/>
          <w:color w:val="000000" w:themeColor="text1"/>
          <w:sz w:val="24"/>
          <w:szCs w:val="24"/>
          <w14:textFill>
            <w14:solidFill>
              <w14:schemeClr w14:val="tx1"/>
            </w14:solidFill>
          </w14:textFill>
        </w:rPr>
        <w:t>，以支票、汇票、本票或者金融机构、担保机构出具的保函等非现金形式提交；</w:t>
      </w:r>
    </w:p>
    <w:p w14:paraId="2BD214F1">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17.2履约保证金在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约定期间内不予退还或者应完全有效</w:t>
      </w:r>
      <w:r>
        <w:rPr>
          <w:rFonts w:hint="eastAsia" w:cs="Times New Roman" w:asciiTheme="minorEastAsia" w:hAnsiTheme="minorEastAsia" w:eastAsiaTheme="minorEastAsia"/>
          <w:color w:val="000000" w:themeColor="text1"/>
          <w:sz w:val="24"/>
          <w:szCs w:val="24"/>
          <w14:textFill>
            <w14:solidFill>
              <w14:schemeClr w14:val="tx1"/>
            </w14:solidFill>
          </w14:textFill>
        </w:rPr>
        <w:t>，前述约定期间届满</w:t>
      </w:r>
      <w:r>
        <w:rPr>
          <w:rFonts w:cs="Times New Roman" w:asciiTheme="minorEastAsia" w:hAnsiTheme="minorEastAsia" w:eastAsiaTheme="minorEastAsia"/>
          <w:color w:val="000000" w:themeColor="text1"/>
          <w:sz w:val="24"/>
          <w:szCs w:val="24"/>
          <w14:textFill>
            <w14:solidFill>
              <w14:schemeClr w14:val="tx1"/>
            </w14:solidFill>
          </w14:textFill>
        </w:rPr>
        <w:t>之日起</w:t>
      </w:r>
      <w:r>
        <w:rPr>
          <w:rFonts w:hint="eastAsia" w:cs="Times New Roman" w:asciiTheme="minorEastAsia" w:hAnsiTheme="minorEastAsia" w:eastAsiaTheme="minorEastAsia"/>
          <w:color w:val="000000" w:themeColor="text1"/>
          <w:sz w:val="24"/>
          <w:szCs w:val="24"/>
          <w14:textFill>
            <w14:solidFill>
              <w14:schemeClr w14:val="tx1"/>
            </w14:solidFill>
          </w14:textFill>
        </w:rPr>
        <w:t>个</w:t>
      </w:r>
      <w:r>
        <w:rPr>
          <w:rFonts w:cs="Times New Roman" w:asciiTheme="minorEastAsia" w:hAnsiTheme="minorEastAsia" w:eastAsiaTheme="minorEastAsia"/>
          <w:color w:val="000000" w:themeColor="text1"/>
          <w:sz w:val="24"/>
          <w:szCs w:val="24"/>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14:textFill>
            <w14:solidFill>
              <w14:schemeClr w14:val="tx1"/>
            </w14:solidFill>
          </w14:textFill>
        </w:rPr>
        <w:t>，甲方逾期退还履约保证金应承担违约责任。</w:t>
      </w:r>
    </w:p>
    <w:p w14:paraId="357A1F84">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17</w:t>
      </w: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如果乙方不履行合同</w:t>
      </w:r>
      <w:r>
        <w:rPr>
          <w:rFonts w:hint="eastAsia" w:cs="Times New Roman" w:asciiTheme="minorEastAsia" w:hAnsiTheme="minorEastAsia" w:eastAsiaTheme="minorEastAsia"/>
          <w:color w:val="000000" w:themeColor="text1"/>
          <w:sz w:val="24"/>
          <w:szCs w:val="24"/>
          <w14:textFill>
            <w14:solidFill>
              <w14:schemeClr w14:val="tx1"/>
            </w14:solidFill>
          </w14:textFill>
        </w:rPr>
        <w:t>，履约保证金不予退还；如果乙方</w:t>
      </w:r>
      <w:r>
        <w:rPr>
          <w:rFonts w:cs="Times New Roman" w:asciiTheme="minorEastAsia" w:hAnsiTheme="minorEastAsia" w:eastAsiaTheme="minorEastAsia"/>
          <w:color w:val="000000" w:themeColor="text1"/>
          <w:sz w:val="24"/>
          <w:szCs w:val="24"/>
          <w14:textFill>
            <w14:solidFill>
              <w14:schemeClr w14:val="tx1"/>
            </w14:solidFill>
          </w14:textFill>
        </w:rPr>
        <w:t>未能按合同</w:t>
      </w:r>
      <w:r>
        <w:rPr>
          <w:rFonts w:hint="eastAsia" w:cs="Times New Roman" w:asciiTheme="minorEastAsia" w:hAnsiTheme="minorEastAsia" w:eastAsiaTheme="minorEastAsia"/>
          <w:color w:val="000000" w:themeColor="text1"/>
          <w:sz w:val="24"/>
          <w:szCs w:val="24"/>
          <w14:textFill>
            <w14:solidFill>
              <w14:schemeClr w14:val="tx1"/>
            </w14:solidFill>
          </w14:textFill>
        </w:rPr>
        <w:t>约</w:t>
      </w:r>
      <w:r>
        <w:rPr>
          <w:rFonts w:cs="Times New Roman" w:asciiTheme="minorEastAsia" w:hAnsiTheme="minorEastAsia" w:eastAsiaTheme="minorEastAsia"/>
          <w:color w:val="000000" w:themeColor="text1"/>
          <w:sz w:val="24"/>
          <w:szCs w:val="24"/>
          <w14:textFill>
            <w14:solidFill>
              <w14:schemeClr w14:val="tx1"/>
            </w14:solidFill>
          </w14:textFill>
        </w:rPr>
        <w:t>定全面履行义务，那么甲方有权从履约保证金中取得补偿或赔偿</w:t>
      </w:r>
      <w:r>
        <w:rPr>
          <w:rFonts w:hint="eastAsia" w:cs="Times New Roman" w:asciiTheme="minorEastAsia" w:hAnsiTheme="minorEastAsia" w:eastAsiaTheme="minorEastAsia"/>
          <w:color w:val="000000" w:themeColor="text1"/>
          <w:sz w:val="24"/>
          <w:szCs w:val="24"/>
          <w14:textFill>
            <w14:solidFill>
              <w14:schemeClr w14:val="tx1"/>
            </w14:solidFill>
          </w14:textFill>
        </w:rPr>
        <w:t>，同时不影响甲方要求乙方承担合同约定的超过履约保证金的违约责任的权利。</w:t>
      </w:r>
    </w:p>
    <w:bookmarkEnd w:id="182"/>
    <w:p w14:paraId="2917ED1C">
      <w:pPr>
        <w:spacing w:line="360" w:lineRule="auto"/>
        <w:ind w:firstLine="437"/>
        <w:outlineLvl w:val="2"/>
        <w:rPr>
          <w:rFonts w:hint="eastAsia" w:cs="Times New Roman" w:asciiTheme="minorEastAsia" w:hAnsiTheme="minorEastAsia" w:eastAsiaTheme="minorEastAsia"/>
          <w:b/>
          <w:color w:val="000000" w:themeColor="text1"/>
          <w:sz w:val="24"/>
          <w:szCs w:val="24"/>
          <w14:textFill>
            <w14:solidFill>
              <w14:schemeClr w14:val="tx1"/>
            </w14:solidFill>
          </w14:textFill>
        </w:rPr>
      </w:pPr>
      <w:bookmarkStart w:id="183" w:name="_Toc19890"/>
      <w:bookmarkStart w:id="184" w:name="_Toc6885"/>
      <w:bookmarkStart w:id="185" w:name="_Toc1400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18</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合同份数</w:t>
      </w:r>
      <w:bookmarkEnd w:id="183"/>
      <w:bookmarkEnd w:id="184"/>
      <w:bookmarkEnd w:id="185"/>
    </w:p>
    <w:p w14:paraId="15F02311">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合同份数按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规定</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每份均具有同等法律效力</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387DF920">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br w:type="page"/>
      </w:r>
      <w:bookmarkStart w:id="186" w:name="_Toc3736"/>
      <w:r>
        <w:rPr>
          <w:rFonts w:hint="eastAsia" w:asciiTheme="minorEastAsia" w:hAnsiTheme="minorEastAsia" w:eastAsiaTheme="minorEastAsia"/>
          <w:b/>
          <w:color w:val="000000" w:themeColor="text1"/>
          <w:sz w:val="24"/>
          <w14:textFill>
            <w14:solidFill>
              <w14:schemeClr w14:val="tx1"/>
            </w14:solidFill>
          </w14:textFill>
        </w:rPr>
        <w:t>第三部分合同专用条款</w:t>
      </w:r>
      <w:bookmarkEnd w:id="186"/>
    </w:p>
    <w:p w14:paraId="53CB1212">
      <w:pPr>
        <w:spacing w:line="360" w:lineRule="auto"/>
        <w:ind w:firstLine="435"/>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本部分</w:t>
      </w:r>
      <w:r>
        <w:rPr>
          <w:rFonts w:cs="Times New Roman" w:asciiTheme="minorEastAsia" w:hAnsiTheme="minorEastAsia" w:eastAsiaTheme="minorEastAsia"/>
          <w:color w:val="000000" w:themeColor="text1"/>
          <w:sz w:val="24"/>
          <w:szCs w:val="24"/>
          <w14:textFill>
            <w14:solidFill>
              <w14:schemeClr w14:val="tx1"/>
            </w14:solidFill>
          </w14:textFill>
        </w:rPr>
        <w:t>是对</w:t>
      </w:r>
      <w:r>
        <w:rPr>
          <w:rFonts w:hint="eastAsia" w:cs="Times New Roman" w:asciiTheme="minorEastAsia" w:hAnsiTheme="minorEastAsia" w:eastAsiaTheme="minorEastAsia"/>
          <w:color w:val="000000" w:themeColor="text1"/>
          <w:sz w:val="24"/>
          <w:szCs w:val="24"/>
          <w14:textFill>
            <w14:solidFill>
              <w14:schemeClr w14:val="tx1"/>
            </w14:solidFill>
          </w14:textFill>
        </w:rPr>
        <w:t>前两</w:t>
      </w:r>
      <w:r>
        <w:rPr>
          <w:rFonts w:cs="Times New Roman" w:asciiTheme="minorEastAsia" w:hAnsiTheme="minorEastAsia" w:eastAsiaTheme="minorEastAsia"/>
          <w:color w:val="000000" w:themeColor="text1"/>
          <w:sz w:val="24"/>
          <w:szCs w:val="24"/>
          <w14:textFill>
            <w14:solidFill>
              <w14:schemeClr w14:val="tx1"/>
            </w14:solidFill>
          </w14:textFill>
        </w:rPr>
        <w:t>部分的补充和修改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w:t>
      </w:r>
      <w:r>
        <w:rPr>
          <w:rFonts w:hint="eastAsia" w:cs="Times New Roman" w:asciiTheme="minorEastAsia" w:hAnsiTheme="minorEastAsia" w:eastAsiaTheme="minorEastAsia"/>
          <w:color w:val="000000" w:themeColor="text1"/>
          <w:sz w:val="24"/>
          <w:szCs w:val="24"/>
          <w14:textFill>
            <w14:solidFill>
              <w14:schemeClr w14:val="tx1"/>
            </w14:solidFill>
          </w14:textFill>
        </w:rPr>
        <w:t>前两</w:t>
      </w:r>
      <w:r>
        <w:rPr>
          <w:rFonts w:cs="Times New Roman" w:asciiTheme="minorEastAsia" w:hAnsiTheme="minorEastAsia" w:eastAsiaTheme="minorEastAsia"/>
          <w:color w:val="000000" w:themeColor="text1"/>
          <w:sz w:val="24"/>
          <w:szCs w:val="24"/>
          <w14:textFill>
            <w14:solidFill>
              <w14:schemeClr w14:val="tx1"/>
            </w14:solidFill>
          </w14:textFill>
        </w:rPr>
        <w:t>部分和本部分的约定不一致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应以本部分的约定为准</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本部分的条款号应与</w:t>
      </w:r>
      <w:r>
        <w:rPr>
          <w:rFonts w:hint="eastAsia" w:cs="Times New Roman" w:asciiTheme="minorEastAsia" w:hAnsiTheme="minorEastAsia" w:eastAsiaTheme="minorEastAsia"/>
          <w:color w:val="000000" w:themeColor="text1"/>
          <w:sz w:val="24"/>
          <w:szCs w:val="24"/>
          <w14:textFill>
            <w14:solidFill>
              <w14:schemeClr w14:val="tx1"/>
            </w14:solidFill>
          </w14:textFill>
        </w:rPr>
        <w:t>前两部分</w:t>
      </w:r>
      <w:r>
        <w:rPr>
          <w:rFonts w:cs="Times New Roman" w:asciiTheme="minorEastAsia" w:hAnsiTheme="minorEastAsia" w:eastAsiaTheme="minorEastAsia"/>
          <w:color w:val="000000" w:themeColor="text1"/>
          <w:sz w:val="24"/>
          <w:szCs w:val="24"/>
          <w14:textFill>
            <w14:solidFill>
              <w14:schemeClr w14:val="tx1"/>
            </w14:solidFill>
          </w14:textFill>
        </w:rPr>
        <w:t>的条款号保持对应</w:t>
      </w:r>
      <w:r>
        <w:rPr>
          <w:rFonts w:hint="eastAsia" w:cs="Times New Roman" w:asciiTheme="minorEastAsia" w:hAnsiTheme="minorEastAsia" w:eastAsiaTheme="minorEastAsia"/>
          <w:color w:val="000000" w:themeColor="text1"/>
          <w:sz w:val="24"/>
          <w:szCs w:val="24"/>
          <w14:textFill>
            <w14:solidFill>
              <w14:schemeClr w14:val="tx1"/>
            </w14:solidFill>
          </w14:textFill>
        </w:rPr>
        <w:t>；与前两部分</w:t>
      </w:r>
      <w:r>
        <w:rPr>
          <w:rFonts w:cs="Times New Roman" w:asciiTheme="minorEastAsia" w:hAnsiTheme="minorEastAsia" w:eastAsiaTheme="minorEastAsia"/>
          <w:color w:val="000000" w:themeColor="text1"/>
          <w:sz w:val="24"/>
          <w:szCs w:val="24"/>
          <w14:textFill>
            <w14:solidFill>
              <w14:schemeClr w14:val="tx1"/>
            </w14:solidFill>
          </w14:textFill>
        </w:rPr>
        <w:t>无对应关系的内容可另行编制条款号</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tbl>
      <w:tblPr>
        <w:tblStyle w:val="25"/>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883A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0812763">
            <w:pPr>
              <w:jc w:val="center"/>
              <w:rPr>
                <w:rFonts w:hint="eastAsia"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t>条款号</w:t>
            </w:r>
          </w:p>
        </w:tc>
        <w:tc>
          <w:tcPr>
            <w:tcW w:w="7568" w:type="dxa"/>
            <w:vAlign w:val="center"/>
          </w:tcPr>
          <w:p w14:paraId="65D0DB8D">
            <w:pPr>
              <w:jc w:val="center"/>
              <w:rPr>
                <w:rFonts w:hint="eastAsia"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t>约定内容</w:t>
            </w:r>
          </w:p>
        </w:tc>
      </w:tr>
      <w:tr w14:paraId="1AE83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0CCC9187">
            <w:pPr>
              <w:spacing w:line="56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1EF793A7">
            <w:pPr>
              <w:spacing w:line="360" w:lineRule="auto"/>
              <w:rPr>
                <w:rFonts w:hint="eastAsia"/>
              </w:rPr>
            </w:pPr>
          </w:p>
        </w:tc>
      </w:tr>
      <w:tr w14:paraId="7B347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A686AC7">
            <w:pPr>
              <w:spacing w:line="56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72D547E8">
            <w:pPr>
              <w:spacing w:line="56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p>
        </w:tc>
      </w:tr>
      <w:tr w14:paraId="6FDFC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6412A1C">
            <w:pPr>
              <w:spacing w:line="56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2CF937D5">
            <w:pPr>
              <w:spacing w:line="56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p>
        </w:tc>
      </w:tr>
      <w:tr w14:paraId="062A0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5FD9497">
            <w:pPr>
              <w:spacing w:line="56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1C3A5DB8">
            <w:pPr>
              <w:spacing w:line="56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p>
        </w:tc>
      </w:tr>
      <w:tr w14:paraId="35C3B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6894F3D">
            <w:pPr>
              <w:spacing w:line="56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2CB1A2EA">
            <w:pPr>
              <w:spacing w:line="560" w:lineRule="exact"/>
              <w:rPr>
                <w:rFonts w:hint="eastAsia" w:cs="Times New Roman" w:asciiTheme="minorEastAsia" w:hAnsiTheme="minorEastAsia" w:eastAsiaTheme="minorEastAsia"/>
                <w:color w:val="000000" w:themeColor="text1"/>
                <w:sz w:val="24"/>
                <w:szCs w:val="24"/>
                <w:u w:val="single"/>
                <w14:textFill>
                  <w14:solidFill>
                    <w14:schemeClr w14:val="tx1"/>
                  </w14:solidFill>
                </w14:textFill>
              </w:rPr>
            </w:pPr>
          </w:p>
        </w:tc>
      </w:tr>
      <w:tr w14:paraId="5D7EA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04FC26E">
            <w:pPr>
              <w:spacing w:line="56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7EE2CA7A">
            <w:pPr>
              <w:spacing w:line="56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p>
        </w:tc>
      </w:tr>
      <w:tr w14:paraId="28E61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EBFAFAB">
            <w:pPr>
              <w:spacing w:line="56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7AC31413">
            <w:pPr>
              <w:spacing w:line="560" w:lineRule="exact"/>
              <w:rPr>
                <w:rFonts w:hint="eastAsia" w:cs="Times New Roman" w:asciiTheme="minorEastAsia" w:hAnsiTheme="minorEastAsia" w:eastAsiaTheme="minorEastAsia"/>
                <w:color w:val="000000" w:themeColor="text1"/>
                <w:sz w:val="24"/>
                <w:szCs w:val="24"/>
                <w:u w:val="single"/>
                <w14:textFill>
                  <w14:solidFill>
                    <w14:schemeClr w14:val="tx1"/>
                  </w14:solidFill>
                </w14:textFill>
              </w:rPr>
            </w:pPr>
          </w:p>
        </w:tc>
      </w:tr>
      <w:tr w14:paraId="617F3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F36A3B6">
            <w:pPr>
              <w:spacing w:line="56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0E334F8B">
            <w:pPr>
              <w:spacing w:line="56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p>
        </w:tc>
      </w:tr>
      <w:tr w14:paraId="21279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7E6C10F">
            <w:pPr>
              <w:spacing w:line="56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1A895250">
            <w:pPr>
              <w:spacing w:line="56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p>
        </w:tc>
      </w:tr>
      <w:tr w14:paraId="0C6C0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6B98216">
            <w:pPr>
              <w:spacing w:line="56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15C046E2">
            <w:pPr>
              <w:spacing w:line="56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p>
        </w:tc>
      </w:tr>
      <w:tr w14:paraId="06D91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7F34E86">
            <w:pPr>
              <w:spacing w:line="56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3C182F3D">
            <w:pPr>
              <w:spacing w:line="56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p>
        </w:tc>
      </w:tr>
      <w:tr w14:paraId="6466D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5196115A">
            <w:pPr>
              <w:spacing w:line="56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0524809E">
            <w:pPr>
              <w:spacing w:line="56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p>
        </w:tc>
      </w:tr>
    </w:tbl>
    <w:p w14:paraId="5818D6B4">
      <w:pPr>
        <w:spacing w:line="360" w:lineRule="auto"/>
        <w:rPr>
          <w:rFonts w:hint="eastAsia" w:asciiTheme="minorEastAsia" w:hAnsiTheme="minorEastAsia" w:eastAsiaTheme="minorEastAsia"/>
          <w:color w:val="000000" w:themeColor="text1"/>
          <w:sz w:val="24"/>
          <w14:textFill>
            <w14:solidFill>
              <w14:schemeClr w14:val="tx1"/>
            </w14:solidFill>
          </w14:textFill>
        </w:rPr>
      </w:pPr>
    </w:p>
    <w:p w14:paraId="4BF19D5E">
      <w:pPr>
        <w:widowControl/>
        <w:jc w:val="left"/>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bookmarkEnd w:id="43"/>
    <w:p w14:paraId="0F2F0128">
      <w:pPr>
        <w:spacing w:line="360" w:lineRule="auto"/>
        <w:jc w:val="center"/>
        <w:outlineLvl w:val="0"/>
        <w:rPr>
          <w:rFonts w:hint="eastAsia" w:asciiTheme="minorEastAsia" w:hAnsiTheme="minorEastAsia" w:eastAsiaTheme="minorEastAsia"/>
          <w:b/>
          <w:sz w:val="28"/>
        </w:rPr>
      </w:pPr>
      <w:bookmarkStart w:id="187" w:name="_Toc13555"/>
      <w:r>
        <w:rPr>
          <w:rFonts w:hint="eastAsia" w:asciiTheme="minorEastAsia" w:hAnsiTheme="minorEastAsia" w:eastAsiaTheme="minorEastAsia"/>
          <w:b/>
          <w:sz w:val="28"/>
        </w:rPr>
        <w:t>第六章  投标文件格式</w:t>
      </w:r>
      <w:bookmarkEnd w:id="187"/>
    </w:p>
    <w:p w14:paraId="194C257D">
      <w:pPr>
        <w:spacing w:line="900" w:lineRule="exact"/>
        <w:jc w:val="center"/>
        <w:rPr>
          <w:rFonts w:hint="eastAsia" w:asciiTheme="minorEastAsia" w:hAnsiTheme="minorEastAsia" w:eastAsiaTheme="minorEastAsia"/>
          <w:b/>
          <w:sz w:val="72"/>
        </w:rPr>
      </w:pPr>
    </w:p>
    <w:p w14:paraId="1946EA9A">
      <w:pPr>
        <w:spacing w:line="900" w:lineRule="exact"/>
        <w:jc w:val="center"/>
        <w:rPr>
          <w:rFonts w:hint="eastAsia" w:asciiTheme="minorEastAsia" w:hAnsiTheme="minorEastAsia" w:eastAsiaTheme="minorEastAsia"/>
          <w:b/>
          <w:sz w:val="72"/>
        </w:rPr>
      </w:pPr>
      <w:bookmarkStart w:id="188" w:name="_Toc5119"/>
      <w:r>
        <w:rPr>
          <w:rFonts w:hint="eastAsia" w:asciiTheme="minorEastAsia" w:hAnsiTheme="minorEastAsia" w:eastAsiaTheme="minorEastAsia"/>
          <w:b/>
          <w:sz w:val="72"/>
        </w:rPr>
        <w:t>投</w:t>
      </w:r>
      <w:bookmarkEnd w:id="188"/>
    </w:p>
    <w:p w14:paraId="50A2E6A4">
      <w:pPr>
        <w:spacing w:line="900" w:lineRule="exact"/>
        <w:jc w:val="center"/>
        <w:rPr>
          <w:rFonts w:hint="eastAsia" w:asciiTheme="minorEastAsia" w:hAnsiTheme="minorEastAsia" w:eastAsiaTheme="minorEastAsia"/>
          <w:b/>
          <w:sz w:val="72"/>
        </w:rPr>
      </w:pPr>
    </w:p>
    <w:p w14:paraId="14771379">
      <w:pPr>
        <w:spacing w:line="900" w:lineRule="exact"/>
        <w:jc w:val="center"/>
        <w:rPr>
          <w:rFonts w:hint="eastAsia" w:asciiTheme="minorEastAsia" w:hAnsiTheme="minorEastAsia" w:eastAsiaTheme="minorEastAsia"/>
          <w:b/>
          <w:sz w:val="72"/>
        </w:rPr>
      </w:pPr>
      <w:bookmarkStart w:id="189" w:name="_Toc4782"/>
      <w:r>
        <w:rPr>
          <w:rFonts w:hint="eastAsia" w:asciiTheme="minorEastAsia" w:hAnsiTheme="minorEastAsia" w:eastAsiaTheme="minorEastAsia"/>
          <w:b/>
          <w:sz w:val="72"/>
        </w:rPr>
        <w:t>标</w:t>
      </w:r>
      <w:bookmarkEnd w:id="189"/>
    </w:p>
    <w:p w14:paraId="3732C008">
      <w:pPr>
        <w:spacing w:line="900" w:lineRule="exact"/>
        <w:jc w:val="center"/>
        <w:rPr>
          <w:rFonts w:hint="eastAsia" w:asciiTheme="minorEastAsia" w:hAnsiTheme="minorEastAsia" w:eastAsiaTheme="minorEastAsia"/>
          <w:b/>
          <w:sz w:val="72"/>
        </w:rPr>
      </w:pPr>
    </w:p>
    <w:p w14:paraId="30FDB9CA">
      <w:pPr>
        <w:spacing w:line="900" w:lineRule="exact"/>
        <w:jc w:val="center"/>
        <w:rPr>
          <w:rFonts w:hint="eastAsia" w:asciiTheme="minorEastAsia" w:hAnsiTheme="minorEastAsia" w:eastAsiaTheme="minorEastAsia"/>
          <w:b/>
          <w:sz w:val="72"/>
        </w:rPr>
      </w:pPr>
      <w:bookmarkStart w:id="190" w:name="_Toc19607"/>
      <w:r>
        <w:rPr>
          <w:rFonts w:hint="eastAsia" w:asciiTheme="minorEastAsia" w:hAnsiTheme="minorEastAsia" w:eastAsiaTheme="minorEastAsia"/>
          <w:b/>
          <w:sz w:val="72"/>
        </w:rPr>
        <w:t>文</w:t>
      </w:r>
      <w:bookmarkEnd w:id="190"/>
    </w:p>
    <w:p w14:paraId="10CD4DC8">
      <w:pPr>
        <w:spacing w:line="900" w:lineRule="exact"/>
        <w:jc w:val="center"/>
        <w:rPr>
          <w:rFonts w:hint="eastAsia" w:asciiTheme="minorEastAsia" w:hAnsiTheme="minorEastAsia" w:eastAsiaTheme="minorEastAsia"/>
          <w:b/>
          <w:sz w:val="72"/>
        </w:rPr>
      </w:pPr>
    </w:p>
    <w:p w14:paraId="2F2DAB81">
      <w:pPr>
        <w:jc w:val="center"/>
        <w:rPr>
          <w:rFonts w:hint="eastAsia" w:asciiTheme="minorEastAsia" w:hAnsiTheme="minorEastAsia" w:eastAsiaTheme="minorEastAsia"/>
          <w:b/>
          <w:sz w:val="72"/>
        </w:rPr>
      </w:pPr>
      <w:bookmarkStart w:id="191" w:name="_Toc8365"/>
      <w:r>
        <w:rPr>
          <w:rFonts w:hint="eastAsia" w:asciiTheme="minorEastAsia" w:hAnsiTheme="minorEastAsia" w:eastAsiaTheme="minorEastAsia"/>
          <w:b/>
          <w:sz w:val="72"/>
        </w:rPr>
        <w:t>件</w:t>
      </w:r>
      <w:bookmarkEnd w:id="191"/>
    </w:p>
    <w:p w14:paraId="06193009">
      <w:pPr>
        <w:spacing w:after="120" w:afterLines="50"/>
        <w:jc w:val="center"/>
        <w:rPr>
          <w:rFonts w:hint="eastAsia" w:asciiTheme="minorEastAsia" w:hAnsiTheme="minorEastAsia" w:eastAsiaTheme="minorEastAsia"/>
          <w:b/>
          <w:sz w:val="72"/>
        </w:rPr>
      </w:pPr>
    </w:p>
    <w:p w14:paraId="0F547747">
      <w:pPr>
        <w:spacing w:before="120" w:beforeLines="50" w:after="120" w:afterLines="50"/>
        <w:jc w:val="center"/>
        <w:rPr>
          <w:rFonts w:hint="eastAsia" w:asciiTheme="minorEastAsia" w:hAnsiTheme="minorEastAsia" w:eastAsiaTheme="minorEastAsia"/>
          <w:b/>
          <w:sz w:val="32"/>
          <w:szCs w:val="32"/>
        </w:rPr>
      </w:pPr>
    </w:p>
    <w:p w14:paraId="3670A680">
      <w:pPr>
        <w:spacing w:after="120" w:afterLines="50" w:line="500" w:lineRule="exact"/>
        <w:jc w:val="center"/>
        <w:rPr>
          <w:rFonts w:hint="eastAsia" w:asciiTheme="minorEastAsia" w:hAnsiTheme="minorEastAsia" w:eastAsiaTheme="minorEastAsia"/>
          <w:b/>
          <w:sz w:val="28"/>
          <w:szCs w:val="28"/>
        </w:rPr>
      </w:pPr>
    </w:p>
    <w:p w14:paraId="1AB04FD3">
      <w:pPr>
        <w:tabs>
          <w:tab w:val="left" w:pos="2410"/>
        </w:tabs>
        <w:autoSpaceDE w:val="0"/>
        <w:autoSpaceDN w:val="0"/>
        <w:adjustRightInd w:val="0"/>
        <w:snapToGrid w:val="0"/>
        <w:spacing w:line="360" w:lineRule="auto"/>
        <w:ind w:firstLine="1928" w:firstLineChars="600"/>
        <w:rPr>
          <w:rFonts w:hint="eastAsia" w:ascii="宋体" w:hAnsi="宋体" w:eastAsia="宋体"/>
          <w:b/>
          <w:spacing w:val="20"/>
          <w:kern w:val="0"/>
          <w:sz w:val="32"/>
          <w:szCs w:val="32"/>
        </w:rPr>
      </w:pPr>
      <w:r>
        <w:rPr>
          <w:rFonts w:hint="eastAsia" w:asciiTheme="minorEastAsia" w:hAnsiTheme="minorEastAsia" w:eastAsiaTheme="minorEastAsia"/>
          <w:b/>
          <w:sz w:val="32"/>
        </w:rPr>
        <w:t>项目名称：</w:t>
      </w:r>
    </w:p>
    <w:p w14:paraId="78F30487">
      <w:pPr>
        <w:tabs>
          <w:tab w:val="left" w:pos="2410"/>
        </w:tabs>
        <w:autoSpaceDE w:val="0"/>
        <w:autoSpaceDN w:val="0"/>
        <w:adjustRightInd w:val="0"/>
        <w:snapToGrid w:val="0"/>
        <w:spacing w:line="360" w:lineRule="auto"/>
        <w:ind w:firstLine="1928" w:firstLineChars="600"/>
        <w:rPr>
          <w:rFonts w:hint="eastAsia" w:asciiTheme="minorEastAsia" w:hAnsiTheme="minorEastAsia" w:eastAsiaTheme="minorEastAsia"/>
          <w:b/>
          <w:sz w:val="32"/>
          <w:u w:val="single"/>
        </w:rPr>
      </w:pPr>
      <w:r>
        <w:rPr>
          <w:rFonts w:hint="eastAsia" w:asciiTheme="minorEastAsia" w:hAnsiTheme="minorEastAsia" w:eastAsiaTheme="minorEastAsia"/>
          <w:b/>
          <w:sz w:val="32"/>
        </w:rPr>
        <w:t>项目编号：</w:t>
      </w:r>
    </w:p>
    <w:p w14:paraId="1E0195B2">
      <w:pPr>
        <w:tabs>
          <w:tab w:val="left" w:pos="2410"/>
        </w:tabs>
        <w:autoSpaceDE w:val="0"/>
        <w:autoSpaceDN w:val="0"/>
        <w:adjustRightInd w:val="0"/>
        <w:snapToGrid w:val="0"/>
        <w:spacing w:line="360" w:lineRule="auto"/>
        <w:ind w:firstLine="1928" w:firstLineChars="600"/>
        <w:rPr>
          <w:rFonts w:hint="eastAsia" w:asciiTheme="minorEastAsia" w:hAnsiTheme="minorEastAsia" w:eastAsiaTheme="minorEastAsia"/>
          <w:b/>
          <w:sz w:val="32"/>
          <w:u w:val="single"/>
        </w:rPr>
      </w:pPr>
      <w:r>
        <w:rPr>
          <w:rFonts w:hint="eastAsia" w:asciiTheme="minorEastAsia" w:hAnsiTheme="minorEastAsia" w:eastAsiaTheme="minorEastAsia"/>
          <w:b/>
          <w:sz w:val="32"/>
        </w:rPr>
        <w:t>投 标 人：</w:t>
      </w:r>
    </w:p>
    <w:p w14:paraId="3DD8A1CF">
      <w:pPr>
        <w:spacing w:after="120" w:afterLines="50" w:line="500" w:lineRule="exact"/>
        <w:jc w:val="center"/>
        <w:rPr>
          <w:rFonts w:hint="eastAsia" w:asciiTheme="minorEastAsia" w:hAnsiTheme="minorEastAsia" w:eastAsiaTheme="minorEastAsia"/>
          <w:b/>
          <w:sz w:val="32"/>
        </w:rPr>
      </w:pPr>
      <w:bookmarkStart w:id="192" w:name="_Toc8037"/>
      <w:bookmarkStart w:id="193" w:name="_Toc19687"/>
      <w:r>
        <w:rPr>
          <w:rFonts w:hint="eastAsia" w:asciiTheme="minorEastAsia" w:hAnsiTheme="minorEastAsia" w:eastAsiaTheme="minorEastAsia"/>
          <w:b/>
          <w:sz w:val="32"/>
        </w:rPr>
        <w:t>年月日</w:t>
      </w:r>
      <w:bookmarkEnd w:id="192"/>
      <w:bookmarkEnd w:id="193"/>
    </w:p>
    <w:p w14:paraId="3AC45B5D">
      <w:pPr>
        <w:widowControl/>
        <w:jc w:val="left"/>
        <w:rPr>
          <w:rFonts w:hint="eastAsia" w:asciiTheme="minorEastAsia" w:hAnsiTheme="minorEastAsia" w:eastAsiaTheme="minorEastAsia"/>
          <w:b/>
          <w:sz w:val="28"/>
        </w:rPr>
      </w:pPr>
      <w:r>
        <w:rPr>
          <w:rFonts w:asciiTheme="minorEastAsia" w:hAnsiTheme="minorEastAsia" w:eastAsiaTheme="minorEastAsia"/>
          <w:b/>
          <w:sz w:val="28"/>
        </w:rPr>
        <w:br w:type="page"/>
      </w:r>
    </w:p>
    <w:p w14:paraId="19F1DE79">
      <w:pPr>
        <w:spacing w:line="360" w:lineRule="auto"/>
        <w:jc w:val="center"/>
        <w:outlineLvl w:val="1"/>
        <w:rPr>
          <w:rFonts w:hint="eastAsia" w:asciiTheme="minorEastAsia" w:hAnsiTheme="minorEastAsia" w:eastAsiaTheme="minorEastAsia"/>
          <w:b/>
          <w:sz w:val="24"/>
        </w:rPr>
      </w:pPr>
      <w:bookmarkStart w:id="194" w:name="_Toc17986"/>
      <w:bookmarkStart w:id="195" w:name="_Toc28960"/>
      <w:r>
        <w:rPr>
          <w:rFonts w:hint="eastAsia" w:asciiTheme="minorEastAsia" w:hAnsiTheme="minorEastAsia" w:eastAsiaTheme="minorEastAsia"/>
          <w:b/>
          <w:sz w:val="24"/>
        </w:rPr>
        <w:t>一、开标一览表</w:t>
      </w:r>
      <w:bookmarkEnd w:id="194"/>
      <w:bookmarkEnd w:id="195"/>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5643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6EF079B5">
            <w:pPr>
              <w:widowControl/>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项目名称</w:t>
            </w:r>
          </w:p>
        </w:tc>
        <w:tc>
          <w:tcPr>
            <w:tcW w:w="3648" w:type="pct"/>
            <w:tcBorders>
              <w:top w:val="single" w:color="auto" w:sz="4" w:space="0"/>
              <w:bottom w:val="single" w:color="auto" w:sz="4" w:space="0"/>
              <w:right w:val="single" w:color="auto" w:sz="4" w:space="0"/>
            </w:tcBorders>
            <w:vAlign w:val="center"/>
          </w:tcPr>
          <w:p w14:paraId="1A7A05F9">
            <w:pPr>
              <w:spacing w:line="360" w:lineRule="exact"/>
              <w:jc w:val="center"/>
              <w:rPr>
                <w:rFonts w:hint="eastAsia" w:asciiTheme="minorEastAsia" w:hAnsiTheme="minorEastAsia" w:eastAsiaTheme="minorEastAsia"/>
                <w:bCs/>
                <w:sz w:val="24"/>
                <w:u w:val="single"/>
              </w:rPr>
            </w:pPr>
          </w:p>
        </w:tc>
      </w:tr>
      <w:tr w14:paraId="4332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5F307FB">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投标人全称</w:t>
            </w:r>
          </w:p>
        </w:tc>
        <w:tc>
          <w:tcPr>
            <w:tcW w:w="3648" w:type="pct"/>
            <w:tcBorders>
              <w:top w:val="nil"/>
            </w:tcBorders>
            <w:vAlign w:val="center"/>
          </w:tcPr>
          <w:p w14:paraId="5785CDB9">
            <w:pPr>
              <w:spacing w:line="360" w:lineRule="auto"/>
              <w:rPr>
                <w:rFonts w:hint="eastAsia" w:asciiTheme="minorEastAsia" w:hAnsiTheme="minorEastAsia" w:eastAsiaTheme="minorEastAsia"/>
                <w:sz w:val="24"/>
              </w:rPr>
            </w:pPr>
          </w:p>
        </w:tc>
      </w:tr>
      <w:tr w14:paraId="40C1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7207D9E6">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投标范围</w:t>
            </w:r>
          </w:p>
        </w:tc>
        <w:tc>
          <w:tcPr>
            <w:tcW w:w="3648" w:type="pct"/>
            <w:tcBorders>
              <w:top w:val="nil"/>
            </w:tcBorders>
            <w:vAlign w:val="center"/>
          </w:tcPr>
          <w:p w14:paraId="323F4830">
            <w:pPr>
              <w:widowControl/>
              <w:spacing w:line="360" w:lineRule="auto"/>
              <w:rPr>
                <w:rFonts w:hint="eastAsia" w:asciiTheme="minorEastAsia" w:hAnsiTheme="minorEastAsia" w:eastAsiaTheme="minorEastAsia"/>
                <w:sz w:val="24"/>
              </w:rPr>
            </w:pPr>
            <w:r>
              <w:rPr>
                <w:rFonts w:hint="eastAsia" w:asciiTheme="minorEastAsia" w:hAnsiTheme="minorEastAsia" w:eastAsiaTheme="minorEastAsia"/>
                <w:sz w:val="24"/>
                <w:szCs w:val="28"/>
              </w:rPr>
              <w:t>全部</w:t>
            </w:r>
          </w:p>
        </w:tc>
      </w:tr>
      <w:tr w14:paraId="1914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D2F8F9B">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投标报价</w:t>
            </w:r>
          </w:p>
        </w:tc>
        <w:tc>
          <w:tcPr>
            <w:tcW w:w="3648" w:type="pct"/>
            <w:tcBorders>
              <w:top w:val="nil"/>
            </w:tcBorders>
            <w:vAlign w:val="center"/>
          </w:tcPr>
          <w:p w14:paraId="34A502CE">
            <w:pPr>
              <w:snapToGrid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大写：</w:t>
            </w:r>
          </w:p>
          <w:p w14:paraId="396955FA">
            <w:pPr>
              <w:spacing w:line="360" w:lineRule="auto"/>
              <w:ind w:right="-670"/>
              <w:rPr>
                <w:rFonts w:hint="eastAsia" w:asciiTheme="minorEastAsia" w:hAnsiTheme="minorEastAsia" w:eastAsiaTheme="minorEastAsia"/>
                <w:sz w:val="24"/>
              </w:rPr>
            </w:pPr>
            <w:r>
              <w:rPr>
                <w:rFonts w:hint="eastAsia" w:ascii="宋体" w:hAnsi="宋体" w:eastAsia="宋体" w:cs="宋体"/>
                <w:bCs/>
                <w:sz w:val="24"/>
                <w:szCs w:val="24"/>
              </w:rPr>
              <w:t>小写：</w:t>
            </w:r>
          </w:p>
        </w:tc>
      </w:tr>
      <w:tr w14:paraId="660C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3803E395">
            <w:pPr>
              <w:spacing w:line="36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其他</w:t>
            </w:r>
          </w:p>
        </w:tc>
        <w:tc>
          <w:tcPr>
            <w:tcW w:w="3648" w:type="pct"/>
            <w:tcBorders>
              <w:top w:val="nil"/>
            </w:tcBorders>
            <w:vAlign w:val="center"/>
          </w:tcPr>
          <w:p w14:paraId="083EA353">
            <w:pPr>
              <w:spacing w:line="360" w:lineRule="auto"/>
              <w:jc w:val="left"/>
              <w:rPr>
                <w:rFonts w:hint="eastAsia" w:asciiTheme="minorEastAsia" w:hAnsiTheme="minorEastAsia" w:eastAsiaTheme="minorEastAsia"/>
                <w:sz w:val="24"/>
                <w:szCs w:val="28"/>
              </w:rPr>
            </w:pPr>
          </w:p>
        </w:tc>
      </w:tr>
    </w:tbl>
    <w:p w14:paraId="01CA1201">
      <w:pPr>
        <w:spacing w:line="360" w:lineRule="auto"/>
        <w:ind w:firstLine="4800" w:firstLineChars="2000"/>
        <w:rPr>
          <w:rFonts w:hint="eastAsia" w:ascii="宋体" w:hAnsi="宋体" w:eastAsia="宋体"/>
          <w:sz w:val="24"/>
          <w:u w:val="single"/>
        </w:rPr>
      </w:pPr>
      <w:r>
        <w:rPr>
          <w:rFonts w:hint="eastAsia" w:ascii="宋体" w:hAnsi="宋体" w:eastAsia="宋体"/>
          <w:sz w:val="24"/>
        </w:rPr>
        <w:t>投标人电子签章：</w:t>
      </w:r>
    </w:p>
    <w:p w14:paraId="40214FFC">
      <w:pPr>
        <w:tabs>
          <w:tab w:val="left" w:pos="630"/>
        </w:tabs>
        <w:spacing w:line="360" w:lineRule="auto"/>
        <w:ind w:firstLine="4800" w:firstLineChars="2000"/>
        <w:rPr>
          <w:rFonts w:hint="eastAsia" w:asciiTheme="minorEastAsia" w:hAnsiTheme="minorEastAsia" w:eastAsiaTheme="minorEastAsia"/>
          <w:sz w:val="24"/>
        </w:rPr>
      </w:pPr>
      <w:r>
        <w:rPr>
          <w:rFonts w:hint="eastAsia" w:ascii="宋体" w:hAnsi="宋体" w:eastAsia="宋体"/>
          <w:sz w:val="24"/>
        </w:rPr>
        <w:t>日      期：</w:t>
      </w:r>
    </w:p>
    <w:p w14:paraId="5906430D">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注：</w:t>
      </w:r>
    </w:p>
    <w:p w14:paraId="604725A8">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此表用于开标唱标之用。</w:t>
      </w:r>
    </w:p>
    <w:p w14:paraId="247C995D">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表中投标报价即为优惠后报价，并作为评审及定标依据。任何有选择或有条件的投标报价，或者表中某一包别填写多个报价，均为无效报价。</w:t>
      </w:r>
    </w:p>
    <w:p w14:paraId="5B145DE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3.表中大写金额与小写金额不一致的，以大写金额为准。</w:t>
      </w:r>
      <w:r>
        <w:rPr>
          <w:rFonts w:asciiTheme="minorEastAsia" w:hAnsiTheme="minorEastAsia" w:eastAsiaTheme="minorEastAsia"/>
          <w:sz w:val="24"/>
        </w:rPr>
        <w:br w:type="page"/>
      </w:r>
    </w:p>
    <w:p w14:paraId="37623317">
      <w:pPr>
        <w:spacing w:line="360" w:lineRule="auto"/>
        <w:jc w:val="center"/>
        <w:outlineLvl w:val="1"/>
        <w:rPr>
          <w:rFonts w:hint="eastAsia" w:asciiTheme="minorEastAsia" w:hAnsiTheme="minorEastAsia" w:eastAsiaTheme="minorEastAsia"/>
          <w:b/>
          <w:sz w:val="24"/>
        </w:rPr>
      </w:pPr>
      <w:bookmarkStart w:id="196" w:name="_Toc6120"/>
      <w:bookmarkStart w:id="197" w:name="_Toc6441"/>
      <w:r>
        <w:rPr>
          <w:rFonts w:hint="eastAsia" w:asciiTheme="minorEastAsia" w:hAnsiTheme="minorEastAsia" w:eastAsiaTheme="minorEastAsia"/>
          <w:b/>
          <w:sz w:val="24"/>
        </w:rPr>
        <w:t>二、投标函</w:t>
      </w:r>
      <w:bookmarkEnd w:id="196"/>
      <w:bookmarkEnd w:id="197"/>
    </w:p>
    <w:p w14:paraId="4D4ED597">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致：</w:t>
      </w:r>
      <w:r>
        <w:rPr>
          <w:rFonts w:hint="eastAsia" w:ascii="宋体" w:hAnsi="宋体" w:eastAsia="宋体" w:cs="宋体"/>
          <w:b/>
          <w:sz w:val="24"/>
          <w:szCs w:val="24"/>
          <w:u w:val="single"/>
        </w:rPr>
        <w:t>安徽理工大学</w:t>
      </w:r>
    </w:p>
    <w:p w14:paraId="6464F2B2">
      <w:pPr>
        <w:spacing w:line="360" w:lineRule="auto"/>
        <w:ind w:firstLine="435"/>
        <w:rPr>
          <w:rFonts w:hint="eastAsia" w:ascii="宋体" w:hAnsi="宋体" w:eastAsia="宋体"/>
          <w:sz w:val="24"/>
          <w:u w:val="single"/>
        </w:rPr>
      </w:pPr>
      <w:r>
        <w:rPr>
          <w:rFonts w:hint="eastAsia" w:ascii="宋体" w:hAnsi="宋体" w:eastAsia="宋体" w:cs="宋体"/>
          <w:b/>
          <w:sz w:val="24"/>
          <w:szCs w:val="24"/>
          <w:u w:val="single"/>
        </w:rPr>
        <w:t>上海容基工程项目管理有限公司</w:t>
      </w:r>
    </w:p>
    <w:p w14:paraId="0FBF85A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根据贵方的招标公告和投标邀请，我方兹宣布同意如下：</w:t>
      </w:r>
    </w:p>
    <w:p w14:paraId="4176721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7802C45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2.我方已详细审核全部招标文件，包括招标文件附件及更正公告（如有），我方正式认可并遵守本次招标文件，并对招标文件各项条款、规定及要求均无异议。</w:t>
      </w:r>
    </w:p>
    <w:p w14:paraId="1D328F4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3.我方同意从招标文件规定的开标日期起遵循本招标文件，并在招标文件规定的投标有效期之前均具有约束力。</w:t>
      </w:r>
    </w:p>
    <w:p w14:paraId="37B04D3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018F4BC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b/>
          <w:bCs/>
          <w:color w:val="FF0000"/>
          <w:sz w:val="24"/>
        </w:rPr>
        <w:t>5.我方完全响应采购需求中规定的付款方式、服务期限、服务地点及其他服务要求中的所有内容。</w:t>
      </w:r>
    </w:p>
    <w:p w14:paraId="715B542E">
      <w:pPr>
        <w:spacing w:line="360" w:lineRule="auto"/>
        <w:ind w:firstLine="4800" w:firstLineChars="2000"/>
        <w:rPr>
          <w:rFonts w:hint="eastAsia" w:ascii="宋体" w:hAnsi="宋体" w:eastAsia="宋体"/>
          <w:sz w:val="24"/>
        </w:rPr>
      </w:pPr>
    </w:p>
    <w:p w14:paraId="57B953B5">
      <w:pPr>
        <w:spacing w:line="360" w:lineRule="auto"/>
        <w:ind w:firstLine="4800" w:firstLineChars="2000"/>
        <w:rPr>
          <w:rFonts w:hint="eastAsia" w:ascii="宋体" w:hAnsi="宋体" w:eastAsia="宋体"/>
          <w:sz w:val="24"/>
          <w:u w:val="single"/>
        </w:rPr>
      </w:pPr>
      <w:r>
        <w:rPr>
          <w:rFonts w:hint="eastAsia" w:ascii="宋体" w:hAnsi="宋体" w:eastAsia="宋体"/>
          <w:sz w:val="24"/>
        </w:rPr>
        <w:t>投标人电子签章：</w:t>
      </w:r>
    </w:p>
    <w:p w14:paraId="7BCD3AD1">
      <w:pPr>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p>
    <w:p w14:paraId="0B564BA1">
      <w:pPr>
        <w:widowControl/>
        <w:jc w:val="left"/>
        <w:rPr>
          <w:rFonts w:hint="eastAsia" w:ascii="宋体" w:hAnsi="宋体" w:eastAsia="宋体"/>
          <w:sz w:val="24"/>
          <w:u w:val="single"/>
        </w:rPr>
      </w:pPr>
      <w:r>
        <w:rPr>
          <w:rFonts w:ascii="宋体" w:hAnsi="宋体" w:eastAsia="宋体"/>
          <w:sz w:val="24"/>
          <w:u w:val="single"/>
        </w:rPr>
        <w:br w:type="page"/>
      </w:r>
    </w:p>
    <w:p w14:paraId="08A021F4">
      <w:pPr>
        <w:spacing w:line="360" w:lineRule="auto"/>
        <w:jc w:val="center"/>
        <w:outlineLvl w:val="1"/>
        <w:rPr>
          <w:rFonts w:hint="eastAsia" w:asciiTheme="minorEastAsia" w:hAnsiTheme="minorEastAsia" w:eastAsiaTheme="minorEastAsia"/>
          <w:b/>
          <w:sz w:val="24"/>
        </w:rPr>
      </w:pPr>
      <w:bookmarkStart w:id="198" w:name="_Toc18881"/>
      <w:r>
        <w:rPr>
          <w:rFonts w:hint="eastAsia" w:asciiTheme="minorEastAsia" w:hAnsiTheme="minorEastAsia" w:eastAsiaTheme="minorEastAsia"/>
          <w:b/>
          <w:sz w:val="24"/>
        </w:rPr>
        <w:t>三．投标人资格声明书</w:t>
      </w:r>
      <w:bookmarkEnd w:id="198"/>
    </w:p>
    <w:p w14:paraId="0243458B">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致：</w:t>
      </w:r>
      <w:r>
        <w:rPr>
          <w:rFonts w:hint="eastAsia" w:ascii="宋体" w:hAnsi="宋体" w:eastAsia="宋体" w:cs="宋体"/>
          <w:b/>
          <w:sz w:val="24"/>
          <w:szCs w:val="24"/>
          <w:u w:val="single"/>
        </w:rPr>
        <w:t>安徽理工大学</w:t>
      </w:r>
    </w:p>
    <w:p w14:paraId="69CF85F0">
      <w:pPr>
        <w:spacing w:line="360" w:lineRule="auto"/>
        <w:ind w:firstLine="435"/>
        <w:rPr>
          <w:rFonts w:hint="eastAsia" w:ascii="宋体" w:hAnsi="宋体" w:eastAsia="宋体" w:cs="宋体"/>
          <w:b/>
          <w:sz w:val="24"/>
          <w:szCs w:val="24"/>
          <w:u w:val="single"/>
        </w:rPr>
      </w:pPr>
      <w:r>
        <w:rPr>
          <w:rFonts w:hint="eastAsia" w:ascii="宋体" w:hAnsi="宋体" w:eastAsia="宋体" w:cs="宋体"/>
          <w:b/>
          <w:sz w:val="24"/>
          <w:szCs w:val="24"/>
          <w:u w:val="single"/>
        </w:rPr>
        <w:t>上海容基工程项目管理有限公司</w:t>
      </w:r>
    </w:p>
    <w:p w14:paraId="59523AFB">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在参与本次项目投标中，我单位承诺：</w:t>
      </w:r>
    </w:p>
    <w:p w14:paraId="42AD8427">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（一）具有良好的商业信誉和健全的财务会计制度；</w:t>
      </w:r>
    </w:p>
    <w:p w14:paraId="15B3A543">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（二）具有履行合同所必需的设备和专业技术能力；</w:t>
      </w:r>
    </w:p>
    <w:p w14:paraId="27D7ADB2">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（三）有依法缴纳税收和社会保障资金的良好记录；</w:t>
      </w:r>
    </w:p>
    <w:p w14:paraId="182F3B8A">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70BE79C">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 xml:space="preserve">（五）我单位不属于政府采购法律、行政法规规定的公益一类事业单位、或使用事业编制且由财政拨款保障的群团组织（仅适用于政府购买服务项目）； </w:t>
      </w:r>
    </w:p>
    <w:p w14:paraId="4EC13AA4">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（六）我单位不存在为采购项目提供整体设计、规范编制或者项目管理、监理、检测等服务后，再参加该采购项目的其他采购活动的情形（单一来源采购项目除外）；</w:t>
      </w:r>
    </w:p>
    <w:p w14:paraId="65F37FCA">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（七）与我单位存在单位负责人为同一人或者存在直接控股、管理关系的其他法人单位信息如下（如有，不论其是否参加同一合同项下的政府采购活动均须填写）：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067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97A5CE5">
            <w:pPr>
              <w:widowControl/>
              <w:spacing w:before="120" w:beforeLines="50" w:after="1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序号</w:t>
            </w:r>
          </w:p>
        </w:tc>
        <w:tc>
          <w:tcPr>
            <w:tcW w:w="2841" w:type="dxa"/>
          </w:tcPr>
          <w:p w14:paraId="764AA856">
            <w:pPr>
              <w:pStyle w:val="9"/>
              <w:spacing w:before="120" w:beforeLines="50" w:after="10"/>
              <w:jc w:val="center"/>
              <w:rPr>
                <w:rFonts w:hint="eastAsia" w:asciiTheme="minorEastAsia" w:hAnsiTheme="minorEastAsia" w:eastAsiaTheme="minorEastAsia" w:cstheme="minorEastAsia"/>
                <w:color w:val="000000"/>
                <w:kern w:val="0"/>
                <w:sz w:val="24"/>
                <w:lang w:val="en-US"/>
              </w:rPr>
            </w:pPr>
            <w:r>
              <w:rPr>
                <w:rFonts w:hint="eastAsia" w:asciiTheme="minorEastAsia" w:hAnsiTheme="minorEastAsia" w:eastAsiaTheme="minorEastAsia" w:cstheme="minorEastAsia"/>
                <w:color w:val="000000"/>
                <w:kern w:val="0"/>
                <w:sz w:val="24"/>
                <w:lang w:val="en-US"/>
              </w:rPr>
              <w:t>单位名称</w:t>
            </w:r>
          </w:p>
        </w:tc>
        <w:tc>
          <w:tcPr>
            <w:tcW w:w="2841" w:type="dxa"/>
          </w:tcPr>
          <w:p w14:paraId="2928E1B5">
            <w:pPr>
              <w:pStyle w:val="9"/>
              <w:spacing w:before="120" w:beforeLines="50" w:after="10"/>
              <w:jc w:val="center"/>
              <w:rPr>
                <w:rFonts w:hint="eastAsia" w:asciiTheme="minorEastAsia" w:hAnsiTheme="minorEastAsia" w:eastAsiaTheme="minorEastAsia" w:cstheme="minorEastAsia"/>
                <w:color w:val="000000"/>
                <w:kern w:val="0"/>
                <w:sz w:val="24"/>
                <w:lang w:val="en-US"/>
              </w:rPr>
            </w:pPr>
            <w:r>
              <w:rPr>
                <w:rFonts w:hint="eastAsia" w:asciiTheme="minorEastAsia" w:hAnsiTheme="minorEastAsia" w:eastAsiaTheme="minorEastAsia" w:cstheme="minorEastAsia"/>
                <w:color w:val="000000"/>
                <w:kern w:val="0"/>
                <w:sz w:val="24"/>
                <w:lang w:val="en-US"/>
              </w:rPr>
              <w:t>相互关系</w:t>
            </w:r>
          </w:p>
        </w:tc>
      </w:tr>
      <w:tr w14:paraId="4154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117AD77">
            <w:pPr>
              <w:pStyle w:val="9"/>
              <w:spacing w:before="120" w:beforeLines="50" w:after="10"/>
              <w:jc w:val="center"/>
              <w:rPr>
                <w:rFonts w:hint="eastAsia" w:asciiTheme="minorEastAsia" w:hAnsiTheme="minorEastAsia" w:eastAsiaTheme="minorEastAsia" w:cstheme="minorEastAsia"/>
                <w:color w:val="000000"/>
                <w:kern w:val="0"/>
                <w:sz w:val="24"/>
                <w:lang w:val="en-US"/>
              </w:rPr>
            </w:pPr>
            <w:r>
              <w:rPr>
                <w:rFonts w:hint="eastAsia" w:asciiTheme="minorEastAsia" w:hAnsiTheme="minorEastAsia" w:eastAsiaTheme="minorEastAsia" w:cstheme="minorEastAsia"/>
                <w:color w:val="000000"/>
                <w:kern w:val="0"/>
                <w:sz w:val="24"/>
                <w:lang w:val="en-US"/>
              </w:rPr>
              <w:t>1</w:t>
            </w:r>
          </w:p>
        </w:tc>
        <w:tc>
          <w:tcPr>
            <w:tcW w:w="2841" w:type="dxa"/>
          </w:tcPr>
          <w:p w14:paraId="4466945C">
            <w:pPr>
              <w:pStyle w:val="9"/>
              <w:spacing w:before="120" w:beforeLines="50" w:after="10"/>
              <w:jc w:val="center"/>
              <w:rPr>
                <w:rFonts w:hint="eastAsia" w:asciiTheme="minorEastAsia" w:hAnsiTheme="minorEastAsia" w:eastAsiaTheme="minorEastAsia" w:cstheme="minorEastAsia"/>
                <w:color w:val="000000"/>
                <w:kern w:val="0"/>
                <w:sz w:val="24"/>
                <w:lang w:val="en-US"/>
              </w:rPr>
            </w:pPr>
          </w:p>
        </w:tc>
        <w:tc>
          <w:tcPr>
            <w:tcW w:w="2841" w:type="dxa"/>
          </w:tcPr>
          <w:p w14:paraId="2E565701">
            <w:pPr>
              <w:pStyle w:val="9"/>
              <w:spacing w:before="120" w:beforeLines="50" w:after="10"/>
              <w:jc w:val="center"/>
              <w:rPr>
                <w:rFonts w:hint="eastAsia" w:asciiTheme="minorEastAsia" w:hAnsiTheme="minorEastAsia" w:eastAsiaTheme="minorEastAsia" w:cstheme="minorEastAsia"/>
                <w:color w:val="000000"/>
                <w:kern w:val="0"/>
                <w:sz w:val="24"/>
                <w:lang w:val="en-US"/>
              </w:rPr>
            </w:pPr>
          </w:p>
        </w:tc>
      </w:tr>
      <w:tr w14:paraId="0B0A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2355534">
            <w:pPr>
              <w:pStyle w:val="9"/>
              <w:spacing w:before="120" w:beforeLines="50" w:after="10"/>
              <w:jc w:val="center"/>
              <w:rPr>
                <w:rFonts w:hint="eastAsia" w:asciiTheme="minorEastAsia" w:hAnsiTheme="minorEastAsia" w:eastAsiaTheme="minorEastAsia" w:cstheme="minorEastAsia"/>
                <w:color w:val="000000"/>
                <w:kern w:val="0"/>
                <w:sz w:val="24"/>
                <w:lang w:val="en-US"/>
              </w:rPr>
            </w:pPr>
            <w:r>
              <w:rPr>
                <w:rFonts w:hint="eastAsia" w:asciiTheme="minorEastAsia" w:hAnsiTheme="minorEastAsia" w:eastAsiaTheme="minorEastAsia" w:cstheme="minorEastAsia"/>
                <w:color w:val="000000"/>
                <w:kern w:val="0"/>
                <w:sz w:val="24"/>
                <w:lang w:val="en-US"/>
              </w:rPr>
              <w:t>2</w:t>
            </w:r>
          </w:p>
        </w:tc>
        <w:tc>
          <w:tcPr>
            <w:tcW w:w="2841" w:type="dxa"/>
          </w:tcPr>
          <w:p w14:paraId="33129BE9">
            <w:pPr>
              <w:pStyle w:val="9"/>
              <w:spacing w:before="120" w:beforeLines="50" w:after="10"/>
              <w:jc w:val="center"/>
              <w:rPr>
                <w:rFonts w:hint="eastAsia" w:asciiTheme="minorEastAsia" w:hAnsiTheme="minorEastAsia" w:eastAsiaTheme="minorEastAsia" w:cstheme="minorEastAsia"/>
                <w:color w:val="000000"/>
                <w:kern w:val="0"/>
                <w:sz w:val="24"/>
                <w:lang w:val="en-US"/>
              </w:rPr>
            </w:pPr>
          </w:p>
        </w:tc>
        <w:tc>
          <w:tcPr>
            <w:tcW w:w="2841" w:type="dxa"/>
          </w:tcPr>
          <w:p w14:paraId="6BF40253">
            <w:pPr>
              <w:pStyle w:val="9"/>
              <w:spacing w:before="120" w:beforeLines="50" w:after="10"/>
              <w:jc w:val="center"/>
              <w:rPr>
                <w:rFonts w:hint="eastAsia" w:asciiTheme="minorEastAsia" w:hAnsiTheme="minorEastAsia" w:eastAsiaTheme="minorEastAsia" w:cstheme="minorEastAsia"/>
                <w:color w:val="000000"/>
                <w:kern w:val="0"/>
                <w:sz w:val="24"/>
                <w:lang w:val="en-US"/>
              </w:rPr>
            </w:pPr>
          </w:p>
        </w:tc>
      </w:tr>
    </w:tbl>
    <w:p w14:paraId="1B61AC59">
      <w:pPr>
        <w:spacing w:line="360" w:lineRule="auto"/>
        <w:ind w:firstLine="435"/>
        <w:rPr>
          <w:rFonts w:hint="eastAsia"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14:paraId="0D1D9E76">
      <w:pPr>
        <w:spacing w:line="360" w:lineRule="auto"/>
        <w:ind w:firstLine="4800" w:firstLineChars="2000"/>
        <w:rPr>
          <w:rFonts w:hint="eastAsia" w:ascii="宋体" w:hAnsi="宋体" w:eastAsia="宋体"/>
          <w:sz w:val="24"/>
          <w:u w:val="single"/>
        </w:rPr>
      </w:pPr>
      <w:r>
        <w:rPr>
          <w:rFonts w:hint="eastAsia" w:ascii="宋体" w:hAnsi="宋体" w:eastAsia="宋体"/>
          <w:sz w:val="24"/>
        </w:rPr>
        <w:t>投标人电子签章：</w:t>
      </w:r>
    </w:p>
    <w:p w14:paraId="4454DD53">
      <w:pPr>
        <w:tabs>
          <w:tab w:val="left" w:pos="630"/>
        </w:tabs>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p>
    <w:p w14:paraId="06BB856F">
      <w:pPr>
        <w:rPr>
          <w:rFonts w:hint="eastAsia" w:asciiTheme="minorEastAsia" w:hAnsiTheme="minorEastAsia" w:eastAsiaTheme="minorEastAsia"/>
          <w:b/>
          <w:sz w:val="24"/>
        </w:rPr>
      </w:pPr>
      <w:bookmarkStart w:id="199" w:name="_Toc11607"/>
      <w:r>
        <w:rPr>
          <w:rFonts w:hint="eastAsia" w:asciiTheme="minorEastAsia" w:hAnsiTheme="minorEastAsia" w:eastAsiaTheme="minorEastAsia"/>
          <w:b/>
          <w:sz w:val="24"/>
        </w:rPr>
        <w:br w:type="page"/>
      </w:r>
    </w:p>
    <w:p w14:paraId="62FAA35A">
      <w:pPr>
        <w:spacing w:line="360" w:lineRule="auto"/>
        <w:jc w:val="center"/>
        <w:outlineLvl w:val="1"/>
        <w:rPr>
          <w:rFonts w:hint="eastAsia" w:asciiTheme="minorEastAsia" w:hAnsiTheme="minorEastAsia" w:eastAsiaTheme="minorEastAsia"/>
          <w:b/>
          <w:sz w:val="24"/>
        </w:rPr>
      </w:pPr>
      <w:bookmarkStart w:id="200" w:name="_Toc24583"/>
      <w:r>
        <w:rPr>
          <w:rFonts w:hint="eastAsia" w:asciiTheme="minorEastAsia" w:hAnsiTheme="minorEastAsia" w:eastAsiaTheme="minorEastAsia"/>
          <w:b/>
          <w:sz w:val="24"/>
        </w:rPr>
        <w:t>四、授权书</w:t>
      </w:r>
      <w:bookmarkEnd w:id="199"/>
      <w:bookmarkEnd w:id="200"/>
    </w:p>
    <w:p w14:paraId="44599E18">
      <w:pPr>
        <w:pStyle w:val="13"/>
        <w:snapToGrid w:val="0"/>
        <w:spacing w:line="360" w:lineRule="auto"/>
        <w:ind w:firstLine="480" w:firstLineChars="200"/>
        <w:jc w:val="left"/>
        <w:rPr>
          <w:rFonts w:hint="eastAsia" w:hAnsi="宋体" w:eastAsia="宋体"/>
          <w:sz w:val="24"/>
          <w:szCs w:val="28"/>
        </w:rPr>
      </w:pPr>
    </w:p>
    <w:p w14:paraId="3D12D5DC">
      <w:pPr>
        <w:spacing w:line="360" w:lineRule="auto"/>
        <w:ind w:firstLine="435"/>
        <w:rPr>
          <w:rFonts w:hint="eastAsia" w:hAnsi="宋体" w:eastAsia="宋体"/>
          <w:sz w:val="24"/>
          <w:szCs w:val="28"/>
        </w:rPr>
      </w:pPr>
      <w:r>
        <w:rPr>
          <w:rFonts w:hint="eastAsia" w:hAnsi="宋体" w:eastAsia="宋体"/>
          <w:sz w:val="24"/>
          <w:szCs w:val="28"/>
        </w:rPr>
        <w:t>本</w:t>
      </w:r>
      <w:r>
        <w:rPr>
          <w:rFonts w:hint="eastAsia" w:asciiTheme="minorEastAsia" w:hAnsiTheme="minorEastAsia" w:eastAsiaTheme="minorEastAsia"/>
          <w:sz w:val="24"/>
        </w:rPr>
        <w:t>授权</w:t>
      </w:r>
      <w:r>
        <w:rPr>
          <w:rFonts w:hint="eastAsia" w:hAnsi="宋体" w:eastAsia="宋体"/>
          <w:sz w:val="24"/>
          <w:szCs w:val="28"/>
        </w:rPr>
        <w:t>书声明：（投标人名称）授权（投标人授权代表姓名）代表我方参加本项目</w:t>
      </w:r>
      <w:r>
        <w:rPr>
          <w:rFonts w:hint="eastAsia" w:hAnsi="宋体" w:eastAsia="宋体"/>
          <w:bCs/>
          <w:sz w:val="24"/>
          <w:szCs w:val="28"/>
        </w:rPr>
        <w:t>采购活动</w:t>
      </w:r>
      <w:r>
        <w:rPr>
          <w:rFonts w:hint="eastAsia" w:hAnsi="宋体" w:eastAsia="宋体"/>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6A33C48">
      <w:pPr>
        <w:spacing w:line="360" w:lineRule="auto"/>
        <w:ind w:firstLine="435"/>
        <w:rPr>
          <w:rFonts w:hint="eastAsia" w:hAnsi="宋体" w:eastAsia="宋体"/>
          <w:sz w:val="24"/>
          <w:szCs w:val="28"/>
        </w:rPr>
      </w:pPr>
      <w:r>
        <w:rPr>
          <w:rFonts w:hint="eastAsia" w:hAnsi="宋体" w:eastAsia="宋体"/>
          <w:sz w:val="24"/>
          <w:szCs w:val="28"/>
        </w:rPr>
        <w:t>本授权书自出具之日起生效。</w:t>
      </w:r>
    </w:p>
    <w:p w14:paraId="0F4C4417">
      <w:pPr>
        <w:spacing w:line="360" w:lineRule="auto"/>
        <w:ind w:firstLine="435"/>
        <w:rPr>
          <w:rFonts w:hint="eastAsia" w:hAnsi="宋体" w:eastAsia="宋体"/>
          <w:sz w:val="24"/>
        </w:rPr>
      </w:pPr>
      <w:r>
        <w:rPr>
          <w:rFonts w:hint="eastAsia" w:hAnsi="宋体" w:eastAsia="宋体"/>
          <w:sz w:val="24"/>
          <w:szCs w:val="28"/>
        </w:rPr>
        <w:t>授权</w:t>
      </w:r>
      <w:r>
        <w:rPr>
          <w:rFonts w:hint="eastAsia" w:asciiTheme="minorEastAsia" w:hAnsiTheme="minorEastAsia" w:eastAsiaTheme="minorEastAsia"/>
          <w:sz w:val="24"/>
        </w:rPr>
        <w:t>代表</w:t>
      </w:r>
      <w:r>
        <w:rPr>
          <w:rFonts w:hint="eastAsia" w:hAnsi="宋体" w:eastAsia="宋体"/>
          <w:sz w:val="24"/>
        </w:rPr>
        <w:t>身份证明扫描件：</w:t>
      </w:r>
    </w:p>
    <w:p w14:paraId="7BDCE717">
      <w:pPr>
        <w:spacing w:line="360" w:lineRule="auto"/>
        <w:ind w:firstLine="435"/>
        <w:rPr>
          <w:rFonts w:hint="eastAsia" w:asciiTheme="minorEastAsia" w:hAnsiTheme="minorEastAsia" w:eastAsiaTheme="minorEastAsia"/>
          <w:sz w:val="24"/>
        </w:rPr>
      </w:pPr>
    </w:p>
    <w:p w14:paraId="649A5B28">
      <w:pPr>
        <w:spacing w:line="360" w:lineRule="auto"/>
        <w:ind w:firstLine="435"/>
        <w:rPr>
          <w:rFonts w:hint="eastAsia" w:asciiTheme="minorEastAsia" w:hAnsiTheme="minorEastAsia" w:eastAsiaTheme="minorEastAsia"/>
          <w:sz w:val="24"/>
        </w:rPr>
      </w:pPr>
    </w:p>
    <w:p w14:paraId="10A80CD6">
      <w:pPr>
        <w:spacing w:line="360" w:lineRule="auto"/>
        <w:ind w:firstLine="435"/>
        <w:rPr>
          <w:rFonts w:hint="eastAsia" w:asciiTheme="minorEastAsia" w:hAnsiTheme="minorEastAsia" w:eastAsiaTheme="minorEastAsia"/>
          <w:sz w:val="24"/>
        </w:rPr>
      </w:pPr>
    </w:p>
    <w:p w14:paraId="1A013886">
      <w:pPr>
        <w:spacing w:line="360" w:lineRule="auto"/>
        <w:ind w:firstLine="435"/>
        <w:rPr>
          <w:rFonts w:hint="eastAsia" w:hAnsi="宋体" w:eastAsia="宋体"/>
          <w:sz w:val="24"/>
          <w:szCs w:val="28"/>
          <w:u w:val="single"/>
          <w:lang w:val="zh-CN"/>
        </w:rPr>
      </w:pPr>
      <w:r>
        <w:rPr>
          <w:rFonts w:hint="eastAsia" w:hAnsi="宋体" w:eastAsia="宋体"/>
          <w:sz w:val="24"/>
          <w:szCs w:val="28"/>
        </w:rPr>
        <w:t>授权代表联系方式：</w:t>
      </w:r>
      <w:r>
        <w:rPr>
          <w:rFonts w:hint="eastAsia" w:hAnsi="宋体" w:eastAsia="宋体"/>
          <w:sz w:val="24"/>
          <w:szCs w:val="28"/>
          <w:u w:val="single"/>
        </w:rPr>
        <w:t>（请填写手机号码）</w:t>
      </w:r>
    </w:p>
    <w:p w14:paraId="3BE22ACC">
      <w:pPr>
        <w:spacing w:line="360" w:lineRule="auto"/>
        <w:ind w:firstLine="435"/>
        <w:rPr>
          <w:rFonts w:hint="eastAsia" w:hAnsi="宋体" w:eastAsia="宋体"/>
          <w:sz w:val="24"/>
          <w:szCs w:val="28"/>
          <w:lang w:val="zh-CN"/>
        </w:rPr>
      </w:pPr>
    </w:p>
    <w:p w14:paraId="6E909DD6">
      <w:pPr>
        <w:spacing w:line="360" w:lineRule="auto"/>
        <w:ind w:firstLine="435"/>
        <w:rPr>
          <w:rFonts w:hint="eastAsia" w:ascii="宋体" w:hAnsi="宋体" w:eastAsia="宋体"/>
          <w:sz w:val="24"/>
          <w:szCs w:val="28"/>
        </w:rPr>
      </w:pPr>
      <w:r>
        <w:rPr>
          <w:rFonts w:hint="eastAsia" w:asciiTheme="minorEastAsia" w:hAnsiTheme="minorEastAsia" w:eastAsiaTheme="minorEastAsia"/>
          <w:sz w:val="24"/>
        </w:rPr>
        <w:t>特此</w:t>
      </w:r>
      <w:r>
        <w:rPr>
          <w:rFonts w:hint="eastAsia" w:ascii="宋体" w:hAnsi="宋体" w:eastAsia="宋体"/>
          <w:sz w:val="24"/>
          <w:szCs w:val="28"/>
        </w:rPr>
        <w:t>声明。</w:t>
      </w:r>
    </w:p>
    <w:p w14:paraId="3D0410C1">
      <w:pPr>
        <w:spacing w:line="360" w:lineRule="auto"/>
        <w:rPr>
          <w:rFonts w:hint="eastAsia" w:ascii="宋体" w:hAnsi="宋体" w:eastAsia="宋体"/>
          <w:sz w:val="24"/>
          <w:szCs w:val="28"/>
        </w:rPr>
      </w:pPr>
    </w:p>
    <w:p w14:paraId="6003993F">
      <w:pPr>
        <w:spacing w:line="360" w:lineRule="auto"/>
        <w:ind w:firstLine="4800" w:firstLineChars="2000"/>
        <w:rPr>
          <w:rFonts w:hint="eastAsia" w:ascii="宋体" w:hAnsi="宋体" w:eastAsia="宋体"/>
          <w:sz w:val="24"/>
          <w:u w:val="single"/>
        </w:rPr>
      </w:pPr>
      <w:r>
        <w:rPr>
          <w:rFonts w:hint="eastAsia" w:ascii="宋体" w:hAnsi="宋体" w:eastAsia="宋体"/>
          <w:sz w:val="24"/>
        </w:rPr>
        <w:t>投标人电子签章：</w:t>
      </w:r>
    </w:p>
    <w:p w14:paraId="051AFDA0">
      <w:pPr>
        <w:tabs>
          <w:tab w:val="left" w:pos="630"/>
        </w:tabs>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p>
    <w:p w14:paraId="7780A0A3">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注：</w:t>
      </w:r>
    </w:p>
    <w:p w14:paraId="1C9F924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1.本项目只允许有唯一的投标人授权代表，提供身份证明扫描件；</w:t>
      </w:r>
    </w:p>
    <w:p w14:paraId="30BBEB2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2.法定代表人参加投标的无需提供授权书，提供身份证明扫描件。</w:t>
      </w:r>
    </w:p>
    <w:p w14:paraId="343877C8">
      <w:pPr>
        <w:widowControl/>
        <w:jc w:val="left"/>
        <w:rPr>
          <w:rFonts w:hint="eastAsia" w:asciiTheme="minorEastAsia" w:hAnsiTheme="minorEastAsia" w:eastAsiaTheme="minorEastAsia"/>
          <w:sz w:val="24"/>
        </w:rPr>
      </w:pPr>
      <w:r>
        <w:rPr>
          <w:rFonts w:asciiTheme="minorEastAsia" w:hAnsiTheme="minorEastAsia" w:eastAsiaTheme="minorEastAsia"/>
          <w:sz w:val="24"/>
        </w:rPr>
        <w:br w:type="page"/>
      </w:r>
    </w:p>
    <w:p w14:paraId="7557F3DE">
      <w:pPr>
        <w:spacing w:line="360" w:lineRule="auto"/>
        <w:jc w:val="center"/>
        <w:outlineLvl w:val="1"/>
        <w:rPr>
          <w:rFonts w:hint="eastAsia" w:asciiTheme="minorEastAsia" w:hAnsiTheme="minorEastAsia" w:eastAsiaTheme="minorEastAsia"/>
          <w:b/>
          <w:sz w:val="24"/>
        </w:rPr>
      </w:pPr>
      <w:bookmarkStart w:id="201" w:name="_Toc32226"/>
      <w:bookmarkStart w:id="202" w:name="_Toc31027"/>
      <w:r>
        <w:rPr>
          <w:rFonts w:hint="eastAsia" w:asciiTheme="minorEastAsia" w:hAnsiTheme="minorEastAsia" w:eastAsiaTheme="minorEastAsia"/>
          <w:b/>
          <w:sz w:val="24"/>
        </w:rPr>
        <w:t>五、投标分项报价表</w:t>
      </w:r>
      <w:bookmarkEnd w:id="201"/>
      <w:bookmarkEnd w:id="202"/>
    </w:p>
    <w:p w14:paraId="4A337F0A">
      <w:pPr>
        <w:spacing w:line="360" w:lineRule="auto"/>
        <w:ind w:firstLine="435"/>
        <w:jc w:val="center"/>
        <w:rPr>
          <w:rFonts w:hint="eastAsia" w:asciiTheme="minorEastAsia" w:hAnsiTheme="minorEastAsia" w:eastAsiaTheme="minorEastAsia"/>
          <w:b/>
          <w:sz w:val="24"/>
        </w:rPr>
      </w:pPr>
      <w:r>
        <w:rPr>
          <w:rFonts w:hint="eastAsia" w:asciiTheme="minorEastAsia" w:hAnsiTheme="minorEastAsia" w:eastAsiaTheme="minorEastAsia"/>
          <w:i/>
          <w:sz w:val="24"/>
        </w:rPr>
        <w:t>（仅供参考，投标人可自行制作格式，如不涉及分项报价，无需填写或删除此项）</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109"/>
        <w:gridCol w:w="1357"/>
        <w:gridCol w:w="1698"/>
        <w:gridCol w:w="1568"/>
      </w:tblGrid>
      <w:tr w14:paraId="75E2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349D71FC">
            <w:pPr>
              <w:jc w:val="center"/>
              <w:rPr>
                <w:rFonts w:hint="eastAsia" w:asciiTheme="minorEastAsia" w:hAnsiTheme="minorEastAsia" w:eastAsiaTheme="minorEastAsia"/>
                <w:b/>
                <w:sz w:val="24"/>
              </w:rPr>
            </w:pPr>
            <w:r>
              <w:rPr>
                <w:rFonts w:hint="eastAsia" w:asciiTheme="minorEastAsia" w:hAnsiTheme="minorEastAsia" w:eastAsiaTheme="minorEastAsia"/>
                <w:b/>
                <w:sz w:val="24"/>
              </w:rPr>
              <w:t>序号</w:t>
            </w:r>
          </w:p>
        </w:tc>
        <w:tc>
          <w:tcPr>
            <w:tcW w:w="1824" w:type="pct"/>
            <w:vAlign w:val="center"/>
          </w:tcPr>
          <w:p w14:paraId="172A91BD">
            <w:pPr>
              <w:jc w:val="center"/>
              <w:rPr>
                <w:rFonts w:hint="eastAsia" w:asciiTheme="minorEastAsia" w:hAnsiTheme="minorEastAsia" w:eastAsiaTheme="minorEastAsia"/>
                <w:b/>
                <w:sz w:val="24"/>
              </w:rPr>
            </w:pPr>
            <w:r>
              <w:rPr>
                <w:rFonts w:hint="eastAsia" w:asciiTheme="minorEastAsia" w:hAnsiTheme="minorEastAsia" w:eastAsiaTheme="minorEastAsia"/>
                <w:b/>
                <w:sz w:val="24"/>
              </w:rPr>
              <w:t>服务内容</w:t>
            </w:r>
          </w:p>
        </w:tc>
        <w:tc>
          <w:tcPr>
            <w:tcW w:w="796" w:type="pct"/>
            <w:vAlign w:val="center"/>
          </w:tcPr>
          <w:p w14:paraId="5725B42F">
            <w:pPr>
              <w:jc w:val="center"/>
              <w:rPr>
                <w:rFonts w:hint="eastAsia" w:asciiTheme="minorEastAsia" w:hAnsiTheme="minorEastAsia" w:eastAsiaTheme="minorEastAsia"/>
                <w:b/>
                <w:sz w:val="24"/>
              </w:rPr>
            </w:pPr>
            <w:r>
              <w:rPr>
                <w:rFonts w:hint="eastAsia" w:asciiTheme="minorEastAsia" w:hAnsiTheme="minorEastAsia" w:eastAsiaTheme="minorEastAsia"/>
                <w:b/>
                <w:sz w:val="24"/>
              </w:rPr>
              <w:t>项</w:t>
            </w:r>
          </w:p>
        </w:tc>
        <w:tc>
          <w:tcPr>
            <w:tcW w:w="995" w:type="pct"/>
            <w:vAlign w:val="center"/>
          </w:tcPr>
          <w:p w14:paraId="5C7E5593">
            <w:pPr>
              <w:jc w:val="center"/>
              <w:rPr>
                <w:rFonts w:hint="eastAsia" w:asciiTheme="minorEastAsia" w:hAnsiTheme="minorEastAsia" w:eastAsiaTheme="minorEastAsia"/>
                <w:b/>
                <w:sz w:val="24"/>
              </w:rPr>
            </w:pPr>
            <w:r>
              <w:rPr>
                <w:rFonts w:hint="eastAsia" w:asciiTheme="minorEastAsia" w:hAnsiTheme="minorEastAsia" w:eastAsiaTheme="minorEastAsia"/>
                <w:b/>
                <w:sz w:val="24"/>
              </w:rPr>
              <w:t>单价</w:t>
            </w:r>
          </w:p>
        </w:tc>
        <w:tc>
          <w:tcPr>
            <w:tcW w:w="920" w:type="pct"/>
            <w:vAlign w:val="center"/>
          </w:tcPr>
          <w:p w14:paraId="75A5D4D2">
            <w:pPr>
              <w:jc w:val="center"/>
              <w:rPr>
                <w:rFonts w:hint="eastAsia" w:asciiTheme="minorEastAsia" w:hAnsiTheme="minorEastAsia" w:eastAsiaTheme="minorEastAsia"/>
                <w:b/>
                <w:sz w:val="24"/>
              </w:rPr>
            </w:pPr>
            <w:r>
              <w:rPr>
                <w:rFonts w:hint="eastAsia" w:asciiTheme="minorEastAsia" w:hAnsiTheme="minorEastAsia" w:eastAsiaTheme="minorEastAsia"/>
                <w:b/>
                <w:sz w:val="24"/>
              </w:rPr>
              <w:t>小计金额（元）</w:t>
            </w:r>
          </w:p>
        </w:tc>
      </w:tr>
      <w:tr w14:paraId="0317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0BDA6A97">
            <w:pPr>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1824" w:type="pct"/>
            <w:vAlign w:val="center"/>
          </w:tcPr>
          <w:p w14:paraId="5537E8EA">
            <w:pPr>
              <w:jc w:val="center"/>
              <w:rPr>
                <w:rFonts w:hint="eastAsia" w:asciiTheme="minorEastAsia" w:hAnsiTheme="minorEastAsia" w:eastAsiaTheme="minorEastAsia"/>
                <w:sz w:val="24"/>
              </w:rPr>
            </w:pPr>
          </w:p>
        </w:tc>
        <w:tc>
          <w:tcPr>
            <w:tcW w:w="796" w:type="pct"/>
            <w:vAlign w:val="center"/>
          </w:tcPr>
          <w:p w14:paraId="5CEF2C7A">
            <w:pPr>
              <w:jc w:val="center"/>
              <w:rPr>
                <w:rFonts w:hint="eastAsia" w:asciiTheme="minorEastAsia" w:hAnsiTheme="minorEastAsia" w:eastAsiaTheme="minorEastAsia"/>
                <w:sz w:val="24"/>
              </w:rPr>
            </w:pPr>
          </w:p>
        </w:tc>
        <w:tc>
          <w:tcPr>
            <w:tcW w:w="995" w:type="pct"/>
            <w:vAlign w:val="center"/>
          </w:tcPr>
          <w:p w14:paraId="5E8A2B7F">
            <w:pPr>
              <w:jc w:val="center"/>
              <w:rPr>
                <w:rFonts w:hint="eastAsia" w:asciiTheme="minorEastAsia" w:hAnsiTheme="minorEastAsia" w:eastAsiaTheme="minorEastAsia"/>
                <w:sz w:val="24"/>
              </w:rPr>
            </w:pPr>
          </w:p>
        </w:tc>
        <w:tc>
          <w:tcPr>
            <w:tcW w:w="920" w:type="pct"/>
            <w:vAlign w:val="center"/>
          </w:tcPr>
          <w:p w14:paraId="75B3858B">
            <w:pPr>
              <w:jc w:val="center"/>
              <w:rPr>
                <w:rFonts w:hint="eastAsia" w:asciiTheme="minorEastAsia" w:hAnsiTheme="minorEastAsia" w:eastAsiaTheme="minorEastAsia"/>
                <w:sz w:val="24"/>
              </w:rPr>
            </w:pPr>
          </w:p>
        </w:tc>
      </w:tr>
      <w:tr w14:paraId="0D20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294A9E92">
            <w:pPr>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1824" w:type="pct"/>
            <w:vAlign w:val="center"/>
          </w:tcPr>
          <w:p w14:paraId="2EB20CBA">
            <w:pPr>
              <w:jc w:val="center"/>
              <w:rPr>
                <w:rFonts w:hint="eastAsia" w:asciiTheme="minorEastAsia" w:hAnsiTheme="minorEastAsia" w:eastAsiaTheme="minorEastAsia"/>
                <w:sz w:val="24"/>
              </w:rPr>
            </w:pPr>
          </w:p>
        </w:tc>
        <w:tc>
          <w:tcPr>
            <w:tcW w:w="796" w:type="pct"/>
            <w:vAlign w:val="center"/>
          </w:tcPr>
          <w:p w14:paraId="7F9F0333">
            <w:pPr>
              <w:jc w:val="center"/>
              <w:rPr>
                <w:rFonts w:hint="eastAsia" w:asciiTheme="minorEastAsia" w:hAnsiTheme="minorEastAsia" w:eastAsiaTheme="minorEastAsia"/>
                <w:sz w:val="24"/>
              </w:rPr>
            </w:pPr>
          </w:p>
        </w:tc>
        <w:tc>
          <w:tcPr>
            <w:tcW w:w="995" w:type="pct"/>
            <w:vAlign w:val="center"/>
          </w:tcPr>
          <w:p w14:paraId="124AAE3F">
            <w:pPr>
              <w:jc w:val="center"/>
              <w:rPr>
                <w:rFonts w:hint="eastAsia" w:asciiTheme="minorEastAsia" w:hAnsiTheme="minorEastAsia" w:eastAsiaTheme="minorEastAsia"/>
                <w:sz w:val="24"/>
              </w:rPr>
            </w:pPr>
          </w:p>
        </w:tc>
        <w:tc>
          <w:tcPr>
            <w:tcW w:w="920" w:type="pct"/>
            <w:vAlign w:val="center"/>
          </w:tcPr>
          <w:p w14:paraId="560B5DF5">
            <w:pPr>
              <w:jc w:val="center"/>
              <w:rPr>
                <w:rFonts w:hint="eastAsia" w:asciiTheme="minorEastAsia" w:hAnsiTheme="minorEastAsia" w:eastAsiaTheme="minorEastAsia"/>
                <w:sz w:val="24"/>
              </w:rPr>
            </w:pPr>
          </w:p>
        </w:tc>
      </w:tr>
      <w:tr w14:paraId="1031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300C03A6">
            <w:pPr>
              <w:jc w:val="center"/>
              <w:rPr>
                <w:rFonts w:hint="eastAsia" w:asciiTheme="minorEastAsia" w:hAnsiTheme="minorEastAsia" w:eastAsiaTheme="minorEastAsia"/>
                <w:sz w:val="24"/>
              </w:rPr>
            </w:pPr>
            <w:r>
              <w:rPr>
                <w:rFonts w:hint="eastAsia" w:asciiTheme="minorEastAsia" w:hAnsiTheme="minorEastAsia" w:eastAsiaTheme="minorEastAsia"/>
                <w:sz w:val="24"/>
              </w:rPr>
              <w:t>3</w:t>
            </w:r>
          </w:p>
        </w:tc>
        <w:tc>
          <w:tcPr>
            <w:tcW w:w="1824" w:type="pct"/>
            <w:vAlign w:val="center"/>
          </w:tcPr>
          <w:p w14:paraId="57F4B126">
            <w:pPr>
              <w:jc w:val="center"/>
              <w:rPr>
                <w:rFonts w:hint="eastAsia" w:asciiTheme="minorEastAsia" w:hAnsiTheme="minorEastAsia" w:eastAsiaTheme="minorEastAsia"/>
                <w:sz w:val="24"/>
              </w:rPr>
            </w:pPr>
          </w:p>
        </w:tc>
        <w:tc>
          <w:tcPr>
            <w:tcW w:w="796" w:type="pct"/>
            <w:vAlign w:val="center"/>
          </w:tcPr>
          <w:p w14:paraId="613CE155">
            <w:pPr>
              <w:jc w:val="center"/>
              <w:rPr>
                <w:rFonts w:hint="eastAsia" w:asciiTheme="minorEastAsia" w:hAnsiTheme="minorEastAsia" w:eastAsiaTheme="minorEastAsia"/>
                <w:sz w:val="24"/>
              </w:rPr>
            </w:pPr>
          </w:p>
        </w:tc>
        <w:tc>
          <w:tcPr>
            <w:tcW w:w="995" w:type="pct"/>
            <w:vAlign w:val="center"/>
          </w:tcPr>
          <w:p w14:paraId="779D749C">
            <w:pPr>
              <w:jc w:val="center"/>
              <w:rPr>
                <w:rFonts w:hint="eastAsia" w:asciiTheme="minorEastAsia" w:hAnsiTheme="minorEastAsia" w:eastAsiaTheme="minorEastAsia"/>
                <w:sz w:val="24"/>
              </w:rPr>
            </w:pPr>
          </w:p>
        </w:tc>
        <w:tc>
          <w:tcPr>
            <w:tcW w:w="920" w:type="pct"/>
            <w:vAlign w:val="center"/>
          </w:tcPr>
          <w:p w14:paraId="6E8F72BD">
            <w:pPr>
              <w:jc w:val="center"/>
              <w:rPr>
                <w:rFonts w:hint="eastAsia" w:asciiTheme="minorEastAsia" w:hAnsiTheme="minorEastAsia" w:eastAsiaTheme="minorEastAsia"/>
                <w:sz w:val="24"/>
              </w:rPr>
            </w:pPr>
          </w:p>
        </w:tc>
      </w:tr>
      <w:tr w14:paraId="42A7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5E300727">
            <w:pPr>
              <w:jc w:val="center"/>
              <w:rPr>
                <w:rFonts w:hint="eastAsia" w:asciiTheme="minorEastAsia" w:hAnsiTheme="minorEastAsia" w:eastAsiaTheme="minorEastAsia"/>
                <w:sz w:val="24"/>
              </w:rPr>
            </w:pPr>
            <w:r>
              <w:rPr>
                <w:rFonts w:asciiTheme="minorEastAsia" w:hAnsiTheme="minorEastAsia" w:eastAsiaTheme="minorEastAsia"/>
                <w:sz w:val="24"/>
              </w:rPr>
              <w:t>…</w:t>
            </w:r>
          </w:p>
        </w:tc>
        <w:tc>
          <w:tcPr>
            <w:tcW w:w="1824" w:type="pct"/>
            <w:vAlign w:val="center"/>
          </w:tcPr>
          <w:p w14:paraId="738F4CAA">
            <w:pPr>
              <w:jc w:val="center"/>
              <w:rPr>
                <w:rFonts w:hint="eastAsia" w:asciiTheme="minorEastAsia" w:hAnsiTheme="minorEastAsia" w:eastAsiaTheme="minorEastAsia"/>
                <w:sz w:val="24"/>
              </w:rPr>
            </w:pPr>
          </w:p>
        </w:tc>
        <w:tc>
          <w:tcPr>
            <w:tcW w:w="796" w:type="pct"/>
            <w:vAlign w:val="center"/>
          </w:tcPr>
          <w:p w14:paraId="5B7D0C5E">
            <w:pPr>
              <w:jc w:val="center"/>
              <w:rPr>
                <w:rFonts w:hint="eastAsia" w:asciiTheme="minorEastAsia" w:hAnsiTheme="minorEastAsia" w:eastAsiaTheme="minorEastAsia"/>
                <w:sz w:val="24"/>
              </w:rPr>
            </w:pPr>
          </w:p>
        </w:tc>
        <w:tc>
          <w:tcPr>
            <w:tcW w:w="995" w:type="pct"/>
            <w:vAlign w:val="center"/>
          </w:tcPr>
          <w:p w14:paraId="675060AA">
            <w:pPr>
              <w:jc w:val="center"/>
              <w:rPr>
                <w:rFonts w:hint="eastAsia" w:asciiTheme="minorEastAsia" w:hAnsiTheme="minorEastAsia" w:eastAsiaTheme="minorEastAsia"/>
                <w:sz w:val="24"/>
              </w:rPr>
            </w:pPr>
          </w:p>
        </w:tc>
        <w:tc>
          <w:tcPr>
            <w:tcW w:w="920" w:type="pct"/>
            <w:vAlign w:val="center"/>
          </w:tcPr>
          <w:p w14:paraId="119956E4">
            <w:pPr>
              <w:jc w:val="center"/>
              <w:rPr>
                <w:rFonts w:hint="eastAsia" w:asciiTheme="minorEastAsia" w:hAnsiTheme="minorEastAsia" w:eastAsiaTheme="minorEastAsia"/>
                <w:sz w:val="24"/>
              </w:rPr>
            </w:pPr>
          </w:p>
        </w:tc>
      </w:tr>
      <w:tr w14:paraId="79C7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21E9D782">
            <w:pPr>
              <w:jc w:val="center"/>
              <w:rPr>
                <w:rFonts w:hint="eastAsia" w:asciiTheme="minorEastAsia" w:hAnsiTheme="minorEastAsia" w:eastAsiaTheme="minorEastAsia"/>
                <w:sz w:val="24"/>
              </w:rPr>
            </w:pPr>
          </w:p>
        </w:tc>
        <w:tc>
          <w:tcPr>
            <w:tcW w:w="1824" w:type="pct"/>
            <w:vAlign w:val="center"/>
          </w:tcPr>
          <w:p w14:paraId="22FD5518">
            <w:pPr>
              <w:pStyle w:val="41"/>
              <w:ind w:left="-108"/>
              <w:jc w:val="center"/>
              <w:rPr>
                <w:rFonts w:hint="eastAsia" w:asciiTheme="minorEastAsia" w:hAnsiTheme="minorEastAsia" w:eastAsiaTheme="minorEastAsia"/>
              </w:rPr>
            </w:pPr>
            <w:r>
              <w:rPr>
                <w:rFonts w:hint="eastAsia" w:asciiTheme="minorEastAsia" w:hAnsiTheme="minorEastAsia" w:eastAsiaTheme="minorEastAsia"/>
              </w:rPr>
              <w:t>其他费用</w:t>
            </w:r>
          </w:p>
        </w:tc>
        <w:tc>
          <w:tcPr>
            <w:tcW w:w="796" w:type="pct"/>
            <w:vAlign w:val="center"/>
          </w:tcPr>
          <w:p w14:paraId="6BB63C67">
            <w:pPr>
              <w:jc w:val="center"/>
              <w:rPr>
                <w:rFonts w:hint="eastAsia" w:asciiTheme="minorEastAsia" w:hAnsiTheme="minorEastAsia" w:eastAsiaTheme="minorEastAsia"/>
                <w:sz w:val="24"/>
              </w:rPr>
            </w:pPr>
          </w:p>
        </w:tc>
        <w:tc>
          <w:tcPr>
            <w:tcW w:w="995" w:type="pct"/>
            <w:vAlign w:val="center"/>
          </w:tcPr>
          <w:p w14:paraId="49382E95">
            <w:pPr>
              <w:jc w:val="center"/>
              <w:rPr>
                <w:rFonts w:hint="eastAsia" w:asciiTheme="minorEastAsia" w:hAnsiTheme="minorEastAsia" w:eastAsiaTheme="minorEastAsia"/>
                <w:sz w:val="24"/>
              </w:rPr>
            </w:pPr>
          </w:p>
        </w:tc>
        <w:tc>
          <w:tcPr>
            <w:tcW w:w="920" w:type="pct"/>
            <w:vAlign w:val="center"/>
          </w:tcPr>
          <w:p w14:paraId="0B5FEB04">
            <w:pPr>
              <w:jc w:val="center"/>
              <w:rPr>
                <w:rFonts w:hint="eastAsia" w:asciiTheme="minorEastAsia" w:hAnsiTheme="minorEastAsia" w:eastAsiaTheme="minorEastAsia"/>
                <w:sz w:val="24"/>
              </w:rPr>
            </w:pPr>
          </w:p>
        </w:tc>
      </w:tr>
      <w:tr w14:paraId="2DD6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7B4F8450">
            <w:pPr>
              <w:jc w:val="center"/>
              <w:rPr>
                <w:rFonts w:hint="eastAsia" w:asciiTheme="minorEastAsia" w:hAnsiTheme="minorEastAsia" w:eastAsiaTheme="minorEastAsia"/>
                <w:sz w:val="24"/>
              </w:rPr>
            </w:pPr>
          </w:p>
        </w:tc>
        <w:tc>
          <w:tcPr>
            <w:tcW w:w="1824" w:type="pct"/>
            <w:vAlign w:val="center"/>
          </w:tcPr>
          <w:p w14:paraId="3493E294">
            <w:pPr>
              <w:jc w:val="center"/>
              <w:rPr>
                <w:rFonts w:hint="eastAsia" w:asciiTheme="minorEastAsia" w:hAnsiTheme="minorEastAsia" w:eastAsiaTheme="minorEastAsia"/>
                <w:sz w:val="24"/>
              </w:rPr>
            </w:pPr>
            <w:r>
              <w:rPr>
                <w:rFonts w:asciiTheme="minorEastAsia" w:hAnsiTheme="minorEastAsia" w:eastAsiaTheme="minorEastAsia"/>
                <w:sz w:val="24"/>
              </w:rPr>
              <w:t>……</w:t>
            </w:r>
          </w:p>
        </w:tc>
        <w:tc>
          <w:tcPr>
            <w:tcW w:w="796" w:type="pct"/>
            <w:vAlign w:val="center"/>
          </w:tcPr>
          <w:p w14:paraId="286828CD">
            <w:pPr>
              <w:jc w:val="center"/>
              <w:rPr>
                <w:rFonts w:hint="eastAsia" w:asciiTheme="minorEastAsia" w:hAnsiTheme="minorEastAsia" w:eastAsiaTheme="minorEastAsia"/>
                <w:sz w:val="24"/>
              </w:rPr>
            </w:pPr>
          </w:p>
        </w:tc>
        <w:tc>
          <w:tcPr>
            <w:tcW w:w="995" w:type="pct"/>
            <w:vAlign w:val="center"/>
          </w:tcPr>
          <w:p w14:paraId="3EF1FC91">
            <w:pPr>
              <w:jc w:val="center"/>
              <w:rPr>
                <w:rFonts w:hint="eastAsia" w:asciiTheme="minorEastAsia" w:hAnsiTheme="minorEastAsia" w:eastAsiaTheme="minorEastAsia"/>
                <w:sz w:val="24"/>
              </w:rPr>
            </w:pPr>
          </w:p>
        </w:tc>
        <w:tc>
          <w:tcPr>
            <w:tcW w:w="920" w:type="pct"/>
            <w:vAlign w:val="center"/>
          </w:tcPr>
          <w:p w14:paraId="64731413">
            <w:pPr>
              <w:jc w:val="center"/>
              <w:rPr>
                <w:rFonts w:hint="eastAsia" w:asciiTheme="minorEastAsia" w:hAnsiTheme="minorEastAsia" w:eastAsiaTheme="minorEastAsia"/>
                <w:sz w:val="24"/>
              </w:rPr>
            </w:pPr>
          </w:p>
        </w:tc>
      </w:tr>
      <w:tr w14:paraId="5A9B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080DDEAB">
            <w:pPr>
              <w:jc w:val="center"/>
              <w:rPr>
                <w:rFonts w:hint="eastAsia" w:asciiTheme="minorEastAsia" w:hAnsiTheme="minorEastAsia" w:eastAsiaTheme="minorEastAsia"/>
                <w:sz w:val="24"/>
              </w:rPr>
            </w:pPr>
            <w:r>
              <w:rPr>
                <w:rFonts w:hint="eastAsia" w:asciiTheme="minorEastAsia" w:hAnsiTheme="minorEastAsia" w:eastAsiaTheme="minorEastAsia"/>
                <w:b/>
                <w:sz w:val="24"/>
              </w:rPr>
              <w:t>合计金额（元）</w:t>
            </w:r>
          </w:p>
        </w:tc>
        <w:tc>
          <w:tcPr>
            <w:tcW w:w="920" w:type="pct"/>
            <w:vAlign w:val="center"/>
          </w:tcPr>
          <w:p w14:paraId="1723FC86">
            <w:pPr>
              <w:jc w:val="center"/>
              <w:rPr>
                <w:rFonts w:hint="eastAsia" w:asciiTheme="minorEastAsia" w:hAnsiTheme="minorEastAsia" w:eastAsiaTheme="minorEastAsia"/>
                <w:sz w:val="24"/>
              </w:rPr>
            </w:pPr>
          </w:p>
        </w:tc>
      </w:tr>
    </w:tbl>
    <w:p w14:paraId="133A9CBE">
      <w:pPr>
        <w:spacing w:line="360" w:lineRule="auto"/>
        <w:ind w:firstLine="4800" w:firstLineChars="2000"/>
        <w:rPr>
          <w:rFonts w:hint="eastAsia" w:ascii="宋体" w:hAnsi="宋体" w:eastAsia="宋体"/>
          <w:sz w:val="24"/>
          <w:u w:val="single"/>
        </w:rPr>
      </w:pPr>
      <w:r>
        <w:rPr>
          <w:rFonts w:hint="eastAsia" w:ascii="宋体" w:hAnsi="宋体" w:eastAsia="宋体"/>
          <w:sz w:val="24"/>
        </w:rPr>
        <w:t>投标人电子签章：</w:t>
      </w:r>
    </w:p>
    <w:p w14:paraId="4A9BDB7F">
      <w:pPr>
        <w:tabs>
          <w:tab w:val="left" w:pos="630"/>
        </w:tabs>
        <w:spacing w:line="360" w:lineRule="auto"/>
        <w:ind w:firstLine="4800" w:firstLineChars="2000"/>
        <w:rPr>
          <w:rFonts w:hint="eastAsia" w:asciiTheme="minorEastAsia" w:hAnsiTheme="minorEastAsia" w:eastAsiaTheme="minorEastAsia"/>
          <w:b/>
          <w:bCs/>
          <w:sz w:val="24"/>
          <w:szCs w:val="28"/>
        </w:rPr>
      </w:pPr>
      <w:r>
        <w:rPr>
          <w:rFonts w:hint="eastAsia" w:ascii="宋体" w:hAnsi="宋体" w:eastAsia="宋体"/>
          <w:sz w:val="24"/>
        </w:rPr>
        <w:t>日      期：</w:t>
      </w:r>
    </w:p>
    <w:p w14:paraId="584072FF">
      <w:pPr>
        <w:adjustRightInd w:val="0"/>
        <w:snapToGrid w:val="0"/>
        <w:spacing w:line="360" w:lineRule="auto"/>
        <w:rPr>
          <w:rFonts w:hint="eastAsia" w:asciiTheme="minorEastAsia" w:hAnsiTheme="minorEastAsia" w:eastAsiaTheme="minorEastAsia"/>
          <w:b/>
          <w:bCs/>
          <w:sz w:val="24"/>
          <w:szCs w:val="28"/>
        </w:rPr>
      </w:pPr>
      <w:r>
        <w:rPr>
          <w:rFonts w:hint="eastAsia" w:asciiTheme="minorEastAsia" w:hAnsiTheme="minorEastAsia" w:eastAsiaTheme="minorEastAsia"/>
          <w:b/>
          <w:bCs/>
          <w:sz w:val="24"/>
          <w:szCs w:val="28"/>
        </w:rPr>
        <w:t>注：</w:t>
      </w:r>
    </w:p>
    <w:p w14:paraId="3B88950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所列服务为对应本项目需求的全部服务内容。如有漏项或缺项，投标人承担全部责任。</w:t>
      </w:r>
    </w:p>
    <w:p w14:paraId="01C8FE37">
      <w:pPr>
        <w:pStyle w:val="9"/>
        <w:rPr>
          <w:rFonts w:hint="eastAsia" w:asciiTheme="minorEastAsia" w:hAnsiTheme="minorEastAsia" w:eastAsiaTheme="minorEastAsia"/>
          <w:sz w:val="24"/>
        </w:rPr>
      </w:pPr>
    </w:p>
    <w:p w14:paraId="16CD35F6">
      <w:pPr>
        <w:rPr>
          <w:rFonts w:hint="eastAsia" w:asciiTheme="minorEastAsia" w:hAnsiTheme="minorEastAsia" w:eastAsiaTheme="minorEastAsia"/>
          <w:b/>
          <w:sz w:val="24"/>
        </w:rPr>
      </w:pPr>
      <w:bookmarkStart w:id="203" w:name="_Toc20329"/>
      <w:r>
        <w:rPr>
          <w:rFonts w:hint="eastAsia" w:asciiTheme="minorEastAsia" w:hAnsiTheme="minorEastAsia" w:eastAsiaTheme="minorEastAsia"/>
          <w:b/>
          <w:sz w:val="24"/>
        </w:rPr>
        <w:br w:type="page"/>
      </w:r>
    </w:p>
    <w:p w14:paraId="599BD7C3">
      <w:pPr>
        <w:spacing w:line="360" w:lineRule="auto"/>
        <w:jc w:val="center"/>
        <w:outlineLvl w:val="1"/>
        <w:rPr>
          <w:rFonts w:hint="eastAsia" w:asciiTheme="minorEastAsia" w:hAnsiTheme="minorEastAsia" w:eastAsiaTheme="minorEastAsia"/>
          <w:b/>
          <w:sz w:val="24"/>
        </w:rPr>
      </w:pPr>
      <w:bookmarkStart w:id="204" w:name="_Toc15209"/>
      <w:r>
        <w:rPr>
          <w:rFonts w:hint="eastAsia" w:asciiTheme="minorEastAsia" w:hAnsiTheme="minorEastAsia" w:eastAsiaTheme="minorEastAsia"/>
          <w:b/>
          <w:sz w:val="24"/>
        </w:rPr>
        <w:t>六、投标响应表</w:t>
      </w:r>
      <w:bookmarkEnd w:id="203"/>
      <w:bookmarkEnd w:id="204"/>
    </w:p>
    <w:p w14:paraId="4AB149ED">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.1</w:t>
      </w:r>
      <w:r>
        <w:rPr>
          <w:rFonts w:hint="eastAsia" w:asciiTheme="minorEastAsia" w:hAnsiTheme="minorEastAsia" w:eastAsiaTheme="minorEastAsia"/>
          <w:b/>
          <w:sz w:val="24"/>
        </w:rPr>
        <w:t>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1132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0E6DED21">
            <w:pPr>
              <w:pStyle w:val="13"/>
              <w:jc w:val="center"/>
              <w:rPr>
                <w:rFonts w:hint="eastAsia" w:cs="Wingdings" w:asciiTheme="minorEastAsia" w:hAnsiTheme="minorEastAsia"/>
                <w:b/>
                <w:sz w:val="24"/>
              </w:rPr>
            </w:pPr>
            <w:r>
              <w:rPr>
                <w:rFonts w:hint="eastAsia" w:cs="Wingdings" w:asciiTheme="minorEastAsia" w:hAnsiTheme="minorEastAsia"/>
                <w:b/>
                <w:sz w:val="24"/>
              </w:rPr>
              <w:t>序号</w:t>
            </w:r>
          </w:p>
        </w:tc>
        <w:tc>
          <w:tcPr>
            <w:tcW w:w="1124" w:type="pct"/>
            <w:vAlign w:val="center"/>
          </w:tcPr>
          <w:p w14:paraId="2A2ED146">
            <w:pPr>
              <w:pStyle w:val="13"/>
              <w:jc w:val="center"/>
              <w:rPr>
                <w:rFonts w:hint="eastAsia" w:cs="Wingdings" w:asciiTheme="minorEastAsia" w:hAnsiTheme="minorEastAsia"/>
                <w:b/>
                <w:sz w:val="24"/>
              </w:rPr>
            </w:pPr>
            <w:r>
              <w:rPr>
                <w:rFonts w:hint="eastAsia" w:asciiTheme="minorEastAsia" w:hAnsiTheme="minorEastAsia"/>
                <w:b/>
                <w:bCs/>
                <w:sz w:val="24"/>
                <w:szCs w:val="24"/>
              </w:rPr>
              <w:t>商务条款</w:t>
            </w:r>
          </w:p>
        </w:tc>
        <w:tc>
          <w:tcPr>
            <w:tcW w:w="1465" w:type="pct"/>
            <w:vAlign w:val="center"/>
          </w:tcPr>
          <w:p w14:paraId="611F2C71">
            <w:pPr>
              <w:pStyle w:val="13"/>
              <w:jc w:val="center"/>
              <w:rPr>
                <w:rFonts w:hint="eastAsia" w:cs="Wingdings" w:asciiTheme="minorEastAsia" w:hAnsiTheme="minorEastAsia"/>
                <w:b/>
                <w:sz w:val="24"/>
              </w:rPr>
            </w:pPr>
            <w:r>
              <w:rPr>
                <w:rFonts w:hint="eastAsia" w:cs="Wingdings" w:asciiTheme="minorEastAsia" w:hAnsiTheme="minorEastAsia"/>
                <w:b/>
                <w:sz w:val="24"/>
              </w:rPr>
              <w:t>招标文件要求</w:t>
            </w:r>
          </w:p>
        </w:tc>
        <w:tc>
          <w:tcPr>
            <w:tcW w:w="1510" w:type="pct"/>
            <w:vAlign w:val="center"/>
          </w:tcPr>
          <w:p w14:paraId="03F8C5DE">
            <w:pPr>
              <w:pStyle w:val="13"/>
              <w:jc w:val="center"/>
              <w:rPr>
                <w:rFonts w:hint="eastAsia" w:cs="Wingdings" w:asciiTheme="minorEastAsia" w:hAnsiTheme="minorEastAsia"/>
                <w:b/>
                <w:sz w:val="24"/>
              </w:rPr>
            </w:pPr>
            <w:r>
              <w:rPr>
                <w:rFonts w:hint="eastAsia" w:cs="Wingdings" w:asciiTheme="minorEastAsia" w:hAnsiTheme="minorEastAsia"/>
                <w:b/>
                <w:sz w:val="24"/>
              </w:rPr>
              <w:t>投标人承诺</w:t>
            </w:r>
          </w:p>
        </w:tc>
        <w:tc>
          <w:tcPr>
            <w:tcW w:w="475" w:type="pct"/>
            <w:vAlign w:val="center"/>
          </w:tcPr>
          <w:p w14:paraId="79CB8ED1">
            <w:pPr>
              <w:pStyle w:val="13"/>
              <w:jc w:val="center"/>
              <w:rPr>
                <w:rFonts w:hint="eastAsia" w:cs="Wingdings" w:asciiTheme="minorEastAsia" w:hAnsiTheme="minorEastAsia"/>
                <w:b/>
                <w:sz w:val="24"/>
              </w:rPr>
            </w:pPr>
            <w:r>
              <w:rPr>
                <w:rFonts w:hint="eastAsia" w:cs="Wingdings" w:asciiTheme="minorEastAsia" w:hAnsiTheme="minorEastAsia"/>
                <w:b/>
                <w:sz w:val="24"/>
              </w:rPr>
              <w:t>偏离说明</w:t>
            </w:r>
          </w:p>
        </w:tc>
      </w:tr>
      <w:tr w14:paraId="3067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6A746D6">
            <w:pPr>
              <w:jc w:val="center"/>
              <w:rPr>
                <w:rFonts w:hint="eastAsia" w:asciiTheme="minorEastAsia" w:hAnsiTheme="minorEastAsia" w:eastAsiaTheme="minorEastAsia"/>
                <w:sz w:val="24"/>
              </w:rPr>
            </w:pPr>
            <w:r>
              <w:rPr>
                <w:rFonts w:asciiTheme="minorEastAsia" w:hAnsiTheme="minorEastAsia" w:eastAsiaTheme="minorEastAsia"/>
                <w:sz w:val="24"/>
              </w:rPr>
              <w:t>1</w:t>
            </w:r>
          </w:p>
        </w:tc>
        <w:tc>
          <w:tcPr>
            <w:tcW w:w="1124" w:type="pct"/>
            <w:vAlign w:val="center"/>
          </w:tcPr>
          <w:p w14:paraId="3A557861">
            <w:pPr>
              <w:jc w:val="center"/>
              <w:rPr>
                <w:rFonts w:hint="eastAsia" w:ascii="宋体" w:hAnsi="宋体" w:eastAsia="宋体"/>
                <w:sz w:val="24"/>
              </w:rPr>
            </w:pPr>
            <w:r>
              <w:rPr>
                <w:rFonts w:asciiTheme="minorEastAsia" w:hAnsiTheme="minorEastAsia" w:eastAsiaTheme="minorEastAsia"/>
                <w:sz w:val="24"/>
              </w:rPr>
              <w:t>付款方式</w:t>
            </w:r>
          </w:p>
        </w:tc>
        <w:tc>
          <w:tcPr>
            <w:tcW w:w="1465" w:type="pct"/>
            <w:vAlign w:val="center"/>
          </w:tcPr>
          <w:p w14:paraId="7BF7E5A5">
            <w:pPr>
              <w:jc w:val="center"/>
              <w:rPr>
                <w:rFonts w:hint="eastAsia" w:asciiTheme="minorEastAsia" w:hAnsiTheme="minorEastAsia" w:eastAsiaTheme="minorEastAsia"/>
                <w:sz w:val="24"/>
              </w:rPr>
            </w:pPr>
          </w:p>
        </w:tc>
        <w:tc>
          <w:tcPr>
            <w:tcW w:w="1510" w:type="pct"/>
            <w:vAlign w:val="center"/>
          </w:tcPr>
          <w:p w14:paraId="7031E4EC">
            <w:pPr>
              <w:jc w:val="center"/>
              <w:rPr>
                <w:rFonts w:hint="eastAsia" w:asciiTheme="minorEastAsia" w:hAnsiTheme="minorEastAsia" w:eastAsiaTheme="minorEastAsia"/>
                <w:sz w:val="24"/>
              </w:rPr>
            </w:pPr>
          </w:p>
        </w:tc>
        <w:tc>
          <w:tcPr>
            <w:tcW w:w="475" w:type="pct"/>
            <w:vAlign w:val="center"/>
          </w:tcPr>
          <w:p w14:paraId="452826D9">
            <w:pPr>
              <w:jc w:val="center"/>
              <w:rPr>
                <w:rFonts w:hint="eastAsia" w:asciiTheme="minorEastAsia" w:hAnsiTheme="minorEastAsia" w:eastAsiaTheme="minorEastAsia"/>
                <w:sz w:val="24"/>
              </w:rPr>
            </w:pPr>
          </w:p>
        </w:tc>
      </w:tr>
      <w:tr w14:paraId="03FD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09F9A5E">
            <w:pPr>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1124" w:type="pct"/>
            <w:vAlign w:val="center"/>
          </w:tcPr>
          <w:p w14:paraId="05F1C12C">
            <w:pPr>
              <w:jc w:val="center"/>
              <w:rPr>
                <w:rFonts w:hint="eastAsia" w:ascii="宋体" w:hAnsi="宋体" w:eastAsia="宋体"/>
                <w:sz w:val="24"/>
              </w:rPr>
            </w:pPr>
            <w:r>
              <w:rPr>
                <w:rFonts w:hint="eastAsia" w:ascii="宋体" w:hAnsi="宋体" w:eastAsia="宋体"/>
                <w:sz w:val="24"/>
              </w:rPr>
              <w:t>服务地点</w:t>
            </w:r>
          </w:p>
        </w:tc>
        <w:tc>
          <w:tcPr>
            <w:tcW w:w="1465" w:type="pct"/>
            <w:vAlign w:val="center"/>
          </w:tcPr>
          <w:p w14:paraId="268C713B">
            <w:pPr>
              <w:jc w:val="center"/>
              <w:rPr>
                <w:rFonts w:hint="eastAsia" w:asciiTheme="minorEastAsia" w:hAnsiTheme="minorEastAsia" w:eastAsiaTheme="minorEastAsia"/>
                <w:sz w:val="24"/>
              </w:rPr>
            </w:pPr>
          </w:p>
        </w:tc>
        <w:tc>
          <w:tcPr>
            <w:tcW w:w="1510" w:type="pct"/>
            <w:vAlign w:val="center"/>
          </w:tcPr>
          <w:p w14:paraId="74E0A4E7">
            <w:pPr>
              <w:jc w:val="center"/>
              <w:rPr>
                <w:rFonts w:hint="eastAsia" w:asciiTheme="minorEastAsia" w:hAnsiTheme="minorEastAsia" w:eastAsiaTheme="minorEastAsia"/>
                <w:sz w:val="24"/>
              </w:rPr>
            </w:pPr>
          </w:p>
        </w:tc>
        <w:tc>
          <w:tcPr>
            <w:tcW w:w="475" w:type="pct"/>
            <w:vAlign w:val="center"/>
          </w:tcPr>
          <w:p w14:paraId="692322DF">
            <w:pPr>
              <w:jc w:val="center"/>
              <w:rPr>
                <w:rFonts w:hint="eastAsia" w:asciiTheme="minorEastAsia" w:hAnsiTheme="minorEastAsia" w:eastAsiaTheme="minorEastAsia"/>
                <w:sz w:val="24"/>
              </w:rPr>
            </w:pPr>
          </w:p>
        </w:tc>
      </w:tr>
      <w:tr w14:paraId="0BEC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5A10D66">
            <w:pPr>
              <w:jc w:val="center"/>
              <w:rPr>
                <w:rFonts w:hint="eastAsia" w:asciiTheme="minorEastAsia" w:hAnsiTheme="minorEastAsia" w:eastAsiaTheme="minorEastAsia"/>
                <w:sz w:val="24"/>
              </w:rPr>
            </w:pPr>
            <w:r>
              <w:rPr>
                <w:rFonts w:hint="eastAsia" w:asciiTheme="minorEastAsia" w:hAnsiTheme="minorEastAsia" w:eastAsiaTheme="minorEastAsia"/>
                <w:sz w:val="24"/>
              </w:rPr>
              <w:t>3</w:t>
            </w:r>
          </w:p>
        </w:tc>
        <w:tc>
          <w:tcPr>
            <w:tcW w:w="1124" w:type="pct"/>
            <w:vAlign w:val="center"/>
          </w:tcPr>
          <w:p w14:paraId="7E8BE1E2">
            <w:pPr>
              <w:jc w:val="center"/>
              <w:rPr>
                <w:rFonts w:hint="eastAsia" w:ascii="宋体" w:hAnsi="宋体" w:eastAsia="宋体"/>
                <w:sz w:val="24"/>
              </w:rPr>
            </w:pPr>
            <w:r>
              <w:rPr>
                <w:rFonts w:hint="eastAsia" w:ascii="宋体" w:hAnsi="宋体" w:eastAsia="宋体"/>
                <w:sz w:val="24"/>
              </w:rPr>
              <w:t>服务期限</w:t>
            </w:r>
          </w:p>
        </w:tc>
        <w:tc>
          <w:tcPr>
            <w:tcW w:w="1465" w:type="pct"/>
            <w:vAlign w:val="center"/>
          </w:tcPr>
          <w:p w14:paraId="5765A784">
            <w:pPr>
              <w:jc w:val="center"/>
              <w:rPr>
                <w:rFonts w:hint="eastAsia" w:asciiTheme="minorEastAsia" w:hAnsiTheme="minorEastAsia" w:eastAsiaTheme="minorEastAsia"/>
                <w:sz w:val="24"/>
              </w:rPr>
            </w:pPr>
          </w:p>
        </w:tc>
        <w:tc>
          <w:tcPr>
            <w:tcW w:w="1510" w:type="pct"/>
            <w:vAlign w:val="center"/>
          </w:tcPr>
          <w:p w14:paraId="71D85C13">
            <w:pPr>
              <w:pStyle w:val="41"/>
              <w:jc w:val="center"/>
              <w:rPr>
                <w:rFonts w:hint="eastAsia" w:asciiTheme="minorEastAsia" w:hAnsiTheme="minorEastAsia" w:eastAsiaTheme="minorEastAsia"/>
              </w:rPr>
            </w:pPr>
          </w:p>
        </w:tc>
        <w:tc>
          <w:tcPr>
            <w:tcW w:w="475" w:type="pct"/>
            <w:vAlign w:val="center"/>
          </w:tcPr>
          <w:p w14:paraId="14513F0A">
            <w:pPr>
              <w:jc w:val="center"/>
              <w:rPr>
                <w:rFonts w:hint="eastAsia" w:asciiTheme="minorEastAsia" w:hAnsiTheme="minorEastAsia" w:eastAsiaTheme="minorEastAsia"/>
                <w:sz w:val="24"/>
              </w:rPr>
            </w:pPr>
          </w:p>
        </w:tc>
      </w:tr>
      <w:tr w14:paraId="32EE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B8BFCAB">
            <w:pPr>
              <w:jc w:val="center"/>
              <w:rPr>
                <w:rFonts w:hint="eastAsia" w:asciiTheme="minorEastAsia" w:hAnsiTheme="minorEastAsia" w:eastAsiaTheme="minorEastAsia"/>
                <w:sz w:val="24"/>
              </w:rPr>
            </w:pPr>
            <w:r>
              <w:rPr>
                <w:rFonts w:hint="eastAsia" w:asciiTheme="minorEastAsia" w:hAnsiTheme="minorEastAsia" w:eastAsiaTheme="minorEastAsia"/>
                <w:sz w:val="24"/>
              </w:rPr>
              <w:t>…</w:t>
            </w:r>
          </w:p>
        </w:tc>
        <w:tc>
          <w:tcPr>
            <w:tcW w:w="1124" w:type="pct"/>
            <w:vAlign w:val="center"/>
          </w:tcPr>
          <w:p w14:paraId="4469207C">
            <w:pPr>
              <w:jc w:val="center"/>
              <w:rPr>
                <w:rFonts w:hint="eastAsia" w:ascii="宋体" w:hAnsi="宋体" w:eastAsia="宋体"/>
                <w:sz w:val="24"/>
              </w:rPr>
            </w:pPr>
          </w:p>
        </w:tc>
        <w:tc>
          <w:tcPr>
            <w:tcW w:w="1465" w:type="pct"/>
            <w:vAlign w:val="center"/>
          </w:tcPr>
          <w:p w14:paraId="10101256">
            <w:pPr>
              <w:jc w:val="center"/>
              <w:rPr>
                <w:rFonts w:hint="eastAsia" w:asciiTheme="minorEastAsia" w:hAnsiTheme="minorEastAsia" w:eastAsiaTheme="minorEastAsia"/>
                <w:sz w:val="24"/>
              </w:rPr>
            </w:pPr>
          </w:p>
        </w:tc>
        <w:tc>
          <w:tcPr>
            <w:tcW w:w="1510" w:type="pct"/>
            <w:vAlign w:val="center"/>
          </w:tcPr>
          <w:p w14:paraId="539C2630">
            <w:pPr>
              <w:jc w:val="center"/>
              <w:rPr>
                <w:rFonts w:hint="eastAsia" w:asciiTheme="minorEastAsia" w:hAnsiTheme="minorEastAsia" w:eastAsiaTheme="minorEastAsia"/>
                <w:sz w:val="24"/>
              </w:rPr>
            </w:pPr>
          </w:p>
        </w:tc>
        <w:tc>
          <w:tcPr>
            <w:tcW w:w="475" w:type="pct"/>
            <w:vAlign w:val="center"/>
          </w:tcPr>
          <w:p w14:paraId="2871DB14">
            <w:pPr>
              <w:jc w:val="center"/>
              <w:rPr>
                <w:rFonts w:hint="eastAsia" w:asciiTheme="minorEastAsia" w:hAnsiTheme="minorEastAsia" w:eastAsiaTheme="minorEastAsia"/>
                <w:sz w:val="24"/>
              </w:rPr>
            </w:pPr>
          </w:p>
        </w:tc>
      </w:tr>
    </w:tbl>
    <w:p w14:paraId="7A347DFE">
      <w:pPr>
        <w:spacing w:line="360" w:lineRule="auto"/>
        <w:ind w:firstLine="4800" w:firstLineChars="2000"/>
        <w:rPr>
          <w:rFonts w:hint="eastAsia" w:ascii="宋体" w:hAnsi="宋体" w:eastAsia="宋体"/>
          <w:sz w:val="24"/>
          <w:u w:val="single"/>
        </w:rPr>
      </w:pPr>
      <w:r>
        <w:rPr>
          <w:rFonts w:hint="eastAsia" w:ascii="宋体" w:hAnsi="宋体" w:eastAsia="宋体"/>
          <w:sz w:val="24"/>
        </w:rPr>
        <w:t>投标人电子签章：</w:t>
      </w:r>
    </w:p>
    <w:p w14:paraId="4AD276DA">
      <w:pPr>
        <w:tabs>
          <w:tab w:val="left" w:pos="630"/>
        </w:tabs>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p>
    <w:p w14:paraId="6ECCD487">
      <w:pPr>
        <w:pStyle w:val="14"/>
        <w:spacing w:line="360" w:lineRule="auto"/>
        <w:rPr>
          <w:rFonts w:hint="eastAsia" w:asciiTheme="minorEastAsia" w:hAnsiTheme="minorEastAsia" w:eastAsiaTheme="minorEastAsia"/>
          <w:sz w:val="24"/>
        </w:rPr>
      </w:pPr>
      <w:r>
        <w:rPr>
          <w:rFonts w:asciiTheme="minorEastAsia" w:hAnsiTheme="minorEastAsia" w:eastAsiaTheme="minorEastAsia"/>
          <w:sz w:val="24"/>
        </w:rPr>
        <w:br w:type="page"/>
      </w:r>
    </w:p>
    <w:p w14:paraId="430234E8">
      <w:pPr>
        <w:spacing w:line="360" w:lineRule="auto"/>
        <w:jc w:val="center"/>
        <w:outlineLvl w:val="1"/>
        <w:rPr>
          <w:rFonts w:hint="eastAsia" w:asciiTheme="minorEastAsia" w:hAnsiTheme="minorEastAsia" w:eastAsiaTheme="minorEastAsia"/>
          <w:b/>
          <w:sz w:val="24"/>
        </w:rPr>
      </w:pPr>
      <w:bookmarkStart w:id="205" w:name="_Toc23068"/>
      <w:r>
        <w:rPr>
          <w:rFonts w:hint="eastAsia" w:asciiTheme="minorEastAsia" w:hAnsiTheme="minorEastAsia" w:eastAsiaTheme="minorEastAsia"/>
          <w:b/>
          <w:sz w:val="24"/>
          <w:lang w:val="en-US" w:eastAsia="zh-CN"/>
        </w:rPr>
        <w:t>七</w:t>
      </w:r>
      <w:r>
        <w:rPr>
          <w:rFonts w:hint="eastAsia" w:asciiTheme="minorEastAsia" w:hAnsiTheme="minorEastAsia" w:eastAsiaTheme="minorEastAsia"/>
          <w:b/>
          <w:sz w:val="24"/>
        </w:rPr>
        <w:t>、中小企业声明函</w:t>
      </w:r>
      <w:bookmarkEnd w:id="205"/>
    </w:p>
    <w:p w14:paraId="46B4777B">
      <w:pPr>
        <w:pStyle w:val="9"/>
        <w:jc w:val="center"/>
        <w:rPr>
          <w:rFonts w:hint="eastAsia" w:ascii="宋体" w:hAnsi="宋体" w:eastAsia="宋体"/>
          <w:i/>
          <w:sz w:val="24"/>
          <w:lang w:val="en-US"/>
        </w:rPr>
      </w:pPr>
      <w:r>
        <w:rPr>
          <w:rFonts w:hint="eastAsia" w:ascii="宋体" w:hAnsi="宋体" w:eastAsia="宋体"/>
          <w:i/>
          <w:sz w:val="24"/>
          <w:lang w:val="en-US"/>
        </w:rPr>
        <w:t>（</w:t>
      </w:r>
      <w:r>
        <w:rPr>
          <w:rFonts w:hint="eastAsia" w:ascii="宋体" w:hAnsi="宋体" w:eastAsia="宋体"/>
          <w:i/>
          <w:sz w:val="24"/>
        </w:rPr>
        <w:t>非中小企业投标</w:t>
      </w:r>
      <w:r>
        <w:rPr>
          <w:rFonts w:hint="eastAsia" w:ascii="宋体" w:hAnsi="宋体" w:eastAsia="宋体"/>
          <w:i/>
          <w:sz w:val="24"/>
          <w:lang w:val="en-US"/>
        </w:rPr>
        <w:t>，不需此件，请删去“中小企业声明函”）</w:t>
      </w:r>
    </w:p>
    <w:p w14:paraId="1458834D">
      <w:pPr>
        <w:rPr>
          <w:rFonts w:hint="eastAsia" w:asciiTheme="minorEastAsia" w:hAnsiTheme="minorEastAsia" w:eastAsiaTheme="minorEastAsia"/>
          <w:sz w:val="24"/>
          <w:szCs w:val="24"/>
        </w:rPr>
      </w:pPr>
    </w:p>
    <w:p w14:paraId="22B1DDBE">
      <w:pPr>
        <w:spacing w:line="360" w:lineRule="auto"/>
        <w:ind w:firstLine="435"/>
        <w:rPr>
          <w:rFonts w:hint="eastAsia" w:ascii="宋体" w:hAnsi="宋体" w:eastAsia="宋体"/>
          <w:sz w:val="24"/>
          <w:szCs w:val="24"/>
          <w:lang w:val="zh-CN"/>
        </w:rPr>
      </w:pPr>
      <w:r>
        <w:rPr>
          <w:rFonts w:hint="eastAsia" w:ascii="宋体" w:hAnsi="宋体" w:eastAsia="宋体"/>
          <w:sz w:val="24"/>
          <w:szCs w:val="24"/>
          <w:lang w:val="zh-CN"/>
        </w:rPr>
        <w:t>本公司（联合体）郑重声明，根据《政府采购促进中小企业发展管理办法》（财库﹝2020﹞46号）的规定，本公司（联合体）参加（</w:t>
      </w:r>
      <w:r>
        <w:rPr>
          <w:rFonts w:hint="eastAsia" w:ascii="宋体" w:hAnsi="宋体" w:eastAsia="宋体"/>
          <w:sz w:val="24"/>
          <w:szCs w:val="24"/>
          <w:u w:val="single"/>
          <w:lang w:val="zh-CN"/>
        </w:rPr>
        <w:t>单位</w:t>
      </w:r>
      <w:r>
        <w:rPr>
          <w:rFonts w:hint="eastAsia" w:ascii="宋体" w:hAnsi="宋体" w:eastAsia="宋体"/>
          <w:sz w:val="24"/>
          <w:szCs w:val="24"/>
          <w:u w:val="single"/>
        </w:rPr>
        <w:t>名称</w:t>
      </w:r>
      <w:r>
        <w:rPr>
          <w:rFonts w:hint="eastAsia" w:ascii="宋体" w:hAnsi="宋体" w:eastAsia="宋体"/>
          <w:sz w:val="24"/>
          <w:szCs w:val="24"/>
          <w:lang w:val="zh-CN"/>
        </w:rPr>
        <w:t>）的（</w:t>
      </w:r>
      <w:r>
        <w:rPr>
          <w:rFonts w:hint="eastAsia" w:ascii="宋体" w:hAnsi="宋体" w:eastAsia="宋体"/>
          <w:sz w:val="24"/>
          <w:szCs w:val="24"/>
          <w:u w:val="single"/>
          <w:lang w:val="zh-CN"/>
        </w:rPr>
        <w:t>项目</w:t>
      </w:r>
      <w:r>
        <w:rPr>
          <w:rFonts w:hint="eastAsia" w:ascii="宋体" w:hAnsi="宋体" w:eastAsia="宋体"/>
          <w:sz w:val="24"/>
          <w:szCs w:val="24"/>
          <w:u w:val="single"/>
        </w:rPr>
        <w:t>名称</w:t>
      </w:r>
      <w:r>
        <w:rPr>
          <w:rFonts w:hint="eastAsia" w:ascii="宋体" w:hAnsi="宋体" w:eastAsia="宋体"/>
          <w:sz w:val="24"/>
          <w:szCs w:val="24"/>
          <w:lang w:val="zh-CN"/>
        </w:rPr>
        <w:t xml:space="preserve">）采购活动，服务全部由符合政策要求的中小企业承接。相关企业（含联合体中的中小企业、签订分包意向协议的中小企业）的具体情况如下： </w:t>
      </w:r>
    </w:p>
    <w:p w14:paraId="1C94816A">
      <w:pPr>
        <w:spacing w:line="360" w:lineRule="auto"/>
        <w:ind w:firstLine="435"/>
        <w:rPr>
          <w:rFonts w:hint="eastAsia" w:ascii="宋体" w:hAnsi="宋体" w:eastAsia="宋体"/>
          <w:sz w:val="24"/>
          <w:szCs w:val="24"/>
          <w:lang w:val="zh-CN"/>
        </w:rPr>
      </w:pPr>
      <w:r>
        <w:rPr>
          <w:rFonts w:hint="eastAsia" w:ascii="宋体" w:hAnsi="宋体" w:eastAsia="宋体"/>
          <w:sz w:val="24"/>
          <w:szCs w:val="24"/>
          <w:lang w:val="zh-CN"/>
        </w:rPr>
        <w:t>1.</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（招标文件中明确的所属行业）</w:t>
      </w:r>
      <w:r>
        <w:rPr>
          <w:rFonts w:hint="eastAsia" w:ascii="宋体" w:hAnsi="宋体" w:eastAsia="宋体"/>
          <w:sz w:val="24"/>
          <w:szCs w:val="24"/>
          <w:lang w:val="zh-CN"/>
        </w:rPr>
        <w:t>行业；承接企业为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，从业人员人，营业收入为万元，资产总额为万元，属于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08358C9D">
      <w:pPr>
        <w:spacing w:line="360" w:lineRule="auto"/>
        <w:ind w:firstLine="435"/>
        <w:rPr>
          <w:rFonts w:hint="eastAsia" w:ascii="宋体" w:hAnsi="宋体" w:eastAsia="宋体"/>
          <w:sz w:val="24"/>
          <w:szCs w:val="24"/>
          <w:lang w:val="zh-CN"/>
        </w:rPr>
      </w:pPr>
      <w:r>
        <w:rPr>
          <w:rFonts w:hint="eastAsia" w:ascii="宋体" w:hAnsi="宋体" w:eastAsia="宋体"/>
          <w:sz w:val="24"/>
          <w:szCs w:val="24"/>
          <w:lang w:val="zh-CN"/>
        </w:rPr>
        <w:t>2.</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（招标文件中明确的所属行业）</w:t>
      </w:r>
      <w:r>
        <w:rPr>
          <w:rFonts w:hint="eastAsia" w:ascii="宋体" w:hAnsi="宋体" w:eastAsia="宋体"/>
          <w:sz w:val="24"/>
          <w:szCs w:val="24"/>
          <w:lang w:val="zh-CN"/>
        </w:rPr>
        <w:t>行业；承接企业为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，从业人员人，营业收入为万元，资产总额为万元，属于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096012FE">
      <w:pPr>
        <w:spacing w:line="360" w:lineRule="auto"/>
        <w:ind w:firstLine="435"/>
        <w:rPr>
          <w:rFonts w:hint="eastAsia" w:ascii="宋体" w:hAnsi="宋体" w:eastAsia="宋体"/>
          <w:sz w:val="24"/>
          <w:szCs w:val="24"/>
          <w:lang w:val="zh-CN"/>
        </w:rPr>
      </w:pPr>
      <w:r>
        <w:rPr>
          <w:rFonts w:hint="eastAsia" w:ascii="宋体" w:hAnsi="宋体" w:eastAsia="宋体"/>
          <w:sz w:val="24"/>
          <w:szCs w:val="24"/>
          <w:lang w:val="zh-CN"/>
        </w:rPr>
        <w:t>……</w:t>
      </w:r>
    </w:p>
    <w:p w14:paraId="45C55757">
      <w:pPr>
        <w:spacing w:line="360" w:lineRule="auto"/>
        <w:ind w:firstLine="435"/>
        <w:rPr>
          <w:rFonts w:hint="eastAsia" w:ascii="宋体" w:hAnsi="宋体" w:eastAsia="宋体"/>
          <w:sz w:val="24"/>
          <w:szCs w:val="24"/>
          <w:lang w:val="zh-CN"/>
        </w:rPr>
      </w:pPr>
      <w:r>
        <w:rPr>
          <w:rFonts w:hint="eastAsia" w:ascii="宋体" w:hAnsi="宋体" w:eastAsia="宋体"/>
          <w:sz w:val="24"/>
          <w:szCs w:val="24"/>
          <w:lang w:val="zh-CN"/>
        </w:rPr>
        <w:t>以上企业，不属于大企业的分支机构，不存在控股股东为大企业的情形，也不存在与大企业的负责人为同一人的情形。</w:t>
      </w:r>
    </w:p>
    <w:p w14:paraId="3EB47FDE">
      <w:pPr>
        <w:spacing w:line="360" w:lineRule="auto"/>
        <w:ind w:firstLine="435"/>
        <w:rPr>
          <w:rFonts w:hint="eastAsia" w:ascii="宋体" w:hAnsi="宋体" w:eastAsia="宋体"/>
          <w:sz w:val="24"/>
          <w:szCs w:val="24"/>
          <w:lang w:val="zh-CN"/>
        </w:rPr>
      </w:pPr>
      <w:r>
        <w:rPr>
          <w:rFonts w:hint="eastAsia" w:ascii="宋体" w:hAnsi="宋体" w:eastAsia="宋体"/>
          <w:sz w:val="24"/>
          <w:szCs w:val="24"/>
          <w:lang w:val="zh-CN"/>
        </w:rPr>
        <w:t xml:space="preserve">本企业对上述声明内容的真实性负责。如有虚假，将依法承担相应责任。 </w:t>
      </w:r>
    </w:p>
    <w:p w14:paraId="2D9A4AA1">
      <w:pPr>
        <w:spacing w:line="360" w:lineRule="auto"/>
        <w:ind w:firstLine="435"/>
        <w:rPr>
          <w:rFonts w:hint="eastAsia" w:asciiTheme="minorEastAsia" w:hAnsiTheme="minorEastAsia" w:eastAsiaTheme="minorEastAsia"/>
          <w:sz w:val="24"/>
          <w:szCs w:val="24"/>
        </w:rPr>
      </w:pPr>
    </w:p>
    <w:p w14:paraId="132DDA4F">
      <w:pPr>
        <w:spacing w:line="360" w:lineRule="auto"/>
        <w:ind w:firstLine="435"/>
        <w:rPr>
          <w:rFonts w:hint="eastAsia" w:asciiTheme="minorEastAsia" w:hAnsiTheme="minorEastAsia" w:eastAsiaTheme="minorEastAsia"/>
          <w:sz w:val="24"/>
          <w:szCs w:val="24"/>
        </w:rPr>
      </w:pPr>
    </w:p>
    <w:p w14:paraId="611CB7AD">
      <w:pPr>
        <w:spacing w:line="360" w:lineRule="auto"/>
        <w:ind w:firstLine="4228" w:firstLineChars="1762"/>
        <w:rPr>
          <w:rFonts w:hint="eastAsia" w:asciiTheme="minorEastAsia" w:hAnsiTheme="minorEastAsia" w:eastAsiaTheme="minorEastAsia"/>
          <w:sz w:val="24"/>
          <w:szCs w:val="24"/>
          <w:u w:val="single"/>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电子签章</w:t>
      </w:r>
      <w:r>
        <w:rPr>
          <w:rFonts w:hint="eastAsia" w:asciiTheme="minorEastAsia" w:hAnsiTheme="minorEastAsia" w:eastAsiaTheme="minorEastAsia"/>
          <w:sz w:val="24"/>
          <w:szCs w:val="24"/>
        </w:rPr>
        <w:t>：</w:t>
      </w:r>
    </w:p>
    <w:p w14:paraId="25BF63C8">
      <w:pPr>
        <w:tabs>
          <w:tab w:val="left" w:pos="4620"/>
        </w:tabs>
        <w:spacing w:line="360" w:lineRule="auto"/>
        <w:ind w:firstLine="4252" w:firstLineChars="1772"/>
        <w:rPr>
          <w:rFonts w:hint="eastAsia" w:asciiTheme="minorEastAsia" w:hAnsiTheme="minorEastAsia" w:eastAsiaTheme="minorEastAsia"/>
          <w:sz w:val="24"/>
          <w:szCs w:val="24"/>
          <w:u w:val="single"/>
        </w:rPr>
      </w:pPr>
      <w:r>
        <w:rPr>
          <w:rFonts w:hint="eastAsia" w:asciiTheme="minorEastAsia" w:hAnsiTheme="minorEastAsia" w:eastAsiaTheme="minorEastAsia"/>
          <w:sz w:val="24"/>
          <w:szCs w:val="24"/>
        </w:rPr>
        <w:t>日    期：</w:t>
      </w:r>
    </w:p>
    <w:p w14:paraId="3A63B3C4">
      <w:pPr>
        <w:tabs>
          <w:tab w:val="left" w:pos="4620"/>
        </w:tabs>
        <w:spacing w:line="360" w:lineRule="auto"/>
        <w:jc w:val="left"/>
        <w:rPr>
          <w:rFonts w:hint="eastAsia" w:asciiTheme="minorEastAsia" w:hAnsiTheme="minorEastAsia" w:eastAsiaTheme="minorEastAsia"/>
          <w:sz w:val="24"/>
          <w:szCs w:val="24"/>
        </w:rPr>
      </w:pPr>
    </w:p>
    <w:p w14:paraId="1DF44451">
      <w:pPr>
        <w:tabs>
          <w:tab w:val="left" w:pos="4620"/>
        </w:tabs>
        <w:spacing w:line="360" w:lineRule="auto"/>
        <w:jc w:val="left"/>
        <w:rPr>
          <w:rFonts w:hint="eastAsia" w:asciiTheme="minorEastAsia" w:hAnsiTheme="minorEastAsia" w:eastAsiaTheme="minorEastAsia"/>
          <w:sz w:val="24"/>
          <w:szCs w:val="24"/>
        </w:rPr>
      </w:pPr>
    </w:p>
    <w:p w14:paraId="3EED904C">
      <w:pPr>
        <w:tabs>
          <w:tab w:val="left" w:pos="4620"/>
        </w:tabs>
        <w:spacing w:line="360" w:lineRule="auto"/>
        <w:jc w:val="left"/>
        <w:rPr>
          <w:rFonts w:hint="eastAsia" w:asciiTheme="minorEastAsia" w:hAnsiTheme="minorEastAsia" w:eastAsiaTheme="minorEastAsia"/>
          <w:sz w:val="24"/>
          <w:szCs w:val="24"/>
        </w:rPr>
      </w:pPr>
    </w:p>
    <w:p w14:paraId="3AC58847">
      <w:pPr>
        <w:tabs>
          <w:tab w:val="left" w:pos="4620"/>
        </w:tabs>
        <w:spacing w:line="360" w:lineRule="auto"/>
        <w:jc w:val="left"/>
        <w:rPr>
          <w:rFonts w:hint="eastAsia" w:asciiTheme="minorEastAsia" w:hAnsiTheme="minorEastAsia" w:eastAsiaTheme="minorEastAsia"/>
          <w:sz w:val="24"/>
          <w:szCs w:val="24"/>
        </w:rPr>
      </w:pPr>
    </w:p>
    <w:p w14:paraId="4709EF5F">
      <w:pPr>
        <w:tabs>
          <w:tab w:val="left" w:pos="4620"/>
        </w:tabs>
        <w:spacing w:line="360" w:lineRule="auto"/>
        <w:jc w:val="left"/>
        <w:rPr>
          <w:rFonts w:hint="eastAsia" w:asciiTheme="minorEastAsia" w:hAnsiTheme="minorEastAsia" w:eastAsiaTheme="minorEastAsia"/>
          <w:b/>
          <w:szCs w:val="24"/>
        </w:rPr>
      </w:pPr>
      <w:r>
        <w:rPr>
          <w:rFonts w:hint="eastAsia" w:asciiTheme="minorEastAsia" w:hAnsiTheme="minorEastAsia" w:eastAsiaTheme="minorEastAsia"/>
          <w:b/>
          <w:szCs w:val="24"/>
        </w:rPr>
        <w:t>注：</w:t>
      </w:r>
    </w:p>
    <w:p w14:paraId="6330F8B6">
      <w:pPr>
        <w:tabs>
          <w:tab w:val="left" w:pos="4620"/>
        </w:tabs>
        <w:spacing w:line="360" w:lineRule="auto"/>
        <w:rPr>
          <w:rFonts w:hint="eastAsia" w:asciiTheme="minorEastAsia" w:hAnsiTheme="minorEastAsia" w:eastAsiaTheme="minorEastAsia"/>
          <w:szCs w:val="24"/>
        </w:rPr>
      </w:pPr>
      <w:r>
        <w:rPr>
          <w:rFonts w:asciiTheme="minorEastAsia" w:hAnsiTheme="minorEastAsia" w:eastAsiaTheme="minorEastAsia"/>
          <w:szCs w:val="24"/>
        </w:rPr>
        <w:t>1.从业人员、营业收入、资产总额填报上一年数据，无上一年数据的新成立企业可不填报。</w:t>
      </w:r>
    </w:p>
    <w:p w14:paraId="68C238DA">
      <w:pPr>
        <w:tabs>
          <w:tab w:val="left" w:pos="4620"/>
        </w:tabs>
        <w:spacing w:line="360" w:lineRule="auto"/>
        <w:jc w:val="left"/>
        <w:rPr>
          <w:rFonts w:hint="eastAsia" w:ascii="宋体" w:hAnsi="宋体" w:eastAsia="宋体" w:cs="宋体"/>
          <w:b/>
          <w:bCs/>
          <w:szCs w:val="21"/>
        </w:rPr>
      </w:pPr>
      <w:r>
        <w:rPr>
          <w:rFonts w:hint="eastAsia" w:ascii="宋体" w:hAnsi="宋体" w:eastAsia="宋体" w:cs="宋体"/>
          <w:b/>
          <w:bCs/>
          <w:szCs w:val="21"/>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lang w:val="zh-CN"/>
        </w:rPr>
        <w:t>如有虚假，将依法承担相应责任。</w:t>
      </w:r>
      <w:r>
        <w:rPr>
          <w:rFonts w:hint="eastAsia" w:ascii="宋体" w:hAnsi="宋体" w:eastAsia="宋体" w:cs="宋体"/>
          <w:b/>
          <w:bCs/>
          <w:szCs w:val="21"/>
        </w:rPr>
        <w:t>投标人自行登录工业和信息化部官网进行中小企业规模类型自测（查询网址https://www.miit.gov.cn/）。</w:t>
      </w:r>
    </w:p>
    <w:p w14:paraId="7E0C021F">
      <w:pPr>
        <w:tabs>
          <w:tab w:val="left" w:pos="4620"/>
        </w:tabs>
        <w:spacing w:line="360" w:lineRule="auto"/>
        <w:jc w:val="left"/>
        <w:rPr>
          <w:rFonts w:hint="eastAsia" w:ascii="宋体" w:hAnsi="宋体" w:eastAsia="宋体" w:cs="宋体"/>
          <w:b/>
          <w:bCs/>
          <w:szCs w:val="21"/>
        </w:rPr>
      </w:pPr>
      <w:r>
        <w:rPr>
          <w:rFonts w:hint="eastAsia" w:ascii="宋体" w:hAnsi="宋体" w:eastAsia="宋体" w:cs="宋体"/>
          <w:b/>
          <w:bCs/>
          <w:szCs w:val="21"/>
        </w:rPr>
        <w:t>3.上述“</w:t>
      </w:r>
      <w:r>
        <w:rPr>
          <w:rFonts w:hint="eastAsia" w:ascii="宋体" w:hAnsi="宋体" w:eastAsia="宋体" w:cs="宋体"/>
          <w:b/>
          <w:bCs/>
          <w:szCs w:val="21"/>
          <w:u w:val="single"/>
          <w:lang w:val="zh-CN"/>
        </w:rPr>
        <w:t>标的名称</w:t>
      </w:r>
      <w:r>
        <w:rPr>
          <w:rFonts w:hint="eastAsia" w:ascii="宋体" w:hAnsi="宋体" w:eastAsia="宋体" w:cs="宋体"/>
          <w:b/>
          <w:bCs/>
          <w:szCs w:val="21"/>
        </w:rPr>
        <w:t>”，详见第三章采购需求前附表中明确的“标的名称”。</w:t>
      </w:r>
    </w:p>
    <w:p w14:paraId="2DBA53ED">
      <w:pPr>
        <w:tabs>
          <w:tab w:val="left" w:pos="4620"/>
        </w:tabs>
        <w:spacing w:line="360" w:lineRule="auto"/>
        <w:jc w:val="left"/>
        <w:rPr>
          <w:rFonts w:hint="eastAsia" w:ascii="宋体" w:hAnsi="宋体" w:eastAsia="宋体" w:cs="宋体"/>
          <w:b/>
          <w:bCs/>
          <w:szCs w:val="21"/>
        </w:rPr>
      </w:pPr>
      <w:r>
        <w:rPr>
          <w:rFonts w:hint="eastAsia" w:ascii="宋体" w:hAnsi="宋体" w:eastAsia="宋体" w:cs="宋体"/>
          <w:b/>
          <w:bCs/>
          <w:szCs w:val="21"/>
        </w:rPr>
        <w:t>4.上述“</w:t>
      </w:r>
      <w:r>
        <w:rPr>
          <w:rFonts w:hint="eastAsia" w:ascii="宋体" w:hAnsi="宋体" w:eastAsia="宋体" w:cs="宋体"/>
          <w:b/>
          <w:bCs/>
          <w:szCs w:val="21"/>
          <w:u w:val="single"/>
        </w:rPr>
        <w:t>招标文件中明确的所属行业</w:t>
      </w:r>
      <w:r>
        <w:rPr>
          <w:rFonts w:hint="eastAsia" w:ascii="宋体" w:hAnsi="宋体" w:eastAsia="宋体" w:cs="宋体"/>
          <w:b/>
          <w:bCs/>
          <w:szCs w:val="21"/>
        </w:rPr>
        <w:t>”，详见第三章采购需求前附表中明确的“所属行业”。</w:t>
      </w:r>
    </w:p>
    <w:p w14:paraId="60327DE4">
      <w:pPr>
        <w:tabs>
          <w:tab w:val="left" w:pos="4620"/>
        </w:tabs>
        <w:spacing w:line="360" w:lineRule="auto"/>
        <w:jc w:val="left"/>
        <w:rPr>
          <w:rFonts w:hint="eastAsia" w:ascii="宋体" w:hAnsi="宋体" w:eastAsia="宋体" w:cs="宋体"/>
          <w:b/>
          <w:bCs/>
          <w:szCs w:val="21"/>
        </w:rPr>
      </w:pPr>
      <w:r>
        <w:rPr>
          <w:rFonts w:hint="eastAsia" w:ascii="宋体" w:hAnsi="宋体" w:eastAsia="宋体" w:cs="宋体"/>
          <w:b/>
          <w:bCs/>
          <w:szCs w:val="21"/>
        </w:rPr>
        <w:t>5．填写示例：</w:t>
      </w:r>
      <w:r>
        <w:rPr>
          <w:rFonts w:hint="eastAsia" w:ascii="宋体" w:hAnsi="宋体" w:eastAsia="宋体" w:cs="宋体"/>
          <w:b/>
          <w:bCs/>
          <w:szCs w:val="21"/>
          <w:u w:val="single"/>
        </w:rPr>
        <w:t>某标的名称</w:t>
      </w:r>
      <w:r>
        <w:rPr>
          <w:rFonts w:hint="eastAsia" w:ascii="宋体" w:hAnsi="宋体" w:eastAsia="宋体" w:cs="宋体"/>
          <w:b/>
          <w:bCs/>
          <w:szCs w:val="21"/>
        </w:rPr>
        <w:t>（</w:t>
      </w:r>
      <w:r>
        <w:rPr>
          <w:rFonts w:hint="eastAsia" w:ascii="宋体" w:hAnsi="宋体" w:eastAsia="宋体" w:cs="宋体"/>
          <w:b/>
          <w:bCs/>
          <w:szCs w:val="21"/>
          <w:u w:val="single"/>
        </w:rPr>
        <w:t>填写第三章采购需求前附表中明确的“标的名称”</w:t>
      </w:r>
      <w:r>
        <w:rPr>
          <w:rFonts w:hint="eastAsia" w:ascii="宋体" w:hAnsi="宋体" w:eastAsia="宋体" w:cs="宋体"/>
          <w:b/>
          <w:bCs/>
          <w:szCs w:val="21"/>
        </w:rPr>
        <w:t>），属于</w:t>
      </w:r>
      <w:r>
        <w:rPr>
          <w:rFonts w:hint="eastAsia" w:ascii="宋体" w:hAnsi="宋体" w:eastAsia="宋体" w:cs="宋体"/>
          <w:b/>
          <w:bCs/>
          <w:szCs w:val="21"/>
          <w:u w:val="single"/>
        </w:rPr>
        <w:t>（填写第三章采购需求前附表中明确的“所属行业”，如软件和信息技术服务业）</w:t>
      </w:r>
      <w:r>
        <w:rPr>
          <w:rFonts w:hint="eastAsia" w:ascii="宋体" w:hAnsi="宋体" w:eastAsia="宋体" w:cs="宋体"/>
          <w:b/>
          <w:bCs/>
          <w:szCs w:val="21"/>
        </w:rPr>
        <w:t>行业；承接企业为</w:t>
      </w:r>
      <w:r>
        <w:rPr>
          <w:rFonts w:hint="eastAsia" w:ascii="宋体" w:hAnsi="宋体" w:eastAsia="宋体" w:cs="宋体"/>
          <w:b/>
          <w:bCs/>
          <w:szCs w:val="21"/>
          <w:u w:val="single"/>
          <w:lang w:val="zh-CN"/>
        </w:rPr>
        <w:t>某</w:t>
      </w:r>
      <w:r>
        <w:rPr>
          <w:rFonts w:hint="eastAsia" w:ascii="宋体" w:hAnsi="宋体" w:eastAsia="宋体" w:cs="宋体"/>
          <w:b/>
          <w:bCs/>
          <w:szCs w:val="21"/>
          <w:u w:val="single"/>
        </w:rPr>
        <w:t>企业</w:t>
      </w:r>
      <w:r>
        <w:rPr>
          <w:rFonts w:hint="eastAsia" w:ascii="宋体" w:hAnsi="宋体" w:eastAsia="宋体" w:cs="宋体"/>
          <w:b/>
          <w:bCs/>
          <w:szCs w:val="21"/>
        </w:rPr>
        <w:t>，</w:t>
      </w:r>
      <w:r>
        <w:rPr>
          <w:rFonts w:hint="eastAsia" w:ascii="宋体" w:hAnsi="宋体" w:eastAsia="宋体" w:cs="宋体"/>
          <w:b/>
          <w:bCs/>
          <w:szCs w:val="21"/>
          <w:lang w:val="zh-CN"/>
        </w:rPr>
        <w:t>从业人员</w:t>
      </w:r>
      <w:r>
        <w:rPr>
          <w:rFonts w:hint="eastAsia" w:ascii="宋体" w:hAnsi="宋体" w:eastAsia="宋体" w:cs="宋体"/>
          <w:b/>
          <w:bCs/>
          <w:szCs w:val="21"/>
          <w:u w:val="single"/>
        </w:rPr>
        <w:t>100</w:t>
      </w:r>
      <w:r>
        <w:rPr>
          <w:rFonts w:hint="eastAsia" w:ascii="宋体" w:hAnsi="宋体" w:eastAsia="宋体" w:cs="宋体"/>
          <w:b/>
          <w:bCs/>
          <w:szCs w:val="21"/>
          <w:lang w:val="zh-CN"/>
        </w:rPr>
        <w:t>人</w:t>
      </w:r>
      <w:r>
        <w:rPr>
          <w:rFonts w:hint="eastAsia" w:ascii="宋体" w:hAnsi="宋体" w:eastAsia="宋体" w:cs="宋体"/>
          <w:b/>
          <w:bCs/>
          <w:szCs w:val="21"/>
        </w:rPr>
        <w:t>，</w:t>
      </w:r>
      <w:r>
        <w:rPr>
          <w:rFonts w:hint="eastAsia" w:ascii="宋体" w:hAnsi="宋体" w:eastAsia="宋体" w:cs="宋体"/>
          <w:b/>
          <w:bCs/>
          <w:szCs w:val="21"/>
          <w:lang w:val="zh-CN"/>
        </w:rPr>
        <w:t>营业收入为</w:t>
      </w:r>
      <w:r>
        <w:rPr>
          <w:rFonts w:hint="eastAsia" w:ascii="宋体" w:hAnsi="宋体" w:eastAsia="宋体" w:cs="宋体"/>
          <w:b/>
          <w:bCs/>
          <w:szCs w:val="21"/>
          <w:u w:val="single"/>
        </w:rPr>
        <w:t>10000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资产总额为</w:t>
      </w:r>
      <w:r>
        <w:rPr>
          <w:rFonts w:hint="eastAsia" w:ascii="宋体" w:hAnsi="宋体" w:eastAsia="宋体" w:cs="宋体"/>
          <w:b/>
          <w:bCs/>
          <w:szCs w:val="21"/>
          <w:u w:val="single"/>
        </w:rPr>
        <w:t>5000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rPr>
        <w:t>中</w:t>
      </w:r>
      <w:r>
        <w:rPr>
          <w:rFonts w:hint="eastAsia" w:ascii="宋体" w:hAnsi="宋体" w:eastAsia="宋体" w:cs="宋体"/>
          <w:b/>
          <w:bCs/>
          <w:szCs w:val="21"/>
          <w:u w:val="single"/>
          <w:lang w:val="zh-CN"/>
        </w:rPr>
        <w:t>型</w:t>
      </w:r>
      <w:r>
        <w:rPr>
          <w:rFonts w:hint="eastAsia" w:ascii="宋体" w:hAnsi="宋体" w:eastAsia="宋体" w:cs="宋体"/>
          <w:b/>
          <w:bCs/>
          <w:szCs w:val="21"/>
          <w:lang w:val="zh-CN"/>
        </w:rPr>
        <w:t>企业</w:t>
      </w:r>
      <w:r>
        <w:rPr>
          <w:rFonts w:hint="eastAsia" w:ascii="宋体" w:hAnsi="宋体" w:eastAsia="宋体" w:cs="宋体"/>
          <w:b/>
          <w:bCs/>
          <w:szCs w:val="21"/>
        </w:rPr>
        <w:t>[投标人自行登录工业和信息化部官网进行中小企业规模类型自测（查询网址https://www.miit.gov.cn/）]</w:t>
      </w:r>
      <w:r>
        <w:rPr>
          <w:rFonts w:hint="eastAsia" w:ascii="宋体" w:hAnsi="宋体" w:eastAsia="宋体" w:cs="宋体"/>
          <w:b/>
          <w:bCs/>
          <w:szCs w:val="21"/>
          <w:lang w:val="zh-CN"/>
        </w:rPr>
        <w:t>。</w:t>
      </w:r>
    </w:p>
    <w:p w14:paraId="0C148905">
      <w:pPr>
        <w:pStyle w:val="9"/>
        <w:rPr>
          <w:rFonts w:hint="eastAsia" w:asciiTheme="minorEastAsia" w:hAnsiTheme="minorEastAsia" w:eastAsiaTheme="minorEastAsia"/>
          <w:b/>
          <w:bCs/>
          <w:lang w:val="en-US"/>
        </w:rPr>
      </w:pPr>
    </w:p>
    <w:p w14:paraId="0AD93B98">
      <w:pPr>
        <w:rPr>
          <w:rFonts w:hint="eastAsia" w:asciiTheme="minorEastAsia" w:hAnsiTheme="minorEastAsia" w:eastAsiaTheme="minorEastAsia"/>
          <w:b/>
          <w:sz w:val="24"/>
        </w:rPr>
      </w:pPr>
      <w:bookmarkStart w:id="206" w:name="_Toc16713"/>
      <w:r>
        <w:rPr>
          <w:rFonts w:hint="eastAsia" w:asciiTheme="minorEastAsia" w:hAnsiTheme="minorEastAsia" w:eastAsiaTheme="minorEastAsia"/>
          <w:b/>
          <w:sz w:val="24"/>
        </w:rPr>
        <w:br w:type="page"/>
      </w:r>
    </w:p>
    <w:p w14:paraId="4ACFE13A">
      <w:pPr>
        <w:spacing w:line="360" w:lineRule="auto"/>
        <w:jc w:val="center"/>
        <w:outlineLvl w:val="1"/>
        <w:rPr>
          <w:rFonts w:hint="eastAsia" w:asciiTheme="minorEastAsia" w:hAnsiTheme="minorEastAsia" w:eastAsiaTheme="minorEastAsia"/>
          <w:b/>
          <w:sz w:val="24"/>
        </w:rPr>
      </w:pPr>
      <w:bookmarkStart w:id="207" w:name="_Toc17315"/>
      <w:r>
        <w:rPr>
          <w:rFonts w:hint="eastAsia" w:asciiTheme="minorEastAsia" w:hAnsiTheme="minorEastAsia" w:eastAsiaTheme="minorEastAsia"/>
          <w:b/>
          <w:sz w:val="24"/>
          <w:lang w:val="en-US" w:eastAsia="zh-CN"/>
        </w:rPr>
        <w:t>八</w:t>
      </w:r>
      <w:r>
        <w:rPr>
          <w:rFonts w:hint="eastAsia" w:asciiTheme="minorEastAsia" w:hAnsiTheme="minorEastAsia" w:eastAsiaTheme="minorEastAsia"/>
          <w:b/>
          <w:sz w:val="24"/>
        </w:rPr>
        <w:t>、残疾人福利性单位声明函</w:t>
      </w:r>
      <w:bookmarkEnd w:id="206"/>
      <w:bookmarkEnd w:id="207"/>
    </w:p>
    <w:p w14:paraId="240051F4">
      <w:pPr>
        <w:pStyle w:val="9"/>
        <w:jc w:val="center"/>
        <w:rPr>
          <w:rFonts w:hint="eastAsia" w:ascii="宋体" w:hAnsi="宋体" w:eastAsia="宋体"/>
          <w:i/>
          <w:sz w:val="24"/>
          <w:lang w:val="en-US"/>
        </w:rPr>
      </w:pPr>
      <w:r>
        <w:rPr>
          <w:rFonts w:hint="eastAsia" w:ascii="宋体" w:hAnsi="宋体" w:eastAsia="宋体"/>
          <w:i/>
          <w:sz w:val="24"/>
          <w:lang w:val="en-US"/>
        </w:rPr>
        <w:t>（非残疾人福利性单位投标，请删去“残疾人福利性单位声明函”）</w:t>
      </w:r>
    </w:p>
    <w:p w14:paraId="3B54B5FD">
      <w:pPr>
        <w:spacing w:line="360" w:lineRule="auto"/>
        <w:ind w:firstLine="435"/>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本单位</w:t>
      </w:r>
      <w:r>
        <w:rPr>
          <w:rFonts w:hint="eastAsia" w:asciiTheme="minorEastAsia" w:hAnsiTheme="minorEastAsia" w:eastAsiaTheme="minorEastAsia"/>
          <w:sz w:val="24"/>
        </w:rPr>
        <w:t>郑重</w:t>
      </w:r>
      <w:r>
        <w:rPr>
          <w:rFonts w:hint="eastAsia" w:asciiTheme="minorEastAsia" w:hAnsiTheme="minorEastAsia" w:eastAsiaTheme="minorEastAsia"/>
          <w:spacing w:val="6"/>
          <w:sz w:val="24"/>
          <w:szCs w:val="24"/>
        </w:rPr>
        <w:t>声明，根据《财政部 民政部 中国残疾人联合会关于促进残疾人就业政府采购政策的通知》（财库</w:t>
      </w:r>
      <w:r>
        <w:rPr>
          <w:rFonts w:hint="eastAsia" w:asciiTheme="minorEastAsia" w:hAnsiTheme="minorEastAsia" w:eastAsiaTheme="minorEastAsia"/>
          <w:sz w:val="24"/>
          <w:szCs w:val="24"/>
        </w:rPr>
        <w:t>〔2017〕141</w:t>
      </w:r>
      <w:r>
        <w:rPr>
          <w:rFonts w:hint="eastAsia" w:asciiTheme="minorEastAsia" w:hAnsiTheme="minorEastAsia" w:eastAsiaTheme="minorEastAsia"/>
          <w:spacing w:val="6"/>
          <w:sz w:val="24"/>
          <w:szCs w:val="24"/>
        </w:rPr>
        <w:t>号）的规定，本单位为</w:t>
      </w:r>
      <w:r>
        <w:rPr>
          <w:rFonts w:hint="eastAsia" w:asciiTheme="minorEastAsia" w:hAnsiTheme="minorEastAsia" w:eastAsiaTheme="minorEastAsia"/>
          <w:bCs/>
          <w:sz w:val="24"/>
          <w:szCs w:val="24"/>
        </w:rPr>
        <w:t>符合</w:t>
      </w:r>
      <w:r>
        <w:rPr>
          <w:rFonts w:hint="eastAsia" w:asciiTheme="minorEastAsia" w:hAnsiTheme="minorEastAsia" w:eastAsiaTheme="minorEastAsia"/>
          <w:spacing w:val="6"/>
          <w:sz w:val="24"/>
          <w:szCs w:val="24"/>
        </w:rPr>
        <w:t>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BD6752A">
      <w:pPr>
        <w:spacing w:line="360" w:lineRule="auto"/>
        <w:ind w:firstLine="435"/>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本单位对上述声明的真实性负责。如有虚假，将依法承担相应责任。</w:t>
      </w:r>
    </w:p>
    <w:p w14:paraId="2D59A653">
      <w:pPr>
        <w:spacing w:line="360" w:lineRule="auto"/>
        <w:ind w:firstLine="4228" w:firstLineChars="1762"/>
        <w:rPr>
          <w:rFonts w:hint="eastAsia" w:asciiTheme="minorEastAsia" w:hAnsiTheme="minorEastAsia" w:eastAsiaTheme="minorEastAsia"/>
          <w:sz w:val="24"/>
          <w:szCs w:val="24"/>
        </w:rPr>
      </w:pPr>
    </w:p>
    <w:p w14:paraId="634E7E5D">
      <w:pPr>
        <w:spacing w:line="360" w:lineRule="auto"/>
        <w:ind w:firstLine="4228" w:firstLineChars="1762"/>
        <w:rPr>
          <w:rFonts w:hint="eastAsia" w:asciiTheme="minorEastAsia" w:hAnsiTheme="minorEastAsia" w:eastAsiaTheme="minorEastAsia"/>
          <w:sz w:val="24"/>
          <w:szCs w:val="24"/>
        </w:rPr>
      </w:pPr>
    </w:p>
    <w:p w14:paraId="5552A92C">
      <w:pPr>
        <w:spacing w:line="360" w:lineRule="auto"/>
        <w:ind w:firstLine="4228" w:firstLineChars="1762"/>
        <w:rPr>
          <w:rFonts w:hint="eastAsia" w:asciiTheme="minorEastAsia" w:hAnsiTheme="minorEastAsia" w:eastAsiaTheme="minorEastAsia"/>
          <w:sz w:val="24"/>
          <w:szCs w:val="24"/>
          <w:u w:val="single"/>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电子签章</w:t>
      </w:r>
      <w:r>
        <w:rPr>
          <w:rFonts w:hint="eastAsia" w:asciiTheme="minorEastAsia" w:hAnsiTheme="minorEastAsia" w:eastAsiaTheme="minorEastAsia"/>
          <w:sz w:val="24"/>
          <w:szCs w:val="24"/>
        </w:rPr>
        <w:t>：</w:t>
      </w:r>
    </w:p>
    <w:p w14:paraId="5F30F2B2">
      <w:pPr>
        <w:tabs>
          <w:tab w:val="left" w:pos="4620"/>
        </w:tabs>
        <w:spacing w:line="360" w:lineRule="auto"/>
        <w:ind w:firstLine="4252" w:firstLineChars="1772"/>
        <w:rPr>
          <w:rFonts w:hint="eastAsia" w:asciiTheme="minorEastAsia" w:hAnsiTheme="minorEastAsia" w:eastAsiaTheme="minorEastAsia"/>
          <w:sz w:val="24"/>
          <w:szCs w:val="24"/>
          <w:u w:val="single"/>
        </w:rPr>
      </w:pPr>
      <w:r>
        <w:rPr>
          <w:rFonts w:hint="eastAsia" w:asciiTheme="minorEastAsia" w:hAnsiTheme="minorEastAsia" w:eastAsiaTheme="minorEastAsia"/>
          <w:sz w:val="24"/>
          <w:szCs w:val="24"/>
        </w:rPr>
        <w:t>日    期：</w:t>
      </w:r>
    </w:p>
    <w:p w14:paraId="73DB7E36">
      <w:pPr>
        <w:widowControl/>
        <w:jc w:val="left"/>
        <w:rPr>
          <w:rFonts w:hint="eastAsia" w:asciiTheme="minorEastAsia" w:hAnsiTheme="minorEastAsia" w:eastAsiaTheme="minorEastAsia"/>
          <w:sz w:val="24"/>
        </w:rPr>
      </w:pPr>
      <w:r>
        <w:rPr>
          <w:rFonts w:asciiTheme="minorEastAsia" w:hAnsiTheme="minorEastAsia" w:eastAsiaTheme="minorEastAsia"/>
          <w:sz w:val="24"/>
        </w:rPr>
        <w:br w:type="page"/>
      </w:r>
    </w:p>
    <w:p w14:paraId="4685DEDE">
      <w:pPr>
        <w:spacing w:line="360" w:lineRule="auto"/>
        <w:jc w:val="center"/>
        <w:outlineLvl w:val="1"/>
        <w:rPr>
          <w:rFonts w:hint="eastAsia" w:asciiTheme="minorEastAsia" w:hAnsiTheme="minorEastAsia" w:eastAsiaTheme="minorEastAsia"/>
          <w:b/>
          <w:sz w:val="24"/>
        </w:rPr>
      </w:pPr>
      <w:bookmarkStart w:id="208" w:name="_Toc457768004"/>
      <w:bookmarkStart w:id="209" w:name="_Toc520299348"/>
      <w:bookmarkStart w:id="210" w:name="_Toc300210382"/>
      <w:bookmarkStart w:id="211" w:name="_Toc26536"/>
      <w:bookmarkStart w:id="212" w:name="_Toc23860"/>
      <w:bookmarkStart w:id="213" w:name="_Hlk11701496"/>
      <w:r>
        <w:rPr>
          <w:rFonts w:hint="eastAsia" w:asciiTheme="minorEastAsia" w:hAnsiTheme="minorEastAsia" w:eastAsiaTheme="minorEastAsia"/>
          <w:b/>
          <w:sz w:val="24"/>
          <w:lang w:val="en-US" w:eastAsia="zh-CN"/>
        </w:rPr>
        <w:t>九</w:t>
      </w:r>
      <w:r>
        <w:rPr>
          <w:rFonts w:hint="eastAsia" w:asciiTheme="minorEastAsia" w:hAnsiTheme="minorEastAsia" w:eastAsiaTheme="minorEastAsia"/>
          <w:b/>
          <w:sz w:val="24"/>
        </w:rPr>
        <w:t>、</w:t>
      </w:r>
      <w:bookmarkEnd w:id="208"/>
      <w:bookmarkEnd w:id="209"/>
      <w:bookmarkEnd w:id="210"/>
      <w:r>
        <w:rPr>
          <w:rFonts w:hint="eastAsia" w:asciiTheme="minorEastAsia" w:hAnsiTheme="minorEastAsia" w:eastAsiaTheme="minorEastAsia"/>
          <w:b/>
          <w:sz w:val="24"/>
        </w:rPr>
        <w:t>诚信履约承诺函</w:t>
      </w:r>
      <w:bookmarkEnd w:id="211"/>
      <w:bookmarkEnd w:id="212"/>
    </w:p>
    <w:p w14:paraId="18C3D13A">
      <w:pPr>
        <w:spacing w:line="360" w:lineRule="auto"/>
        <w:rPr>
          <w:rFonts w:hint="eastAsia" w:asciiTheme="minorEastAsia" w:hAnsiTheme="minorEastAsia" w:eastAsiaTheme="minorEastAsia"/>
          <w:b/>
          <w:bCs/>
          <w:sz w:val="24"/>
        </w:rPr>
      </w:pPr>
    </w:p>
    <w:p w14:paraId="2B3E6B19">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致：</w:t>
      </w:r>
      <w:r>
        <w:rPr>
          <w:rFonts w:hint="eastAsia" w:ascii="宋体" w:hAnsi="宋体" w:eastAsia="宋体" w:cs="宋体"/>
          <w:b/>
          <w:sz w:val="24"/>
          <w:szCs w:val="24"/>
          <w:u w:val="single"/>
        </w:rPr>
        <w:t>安徽理工大学</w:t>
      </w:r>
    </w:p>
    <w:p w14:paraId="149F6D6F">
      <w:pPr>
        <w:spacing w:line="360" w:lineRule="auto"/>
        <w:ind w:firstLine="435"/>
        <w:rPr>
          <w:rFonts w:hint="eastAsia" w:ascii="宋体" w:hAnsi="宋体" w:eastAsia="宋体" w:cs="宋体"/>
          <w:b/>
          <w:sz w:val="24"/>
          <w:szCs w:val="24"/>
          <w:u w:val="single"/>
        </w:rPr>
      </w:pPr>
      <w:r>
        <w:rPr>
          <w:rFonts w:hint="eastAsia" w:ascii="宋体" w:hAnsi="宋体" w:eastAsia="宋体" w:cs="宋体"/>
          <w:b/>
          <w:sz w:val="24"/>
          <w:szCs w:val="24"/>
          <w:u w:val="single"/>
        </w:rPr>
        <w:t>上海容基工程项目管理有限公司</w:t>
      </w:r>
    </w:p>
    <w:p w14:paraId="4335FC83">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如我单位被确定为本项目中标人，我单位承诺在合同签订及履约过程中将严格执行《中华人民共和国政府采购法》、《中华人民共和国政府采购法实施条例》及本项目招标文件中关于合同签订及履约的相关规定，不出现以下情形：</w:t>
      </w:r>
    </w:p>
    <w:p w14:paraId="0925087B">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（1）中标或者成交后无正当理由拒不与采购人签订政府采购合同；</w:t>
      </w:r>
    </w:p>
    <w:p w14:paraId="6CC316D2">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（2）未按照招标文件确定的事项签订政府采购合同；</w:t>
      </w:r>
    </w:p>
    <w:p w14:paraId="134F62B7">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（3）将政府采购合同转包；</w:t>
      </w:r>
    </w:p>
    <w:p w14:paraId="678AB3A9">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（4）提供假冒伪劣产品；</w:t>
      </w:r>
    </w:p>
    <w:p w14:paraId="4F1B488A">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（5）擅自变更、中止或者终止政府采购合同。</w:t>
      </w:r>
    </w:p>
    <w:p w14:paraId="64BAB06B">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90EF45A">
      <w:pPr>
        <w:spacing w:line="360" w:lineRule="auto"/>
        <w:rPr>
          <w:rFonts w:hint="eastAsia" w:asciiTheme="minorEastAsia" w:hAnsiTheme="minorEastAsia" w:eastAsiaTheme="minorEastAsia"/>
          <w:bCs/>
          <w:sz w:val="24"/>
        </w:rPr>
      </w:pPr>
    </w:p>
    <w:p w14:paraId="7DC107B8">
      <w:pPr>
        <w:spacing w:line="360" w:lineRule="auto"/>
        <w:rPr>
          <w:rFonts w:hint="eastAsia" w:asciiTheme="minorEastAsia" w:hAnsiTheme="minorEastAsia" w:eastAsiaTheme="minorEastAsia"/>
          <w:bCs/>
          <w:sz w:val="24"/>
        </w:rPr>
      </w:pPr>
    </w:p>
    <w:p w14:paraId="715214AD">
      <w:pPr>
        <w:spacing w:line="360" w:lineRule="auto"/>
        <w:ind w:firstLine="4320" w:firstLineChars="1800"/>
        <w:rPr>
          <w:rFonts w:hint="eastAsia" w:asciiTheme="minorEastAsia" w:hAnsiTheme="minorEastAsia" w:eastAsiaTheme="minorEastAsia"/>
          <w:bCs/>
          <w:sz w:val="24"/>
          <w:u w:val="single"/>
        </w:rPr>
      </w:pPr>
      <w:r>
        <w:rPr>
          <w:rFonts w:hint="eastAsia" w:asciiTheme="minorEastAsia" w:hAnsiTheme="minorEastAsia" w:eastAsiaTheme="minorEastAsia"/>
          <w:bCs/>
          <w:sz w:val="24"/>
        </w:rPr>
        <w:t>投标人电子签章：</w:t>
      </w:r>
    </w:p>
    <w:p w14:paraId="74F03458">
      <w:pPr>
        <w:spacing w:line="360" w:lineRule="auto"/>
        <w:ind w:firstLine="4320" w:firstLineChars="1800"/>
        <w:rPr>
          <w:rFonts w:hint="eastAsia" w:asciiTheme="minorEastAsia" w:hAnsiTheme="minorEastAsia" w:eastAsiaTheme="minorEastAsia"/>
          <w:bCs/>
          <w:sz w:val="24"/>
        </w:rPr>
      </w:pPr>
      <w:r>
        <w:rPr>
          <w:rFonts w:hint="eastAsia" w:asciiTheme="minorEastAsia" w:hAnsiTheme="minorEastAsia" w:eastAsiaTheme="minorEastAsia"/>
          <w:bCs/>
          <w:sz w:val="24"/>
        </w:rPr>
        <w:t>日          期：</w:t>
      </w:r>
    </w:p>
    <w:p w14:paraId="3E150BC8">
      <w:pPr>
        <w:widowControl/>
        <w:jc w:val="left"/>
        <w:rPr>
          <w:rFonts w:hint="eastAsia" w:ascii="宋体" w:hAnsi="宋体" w:eastAsia="宋体" w:cs="Arial"/>
          <w:sz w:val="24"/>
        </w:rPr>
      </w:pPr>
      <w:r>
        <w:rPr>
          <w:rFonts w:ascii="宋体" w:hAnsi="宋体" w:eastAsia="宋体" w:cs="Arial"/>
          <w:sz w:val="24"/>
        </w:rPr>
        <w:br w:type="page"/>
      </w:r>
    </w:p>
    <w:bookmarkEnd w:id="213"/>
    <w:p w14:paraId="4871BC37">
      <w:pPr>
        <w:spacing w:line="360" w:lineRule="auto"/>
        <w:jc w:val="center"/>
        <w:outlineLvl w:val="1"/>
        <w:rPr>
          <w:rFonts w:hint="eastAsia" w:asciiTheme="minorEastAsia" w:hAnsiTheme="minorEastAsia" w:eastAsiaTheme="minorEastAsia"/>
          <w:b/>
          <w:sz w:val="24"/>
        </w:rPr>
      </w:pPr>
      <w:bookmarkStart w:id="214" w:name="_Toc32633"/>
      <w:bookmarkStart w:id="215" w:name="_Toc31807"/>
      <w:r>
        <w:rPr>
          <w:rFonts w:hint="eastAsia" w:asciiTheme="minorEastAsia" w:hAnsiTheme="minorEastAsia" w:eastAsiaTheme="minorEastAsia"/>
          <w:b/>
          <w:sz w:val="24"/>
        </w:rPr>
        <w:t>十、其他相关证明材料</w:t>
      </w:r>
      <w:bookmarkEnd w:id="214"/>
      <w:bookmarkEnd w:id="215"/>
    </w:p>
    <w:p w14:paraId="4E4E6B8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提供符合投标邀请、采购需求及评标方法和标准规定的相关证明文件。</w:t>
      </w:r>
    </w:p>
    <w:p w14:paraId="318053A4">
      <w:pPr>
        <w:spacing w:line="360" w:lineRule="auto"/>
        <w:ind w:firstLine="480" w:firstLineChars="200"/>
        <w:rPr>
          <w:rFonts w:hint="eastAsia" w:asciiTheme="minorEastAsia" w:hAnsiTheme="minorEastAsia" w:eastAsiaTheme="minorEastAsia"/>
          <w:sz w:val="24"/>
        </w:rPr>
      </w:pPr>
    </w:p>
    <w:p w14:paraId="2315917F">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b/>
          <w:sz w:val="24"/>
        </w:rPr>
        <w:t>特别提示：</w:t>
      </w:r>
    </w:p>
    <w:p w14:paraId="0D7B839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投标人在投标文件制作时可在此栏内上传</w:t>
      </w:r>
      <w:r>
        <w:rPr>
          <w:rFonts w:asciiTheme="minorEastAsia" w:hAnsiTheme="minorEastAsia" w:eastAsiaTheme="minorEastAsia"/>
          <w:sz w:val="24"/>
        </w:rPr>
        <w:t>招标文件要求上传的证明资料</w:t>
      </w:r>
      <w:r>
        <w:rPr>
          <w:rFonts w:hint="eastAsia" w:asciiTheme="minorEastAsia" w:hAnsiTheme="minorEastAsia" w:eastAsiaTheme="minorEastAsia"/>
          <w:sz w:val="24"/>
        </w:rPr>
        <w:t>，如营业执照、证书</w:t>
      </w:r>
      <w:r>
        <w:rPr>
          <w:rFonts w:asciiTheme="minorEastAsia" w:hAnsiTheme="minorEastAsia" w:eastAsiaTheme="minorEastAsia"/>
          <w:sz w:val="24"/>
        </w:rPr>
        <w:t>等，应将上述证明材料制作成扫描件上传。</w:t>
      </w:r>
    </w:p>
    <w:p w14:paraId="5673F226">
      <w:pPr>
        <w:widowControl/>
        <w:jc w:val="left"/>
        <w:rPr>
          <w:rFonts w:hint="eastAsia" w:ascii="宋体" w:hAnsi="宋体" w:eastAsia="宋体"/>
          <w:bCs/>
          <w:sz w:val="24"/>
        </w:rPr>
      </w:pPr>
      <w:r>
        <w:rPr>
          <w:rFonts w:ascii="宋体" w:hAnsi="宋体" w:eastAsia="宋体"/>
          <w:bCs/>
          <w:sz w:val="24"/>
        </w:rPr>
        <w:br w:type="page"/>
      </w:r>
    </w:p>
    <w:p w14:paraId="391D81C8">
      <w:pPr>
        <w:spacing w:line="360" w:lineRule="auto"/>
        <w:jc w:val="center"/>
        <w:outlineLvl w:val="0"/>
        <w:rPr>
          <w:rFonts w:hint="eastAsia" w:ascii="宋体" w:hAnsi="宋体" w:eastAsia="宋体"/>
          <w:b/>
          <w:bCs/>
          <w:sz w:val="28"/>
        </w:rPr>
      </w:pPr>
      <w:bookmarkStart w:id="216" w:name="_Toc6435"/>
      <w:bookmarkStart w:id="217" w:name="_Toc20819"/>
      <w:r>
        <w:rPr>
          <w:rFonts w:hint="eastAsia" w:asciiTheme="minorEastAsia" w:hAnsiTheme="minorEastAsia" w:eastAsiaTheme="minorEastAsia"/>
          <w:b/>
          <w:sz w:val="28"/>
        </w:rPr>
        <w:t>第七章</w:t>
      </w:r>
      <w:r>
        <w:rPr>
          <w:rFonts w:hint="eastAsia" w:ascii="宋体" w:hAnsi="宋体" w:eastAsia="宋体"/>
          <w:b/>
          <w:bCs/>
          <w:sz w:val="28"/>
        </w:rPr>
        <w:t xml:space="preserve">  政府采购</w:t>
      </w:r>
      <w:r>
        <w:rPr>
          <w:rFonts w:hint="eastAsia" w:asciiTheme="minorEastAsia" w:hAnsiTheme="minorEastAsia" w:eastAsiaTheme="minorEastAsia"/>
          <w:b/>
          <w:sz w:val="28"/>
        </w:rPr>
        <w:t>投标人</w:t>
      </w:r>
      <w:r>
        <w:rPr>
          <w:rFonts w:hint="eastAsia" w:ascii="宋体" w:hAnsi="宋体" w:eastAsia="宋体"/>
          <w:b/>
          <w:bCs/>
          <w:sz w:val="28"/>
        </w:rPr>
        <w:t>询问函和质疑函范本</w:t>
      </w:r>
      <w:bookmarkEnd w:id="216"/>
      <w:bookmarkEnd w:id="217"/>
    </w:p>
    <w:p w14:paraId="3C08B7AA">
      <w:pPr>
        <w:spacing w:line="360" w:lineRule="auto"/>
        <w:jc w:val="center"/>
        <w:outlineLvl w:val="1"/>
        <w:rPr>
          <w:rFonts w:hint="eastAsia" w:ascii="仿宋" w:hAnsi="仿宋" w:eastAsia="仿宋" w:cs="仿宋"/>
          <w:b/>
          <w:bCs/>
          <w:sz w:val="32"/>
          <w:szCs w:val="44"/>
        </w:rPr>
      </w:pPr>
      <w:bookmarkStart w:id="218" w:name="_Toc6955"/>
      <w:bookmarkStart w:id="219" w:name="_Toc27159"/>
      <w:r>
        <w:rPr>
          <w:rFonts w:hint="eastAsia" w:ascii="仿宋" w:hAnsi="仿宋" w:eastAsia="仿宋" w:cs="仿宋"/>
          <w:b/>
          <w:bCs/>
          <w:sz w:val="32"/>
          <w:szCs w:val="44"/>
        </w:rPr>
        <w:t>询问函范本</w:t>
      </w:r>
      <w:bookmarkEnd w:id="218"/>
      <w:bookmarkEnd w:id="219"/>
    </w:p>
    <w:p w14:paraId="357ABEB7">
      <w:pPr>
        <w:adjustRightInd w:val="0"/>
        <w:snapToGrid w:val="0"/>
        <w:spacing w:line="360" w:lineRule="auto"/>
        <w:ind w:firstLine="480" w:firstLineChars="200"/>
        <w:jc w:val="center"/>
        <w:rPr>
          <w:rFonts w:hint="eastAsia" w:ascii="仿宋" w:hAnsi="仿宋" w:eastAsia="仿宋" w:cs="仿宋"/>
          <w:b/>
          <w:bCs/>
          <w:sz w:val="32"/>
          <w:szCs w:val="44"/>
        </w:rPr>
      </w:pPr>
      <w:r>
        <w:rPr>
          <w:rFonts w:hint="eastAsia" w:cs="仿宋" w:asciiTheme="minorEastAsia" w:hAnsiTheme="minorEastAsia" w:eastAsiaTheme="minorEastAsia"/>
          <w:i/>
          <w:iCs/>
          <w:sz w:val="24"/>
          <w:szCs w:val="24"/>
        </w:rPr>
        <w:t>（如为对招标文件或采购程序的询问或疑问，请按询问函范本或电子交易系统中网上询问格式附件进行提交）</w:t>
      </w:r>
    </w:p>
    <w:p w14:paraId="40F330AC">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致：</w:t>
      </w:r>
      <w:r>
        <w:rPr>
          <w:rFonts w:hint="eastAsia" w:ascii="宋体" w:hAnsi="宋体" w:eastAsia="宋体" w:cs="宋体"/>
          <w:b/>
          <w:sz w:val="24"/>
          <w:szCs w:val="24"/>
          <w:u w:val="single"/>
        </w:rPr>
        <w:t>安徽理工大学</w:t>
      </w:r>
    </w:p>
    <w:p w14:paraId="4C9F072F">
      <w:pPr>
        <w:spacing w:line="360" w:lineRule="auto"/>
        <w:ind w:firstLine="435"/>
        <w:rPr>
          <w:rFonts w:hint="eastAsia" w:cs="仿宋" w:asciiTheme="minorEastAsia" w:hAnsiTheme="minorEastAsia" w:eastAsiaTheme="minorEastAsia"/>
          <w:b/>
          <w:bCs/>
          <w:sz w:val="24"/>
          <w:szCs w:val="24"/>
          <w:u w:val="single"/>
        </w:rPr>
      </w:pPr>
      <w:r>
        <w:rPr>
          <w:rFonts w:hint="eastAsia" w:ascii="宋体" w:hAnsi="宋体" w:eastAsia="宋体" w:cs="宋体"/>
          <w:b/>
          <w:sz w:val="24"/>
          <w:szCs w:val="24"/>
          <w:u w:val="single"/>
        </w:rPr>
        <w:t>上海容基工程项目管理有限公司</w:t>
      </w:r>
    </w:p>
    <w:p w14:paraId="0BE3619B">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2D242E62">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220" w:name="_Toc13899"/>
      <w:r>
        <w:rPr>
          <w:rFonts w:hint="eastAsia" w:cs="仿宋" w:asciiTheme="minorEastAsia" w:hAnsiTheme="minorEastAsia" w:eastAsiaTheme="minorEastAsia"/>
          <w:sz w:val="24"/>
          <w:szCs w:val="24"/>
        </w:rPr>
        <w:t>一、(事项一)</w:t>
      </w:r>
      <w:bookmarkEnd w:id="220"/>
    </w:p>
    <w:p w14:paraId="60142C7B">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00FB6472">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47492342">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5BDA7D82">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221" w:name="_Toc3352"/>
      <w:r>
        <w:rPr>
          <w:rFonts w:hint="eastAsia" w:cs="仿宋" w:asciiTheme="minorEastAsia" w:hAnsiTheme="minorEastAsia" w:eastAsiaTheme="minorEastAsia"/>
          <w:sz w:val="24"/>
          <w:szCs w:val="24"/>
        </w:rPr>
        <w:t>二、(事项二)</w:t>
      </w:r>
      <w:bookmarkEnd w:id="221"/>
    </w:p>
    <w:p w14:paraId="680DC40F">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73275980">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47A16C79">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 系 人：</w:t>
      </w:r>
    </w:p>
    <w:p w14:paraId="16CB4A3B">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联系电话：</w:t>
      </w:r>
    </w:p>
    <w:p w14:paraId="0FEB7EF8">
      <w:pPr>
        <w:tabs>
          <w:tab w:val="left" w:pos="630"/>
        </w:tabs>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日    期：</w:t>
      </w:r>
    </w:p>
    <w:p w14:paraId="5872B926">
      <w:pPr>
        <w:rPr>
          <w:rFonts w:hint="eastAsia" w:ascii="仿宋" w:hAnsi="仿宋" w:eastAsia="仿宋" w:cs="仿宋"/>
          <w:b/>
          <w:bCs/>
          <w:sz w:val="32"/>
          <w:szCs w:val="44"/>
        </w:rPr>
      </w:pPr>
      <w:r>
        <w:rPr>
          <w:rFonts w:hint="eastAsia" w:ascii="仿宋" w:hAnsi="仿宋" w:eastAsia="仿宋" w:cs="仿宋"/>
          <w:b/>
          <w:bCs/>
          <w:sz w:val="32"/>
          <w:szCs w:val="44"/>
        </w:rPr>
        <w:br w:type="page"/>
      </w:r>
    </w:p>
    <w:p w14:paraId="4435C477">
      <w:pPr>
        <w:jc w:val="center"/>
        <w:outlineLvl w:val="1"/>
        <w:rPr>
          <w:rFonts w:hint="eastAsia" w:ascii="仿宋" w:hAnsi="仿宋" w:eastAsia="仿宋" w:cs="仿宋"/>
          <w:b/>
          <w:bCs/>
          <w:sz w:val="32"/>
          <w:szCs w:val="44"/>
        </w:rPr>
      </w:pPr>
      <w:bookmarkStart w:id="222" w:name="_Toc857"/>
      <w:bookmarkStart w:id="223" w:name="_Toc1575"/>
      <w:r>
        <w:rPr>
          <w:rFonts w:hint="eastAsia" w:ascii="仿宋" w:hAnsi="仿宋" w:eastAsia="仿宋" w:cs="仿宋"/>
          <w:b/>
          <w:bCs/>
          <w:sz w:val="32"/>
          <w:szCs w:val="44"/>
        </w:rPr>
        <w:t>质疑函范本</w:t>
      </w:r>
      <w:bookmarkEnd w:id="222"/>
      <w:bookmarkEnd w:id="223"/>
    </w:p>
    <w:p w14:paraId="5DBEE504">
      <w:pPr>
        <w:adjustRightInd w:val="0"/>
        <w:snapToGrid w:val="0"/>
        <w:spacing w:before="312" w:beforeLines="100" w:line="360" w:lineRule="auto"/>
        <w:rPr>
          <w:rFonts w:hint="eastAsia" w:cs="仿宋" w:asciiTheme="minorEastAsia" w:hAnsiTheme="minorEastAsia" w:eastAsiaTheme="minorEastAsia"/>
          <w:b/>
          <w:bCs/>
          <w:sz w:val="24"/>
          <w:szCs w:val="24"/>
        </w:rPr>
      </w:pPr>
      <w:bookmarkStart w:id="224" w:name="_Toc21381"/>
      <w:r>
        <w:rPr>
          <w:rFonts w:hint="eastAsia" w:cs="仿宋" w:asciiTheme="minorEastAsia" w:hAnsiTheme="minorEastAsia" w:eastAsiaTheme="minorEastAsia"/>
          <w:b/>
          <w:bCs/>
          <w:sz w:val="24"/>
          <w:szCs w:val="24"/>
        </w:rPr>
        <w:t>一、质疑投标人基本信息</w:t>
      </w:r>
      <w:bookmarkEnd w:id="224"/>
    </w:p>
    <w:p w14:paraId="7F64B7D8">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质疑投标人：</w:t>
      </w:r>
    </w:p>
    <w:p w14:paraId="55EDE12A">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地址：邮编：</w:t>
      </w:r>
    </w:p>
    <w:p w14:paraId="21E3E04D">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联系人：联系电话：</w:t>
      </w:r>
    </w:p>
    <w:p w14:paraId="3E20ADDC">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p>
    <w:p w14:paraId="06BA9A21">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p>
    <w:p w14:paraId="3FB7A939">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地址：邮编：</w:t>
      </w:r>
    </w:p>
    <w:p w14:paraId="03E3C342">
      <w:pPr>
        <w:adjustRightInd w:val="0"/>
        <w:snapToGrid w:val="0"/>
        <w:spacing w:line="360" w:lineRule="auto"/>
        <w:rPr>
          <w:rFonts w:hint="eastAsia" w:cs="仿宋" w:asciiTheme="minorEastAsia" w:hAnsiTheme="minorEastAsia" w:eastAsiaTheme="minorEastAsia"/>
          <w:b/>
          <w:bCs/>
          <w:sz w:val="24"/>
          <w:szCs w:val="24"/>
        </w:rPr>
      </w:pPr>
      <w:bookmarkStart w:id="225" w:name="_Toc28415"/>
      <w:r>
        <w:rPr>
          <w:rFonts w:hint="eastAsia" w:cs="仿宋" w:asciiTheme="minorEastAsia" w:hAnsiTheme="minorEastAsia" w:eastAsiaTheme="minorEastAsia"/>
          <w:b/>
          <w:bCs/>
          <w:sz w:val="24"/>
          <w:szCs w:val="24"/>
        </w:rPr>
        <w:t>二、质疑项目基本情况</w:t>
      </w:r>
      <w:bookmarkEnd w:id="225"/>
    </w:p>
    <w:p w14:paraId="53C65C65">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p>
    <w:p w14:paraId="7BD368FA">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质疑项目的编号：包号：</w:t>
      </w:r>
    </w:p>
    <w:p w14:paraId="786F3A4D">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p>
    <w:p w14:paraId="5E1C82FF">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招标文件获取日期：</w:t>
      </w:r>
    </w:p>
    <w:p w14:paraId="06DA678D">
      <w:pPr>
        <w:adjustRightInd w:val="0"/>
        <w:snapToGrid w:val="0"/>
        <w:spacing w:line="360" w:lineRule="auto"/>
        <w:rPr>
          <w:rFonts w:hint="eastAsia" w:cs="仿宋" w:asciiTheme="minorEastAsia" w:hAnsiTheme="minorEastAsia" w:eastAsiaTheme="minorEastAsia"/>
          <w:b/>
          <w:bCs/>
          <w:sz w:val="24"/>
          <w:szCs w:val="24"/>
        </w:rPr>
      </w:pPr>
      <w:bookmarkStart w:id="226" w:name="_Toc19014"/>
      <w:r>
        <w:rPr>
          <w:rFonts w:hint="eastAsia" w:cs="仿宋" w:asciiTheme="minorEastAsia" w:hAnsiTheme="minorEastAsia" w:eastAsiaTheme="minorEastAsia"/>
          <w:b/>
          <w:bCs/>
          <w:sz w:val="24"/>
          <w:szCs w:val="24"/>
        </w:rPr>
        <w:t>三、质疑事项具体内容</w:t>
      </w:r>
      <w:bookmarkEnd w:id="226"/>
    </w:p>
    <w:p w14:paraId="03C349D1">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p>
    <w:p w14:paraId="75F3963D">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p>
    <w:p w14:paraId="1CD78EA9">
      <w:pPr>
        <w:adjustRightInd w:val="0"/>
        <w:snapToGrid w:val="0"/>
        <w:spacing w:line="360" w:lineRule="auto"/>
        <w:rPr>
          <w:rFonts w:hint="eastAsia" w:cs="仿宋" w:asciiTheme="minorEastAsia" w:hAnsiTheme="minorEastAsia" w:eastAsiaTheme="minorEastAsia"/>
          <w:sz w:val="24"/>
          <w:szCs w:val="24"/>
        </w:rPr>
      </w:pPr>
    </w:p>
    <w:p w14:paraId="14889D79">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p>
    <w:p w14:paraId="580DE7A6">
      <w:pPr>
        <w:adjustRightInd w:val="0"/>
        <w:snapToGrid w:val="0"/>
        <w:spacing w:line="360" w:lineRule="auto"/>
        <w:rPr>
          <w:rFonts w:hint="eastAsia" w:cs="仿宋" w:asciiTheme="minorEastAsia" w:hAnsiTheme="minorEastAsia" w:eastAsiaTheme="minorEastAsia"/>
          <w:sz w:val="24"/>
          <w:szCs w:val="24"/>
          <w:u w:val="dotted"/>
        </w:rPr>
      </w:pPr>
    </w:p>
    <w:p w14:paraId="287CAA17">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51960594">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0360D4B6">
      <w:pPr>
        <w:adjustRightInd w:val="0"/>
        <w:snapToGrid w:val="0"/>
        <w:spacing w:line="360" w:lineRule="auto"/>
        <w:rPr>
          <w:rFonts w:hint="eastAsia" w:cs="仿宋" w:asciiTheme="minorEastAsia" w:hAnsiTheme="minorEastAsia" w:eastAsiaTheme="minorEastAsia"/>
          <w:b/>
          <w:bCs/>
          <w:sz w:val="24"/>
          <w:szCs w:val="24"/>
        </w:rPr>
      </w:pPr>
      <w:bookmarkStart w:id="227" w:name="_Toc17919"/>
      <w:r>
        <w:rPr>
          <w:rFonts w:hint="eastAsia" w:cs="仿宋" w:asciiTheme="minorEastAsia" w:hAnsiTheme="minorEastAsia" w:eastAsiaTheme="minorEastAsia"/>
          <w:b/>
          <w:bCs/>
          <w:sz w:val="24"/>
          <w:szCs w:val="24"/>
        </w:rPr>
        <w:t>四、与质疑事项相关的质疑请求</w:t>
      </w:r>
      <w:bookmarkEnd w:id="227"/>
    </w:p>
    <w:p w14:paraId="34CD0AB5">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p>
    <w:p w14:paraId="39208B42">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14:paraId="308B4416">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69BFC30D">
      <w:pPr>
        <w:outlineLvl w:val="0"/>
        <w:rPr>
          <w:rFonts w:hint="eastAsia" w:asciiTheme="minorEastAsia" w:hAnsiTheme="minorEastAsia" w:eastAsiaTheme="minorEastAsia"/>
          <w:b/>
          <w:sz w:val="28"/>
          <w:szCs w:val="32"/>
        </w:rPr>
        <w:sectPr>
          <w:headerReference r:id="rId5" w:type="default"/>
          <w:footerReference r:id="rId6" w:type="default"/>
          <w:pgSz w:w="11906" w:h="16838"/>
          <w:pgMar w:top="1440" w:right="1800" w:bottom="1440" w:left="1800" w:header="851" w:footer="992" w:gutter="0"/>
          <w:cols w:space="425" w:num="1"/>
          <w:docGrid w:type="lines" w:linePitch="312" w:charSpace="0"/>
        </w:sectPr>
      </w:pPr>
      <w:bookmarkStart w:id="228" w:name="_Toc22239"/>
      <w:bookmarkStart w:id="229" w:name="_Toc9754"/>
    </w:p>
    <w:p w14:paraId="7CAAB95D">
      <w:pPr>
        <w:outlineLvl w:val="0"/>
        <w:rPr>
          <w:rFonts w:hint="eastAsia" w:asciiTheme="minorEastAsia" w:hAnsiTheme="minorEastAsia" w:eastAsiaTheme="minorEastAsia"/>
          <w:b/>
          <w:sz w:val="28"/>
          <w:szCs w:val="32"/>
        </w:rPr>
      </w:pPr>
      <w:r>
        <w:rPr>
          <w:rFonts w:hint="eastAsia" w:asciiTheme="minorEastAsia" w:hAnsiTheme="minorEastAsia" w:eastAsiaTheme="minorEastAsia"/>
          <w:b/>
          <w:sz w:val="28"/>
          <w:szCs w:val="32"/>
        </w:rPr>
        <w:t>质疑函制作说明：</w:t>
      </w:r>
      <w:bookmarkEnd w:id="228"/>
      <w:bookmarkEnd w:id="229"/>
    </w:p>
    <w:p w14:paraId="3C96175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1.投标人提出质疑时，应提交质疑函和必要的证明材料。</w:t>
      </w:r>
    </w:p>
    <w:p w14:paraId="650AA73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64BCF84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3.质疑投标人若对项目的某一分包进行质疑，质疑函中应列明具体分包号。</w:t>
      </w:r>
    </w:p>
    <w:p w14:paraId="408E018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22DD7F4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266945A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6.质疑投标人为自然人的，质疑函应由本人签字；质疑投标人为法人或者其他组织的，质疑函应由法定代表人、主要负责人，或者其授权代表签字或者盖章，并加盖公章。</w:t>
      </w:r>
    </w:p>
    <w:sectPr>
      <w:footerReference r:id="rId7" w:type="default"/>
      <w:pgSz w:w="11906" w:h="16838"/>
      <w:pgMar w:top="1440" w:right="1800" w:bottom="1440" w:left="1800" w:header="851" w:footer="992" w:gutter="0"/>
      <w:pgNumType w:start="5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6DDE6">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DC59A">
    <w:pPr>
      <w:pStyle w:val="16"/>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34110" cy="172720"/>
              <wp:effectExtent l="0" t="0" r="0" b="0"/>
              <wp:wrapNone/>
              <wp:docPr id="394546138" name="文本框 3"/>
              <wp:cNvGraphicFramePr/>
              <a:graphic xmlns:a="http://schemas.openxmlformats.org/drawingml/2006/main">
                <a:graphicData uri="http://schemas.microsoft.com/office/word/2010/wordprocessingShape">
                  <wps:wsp>
                    <wps:cNvSpPr txBox="1"/>
                    <wps:spPr>
                      <a:xfrm>
                        <a:off x="0" y="0"/>
                        <a:ext cx="1134110" cy="172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193E2">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58</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3.6pt;width:89.3pt;mso-position-horizontal:center;mso-position-horizontal-relative:margin;mso-wrap-style:none;z-index:251659264;mso-width-relative:page;mso-height-relative:page;" filled="f" stroked="f" coordsize="21600,21600" o:gfxdata="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C1VRvTAAAABAEAAA8AAAAAAAAAAQAgAAAAIgAAAGRycy9kb3ducmV2Lnht&#10;bFBLAQIUABQAAAAIAIdO4kCbYn3XNwIAAFwEAAAOAAAAAAAAAAEAIAAAACIBAABkcnMvZTJvRG9j&#10;LnhtbFBLBQYAAAAABgAGAFkBAADLBQAAAAA=&#10;">
              <v:fill on="f" focussize="0,0"/>
              <v:stroke on="f" weight="0.5pt"/>
              <v:imagedata o:title=""/>
              <o:lock v:ext="edit" aspectratio="f"/>
              <v:textbox inset="0mm,0mm,0mm,0mm" style="mso-fit-shape-to-text:t;">
                <w:txbxContent>
                  <w:p w14:paraId="7D4193E2">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58</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F4180">
    <w:pPr>
      <w:pStyle w:val="16"/>
      <w:jc w:val="cente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34110" cy="172720"/>
              <wp:effectExtent l="0" t="0" r="0" b="0"/>
              <wp:wrapNone/>
              <wp:docPr id="145698103" name="文本框 1"/>
              <wp:cNvGraphicFramePr/>
              <a:graphic xmlns:a="http://schemas.openxmlformats.org/drawingml/2006/main">
                <a:graphicData uri="http://schemas.microsoft.com/office/word/2010/wordprocessingShape">
                  <wps:wsp>
                    <wps:cNvSpPr txBox="1"/>
                    <wps:spPr>
                      <a:xfrm>
                        <a:off x="0" y="0"/>
                        <a:ext cx="1134110" cy="172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9EF41">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57</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58</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3.6pt;width:89.3pt;mso-position-horizontal:center;mso-position-horizontal-relative:margin;mso-wrap-style:none;z-index:251660288;mso-width-relative:page;mso-height-relative:page;" filled="f" stroked="f" coordsize="21600,21600" o:gfxdata="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LVVG9MAAAAEAQAADwAAAAAAAAABACAAAAAiAAAAZHJzL2Rvd25yZXYueG1s&#10;UEsBAhQAFAAAAAgAh07iQKR+VAk2AgAAXAQAAA4AAAAAAAAAAQAgAAAAIgEAAGRycy9lMm9Eb2Mu&#10;eG1sUEsFBgAAAAAGAAYAWQEAAMoFAAAAAA==&#10;">
              <v:fill on="f" focussize="0,0"/>
              <v:stroke on="f" weight="0.5pt"/>
              <v:imagedata o:title=""/>
              <o:lock v:ext="edit" aspectratio="f"/>
              <v:textbox inset="0mm,0mm,0mm,0mm" style="mso-fit-shape-to-text:t;">
                <w:txbxContent>
                  <w:p w14:paraId="5F69EF41">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57</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58</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28ACE">
    <w:pPr>
      <w:pStyle w:val="17"/>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BC62E">
    <w:pPr>
      <w:pStyle w:val="17"/>
      <w:jc w:val="left"/>
      <w:rPr>
        <w:rFonts w:hint="eastAsia"/>
      </w:rPr>
    </w:pPr>
    <w:r>
      <w:rPr>
        <w:rFonts w:hint="eastAsia" w:asciiTheme="minorEastAsia" w:hAnsiTheme="minorEastAsia" w:eastAsiaTheme="minorEastAsia"/>
      </w:rPr>
      <w:t>安徽省政府采购项目公开招标文件示范文本（服务类）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06737"/>
    <w:rsid w:val="00012A13"/>
    <w:rsid w:val="000131F7"/>
    <w:rsid w:val="00016B6C"/>
    <w:rsid w:val="00017EC7"/>
    <w:rsid w:val="00020B57"/>
    <w:rsid w:val="00020C7B"/>
    <w:rsid w:val="0002471F"/>
    <w:rsid w:val="00033B5B"/>
    <w:rsid w:val="00037DBE"/>
    <w:rsid w:val="00042139"/>
    <w:rsid w:val="00042B14"/>
    <w:rsid w:val="00044347"/>
    <w:rsid w:val="00044F49"/>
    <w:rsid w:val="000450C3"/>
    <w:rsid w:val="00046AFF"/>
    <w:rsid w:val="00050A3F"/>
    <w:rsid w:val="000530EC"/>
    <w:rsid w:val="000544DE"/>
    <w:rsid w:val="00055926"/>
    <w:rsid w:val="000648D2"/>
    <w:rsid w:val="00070E0E"/>
    <w:rsid w:val="00076DB7"/>
    <w:rsid w:val="00080B7B"/>
    <w:rsid w:val="00080FEB"/>
    <w:rsid w:val="00081B81"/>
    <w:rsid w:val="000868D6"/>
    <w:rsid w:val="000914E3"/>
    <w:rsid w:val="000942BA"/>
    <w:rsid w:val="00094D41"/>
    <w:rsid w:val="00097CB9"/>
    <w:rsid w:val="000A3569"/>
    <w:rsid w:val="000A4640"/>
    <w:rsid w:val="000A5ED6"/>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2E8D"/>
    <w:rsid w:val="000F39B6"/>
    <w:rsid w:val="000F6B7B"/>
    <w:rsid w:val="00100B0F"/>
    <w:rsid w:val="0010187C"/>
    <w:rsid w:val="001037E3"/>
    <w:rsid w:val="00110911"/>
    <w:rsid w:val="00116A70"/>
    <w:rsid w:val="0012143A"/>
    <w:rsid w:val="001218A8"/>
    <w:rsid w:val="001222C6"/>
    <w:rsid w:val="00122FAF"/>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218"/>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4F86"/>
    <w:rsid w:val="0020520B"/>
    <w:rsid w:val="00213C55"/>
    <w:rsid w:val="002163CF"/>
    <w:rsid w:val="002168C4"/>
    <w:rsid w:val="002178B1"/>
    <w:rsid w:val="00220B7B"/>
    <w:rsid w:val="00221C4A"/>
    <w:rsid w:val="00223CF4"/>
    <w:rsid w:val="00224C4A"/>
    <w:rsid w:val="002338E2"/>
    <w:rsid w:val="0023407E"/>
    <w:rsid w:val="00240B40"/>
    <w:rsid w:val="002440D8"/>
    <w:rsid w:val="00244182"/>
    <w:rsid w:val="00246810"/>
    <w:rsid w:val="00260860"/>
    <w:rsid w:val="00260B94"/>
    <w:rsid w:val="00264F2E"/>
    <w:rsid w:val="00267E0F"/>
    <w:rsid w:val="00271245"/>
    <w:rsid w:val="00272E6E"/>
    <w:rsid w:val="00274A9E"/>
    <w:rsid w:val="00276292"/>
    <w:rsid w:val="00276BA1"/>
    <w:rsid w:val="00277094"/>
    <w:rsid w:val="00286A4A"/>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04ACE"/>
    <w:rsid w:val="00310070"/>
    <w:rsid w:val="003110EC"/>
    <w:rsid w:val="00313029"/>
    <w:rsid w:val="00324D38"/>
    <w:rsid w:val="00327960"/>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1E4E"/>
    <w:rsid w:val="00373A96"/>
    <w:rsid w:val="003826C2"/>
    <w:rsid w:val="00383230"/>
    <w:rsid w:val="00383728"/>
    <w:rsid w:val="00383B8D"/>
    <w:rsid w:val="00391586"/>
    <w:rsid w:val="00394128"/>
    <w:rsid w:val="003947A4"/>
    <w:rsid w:val="00395235"/>
    <w:rsid w:val="0039561A"/>
    <w:rsid w:val="00397C7D"/>
    <w:rsid w:val="003A004F"/>
    <w:rsid w:val="003A5AD2"/>
    <w:rsid w:val="003B4130"/>
    <w:rsid w:val="003B67D3"/>
    <w:rsid w:val="003B6C76"/>
    <w:rsid w:val="003B715B"/>
    <w:rsid w:val="003C4630"/>
    <w:rsid w:val="003D1D14"/>
    <w:rsid w:val="003D6C7C"/>
    <w:rsid w:val="003D6EFB"/>
    <w:rsid w:val="003D7E52"/>
    <w:rsid w:val="003E25C6"/>
    <w:rsid w:val="003E6BEB"/>
    <w:rsid w:val="003F145B"/>
    <w:rsid w:val="003F2122"/>
    <w:rsid w:val="003F326A"/>
    <w:rsid w:val="003F3844"/>
    <w:rsid w:val="004011AA"/>
    <w:rsid w:val="0040202C"/>
    <w:rsid w:val="00406508"/>
    <w:rsid w:val="0041456E"/>
    <w:rsid w:val="00414F7E"/>
    <w:rsid w:val="004164F8"/>
    <w:rsid w:val="004175D4"/>
    <w:rsid w:val="00417FD0"/>
    <w:rsid w:val="00420B7F"/>
    <w:rsid w:val="004234BA"/>
    <w:rsid w:val="0042488B"/>
    <w:rsid w:val="00433265"/>
    <w:rsid w:val="004427B7"/>
    <w:rsid w:val="0044349F"/>
    <w:rsid w:val="004452D4"/>
    <w:rsid w:val="00445F1F"/>
    <w:rsid w:val="00451F60"/>
    <w:rsid w:val="00451FB9"/>
    <w:rsid w:val="00452BB2"/>
    <w:rsid w:val="00453A8E"/>
    <w:rsid w:val="00455467"/>
    <w:rsid w:val="0045656D"/>
    <w:rsid w:val="00462D98"/>
    <w:rsid w:val="00472A44"/>
    <w:rsid w:val="00473A89"/>
    <w:rsid w:val="00474D3B"/>
    <w:rsid w:val="00475899"/>
    <w:rsid w:val="004802A8"/>
    <w:rsid w:val="0048161C"/>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2820"/>
    <w:rsid w:val="004E502F"/>
    <w:rsid w:val="004F0396"/>
    <w:rsid w:val="004F1C65"/>
    <w:rsid w:val="00501382"/>
    <w:rsid w:val="00503E2F"/>
    <w:rsid w:val="00504BF8"/>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61D98"/>
    <w:rsid w:val="00571315"/>
    <w:rsid w:val="00582075"/>
    <w:rsid w:val="00584A63"/>
    <w:rsid w:val="00585EB3"/>
    <w:rsid w:val="00591688"/>
    <w:rsid w:val="00592509"/>
    <w:rsid w:val="00594986"/>
    <w:rsid w:val="00597B15"/>
    <w:rsid w:val="005A044C"/>
    <w:rsid w:val="005A091C"/>
    <w:rsid w:val="005B5C95"/>
    <w:rsid w:val="005B617D"/>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2720"/>
    <w:rsid w:val="0067391A"/>
    <w:rsid w:val="00674173"/>
    <w:rsid w:val="00674602"/>
    <w:rsid w:val="0067535A"/>
    <w:rsid w:val="00683CA0"/>
    <w:rsid w:val="00686536"/>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3B93"/>
    <w:rsid w:val="00727C59"/>
    <w:rsid w:val="00734E5D"/>
    <w:rsid w:val="00735935"/>
    <w:rsid w:val="00735AF1"/>
    <w:rsid w:val="00736013"/>
    <w:rsid w:val="00737661"/>
    <w:rsid w:val="00755D75"/>
    <w:rsid w:val="00756245"/>
    <w:rsid w:val="0076130F"/>
    <w:rsid w:val="00761662"/>
    <w:rsid w:val="00764043"/>
    <w:rsid w:val="007757CF"/>
    <w:rsid w:val="00776FFC"/>
    <w:rsid w:val="0078128F"/>
    <w:rsid w:val="0078580B"/>
    <w:rsid w:val="0078683C"/>
    <w:rsid w:val="00790EDB"/>
    <w:rsid w:val="00791538"/>
    <w:rsid w:val="007918F0"/>
    <w:rsid w:val="0079326E"/>
    <w:rsid w:val="00796EDE"/>
    <w:rsid w:val="00797A02"/>
    <w:rsid w:val="007A27A9"/>
    <w:rsid w:val="007A5A58"/>
    <w:rsid w:val="007A6740"/>
    <w:rsid w:val="007B0489"/>
    <w:rsid w:val="007B1C56"/>
    <w:rsid w:val="007B4996"/>
    <w:rsid w:val="007C3CD5"/>
    <w:rsid w:val="007C61EF"/>
    <w:rsid w:val="007D1C0D"/>
    <w:rsid w:val="007D2D23"/>
    <w:rsid w:val="007D7644"/>
    <w:rsid w:val="007E27D6"/>
    <w:rsid w:val="007E3921"/>
    <w:rsid w:val="007E5DDE"/>
    <w:rsid w:val="007F1658"/>
    <w:rsid w:val="00801028"/>
    <w:rsid w:val="00802CE2"/>
    <w:rsid w:val="00803793"/>
    <w:rsid w:val="00804981"/>
    <w:rsid w:val="0080544C"/>
    <w:rsid w:val="0080643F"/>
    <w:rsid w:val="00814052"/>
    <w:rsid w:val="008149FD"/>
    <w:rsid w:val="00817A01"/>
    <w:rsid w:val="00824F21"/>
    <w:rsid w:val="0082500C"/>
    <w:rsid w:val="00825E35"/>
    <w:rsid w:val="0083261A"/>
    <w:rsid w:val="008334F8"/>
    <w:rsid w:val="008341AA"/>
    <w:rsid w:val="00835D8E"/>
    <w:rsid w:val="008372F6"/>
    <w:rsid w:val="008377CA"/>
    <w:rsid w:val="00844D03"/>
    <w:rsid w:val="00847B0F"/>
    <w:rsid w:val="00852994"/>
    <w:rsid w:val="00873D89"/>
    <w:rsid w:val="00876659"/>
    <w:rsid w:val="00876677"/>
    <w:rsid w:val="0087734C"/>
    <w:rsid w:val="00882141"/>
    <w:rsid w:val="0088683A"/>
    <w:rsid w:val="00887E3B"/>
    <w:rsid w:val="008922A8"/>
    <w:rsid w:val="00895728"/>
    <w:rsid w:val="00895BD5"/>
    <w:rsid w:val="0089742B"/>
    <w:rsid w:val="008A16C4"/>
    <w:rsid w:val="008A6FED"/>
    <w:rsid w:val="008B39C5"/>
    <w:rsid w:val="008B51AA"/>
    <w:rsid w:val="008B7932"/>
    <w:rsid w:val="008C172D"/>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3A30"/>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359A"/>
    <w:rsid w:val="009A5147"/>
    <w:rsid w:val="009A74C4"/>
    <w:rsid w:val="009B02D2"/>
    <w:rsid w:val="009B4672"/>
    <w:rsid w:val="009B6C42"/>
    <w:rsid w:val="009B7ACF"/>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14CE"/>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697"/>
    <w:rsid w:val="00AB3EFB"/>
    <w:rsid w:val="00AB5EF7"/>
    <w:rsid w:val="00AB6E63"/>
    <w:rsid w:val="00AC0B05"/>
    <w:rsid w:val="00AC763F"/>
    <w:rsid w:val="00AD079A"/>
    <w:rsid w:val="00AD1890"/>
    <w:rsid w:val="00AE2149"/>
    <w:rsid w:val="00AE33AE"/>
    <w:rsid w:val="00AE3785"/>
    <w:rsid w:val="00AE3F91"/>
    <w:rsid w:val="00AE452F"/>
    <w:rsid w:val="00AE76E6"/>
    <w:rsid w:val="00B00ACC"/>
    <w:rsid w:val="00B039E3"/>
    <w:rsid w:val="00B043C1"/>
    <w:rsid w:val="00B046CF"/>
    <w:rsid w:val="00B22838"/>
    <w:rsid w:val="00B27D52"/>
    <w:rsid w:val="00B32BC1"/>
    <w:rsid w:val="00B33E95"/>
    <w:rsid w:val="00B34EE1"/>
    <w:rsid w:val="00B35B5E"/>
    <w:rsid w:val="00B3720B"/>
    <w:rsid w:val="00B40EE3"/>
    <w:rsid w:val="00B4535A"/>
    <w:rsid w:val="00B55271"/>
    <w:rsid w:val="00B5558A"/>
    <w:rsid w:val="00B56513"/>
    <w:rsid w:val="00B56B2E"/>
    <w:rsid w:val="00B572BF"/>
    <w:rsid w:val="00B64376"/>
    <w:rsid w:val="00B71533"/>
    <w:rsid w:val="00B7401F"/>
    <w:rsid w:val="00B806C3"/>
    <w:rsid w:val="00B80ED9"/>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1D4C"/>
    <w:rsid w:val="00BD3944"/>
    <w:rsid w:val="00BF376F"/>
    <w:rsid w:val="00BF46A6"/>
    <w:rsid w:val="00BF62CF"/>
    <w:rsid w:val="00BF6B98"/>
    <w:rsid w:val="00BF73D6"/>
    <w:rsid w:val="00C051D1"/>
    <w:rsid w:val="00C06545"/>
    <w:rsid w:val="00C1161C"/>
    <w:rsid w:val="00C17F66"/>
    <w:rsid w:val="00C220FC"/>
    <w:rsid w:val="00C227E4"/>
    <w:rsid w:val="00C23C86"/>
    <w:rsid w:val="00C24DFA"/>
    <w:rsid w:val="00C314A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31D"/>
    <w:rsid w:val="00C91B28"/>
    <w:rsid w:val="00C91F3A"/>
    <w:rsid w:val="00C94A6F"/>
    <w:rsid w:val="00CA06E3"/>
    <w:rsid w:val="00CB328B"/>
    <w:rsid w:val="00CB5797"/>
    <w:rsid w:val="00CB6050"/>
    <w:rsid w:val="00CC1202"/>
    <w:rsid w:val="00CC4099"/>
    <w:rsid w:val="00CC45C1"/>
    <w:rsid w:val="00CD09E1"/>
    <w:rsid w:val="00CD5078"/>
    <w:rsid w:val="00CD5364"/>
    <w:rsid w:val="00CD6202"/>
    <w:rsid w:val="00CE2281"/>
    <w:rsid w:val="00CE2486"/>
    <w:rsid w:val="00CE4913"/>
    <w:rsid w:val="00CE66BD"/>
    <w:rsid w:val="00CF0671"/>
    <w:rsid w:val="00CF44AD"/>
    <w:rsid w:val="00CF4FC0"/>
    <w:rsid w:val="00CF7642"/>
    <w:rsid w:val="00D03909"/>
    <w:rsid w:val="00D1072F"/>
    <w:rsid w:val="00D108A5"/>
    <w:rsid w:val="00D14585"/>
    <w:rsid w:val="00D20EFF"/>
    <w:rsid w:val="00D21495"/>
    <w:rsid w:val="00D30F1B"/>
    <w:rsid w:val="00D30FC0"/>
    <w:rsid w:val="00D34F0D"/>
    <w:rsid w:val="00D3516E"/>
    <w:rsid w:val="00D4064C"/>
    <w:rsid w:val="00D47F9F"/>
    <w:rsid w:val="00D509D0"/>
    <w:rsid w:val="00D53ED8"/>
    <w:rsid w:val="00D54504"/>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01E8"/>
    <w:rsid w:val="00DB4B1C"/>
    <w:rsid w:val="00DB5085"/>
    <w:rsid w:val="00DB7706"/>
    <w:rsid w:val="00DC1062"/>
    <w:rsid w:val="00DC132C"/>
    <w:rsid w:val="00DC5B6B"/>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953"/>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2815"/>
    <w:rsid w:val="00EA49C5"/>
    <w:rsid w:val="00EB1C1C"/>
    <w:rsid w:val="00EB455F"/>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3F7"/>
    <w:rsid w:val="00FB298D"/>
    <w:rsid w:val="00FC1439"/>
    <w:rsid w:val="00FC58BE"/>
    <w:rsid w:val="00FC7225"/>
    <w:rsid w:val="00FC724B"/>
    <w:rsid w:val="00FC767C"/>
    <w:rsid w:val="00FC7910"/>
    <w:rsid w:val="00FD0834"/>
    <w:rsid w:val="00FD6EA4"/>
    <w:rsid w:val="00FD6EE5"/>
    <w:rsid w:val="00FE13AD"/>
    <w:rsid w:val="00FE348D"/>
    <w:rsid w:val="00FE51C8"/>
    <w:rsid w:val="00FE53B6"/>
    <w:rsid w:val="00FE72A6"/>
    <w:rsid w:val="00FE7A5C"/>
    <w:rsid w:val="00FF0ABF"/>
    <w:rsid w:val="00FF0DA7"/>
    <w:rsid w:val="00FF44E0"/>
    <w:rsid w:val="00FF4CB6"/>
    <w:rsid w:val="00FF5834"/>
    <w:rsid w:val="00FF6C72"/>
    <w:rsid w:val="0214602E"/>
    <w:rsid w:val="0331105F"/>
    <w:rsid w:val="03486B27"/>
    <w:rsid w:val="040A094E"/>
    <w:rsid w:val="04E36C96"/>
    <w:rsid w:val="056800F4"/>
    <w:rsid w:val="056F201D"/>
    <w:rsid w:val="05B664D4"/>
    <w:rsid w:val="06553913"/>
    <w:rsid w:val="07076C01"/>
    <w:rsid w:val="071C12AC"/>
    <w:rsid w:val="074E231E"/>
    <w:rsid w:val="07A934B3"/>
    <w:rsid w:val="08B15E54"/>
    <w:rsid w:val="0980799C"/>
    <w:rsid w:val="098350DA"/>
    <w:rsid w:val="0A0F6376"/>
    <w:rsid w:val="0A353CEA"/>
    <w:rsid w:val="0A6A18DB"/>
    <w:rsid w:val="0ADF128F"/>
    <w:rsid w:val="0AEF3828"/>
    <w:rsid w:val="0BBB665B"/>
    <w:rsid w:val="0CB7664E"/>
    <w:rsid w:val="0E816EC5"/>
    <w:rsid w:val="0EEA6FC1"/>
    <w:rsid w:val="0F954485"/>
    <w:rsid w:val="0FBF344F"/>
    <w:rsid w:val="10505F32"/>
    <w:rsid w:val="105A27E6"/>
    <w:rsid w:val="119B0711"/>
    <w:rsid w:val="119E46F0"/>
    <w:rsid w:val="11BF511D"/>
    <w:rsid w:val="12197477"/>
    <w:rsid w:val="13587E2C"/>
    <w:rsid w:val="1466407E"/>
    <w:rsid w:val="14834E28"/>
    <w:rsid w:val="148E7D65"/>
    <w:rsid w:val="151D4243"/>
    <w:rsid w:val="15231BF9"/>
    <w:rsid w:val="15C8530A"/>
    <w:rsid w:val="15EF6571"/>
    <w:rsid w:val="179F5278"/>
    <w:rsid w:val="19D01D55"/>
    <w:rsid w:val="1A3B68AA"/>
    <w:rsid w:val="1A3E1C1E"/>
    <w:rsid w:val="1C141836"/>
    <w:rsid w:val="1C6A03CB"/>
    <w:rsid w:val="1C750D73"/>
    <w:rsid w:val="1CF609AB"/>
    <w:rsid w:val="1E6B6A14"/>
    <w:rsid w:val="1F4629DA"/>
    <w:rsid w:val="20550D9A"/>
    <w:rsid w:val="21714B53"/>
    <w:rsid w:val="218E2416"/>
    <w:rsid w:val="226915FE"/>
    <w:rsid w:val="22E14C32"/>
    <w:rsid w:val="237D6BE6"/>
    <w:rsid w:val="24B97929"/>
    <w:rsid w:val="2520252D"/>
    <w:rsid w:val="26163BC1"/>
    <w:rsid w:val="27AA07FB"/>
    <w:rsid w:val="285F40CA"/>
    <w:rsid w:val="28C01ECB"/>
    <w:rsid w:val="28EC3ECC"/>
    <w:rsid w:val="29BF71E3"/>
    <w:rsid w:val="2A127B63"/>
    <w:rsid w:val="2A404D9F"/>
    <w:rsid w:val="2AAA4765"/>
    <w:rsid w:val="2AC21606"/>
    <w:rsid w:val="2AF63C5E"/>
    <w:rsid w:val="2B7E7608"/>
    <w:rsid w:val="2B7F04E9"/>
    <w:rsid w:val="2C305555"/>
    <w:rsid w:val="2C775B5A"/>
    <w:rsid w:val="2C9A21B9"/>
    <w:rsid w:val="2CE20523"/>
    <w:rsid w:val="2D2F0F51"/>
    <w:rsid w:val="2D496D68"/>
    <w:rsid w:val="2E6672CB"/>
    <w:rsid w:val="2E7A48DE"/>
    <w:rsid w:val="2EDC3ED8"/>
    <w:rsid w:val="2F2D046C"/>
    <w:rsid w:val="2F6351B4"/>
    <w:rsid w:val="2FCF199E"/>
    <w:rsid w:val="30483E83"/>
    <w:rsid w:val="30AA0E97"/>
    <w:rsid w:val="312D1C4B"/>
    <w:rsid w:val="334E4CD8"/>
    <w:rsid w:val="337C47C4"/>
    <w:rsid w:val="343C0775"/>
    <w:rsid w:val="34AA76A9"/>
    <w:rsid w:val="356C50EC"/>
    <w:rsid w:val="361108CD"/>
    <w:rsid w:val="3700166C"/>
    <w:rsid w:val="3727617F"/>
    <w:rsid w:val="375969FE"/>
    <w:rsid w:val="38694EE9"/>
    <w:rsid w:val="3871022F"/>
    <w:rsid w:val="38D34E86"/>
    <w:rsid w:val="3A68171C"/>
    <w:rsid w:val="3B365CC9"/>
    <w:rsid w:val="3B3E7758"/>
    <w:rsid w:val="3B9A7B88"/>
    <w:rsid w:val="3BC114FF"/>
    <w:rsid w:val="3C2660C6"/>
    <w:rsid w:val="3C613714"/>
    <w:rsid w:val="3C8F37BA"/>
    <w:rsid w:val="3D2C7AC8"/>
    <w:rsid w:val="3D855D12"/>
    <w:rsid w:val="3D8B42FF"/>
    <w:rsid w:val="3D8C02DD"/>
    <w:rsid w:val="3DC20089"/>
    <w:rsid w:val="3DF36A6E"/>
    <w:rsid w:val="3F1138E1"/>
    <w:rsid w:val="3F792F1E"/>
    <w:rsid w:val="3F8963BB"/>
    <w:rsid w:val="40824826"/>
    <w:rsid w:val="40E63923"/>
    <w:rsid w:val="42B443F4"/>
    <w:rsid w:val="42F43FD4"/>
    <w:rsid w:val="43816B22"/>
    <w:rsid w:val="43A91E5B"/>
    <w:rsid w:val="448259B3"/>
    <w:rsid w:val="44BC3308"/>
    <w:rsid w:val="45321187"/>
    <w:rsid w:val="45BA48DB"/>
    <w:rsid w:val="463A3650"/>
    <w:rsid w:val="469F0116"/>
    <w:rsid w:val="475259B7"/>
    <w:rsid w:val="48831CF9"/>
    <w:rsid w:val="48C75112"/>
    <w:rsid w:val="49A165B8"/>
    <w:rsid w:val="49B1408D"/>
    <w:rsid w:val="4A7D4FD2"/>
    <w:rsid w:val="4A913C9A"/>
    <w:rsid w:val="4AE22D2F"/>
    <w:rsid w:val="4B1F70AC"/>
    <w:rsid w:val="4B240F94"/>
    <w:rsid w:val="4B386AE5"/>
    <w:rsid w:val="4BA75287"/>
    <w:rsid w:val="4BED70D6"/>
    <w:rsid w:val="4C3C565C"/>
    <w:rsid w:val="4CCC79C7"/>
    <w:rsid w:val="4D7555C7"/>
    <w:rsid w:val="4EAE6DA0"/>
    <w:rsid w:val="4FD037EF"/>
    <w:rsid w:val="5016514B"/>
    <w:rsid w:val="502857C7"/>
    <w:rsid w:val="50476D3D"/>
    <w:rsid w:val="51CB1C78"/>
    <w:rsid w:val="51FD6A51"/>
    <w:rsid w:val="526B680A"/>
    <w:rsid w:val="52C90BE7"/>
    <w:rsid w:val="53150D15"/>
    <w:rsid w:val="5352083E"/>
    <w:rsid w:val="541A5D30"/>
    <w:rsid w:val="553E632F"/>
    <w:rsid w:val="558B58CC"/>
    <w:rsid w:val="55F068CD"/>
    <w:rsid w:val="566C3136"/>
    <w:rsid w:val="568D04F2"/>
    <w:rsid w:val="57EC43DE"/>
    <w:rsid w:val="588D6DD7"/>
    <w:rsid w:val="59373F88"/>
    <w:rsid w:val="5A526582"/>
    <w:rsid w:val="5A5F5C77"/>
    <w:rsid w:val="5BBE39CD"/>
    <w:rsid w:val="5BC11A60"/>
    <w:rsid w:val="5C430AD1"/>
    <w:rsid w:val="5C7A4D54"/>
    <w:rsid w:val="5CD23B73"/>
    <w:rsid w:val="5E3922A0"/>
    <w:rsid w:val="5E4E601D"/>
    <w:rsid w:val="5EA048F9"/>
    <w:rsid w:val="5F127819"/>
    <w:rsid w:val="5F132C0B"/>
    <w:rsid w:val="5F63752A"/>
    <w:rsid w:val="60C54546"/>
    <w:rsid w:val="60F1503F"/>
    <w:rsid w:val="61025188"/>
    <w:rsid w:val="61057D5F"/>
    <w:rsid w:val="61467164"/>
    <w:rsid w:val="614D4977"/>
    <w:rsid w:val="62541FFF"/>
    <w:rsid w:val="63C60FC0"/>
    <w:rsid w:val="64BA3D7A"/>
    <w:rsid w:val="64F179BC"/>
    <w:rsid w:val="65517318"/>
    <w:rsid w:val="65C94C55"/>
    <w:rsid w:val="665704D3"/>
    <w:rsid w:val="673148E2"/>
    <w:rsid w:val="675445CD"/>
    <w:rsid w:val="67C065A4"/>
    <w:rsid w:val="67D359C9"/>
    <w:rsid w:val="688779DF"/>
    <w:rsid w:val="68FE36DD"/>
    <w:rsid w:val="694E60FC"/>
    <w:rsid w:val="69EF4042"/>
    <w:rsid w:val="69FA5E67"/>
    <w:rsid w:val="6C410A63"/>
    <w:rsid w:val="6C675CE6"/>
    <w:rsid w:val="6CEF22A4"/>
    <w:rsid w:val="6CEF35AF"/>
    <w:rsid w:val="6D4F4321"/>
    <w:rsid w:val="6D6261FE"/>
    <w:rsid w:val="6DFF7360"/>
    <w:rsid w:val="6E600263"/>
    <w:rsid w:val="6E7A5F73"/>
    <w:rsid w:val="6F2E3798"/>
    <w:rsid w:val="6FA37B33"/>
    <w:rsid w:val="6FD74228"/>
    <w:rsid w:val="70FE5EDF"/>
    <w:rsid w:val="71633091"/>
    <w:rsid w:val="72DA5AD3"/>
    <w:rsid w:val="73081CA5"/>
    <w:rsid w:val="74545B7C"/>
    <w:rsid w:val="7487762D"/>
    <w:rsid w:val="751C25E9"/>
    <w:rsid w:val="75385498"/>
    <w:rsid w:val="75CF3565"/>
    <w:rsid w:val="769962BD"/>
    <w:rsid w:val="76BC207F"/>
    <w:rsid w:val="76EB4904"/>
    <w:rsid w:val="76F3060A"/>
    <w:rsid w:val="777378F5"/>
    <w:rsid w:val="777A2D3C"/>
    <w:rsid w:val="778D712D"/>
    <w:rsid w:val="78537BEA"/>
    <w:rsid w:val="79074B81"/>
    <w:rsid w:val="794F0939"/>
    <w:rsid w:val="799F60E4"/>
    <w:rsid w:val="79AF0FCA"/>
    <w:rsid w:val="79EF2560"/>
    <w:rsid w:val="7A0B48B7"/>
    <w:rsid w:val="7AF9279C"/>
    <w:rsid w:val="7CC51958"/>
    <w:rsid w:val="7CEC40B6"/>
    <w:rsid w:val="7E2936C3"/>
    <w:rsid w:val="7E2E365C"/>
    <w:rsid w:val="7E6411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5"/>
    <w:autoRedefine/>
    <w:qFormat/>
    <w:uiPriority w:val="0"/>
    <w:pPr>
      <w:keepNext/>
      <w:keepLines/>
      <w:spacing w:before="280" w:after="290" w:line="376" w:lineRule="auto"/>
      <w:outlineLvl w:val="3"/>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Document Map"/>
    <w:basedOn w:val="1"/>
    <w:link w:val="63"/>
    <w:semiHidden/>
    <w:unhideWhenUsed/>
    <w:qFormat/>
    <w:uiPriority w:val="99"/>
    <w:rPr>
      <w:rFonts w:ascii="宋体" w:eastAsia="宋体"/>
      <w:sz w:val="18"/>
      <w:szCs w:val="18"/>
    </w:rPr>
  </w:style>
  <w:style w:type="paragraph" w:styleId="8">
    <w:name w:val="annotation text"/>
    <w:basedOn w:val="1"/>
    <w:link w:val="47"/>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unhideWhenUsed/>
    <w:qFormat/>
    <w:uiPriority w:val="99"/>
    <w:pPr>
      <w:ind w:firstLine="645"/>
    </w:pPr>
    <w:rPr>
      <w:rFonts w:ascii="楷体_GB2312" w:eastAsia="楷体_GB2312"/>
      <w:sz w:val="32"/>
    </w:rPr>
  </w:style>
  <w:style w:type="paragraph" w:styleId="11">
    <w:name w:val="envelope return"/>
    <w:basedOn w:val="1"/>
    <w:qFormat/>
    <w:uiPriority w:val="99"/>
    <w:pPr>
      <w:snapToGrid w:val="0"/>
    </w:pPr>
    <w:rPr>
      <w:rFonts w:ascii="Arial" w:hAnsi="Arial" w:cs="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37"/>
    <w:autoRedefine/>
    <w:qFormat/>
    <w:uiPriority w:val="99"/>
    <w:rPr>
      <w:rFonts w:ascii="宋体" w:hAnsi="Courier New" w:eastAsiaTheme="minorEastAsia" w:cstheme="minorBidi"/>
      <w:szCs w:val="22"/>
    </w:rPr>
  </w:style>
  <w:style w:type="paragraph" w:styleId="14">
    <w:name w:val="Date"/>
    <w:basedOn w:val="1"/>
    <w:next w:val="1"/>
    <w:link w:val="44"/>
    <w:autoRedefine/>
    <w:qFormat/>
    <w:uiPriority w:val="0"/>
    <w:rPr>
      <w:rFonts w:ascii="Arial" w:hAnsi="Arial" w:eastAsia="宋体" w:cs="Arial"/>
      <w:b/>
      <w:sz w:val="28"/>
    </w:rPr>
  </w:style>
  <w:style w:type="paragraph" w:styleId="15">
    <w:name w:val="Balloon Text"/>
    <w:basedOn w:val="1"/>
    <w:link w:val="31"/>
    <w:autoRedefine/>
    <w:semiHidden/>
    <w:unhideWhenUsed/>
    <w:qFormat/>
    <w:uiPriority w:val="99"/>
    <w:rPr>
      <w:sz w:val="18"/>
      <w:szCs w:val="18"/>
    </w:rPr>
  </w:style>
  <w:style w:type="paragraph" w:styleId="16">
    <w:name w:val="footer"/>
    <w:basedOn w:val="1"/>
    <w:link w:val="36"/>
    <w:autoRedefine/>
    <w:unhideWhenUsed/>
    <w:qFormat/>
    <w:uiPriority w:val="99"/>
    <w:pPr>
      <w:tabs>
        <w:tab w:val="center" w:pos="4153"/>
        <w:tab w:val="right" w:pos="8306"/>
      </w:tabs>
      <w:snapToGrid w:val="0"/>
      <w:jc w:val="left"/>
    </w:pPr>
    <w:rPr>
      <w:sz w:val="18"/>
      <w:szCs w:val="18"/>
    </w:rPr>
  </w:style>
  <w:style w:type="paragraph" w:styleId="17">
    <w:name w:val="header"/>
    <w:basedOn w:val="1"/>
    <w:link w:val="3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autoRedefine/>
    <w:qFormat/>
    <w:uiPriority w:val="0"/>
    <w:pPr>
      <w:spacing w:before="100" w:beforeAutospacing="1" w:after="100" w:afterAutospacing="1"/>
      <w:jc w:val="left"/>
    </w:pPr>
    <w:rPr>
      <w:rFonts w:cs="Times New Roman"/>
      <w:kern w:val="0"/>
      <w:sz w:val="24"/>
    </w:rPr>
  </w:style>
  <w:style w:type="paragraph" w:styleId="21">
    <w:name w:val="index 1"/>
    <w:basedOn w:val="1"/>
    <w:next w:val="1"/>
    <w:autoRedefine/>
    <w:qFormat/>
    <w:uiPriority w:val="0"/>
    <w:pPr>
      <w:jc w:val="center"/>
    </w:pPr>
    <w:rPr>
      <w:rFonts w:ascii="Arial" w:hAnsi="Arial" w:eastAsia="Arial" w:cs="Arial"/>
      <w:b/>
      <w:bCs/>
      <w:sz w:val="28"/>
    </w:rPr>
  </w:style>
  <w:style w:type="paragraph" w:styleId="22">
    <w:name w:val="annotation subject"/>
    <w:basedOn w:val="8"/>
    <w:next w:val="8"/>
    <w:link w:val="58"/>
    <w:autoRedefine/>
    <w:semiHidden/>
    <w:unhideWhenUsed/>
    <w:qFormat/>
    <w:uiPriority w:val="99"/>
    <w:rPr>
      <w:rFonts w:ascii="@仿宋_GB2312" w:hAnsi="@仿宋_GB2312" w:eastAsia="@仿宋_GB2312" w:cs="@仿宋_GB2312"/>
      <w:b/>
      <w:bCs/>
    </w:rPr>
  </w:style>
  <w:style w:type="paragraph" w:styleId="23">
    <w:name w:val="Body Text First Indent"/>
    <w:basedOn w:val="9"/>
    <w:autoRedefine/>
    <w:unhideWhenUsed/>
    <w:qFormat/>
    <w:uiPriority w:val="99"/>
    <w:pPr>
      <w:ind w:firstLine="420" w:firstLineChars="100"/>
    </w:pPr>
  </w:style>
  <w:style w:type="paragraph" w:styleId="24">
    <w:name w:val="Body Text First Indent 2"/>
    <w:basedOn w:val="10"/>
    <w:next w:val="23"/>
    <w:unhideWhenUsed/>
    <w:qFormat/>
    <w:uiPriority w:val="99"/>
    <w:pPr>
      <w:ind w:left="420" w:firstLine="420" w:firstLineChars="200"/>
    </w:pPr>
    <w:rPr>
      <w:rFonts w:ascii="Times New Roman" w:cs="Times New Roman"/>
    </w:rPr>
  </w:style>
  <w:style w:type="table" w:styleId="26">
    <w:name w:val="Table Grid"/>
    <w:basedOn w:val="2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b/>
      <w:bCs/>
    </w:rPr>
  </w:style>
  <w:style w:type="character" w:styleId="29">
    <w:name w:val="Hyperlink"/>
    <w:basedOn w:val="27"/>
    <w:autoRedefine/>
    <w:unhideWhenUsed/>
    <w:qFormat/>
    <w:uiPriority w:val="99"/>
    <w:rPr>
      <w:color w:val="0000FF" w:themeColor="hyperlink"/>
      <w:u w:val="single"/>
      <w14:textFill>
        <w14:solidFill>
          <w14:schemeClr w14:val="hlink"/>
        </w14:solidFill>
      </w14:textFill>
    </w:rPr>
  </w:style>
  <w:style w:type="character" w:styleId="30">
    <w:name w:val="annotation reference"/>
    <w:basedOn w:val="27"/>
    <w:autoRedefine/>
    <w:semiHidden/>
    <w:unhideWhenUsed/>
    <w:qFormat/>
    <w:uiPriority w:val="99"/>
    <w:rPr>
      <w:sz w:val="21"/>
      <w:szCs w:val="21"/>
    </w:rPr>
  </w:style>
  <w:style w:type="character" w:customStyle="1" w:styleId="31">
    <w:name w:val="批注框文本 字符"/>
    <w:basedOn w:val="27"/>
    <w:link w:val="15"/>
    <w:autoRedefine/>
    <w:semiHidden/>
    <w:qFormat/>
    <w:uiPriority w:val="99"/>
    <w:rPr>
      <w:rFonts w:ascii="@仿宋_GB2312" w:hAnsi="@仿宋_GB2312" w:eastAsia="@仿宋_GB2312" w:cs="@仿宋_GB2312"/>
      <w:sz w:val="18"/>
      <w:szCs w:val="18"/>
    </w:rPr>
  </w:style>
  <w:style w:type="paragraph" w:customStyle="1" w:styleId="3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5">
    <w:name w:val="页眉 字符"/>
    <w:basedOn w:val="27"/>
    <w:link w:val="17"/>
    <w:autoRedefine/>
    <w:qFormat/>
    <w:uiPriority w:val="99"/>
    <w:rPr>
      <w:rFonts w:ascii="@仿宋_GB2312" w:hAnsi="@仿宋_GB2312" w:eastAsia="@仿宋_GB2312" w:cs="@仿宋_GB2312"/>
      <w:sz w:val="18"/>
      <w:szCs w:val="18"/>
    </w:rPr>
  </w:style>
  <w:style w:type="character" w:customStyle="1" w:styleId="36">
    <w:name w:val="页脚 字符"/>
    <w:basedOn w:val="27"/>
    <w:link w:val="16"/>
    <w:autoRedefine/>
    <w:qFormat/>
    <w:uiPriority w:val="99"/>
    <w:rPr>
      <w:rFonts w:ascii="@仿宋_GB2312" w:hAnsi="@仿宋_GB2312" w:eastAsia="@仿宋_GB2312" w:cs="@仿宋_GB2312"/>
      <w:sz w:val="18"/>
      <w:szCs w:val="18"/>
    </w:rPr>
  </w:style>
  <w:style w:type="character" w:customStyle="1" w:styleId="37">
    <w:name w:val="纯文本 字符"/>
    <w:link w:val="13"/>
    <w:autoRedefine/>
    <w:qFormat/>
    <w:uiPriority w:val="0"/>
    <w:rPr>
      <w:rFonts w:ascii="宋体" w:hAnsi="Courier New"/>
    </w:rPr>
  </w:style>
  <w:style w:type="character" w:customStyle="1" w:styleId="38">
    <w:name w:val="纯文本 字符1"/>
    <w:basedOn w:val="27"/>
    <w:autoRedefine/>
    <w:semiHidden/>
    <w:qFormat/>
    <w:uiPriority w:val="99"/>
    <w:rPr>
      <w:rFonts w:hAnsi="Courier New" w:cs="Courier New" w:asciiTheme="minorEastAsia"/>
      <w:szCs w:val="20"/>
    </w:rPr>
  </w:style>
  <w:style w:type="character" w:customStyle="1" w:styleId="39">
    <w:name w:val="未处理的提及1"/>
    <w:basedOn w:val="27"/>
    <w:autoRedefine/>
    <w:semiHidden/>
    <w:unhideWhenUsed/>
    <w:qFormat/>
    <w:uiPriority w:val="99"/>
    <w:rPr>
      <w:color w:val="605E5C"/>
      <w:shd w:val="clear" w:color="auto" w:fill="E1DFDD"/>
    </w:rPr>
  </w:style>
  <w:style w:type="paragraph" w:styleId="40">
    <w:name w:val="List Paragraph"/>
    <w:basedOn w:val="1"/>
    <w:autoRedefine/>
    <w:qFormat/>
    <w:uiPriority w:val="34"/>
    <w:pPr>
      <w:ind w:firstLine="420" w:firstLineChars="200"/>
    </w:pPr>
  </w:style>
  <w:style w:type="paragraph" w:customStyle="1" w:styleId="41">
    <w:name w:val="Char Char Char Char Char Char Char1 Char"/>
    <w:basedOn w:val="1"/>
    <w:autoRedefine/>
    <w:qFormat/>
    <w:uiPriority w:val="0"/>
    <w:rPr>
      <w:rFonts w:ascii="Arial" w:hAnsi="Arial" w:eastAsia="宋体" w:cs="Arial"/>
      <w:sz w:val="24"/>
    </w:rPr>
  </w:style>
  <w:style w:type="table" w:customStyle="1" w:styleId="42">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3">
    <w:name w:val="日期 字符"/>
    <w:basedOn w:val="27"/>
    <w:autoRedefine/>
    <w:semiHidden/>
    <w:qFormat/>
    <w:uiPriority w:val="99"/>
    <w:rPr>
      <w:rFonts w:ascii="@仿宋_GB2312" w:hAnsi="@仿宋_GB2312" w:eastAsia="@仿宋_GB2312" w:cs="@仿宋_GB2312"/>
      <w:szCs w:val="20"/>
    </w:rPr>
  </w:style>
  <w:style w:type="character" w:customStyle="1" w:styleId="44">
    <w:name w:val="日期 字符1"/>
    <w:link w:val="14"/>
    <w:autoRedefine/>
    <w:qFormat/>
    <w:uiPriority w:val="0"/>
    <w:rPr>
      <w:rFonts w:ascii="Arial" w:hAnsi="Arial" w:eastAsia="宋体" w:cs="Arial"/>
      <w:b/>
      <w:sz w:val="28"/>
      <w:szCs w:val="20"/>
    </w:rPr>
  </w:style>
  <w:style w:type="character" w:customStyle="1" w:styleId="45">
    <w:name w:val="纯文本 Char1"/>
    <w:autoRedefine/>
    <w:qFormat/>
    <w:locked/>
    <w:uiPriority w:val="99"/>
    <w:rPr>
      <w:rFonts w:ascii="Arial" w:hAnsi="Arial" w:eastAsia="Arial"/>
      <w:kern w:val="2"/>
      <w:sz w:val="21"/>
      <w:lang w:val="en-US" w:eastAsia="zh-CN" w:bidi="ar-SA"/>
    </w:rPr>
  </w:style>
  <w:style w:type="character" w:customStyle="1" w:styleId="46">
    <w:name w:val="批注文字 Char"/>
    <w:basedOn w:val="27"/>
    <w:autoRedefine/>
    <w:semiHidden/>
    <w:qFormat/>
    <w:uiPriority w:val="99"/>
    <w:rPr>
      <w:rFonts w:ascii="@仿宋_GB2312" w:hAnsi="@仿宋_GB2312" w:eastAsia="@仿宋_GB2312" w:cs="@仿宋_GB2312"/>
      <w:szCs w:val="20"/>
    </w:rPr>
  </w:style>
  <w:style w:type="character" w:customStyle="1" w:styleId="47">
    <w:name w:val="批注文字 字符"/>
    <w:link w:val="8"/>
    <w:autoRedefine/>
    <w:qFormat/>
    <w:uiPriority w:val="0"/>
    <w:rPr>
      <w:rFonts w:ascii="Arial" w:hAnsi="Arial" w:eastAsia="黑体" w:cs="Arial"/>
      <w:szCs w:val="20"/>
    </w:rPr>
  </w:style>
  <w:style w:type="character" w:customStyle="1" w:styleId="48">
    <w:name w:val="标题 1 字符"/>
    <w:basedOn w:val="27"/>
    <w:link w:val="2"/>
    <w:autoRedefine/>
    <w:qFormat/>
    <w:uiPriority w:val="9"/>
    <w:rPr>
      <w:rFonts w:ascii="@仿宋_GB2312" w:hAnsi="@仿宋_GB2312" w:eastAsia="@仿宋_GB2312" w:cs="@仿宋_GB2312"/>
      <w:b/>
      <w:bCs/>
      <w:kern w:val="44"/>
      <w:sz w:val="44"/>
      <w:szCs w:val="44"/>
    </w:rPr>
  </w:style>
  <w:style w:type="paragraph" w:customStyle="1" w:styleId="4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0">
    <w:name w:val="标题 3 字符"/>
    <w:basedOn w:val="27"/>
    <w:link w:val="4"/>
    <w:autoRedefine/>
    <w:semiHidden/>
    <w:qFormat/>
    <w:uiPriority w:val="9"/>
    <w:rPr>
      <w:rFonts w:ascii="@仿宋_GB2312" w:hAnsi="@仿宋_GB2312" w:eastAsia="@仿宋_GB2312" w:cs="@仿宋_GB2312"/>
      <w:b/>
      <w:bCs/>
      <w:sz w:val="32"/>
      <w:szCs w:val="32"/>
    </w:rPr>
  </w:style>
  <w:style w:type="character" w:customStyle="1" w:styleId="51">
    <w:name w:val="fontstyle01"/>
    <w:basedOn w:val="27"/>
    <w:autoRedefine/>
    <w:qFormat/>
    <w:uiPriority w:val="0"/>
    <w:rPr>
      <w:rFonts w:hint="eastAsia" w:ascii="宋体" w:hAnsi="宋体" w:eastAsia="宋体"/>
      <w:color w:val="000000"/>
      <w:sz w:val="22"/>
      <w:szCs w:val="22"/>
    </w:rPr>
  </w:style>
  <w:style w:type="character" w:customStyle="1" w:styleId="52">
    <w:name w:val="fontstyle21"/>
    <w:basedOn w:val="27"/>
    <w:autoRedefine/>
    <w:qFormat/>
    <w:uiPriority w:val="0"/>
    <w:rPr>
      <w:rFonts w:hint="default" w:ascii="TimesNewRomanPSMT" w:hAnsi="TimesNewRomanPSMT"/>
      <w:color w:val="000000"/>
      <w:sz w:val="22"/>
      <w:szCs w:val="22"/>
    </w:rPr>
  </w:style>
  <w:style w:type="character" w:customStyle="1" w:styleId="5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4">
    <w:name w:val="标题 4 字符"/>
    <w:basedOn w:val="27"/>
    <w:autoRedefine/>
    <w:semiHidden/>
    <w:qFormat/>
    <w:uiPriority w:val="9"/>
    <w:rPr>
      <w:rFonts w:asciiTheme="majorHAnsi" w:hAnsiTheme="majorHAnsi" w:eastAsiaTheme="majorEastAsia" w:cstheme="majorBidi"/>
      <w:b/>
      <w:bCs/>
      <w:sz w:val="28"/>
      <w:szCs w:val="28"/>
    </w:rPr>
  </w:style>
  <w:style w:type="character" w:customStyle="1" w:styleId="55">
    <w:name w:val="标题 4 字符1"/>
    <w:link w:val="5"/>
    <w:autoRedefine/>
    <w:qFormat/>
    <w:uiPriority w:val="0"/>
    <w:rPr>
      <w:rFonts w:ascii="@仿宋_GB2312" w:hAnsi="@仿宋_GB2312" w:eastAsia="@仿宋_GB2312" w:cs="@仿宋_GB2312"/>
      <w:b/>
      <w:bCs/>
      <w:sz w:val="28"/>
      <w:szCs w:val="28"/>
    </w:rPr>
  </w:style>
  <w:style w:type="character" w:customStyle="1" w:styleId="56">
    <w:name w:val="标题 4 Char"/>
    <w:autoRedefine/>
    <w:qFormat/>
    <w:uiPriority w:val="0"/>
    <w:rPr>
      <w:rFonts w:ascii="Arial" w:hAnsi="Arial" w:eastAsia="Arial"/>
      <w:b/>
      <w:bCs/>
      <w:kern w:val="2"/>
      <w:sz w:val="28"/>
      <w:szCs w:val="28"/>
      <w:lang w:val="en-US" w:eastAsia="zh-CN" w:bidi="ar-SA"/>
    </w:rPr>
  </w:style>
  <w:style w:type="table" w:customStyle="1" w:styleId="57">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
    <w:name w:val="批注主题 字符"/>
    <w:basedOn w:val="47"/>
    <w:link w:val="22"/>
    <w:autoRedefine/>
    <w:semiHidden/>
    <w:qFormat/>
    <w:uiPriority w:val="99"/>
    <w:rPr>
      <w:rFonts w:ascii="@仿宋_GB2312" w:hAnsi="@仿宋_GB2312" w:eastAsia="@仿宋_GB2312" w:cs="@仿宋_GB2312"/>
      <w:b/>
      <w:bCs/>
      <w:szCs w:val="20"/>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Table Text"/>
    <w:basedOn w:val="1"/>
    <w:autoRedefine/>
    <w:semiHidden/>
    <w:qFormat/>
    <w:uiPriority w:val="0"/>
    <w:rPr>
      <w:rFonts w:ascii="Arial" w:hAnsi="Arial" w:eastAsia="Arial" w:cs="Arial"/>
      <w:szCs w:val="21"/>
      <w:lang w:eastAsia="en-US"/>
    </w:rPr>
  </w:style>
  <w:style w:type="paragraph" w:customStyle="1" w:styleId="61">
    <w:name w:val="首行缩进"/>
    <w:basedOn w:val="1"/>
    <w:qFormat/>
    <w:uiPriority w:val="0"/>
    <w:pPr>
      <w:spacing w:line="360" w:lineRule="auto"/>
      <w:ind w:firstLine="480"/>
      <w:jc w:val="left"/>
    </w:pPr>
    <w:rPr>
      <w:rFonts w:ascii="宋体" w:hAnsi="宋体"/>
      <w:sz w:val="24"/>
    </w:rPr>
  </w:style>
  <w:style w:type="paragraph" w:customStyle="1" w:styleId="62">
    <w:name w:val="修订1"/>
    <w:hidden/>
    <w:semiHidden/>
    <w:qFormat/>
    <w:uiPriority w:val="99"/>
    <w:rPr>
      <w:rFonts w:ascii="@仿宋_GB2312" w:hAnsi="@仿宋_GB2312" w:eastAsia="@仿宋_GB2312" w:cs="@仿宋_GB2312"/>
      <w:kern w:val="2"/>
      <w:sz w:val="21"/>
      <w:lang w:val="en-US" w:eastAsia="zh-CN" w:bidi="ar-SA"/>
    </w:rPr>
  </w:style>
  <w:style w:type="character" w:customStyle="1" w:styleId="63">
    <w:name w:val="文档结构图 字符"/>
    <w:basedOn w:val="27"/>
    <w:link w:val="7"/>
    <w:semiHidden/>
    <w:qFormat/>
    <w:uiPriority w:val="99"/>
    <w:rPr>
      <w:rFonts w:ascii="宋体" w:hAnsi="@仿宋_GB2312" w:cs="@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E24CDA-C386-4FE3-9CD6-4CB87723C634}">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58</Pages>
  <Words>1606</Words>
  <Characters>1851</Characters>
  <Lines>221</Lines>
  <Paragraphs>62</Paragraphs>
  <TotalTime>30</TotalTime>
  <ScaleCrop>false</ScaleCrop>
  <LinksUpToDate>false</LinksUpToDate>
  <CharactersWithSpaces>1906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2025-10-28T13:54:00Z</dcterms:created>
  <dc:creator>Anakin</dc:creator>
  <cp:lastModifiedBy>下雨的天空</cp:lastModifiedBy>
  <cp:lastPrinted>2019-12-07T15:18:00Z</cp:lastPrinted>
  <dcterms:modified xsi:type="dcterms:W3CDTF">2025-11-11T09:39:58Z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FF920D6DF0104A7184D1EF4C1BAA9FED_13</vt:lpwstr>
  </property>
  <property fmtid="{D5CDD505-2E9C-101B-9397-08002B2CF9AE}" pid="4" name="KSOTemplateDocerSaveRecord">
    <vt:lpwstr>eyJoZGlkIjoiNGVjMTVmYTdjM2IyZTNhYzM3NzgwMDZmODZkNzRiZTMiLCJ1c2VySWQiOiIxNTEwNzQ0NTU4In0=</vt:lpwstr>
  </property>
</Properties>
</file>