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3BFF67">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52"/>
          <w:szCs w:val="52"/>
          <w:highlight w:val="none"/>
        </w:rPr>
      </w:pPr>
      <w:bookmarkStart w:id="92" w:name="_GoBack"/>
    </w:p>
    <w:p w14:paraId="27BBAF60">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52"/>
          <w:szCs w:val="52"/>
          <w:highlight w:val="none"/>
        </w:rPr>
      </w:pPr>
    </w:p>
    <w:p w14:paraId="63B16B50">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52"/>
          <w:szCs w:val="52"/>
          <w:highlight w:val="none"/>
          <w:lang w:val="en-US" w:eastAsia="zh-CN"/>
        </w:rPr>
      </w:pPr>
      <w:bookmarkStart w:id="0" w:name="_Hlk9544796"/>
      <w:r>
        <w:rPr>
          <w:rFonts w:hint="eastAsia" w:ascii="宋体" w:hAnsi="宋体" w:eastAsia="宋体" w:cs="宋体"/>
          <w:b/>
          <w:bCs/>
          <w:color w:val="auto"/>
          <w:sz w:val="52"/>
          <w:szCs w:val="52"/>
          <w:highlight w:val="none"/>
          <w:lang w:val="en-US" w:eastAsia="zh-CN"/>
        </w:rPr>
        <w:t>安徽省</w:t>
      </w:r>
      <w:r>
        <w:rPr>
          <w:rFonts w:hint="eastAsia" w:ascii="宋体" w:hAnsi="宋体" w:eastAsia="宋体" w:cs="宋体"/>
          <w:b/>
          <w:bCs/>
          <w:color w:val="auto"/>
          <w:sz w:val="52"/>
          <w:szCs w:val="52"/>
          <w:highlight w:val="none"/>
        </w:rPr>
        <w:t>政府采购</w:t>
      </w:r>
      <w:r>
        <w:rPr>
          <w:rFonts w:hint="eastAsia" w:ascii="宋体" w:hAnsi="宋体" w:eastAsia="宋体" w:cs="宋体"/>
          <w:b/>
          <w:bCs/>
          <w:color w:val="auto"/>
          <w:sz w:val="52"/>
          <w:szCs w:val="52"/>
          <w:highlight w:val="none"/>
          <w:lang w:eastAsia="zh-CN"/>
        </w:rPr>
        <w:t>项目</w:t>
      </w:r>
    </w:p>
    <w:p w14:paraId="0B182445">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52"/>
          <w:szCs w:val="52"/>
          <w:highlight w:val="none"/>
          <w:lang w:eastAsia="zh-CN"/>
        </w:rPr>
      </w:pPr>
      <w:r>
        <w:rPr>
          <w:rFonts w:hint="eastAsia" w:ascii="宋体" w:hAnsi="宋体" w:eastAsia="宋体" w:cs="宋体"/>
          <w:b/>
          <w:bCs/>
          <w:color w:val="auto"/>
          <w:sz w:val="52"/>
          <w:szCs w:val="52"/>
          <w:highlight w:val="none"/>
        </w:rPr>
        <w:t>公开招标文件示范文本</w:t>
      </w:r>
      <w:bookmarkEnd w:id="0"/>
      <w:r>
        <w:rPr>
          <w:rFonts w:hint="eastAsia" w:ascii="宋体" w:hAnsi="宋体" w:eastAsia="宋体" w:cs="宋体"/>
          <w:b/>
          <w:bCs/>
          <w:color w:val="auto"/>
          <w:sz w:val="52"/>
          <w:szCs w:val="52"/>
          <w:highlight w:val="none"/>
          <w:lang w:eastAsia="zh-CN"/>
        </w:rPr>
        <w:t>（</w:t>
      </w:r>
      <w:r>
        <w:rPr>
          <w:rFonts w:hint="eastAsia" w:ascii="宋体" w:hAnsi="宋体" w:eastAsia="宋体" w:cs="宋体"/>
          <w:b/>
          <w:bCs/>
          <w:color w:val="auto"/>
          <w:sz w:val="52"/>
          <w:szCs w:val="52"/>
          <w:highlight w:val="none"/>
          <w:lang w:val="en-US" w:eastAsia="zh-CN"/>
        </w:rPr>
        <w:t>货物类</w:t>
      </w:r>
      <w:r>
        <w:rPr>
          <w:rFonts w:hint="eastAsia" w:ascii="宋体" w:hAnsi="宋体" w:eastAsia="宋体" w:cs="宋体"/>
          <w:b/>
          <w:bCs/>
          <w:color w:val="auto"/>
          <w:sz w:val="52"/>
          <w:szCs w:val="52"/>
          <w:highlight w:val="none"/>
          <w:lang w:eastAsia="zh-CN"/>
        </w:rPr>
        <w:t>）</w:t>
      </w:r>
    </w:p>
    <w:p w14:paraId="321D7BB3">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52"/>
          <w:szCs w:val="52"/>
          <w:highlight w:val="none"/>
          <w:lang w:eastAsia="zh-CN"/>
        </w:rPr>
      </w:pPr>
      <w:r>
        <w:rPr>
          <w:rFonts w:hint="eastAsia" w:ascii="宋体" w:hAnsi="宋体" w:eastAsia="宋体" w:cs="宋体"/>
          <w:b/>
          <w:bCs/>
          <w:color w:val="auto"/>
          <w:sz w:val="52"/>
          <w:szCs w:val="52"/>
          <w:highlight w:val="none"/>
          <w:lang w:eastAsia="zh-CN"/>
        </w:rPr>
        <w:t>（</w:t>
      </w:r>
      <w:r>
        <w:rPr>
          <w:rFonts w:hint="eastAsia" w:ascii="宋体" w:hAnsi="宋体" w:eastAsia="宋体" w:cs="宋体"/>
          <w:b/>
          <w:bCs/>
          <w:color w:val="auto"/>
          <w:sz w:val="52"/>
          <w:szCs w:val="52"/>
          <w:highlight w:val="none"/>
          <w:lang w:val="en-US" w:eastAsia="zh-CN"/>
        </w:rPr>
        <w:t>2024年版</w:t>
      </w:r>
      <w:r>
        <w:rPr>
          <w:rFonts w:hint="eastAsia" w:ascii="宋体" w:hAnsi="宋体" w:eastAsia="宋体" w:cs="宋体"/>
          <w:b/>
          <w:bCs/>
          <w:color w:val="auto"/>
          <w:sz w:val="52"/>
          <w:szCs w:val="52"/>
          <w:highlight w:val="none"/>
          <w:lang w:eastAsia="zh-CN"/>
        </w:rPr>
        <w:t>）</w:t>
      </w:r>
    </w:p>
    <w:p w14:paraId="74707BA4">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44"/>
          <w:szCs w:val="44"/>
          <w:highlight w:val="none"/>
        </w:rPr>
      </w:pPr>
    </w:p>
    <w:p w14:paraId="5E354646">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44"/>
          <w:szCs w:val="44"/>
          <w:highlight w:val="none"/>
        </w:rPr>
      </w:pPr>
    </w:p>
    <w:p w14:paraId="2C30768C">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44"/>
          <w:szCs w:val="44"/>
          <w:highlight w:val="none"/>
        </w:rPr>
      </w:pPr>
    </w:p>
    <w:p w14:paraId="44EDDBCA">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44"/>
          <w:szCs w:val="44"/>
          <w:highlight w:val="none"/>
        </w:rPr>
      </w:pPr>
    </w:p>
    <w:p w14:paraId="1421228A">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44"/>
          <w:szCs w:val="44"/>
          <w:highlight w:val="none"/>
        </w:rPr>
      </w:pPr>
    </w:p>
    <w:p w14:paraId="07DE6160">
      <w:pPr>
        <w:tabs>
          <w:tab w:val="left" w:pos="2410"/>
        </w:tabs>
        <w:autoSpaceDE w:val="0"/>
        <w:autoSpaceDN w:val="0"/>
        <w:adjustRightInd w:val="0"/>
        <w:snapToGrid w:val="0"/>
        <w:spacing w:line="360" w:lineRule="auto"/>
        <w:ind w:firstLine="642" w:firstLineChars="200"/>
        <w:rPr>
          <w:rFonts w:hint="eastAsia" w:ascii="宋体" w:hAnsi="宋体" w:eastAsia="宋体" w:cs="宋体"/>
          <w:b/>
          <w:color w:val="auto"/>
          <w:spacing w:val="20"/>
          <w:kern w:val="0"/>
          <w:sz w:val="28"/>
          <w:szCs w:val="28"/>
          <w:highlight w:val="none"/>
          <w:lang w:val="en-US" w:eastAsia="zh-CN"/>
        </w:rPr>
      </w:pPr>
      <w:r>
        <w:rPr>
          <w:rFonts w:hint="eastAsia" w:ascii="宋体" w:hAnsi="宋体" w:eastAsia="宋体" w:cs="宋体"/>
          <w:b/>
          <w:color w:val="auto"/>
          <w:spacing w:val="20"/>
          <w:kern w:val="0"/>
          <w:sz w:val="28"/>
          <w:szCs w:val="28"/>
          <w:highlight w:val="none"/>
        </w:rPr>
        <w:t>项目名称：</w:t>
      </w:r>
      <w:r>
        <w:rPr>
          <w:rFonts w:hint="eastAsia" w:ascii="宋体" w:hAnsi="宋体" w:eastAsia="宋体" w:cs="宋体"/>
          <w:b/>
          <w:color w:val="auto"/>
          <w:spacing w:val="20"/>
          <w:kern w:val="0"/>
          <w:sz w:val="28"/>
          <w:szCs w:val="28"/>
          <w:highlight w:val="none"/>
          <w:u w:val="single"/>
          <w:lang w:val="en-US" w:eastAsia="zh-CN"/>
        </w:rPr>
        <w:t>安徽理工大学2025年教学仪器设备购置项目（三）</w:t>
      </w:r>
    </w:p>
    <w:p w14:paraId="592C801B">
      <w:pPr>
        <w:tabs>
          <w:tab w:val="left" w:pos="2410"/>
        </w:tabs>
        <w:autoSpaceDE w:val="0"/>
        <w:autoSpaceDN w:val="0"/>
        <w:adjustRightInd w:val="0"/>
        <w:snapToGrid w:val="0"/>
        <w:spacing w:line="360" w:lineRule="auto"/>
        <w:ind w:firstLine="642" w:firstLineChars="200"/>
        <w:jc w:val="both"/>
        <w:rPr>
          <w:rFonts w:hint="eastAsia" w:ascii="宋体" w:hAnsi="宋体" w:eastAsia="宋体" w:cs="宋体"/>
          <w:b/>
          <w:color w:val="auto"/>
          <w:spacing w:val="20"/>
          <w:kern w:val="0"/>
          <w:sz w:val="28"/>
          <w:szCs w:val="28"/>
          <w:highlight w:val="none"/>
          <w:lang w:val="en-US"/>
        </w:rPr>
      </w:pPr>
      <w:r>
        <w:rPr>
          <w:rFonts w:hint="eastAsia" w:ascii="宋体" w:hAnsi="宋体" w:eastAsia="宋体" w:cs="宋体"/>
          <w:b/>
          <w:color w:val="auto"/>
          <w:spacing w:val="20"/>
          <w:kern w:val="0"/>
          <w:sz w:val="28"/>
          <w:szCs w:val="28"/>
          <w:highlight w:val="none"/>
        </w:rPr>
        <w:t>项目编号：</w:t>
      </w:r>
      <w:r>
        <w:rPr>
          <w:rFonts w:hint="eastAsia" w:ascii="宋体" w:hAnsi="宋体" w:eastAsia="宋体" w:cs="宋体"/>
          <w:b/>
          <w:color w:val="auto"/>
          <w:spacing w:val="20"/>
          <w:kern w:val="0"/>
          <w:sz w:val="28"/>
          <w:szCs w:val="28"/>
          <w:highlight w:val="none"/>
          <w:u w:val="single"/>
        </w:rPr>
        <w:fldChar w:fldCharType="begin"/>
      </w:r>
      <w:r>
        <w:rPr>
          <w:rFonts w:hint="eastAsia" w:ascii="宋体" w:hAnsi="宋体" w:eastAsia="宋体" w:cs="宋体"/>
          <w:b/>
          <w:color w:val="auto"/>
          <w:spacing w:val="20"/>
          <w:kern w:val="0"/>
          <w:sz w:val="28"/>
          <w:szCs w:val="28"/>
          <w:highlight w:val="none"/>
          <w:u w:val="single"/>
        </w:rPr>
        <w:instrText xml:space="preserve"> HYPERLINK "https://pay.anhui.zcygov.cn/purchaseplan_front/" \l "/plan/list/view?id=1000000000005229873&amp;_app_=zcy.procurement" \t "https://www.anhui.zcygov.cn/project-center/_procurement_/purchasePlans/_blank" </w:instrText>
      </w:r>
      <w:r>
        <w:rPr>
          <w:rFonts w:hint="eastAsia" w:ascii="宋体" w:hAnsi="宋体" w:eastAsia="宋体" w:cs="宋体"/>
          <w:b/>
          <w:color w:val="auto"/>
          <w:spacing w:val="20"/>
          <w:kern w:val="0"/>
          <w:sz w:val="28"/>
          <w:szCs w:val="28"/>
          <w:highlight w:val="none"/>
          <w:u w:val="single"/>
        </w:rPr>
        <w:fldChar w:fldCharType="separate"/>
      </w:r>
      <w:r>
        <w:rPr>
          <w:rFonts w:hint="eastAsia" w:ascii="宋体" w:hAnsi="宋体" w:eastAsia="宋体" w:cs="宋体"/>
          <w:b/>
          <w:color w:val="auto"/>
          <w:spacing w:val="20"/>
          <w:kern w:val="0"/>
          <w:sz w:val="28"/>
          <w:szCs w:val="28"/>
          <w:highlight w:val="none"/>
          <w:u w:val="single"/>
        </w:rPr>
        <w:t>FSSD34000120255986</w:t>
      </w:r>
      <w:r>
        <w:rPr>
          <w:rFonts w:hint="eastAsia" w:ascii="宋体" w:hAnsi="宋体" w:eastAsia="宋体" w:cs="宋体"/>
          <w:b/>
          <w:color w:val="auto"/>
          <w:spacing w:val="20"/>
          <w:kern w:val="0"/>
          <w:sz w:val="28"/>
          <w:szCs w:val="28"/>
          <w:highlight w:val="none"/>
          <w:u w:val="single"/>
        </w:rPr>
        <w:fldChar w:fldCharType="end"/>
      </w:r>
      <w:r>
        <w:rPr>
          <w:rFonts w:hint="eastAsia" w:ascii="宋体" w:hAnsi="宋体" w:eastAsia="宋体" w:cs="宋体"/>
          <w:b/>
          <w:color w:val="auto"/>
          <w:spacing w:val="20"/>
          <w:kern w:val="0"/>
          <w:sz w:val="28"/>
          <w:szCs w:val="28"/>
          <w:highlight w:val="none"/>
          <w:u w:val="single"/>
          <w:lang w:val="en-US" w:eastAsia="zh-CN"/>
        </w:rPr>
        <w:t>号</w:t>
      </w:r>
    </w:p>
    <w:p w14:paraId="4AE22F47">
      <w:pPr>
        <w:tabs>
          <w:tab w:val="left" w:pos="2410"/>
        </w:tabs>
        <w:autoSpaceDE w:val="0"/>
        <w:autoSpaceDN w:val="0"/>
        <w:adjustRightInd w:val="0"/>
        <w:snapToGrid w:val="0"/>
        <w:spacing w:line="360" w:lineRule="auto"/>
        <w:ind w:firstLine="642" w:firstLineChars="200"/>
        <w:rPr>
          <w:rFonts w:hint="eastAsia" w:ascii="宋体" w:hAnsi="宋体" w:eastAsia="宋体" w:cs="宋体"/>
          <w:b/>
          <w:color w:val="auto"/>
          <w:spacing w:val="20"/>
          <w:kern w:val="0"/>
          <w:sz w:val="28"/>
          <w:szCs w:val="28"/>
          <w:highlight w:val="none"/>
          <w:lang w:val="en-US"/>
        </w:rPr>
      </w:pPr>
      <w:r>
        <w:rPr>
          <w:rFonts w:hint="eastAsia" w:ascii="宋体" w:hAnsi="宋体" w:eastAsia="宋体" w:cs="宋体"/>
          <w:b/>
          <w:color w:val="auto"/>
          <w:spacing w:val="20"/>
          <w:kern w:val="0"/>
          <w:sz w:val="28"/>
          <w:szCs w:val="28"/>
          <w:highlight w:val="none"/>
        </w:rPr>
        <w:t>采 购 人：</w:t>
      </w:r>
      <w:r>
        <w:rPr>
          <w:rFonts w:hint="eastAsia" w:ascii="宋体" w:hAnsi="宋体" w:eastAsia="宋体" w:cs="宋体"/>
          <w:b/>
          <w:color w:val="auto"/>
          <w:spacing w:val="20"/>
          <w:kern w:val="0"/>
          <w:sz w:val="28"/>
          <w:szCs w:val="28"/>
          <w:highlight w:val="none"/>
          <w:u w:val="single"/>
          <w:lang w:val="en-US" w:eastAsia="zh-CN"/>
        </w:rPr>
        <w:t>安徽理工大学</w:t>
      </w:r>
    </w:p>
    <w:p w14:paraId="062EFC1A">
      <w:pPr>
        <w:tabs>
          <w:tab w:val="left" w:pos="2410"/>
        </w:tabs>
        <w:autoSpaceDE w:val="0"/>
        <w:autoSpaceDN w:val="0"/>
        <w:adjustRightInd w:val="0"/>
        <w:snapToGrid w:val="0"/>
        <w:spacing w:line="360" w:lineRule="auto"/>
        <w:ind w:firstLine="642" w:firstLineChars="200"/>
        <w:rPr>
          <w:rFonts w:hint="eastAsia" w:ascii="宋体" w:hAnsi="宋体" w:eastAsia="宋体" w:cs="宋体"/>
          <w:b/>
          <w:color w:val="auto"/>
          <w:spacing w:val="20"/>
          <w:kern w:val="0"/>
          <w:sz w:val="32"/>
          <w:szCs w:val="32"/>
          <w:highlight w:val="none"/>
          <w:lang w:val="en-US"/>
        </w:rPr>
      </w:pPr>
      <w:r>
        <w:rPr>
          <w:rFonts w:hint="eastAsia" w:ascii="宋体" w:hAnsi="宋体" w:eastAsia="宋体" w:cs="宋体"/>
          <w:b/>
          <w:color w:val="auto"/>
          <w:spacing w:val="20"/>
          <w:kern w:val="0"/>
          <w:sz w:val="28"/>
          <w:szCs w:val="28"/>
          <w:highlight w:val="none"/>
        </w:rPr>
        <w:t>采购代理机构：</w:t>
      </w:r>
      <w:r>
        <w:rPr>
          <w:rFonts w:hint="eastAsia" w:ascii="宋体" w:hAnsi="宋体" w:eastAsia="宋体" w:cs="宋体"/>
          <w:b/>
          <w:color w:val="auto"/>
          <w:spacing w:val="20"/>
          <w:kern w:val="0"/>
          <w:sz w:val="28"/>
          <w:szCs w:val="28"/>
          <w:highlight w:val="none"/>
          <w:u w:val="single"/>
          <w:lang w:val="en-US" w:eastAsia="zh-CN"/>
        </w:rPr>
        <w:t>上海容基工程项目管理有限公司</w:t>
      </w:r>
    </w:p>
    <w:p w14:paraId="5D9E0F98">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44"/>
          <w:szCs w:val="44"/>
          <w:highlight w:val="none"/>
        </w:rPr>
      </w:pPr>
    </w:p>
    <w:p w14:paraId="76DC35EF">
      <w:pPr>
        <w:tabs>
          <w:tab w:val="left" w:pos="2410"/>
        </w:tabs>
        <w:autoSpaceDE w:val="0"/>
        <w:autoSpaceDN w:val="0"/>
        <w:adjustRightInd w:val="0"/>
        <w:snapToGrid w:val="0"/>
        <w:spacing w:line="360" w:lineRule="auto"/>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u w:val="single"/>
          <w:lang w:val="en-US" w:eastAsia="zh-CN"/>
        </w:rPr>
        <w:t xml:space="preserve"> 2025 </w:t>
      </w:r>
      <w:r>
        <w:rPr>
          <w:rFonts w:hint="eastAsia" w:ascii="宋体" w:hAnsi="宋体" w:eastAsia="宋体" w:cs="宋体"/>
          <w:b/>
          <w:color w:val="auto"/>
          <w:sz w:val="36"/>
          <w:highlight w:val="none"/>
        </w:rPr>
        <w:t>年</w:t>
      </w:r>
      <w:r>
        <w:rPr>
          <w:rFonts w:hint="eastAsia" w:ascii="宋体" w:hAnsi="宋体" w:eastAsia="宋体" w:cs="宋体"/>
          <w:b/>
          <w:color w:val="auto"/>
          <w:sz w:val="36"/>
          <w:highlight w:val="none"/>
          <w:u w:val="single"/>
          <w:lang w:val="en-US" w:eastAsia="zh-CN"/>
        </w:rPr>
        <w:t xml:space="preserve"> 9 </w:t>
      </w:r>
      <w:r>
        <w:rPr>
          <w:rFonts w:hint="eastAsia" w:ascii="宋体" w:hAnsi="宋体" w:eastAsia="宋体" w:cs="宋体"/>
          <w:b/>
          <w:color w:val="auto"/>
          <w:sz w:val="36"/>
          <w:highlight w:val="none"/>
        </w:rPr>
        <w:t>月</w:t>
      </w:r>
      <w:r>
        <w:rPr>
          <w:rFonts w:hint="eastAsia" w:ascii="宋体" w:hAnsi="宋体" w:eastAsia="宋体" w:cs="宋体"/>
          <w:b/>
          <w:color w:val="auto"/>
          <w:sz w:val="36"/>
          <w:highlight w:val="none"/>
        </w:rPr>
        <w:br w:type="page"/>
      </w:r>
    </w:p>
    <w:p w14:paraId="63A4C657">
      <w:pPr>
        <w:tabs>
          <w:tab w:val="left" w:pos="2410"/>
        </w:tabs>
        <w:autoSpaceDE w:val="0"/>
        <w:autoSpaceDN w:val="0"/>
        <w:adjustRightInd w:val="0"/>
        <w:snapToGrid w:val="0"/>
        <w:spacing w:line="360" w:lineRule="auto"/>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目  录</w:t>
      </w:r>
    </w:p>
    <w:p w14:paraId="625140E5">
      <w:pPr>
        <w:pStyle w:val="20"/>
        <w:tabs>
          <w:tab w:val="right" w:leader="dot" w:pos="8306"/>
        </w:tabs>
        <w:rPr>
          <w:rFonts w:hint="eastAsia" w:ascii="宋体" w:hAnsi="宋体" w:eastAsia="宋体" w:cs="宋体"/>
          <w:sz w:val="21"/>
          <w:szCs w:val="21"/>
          <w:highlight w:val="none"/>
        </w:rPr>
      </w:pPr>
      <w:r>
        <w:rPr>
          <w:rFonts w:hint="eastAsia" w:ascii="宋体" w:hAnsi="宋体" w:eastAsia="宋体" w:cs="宋体"/>
          <w:b/>
          <w:color w:val="auto"/>
          <w:sz w:val="21"/>
          <w:szCs w:val="21"/>
          <w:highlight w:val="none"/>
        </w:rPr>
        <w:fldChar w:fldCharType="begin"/>
      </w:r>
      <w:r>
        <w:rPr>
          <w:rFonts w:hint="eastAsia" w:ascii="宋体" w:hAnsi="宋体" w:eastAsia="宋体" w:cs="宋体"/>
          <w:b/>
          <w:color w:val="auto"/>
          <w:sz w:val="21"/>
          <w:szCs w:val="21"/>
          <w:highlight w:val="none"/>
        </w:rPr>
        <w:instrText xml:space="preserve"> TOC \o "1-2" \h \z \u </w:instrText>
      </w:r>
      <w:r>
        <w:rPr>
          <w:rFonts w:hint="eastAsia" w:ascii="宋体" w:hAnsi="宋体" w:eastAsia="宋体" w:cs="宋体"/>
          <w:b/>
          <w:color w:val="auto"/>
          <w:sz w:val="21"/>
          <w:szCs w:val="21"/>
          <w:highlight w:val="none"/>
        </w:rPr>
        <w:fldChar w:fldCharType="separate"/>
      </w: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_Toc23443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第一章  投标邀请</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_Toc23443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3</w:t>
      </w:r>
      <w:r>
        <w:rPr>
          <w:rFonts w:hint="eastAsia" w:ascii="宋体" w:hAnsi="宋体" w:eastAsia="宋体" w:cs="宋体"/>
          <w:sz w:val="21"/>
          <w:szCs w:val="21"/>
          <w:highlight w:val="none"/>
        </w:rPr>
        <w:fldChar w:fldCharType="end"/>
      </w:r>
      <w:r>
        <w:rPr>
          <w:rFonts w:hint="eastAsia" w:ascii="宋体" w:hAnsi="宋体" w:eastAsia="宋体" w:cs="宋体"/>
          <w:color w:val="auto"/>
          <w:sz w:val="21"/>
          <w:szCs w:val="21"/>
          <w:highlight w:val="none"/>
        </w:rPr>
        <w:fldChar w:fldCharType="end"/>
      </w:r>
    </w:p>
    <w:p w14:paraId="7E86B31C">
      <w:pPr>
        <w:pStyle w:val="20"/>
        <w:tabs>
          <w:tab w:val="right" w:leader="dot" w:pos="8306"/>
        </w:tabs>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_Toc31935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第二章  投标人须知</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_Toc31935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6</w:t>
      </w:r>
      <w:r>
        <w:rPr>
          <w:rFonts w:hint="eastAsia" w:ascii="宋体" w:hAnsi="宋体" w:eastAsia="宋体" w:cs="宋体"/>
          <w:sz w:val="21"/>
          <w:szCs w:val="21"/>
          <w:highlight w:val="none"/>
        </w:rPr>
        <w:fldChar w:fldCharType="end"/>
      </w:r>
      <w:r>
        <w:rPr>
          <w:rFonts w:hint="eastAsia" w:ascii="宋体" w:hAnsi="宋体" w:eastAsia="宋体" w:cs="宋体"/>
          <w:color w:val="auto"/>
          <w:sz w:val="21"/>
          <w:szCs w:val="21"/>
          <w:highlight w:val="none"/>
        </w:rPr>
        <w:fldChar w:fldCharType="end"/>
      </w:r>
    </w:p>
    <w:p w14:paraId="1947BFFB">
      <w:pPr>
        <w:pStyle w:val="20"/>
        <w:tabs>
          <w:tab w:val="right" w:leader="dot" w:pos="8306"/>
        </w:tabs>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_Toc10891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第三章  采购需求</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_Toc10891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24</w:t>
      </w:r>
      <w:r>
        <w:rPr>
          <w:rFonts w:hint="eastAsia" w:ascii="宋体" w:hAnsi="宋体" w:eastAsia="宋体" w:cs="宋体"/>
          <w:sz w:val="21"/>
          <w:szCs w:val="21"/>
          <w:highlight w:val="none"/>
        </w:rPr>
        <w:fldChar w:fldCharType="end"/>
      </w:r>
      <w:r>
        <w:rPr>
          <w:rFonts w:hint="eastAsia" w:ascii="宋体" w:hAnsi="宋体" w:eastAsia="宋体" w:cs="宋体"/>
          <w:color w:val="auto"/>
          <w:sz w:val="21"/>
          <w:szCs w:val="21"/>
          <w:highlight w:val="none"/>
        </w:rPr>
        <w:fldChar w:fldCharType="end"/>
      </w:r>
    </w:p>
    <w:p w14:paraId="750086CB">
      <w:pPr>
        <w:pStyle w:val="20"/>
        <w:tabs>
          <w:tab w:val="right" w:leader="dot" w:pos="8306"/>
        </w:tabs>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_Toc16417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第四章  评标方法和标准（综合评分法）</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_Toc16417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75</w:t>
      </w:r>
      <w:r>
        <w:rPr>
          <w:rFonts w:hint="eastAsia" w:ascii="宋体" w:hAnsi="宋体" w:eastAsia="宋体" w:cs="宋体"/>
          <w:sz w:val="21"/>
          <w:szCs w:val="21"/>
          <w:highlight w:val="none"/>
        </w:rPr>
        <w:fldChar w:fldCharType="end"/>
      </w:r>
      <w:r>
        <w:rPr>
          <w:rFonts w:hint="eastAsia" w:ascii="宋体" w:hAnsi="宋体" w:eastAsia="宋体" w:cs="宋体"/>
          <w:color w:val="auto"/>
          <w:sz w:val="21"/>
          <w:szCs w:val="21"/>
          <w:highlight w:val="none"/>
        </w:rPr>
        <w:fldChar w:fldCharType="end"/>
      </w:r>
    </w:p>
    <w:p w14:paraId="7B7837A1">
      <w:pPr>
        <w:pStyle w:val="20"/>
        <w:tabs>
          <w:tab w:val="right" w:leader="dot" w:pos="8306"/>
        </w:tabs>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_Toc4682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第五章  政府采购合同</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_Toc4682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80</w:t>
      </w:r>
      <w:r>
        <w:rPr>
          <w:rFonts w:hint="eastAsia" w:ascii="宋体" w:hAnsi="宋体" w:eastAsia="宋体" w:cs="宋体"/>
          <w:sz w:val="21"/>
          <w:szCs w:val="21"/>
          <w:highlight w:val="none"/>
        </w:rPr>
        <w:fldChar w:fldCharType="end"/>
      </w:r>
      <w:r>
        <w:rPr>
          <w:rFonts w:hint="eastAsia" w:ascii="宋体" w:hAnsi="宋体" w:eastAsia="宋体" w:cs="宋体"/>
          <w:color w:val="auto"/>
          <w:sz w:val="21"/>
          <w:szCs w:val="21"/>
          <w:highlight w:val="none"/>
        </w:rPr>
        <w:fldChar w:fldCharType="end"/>
      </w:r>
    </w:p>
    <w:p w14:paraId="3C071BB9">
      <w:pPr>
        <w:pStyle w:val="20"/>
        <w:tabs>
          <w:tab w:val="right" w:leader="dot" w:pos="8306"/>
        </w:tabs>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_Toc22492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第六章  投标文件格式</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_Toc22492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80</w:t>
      </w:r>
      <w:r>
        <w:rPr>
          <w:rFonts w:hint="eastAsia" w:ascii="宋体" w:hAnsi="宋体" w:eastAsia="宋体" w:cs="宋体"/>
          <w:sz w:val="21"/>
          <w:szCs w:val="21"/>
          <w:highlight w:val="none"/>
        </w:rPr>
        <w:fldChar w:fldCharType="end"/>
      </w:r>
      <w:r>
        <w:rPr>
          <w:rFonts w:hint="eastAsia" w:ascii="宋体" w:hAnsi="宋体" w:eastAsia="宋体" w:cs="宋体"/>
          <w:color w:val="auto"/>
          <w:sz w:val="21"/>
          <w:szCs w:val="21"/>
          <w:highlight w:val="none"/>
        </w:rPr>
        <w:fldChar w:fldCharType="end"/>
      </w:r>
    </w:p>
    <w:p w14:paraId="4C497DDF">
      <w:pPr>
        <w:pStyle w:val="20"/>
        <w:tabs>
          <w:tab w:val="right" w:leader="dot" w:pos="8306"/>
        </w:tabs>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_Toc18131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第</w:t>
      </w:r>
      <w:r>
        <w:rPr>
          <w:rFonts w:hint="eastAsia" w:ascii="宋体" w:hAnsi="宋体" w:eastAsia="宋体" w:cs="宋体"/>
          <w:sz w:val="21"/>
          <w:szCs w:val="21"/>
          <w:highlight w:val="none"/>
          <w:lang w:val="en-US" w:eastAsia="zh-CN"/>
        </w:rPr>
        <w:t>七</w:t>
      </w:r>
      <w:r>
        <w:rPr>
          <w:rFonts w:hint="eastAsia" w:ascii="宋体" w:hAnsi="宋体" w:eastAsia="宋体" w:cs="宋体"/>
          <w:sz w:val="21"/>
          <w:szCs w:val="21"/>
          <w:highlight w:val="none"/>
        </w:rPr>
        <w:t>章</w:t>
      </w:r>
      <w:r>
        <w:rPr>
          <w:rFonts w:hint="eastAsia" w:ascii="宋体" w:hAnsi="宋体" w:eastAsia="宋体" w:cs="宋体"/>
          <w:bCs/>
          <w:sz w:val="21"/>
          <w:szCs w:val="21"/>
          <w:highlight w:val="none"/>
        </w:rPr>
        <w:t xml:space="preserve">  政府采购</w:t>
      </w:r>
      <w:r>
        <w:rPr>
          <w:rFonts w:hint="eastAsia" w:ascii="宋体" w:hAnsi="宋体" w:eastAsia="宋体" w:cs="宋体"/>
          <w:sz w:val="21"/>
          <w:szCs w:val="21"/>
          <w:highlight w:val="none"/>
        </w:rPr>
        <w:t>供应</w:t>
      </w:r>
      <w:r>
        <w:rPr>
          <w:rFonts w:hint="eastAsia" w:ascii="宋体" w:hAnsi="宋体" w:eastAsia="宋体" w:cs="宋体"/>
          <w:bCs/>
          <w:sz w:val="21"/>
          <w:szCs w:val="21"/>
          <w:highlight w:val="none"/>
        </w:rPr>
        <w:t>商询问函和质疑函范本</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_Toc18131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99</w:t>
      </w:r>
      <w:r>
        <w:rPr>
          <w:rFonts w:hint="eastAsia" w:ascii="宋体" w:hAnsi="宋体" w:eastAsia="宋体" w:cs="宋体"/>
          <w:sz w:val="21"/>
          <w:szCs w:val="21"/>
          <w:highlight w:val="none"/>
        </w:rPr>
        <w:fldChar w:fldCharType="end"/>
      </w:r>
      <w:r>
        <w:rPr>
          <w:rFonts w:hint="eastAsia" w:ascii="宋体" w:hAnsi="宋体" w:eastAsia="宋体" w:cs="宋体"/>
          <w:color w:val="auto"/>
          <w:sz w:val="21"/>
          <w:szCs w:val="21"/>
          <w:highlight w:val="none"/>
        </w:rPr>
        <w:fldChar w:fldCharType="end"/>
      </w:r>
    </w:p>
    <w:p w14:paraId="06740C5F">
      <w:pPr>
        <w:spacing w:line="360" w:lineRule="auto"/>
        <w:rPr>
          <w:rFonts w:hint="eastAsia" w:ascii="宋体" w:hAnsi="宋体" w:eastAsia="宋体" w:cs="宋体"/>
          <w:b/>
          <w:color w:val="auto"/>
          <w:sz w:val="32"/>
          <w:highlight w:val="none"/>
        </w:rPr>
      </w:pPr>
      <w:r>
        <w:rPr>
          <w:rFonts w:hint="eastAsia" w:ascii="宋体" w:hAnsi="宋体" w:eastAsia="宋体" w:cs="宋体"/>
          <w:color w:val="auto"/>
          <w:sz w:val="21"/>
          <w:szCs w:val="21"/>
          <w:highlight w:val="none"/>
        </w:rPr>
        <w:fldChar w:fldCharType="end"/>
      </w:r>
    </w:p>
    <w:p w14:paraId="35A19D14">
      <w:pPr>
        <w:pStyle w:val="10"/>
        <w:rPr>
          <w:rFonts w:hint="eastAsia" w:ascii="宋体" w:hAnsi="宋体" w:eastAsia="宋体" w:cs="宋体"/>
          <w:highlight w:val="none"/>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1BB2CEC8">
      <w:pPr>
        <w:spacing w:line="360" w:lineRule="auto"/>
        <w:jc w:val="center"/>
        <w:outlineLvl w:val="0"/>
        <w:rPr>
          <w:rFonts w:hint="eastAsia" w:ascii="宋体" w:hAnsi="宋体" w:eastAsia="宋体" w:cs="宋体"/>
          <w:b/>
          <w:color w:val="auto"/>
          <w:sz w:val="28"/>
          <w:highlight w:val="none"/>
        </w:rPr>
      </w:pPr>
      <w:bookmarkStart w:id="1" w:name="_Toc23443"/>
      <w:r>
        <w:rPr>
          <w:rFonts w:hint="eastAsia" w:ascii="宋体" w:hAnsi="宋体" w:eastAsia="宋体" w:cs="宋体"/>
          <w:b/>
          <w:color w:val="auto"/>
          <w:sz w:val="28"/>
          <w:highlight w:val="none"/>
        </w:rPr>
        <w:t>第一章  投标邀请</w:t>
      </w:r>
      <w:bookmarkEnd w:id="1"/>
    </w:p>
    <w:p w14:paraId="06E4557E">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cs="宋体"/>
          <w:b/>
          <w:bCs/>
          <w:color w:val="auto"/>
          <w:sz w:val="24"/>
          <w:szCs w:val="18"/>
          <w:highlight w:val="none"/>
        </w:rPr>
      </w:pPr>
      <w:bookmarkStart w:id="2" w:name="_Toc1381"/>
      <w:bookmarkStart w:id="3" w:name="_Toc5842"/>
      <w:r>
        <w:rPr>
          <w:rFonts w:hint="eastAsia" w:ascii="宋体" w:hAnsi="宋体" w:eastAsia="宋体" w:cs="宋体"/>
          <w:b/>
          <w:bCs/>
          <w:color w:val="auto"/>
          <w:sz w:val="24"/>
          <w:szCs w:val="18"/>
          <w:highlight w:val="none"/>
        </w:rPr>
        <w:t>一、</w:t>
      </w:r>
      <w:bookmarkEnd w:id="2"/>
      <w:r>
        <w:rPr>
          <w:rFonts w:hint="eastAsia" w:ascii="宋体" w:hAnsi="宋体" w:eastAsia="宋体" w:cs="宋体"/>
          <w:b/>
          <w:bCs/>
          <w:color w:val="auto"/>
          <w:sz w:val="24"/>
          <w:szCs w:val="18"/>
          <w:highlight w:val="none"/>
        </w:rPr>
        <w:t>项目基本情况</w:t>
      </w:r>
      <w:bookmarkEnd w:id="3"/>
    </w:p>
    <w:p w14:paraId="04A49A2D">
      <w:pPr>
        <w:keepNext w:val="0"/>
        <w:keepLines w:val="0"/>
        <w:pageBreakBefore w:val="0"/>
        <w:widowControl w:val="0"/>
        <w:kinsoku/>
        <w:wordWrap/>
        <w:overflowPunct/>
        <w:topLinePunct w:val="0"/>
        <w:autoSpaceDE/>
        <w:autoSpaceDN/>
        <w:bidi w:val="0"/>
        <w:adjustRightInd/>
        <w:snapToGrid/>
        <w:spacing w:line="360" w:lineRule="auto"/>
        <w:ind w:firstLine="435"/>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1.项目编</w:t>
      </w:r>
      <w:r>
        <w:rPr>
          <w:rFonts w:hint="eastAsia" w:ascii="宋体" w:hAnsi="宋体" w:eastAsia="宋体" w:cs="宋体"/>
          <w:color w:val="auto"/>
          <w:sz w:val="24"/>
          <w:highlight w:val="none"/>
          <w:lang w:eastAsia="zh-CN"/>
        </w:rPr>
        <w:t>号：</w:t>
      </w:r>
      <w:r>
        <w:rPr>
          <w:rFonts w:hint="eastAsia" w:ascii="宋体" w:hAnsi="宋体" w:eastAsia="宋体" w:cs="宋体"/>
          <w:color w:val="auto"/>
          <w:sz w:val="24"/>
          <w:highlight w:val="none"/>
          <w:lang w:eastAsia="zh-CN"/>
        </w:rPr>
        <w:fldChar w:fldCharType="begin"/>
      </w:r>
      <w:r>
        <w:rPr>
          <w:rFonts w:hint="eastAsia" w:ascii="宋体" w:hAnsi="宋体" w:eastAsia="宋体" w:cs="宋体"/>
          <w:color w:val="auto"/>
          <w:sz w:val="24"/>
          <w:highlight w:val="none"/>
          <w:lang w:eastAsia="zh-CN"/>
        </w:rPr>
        <w:instrText xml:space="preserve"> HYPERLINK "https://pay.anhui.zcygov.cn/purchaseplan_front/" \l "/plan/list/view?id=1000000000005229873&amp;_app_=zcy.procurement" \t "https://www.anhui.zcygov.cn/project-center/_procurement_/purchasePlans/_blank" </w:instrText>
      </w:r>
      <w:r>
        <w:rPr>
          <w:rFonts w:hint="eastAsia" w:ascii="宋体" w:hAnsi="宋体" w:eastAsia="宋体" w:cs="宋体"/>
          <w:color w:val="auto"/>
          <w:sz w:val="24"/>
          <w:highlight w:val="none"/>
          <w:lang w:eastAsia="zh-CN"/>
        </w:rPr>
        <w:fldChar w:fldCharType="separate"/>
      </w:r>
      <w:r>
        <w:rPr>
          <w:rFonts w:hint="eastAsia" w:ascii="宋体" w:hAnsi="宋体" w:eastAsia="宋体" w:cs="宋体"/>
          <w:color w:val="auto"/>
          <w:sz w:val="24"/>
          <w:highlight w:val="none"/>
          <w:lang w:eastAsia="zh-CN"/>
        </w:rPr>
        <w:t>FSSD34000120255986</w:t>
      </w:r>
      <w:r>
        <w:rPr>
          <w:rFonts w:hint="eastAsia" w:ascii="宋体" w:hAnsi="宋体" w:eastAsia="宋体" w:cs="宋体"/>
          <w:color w:val="auto"/>
          <w:sz w:val="24"/>
          <w:highlight w:val="none"/>
          <w:lang w:eastAsia="zh-CN"/>
        </w:rPr>
        <w:fldChar w:fldCharType="end"/>
      </w:r>
      <w:r>
        <w:rPr>
          <w:rFonts w:hint="eastAsia" w:ascii="宋体" w:hAnsi="宋体" w:eastAsia="宋体" w:cs="宋体"/>
          <w:color w:val="auto"/>
          <w:sz w:val="24"/>
          <w:highlight w:val="none"/>
          <w:lang w:val="en-US" w:eastAsia="zh-CN"/>
        </w:rPr>
        <w:t>号</w:t>
      </w:r>
    </w:p>
    <w:p w14:paraId="2AB4D9E3">
      <w:pPr>
        <w:keepNext w:val="0"/>
        <w:keepLines w:val="0"/>
        <w:pageBreakBefore w:val="0"/>
        <w:widowControl w:val="0"/>
        <w:kinsoku/>
        <w:wordWrap/>
        <w:overflowPunct/>
        <w:topLinePunct w:val="0"/>
        <w:autoSpaceDE/>
        <w:autoSpaceDN/>
        <w:bidi w:val="0"/>
        <w:adjustRightInd/>
        <w:snapToGrid/>
        <w:spacing w:line="360" w:lineRule="auto"/>
        <w:ind w:firstLine="435"/>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2.项目名称：安徽理工大学2025年教学仪器设备购置项目（三）</w:t>
      </w:r>
    </w:p>
    <w:p w14:paraId="4DD491BE">
      <w:pPr>
        <w:keepNext w:val="0"/>
        <w:keepLines w:val="0"/>
        <w:pageBreakBefore w:val="0"/>
        <w:widowControl w:val="0"/>
        <w:kinsoku/>
        <w:wordWrap/>
        <w:overflowPunct/>
        <w:topLinePunct w:val="0"/>
        <w:autoSpaceDE/>
        <w:autoSpaceDN/>
        <w:bidi w:val="0"/>
        <w:adjustRightInd/>
        <w:snapToGrid/>
        <w:spacing w:line="360" w:lineRule="auto"/>
        <w:ind w:firstLine="435"/>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3.预算金额：547.984万元</w:t>
      </w:r>
    </w:p>
    <w:p w14:paraId="2FD60A20">
      <w:pPr>
        <w:keepNext w:val="0"/>
        <w:keepLines w:val="0"/>
        <w:pageBreakBefore w:val="0"/>
        <w:widowControl w:val="0"/>
        <w:kinsoku/>
        <w:wordWrap/>
        <w:overflowPunct/>
        <w:topLinePunct w:val="0"/>
        <w:autoSpaceDE/>
        <w:autoSpaceDN/>
        <w:bidi w:val="0"/>
        <w:adjustRightInd/>
        <w:snapToGrid/>
        <w:spacing w:line="360" w:lineRule="auto"/>
        <w:ind w:firstLine="435"/>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4.最高限价：547.984万元       </w:t>
      </w:r>
    </w:p>
    <w:p w14:paraId="3A867182">
      <w:pPr>
        <w:keepNext w:val="0"/>
        <w:keepLines w:val="0"/>
        <w:pageBreakBefore w:val="0"/>
        <w:widowControl w:val="0"/>
        <w:kinsoku/>
        <w:wordWrap/>
        <w:overflowPunct/>
        <w:topLinePunct w:val="0"/>
        <w:autoSpaceDE/>
        <w:autoSpaceDN/>
        <w:bidi w:val="0"/>
        <w:adjustRightInd/>
        <w:snapToGrid/>
        <w:spacing w:line="360" w:lineRule="auto"/>
        <w:ind w:firstLine="435"/>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5.采购需求：本项目主要为安徽理工大学2025年教学仪器设备购置项目（三），采购内容为：教学实验实训设备，</w:t>
      </w:r>
      <w:r>
        <w:rPr>
          <w:rFonts w:hint="eastAsia" w:ascii="宋体" w:hAnsi="宋体" w:eastAsia="宋体" w:cs="宋体"/>
          <w:color w:val="auto"/>
          <w:sz w:val="24"/>
          <w:highlight w:val="none"/>
        </w:rPr>
        <w:t>具体详见采购需求。</w:t>
      </w:r>
      <w:r>
        <w:rPr>
          <w:rFonts w:hint="eastAsia" w:ascii="宋体" w:hAnsi="宋体" w:eastAsia="宋体" w:cs="宋体"/>
          <w:color w:val="auto"/>
          <w:sz w:val="24"/>
          <w:highlight w:val="none"/>
          <w:lang w:val="en-US" w:eastAsia="zh-CN"/>
        </w:rPr>
        <w:t xml:space="preserve">         </w:t>
      </w:r>
    </w:p>
    <w:p w14:paraId="06E28936">
      <w:pPr>
        <w:keepNext w:val="0"/>
        <w:keepLines w:val="0"/>
        <w:pageBreakBefore w:val="0"/>
        <w:widowControl w:val="0"/>
        <w:kinsoku/>
        <w:wordWrap/>
        <w:overflowPunct/>
        <w:topLinePunct w:val="0"/>
        <w:autoSpaceDE/>
        <w:autoSpaceDN/>
        <w:bidi w:val="0"/>
        <w:adjustRightInd/>
        <w:snapToGrid/>
        <w:spacing w:line="360" w:lineRule="auto"/>
        <w:ind w:firstLine="435"/>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6.合同履行期限：</w:t>
      </w:r>
      <w:r>
        <w:rPr>
          <w:rFonts w:hint="eastAsia" w:ascii="宋体" w:hAnsi="宋体" w:eastAsia="宋体" w:cs="宋体"/>
          <w:color w:val="auto"/>
          <w:sz w:val="24"/>
          <w:highlight w:val="none"/>
          <w:lang w:eastAsia="zh-CN"/>
        </w:rPr>
        <w:t>合同签订后</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lang w:eastAsia="zh-CN"/>
        </w:rPr>
        <w:t>日内，完成全部货物的供货、安装、调试和培训工作（采购需求另有规定的，以采购需求为准）</w:t>
      </w:r>
      <w:r>
        <w:rPr>
          <w:rFonts w:hint="eastAsia" w:ascii="宋体" w:hAnsi="宋体" w:eastAsia="宋体" w:cs="宋体"/>
          <w:color w:val="auto"/>
          <w:sz w:val="24"/>
          <w:highlight w:val="none"/>
          <w:lang w:val="en-US" w:eastAsia="zh-CN"/>
        </w:rPr>
        <w:t xml:space="preserve">。       </w:t>
      </w:r>
    </w:p>
    <w:p w14:paraId="24D89F2C">
      <w:pPr>
        <w:keepNext w:val="0"/>
        <w:keepLines w:val="0"/>
        <w:pageBreakBefore w:val="0"/>
        <w:widowControl w:val="0"/>
        <w:kinsoku/>
        <w:wordWrap/>
        <w:overflowPunct/>
        <w:topLinePunct w:val="0"/>
        <w:autoSpaceDE/>
        <w:autoSpaceDN/>
        <w:bidi w:val="0"/>
        <w:adjustRightInd/>
        <w:snapToGrid/>
        <w:spacing w:line="360" w:lineRule="auto"/>
        <w:ind w:firstLine="435"/>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7.本项目不接受联合体投标。</w:t>
      </w:r>
    </w:p>
    <w:p w14:paraId="65CF349D">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cs="宋体"/>
          <w:b/>
          <w:bCs/>
          <w:color w:val="auto"/>
          <w:sz w:val="24"/>
          <w:szCs w:val="18"/>
          <w:highlight w:val="none"/>
        </w:rPr>
      </w:pPr>
      <w:bookmarkStart w:id="4" w:name="_Toc13530"/>
      <w:bookmarkStart w:id="5" w:name="_Toc26178"/>
      <w:r>
        <w:rPr>
          <w:rFonts w:hint="eastAsia" w:ascii="宋体" w:hAnsi="宋体" w:eastAsia="宋体" w:cs="宋体"/>
          <w:b/>
          <w:bCs/>
          <w:color w:val="auto"/>
          <w:sz w:val="24"/>
          <w:szCs w:val="18"/>
          <w:highlight w:val="none"/>
        </w:rPr>
        <w:t>二、</w:t>
      </w:r>
      <w:bookmarkEnd w:id="4"/>
      <w:r>
        <w:rPr>
          <w:rFonts w:hint="eastAsia" w:ascii="宋体" w:hAnsi="宋体" w:eastAsia="宋体" w:cs="宋体"/>
          <w:b/>
          <w:bCs/>
          <w:color w:val="auto"/>
          <w:sz w:val="24"/>
          <w:szCs w:val="18"/>
          <w:highlight w:val="none"/>
        </w:rPr>
        <w:t>申请人的资格要求</w:t>
      </w:r>
      <w:bookmarkEnd w:id="5"/>
    </w:p>
    <w:p w14:paraId="6735E242">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1.满足《中华人民共和国政府采购法》第二十二条规定；</w:t>
      </w:r>
    </w:p>
    <w:p w14:paraId="5996B269">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2.落实政府采购政策需满足的资格要求：</w:t>
      </w:r>
    </w:p>
    <w:p w14:paraId="6DA25D2E">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2.1中小企业政策</w:t>
      </w:r>
    </w:p>
    <w:p w14:paraId="38C9417E">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2.1.1☑本项目不专门面向中小企业预留采购份额。</w:t>
      </w:r>
    </w:p>
    <w:p w14:paraId="4E2CE07A">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cs="宋体"/>
          <w:b/>
          <w:bCs/>
          <w:color w:val="auto"/>
          <w:sz w:val="24"/>
          <w:highlight w:val="none"/>
          <w:lang w:val="en-US" w:eastAsia="zh-CN"/>
        </w:rPr>
      </w:pPr>
      <w:r>
        <w:rPr>
          <w:rFonts w:hint="eastAsia" w:ascii="宋体" w:hAnsi="宋体" w:eastAsia="宋体" w:cs="宋体"/>
          <w:color w:val="auto"/>
          <w:sz w:val="24"/>
          <w:highlight w:val="none"/>
          <w:lang w:val="en-US" w:eastAsia="zh-CN"/>
        </w:rPr>
        <w:t>2.1.2□本项目专门面向</w:t>
      </w:r>
      <w:r>
        <w:rPr>
          <w:rFonts w:hint="eastAsia" w:ascii="宋体" w:hAnsi="宋体" w:eastAsia="宋体" w:cs="宋体"/>
          <w:color w:val="auto"/>
          <w:sz w:val="24"/>
          <w:highlight w:val="none"/>
          <w:u w:val="none"/>
          <w:lang w:val="en-US" w:eastAsia="zh-CN"/>
        </w:rPr>
        <w:t>中小企业</w:t>
      </w:r>
      <w:r>
        <w:rPr>
          <w:rFonts w:hint="eastAsia" w:ascii="宋体" w:hAnsi="宋体" w:eastAsia="宋体" w:cs="宋体"/>
          <w:color w:val="auto"/>
          <w:sz w:val="24"/>
          <w:highlight w:val="none"/>
          <w:lang w:val="en-US" w:eastAsia="zh-CN"/>
        </w:rPr>
        <w:t>采购，投标人所提供的货物全部由中小微企业或监狱企业或残疾人福利性单位制造。</w:t>
      </w:r>
    </w:p>
    <w:p w14:paraId="0631B8F4">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2.1.3□本项目预留部分采购项目预算专门面向中小企业采购。对于预留份额，提供的货物由符合政策要求的中小企业制造。预留份额通过以下措施进行：</w:t>
      </w:r>
      <w:r>
        <w:rPr>
          <w:rFonts w:hint="eastAsia" w:ascii="宋体" w:hAnsi="宋体" w:eastAsia="宋体" w:cs="宋体"/>
          <w:color w:val="auto"/>
          <w:sz w:val="24"/>
          <w:highlight w:val="none"/>
          <w:u w:val="single"/>
          <w:lang w:val="en-US" w:eastAsia="zh-CN"/>
        </w:rPr>
        <w:t xml:space="preserve"> / </w:t>
      </w:r>
      <w:r>
        <w:rPr>
          <w:rFonts w:hint="eastAsia" w:ascii="宋体" w:hAnsi="宋体" w:eastAsia="宋体" w:cs="宋体"/>
          <w:color w:val="auto"/>
          <w:sz w:val="24"/>
          <w:highlight w:val="none"/>
          <w:lang w:val="en-US" w:eastAsia="zh-CN"/>
        </w:rPr>
        <w:t>。</w:t>
      </w:r>
    </w:p>
    <w:p w14:paraId="09AEFE87">
      <w:pPr>
        <w:keepNext w:val="0"/>
        <w:keepLines w:val="0"/>
        <w:pageBreakBefore w:val="0"/>
        <w:widowControl w:val="0"/>
        <w:kinsoku/>
        <w:wordWrap/>
        <w:overflowPunct/>
        <w:topLinePunct w:val="0"/>
        <w:autoSpaceDE/>
        <w:autoSpaceDN/>
        <w:bidi w:val="0"/>
        <w:adjustRightInd/>
        <w:snapToGrid/>
        <w:spacing w:line="360" w:lineRule="auto"/>
        <w:ind w:firstLine="437"/>
        <w:textAlignment w:val="auto"/>
        <w:rPr>
          <w:rFonts w:hint="eastAsia" w:ascii="宋体" w:hAnsi="宋体" w:eastAsia="宋体" w:cs="宋体"/>
          <w:color w:val="auto"/>
          <w:highlight w:val="none"/>
          <w:lang w:eastAsia="zh-CN"/>
        </w:rPr>
      </w:pPr>
      <w:r>
        <w:rPr>
          <w:rFonts w:hint="eastAsia" w:ascii="宋体" w:hAnsi="宋体" w:eastAsia="宋体" w:cs="宋体"/>
          <w:color w:val="auto"/>
          <w:sz w:val="24"/>
          <w:highlight w:val="none"/>
          <w:lang w:val="en-US" w:eastAsia="zh-CN"/>
        </w:rPr>
        <w:t>2.2其它落实政府采购政策的资格要求：</w:t>
      </w:r>
      <w:r>
        <w:rPr>
          <w:rFonts w:hint="eastAsia" w:ascii="宋体" w:hAnsi="宋体" w:eastAsia="宋体" w:cs="宋体"/>
          <w:color w:val="auto"/>
          <w:sz w:val="24"/>
          <w:highlight w:val="none"/>
          <w:u w:val="none"/>
          <w:lang w:val="en-US" w:eastAsia="zh-CN"/>
        </w:rPr>
        <w:t>无</w:t>
      </w:r>
      <w:r>
        <w:rPr>
          <w:rFonts w:hint="eastAsia" w:ascii="宋体" w:hAnsi="宋体" w:eastAsia="宋体" w:cs="宋体"/>
          <w:color w:val="auto"/>
          <w:sz w:val="24"/>
          <w:highlight w:val="none"/>
          <w:lang w:val="en-US" w:eastAsia="zh-CN"/>
        </w:rPr>
        <w:t>。</w:t>
      </w:r>
    </w:p>
    <w:p w14:paraId="77C503C0">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3.本项目的特定资格要求：</w:t>
      </w:r>
    </w:p>
    <w:p w14:paraId="6583CEA0">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投标人不得存在以下不良信用记录情形之一：</w:t>
      </w:r>
    </w:p>
    <w:p w14:paraId="412313A0">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（1）投标人被人民法院列入失信被执行人的；</w:t>
      </w:r>
    </w:p>
    <w:p w14:paraId="2593B08F">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（2）投标人被税务部门列入重大税收违法案件当事人名单的；</w:t>
      </w:r>
    </w:p>
    <w:p w14:paraId="0391836A">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rPr>
        <w:t>（3）投标人被政府采购监管部门列入政府采购严重违法失信行为记录名单的。</w:t>
      </w:r>
    </w:p>
    <w:p w14:paraId="3EFE3DAB">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cs="宋体"/>
          <w:b/>
          <w:bCs/>
          <w:color w:val="auto"/>
          <w:sz w:val="24"/>
          <w:szCs w:val="18"/>
          <w:highlight w:val="none"/>
        </w:rPr>
      </w:pPr>
      <w:bookmarkStart w:id="6" w:name="_Toc30110"/>
      <w:bookmarkStart w:id="7" w:name="_Toc32089"/>
      <w:r>
        <w:rPr>
          <w:rFonts w:hint="eastAsia" w:ascii="宋体" w:hAnsi="宋体" w:eastAsia="宋体" w:cs="宋体"/>
          <w:b/>
          <w:bCs/>
          <w:color w:val="auto"/>
          <w:sz w:val="24"/>
          <w:szCs w:val="18"/>
          <w:highlight w:val="none"/>
        </w:rPr>
        <w:t>三、</w:t>
      </w:r>
      <w:bookmarkEnd w:id="6"/>
      <w:r>
        <w:rPr>
          <w:rFonts w:hint="eastAsia" w:ascii="宋体" w:hAnsi="宋体" w:eastAsia="宋体" w:cs="宋体"/>
          <w:b/>
          <w:bCs/>
          <w:color w:val="auto"/>
          <w:sz w:val="24"/>
          <w:szCs w:val="18"/>
          <w:highlight w:val="none"/>
        </w:rPr>
        <w:t>获取招标文件</w:t>
      </w:r>
      <w:bookmarkEnd w:id="7"/>
    </w:p>
    <w:p w14:paraId="1A4F3129">
      <w:pPr>
        <w:keepNext w:val="0"/>
        <w:keepLines w:val="0"/>
        <w:pageBreakBefore w:val="0"/>
        <w:widowControl w:val="0"/>
        <w:kinsoku/>
        <w:wordWrap/>
        <w:overflowPunct/>
        <w:topLinePunct w:val="0"/>
        <w:autoSpaceDE/>
        <w:autoSpaceDN/>
        <w:bidi w:val="0"/>
        <w:adjustRightInd/>
        <w:snapToGrid/>
        <w:spacing w:line="360" w:lineRule="auto"/>
        <w:ind w:firstLine="435"/>
        <w:textAlignment w:val="auto"/>
        <w:outlineLvl w:val="9"/>
        <w:rPr>
          <w:rFonts w:hint="eastAsia" w:ascii="宋体" w:hAnsi="宋体" w:eastAsia="宋体" w:cs="宋体"/>
          <w:color w:val="auto"/>
          <w:sz w:val="24"/>
          <w:highlight w:val="none"/>
        </w:rPr>
      </w:pPr>
      <w:bookmarkStart w:id="8" w:name="_Toc7957"/>
      <w:r>
        <w:rPr>
          <w:rFonts w:hint="eastAsia" w:ascii="宋体" w:hAnsi="宋体" w:eastAsia="宋体" w:cs="宋体"/>
          <w:color w:val="auto"/>
          <w:sz w:val="24"/>
          <w:highlight w:val="none"/>
        </w:rPr>
        <w:t>时间：202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日至202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rPr>
        <w:t>，每天上午0:00到12</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00</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下午12:00到23:59（北京时间，法定节假日除外）</w:t>
      </w:r>
    </w:p>
    <w:p w14:paraId="5BBC45C5">
      <w:pPr>
        <w:keepNext w:val="0"/>
        <w:keepLines w:val="0"/>
        <w:pageBreakBefore w:val="0"/>
        <w:widowControl w:val="0"/>
        <w:kinsoku/>
        <w:wordWrap/>
        <w:overflowPunct/>
        <w:topLinePunct w:val="0"/>
        <w:autoSpaceDE/>
        <w:autoSpaceDN/>
        <w:bidi w:val="0"/>
        <w:adjustRightInd/>
        <w:snapToGrid/>
        <w:spacing w:line="360" w:lineRule="auto"/>
        <w:ind w:firstLine="435"/>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地点：“徽采云”电子交易系统</w:t>
      </w:r>
    </w:p>
    <w:p w14:paraId="5F0052D7">
      <w:pPr>
        <w:keepNext w:val="0"/>
        <w:keepLines w:val="0"/>
        <w:pageBreakBefore w:val="0"/>
        <w:widowControl w:val="0"/>
        <w:kinsoku/>
        <w:wordWrap/>
        <w:overflowPunct/>
        <w:topLinePunct w:val="0"/>
        <w:autoSpaceDE/>
        <w:autoSpaceDN/>
        <w:bidi w:val="0"/>
        <w:adjustRightInd/>
        <w:snapToGrid/>
        <w:spacing w:line="360" w:lineRule="auto"/>
        <w:ind w:firstLine="435"/>
        <w:jc w:val="left"/>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方式：供应商登录“徽采云”电子交易系统</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https://login.anhui.zcygov.cn/user-login/#/login</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在线申请获取采购文件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进入“项目采购”应用，在获取采购文件菜单中选择项目，申请获取采购文件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。登录须持有电子交易系统兼容的数字证书，详情参见“安徽省政府采购网-徽采学院-电子交易系统学习专题-供应商-操作手册”</w:t>
      </w:r>
    </w:p>
    <w:p w14:paraId="0ABA19C0">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cs="宋体"/>
          <w:b/>
          <w:bCs/>
          <w:color w:val="auto"/>
          <w:sz w:val="24"/>
          <w:szCs w:val="18"/>
          <w:highlight w:val="none"/>
        </w:rPr>
      </w:pPr>
      <w:bookmarkStart w:id="9" w:name="_Toc19726"/>
      <w:r>
        <w:rPr>
          <w:rFonts w:hint="eastAsia" w:ascii="宋体" w:hAnsi="宋体" w:eastAsia="宋体" w:cs="宋体"/>
          <w:b/>
          <w:bCs/>
          <w:color w:val="auto"/>
          <w:sz w:val="24"/>
          <w:szCs w:val="18"/>
          <w:highlight w:val="none"/>
        </w:rPr>
        <w:t>四、</w:t>
      </w:r>
      <w:bookmarkEnd w:id="8"/>
      <w:r>
        <w:rPr>
          <w:rFonts w:hint="eastAsia" w:ascii="宋体" w:hAnsi="宋体" w:eastAsia="宋体" w:cs="宋体"/>
          <w:b/>
          <w:bCs/>
          <w:color w:val="auto"/>
          <w:sz w:val="24"/>
          <w:szCs w:val="18"/>
          <w:highlight w:val="none"/>
        </w:rPr>
        <w:t>提交投标文件截止时间、开标时间和地点</w:t>
      </w:r>
      <w:bookmarkEnd w:id="9"/>
    </w:p>
    <w:p w14:paraId="28B31857">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cs="宋体"/>
          <w:b w:val="0"/>
          <w:bCs w:val="0"/>
          <w:color w:val="auto"/>
          <w:sz w:val="24"/>
          <w:szCs w:val="18"/>
          <w:highlight w:val="none"/>
          <w:lang w:eastAsia="zh-CN"/>
        </w:rPr>
      </w:pPr>
      <w:bookmarkStart w:id="10" w:name="_Toc5082"/>
      <w:r>
        <w:rPr>
          <w:rFonts w:hint="eastAsia" w:ascii="宋体" w:hAnsi="宋体" w:eastAsia="宋体" w:cs="宋体"/>
          <w:b w:val="0"/>
          <w:bCs w:val="0"/>
          <w:color w:val="auto"/>
          <w:sz w:val="24"/>
          <w:szCs w:val="18"/>
          <w:highlight w:val="none"/>
          <w:lang w:val="en-US" w:eastAsia="zh-CN"/>
        </w:rPr>
        <w:t>2025</w:t>
      </w:r>
      <w:r>
        <w:rPr>
          <w:rFonts w:hint="eastAsia" w:ascii="宋体" w:hAnsi="宋体" w:eastAsia="宋体" w:cs="宋体"/>
          <w:b w:val="0"/>
          <w:bCs w:val="0"/>
          <w:color w:val="auto"/>
          <w:sz w:val="24"/>
          <w:szCs w:val="18"/>
          <w:highlight w:val="none"/>
        </w:rPr>
        <w:t>年</w:t>
      </w:r>
      <w:r>
        <w:rPr>
          <w:rFonts w:hint="eastAsia" w:ascii="宋体" w:hAnsi="宋体" w:eastAsia="宋体" w:cs="宋体"/>
          <w:b w:val="0"/>
          <w:bCs w:val="0"/>
          <w:color w:val="auto"/>
          <w:sz w:val="24"/>
          <w:szCs w:val="18"/>
          <w:highlight w:val="none"/>
          <w:lang w:val="en-US" w:eastAsia="zh-CN"/>
        </w:rPr>
        <w:t>9</w:t>
      </w:r>
      <w:r>
        <w:rPr>
          <w:rFonts w:hint="eastAsia" w:ascii="宋体" w:hAnsi="宋体" w:eastAsia="宋体" w:cs="宋体"/>
          <w:b w:val="0"/>
          <w:bCs w:val="0"/>
          <w:color w:val="auto"/>
          <w:sz w:val="24"/>
          <w:szCs w:val="18"/>
          <w:highlight w:val="none"/>
        </w:rPr>
        <w:t>月</w:t>
      </w:r>
      <w:r>
        <w:rPr>
          <w:rFonts w:hint="eastAsia" w:ascii="宋体" w:hAnsi="宋体" w:eastAsia="宋体" w:cs="宋体"/>
          <w:b w:val="0"/>
          <w:bCs w:val="0"/>
          <w:color w:val="auto"/>
          <w:sz w:val="24"/>
          <w:szCs w:val="18"/>
          <w:highlight w:val="none"/>
          <w:lang w:val="en-US" w:eastAsia="zh-CN"/>
        </w:rPr>
        <w:t>29</w:t>
      </w:r>
      <w:r>
        <w:rPr>
          <w:rFonts w:hint="eastAsia" w:ascii="宋体" w:hAnsi="宋体" w:eastAsia="宋体" w:cs="宋体"/>
          <w:b w:val="0"/>
          <w:bCs w:val="0"/>
          <w:color w:val="auto"/>
          <w:sz w:val="24"/>
          <w:szCs w:val="18"/>
          <w:highlight w:val="none"/>
        </w:rPr>
        <w:t>日</w:t>
      </w:r>
      <w:r>
        <w:rPr>
          <w:rFonts w:hint="eastAsia" w:ascii="宋体" w:hAnsi="宋体" w:eastAsia="宋体" w:cs="宋体"/>
          <w:b w:val="0"/>
          <w:bCs w:val="0"/>
          <w:color w:val="auto"/>
          <w:sz w:val="24"/>
          <w:szCs w:val="18"/>
          <w:highlight w:val="none"/>
          <w:lang w:val="en-US" w:eastAsia="zh-CN"/>
        </w:rPr>
        <w:t>09</w:t>
      </w:r>
      <w:r>
        <w:rPr>
          <w:rFonts w:hint="eastAsia" w:ascii="宋体" w:hAnsi="宋体" w:eastAsia="宋体" w:cs="宋体"/>
          <w:b w:val="0"/>
          <w:bCs w:val="0"/>
          <w:color w:val="auto"/>
          <w:sz w:val="24"/>
          <w:szCs w:val="18"/>
          <w:highlight w:val="none"/>
        </w:rPr>
        <w:t>点</w:t>
      </w:r>
      <w:r>
        <w:rPr>
          <w:rFonts w:hint="eastAsia" w:ascii="宋体" w:hAnsi="宋体" w:eastAsia="宋体" w:cs="宋体"/>
          <w:b w:val="0"/>
          <w:bCs w:val="0"/>
          <w:color w:val="auto"/>
          <w:sz w:val="24"/>
          <w:szCs w:val="18"/>
          <w:highlight w:val="none"/>
          <w:lang w:val="en-US" w:eastAsia="zh-CN"/>
        </w:rPr>
        <w:t>00</w:t>
      </w:r>
      <w:r>
        <w:rPr>
          <w:rFonts w:hint="eastAsia" w:ascii="宋体" w:hAnsi="宋体" w:eastAsia="宋体" w:cs="宋体"/>
          <w:b w:val="0"/>
          <w:bCs w:val="0"/>
          <w:color w:val="auto"/>
          <w:sz w:val="24"/>
          <w:szCs w:val="18"/>
          <w:highlight w:val="none"/>
        </w:rPr>
        <w:t>分</w:t>
      </w:r>
      <w:r>
        <w:rPr>
          <w:rFonts w:hint="eastAsia" w:ascii="宋体" w:hAnsi="宋体" w:eastAsia="宋体" w:cs="宋体"/>
          <w:b w:val="0"/>
          <w:bCs w:val="0"/>
          <w:color w:val="auto"/>
          <w:sz w:val="24"/>
          <w:szCs w:val="18"/>
          <w:highlight w:val="none"/>
        </w:rPr>
        <w:t>（北京时间）</w:t>
      </w:r>
      <w:r>
        <w:rPr>
          <w:rFonts w:hint="eastAsia" w:ascii="宋体" w:hAnsi="宋体" w:eastAsia="宋体" w:cs="宋体"/>
          <w:b w:val="0"/>
          <w:bCs w:val="0"/>
          <w:color w:val="auto"/>
          <w:sz w:val="24"/>
          <w:szCs w:val="18"/>
          <w:highlight w:val="none"/>
          <w:lang w:eastAsia="zh-CN"/>
        </w:rPr>
        <w:t>；</w:t>
      </w:r>
    </w:p>
    <w:p w14:paraId="4E8071EA">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cs="宋体"/>
          <w:b w:val="0"/>
          <w:bCs w:val="0"/>
          <w:color w:val="auto"/>
          <w:sz w:val="24"/>
          <w:szCs w:val="18"/>
          <w:highlight w:val="none"/>
        </w:rPr>
      </w:pPr>
      <w:r>
        <w:rPr>
          <w:rFonts w:hint="eastAsia" w:ascii="宋体" w:hAnsi="宋体" w:eastAsia="宋体" w:cs="宋体"/>
          <w:b w:val="0"/>
          <w:bCs w:val="0"/>
          <w:color w:val="auto"/>
          <w:sz w:val="24"/>
          <w:szCs w:val="18"/>
          <w:highlight w:val="none"/>
        </w:rPr>
        <w:t>地点：“徽采云”电子交易系统。</w:t>
      </w:r>
    </w:p>
    <w:p w14:paraId="75AE9634">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cs="宋体"/>
          <w:b/>
          <w:bCs/>
          <w:color w:val="auto"/>
          <w:sz w:val="24"/>
          <w:szCs w:val="18"/>
          <w:highlight w:val="none"/>
        </w:rPr>
      </w:pPr>
      <w:bookmarkStart w:id="11" w:name="_Toc28531"/>
      <w:r>
        <w:rPr>
          <w:rFonts w:hint="eastAsia" w:ascii="宋体" w:hAnsi="宋体" w:eastAsia="宋体" w:cs="宋体"/>
          <w:b/>
          <w:bCs/>
          <w:color w:val="auto"/>
          <w:sz w:val="24"/>
          <w:szCs w:val="18"/>
          <w:highlight w:val="none"/>
        </w:rPr>
        <w:t>五、</w:t>
      </w:r>
      <w:bookmarkEnd w:id="10"/>
      <w:r>
        <w:rPr>
          <w:rFonts w:hint="eastAsia" w:ascii="宋体" w:hAnsi="宋体" w:eastAsia="宋体" w:cs="宋体"/>
          <w:b/>
          <w:bCs/>
          <w:color w:val="auto"/>
          <w:sz w:val="24"/>
          <w:szCs w:val="18"/>
          <w:highlight w:val="none"/>
        </w:rPr>
        <w:t>公告期限</w:t>
      </w:r>
      <w:bookmarkEnd w:id="11"/>
    </w:p>
    <w:p w14:paraId="48B6911D">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cs="宋体"/>
          <w:b w:val="0"/>
          <w:bCs w:val="0"/>
          <w:color w:val="auto"/>
          <w:sz w:val="24"/>
          <w:szCs w:val="18"/>
          <w:highlight w:val="none"/>
        </w:rPr>
      </w:pPr>
      <w:bookmarkStart w:id="12" w:name="_Toc1215"/>
      <w:r>
        <w:rPr>
          <w:rFonts w:hint="eastAsia" w:ascii="宋体" w:hAnsi="宋体" w:eastAsia="宋体" w:cs="宋体"/>
          <w:b w:val="0"/>
          <w:bCs w:val="0"/>
          <w:color w:val="auto"/>
          <w:sz w:val="24"/>
          <w:szCs w:val="18"/>
          <w:highlight w:val="none"/>
        </w:rPr>
        <w:t>自本公告发布之日起5个工作日。</w:t>
      </w:r>
    </w:p>
    <w:p w14:paraId="121B439E">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cs="宋体"/>
          <w:b/>
          <w:bCs/>
          <w:color w:val="auto"/>
          <w:sz w:val="24"/>
          <w:szCs w:val="18"/>
          <w:highlight w:val="none"/>
        </w:rPr>
      </w:pPr>
      <w:bookmarkStart w:id="13" w:name="_Toc8807"/>
      <w:bookmarkStart w:id="14" w:name="_Toc35393795"/>
      <w:bookmarkStart w:id="15" w:name="_Toc35393626"/>
      <w:r>
        <w:rPr>
          <w:rFonts w:hint="eastAsia" w:ascii="宋体" w:hAnsi="宋体" w:eastAsia="宋体" w:cs="宋体"/>
          <w:b/>
          <w:bCs/>
          <w:color w:val="auto"/>
          <w:sz w:val="24"/>
          <w:szCs w:val="18"/>
          <w:highlight w:val="none"/>
        </w:rPr>
        <w:t>六、其他补充事宜</w:t>
      </w:r>
      <w:bookmarkEnd w:id="13"/>
      <w:bookmarkEnd w:id="14"/>
      <w:bookmarkEnd w:id="15"/>
    </w:p>
    <w:p w14:paraId="3B4255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1.项目采用全流程电子化采购方式，相关操作说明详情参见“安徽省政府采购网-徽采学院-电子交易系统学习专题-供应商-操作手册”</w:t>
      </w:r>
    </w:p>
    <w:p w14:paraId="62D99F1A">
      <w:pPr>
        <w:pStyle w:val="10"/>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2.本项目落实节能环保、中小微型企业扶持等相关政府采购政策；</w:t>
      </w:r>
    </w:p>
    <w:p w14:paraId="1717BA8A">
      <w:pPr>
        <w:pStyle w:val="10"/>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3.本次招标公告在安徽省政府采购网上发布；</w:t>
      </w:r>
    </w:p>
    <w:p w14:paraId="7C077937">
      <w:pPr>
        <w:pStyle w:val="10"/>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潜在投标人应合理安排招标文件获取时间，特别是网络速度慢的地区防止在系统关闭前网络拥堵无法操作。如果因计算机及网络故障造成无法完成招标文件获取，责任自负。采购文件获取过程中有任何疑问，请在工作时间（09:00-17:30，节假日休息）拨打技术支持热线（非项目咨询）：95763。项目咨询请拨打代理机构项目联系人电话：0554-6639862、189554251912。</w:t>
      </w:r>
    </w:p>
    <w:p w14:paraId="50C455D6">
      <w:pPr>
        <w:pStyle w:val="10"/>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本项目符合财政部、工业和信息化部制定的《政府采购促进中小企业发展管理办法》第六条第二款第3项之规定，为非专门面向中小企业采购项目。具体原因如下：按照本办法规定预留采购份额无法确保充分供应、充分竞争，可能影响政府采购目标实现。如对此项内容有疑问，可通过采购文件约定的方式进行质疑。</w:t>
      </w:r>
    </w:p>
    <w:bookmarkEnd w:id="12"/>
    <w:p w14:paraId="6ABEEFDE">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cs="宋体"/>
          <w:b/>
          <w:bCs/>
          <w:color w:val="auto"/>
          <w:sz w:val="24"/>
          <w:szCs w:val="18"/>
          <w:highlight w:val="none"/>
        </w:rPr>
      </w:pPr>
      <w:bookmarkStart w:id="16" w:name="_Toc7265"/>
      <w:bookmarkStart w:id="17" w:name="_Toc3854"/>
      <w:r>
        <w:rPr>
          <w:rFonts w:hint="eastAsia" w:ascii="宋体" w:hAnsi="宋体" w:eastAsia="宋体" w:cs="宋体"/>
          <w:b/>
          <w:bCs/>
          <w:color w:val="auto"/>
          <w:sz w:val="24"/>
          <w:szCs w:val="18"/>
          <w:highlight w:val="none"/>
        </w:rPr>
        <w:t>七、</w:t>
      </w:r>
      <w:bookmarkEnd w:id="16"/>
      <w:r>
        <w:rPr>
          <w:rFonts w:hint="eastAsia" w:ascii="宋体" w:hAnsi="宋体" w:eastAsia="宋体" w:cs="宋体"/>
          <w:b/>
          <w:bCs/>
          <w:color w:val="auto"/>
          <w:sz w:val="24"/>
          <w:szCs w:val="18"/>
          <w:highlight w:val="none"/>
        </w:rPr>
        <w:t>对本次招标提出询问，请按以下方式联系</w:t>
      </w:r>
      <w:bookmarkEnd w:id="17"/>
    </w:p>
    <w:p w14:paraId="11572B9A">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cs="宋体"/>
          <w:color w:val="auto"/>
          <w:sz w:val="24"/>
          <w:szCs w:val="18"/>
          <w:highlight w:val="none"/>
          <w:lang w:val="en-US" w:eastAsia="zh-CN"/>
        </w:rPr>
      </w:pPr>
      <w:r>
        <w:rPr>
          <w:rFonts w:hint="eastAsia" w:ascii="宋体" w:hAnsi="宋体" w:eastAsia="宋体" w:cs="宋体"/>
          <w:color w:val="auto"/>
          <w:sz w:val="24"/>
          <w:szCs w:val="18"/>
          <w:highlight w:val="none"/>
        </w:rPr>
        <w:t>1.采购人</w:t>
      </w:r>
      <w:r>
        <w:rPr>
          <w:rFonts w:hint="eastAsia" w:ascii="宋体" w:hAnsi="宋体" w:eastAsia="宋体" w:cs="宋体"/>
          <w:color w:val="auto"/>
          <w:sz w:val="24"/>
          <w:szCs w:val="18"/>
          <w:highlight w:val="none"/>
          <w:lang w:val="en-US" w:eastAsia="zh-CN"/>
        </w:rPr>
        <w:t>信息</w:t>
      </w:r>
    </w:p>
    <w:p w14:paraId="49825F9C">
      <w:pPr>
        <w:keepNext w:val="0"/>
        <w:keepLines w:val="0"/>
        <w:pageBreakBefore w:val="0"/>
        <w:widowControl w:val="0"/>
        <w:kinsoku/>
        <w:wordWrap/>
        <w:overflowPunct/>
        <w:topLinePunct w:val="0"/>
        <w:autoSpaceDE/>
        <w:autoSpaceDN/>
        <w:bidi w:val="0"/>
        <w:adjustRightInd/>
        <w:snapToGrid/>
        <w:spacing w:line="360" w:lineRule="auto"/>
        <w:ind w:firstLine="435"/>
        <w:textAlignment w:val="auto"/>
        <w:outlineLvl w:val="9"/>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lang w:val="en-US" w:eastAsia="zh-CN"/>
        </w:rPr>
        <w:t>名  称</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lang w:eastAsia="zh-CN"/>
        </w:rPr>
        <w:t>安徽理工大学</w:t>
      </w:r>
    </w:p>
    <w:p w14:paraId="3CF974EB">
      <w:pPr>
        <w:keepNext w:val="0"/>
        <w:keepLines w:val="0"/>
        <w:pageBreakBefore w:val="0"/>
        <w:widowControl w:val="0"/>
        <w:kinsoku/>
        <w:wordWrap/>
        <w:overflowPunct/>
        <w:topLinePunct w:val="0"/>
        <w:autoSpaceDE/>
        <w:autoSpaceDN/>
        <w:bidi w:val="0"/>
        <w:adjustRightInd/>
        <w:snapToGrid/>
        <w:spacing w:line="360" w:lineRule="auto"/>
        <w:ind w:firstLine="435"/>
        <w:textAlignment w:val="auto"/>
        <w:outlineLvl w:val="9"/>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地  址：</w:t>
      </w:r>
      <w:r>
        <w:rPr>
          <w:rFonts w:hint="eastAsia" w:ascii="宋体" w:hAnsi="宋体" w:eastAsia="宋体" w:cs="宋体"/>
          <w:color w:val="auto"/>
          <w:sz w:val="24"/>
          <w:szCs w:val="24"/>
          <w:highlight w:val="none"/>
          <w:u w:val="none"/>
          <w:lang w:eastAsia="zh-CN"/>
        </w:rPr>
        <w:t>淮南市泰丰大街168号</w:t>
      </w:r>
    </w:p>
    <w:p w14:paraId="33153A86">
      <w:pPr>
        <w:keepNext w:val="0"/>
        <w:keepLines w:val="0"/>
        <w:pageBreakBefore w:val="0"/>
        <w:widowControl w:val="0"/>
        <w:kinsoku/>
        <w:wordWrap/>
        <w:overflowPunct/>
        <w:topLinePunct w:val="0"/>
        <w:autoSpaceDE/>
        <w:autoSpaceDN/>
        <w:bidi w:val="0"/>
        <w:adjustRightInd/>
        <w:snapToGrid/>
        <w:spacing w:line="360" w:lineRule="auto"/>
        <w:ind w:firstLine="435"/>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联系人：孙老师</w:t>
      </w:r>
    </w:p>
    <w:p w14:paraId="59181CC6">
      <w:pPr>
        <w:keepNext w:val="0"/>
        <w:keepLines w:val="0"/>
        <w:pageBreakBefore w:val="0"/>
        <w:widowControl w:val="0"/>
        <w:kinsoku/>
        <w:wordWrap/>
        <w:overflowPunct/>
        <w:topLinePunct w:val="0"/>
        <w:autoSpaceDE/>
        <w:autoSpaceDN/>
        <w:bidi w:val="0"/>
        <w:adjustRightInd/>
        <w:snapToGrid/>
        <w:spacing w:line="360" w:lineRule="auto"/>
        <w:ind w:firstLine="435"/>
        <w:textAlignment w:val="auto"/>
        <w:outlineLvl w:val="9"/>
        <w:rPr>
          <w:rFonts w:hint="eastAsia" w:ascii="宋体" w:hAnsi="宋体" w:eastAsia="宋体" w:cs="宋体"/>
          <w:color w:val="auto"/>
          <w:sz w:val="24"/>
          <w:szCs w:val="18"/>
          <w:highlight w:val="none"/>
          <w:u w:val="none"/>
        </w:rPr>
      </w:pPr>
      <w:r>
        <w:rPr>
          <w:rFonts w:hint="eastAsia" w:ascii="宋体" w:hAnsi="宋体" w:eastAsia="宋体" w:cs="宋体"/>
          <w:color w:val="auto"/>
          <w:sz w:val="24"/>
          <w:szCs w:val="24"/>
          <w:highlight w:val="none"/>
          <w:u w:val="none"/>
        </w:rPr>
        <w:t>联系</w:t>
      </w:r>
      <w:r>
        <w:rPr>
          <w:rFonts w:hint="eastAsia" w:ascii="宋体" w:hAnsi="宋体" w:eastAsia="宋体" w:cs="宋体"/>
          <w:color w:val="auto"/>
          <w:sz w:val="24"/>
          <w:szCs w:val="24"/>
          <w:highlight w:val="none"/>
          <w:u w:val="none"/>
          <w:lang w:val="en-US" w:eastAsia="zh-CN"/>
        </w:rPr>
        <w:t>方式</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lang w:eastAsia="zh-CN"/>
        </w:rPr>
        <w:t>0554-6634216</w:t>
      </w:r>
    </w:p>
    <w:p w14:paraId="1A43026F">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cs="宋体"/>
          <w:color w:val="auto"/>
          <w:sz w:val="24"/>
          <w:szCs w:val="18"/>
          <w:highlight w:val="none"/>
          <w:u w:val="none"/>
          <w:lang w:val="en-US" w:eastAsia="zh-CN"/>
        </w:rPr>
      </w:pPr>
      <w:r>
        <w:rPr>
          <w:rFonts w:hint="eastAsia" w:ascii="宋体" w:hAnsi="宋体" w:eastAsia="宋体" w:cs="宋体"/>
          <w:color w:val="auto"/>
          <w:sz w:val="24"/>
          <w:szCs w:val="18"/>
          <w:highlight w:val="none"/>
          <w:u w:val="none"/>
        </w:rPr>
        <w:t>2.采购代理机构</w:t>
      </w:r>
      <w:r>
        <w:rPr>
          <w:rFonts w:hint="eastAsia" w:ascii="宋体" w:hAnsi="宋体" w:eastAsia="宋体" w:cs="宋体"/>
          <w:color w:val="auto"/>
          <w:sz w:val="24"/>
          <w:szCs w:val="18"/>
          <w:highlight w:val="none"/>
          <w:u w:val="none"/>
          <w:lang w:val="en-US" w:eastAsia="zh-CN"/>
        </w:rPr>
        <w:t>信息</w:t>
      </w:r>
    </w:p>
    <w:p w14:paraId="2520F7D6">
      <w:pPr>
        <w:keepNext w:val="0"/>
        <w:keepLines w:val="0"/>
        <w:pageBreakBefore w:val="0"/>
        <w:widowControl w:val="0"/>
        <w:kinsoku/>
        <w:wordWrap/>
        <w:overflowPunct/>
        <w:topLinePunct w:val="0"/>
        <w:autoSpaceDE/>
        <w:autoSpaceDN/>
        <w:bidi w:val="0"/>
        <w:adjustRightInd/>
        <w:snapToGrid/>
        <w:spacing w:line="360" w:lineRule="auto"/>
        <w:ind w:firstLine="435"/>
        <w:textAlignment w:val="auto"/>
        <w:outlineLvl w:val="9"/>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lang w:val="en-US" w:eastAsia="zh-CN"/>
        </w:rPr>
        <w:t>名  称</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lang w:eastAsia="zh-CN"/>
        </w:rPr>
        <w:t>上海容基工程项目管理有限公司</w:t>
      </w:r>
    </w:p>
    <w:p w14:paraId="38869F12">
      <w:pPr>
        <w:keepNext w:val="0"/>
        <w:keepLines w:val="0"/>
        <w:pageBreakBefore w:val="0"/>
        <w:widowControl w:val="0"/>
        <w:kinsoku/>
        <w:wordWrap/>
        <w:overflowPunct/>
        <w:topLinePunct w:val="0"/>
        <w:autoSpaceDE/>
        <w:autoSpaceDN/>
        <w:bidi w:val="0"/>
        <w:adjustRightInd/>
        <w:snapToGrid/>
        <w:spacing w:line="360" w:lineRule="auto"/>
        <w:ind w:firstLine="435"/>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rPr>
        <w:t>地  址：</w:t>
      </w:r>
      <w:r>
        <w:rPr>
          <w:rFonts w:hint="eastAsia" w:ascii="宋体" w:hAnsi="宋体" w:eastAsia="宋体" w:cs="宋体"/>
          <w:color w:val="auto"/>
          <w:sz w:val="24"/>
          <w:szCs w:val="24"/>
          <w:highlight w:val="none"/>
          <w:u w:val="none"/>
          <w:lang w:val="zh-CN" w:eastAsia="zh-CN"/>
        </w:rPr>
        <w:t>淮南市安成镇青年电子商务产业园二期二栋3层</w:t>
      </w:r>
    </w:p>
    <w:p w14:paraId="29CA7ABD">
      <w:pPr>
        <w:keepNext w:val="0"/>
        <w:keepLines w:val="0"/>
        <w:pageBreakBefore w:val="0"/>
        <w:widowControl w:val="0"/>
        <w:kinsoku/>
        <w:wordWrap/>
        <w:overflowPunct/>
        <w:topLinePunct w:val="0"/>
        <w:autoSpaceDE/>
        <w:autoSpaceDN/>
        <w:bidi w:val="0"/>
        <w:adjustRightInd/>
        <w:snapToGrid/>
        <w:spacing w:line="360" w:lineRule="auto"/>
        <w:ind w:firstLine="435"/>
        <w:textAlignment w:val="auto"/>
        <w:outlineLvl w:val="9"/>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lang w:val="en-US" w:eastAsia="zh-CN"/>
        </w:rPr>
        <w:t>联系人：陈兴亮</w:t>
      </w:r>
    </w:p>
    <w:p w14:paraId="278FA93A">
      <w:pPr>
        <w:keepNext w:val="0"/>
        <w:keepLines w:val="0"/>
        <w:pageBreakBefore w:val="0"/>
        <w:widowControl w:val="0"/>
        <w:kinsoku/>
        <w:wordWrap/>
        <w:overflowPunct/>
        <w:topLinePunct w:val="0"/>
        <w:autoSpaceDE/>
        <w:autoSpaceDN/>
        <w:bidi w:val="0"/>
        <w:adjustRightInd/>
        <w:snapToGrid/>
        <w:spacing w:line="360" w:lineRule="auto"/>
        <w:ind w:firstLine="435"/>
        <w:textAlignment w:val="auto"/>
        <w:outlineLvl w:val="9"/>
        <w:rPr>
          <w:rFonts w:hint="default" w:ascii="宋体" w:hAnsi="宋体" w:eastAsia="宋体" w:cs="宋体"/>
          <w:color w:val="auto"/>
          <w:sz w:val="24"/>
          <w:szCs w:val="18"/>
          <w:highlight w:val="none"/>
          <w:u w:val="none"/>
          <w:lang w:val="en-US"/>
        </w:rPr>
      </w:pPr>
      <w:r>
        <w:rPr>
          <w:rFonts w:hint="eastAsia" w:ascii="宋体" w:hAnsi="宋体" w:eastAsia="宋体" w:cs="宋体"/>
          <w:color w:val="auto"/>
          <w:sz w:val="24"/>
          <w:szCs w:val="24"/>
          <w:highlight w:val="none"/>
          <w:u w:val="none"/>
        </w:rPr>
        <w:t>联系</w:t>
      </w:r>
      <w:r>
        <w:rPr>
          <w:rFonts w:hint="eastAsia" w:ascii="宋体" w:hAnsi="宋体" w:eastAsia="宋体" w:cs="宋体"/>
          <w:color w:val="auto"/>
          <w:sz w:val="24"/>
          <w:szCs w:val="24"/>
          <w:highlight w:val="none"/>
          <w:u w:val="none"/>
          <w:lang w:val="en-US" w:eastAsia="zh-CN"/>
        </w:rPr>
        <w:t>方式</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lang w:val="en-US" w:eastAsia="zh-CN"/>
        </w:rPr>
        <w:t>17353743691</w:t>
      </w:r>
    </w:p>
    <w:p w14:paraId="155B309E">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cs="宋体"/>
          <w:b/>
          <w:color w:val="auto"/>
          <w:sz w:val="24"/>
          <w:szCs w:val="18"/>
          <w:highlight w:val="none"/>
          <w:u w:val="none"/>
          <w:lang w:val="en-US" w:eastAsia="zh-CN"/>
        </w:rPr>
      </w:pPr>
      <w:r>
        <w:rPr>
          <w:rFonts w:hint="eastAsia" w:ascii="宋体" w:hAnsi="宋体" w:eastAsia="宋体" w:cs="宋体"/>
          <w:b w:val="0"/>
          <w:bCs/>
          <w:color w:val="auto"/>
          <w:sz w:val="24"/>
          <w:szCs w:val="18"/>
          <w:highlight w:val="none"/>
          <w:u w:val="none"/>
          <w:lang w:val="en-US" w:eastAsia="zh-CN"/>
        </w:rPr>
        <w:t>3</w:t>
      </w:r>
      <w:r>
        <w:rPr>
          <w:rFonts w:hint="eastAsia" w:ascii="宋体" w:hAnsi="宋体" w:eastAsia="宋体" w:cs="宋体"/>
          <w:b/>
          <w:color w:val="auto"/>
          <w:sz w:val="24"/>
          <w:szCs w:val="18"/>
          <w:highlight w:val="none"/>
          <w:u w:val="none"/>
        </w:rPr>
        <w:t>.</w:t>
      </w:r>
      <w:r>
        <w:rPr>
          <w:rFonts w:hint="eastAsia" w:ascii="宋体" w:hAnsi="宋体" w:eastAsia="宋体" w:cs="宋体"/>
          <w:color w:val="auto"/>
          <w:sz w:val="24"/>
          <w:szCs w:val="18"/>
          <w:highlight w:val="none"/>
          <w:u w:val="none"/>
        </w:rPr>
        <w:t>政府采购监督管理部门</w:t>
      </w:r>
      <w:r>
        <w:rPr>
          <w:rFonts w:hint="eastAsia" w:ascii="宋体" w:hAnsi="宋体" w:eastAsia="宋体" w:cs="宋体"/>
          <w:color w:val="auto"/>
          <w:sz w:val="24"/>
          <w:szCs w:val="18"/>
          <w:highlight w:val="none"/>
          <w:u w:val="none"/>
          <w:lang w:val="en-US" w:eastAsia="zh-CN"/>
        </w:rPr>
        <w:t>信息</w:t>
      </w:r>
    </w:p>
    <w:p w14:paraId="3CD521E8">
      <w:pPr>
        <w:keepNext w:val="0"/>
        <w:keepLines w:val="0"/>
        <w:pageBreakBefore w:val="0"/>
        <w:widowControl w:val="0"/>
        <w:kinsoku/>
        <w:wordWrap/>
        <w:overflowPunct/>
        <w:topLinePunct w:val="0"/>
        <w:autoSpaceDE/>
        <w:autoSpaceDN/>
        <w:bidi w:val="0"/>
        <w:adjustRightInd/>
        <w:snapToGrid/>
        <w:spacing w:line="360" w:lineRule="auto"/>
        <w:ind w:firstLine="435"/>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名  称</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lang w:val="en-US" w:eastAsia="zh-CN"/>
        </w:rPr>
        <w:t>安徽省财政厅</w:t>
      </w:r>
    </w:p>
    <w:p w14:paraId="4AB8F4C6">
      <w:pPr>
        <w:keepNext w:val="0"/>
        <w:keepLines w:val="0"/>
        <w:pageBreakBefore w:val="0"/>
        <w:widowControl w:val="0"/>
        <w:kinsoku/>
        <w:wordWrap/>
        <w:overflowPunct/>
        <w:topLinePunct w:val="0"/>
        <w:autoSpaceDE/>
        <w:autoSpaceDN/>
        <w:bidi w:val="0"/>
        <w:adjustRightInd/>
        <w:snapToGrid/>
        <w:spacing w:line="360" w:lineRule="auto"/>
        <w:ind w:firstLine="435"/>
        <w:textAlignment w:val="auto"/>
        <w:outlineLvl w:val="9"/>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地  址：合肥市阜南西路238号</w:t>
      </w:r>
    </w:p>
    <w:p w14:paraId="3E713CD3">
      <w:pPr>
        <w:keepNext w:val="0"/>
        <w:keepLines w:val="0"/>
        <w:pageBreakBefore w:val="0"/>
        <w:widowControl w:val="0"/>
        <w:kinsoku/>
        <w:wordWrap/>
        <w:overflowPunct/>
        <w:topLinePunct w:val="0"/>
        <w:autoSpaceDE/>
        <w:autoSpaceDN/>
        <w:bidi w:val="0"/>
        <w:adjustRightInd/>
        <w:snapToGrid/>
        <w:spacing w:line="360" w:lineRule="auto"/>
        <w:ind w:firstLine="435"/>
        <w:textAlignment w:val="auto"/>
        <w:outlineLvl w:val="9"/>
        <w:rPr>
          <w:rFonts w:hint="eastAsia" w:ascii="宋体" w:hAnsi="宋体" w:eastAsia="宋体" w:cs="宋体"/>
          <w:color w:val="auto"/>
          <w:sz w:val="24"/>
          <w:szCs w:val="18"/>
          <w:highlight w:val="none"/>
          <w:u w:val="none"/>
        </w:rPr>
      </w:pPr>
      <w:r>
        <w:rPr>
          <w:rFonts w:hint="eastAsia" w:ascii="宋体" w:hAnsi="宋体" w:eastAsia="宋体" w:cs="宋体"/>
          <w:color w:val="auto"/>
          <w:sz w:val="24"/>
          <w:szCs w:val="24"/>
          <w:highlight w:val="none"/>
          <w:u w:val="none"/>
        </w:rPr>
        <w:t>联系</w:t>
      </w:r>
      <w:r>
        <w:rPr>
          <w:rFonts w:hint="eastAsia" w:ascii="宋体" w:hAnsi="宋体" w:eastAsia="宋体" w:cs="宋体"/>
          <w:color w:val="auto"/>
          <w:sz w:val="24"/>
          <w:szCs w:val="24"/>
          <w:highlight w:val="none"/>
          <w:u w:val="none"/>
          <w:lang w:val="en-US" w:eastAsia="zh-CN"/>
        </w:rPr>
        <w:t>方式</w:t>
      </w:r>
      <w:r>
        <w:rPr>
          <w:rFonts w:hint="eastAsia" w:ascii="宋体" w:hAnsi="宋体" w:eastAsia="宋体" w:cs="宋体"/>
          <w:color w:val="auto"/>
          <w:sz w:val="24"/>
          <w:szCs w:val="24"/>
          <w:highlight w:val="none"/>
          <w:u w:val="none"/>
        </w:rPr>
        <w:t>：0551-68150309</w:t>
      </w:r>
    </w:p>
    <w:p w14:paraId="05D0B22C">
      <w:pPr>
        <w:widowControl/>
        <w:jc w:val="left"/>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br w:type="page"/>
      </w:r>
    </w:p>
    <w:p w14:paraId="710F5951">
      <w:pPr>
        <w:spacing w:line="360" w:lineRule="auto"/>
        <w:jc w:val="center"/>
        <w:outlineLvl w:val="0"/>
        <w:rPr>
          <w:rFonts w:hint="eastAsia" w:ascii="宋体" w:hAnsi="宋体" w:eastAsia="宋体" w:cs="宋体"/>
          <w:b/>
          <w:color w:val="auto"/>
          <w:sz w:val="28"/>
          <w:highlight w:val="none"/>
        </w:rPr>
      </w:pPr>
      <w:bookmarkStart w:id="18" w:name="_Toc31935"/>
      <w:r>
        <w:rPr>
          <w:rFonts w:hint="eastAsia" w:ascii="宋体" w:hAnsi="宋体" w:eastAsia="宋体" w:cs="宋体"/>
          <w:b/>
          <w:color w:val="auto"/>
          <w:sz w:val="28"/>
          <w:highlight w:val="none"/>
        </w:rPr>
        <w:t>第二章  投标人须知</w:t>
      </w:r>
      <w:bookmarkEnd w:id="18"/>
    </w:p>
    <w:p w14:paraId="52057904">
      <w:pPr>
        <w:spacing w:line="360" w:lineRule="auto"/>
        <w:jc w:val="center"/>
        <w:outlineLvl w:val="1"/>
        <w:rPr>
          <w:rFonts w:hint="eastAsia" w:ascii="宋体" w:hAnsi="宋体" w:eastAsia="宋体" w:cs="宋体"/>
          <w:b/>
          <w:color w:val="auto"/>
          <w:sz w:val="24"/>
          <w:highlight w:val="none"/>
        </w:rPr>
      </w:pPr>
      <w:bookmarkStart w:id="19" w:name="_Toc3114"/>
      <w:bookmarkStart w:id="20" w:name="_Toc7178"/>
      <w:r>
        <w:rPr>
          <w:rFonts w:hint="eastAsia" w:ascii="宋体" w:hAnsi="宋体" w:eastAsia="宋体" w:cs="宋体"/>
          <w:b/>
          <w:color w:val="auto"/>
          <w:sz w:val="24"/>
          <w:highlight w:val="none"/>
        </w:rPr>
        <w:t>一、投标人须知前附表</w:t>
      </w:r>
      <w:bookmarkEnd w:id="19"/>
      <w:bookmarkEnd w:id="20"/>
    </w:p>
    <w:p w14:paraId="4E677616">
      <w:pPr>
        <w:spacing w:line="360" w:lineRule="auto"/>
        <w:ind w:firstLine="435"/>
        <w:rPr>
          <w:rFonts w:hint="eastAsia" w:ascii="宋体" w:hAnsi="宋体" w:eastAsia="宋体" w:cs="宋体"/>
          <w:color w:val="auto"/>
          <w:sz w:val="24"/>
          <w:szCs w:val="18"/>
          <w:highlight w:val="none"/>
        </w:rPr>
      </w:pPr>
      <w:r>
        <w:rPr>
          <w:rFonts w:hint="eastAsia" w:ascii="宋体" w:hAnsi="宋体" w:eastAsia="宋体" w:cs="宋体"/>
          <w:b/>
          <w:bCs/>
          <w:color w:val="auto"/>
          <w:sz w:val="24"/>
          <w:szCs w:val="18"/>
          <w:highlight w:val="none"/>
        </w:rPr>
        <w:t>注：</w:t>
      </w:r>
      <w:r>
        <w:rPr>
          <w:rFonts w:hint="eastAsia" w:ascii="宋体" w:hAnsi="宋体" w:eastAsia="宋体" w:cs="宋体"/>
          <w:color w:val="auto"/>
          <w:sz w:val="24"/>
          <w:szCs w:val="18"/>
          <w:highlight w:val="none"/>
        </w:rPr>
        <w:t>本表是本项目的具体要求，是对投标人须知的具体补充和修改，如有不一致，以本表为准。</w:t>
      </w:r>
    </w:p>
    <w:tbl>
      <w:tblPr>
        <w:tblStyle w:val="28"/>
        <w:tblW w:w="50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3"/>
        <w:gridCol w:w="5618"/>
      </w:tblGrid>
      <w:tr w14:paraId="299A8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81" w:type="pct"/>
            <w:vAlign w:val="center"/>
          </w:tcPr>
          <w:p w14:paraId="72B97322">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Cs w:val="0"/>
                <w:color w:val="auto"/>
                <w:kern w:val="2"/>
                <w:sz w:val="24"/>
                <w:szCs w:val="24"/>
                <w:highlight w:val="none"/>
              </w:rPr>
            </w:pPr>
            <w:r>
              <w:rPr>
                <w:rFonts w:hint="eastAsia" w:ascii="宋体" w:hAnsi="宋体" w:eastAsia="宋体" w:cs="宋体"/>
                <w:bCs w:val="0"/>
                <w:color w:val="auto"/>
                <w:kern w:val="2"/>
                <w:sz w:val="24"/>
                <w:szCs w:val="24"/>
                <w:highlight w:val="none"/>
              </w:rPr>
              <w:t>条款号</w:t>
            </w:r>
          </w:p>
        </w:tc>
        <w:tc>
          <w:tcPr>
            <w:tcW w:w="1174" w:type="pct"/>
            <w:vAlign w:val="center"/>
          </w:tcPr>
          <w:p w14:paraId="599B3836">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Cs w:val="0"/>
                <w:color w:val="auto"/>
                <w:kern w:val="2"/>
                <w:sz w:val="24"/>
                <w:szCs w:val="24"/>
                <w:highlight w:val="none"/>
              </w:rPr>
            </w:pPr>
            <w:r>
              <w:rPr>
                <w:rFonts w:hint="eastAsia" w:ascii="宋体" w:hAnsi="宋体" w:eastAsia="宋体" w:cs="宋体"/>
                <w:bCs w:val="0"/>
                <w:color w:val="auto"/>
                <w:kern w:val="2"/>
                <w:sz w:val="24"/>
                <w:szCs w:val="24"/>
                <w:highlight w:val="none"/>
              </w:rPr>
              <w:t>条款名称</w:t>
            </w:r>
          </w:p>
        </w:tc>
        <w:tc>
          <w:tcPr>
            <w:tcW w:w="3244" w:type="pct"/>
            <w:vAlign w:val="center"/>
          </w:tcPr>
          <w:p w14:paraId="6837B775">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Cs w:val="0"/>
                <w:color w:val="auto"/>
                <w:kern w:val="2"/>
                <w:sz w:val="24"/>
                <w:szCs w:val="24"/>
                <w:highlight w:val="none"/>
              </w:rPr>
            </w:pPr>
            <w:r>
              <w:rPr>
                <w:rFonts w:hint="eastAsia" w:ascii="宋体" w:hAnsi="宋体" w:eastAsia="宋体" w:cs="宋体"/>
                <w:bCs w:val="0"/>
                <w:color w:val="auto"/>
                <w:kern w:val="2"/>
                <w:sz w:val="24"/>
                <w:szCs w:val="24"/>
                <w:highlight w:val="none"/>
              </w:rPr>
              <w:t>内容、说明与要求</w:t>
            </w:r>
          </w:p>
        </w:tc>
      </w:tr>
      <w:tr w14:paraId="23AE7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4F4A4E22">
            <w:pPr>
              <w:pStyle w:val="37"/>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5</w:t>
            </w:r>
            <w:r>
              <w:rPr>
                <w:rFonts w:hint="eastAsia" w:ascii="宋体" w:hAnsi="宋体" w:eastAsia="宋体" w:cs="宋体"/>
                <w:bCs/>
                <w:color w:val="auto"/>
                <w:kern w:val="2"/>
                <w:sz w:val="24"/>
                <w:szCs w:val="24"/>
                <w:highlight w:val="none"/>
              </w:rPr>
              <w:t>.</w:t>
            </w:r>
            <w:r>
              <w:rPr>
                <w:rFonts w:hint="eastAsia" w:ascii="宋体" w:hAnsi="宋体" w:eastAsia="宋体" w:cs="宋体"/>
                <w:bCs/>
                <w:color w:val="auto"/>
                <w:kern w:val="2"/>
                <w:sz w:val="24"/>
                <w:szCs w:val="24"/>
                <w:highlight w:val="none"/>
                <w:lang w:val="en-US" w:eastAsia="zh-CN"/>
              </w:rPr>
              <w:t>2</w:t>
            </w:r>
          </w:p>
        </w:tc>
        <w:tc>
          <w:tcPr>
            <w:tcW w:w="1174" w:type="pct"/>
            <w:vAlign w:val="center"/>
          </w:tcPr>
          <w:p w14:paraId="322CF6F5">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rPr>
              <w:t>现场考察</w:t>
            </w:r>
            <w:r>
              <w:rPr>
                <w:rFonts w:hint="eastAsia" w:ascii="宋体" w:hAnsi="宋体" w:eastAsia="宋体" w:cs="宋体"/>
                <w:b w:val="0"/>
                <w:color w:val="auto"/>
                <w:sz w:val="24"/>
                <w:szCs w:val="24"/>
                <w:highlight w:val="none"/>
                <w:lang w:val="en-US" w:eastAsia="zh-CN"/>
              </w:rPr>
              <w:t>或标前答疑会</w:t>
            </w:r>
          </w:p>
        </w:tc>
        <w:tc>
          <w:tcPr>
            <w:tcW w:w="3244" w:type="pct"/>
            <w:vAlign w:val="center"/>
          </w:tcPr>
          <w:p w14:paraId="6984465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sz w:val="24"/>
                <w:szCs w:val="24"/>
                <w:highlight w:val="none"/>
              </w:rPr>
              <w:t>不组织</w:t>
            </w:r>
            <w:r>
              <w:rPr>
                <w:rFonts w:hint="eastAsia" w:ascii="宋体" w:hAnsi="宋体" w:eastAsia="宋体" w:cs="宋体"/>
                <w:color w:val="auto"/>
                <w:sz w:val="24"/>
                <w:szCs w:val="24"/>
                <w:highlight w:val="none"/>
                <w:lang w:val="en-US" w:eastAsia="zh-CN"/>
              </w:rPr>
              <w:t>或不召开</w:t>
            </w:r>
          </w:p>
          <w:p w14:paraId="05E4E713">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rPr>
              <w:t>统一组织</w:t>
            </w:r>
            <w:r>
              <w:rPr>
                <w:rFonts w:hint="eastAsia" w:ascii="宋体" w:hAnsi="宋体" w:eastAsia="宋体" w:cs="宋体"/>
                <w:bCs/>
                <w:color w:val="auto"/>
                <w:sz w:val="24"/>
                <w:szCs w:val="24"/>
                <w:highlight w:val="none"/>
                <w:lang w:val="en-US" w:eastAsia="zh-CN"/>
              </w:rPr>
              <w:t>或统一召开</w:t>
            </w:r>
          </w:p>
          <w:p w14:paraId="670B7DEB">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时间：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时</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分</w:t>
            </w:r>
          </w:p>
          <w:p w14:paraId="15CF63BB">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地点：</w:t>
            </w:r>
            <w:r>
              <w:rPr>
                <w:rFonts w:hint="eastAsia" w:ascii="宋体" w:hAnsi="宋体" w:eastAsia="宋体" w:cs="宋体"/>
                <w:bCs/>
                <w:color w:val="auto"/>
                <w:sz w:val="24"/>
                <w:szCs w:val="24"/>
                <w:highlight w:val="none"/>
                <w:u w:val="single"/>
              </w:rPr>
              <w:t xml:space="preserve">                       </w:t>
            </w:r>
          </w:p>
          <w:p w14:paraId="4253016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联系人及联系电话：</w:t>
            </w:r>
            <w:r>
              <w:rPr>
                <w:rFonts w:hint="eastAsia" w:ascii="宋体" w:hAnsi="宋体" w:eastAsia="宋体" w:cs="宋体"/>
                <w:bCs/>
                <w:color w:val="auto"/>
                <w:sz w:val="24"/>
                <w:szCs w:val="24"/>
                <w:highlight w:val="none"/>
                <w:u w:val="single"/>
              </w:rPr>
              <w:t xml:space="preserve">           </w:t>
            </w:r>
          </w:p>
          <w:p w14:paraId="2C724B90">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Cs w:val="0"/>
                <w:color w:val="auto"/>
                <w:sz w:val="24"/>
                <w:szCs w:val="24"/>
                <w:highlight w:val="none"/>
                <w:lang w:eastAsia="zh-CN"/>
              </w:rPr>
              <w:t>注：</w:t>
            </w:r>
            <w:r>
              <w:rPr>
                <w:rFonts w:hint="eastAsia" w:ascii="宋体" w:hAnsi="宋体" w:eastAsia="宋体" w:cs="宋体"/>
                <w:bCs w:val="0"/>
                <w:color w:val="auto"/>
                <w:sz w:val="24"/>
                <w:szCs w:val="24"/>
                <w:highlight w:val="none"/>
              </w:rPr>
              <w:t>如投标人未参加采购人统一组织的现场考察</w:t>
            </w:r>
            <w:r>
              <w:rPr>
                <w:rFonts w:hint="eastAsia" w:ascii="宋体" w:hAnsi="宋体" w:eastAsia="宋体" w:cs="宋体"/>
                <w:bCs w:val="0"/>
                <w:color w:val="auto"/>
                <w:sz w:val="24"/>
                <w:szCs w:val="24"/>
                <w:highlight w:val="none"/>
                <w:lang w:val="en-US" w:eastAsia="zh-CN"/>
              </w:rPr>
              <w:t>或采购人统一召开的标前答疑会</w:t>
            </w:r>
            <w:r>
              <w:rPr>
                <w:rFonts w:hint="eastAsia" w:ascii="宋体" w:hAnsi="宋体" w:eastAsia="宋体" w:cs="宋体"/>
                <w:bCs w:val="0"/>
                <w:color w:val="auto"/>
                <w:sz w:val="24"/>
                <w:szCs w:val="24"/>
                <w:highlight w:val="none"/>
              </w:rPr>
              <w:t>，视同放弃现场考察</w:t>
            </w:r>
            <w:r>
              <w:rPr>
                <w:rFonts w:hint="eastAsia" w:ascii="宋体" w:hAnsi="宋体" w:eastAsia="宋体" w:cs="宋体"/>
                <w:bCs w:val="0"/>
                <w:color w:val="auto"/>
                <w:sz w:val="24"/>
                <w:szCs w:val="24"/>
                <w:highlight w:val="none"/>
                <w:lang w:val="en-US" w:eastAsia="zh-CN"/>
              </w:rPr>
              <w:t>或标前答疑会</w:t>
            </w:r>
            <w:r>
              <w:rPr>
                <w:rFonts w:hint="eastAsia" w:ascii="宋体" w:hAnsi="宋体" w:eastAsia="宋体" w:cs="宋体"/>
                <w:bCs w:val="0"/>
                <w:color w:val="auto"/>
                <w:sz w:val="24"/>
                <w:szCs w:val="24"/>
                <w:highlight w:val="none"/>
              </w:rPr>
              <w:t>，由此引起的一切责任由投标人自行承担。</w:t>
            </w:r>
          </w:p>
        </w:tc>
      </w:tr>
      <w:tr w14:paraId="6C570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569AC951">
            <w:pPr>
              <w:pStyle w:val="37"/>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6</w:t>
            </w:r>
            <w:r>
              <w:rPr>
                <w:rFonts w:hint="eastAsia" w:ascii="宋体" w:hAnsi="宋体" w:eastAsia="宋体" w:cs="宋体"/>
                <w:bCs/>
                <w:color w:val="auto"/>
                <w:kern w:val="2"/>
                <w:sz w:val="24"/>
                <w:szCs w:val="24"/>
                <w:highlight w:val="none"/>
              </w:rPr>
              <w:t>.1</w:t>
            </w:r>
          </w:p>
        </w:tc>
        <w:tc>
          <w:tcPr>
            <w:tcW w:w="1174" w:type="pct"/>
            <w:vAlign w:val="center"/>
          </w:tcPr>
          <w:p w14:paraId="0A1A886D">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网上询问截止时间</w:t>
            </w:r>
          </w:p>
        </w:tc>
        <w:tc>
          <w:tcPr>
            <w:tcW w:w="3244" w:type="pct"/>
            <w:vAlign w:val="center"/>
          </w:tcPr>
          <w:p w14:paraId="2D86B3E2">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u w:val="single"/>
                <w:lang w:val="en-US" w:eastAsia="zh-CN"/>
              </w:rPr>
              <w:t>2025</w:t>
            </w:r>
            <w:r>
              <w:rPr>
                <w:rFonts w:hint="eastAsia" w:ascii="宋体" w:hAnsi="宋体" w:eastAsia="宋体" w:cs="宋体"/>
                <w:b w:val="0"/>
                <w:color w:val="auto"/>
                <w:sz w:val="24"/>
                <w:szCs w:val="24"/>
                <w:highlight w:val="none"/>
              </w:rPr>
              <w:t>年</w:t>
            </w:r>
            <w:r>
              <w:rPr>
                <w:rFonts w:hint="eastAsia" w:ascii="宋体" w:hAnsi="宋体" w:eastAsia="宋体" w:cs="宋体"/>
                <w:b w:val="0"/>
                <w:color w:val="auto"/>
                <w:sz w:val="24"/>
                <w:szCs w:val="24"/>
                <w:highlight w:val="none"/>
                <w:u w:val="single"/>
                <w:lang w:val="en-US" w:eastAsia="zh-CN"/>
              </w:rPr>
              <w:t>9</w:t>
            </w:r>
            <w:r>
              <w:rPr>
                <w:rFonts w:hint="eastAsia" w:ascii="宋体" w:hAnsi="宋体" w:eastAsia="宋体" w:cs="宋体"/>
                <w:b w:val="0"/>
                <w:color w:val="auto"/>
                <w:sz w:val="24"/>
                <w:szCs w:val="24"/>
                <w:highlight w:val="none"/>
              </w:rPr>
              <w:t>月</w:t>
            </w:r>
            <w:r>
              <w:rPr>
                <w:rFonts w:hint="eastAsia" w:ascii="宋体" w:hAnsi="宋体" w:eastAsia="宋体" w:cs="宋体"/>
                <w:b w:val="0"/>
                <w:color w:val="auto"/>
                <w:sz w:val="24"/>
                <w:szCs w:val="24"/>
                <w:highlight w:val="none"/>
                <w:u w:val="single"/>
                <w:lang w:val="en-US" w:eastAsia="zh-CN"/>
              </w:rPr>
              <w:t>15</w:t>
            </w:r>
            <w:r>
              <w:rPr>
                <w:rFonts w:hint="eastAsia" w:ascii="宋体" w:hAnsi="宋体" w:eastAsia="宋体" w:cs="宋体"/>
                <w:b w:val="0"/>
                <w:color w:val="auto"/>
                <w:sz w:val="24"/>
                <w:szCs w:val="24"/>
                <w:highlight w:val="none"/>
              </w:rPr>
              <w:t>日</w:t>
            </w:r>
            <w:r>
              <w:rPr>
                <w:rFonts w:hint="eastAsia" w:ascii="宋体" w:hAnsi="宋体" w:eastAsia="宋体" w:cs="宋体"/>
                <w:b w:val="0"/>
                <w:color w:val="auto"/>
                <w:sz w:val="24"/>
                <w:szCs w:val="24"/>
                <w:highlight w:val="none"/>
                <w:u w:val="single"/>
                <w:lang w:val="en-US" w:eastAsia="zh-CN"/>
              </w:rPr>
              <w:t>17</w:t>
            </w:r>
            <w:r>
              <w:rPr>
                <w:rFonts w:hint="eastAsia" w:ascii="宋体" w:hAnsi="宋体" w:eastAsia="宋体" w:cs="宋体"/>
                <w:b w:val="0"/>
                <w:color w:val="auto"/>
                <w:sz w:val="24"/>
                <w:szCs w:val="24"/>
                <w:highlight w:val="none"/>
              </w:rPr>
              <w:t>时</w:t>
            </w:r>
            <w:r>
              <w:rPr>
                <w:rFonts w:hint="eastAsia" w:ascii="宋体" w:hAnsi="宋体" w:eastAsia="宋体" w:cs="宋体"/>
                <w:b w:val="0"/>
                <w:color w:val="auto"/>
                <w:sz w:val="24"/>
                <w:szCs w:val="24"/>
                <w:highlight w:val="none"/>
                <w:u w:val="single"/>
                <w:lang w:val="en-US" w:eastAsia="zh-CN"/>
              </w:rPr>
              <w:t>00</w:t>
            </w:r>
            <w:r>
              <w:rPr>
                <w:rFonts w:hint="eastAsia" w:ascii="宋体" w:hAnsi="宋体" w:eastAsia="宋体" w:cs="宋体"/>
                <w:b w:val="0"/>
                <w:color w:val="auto"/>
                <w:sz w:val="24"/>
                <w:szCs w:val="24"/>
                <w:highlight w:val="none"/>
              </w:rPr>
              <w:t>分</w:t>
            </w:r>
          </w:p>
        </w:tc>
      </w:tr>
      <w:tr w14:paraId="4885E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0A7F9F62">
            <w:pPr>
              <w:pStyle w:val="37"/>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7</w:t>
            </w:r>
            <w:r>
              <w:rPr>
                <w:rFonts w:hint="eastAsia" w:ascii="宋体" w:hAnsi="宋体" w:eastAsia="宋体" w:cs="宋体"/>
                <w:bCs/>
                <w:color w:val="auto"/>
                <w:kern w:val="2"/>
                <w:sz w:val="24"/>
                <w:szCs w:val="24"/>
                <w:highlight w:val="none"/>
              </w:rPr>
              <w:t>.1</w:t>
            </w:r>
          </w:p>
        </w:tc>
        <w:tc>
          <w:tcPr>
            <w:tcW w:w="1174" w:type="pct"/>
            <w:vAlign w:val="center"/>
          </w:tcPr>
          <w:p w14:paraId="775F7B29">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包别划分</w:t>
            </w:r>
          </w:p>
        </w:tc>
        <w:tc>
          <w:tcPr>
            <w:tcW w:w="3244" w:type="pct"/>
            <w:vAlign w:val="center"/>
          </w:tcPr>
          <w:p w14:paraId="3892ED85">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不分包     </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分为</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个包</w:t>
            </w:r>
          </w:p>
          <w:p w14:paraId="32404E66">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投标人参加多个包投标的，应按包别分别制作投标文件。</w:t>
            </w:r>
          </w:p>
          <w:p w14:paraId="5046D8A0">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投标人参加多个包投标的中标包数规定：</w:t>
            </w:r>
            <w:r>
              <w:rPr>
                <w:rFonts w:hint="eastAsia" w:ascii="宋体" w:hAnsi="宋体" w:eastAsia="宋体" w:cs="宋体"/>
                <w:b w:val="0"/>
                <w:bCs w:val="0"/>
                <w:color w:val="auto"/>
                <w:sz w:val="24"/>
                <w:szCs w:val="24"/>
                <w:highlight w:val="none"/>
                <w:u w:val="single"/>
              </w:rPr>
              <w:t xml:space="preserve"> / </w:t>
            </w:r>
          </w:p>
        </w:tc>
      </w:tr>
      <w:tr w14:paraId="7C571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581" w:type="pct"/>
            <w:vAlign w:val="center"/>
          </w:tcPr>
          <w:p w14:paraId="2FAD00F3">
            <w:pPr>
              <w:pStyle w:val="37"/>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w:t>
            </w:r>
            <w:r>
              <w:rPr>
                <w:rFonts w:hint="eastAsia" w:ascii="宋体" w:hAnsi="宋体" w:eastAsia="宋体" w:cs="宋体"/>
                <w:bCs/>
                <w:color w:val="auto"/>
                <w:kern w:val="2"/>
                <w:sz w:val="24"/>
                <w:szCs w:val="24"/>
                <w:highlight w:val="none"/>
                <w:lang w:val="en-US" w:eastAsia="zh-CN"/>
              </w:rPr>
              <w:t>0</w:t>
            </w:r>
            <w:r>
              <w:rPr>
                <w:rFonts w:hint="eastAsia" w:ascii="宋体" w:hAnsi="宋体" w:eastAsia="宋体" w:cs="宋体"/>
                <w:bCs/>
                <w:color w:val="auto"/>
                <w:kern w:val="2"/>
                <w:sz w:val="24"/>
                <w:szCs w:val="24"/>
                <w:highlight w:val="none"/>
              </w:rPr>
              <w:t>.1</w:t>
            </w:r>
          </w:p>
        </w:tc>
        <w:tc>
          <w:tcPr>
            <w:tcW w:w="1174" w:type="pct"/>
            <w:vAlign w:val="center"/>
          </w:tcPr>
          <w:p w14:paraId="43A8781B">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投标保证金</w:t>
            </w:r>
          </w:p>
        </w:tc>
        <w:tc>
          <w:tcPr>
            <w:tcW w:w="3244" w:type="pct"/>
            <w:vAlign w:val="center"/>
          </w:tcPr>
          <w:p w14:paraId="31FD3FE8">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rPr>
              <w:t>不收取</w:t>
            </w:r>
          </w:p>
        </w:tc>
      </w:tr>
      <w:tr w14:paraId="26B22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5A239C53">
            <w:pPr>
              <w:pStyle w:val="37"/>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w:t>
            </w:r>
            <w:r>
              <w:rPr>
                <w:rFonts w:hint="eastAsia" w:ascii="宋体" w:hAnsi="宋体" w:eastAsia="宋体" w:cs="宋体"/>
                <w:bCs/>
                <w:color w:val="auto"/>
                <w:kern w:val="2"/>
                <w:sz w:val="24"/>
                <w:szCs w:val="24"/>
                <w:highlight w:val="none"/>
                <w:lang w:val="en-US" w:eastAsia="zh-CN"/>
              </w:rPr>
              <w:t>1</w:t>
            </w:r>
            <w:r>
              <w:rPr>
                <w:rFonts w:hint="eastAsia" w:ascii="宋体" w:hAnsi="宋体" w:eastAsia="宋体" w:cs="宋体"/>
                <w:bCs/>
                <w:color w:val="auto"/>
                <w:kern w:val="2"/>
                <w:sz w:val="24"/>
                <w:szCs w:val="24"/>
                <w:highlight w:val="none"/>
              </w:rPr>
              <w:t>.1</w:t>
            </w:r>
          </w:p>
        </w:tc>
        <w:tc>
          <w:tcPr>
            <w:tcW w:w="1174" w:type="pct"/>
            <w:vAlign w:val="center"/>
          </w:tcPr>
          <w:p w14:paraId="6C64D6D2">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投标有效期</w:t>
            </w:r>
          </w:p>
        </w:tc>
        <w:tc>
          <w:tcPr>
            <w:tcW w:w="3244" w:type="pct"/>
            <w:vAlign w:val="center"/>
          </w:tcPr>
          <w:p w14:paraId="14CD2A81">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color w:val="auto"/>
                <w:sz w:val="24"/>
                <w:szCs w:val="24"/>
                <w:highlight w:val="none"/>
                <w:u w:val="single"/>
                <w:lang w:val="en-US" w:eastAsia="zh-CN"/>
              </w:rPr>
              <w:t xml:space="preserve">120 </w:t>
            </w:r>
            <w:r>
              <w:rPr>
                <w:rFonts w:hint="eastAsia" w:ascii="宋体" w:hAnsi="宋体" w:eastAsia="宋体" w:cs="宋体"/>
                <w:b w:val="0"/>
                <w:color w:val="auto"/>
                <w:sz w:val="24"/>
                <w:szCs w:val="24"/>
                <w:highlight w:val="none"/>
              </w:rPr>
              <w:t>日历日</w:t>
            </w:r>
          </w:p>
        </w:tc>
      </w:tr>
      <w:tr w14:paraId="52B60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1354F883">
            <w:pPr>
              <w:pStyle w:val="37"/>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sz w:val="24"/>
                <w:szCs w:val="24"/>
                <w:highlight w:val="none"/>
                <w:lang w:eastAsia="zh-CN"/>
              </w:rPr>
            </w:pPr>
            <w:r>
              <w:rPr>
                <w:rFonts w:hint="eastAsia" w:ascii="宋体" w:hAnsi="宋体" w:eastAsia="宋体" w:cs="宋体"/>
                <w:bCs/>
                <w:color w:val="auto"/>
                <w:kern w:val="2"/>
                <w:sz w:val="24"/>
                <w:szCs w:val="24"/>
                <w:highlight w:val="none"/>
              </w:rPr>
              <w:t>1</w:t>
            </w:r>
            <w:r>
              <w:rPr>
                <w:rFonts w:hint="eastAsia" w:ascii="宋体" w:hAnsi="宋体" w:eastAsia="宋体" w:cs="宋体"/>
                <w:bCs/>
                <w:color w:val="auto"/>
                <w:kern w:val="2"/>
                <w:sz w:val="24"/>
                <w:szCs w:val="24"/>
                <w:highlight w:val="none"/>
                <w:lang w:val="en-US" w:eastAsia="zh-CN"/>
              </w:rPr>
              <w:t>3</w:t>
            </w:r>
            <w:r>
              <w:rPr>
                <w:rFonts w:hint="eastAsia" w:ascii="宋体" w:hAnsi="宋体" w:eastAsia="宋体" w:cs="宋体"/>
                <w:bCs/>
                <w:color w:val="auto"/>
                <w:kern w:val="2"/>
                <w:sz w:val="24"/>
                <w:szCs w:val="24"/>
                <w:highlight w:val="none"/>
              </w:rPr>
              <w:t>.</w:t>
            </w:r>
            <w:r>
              <w:rPr>
                <w:rFonts w:hint="eastAsia" w:ascii="宋体" w:hAnsi="宋体" w:eastAsia="宋体" w:cs="宋体"/>
                <w:bCs/>
                <w:color w:val="auto"/>
                <w:kern w:val="2"/>
                <w:sz w:val="24"/>
                <w:szCs w:val="24"/>
                <w:highlight w:val="none"/>
                <w:lang w:val="en-US" w:eastAsia="zh-CN"/>
              </w:rPr>
              <w:t>1</w:t>
            </w:r>
          </w:p>
        </w:tc>
        <w:tc>
          <w:tcPr>
            <w:tcW w:w="1174" w:type="pct"/>
            <w:vAlign w:val="center"/>
          </w:tcPr>
          <w:p w14:paraId="26503871">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投标文件解密时间</w:t>
            </w:r>
          </w:p>
        </w:tc>
        <w:tc>
          <w:tcPr>
            <w:tcW w:w="3244" w:type="pct"/>
            <w:vAlign w:val="center"/>
          </w:tcPr>
          <w:p w14:paraId="569A0A55">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u w:val="single"/>
                <w:lang w:val="en-US" w:eastAsia="zh-CN"/>
              </w:rPr>
            </w:pPr>
            <w:r>
              <w:rPr>
                <w:rFonts w:hint="eastAsia" w:ascii="宋体" w:hAnsi="宋体" w:eastAsia="宋体" w:cs="宋体"/>
                <w:b w:val="0"/>
                <w:color w:val="auto"/>
                <w:sz w:val="24"/>
                <w:szCs w:val="24"/>
                <w:highlight w:val="none"/>
                <w:u w:val="none"/>
              </w:rPr>
              <w:t>投标截止时间后</w:t>
            </w:r>
            <w:r>
              <w:rPr>
                <w:rFonts w:hint="eastAsia" w:ascii="宋体" w:hAnsi="宋体" w:eastAsia="宋体" w:cs="宋体"/>
                <w:b w:val="0"/>
                <w:color w:val="auto"/>
                <w:sz w:val="24"/>
                <w:szCs w:val="24"/>
                <w:highlight w:val="none"/>
                <w:u w:val="single"/>
                <w:lang w:val="en-US" w:eastAsia="zh-CN"/>
              </w:rPr>
              <w:t xml:space="preserve"> 60 </w:t>
            </w:r>
            <w:r>
              <w:rPr>
                <w:rFonts w:hint="eastAsia" w:ascii="宋体" w:hAnsi="宋体" w:eastAsia="宋体" w:cs="宋体"/>
                <w:b w:val="0"/>
                <w:color w:val="auto"/>
                <w:sz w:val="24"/>
                <w:szCs w:val="24"/>
                <w:highlight w:val="none"/>
                <w:u w:val="none"/>
              </w:rPr>
              <w:t>分钟内</w:t>
            </w:r>
          </w:p>
        </w:tc>
      </w:tr>
      <w:tr w14:paraId="3A1D9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5B634BC">
            <w:pPr>
              <w:pStyle w:val="37"/>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w:t>
            </w:r>
            <w:r>
              <w:rPr>
                <w:rFonts w:hint="eastAsia" w:ascii="宋体" w:hAnsi="宋体" w:eastAsia="宋体" w:cs="宋体"/>
                <w:bCs/>
                <w:color w:val="auto"/>
                <w:kern w:val="2"/>
                <w:sz w:val="24"/>
                <w:szCs w:val="24"/>
                <w:highlight w:val="none"/>
                <w:lang w:val="en-US" w:eastAsia="zh-CN"/>
              </w:rPr>
              <w:t>4</w:t>
            </w:r>
            <w:r>
              <w:rPr>
                <w:rFonts w:hint="eastAsia" w:ascii="宋体" w:hAnsi="宋体" w:eastAsia="宋体" w:cs="宋体"/>
                <w:bCs/>
                <w:color w:val="auto"/>
                <w:kern w:val="2"/>
                <w:sz w:val="24"/>
                <w:szCs w:val="24"/>
                <w:highlight w:val="none"/>
              </w:rPr>
              <w:t>.1</w:t>
            </w:r>
          </w:p>
        </w:tc>
        <w:tc>
          <w:tcPr>
            <w:tcW w:w="1174" w:type="pct"/>
            <w:vAlign w:val="center"/>
          </w:tcPr>
          <w:p w14:paraId="34AE7E6C">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资格审查</w:t>
            </w:r>
          </w:p>
        </w:tc>
        <w:tc>
          <w:tcPr>
            <w:tcW w:w="3244" w:type="pct"/>
            <w:vAlign w:val="center"/>
          </w:tcPr>
          <w:p w14:paraId="03AC9C7E">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采购人审查</w:t>
            </w:r>
          </w:p>
          <w:p w14:paraId="5E61743E">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u w:val="single"/>
              </w:rPr>
            </w:pPr>
            <w:r>
              <w:rPr>
                <w:rFonts w:hint="eastAsia" w:ascii="宋体" w:hAnsi="宋体" w:eastAsia="宋体" w:cs="宋体"/>
                <w:b w:val="0"/>
                <w:bCs w:val="0"/>
                <w:color w:val="auto"/>
                <w:sz w:val="24"/>
                <w:szCs w:val="24"/>
                <w:highlight w:val="none"/>
              </w:rPr>
              <w:t>□采购人出具委托函委托采购代理机构进行审查</w:t>
            </w:r>
          </w:p>
        </w:tc>
      </w:tr>
      <w:tr w14:paraId="19EF8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5FF4F16A">
            <w:pPr>
              <w:pStyle w:val="37"/>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17</w:t>
            </w:r>
            <w:r>
              <w:rPr>
                <w:rFonts w:hint="eastAsia" w:ascii="宋体" w:hAnsi="宋体" w:eastAsia="宋体" w:cs="宋体"/>
                <w:bCs/>
                <w:color w:val="auto"/>
                <w:kern w:val="2"/>
                <w:sz w:val="24"/>
                <w:szCs w:val="24"/>
                <w:highlight w:val="none"/>
              </w:rPr>
              <w:t>.2</w:t>
            </w:r>
          </w:p>
        </w:tc>
        <w:tc>
          <w:tcPr>
            <w:tcW w:w="1174" w:type="pct"/>
            <w:vAlign w:val="center"/>
          </w:tcPr>
          <w:p w14:paraId="3940636F">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评标方法</w:t>
            </w:r>
          </w:p>
        </w:tc>
        <w:tc>
          <w:tcPr>
            <w:tcW w:w="3244" w:type="pct"/>
            <w:vAlign w:val="center"/>
          </w:tcPr>
          <w:p w14:paraId="5F537F21">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u w:val="none"/>
              </w:rPr>
            </w:pPr>
            <w:r>
              <w:rPr>
                <w:rFonts w:hint="eastAsia" w:ascii="宋体" w:hAnsi="宋体" w:eastAsia="宋体" w:cs="宋体"/>
                <w:b w:val="0"/>
                <w:bCs w:val="0"/>
                <w:color w:val="auto"/>
                <w:sz w:val="24"/>
                <w:szCs w:val="24"/>
                <w:highlight w:val="none"/>
                <w:u w:val="none"/>
              </w:rPr>
              <w:t>□</w:t>
            </w:r>
            <w:r>
              <w:rPr>
                <w:rFonts w:hint="eastAsia" w:ascii="宋体" w:hAnsi="宋体" w:eastAsia="宋体" w:cs="宋体"/>
                <w:b w:val="0"/>
                <w:color w:val="auto"/>
                <w:sz w:val="24"/>
                <w:szCs w:val="24"/>
                <w:highlight w:val="none"/>
                <w:u w:val="none"/>
              </w:rPr>
              <w:t>最低评标价法</w:t>
            </w:r>
          </w:p>
          <w:p w14:paraId="1B5A79EE">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color w:val="auto"/>
                <w:sz w:val="24"/>
                <w:szCs w:val="24"/>
                <w:highlight w:val="none"/>
                <w:u w:val="none"/>
              </w:rPr>
              <w:t>综合评分法</w:t>
            </w:r>
          </w:p>
        </w:tc>
      </w:tr>
      <w:tr w14:paraId="49D63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3D84BDC5">
            <w:pPr>
              <w:pStyle w:val="37"/>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17</w:t>
            </w:r>
            <w:r>
              <w:rPr>
                <w:rFonts w:hint="eastAsia" w:ascii="宋体" w:hAnsi="宋体" w:eastAsia="宋体" w:cs="宋体"/>
                <w:bCs/>
                <w:color w:val="auto"/>
                <w:kern w:val="2"/>
                <w:sz w:val="24"/>
                <w:szCs w:val="24"/>
                <w:highlight w:val="none"/>
              </w:rPr>
              <w:t>.3</w:t>
            </w:r>
          </w:p>
        </w:tc>
        <w:tc>
          <w:tcPr>
            <w:tcW w:w="1174" w:type="pct"/>
            <w:vAlign w:val="center"/>
          </w:tcPr>
          <w:p w14:paraId="659293F1">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报价扣除</w:t>
            </w:r>
          </w:p>
          <w:p w14:paraId="2B018601">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i/>
                <w:color w:val="auto"/>
                <w:sz w:val="24"/>
                <w:szCs w:val="24"/>
                <w:highlight w:val="none"/>
              </w:rPr>
            </w:pPr>
            <w:r>
              <w:rPr>
                <w:rFonts w:hint="eastAsia" w:ascii="宋体" w:hAnsi="宋体" w:eastAsia="宋体" w:cs="宋体"/>
                <w:b w:val="0"/>
                <w:i/>
                <w:color w:val="auto"/>
                <w:sz w:val="24"/>
                <w:szCs w:val="24"/>
                <w:highlight w:val="none"/>
              </w:rPr>
              <w:t>（非专门面向中小企业采购项目适用）</w:t>
            </w:r>
          </w:p>
        </w:tc>
        <w:tc>
          <w:tcPr>
            <w:tcW w:w="3244" w:type="pct"/>
            <w:vAlign w:val="center"/>
          </w:tcPr>
          <w:p w14:paraId="12E78ABB">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（1）小型和微型企业价格扣除：</w:t>
            </w:r>
            <w:r>
              <w:rPr>
                <w:rFonts w:hint="eastAsia" w:ascii="宋体" w:hAnsi="宋体" w:eastAsia="宋体" w:cs="宋体"/>
                <w:b w:val="0"/>
                <w:color w:val="auto"/>
                <w:sz w:val="24"/>
                <w:szCs w:val="24"/>
                <w:highlight w:val="none"/>
                <w:u w:val="single"/>
                <w:lang w:val="en-US" w:eastAsia="zh-CN"/>
              </w:rPr>
              <w:t xml:space="preserve"> 10% </w:t>
            </w:r>
            <w:r>
              <w:rPr>
                <w:rFonts w:hint="eastAsia" w:ascii="宋体" w:hAnsi="宋体" w:eastAsia="宋体" w:cs="宋体"/>
                <w:b w:val="0"/>
                <w:color w:val="auto"/>
                <w:sz w:val="24"/>
                <w:szCs w:val="24"/>
                <w:highlight w:val="none"/>
              </w:rPr>
              <w:t>。</w:t>
            </w:r>
          </w:p>
          <w:p w14:paraId="230C3F6C">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（2）监狱企业价格扣除：</w:t>
            </w:r>
            <w:r>
              <w:rPr>
                <w:rFonts w:hint="eastAsia" w:ascii="宋体" w:hAnsi="宋体" w:eastAsia="宋体" w:cs="宋体"/>
                <w:b w:val="0"/>
                <w:color w:val="auto"/>
                <w:sz w:val="24"/>
                <w:szCs w:val="24"/>
                <w:highlight w:val="none"/>
                <w:u w:val="none"/>
              </w:rPr>
              <w:t>同小型和微型企业</w:t>
            </w:r>
            <w:r>
              <w:rPr>
                <w:rFonts w:hint="eastAsia" w:ascii="宋体" w:hAnsi="宋体" w:eastAsia="宋体" w:cs="宋体"/>
                <w:b w:val="0"/>
                <w:color w:val="auto"/>
                <w:sz w:val="24"/>
                <w:szCs w:val="24"/>
                <w:highlight w:val="none"/>
              </w:rPr>
              <w:t>。</w:t>
            </w:r>
          </w:p>
          <w:p w14:paraId="619B18BF">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（3）残疾人福利性单位价格扣除：</w:t>
            </w:r>
            <w:r>
              <w:rPr>
                <w:rFonts w:hint="eastAsia" w:ascii="宋体" w:hAnsi="宋体" w:eastAsia="宋体" w:cs="宋体"/>
                <w:b w:val="0"/>
                <w:color w:val="auto"/>
                <w:sz w:val="24"/>
                <w:szCs w:val="24"/>
                <w:highlight w:val="none"/>
                <w:u w:val="none"/>
              </w:rPr>
              <w:t>同小型和微型企业</w:t>
            </w:r>
            <w:r>
              <w:rPr>
                <w:rFonts w:hint="eastAsia" w:ascii="宋体" w:hAnsi="宋体" w:eastAsia="宋体" w:cs="宋体"/>
                <w:b w:val="0"/>
                <w:color w:val="auto"/>
                <w:sz w:val="24"/>
                <w:szCs w:val="24"/>
                <w:highlight w:val="none"/>
              </w:rPr>
              <w:t>。</w:t>
            </w:r>
          </w:p>
          <w:p w14:paraId="40F1FD75">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（4）符合条件的联合体价格扣除：</w:t>
            </w:r>
            <w:r>
              <w:rPr>
                <w:rFonts w:hint="eastAsia" w:ascii="宋体" w:hAnsi="宋体" w:eastAsia="宋体" w:cs="宋体"/>
                <w:b w:val="0"/>
                <w:color w:val="auto"/>
                <w:sz w:val="24"/>
                <w:szCs w:val="24"/>
                <w:highlight w:val="none"/>
                <w:u w:val="single"/>
                <w:lang w:val="en-US" w:eastAsia="zh-CN"/>
              </w:rPr>
              <w:t xml:space="preserve"> / </w:t>
            </w:r>
            <w:r>
              <w:rPr>
                <w:rFonts w:hint="eastAsia" w:ascii="宋体" w:hAnsi="宋体" w:eastAsia="宋体" w:cs="宋体"/>
                <w:b w:val="0"/>
                <w:color w:val="auto"/>
                <w:sz w:val="24"/>
                <w:szCs w:val="24"/>
                <w:highlight w:val="none"/>
              </w:rPr>
              <w:t>。</w:t>
            </w:r>
          </w:p>
          <w:p w14:paraId="3F3C182C">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（5）符合条件的向小微企业分包的大中型企业价格扣除：</w:t>
            </w:r>
            <w:r>
              <w:rPr>
                <w:rFonts w:hint="eastAsia" w:ascii="宋体" w:hAnsi="宋体" w:eastAsia="宋体" w:cs="宋体"/>
                <w:b w:val="0"/>
                <w:color w:val="auto"/>
                <w:sz w:val="24"/>
                <w:szCs w:val="24"/>
                <w:highlight w:val="none"/>
                <w:u w:val="single"/>
                <w:lang w:val="en-US" w:eastAsia="zh-CN"/>
              </w:rPr>
              <w:t xml:space="preserve"> / </w:t>
            </w:r>
            <w:r>
              <w:rPr>
                <w:rFonts w:hint="eastAsia" w:ascii="宋体" w:hAnsi="宋体" w:eastAsia="宋体" w:cs="宋体"/>
                <w:b w:val="0"/>
                <w:color w:val="auto"/>
                <w:sz w:val="24"/>
                <w:szCs w:val="24"/>
                <w:highlight w:val="none"/>
              </w:rPr>
              <w:t>。</w:t>
            </w:r>
            <w:r>
              <w:rPr>
                <w:rFonts w:hint="eastAsia" w:ascii="宋体" w:hAnsi="宋体" w:eastAsia="宋体" w:cs="宋体"/>
                <w:b w:val="0"/>
                <w:i/>
                <w:color w:val="auto"/>
                <w:sz w:val="24"/>
                <w:szCs w:val="24"/>
                <w:highlight w:val="none"/>
              </w:rPr>
              <w:t>（允许大中型企业向小微企业分包的项目适用）</w:t>
            </w:r>
          </w:p>
        </w:tc>
      </w:tr>
      <w:tr w14:paraId="0EDB2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24B38829">
            <w:pPr>
              <w:pStyle w:val="37"/>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w:t>
            </w:r>
            <w:r>
              <w:rPr>
                <w:rFonts w:hint="eastAsia" w:ascii="宋体" w:hAnsi="宋体" w:eastAsia="宋体" w:cs="宋体"/>
                <w:bCs/>
                <w:color w:val="auto"/>
                <w:kern w:val="2"/>
                <w:sz w:val="24"/>
                <w:szCs w:val="24"/>
                <w:highlight w:val="none"/>
                <w:lang w:val="en-US" w:eastAsia="zh-CN"/>
              </w:rPr>
              <w:t>1</w:t>
            </w:r>
            <w:r>
              <w:rPr>
                <w:rFonts w:hint="eastAsia" w:ascii="宋体" w:hAnsi="宋体" w:eastAsia="宋体" w:cs="宋体"/>
                <w:bCs/>
                <w:color w:val="auto"/>
                <w:kern w:val="2"/>
                <w:sz w:val="24"/>
                <w:szCs w:val="24"/>
                <w:highlight w:val="none"/>
              </w:rPr>
              <w:t>.1</w:t>
            </w:r>
          </w:p>
        </w:tc>
        <w:tc>
          <w:tcPr>
            <w:tcW w:w="1174" w:type="pct"/>
            <w:vAlign w:val="center"/>
          </w:tcPr>
          <w:p w14:paraId="20386312">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评标委员会推荐中标候选人的数量</w:t>
            </w:r>
          </w:p>
        </w:tc>
        <w:tc>
          <w:tcPr>
            <w:tcW w:w="3244" w:type="pct"/>
            <w:vAlign w:val="center"/>
          </w:tcPr>
          <w:p w14:paraId="4238FECC">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u w:val="single"/>
              </w:rPr>
            </w:pPr>
            <w:r>
              <w:rPr>
                <w:rFonts w:hint="eastAsia" w:ascii="宋体" w:hAnsi="宋体" w:eastAsia="宋体" w:cs="宋体"/>
                <w:b w:val="0"/>
                <w:color w:val="auto"/>
                <w:sz w:val="24"/>
                <w:szCs w:val="24"/>
                <w:highlight w:val="none"/>
                <w:lang w:val="en-US" w:eastAsia="zh-CN"/>
              </w:rPr>
              <w:t>每包</w:t>
            </w:r>
            <w:r>
              <w:rPr>
                <w:rFonts w:hint="eastAsia" w:ascii="宋体" w:hAnsi="宋体" w:eastAsia="宋体" w:cs="宋体"/>
                <w:b w:val="0"/>
                <w:color w:val="auto"/>
                <w:sz w:val="24"/>
                <w:szCs w:val="24"/>
                <w:highlight w:val="none"/>
              </w:rPr>
              <w:t>1-3家</w:t>
            </w:r>
          </w:p>
        </w:tc>
      </w:tr>
      <w:tr w14:paraId="07884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66AFEFC">
            <w:pPr>
              <w:pStyle w:val="37"/>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w:t>
            </w:r>
            <w:r>
              <w:rPr>
                <w:rFonts w:hint="eastAsia" w:ascii="宋体" w:hAnsi="宋体" w:eastAsia="宋体" w:cs="宋体"/>
                <w:bCs/>
                <w:color w:val="auto"/>
                <w:kern w:val="2"/>
                <w:sz w:val="24"/>
                <w:szCs w:val="24"/>
                <w:highlight w:val="none"/>
                <w:lang w:val="en-US" w:eastAsia="zh-CN"/>
              </w:rPr>
              <w:t>1</w:t>
            </w:r>
            <w:r>
              <w:rPr>
                <w:rFonts w:hint="eastAsia" w:ascii="宋体" w:hAnsi="宋体" w:eastAsia="宋体" w:cs="宋体"/>
                <w:bCs/>
                <w:color w:val="auto"/>
                <w:kern w:val="2"/>
                <w:sz w:val="24"/>
                <w:szCs w:val="24"/>
                <w:highlight w:val="none"/>
              </w:rPr>
              <w:t>.2</w:t>
            </w:r>
          </w:p>
        </w:tc>
        <w:tc>
          <w:tcPr>
            <w:tcW w:w="1174" w:type="pct"/>
            <w:vAlign w:val="center"/>
          </w:tcPr>
          <w:p w14:paraId="66740974">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确定中标人</w:t>
            </w:r>
          </w:p>
        </w:tc>
        <w:tc>
          <w:tcPr>
            <w:tcW w:w="3244" w:type="pct"/>
            <w:vAlign w:val="center"/>
          </w:tcPr>
          <w:p w14:paraId="039EB1D1">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sym w:font="Wingdings" w:char="00FE"/>
            </w:r>
            <w:r>
              <w:rPr>
                <w:rFonts w:hint="eastAsia" w:ascii="宋体" w:hAnsi="宋体" w:eastAsia="宋体" w:cs="宋体"/>
                <w:color w:val="auto"/>
                <w:kern w:val="0"/>
                <w:sz w:val="24"/>
                <w:szCs w:val="24"/>
                <w:highlight w:val="none"/>
              </w:rPr>
              <w:t>采购人委托评标委员会确定</w:t>
            </w:r>
          </w:p>
          <w:p w14:paraId="4C67A968">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bCs w:val="0"/>
                <w:color w:val="auto"/>
                <w:kern w:val="2"/>
                <w:sz w:val="24"/>
                <w:szCs w:val="24"/>
                <w:highlight w:val="none"/>
              </w:rPr>
              <w:t>□采购人确定</w:t>
            </w:r>
          </w:p>
        </w:tc>
      </w:tr>
      <w:tr w14:paraId="594EF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4B1E8C09">
            <w:pPr>
              <w:pStyle w:val="37"/>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w:t>
            </w:r>
            <w:r>
              <w:rPr>
                <w:rFonts w:hint="eastAsia" w:ascii="宋体" w:hAnsi="宋体" w:eastAsia="宋体" w:cs="宋体"/>
                <w:bCs/>
                <w:color w:val="auto"/>
                <w:kern w:val="2"/>
                <w:sz w:val="24"/>
                <w:szCs w:val="24"/>
                <w:highlight w:val="none"/>
                <w:lang w:val="en-US" w:eastAsia="zh-CN"/>
              </w:rPr>
              <w:t>3</w:t>
            </w:r>
            <w:r>
              <w:rPr>
                <w:rFonts w:hint="eastAsia" w:ascii="宋体" w:hAnsi="宋体" w:eastAsia="宋体" w:cs="宋体"/>
                <w:bCs/>
                <w:color w:val="auto"/>
                <w:kern w:val="2"/>
                <w:sz w:val="24"/>
                <w:szCs w:val="24"/>
                <w:highlight w:val="none"/>
              </w:rPr>
              <w:t>.3</w:t>
            </w:r>
          </w:p>
        </w:tc>
        <w:tc>
          <w:tcPr>
            <w:tcW w:w="1174" w:type="pct"/>
            <w:vAlign w:val="center"/>
          </w:tcPr>
          <w:p w14:paraId="25433CD5">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随中标结果公告同时</w:t>
            </w:r>
            <w:r>
              <w:rPr>
                <w:rFonts w:hint="eastAsia" w:ascii="宋体" w:hAnsi="宋体" w:eastAsia="宋体" w:cs="宋体"/>
                <w:b w:val="0"/>
                <w:color w:val="auto"/>
                <w:sz w:val="24"/>
                <w:szCs w:val="24"/>
                <w:highlight w:val="none"/>
                <w:lang w:val="en-US" w:eastAsia="zh-CN"/>
              </w:rPr>
              <w:t>公告</w:t>
            </w:r>
            <w:r>
              <w:rPr>
                <w:rFonts w:hint="eastAsia" w:ascii="宋体" w:hAnsi="宋体" w:eastAsia="宋体" w:cs="宋体"/>
                <w:b w:val="0"/>
                <w:color w:val="auto"/>
                <w:sz w:val="24"/>
                <w:szCs w:val="24"/>
                <w:highlight w:val="none"/>
              </w:rPr>
              <w:t>的内容</w:t>
            </w:r>
          </w:p>
        </w:tc>
        <w:tc>
          <w:tcPr>
            <w:tcW w:w="3244" w:type="pct"/>
            <w:vAlign w:val="center"/>
          </w:tcPr>
          <w:p w14:paraId="1BCD1239">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u w:val="none"/>
              </w:rPr>
            </w:pPr>
            <w:r>
              <w:rPr>
                <w:rFonts w:hint="eastAsia" w:ascii="宋体" w:hAnsi="宋体" w:eastAsia="宋体" w:cs="宋体"/>
                <w:b w:val="0"/>
                <w:color w:val="auto"/>
                <w:sz w:val="24"/>
                <w:szCs w:val="24"/>
                <w:highlight w:val="none"/>
                <w:u w:val="none"/>
              </w:rPr>
              <w:t>（</w:t>
            </w:r>
            <w:r>
              <w:rPr>
                <w:rFonts w:hint="eastAsia" w:ascii="宋体" w:hAnsi="宋体" w:eastAsia="宋体" w:cs="宋体"/>
                <w:b w:val="0"/>
                <w:color w:val="auto"/>
                <w:sz w:val="24"/>
                <w:szCs w:val="24"/>
                <w:highlight w:val="none"/>
                <w:u w:val="none"/>
                <w:lang w:val="en-US" w:eastAsia="zh-CN"/>
              </w:rPr>
              <w:t>1</w:t>
            </w:r>
            <w:r>
              <w:rPr>
                <w:rFonts w:hint="eastAsia" w:ascii="宋体" w:hAnsi="宋体" w:eastAsia="宋体" w:cs="宋体"/>
                <w:b w:val="0"/>
                <w:color w:val="auto"/>
                <w:sz w:val="24"/>
                <w:szCs w:val="24"/>
                <w:highlight w:val="none"/>
                <w:u w:val="none"/>
              </w:rPr>
              <w:t>）中小企业声明函；</w:t>
            </w:r>
            <w:r>
              <w:rPr>
                <w:rFonts w:hint="eastAsia" w:ascii="宋体" w:hAnsi="宋体" w:eastAsia="宋体" w:cs="宋体"/>
                <w:b w:val="0"/>
                <w:i/>
                <w:iCs/>
                <w:color w:val="auto"/>
                <w:sz w:val="24"/>
                <w:szCs w:val="24"/>
                <w:highlight w:val="none"/>
                <w:u w:val="none"/>
              </w:rPr>
              <w:t>（如有）</w:t>
            </w:r>
          </w:p>
          <w:p w14:paraId="77CF9808">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i/>
                <w:color w:val="auto"/>
                <w:sz w:val="24"/>
                <w:szCs w:val="24"/>
                <w:highlight w:val="none"/>
                <w:u w:val="none"/>
              </w:rPr>
            </w:pPr>
            <w:r>
              <w:rPr>
                <w:rFonts w:hint="eastAsia" w:ascii="宋体" w:hAnsi="宋体" w:eastAsia="宋体" w:cs="宋体"/>
                <w:b w:val="0"/>
                <w:color w:val="auto"/>
                <w:sz w:val="24"/>
                <w:szCs w:val="24"/>
                <w:highlight w:val="none"/>
                <w:u w:val="none"/>
              </w:rPr>
              <w:t>（</w:t>
            </w:r>
            <w:r>
              <w:rPr>
                <w:rFonts w:hint="eastAsia" w:ascii="宋体" w:hAnsi="宋体" w:eastAsia="宋体" w:cs="宋体"/>
                <w:b w:val="0"/>
                <w:color w:val="auto"/>
                <w:sz w:val="24"/>
                <w:szCs w:val="24"/>
                <w:highlight w:val="none"/>
                <w:u w:val="none"/>
                <w:lang w:val="en-US" w:eastAsia="zh-CN"/>
              </w:rPr>
              <w:t>2）</w:t>
            </w:r>
            <w:r>
              <w:rPr>
                <w:rFonts w:hint="eastAsia" w:ascii="宋体" w:hAnsi="宋体" w:eastAsia="宋体" w:cs="宋体"/>
                <w:b w:val="0"/>
                <w:color w:val="auto"/>
                <w:sz w:val="24"/>
                <w:szCs w:val="24"/>
                <w:highlight w:val="none"/>
                <w:u w:val="none"/>
              </w:rPr>
              <w:t>残疾人福利性单位声明函；</w:t>
            </w:r>
            <w:r>
              <w:rPr>
                <w:rFonts w:hint="eastAsia" w:ascii="宋体" w:hAnsi="宋体" w:eastAsia="宋体" w:cs="宋体"/>
                <w:b w:val="0"/>
                <w:i/>
                <w:iCs/>
                <w:color w:val="auto"/>
                <w:sz w:val="24"/>
                <w:szCs w:val="24"/>
                <w:highlight w:val="none"/>
                <w:u w:val="none"/>
              </w:rPr>
              <w:t>（如有）</w:t>
            </w:r>
          </w:p>
          <w:p w14:paraId="6F1D713D">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i/>
                <w:iCs/>
                <w:color w:val="auto"/>
                <w:sz w:val="24"/>
                <w:szCs w:val="24"/>
                <w:highlight w:val="none"/>
                <w:u w:val="none"/>
                <w:lang w:eastAsia="zh-CN"/>
              </w:rPr>
            </w:pPr>
            <w:r>
              <w:rPr>
                <w:rFonts w:hint="eastAsia" w:ascii="宋体" w:hAnsi="宋体" w:eastAsia="宋体" w:cs="宋体"/>
                <w:b w:val="0"/>
                <w:color w:val="auto"/>
                <w:sz w:val="24"/>
                <w:szCs w:val="24"/>
                <w:highlight w:val="none"/>
                <w:u w:val="none"/>
                <w:lang w:eastAsia="zh-CN"/>
              </w:rPr>
              <w:t>（</w:t>
            </w:r>
            <w:r>
              <w:rPr>
                <w:rFonts w:hint="eastAsia" w:ascii="宋体" w:hAnsi="宋体" w:eastAsia="宋体" w:cs="宋体"/>
                <w:b w:val="0"/>
                <w:color w:val="auto"/>
                <w:sz w:val="24"/>
                <w:szCs w:val="24"/>
                <w:highlight w:val="none"/>
                <w:u w:val="none"/>
                <w:lang w:val="en-US" w:eastAsia="zh-CN"/>
              </w:rPr>
              <w:t>3</w:t>
            </w:r>
            <w:r>
              <w:rPr>
                <w:rFonts w:hint="eastAsia" w:ascii="宋体" w:hAnsi="宋体" w:eastAsia="宋体" w:cs="宋体"/>
                <w:b w:val="0"/>
                <w:color w:val="auto"/>
                <w:sz w:val="24"/>
                <w:szCs w:val="24"/>
                <w:highlight w:val="none"/>
                <w:u w:val="none"/>
                <w:lang w:eastAsia="zh-CN"/>
              </w:rPr>
              <w:t>）</w:t>
            </w:r>
            <w:r>
              <w:rPr>
                <w:rFonts w:hint="eastAsia" w:ascii="宋体" w:hAnsi="宋体" w:eastAsia="宋体" w:cs="宋体"/>
                <w:b w:val="0"/>
                <w:color w:val="auto"/>
                <w:sz w:val="24"/>
                <w:szCs w:val="24"/>
                <w:highlight w:val="none"/>
                <w:u w:val="none"/>
              </w:rPr>
              <w:t>中标</w:t>
            </w:r>
            <w:r>
              <w:rPr>
                <w:rFonts w:hint="eastAsia" w:ascii="宋体" w:hAnsi="宋体" w:eastAsia="宋体" w:cs="宋体"/>
                <w:b w:val="0"/>
                <w:color w:val="auto"/>
                <w:sz w:val="24"/>
                <w:szCs w:val="24"/>
                <w:highlight w:val="none"/>
                <w:u w:val="none"/>
                <w:lang w:eastAsia="zh-CN"/>
              </w:rPr>
              <w:t>（</w:t>
            </w:r>
            <w:r>
              <w:rPr>
                <w:rFonts w:hint="eastAsia" w:ascii="宋体" w:hAnsi="宋体" w:eastAsia="宋体" w:cs="宋体"/>
                <w:b w:val="0"/>
                <w:color w:val="auto"/>
                <w:sz w:val="24"/>
                <w:szCs w:val="24"/>
                <w:highlight w:val="none"/>
                <w:u w:val="none"/>
              </w:rPr>
              <w:t>成交</w:t>
            </w:r>
            <w:r>
              <w:rPr>
                <w:rFonts w:hint="eastAsia" w:ascii="宋体" w:hAnsi="宋体" w:eastAsia="宋体" w:cs="宋体"/>
                <w:b w:val="0"/>
                <w:color w:val="auto"/>
                <w:sz w:val="24"/>
                <w:szCs w:val="24"/>
                <w:highlight w:val="none"/>
                <w:u w:val="none"/>
                <w:lang w:eastAsia="zh-CN"/>
              </w:rPr>
              <w:t>）</w:t>
            </w:r>
            <w:r>
              <w:rPr>
                <w:rFonts w:hint="eastAsia" w:ascii="宋体" w:hAnsi="宋体" w:eastAsia="宋体" w:cs="宋体"/>
                <w:b w:val="0"/>
                <w:color w:val="auto"/>
                <w:sz w:val="24"/>
                <w:szCs w:val="24"/>
                <w:highlight w:val="none"/>
                <w:u w:val="none"/>
              </w:rPr>
              <w:t>供应商的评审总得分</w:t>
            </w:r>
            <w:r>
              <w:rPr>
                <w:rFonts w:hint="eastAsia" w:ascii="宋体" w:hAnsi="宋体" w:eastAsia="宋体" w:cs="宋体"/>
                <w:b w:val="0"/>
                <w:color w:val="auto"/>
                <w:sz w:val="24"/>
                <w:szCs w:val="24"/>
                <w:highlight w:val="none"/>
                <w:u w:val="none"/>
                <w:lang w:eastAsia="zh-CN"/>
              </w:rPr>
              <w:t>；</w:t>
            </w:r>
          </w:p>
          <w:p w14:paraId="34A5AB66">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color w:val="auto"/>
                <w:sz w:val="24"/>
                <w:szCs w:val="24"/>
                <w:highlight w:val="none"/>
                <w:u w:val="none"/>
                <w:lang w:eastAsia="zh-CN"/>
              </w:rPr>
              <w:t>（</w:t>
            </w:r>
            <w:r>
              <w:rPr>
                <w:rFonts w:hint="eastAsia" w:ascii="宋体" w:hAnsi="宋体" w:eastAsia="宋体" w:cs="宋体"/>
                <w:b w:val="0"/>
                <w:color w:val="auto"/>
                <w:sz w:val="24"/>
                <w:szCs w:val="24"/>
                <w:highlight w:val="none"/>
                <w:u w:val="none"/>
                <w:lang w:val="en-US" w:eastAsia="zh-CN"/>
              </w:rPr>
              <w:t>4</w:t>
            </w:r>
            <w:r>
              <w:rPr>
                <w:rFonts w:hint="eastAsia" w:ascii="宋体" w:hAnsi="宋体" w:eastAsia="宋体" w:cs="宋体"/>
                <w:b w:val="0"/>
                <w:color w:val="auto"/>
                <w:sz w:val="24"/>
                <w:szCs w:val="24"/>
                <w:highlight w:val="none"/>
                <w:u w:val="none"/>
                <w:lang w:eastAsia="zh-CN"/>
              </w:rPr>
              <w:t>）</w:t>
            </w:r>
            <w:r>
              <w:rPr>
                <w:rFonts w:hint="eastAsia" w:ascii="宋体" w:hAnsi="宋体" w:eastAsia="宋体" w:cs="宋体"/>
                <w:b w:val="0"/>
                <w:color w:val="auto"/>
                <w:sz w:val="24"/>
                <w:szCs w:val="24"/>
                <w:highlight w:val="none"/>
                <w:u w:val="none"/>
              </w:rPr>
              <w:t>招标文件中规定进行公示的其他内容。（如有）</w:t>
            </w:r>
          </w:p>
        </w:tc>
      </w:tr>
      <w:tr w14:paraId="10A78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07E115EA">
            <w:pPr>
              <w:pStyle w:val="37"/>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w:t>
            </w:r>
            <w:r>
              <w:rPr>
                <w:rFonts w:hint="eastAsia" w:ascii="宋体" w:hAnsi="宋体" w:eastAsia="宋体" w:cs="宋体"/>
                <w:bCs/>
                <w:color w:val="auto"/>
                <w:kern w:val="2"/>
                <w:sz w:val="24"/>
                <w:szCs w:val="24"/>
                <w:highlight w:val="none"/>
                <w:lang w:val="en-US" w:eastAsia="zh-CN"/>
              </w:rPr>
              <w:t>4</w:t>
            </w:r>
            <w:r>
              <w:rPr>
                <w:rFonts w:hint="eastAsia" w:ascii="宋体" w:hAnsi="宋体" w:eastAsia="宋体" w:cs="宋体"/>
                <w:bCs/>
                <w:color w:val="auto"/>
                <w:kern w:val="2"/>
                <w:sz w:val="24"/>
                <w:szCs w:val="24"/>
                <w:highlight w:val="none"/>
              </w:rPr>
              <w:t>.1</w:t>
            </w:r>
          </w:p>
        </w:tc>
        <w:tc>
          <w:tcPr>
            <w:tcW w:w="1174" w:type="pct"/>
            <w:vAlign w:val="center"/>
          </w:tcPr>
          <w:p w14:paraId="326846B5">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中标通知书发出的形式</w:t>
            </w:r>
          </w:p>
        </w:tc>
        <w:tc>
          <w:tcPr>
            <w:tcW w:w="3244" w:type="pct"/>
            <w:vAlign w:val="center"/>
          </w:tcPr>
          <w:p w14:paraId="64DA8ADD">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书面     </w:t>
            </w:r>
            <w:r>
              <w:rPr>
                <w:rFonts w:hint="eastAsia" w:ascii="宋体" w:hAnsi="宋体" w:eastAsia="宋体" w:cs="宋体"/>
                <w:b w:val="0"/>
                <w:bCs w:val="0"/>
                <w:color w:val="auto"/>
                <w:sz w:val="24"/>
                <w:szCs w:val="24"/>
                <w:highlight w:val="none"/>
              </w:rPr>
              <w:sym w:font="Wingdings" w:char="00A8"/>
            </w:r>
            <w:r>
              <w:rPr>
                <w:rFonts w:hint="eastAsia" w:ascii="宋体" w:hAnsi="宋体" w:eastAsia="宋体" w:cs="宋体"/>
                <w:b w:val="0"/>
                <w:bCs w:val="0"/>
                <w:color w:val="auto"/>
                <w:sz w:val="24"/>
                <w:szCs w:val="24"/>
                <w:highlight w:val="none"/>
              </w:rPr>
              <w:t>数据电文</w:t>
            </w:r>
          </w:p>
        </w:tc>
      </w:tr>
      <w:tr w14:paraId="73FFE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3A7FE698">
            <w:pPr>
              <w:pStyle w:val="37"/>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25</w:t>
            </w:r>
            <w:r>
              <w:rPr>
                <w:rFonts w:hint="eastAsia" w:ascii="宋体" w:hAnsi="宋体" w:eastAsia="宋体" w:cs="宋体"/>
                <w:bCs/>
                <w:color w:val="auto"/>
                <w:kern w:val="2"/>
                <w:sz w:val="24"/>
                <w:szCs w:val="24"/>
                <w:highlight w:val="none"/>
              </w:rPr>
              <w:t>.1</w:t>
            </w:r>
          </w:p>
        </w:tc>
        <w:tc>
          <w:tcPr>
            <w:tcW w:w="1174" w:type="pct"/>
            <w:vAlign w:val="center"/>
          </w:tcPr>
          <w:p w14:paraId="7F925ED0">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告知招标结果的形式</w:t>
            </w:r>
          </w:p>
        </w:tc>
        <w:tc>
          <w:tcPr>
            <w:tcW w:w="3244" w:type="pct"/>
            <w:vAlign w:val="center"/>
          </w:tcPr>
          <w:p w14:paraId="6657A77C">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kern w:val="0"/>
                <w:sz w:val="24"/>
                <w:szCs w:val="24"/>
                <w:highlight w:val="none"/>
              </w:rPr>
              <w:sym w:font="Wingdings" w:char="00FE"/>
            </w:r>
            <w:r>
              <w:rPr>
                <w:rFonts w:hint="eastAsia" w:ascii="宋体" w:hAnsi="宋体" w:eastAsia="宋体" w:cs="宋体"/>
                <w:color w:val="auto"/>
                <w:kern w:val="0"/>
                <w:sz w:val="24"/>
                <w:szCs w:val="24"/>
                <w:highlight w:val="none"/>
              </w:rPr>
              <w:t>投标人自行登录电子</w:t>
            </w:r>
            <w:r>
              <w:rPr>
                <w:rFonts w:hint="eastAsia" w:ascii="宋体" w:hAnsi="宋体" w:eastAsia="宋体" w:cs="宋体"/>
                <w:b w:val="0"/>
                <w:bCs w:val="0"/>
                <w:color w:val="auto"/>
                <w:sz w:val="24"/>
                <w:szCs w:val="24"/>
                <w:highlight w:val="none"/>
                <w:lang w:val="en-US" w:eastAsia="zh-CN"/>
              </w:rPr>
              <w:t>交易</w:t>
            </w:r>
            <w:r>
              <w:rPr>
                <w:rFonts w:hint="eastAsia" w:ascii="宋体" w:hAnsi="宋体" w:eastAsia="宋体" w:cs="宋体"/>
                <w:color w:val="auto"/>
                <w:kern w:val="0"/>
                <w:sz w:val="24"/>
                <w:szCs w:val="24"/>
                <w:highlight w:val="none"/>
              </w:rPr>
              <w:t>系统查看</w:t>
            </w:r>
          </w:p>
          <w:p w14:paraId="2362A345">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rPr>
              <w:t>□评标现场告知</w:t>
            </w:r>
          </w:p>
        </w:tc>
      </w:tr>
      <w:tr w14:paraId="79E5C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581" w:type="pct"/>
            <w:vAlign w:val="center"/>
          </w:tcPr>
          <w:p w14:paraId="076FC6FD">
            <w:pPr>
              <w:pStyle w:val="37"/>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26</w:t>
            </w:r>
            <w:r>
              <w:rPr>
                <w:rFonts w:hint="eastAsia" w:ascii="宋体" w:hAnsi="宋体" w:eastAsia="宋体" w:cs="宋体"/>
                <w:bCs/>
                <w:color w:val="auto"/>
                <w:kern w:val="2"/>
                <w:sz w:val="24"/>
                <w:szCs w:val="24"/>
                <w:highlight w:val="none"/>
              </w:rPr>
              <w:t>.1</w:t>
            </w:r>
          </w:p>
        </w:tc>
        <w:tc>
          <w:tcPr>
            <w:tcW w:w="1174" w:type="pct"/>
            <w:vAlign w:val="center"/>
          </w:tcPr>
          <w:p w14:paraId="5A9950FC">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履约保证金</w:t>
            </w:r>
          </w:p>
        </w:tc>
        <w:tc>
          <w:tcPr>
            <w:tcW w:w="3244" w:type="pct"/>
            <w:vAlign w:val="center"/>
          </w:tcPr>
          <w:p w14:paraId="0657703C">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（1）金额：</w:t>
            </w:r>
          </w:p>
          <w:p w14:paraId="1D6768BD">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□免收</w:t>
            </w:r>
          </w:p>
          <w:p w14:paraId="7846F0B4">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lang w:val="en-US" w:eastAsia="zh-CN"/>
              </w:rPr>
              <w:t>每包</w:t>
            </w:r>
            <w:r>
              <w:rPr>
                <w:rFonts w:hint="eastAsia" w:ascii="宋体" w:hAnsi="宋体" w:eastAsia="宋体" w:cs="宋体"/>
                <w:bCs/>
                <w:color w:val="auto"/>
                <w:kern w:val="0"/>
                <w:sz w:val="24"/>
                <w:szCs w:val="24"/>
                <w:highlight w:val="none"/>
              </w:rPr>
              <w:t>合同价的</w:t>
            </w:r>
            <w:r>
              <w:rPr>
                <w:rFonts w:hint="eastAsia" w:ascii="宋体" w:hAnsi="宋体" w:eastAsia="宋体" w:cs="宋体"/>
                <w:bCs/>
                <w:color w:val="auto"/>
                <w:kern w:val="0"/>
                <w:sz w:val="24"/>
                <w:szCs w:val="24"/>
                <w:highlight w:val="none"/>
                <w:u w:val="single"/>
              </w:rPr>
              <w:t xml:space="preserve"> </w:t>
            </w:r>
            <w:r>
              <w:rPr>
                <w:rFonts w:hint="eastAsia" w:ascii="宋体" w:hAnsi="宋体" w:eastAsia="宋体" w:cs="宋体"/>
                <w:bCs/>
                <w:color w:val="auto"/>
                <w:kern w:val="0"/>
                <w:sz w:val="24"/>
                <w:szCs w:val="24"/>
                <w:highlight w:val="none"/>
                <w:u w:val="single"/>
                <w:lang w:val="en-US" w:eastAsia="zh-CN"/>
              </w:rPr>
              <w:t>2.5</w:t>
            </w:r>
            <w:r>
              <w:rPr>
                <w:rFonts w:hint="eastAsia" w:ascii="宋体" w:hAnsi="宋体" w:eastAsia="宋体" w:cs="宋体"/>
                <w:bCs/>
                <w:color w:val="auto"/>
                <w:kern w:val="0"/>
                <w:sz w:val="24"/>
                <w:szCs w:val="24"/>
                <w:highlight w:val="none"/>
                <w:u w:val="single"/>
              </w:rPr>
              <w:t xml:space="preserve"> </w:t>
            </w:r>
            <w:r>
              <w:rPr>
                <w:rFonts w:hint="eastAsia" w:ascii="宋体" w:hAnsi="宋体" w:eastAsia="宋体" w:cs="宋体"/>
                <w:bCs/>
                <w:color w:val="auto"/>
                <w:kern w:val="0"/>
                <w:sz w:val="24"/>
                <w:szCs w:val="24"/>
                <w:highlight w:val="none"/>
              </w:rPr>
              <w:t>%</w:t>
            </w:r>
          </w:p>
          <w:p w14:paraId="70A4DB78">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□定额收取：人民币</w:t>
            </w:r>
            <w:r>
              <w:rPr>
                <w:rFonts w:hint="eastAsia" w:ascii="宋体" w:hAnsi="宋体" w:eastAsia="宋体" w:cs="宋体"/>
                <w:bCs/>
                <w:color w:val="auto"/>
                <w:kern w:val="0"/>
                <w:sz w:val="24"/>
                <w:szCs w:val="24"/>
                <w:highlight w:val="none"/>
                <w:u w:val="single"/>
              </w:rPr>
              <w:t xml:space="preserve">  </w:t>
            </w:r>
            <w:r>
              <w:rPr>
                <w:rFonts w:hint="eastAsia" w:ascii="宋体" w:hAnsi="宋体" w:eastAsia="宋体" w:cs="宋体"/>
                <w:bCs/>
                <w:color w:val="auto"/>
                <w:kern w:val="0"/>
                <w:sz w:val="24"/>
                <w:szCs w:val="24"/>
                <w:highlight w:val="none"/>
                <w:u w:val="single"/>
                <w:lang w:val="en-US" w:eastAsia="zh-CN"/>
              </w:rPr>
              <w:t xml:space="preserve">/ </w:t>
            </w:r>
            <w:r>
              <w:rPr>
                <w:rFonts w:hint="eastAsia" w:ascii="宋体" w:hAnsi="宋体" w:eastAsia="宋体" w:cs="宋体"/>
                <w:bCs/>
                <w:color w:val="auto"/>
                <w:kern w:val="0"/>
                <w:sz w:val="24"/>
                <w:szCs w:val="24"/>
                <w:highlight w:val="none"/>
                <w:u w:val="single"/>
              </w:rPr>
              <w:t xml:space="preserve"> </w:t>
            </w:r>
            <w:r>
              <w:rPr>
                <w:rFonts w:hint="eastAsia" w:ascii="宋体" w:hAnsi="宋体" w:eastAsia="宋体" w:cs="宋体"/>
                <w:bCs/>
                <w:color w:val="auto"/>
                <w:kern w:val="0"/>
                <w:sz w:val="24"/>
                <w:szCs w:val="24"/>
                <w:highlight w:val="none"/>
              </w:rPr>
              <w:t>元</w:t>
            </w:r>
          </w:p>
          <w:p w14:paraId="5665242F">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（2）支付方式：</w:t>
            </w:r>
          </w:p>
          <w:p w14:paraId="52B412C8">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sym w:font="Wingdings" w:char="00FE"/>
            </w:r>
            <w:r>
              <w:rPr>
                <w:rFonts w:hint="eastAsia" w:ascii="宋体" w:hAnsi="宋体" w:eastAsia="宋体" w:cs="宋体"/>
                <w:bCs/>
                <w:color w:val="auto"/>
                <w:kern w:val="0"/>
                <w:sz w:val="24"/>
                <w:szCs w:val="24"/>
                <w:highlight w:val="none"/>
              </w:rPr>
              <w:t xml:space="preserve">转账/电汇 </w:t>
            </w:r>
            <w:r>
              <w:rPr>
                <w:rFonts w:hint="eastAsia" w:ascii="宋体" w:hAnsi="宋体" w:eastAsia="宋体" w:cs="宋体"/>
                <w:bCs/>
                <w:color w:val="auto"/>
                <w:kern w:val="0"/>
                <w:sz w:val="24"/>
                <w:szCs w:val="24"/>
                <w:highlight w:val="none"/>
              </w:rPr>
              <w:sym w:font="Wingdings" w:char="00FE"/>
            </w:r>
            <w:r>
              <w:rPr>
                <w:rFonts w:hint="eastAsia" w:ascii="宋体" w:hAnsi="宋体" w:eastAsia="宋体" w:cs="宋体"/>
                <w:bCs/>
                <w:color w:val="auto"/>
                <w:kern w:val="0"/>
                <w:sz w:val="24"/>
                <w:szCs w:val="24"/>
                <w:highlight w:val="none"/>
              </w:rPr>
              <w:t xml:space="preserve">支票 </w:t>
            </w:r>
            <w:r>
              <w:rPr>
                <w:rFonts w:hint="eastAsia" w:ascii="宋体" w:hAnsi="宋体" w:eastAsia="宋体" w:cs="宋体"/>
                <w:bCs/>
                <w:color w:val="auto"/>
                <w:kern w:val="0"/>
                <w:sz w:val="24"/>
                <w:szCs w:val="24"/>
                <w:highlight w:val="none"/>
              </w:rPr>
              <w:sym w:font="Wingdings" w:char="00FE"/>
            </w:r>
            <w:r>
              <w:rPr>
                <w:rFonts w:hint="eastAsia" w:ascii="宋体" w:hAnsi="宋体" w:eastAsia="宋体" w:cs="宋体"/>
                <w:bCs/>
                <w:color w:val="auto"/>
                <w:kern w:val="0"/>
                <w:sz w:val="24"/>
                <w:szCs w:val="24"/>
                <w:highlight w:val="none"/>
              </w:rPr>
              <w:t xml:space="preserve">汇票 </w:t>
            </w:r>
            <w:r>
              <w:rPr>
                <w:rFonts w:hint="eastAsia" w:ascii="宋体" w:hAnsi="宋体" w:eastAsia="宋体" w:cs="宋体"/>
                <w:bCs/>
                <w:color w:val="auto"/>
                <w:kern w:val="0"/>
                <w:sz w:val="24"/>
                <w:szCs w:val="24"/>
                <w:highlight w:val="none"/>
              </w:rPr>
              <w:sym w:font="Wingdings" w:char="00FE"/>
            </w:r>
            <w:r>
              <w:rPr>
                <w:rFonts w:hint="eastAsia" w:ascii="宋体" w:hAnsi="宋体" w:eastAsia="宋体" w:cs="宋体"/>
                <w:bCs/>
                <w:color w:val="auto"/>
                <w:kern w:val="0"/>
                <w:sz w:val="24"/>
                <w:szCs w:val="24"/>
                <w:highlight w:val="none"/>
              </w:rPr>
              <w:t xml:space="preserve">本票 </w:t>
            </w:r>
            <w:r>
              <w:rPr>
                <w:rFonts w:hint="eastAsia" w:ascii="宋体" w:hAnsi="宋体" w:eastAsia="宋体" w:cs="宋体"/>
                <w:bCs/>
                <w:color w:val="auto"/>
                <w:kern w:val="0"/>
                <w:sz w:val="24"/>
                <w:szCs w:val="24"/>
                <w:highlight w:val="none"/>
              </w:rPr>
              <w:sym w:font="Wingdings" w:char="00FE"/>
            </w:r>
            <w:r>
              <w:rPr>
                <w:rFonts w:hint="eastAsia" w:ascii="宋体" w:hAnsi="宋体" w:eastAsia="宋体" w:cs="宋体"/>
                <w:bCs/>
                <w:color w:val="auto"/>
                <w:kern w:val="0"/>
                <w:sz w:val="24"/>
                <w:szCs w:val="24"/>
                <w:highlight w:val="none"/>
              </w:rPr>
              <w:t xml:space="preserve">保险 </w:t>
            </w:r>
            <w:r>
              <w:rPr>
                <w:rFonts w:hint="eastAsia" w:ascii="宋体" w:hAnsi="宋体" w:eastAsia="宋体" w:cs="宋体"/>
                <w:bCs/>
                <w:color w:val="auto"/>
                <w:kern w:val="0"/>
                <w:sz w:val="24"/>
                <w:szCs w:val="24"/>
                <w:highlight w:val="none"/>
              </w:rPr>
              <w:sym w:font="Wingdings" w:char="00FE"/>
            </w:r>
            <w:r>
              <w:rPr>
                <w:rFonts w:hint="eastAsia" w:ascii="宋体" w:hAnsi="宋体" w:eastAsia="宋体" w:cs="宋体"/>
                <w:bCs/>
                <w:color w:val="auto"/>
                <w:kern w:val="0"/>
                <w:sz w:val="24"/>
                <w:szCs w:val="24"/>
                <w:highlight w:val="none"/>
              </w:rPr>
              <w:t>保函</w:t>
            </w:r>
          </w:p>
          <w:p w14:paraId="158B8D4F">
            <w:pPr>
              <w:keepNext w:val="0"/>
              <w:keepLines w:val="0"/>
              <w:pageBreakBefore w:val="0"/>
              <w:numPr>
                <w:ilvl w:val="0"/>
                <w:numId w:val="0"/>
              </w:numPr>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lang w:val="en-US" w:eastAsia="zh-CN"/>
              </w:rPr>
              <w:t>3</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收取单位：</w:t>
            </w:r>
            <w:r>
              <w:rPr>
                <w:rFonts w:hint="eastAsia" w:ascii="宋体" w:hAnsi="宋体" w:eastAsia="宋体" w:cs="宋体"/>
                <w:bCs/>
                <w:color w:val="auto"/>
                <w:kern w:val="0"/>
                <w:sz w:val="24"/>
                <w:szCs w:val="24"/>
                <w:highlight w:val="none"/>
                <w:u w:val="single"/>
                <w:lang w:eastAsia="zh-CN"/>
              </w:rPr>
              <w:t>安徽理工大学</w:t>
            </w:r>
            <w:r>
              <w:rPr>
                <w:rFonts w:hint="eastAsia" w:ascii="宋体" w:hAnsi="宋体" w:eastAsia="宋体" w:cs="宋体"/>
                <w:bCs/>
                <w:color w:val="auto"/>
                <w:kern w:val="0"/>
                <w:sz w:val="24"/>
                <w:szCs w:val="24"/>
                <w:highlight w:val="none"/>
              </w:rPr>
              <w:t xml:space="preserve">             </w:t>
            </w:r>
          </w:p>
          <w:p w14:paraId="77404DC5">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（4）收取账号：</w:t>
            </w:r>
          </w:p>
          <w:p w14:paraId="6974FC7C">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kern w:val="0"/>
                <w:sz w:val="24"/>
                <w:szCs w:val="24"/>
                <w:highlight w:val="none"/>
                <w:u w:val="single"/>
                <w:lang w:val="en-US" w:eastAsia="zh-CN"/>
              </w:rPr>
            </w:pPr>
            <w:r>
              <w:rPr>
                <w:rFonts w:hint="eastAsia" w:ascii="宋体" w:hAnsi="宋体" w:eastAsia="宋体" w:cs="宋体"/>
                <w:bCs/>
                <w:color w:val="auto"/>
                <w:kern w:val="0"/>
                <w:sz w:val="24"/>
                <w:szCs w:val="24"/>
                <w:highlight w:val="none"/>
                <w:u w:val="single"/>
                <w:lang w:val="en-US" w:eastAsia="zh-CN"/>
              </w:rPr>
              <w:t xml:space="preserve">户名：安徽理工大学 </w:t>
            </w:r>
          </w:p>
          <w:p w14:paraId="4B992DBD">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kern w:val="0"/>
                <w:sz w:val="24"/>
                <w:szCs w:val="24"/>
                <w:highlight w:val="none"/>
                <w:u w:val="single"/>
                <w:lang w:val="en-US" w:eastAsia="zh-CN"/>
              </w:rPr>
            </w:pPr>
            <w:r>
              <w:rPr>
                <w:rFonts w:hint="eastAsia" w:ascii="宋体" w:hAnsi="宋体" w:eastAsia="宋体" w:cs="宋体"/>
                <w:bCs/>
                <w:color w:val="auto"/>
                <w:kern w:val="0"/>
                <w:sz w:val="24"/>
                <w:szCs w:val="24"/>
                <w:highlight w:val="none"/>
                <w:u w:val="single"/>
                <w:lang w:val="en-US" w:eastAsia="zh-CN"/>
              </w:rPr>
              <w:t>开户银行：工商银行淮南市洞山支行</w:t>
            </w:r>
          </w:p>
          <w:p w14:paraId="20ACD8C3">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kern w:val="0"/>
                <w:sz w:val="24"/>
                <w:szCs w:val="24"/>
                <w:highlight w:val="none"/>
                <w:u w:val="single"/>
                <w:lang w:val="en-US" w:eastAsia="zh-CN"/>
              </w:rPr>
            </w:pPr>
            <w:r>
              <w:rPr>
                <w:rFonts w:hint="eastAsia" w:ascii="宋体" w:hAnsi="宋体" w:eastAsia="宋体" w:cs="宋体"/>
                <w:bCs/>
                <w:color w:val="auto"/>
                <w:kern w:val="0"/>
                <w:sz w:val="24"/>
                <w:szCs w:val="24"/>
                <w:highlight w:val="none"/>
                <w:u w:val="single"/>
                <w:lang w:val="en-US" w:eastAsia="zh-CN"/>
              </w:rPr>
              <w:t>帐号：1304002709024950996</w:t>
            </w:r>
          </w:p>
          <w:p w14:paraId="5B0C9E58">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kern w:val="0"/>
                <w:sz w:val="24"/>
                <w:szCs w:val="24"/>
                <w:highlight w:val="none"/>
                <w:u w:val="single"/>
                <w:lang w:val="en-US" w:eastAsia="zh-CN"/>
              </w:rPr>
            </w:pPr>
            <w:r>
              <w:rPr>
                <w:rFonts w:hint="eastAsia" w:ascii="宋体" w:hAnsi="宋体" w:eastAsia="宋体" w:cs="宋体"/>
                <w:bCs/>
                <w:color w:val="auto"/>
                <w:kern w:val="0"/>
                <w:sz w:val="24"/>
                <w:szCs w:val="24"/>
                <w:highlight w:val="none"/>
              </w:rPr>
              <w:t>（</w:t>
            </w:r>
            <w:r>
              <w:rPr>
                <w:rFonts w:hint="eastAsia" w:ascii="宋体" w:hAnsi="宋体" w:eastAsia="宋体" w:cs="宋体"/>
                <w:bCs/>
                <w:color w:val="auto"/>
                <w:kern w:val="0"/>
                <w:sz w:val="24"/>
                <w:szCs w:val="24"/>
                <w:highlight w:val="none"/>
                <w:lang w:val="en-US" w:eastAsia="zh-CN"/>
              </w:rPr>
              <w:t>5</w:t>
            </w:r>
            <w:r>
              <w:rPr>
                <w:rFonts w:hint="eastAsia" w:ascii="宋体" w:hAnsi="宋体" w:eastAsia="宋体" w:cs="宋体"/>
                <w:bCs/>
                <w:color w:val="auto"/>
                <w:kern w:val="0"/>
                <w:sz w:val="24"/>
                <w:szCs w:val="24"/>
                <w:highlight w:val="none"/>
              </w:rPr>
              <w:t>）</w:t>
            </w:r>
            <w:r>
              <w:rPr>
                <w:rFonts w:hint="eastAsia" w:ascii="宋体" w:hAnsi="宋体" w:eastAsia="宋体" w:cs="宋体"/>
                <w:color w:val="auto"/>
                <w:sz w:val="24"/>
                <w:szCs w:val="24"/>
                <w:highlight w:val="none"/>
              </w:rPr>
              <w:t>退还时间：</w:t>
            </w:r>
            <w:r>
              <w:rPr>
                <w:rFonts w:hint="eastAsia" w:ascii="宋体" w:hAnsi="宋体" w:eastAsia="宋体" w:cs="宋体"/>
                <w:color w:val="auto"/>
                <w:sz w:val="24"/>
                <w:szCs w:val="24"/>
                <w:highlight w:val="none"/>
                <w:lang w:val="en-US" w:eastAsia="zh-CN"/>
              </w:rPr>
              <w:t>验收合格后及时退还，</w:t>
            </w:r>
            <w:r>
              <w:rPr>
                <w:rFonts w:hint="eastAsia" w:ascii="宋体" w:hAnsi="宋体" w:eastAsia="宋体" w:cs="宋体"/>
                <w:color w:val="auto"/>
                <w:sz w:val="24"/>
                <w:szCs w:val="24"/>
                <w:highlight w:val="none"/>
              </w:rPr>
              <w:t>中标人提交退还申请一次性退还</w:t>
            </w:r>
            <w:r>
              <w:rPr>
                <w:rFonts w:hint="eastAsia" w:ascii="宋体" w:hAnsi="宋体" w:eastAsia="宋体" w:cs="宋体"/>
                <w:color w:val="auto"/>
                <w:sz w:val="24"/>
                <w:szCs w:val="24"/>
                <w:highlight w:val="none"/>
                <w:lang w:eastAsia="zh-CN"/>
              </w:rPr>
              <w:t>。</w:t>
            </w:r>
          </w:p>
          <w:p w14:paraId="1648E369">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注意事项：</w:t>
            </w:r>
          </w:p>
          <w:p w14:paraId="175B8866">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（1）以上各类机构出具的以担保函、保证保险承担责任的方式均须满足无条件见索即付条件。</w:t>
            </w:r>
          </w:p>
          <w:p w14:paraId="1247A52D">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（2）以担保函、保证保险形式缴纳履约保证金的，受益人和收取单位须为采购人。</w:t>
            </w:r>
          </w:p>
          <w:p w14:paraId="63743609">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3</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color w:val="auto"/>
                <w:kern w:val="0"/>
                <w:sz w:val="24"/>
                <w:szCs w:val="24"/>
                <w:highlight w:val="none"/>
              </w:rPr>
              <w:t>如采用担保机构出具的保函（担保机构担保），应执行“安徽省财政厅关于推广使用政府采购电子保函业务的通知</w:t>
            </w:r>
            <w:r>
              <w:rPr>
                <w:rFonts w:hint="eastAsia" w:ascii="宋体" w:hAnsi="宋体" w:eastAsia="宋体" w:cs="宋体"/>
                <w:b/>
                <w:color w:val="auto"/>
                <w:kern w:val="0"/>
                <w:sz w:val="24"/>
                <w:szCs w:val="24"/>
                <w:highlight w:val="none"/>
                <w:lang w:eastAsia="zh-CN"/>
              </w:rPr>
              <w:t>”</w:t>
            </w:r>
            <w:r>
              <w:rPr>
                <w:rFonts w:hint="eastAsia" w:ascii="宋体" w:hAnsi="宋体" w:eastAsia="宋体" w:cs="宋体"/>
                <w:b/>
                <w:color w:val="auto"/>
                <w:kern w:val="0"/>
                <w:sz w:val="24"/>
                <w:szCs w:val="24"/>
                <w:highlight w:val="none"/>
              </w:rPr>
              <w:t>从“徽采云”平台全流程线上电子保函服务功能窗口进行保函办理或经采购人同意后从经安徽省地方金融监督管理局审查批准，依法取得融资担保业务经营许可证的融资担保机构出具的无条件保函。</w:t>
            </w:r>
          </w:p>
        </w:tc>
      </w:tr>
      <w:tr w14:paraId="412C0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581" w:type="pct"/>
            <w:vAlign w:val="center"/>
          </w:tcPr>
          <w:p w14:paraId="162BFB2F">
            <w:pPr>
              <w:pStyle w:val="37"/>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27</w:t>
            </w:r>
            <w:r>
              <w:rPr>
                <w:rFonts w:hint="eastAsia" w:ascii="宋体" w:hAnsi="宋体" w:eastAsia="宋体" w:cs="宋体"/>
                <w:bCs/>
                <w:color w:val="auto"/>
                <w:kern w:val="2"/>
                <w:sz w:val="24"/>
                <w:szCs w:val="24"/>
                <w:highlight w:val="none"/>
              </w:rPr>
              <w:t>.1</w:t>
            </w:r>
          </w:p>
        </w:tc>
        <w:tc>
          <w:tcPr>
            <w:tcW w:w="1174" w:type="pct"/>
            <w:vAlign w:val="center"/>
          </w:tcPr>
          <w:p w14:paraId="2E57B23D">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val="en-US" w:eastAsia="zh-CN"/>
              </w:rPr>
              <w:t>签订合同和合同公告时间</w:t>
            </w:r>
          </w:p>
        </w:tc>
        <w:tc>
          <w:tcPr>
            <w:tcW w:w="3244" w:type="pct"/>
            <w:vAlign w:val="center"/>
          </w:tcPr>
          <w:p w14:paraId="4ACB0632">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（1）采购人与中标人应当自发出中标通知书之日起7个工作日内签订合同，采购合同签订之日起2个工作日内完成政府采购合同公开。</w:t>
            </w:r>
          </w:p>
          <w:p w14:paraId="0C157383">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val="0"/>
                <w:bCs w:val="0"/>
                <w:color w:val="auto"/>
                <w:sz w:val="24"/>
                <w:szCs w:val="24"/>
                <w:highlight w:val="none"/>
                <w:lang w:val="en-US" w:eastAsia="zh-CN"/>
              </w:rPr>
              <w:t>（2）采购人与中标人不得擅自变更合同，依照政府采购法确需变更政府采购合同内容的，采购人应当自合同变更之日起2个工作日内在安徽省政府采购网发布政府采购合同变更公告，但涉及国家秘密、商业秘密的信息和其他依法不得公开的信息除外。</w:t>
            </w:r>
          </w:p>
        </w:tc>
      </w:tr>
      <w:tr w14:paraId="65896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27B54DE3">
            <w:pPr>
              <w:pStyle w:val="37"/>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28</w:t>
            </w:r>
            <w:r>
              <w:rPr>
                <w:rFonts w:hint="eastAsia" w:ascii="宋体" w:hAnsi="宋体" w:eastAsia="宋体" w:cs="宋体"/>
                <w:bCs/>
                <w:color w:val="auto"/>
                <w:kern w:val="2"/>
                <w:sz w:val="24"/>
                <w:szCs w:val="24"/>
                <w:highlight w:val="none"/>
              </w:rPr>
              <w:t>.1</w:t>
            </w:r>
          </w:p>
        </w:tc>
        <w:tc>
          <w:tcPr>
            <w:tcW w:w="1174" w:type="pct"/>
            <w:vAlign w:val="center"/>
          </w:tcPr>
          <w:p w14:paraId="387F8CC1">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lang w:val="en-US" w:eastAsia="zh-CN"/>
              </w:rPr>
              <w:t>代理费用</w:t>
            </w:r>
          </w:p>
        </w:tc>
        <w:tc>
          <w:tcPr>
            <w:tcW w:w="3244" w:type="pct"/>
            <w:vAlign w:val="center"/>
          </w:tcPr>
          <w:p w14:paraId="6E50A874">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lang w:val="en-US" w:eastAsia="zh-CN"/>
              </w:rPr>
              <w:t>1</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收费对象</w:t>
            </w:r>
            <w:r>
              <w:rPr>
                <w:rFonts w:hint="eastAsia" w:ascii="宋体" w:hAnsi="宋体" w:eastAsia="宋体" w:cs="宋体"/>
                <w:color w:val="auto"/>
                <w:spacing w:val="-12"/>
                <w:sz w:val="24"/>
                <w:szCs w:val="24"/>
                <w:highlight w:val="none"/>
              </w:rPr>
              <w:t>：</w:t>
            </w:r>
            <w:r>
              <w:rPr>
                <w:rFonts w:hint="eastAsia" w:ascii="宋体" w:hAnsi="宋体" w:eastAsia="宋体" w:cs="宋体"/>
                <w:bCs/>
                <w:color w:val="auto"/>
                <w:kern w:val="0"/>
                <w:sz w:val="24"/>
                <w:szCs w:val="24"/>
                <w:highlight w:val="none"/>
              </w:rPr>
              <w:sym w:font="Wingdings" w:char="00A8"/>
            </w:r>
            <w:r>
              <w:rPr>
                <w:rFonts w:hint="eastAsia" w:ascii="宋体" w:hAnsi="宋体" w:eastAsia="宋体" w:cs="宋体"/>
                <w:color w:val="auto"/>
                <w:spacing w:val="14"/>
                <w:sz w:val="24"/>
                <w:szCs w:val="24"/>
                <w:highlight w:val="none"/>
              </w:rPr>
              <w:t>采购人</w:t>
            </w:r>
            <w:r>
              <w:rPr>
                <w:rFonts w:hint="eastAsia" w:ascii="宋体" w:hAnsi="宋体" w:eastAsia="宋体" w:cs="宋体"/>
                <w:color w:val="auto"/>
                <w:spacing w:val="14"/>
                <w:sz w:val="24"/>
                <w:szCs w:val="24"/>
                <w:highlight w:val="none"/>
                <w:lang w:val="en-US" w:eastAsia="zh-CN"/>
              </w:rPr>
              <w:t xml:space="preserve">   </w:t>
            </w:r>
            <w:r>
              <w:rPr>
                <w:rFonts w:hint="eastAsia" w:ascii="宋体" w:hAnsi="宋体" w:eastAsia="宋体" w:cs="宋体"/>
                <w:bCs/>
                <w:color w:val="auto"/>
                <w:kern w:val="0"/>
                <w:sz w:val="24"/>
                <w:szCs w:val="24"/>
                <w:highlight w:val="none"/>
              </w:rPr>
              <w:sym w:font="Wingdings" w:char="00FE"/>
            </w:r>
            <w:r>
              <w:rPr>
                <w:rFonts w:hint="eastAsia" w:ascii="宋体" w:hAnsi="宋体" w:eastAsia="宋体" w:cs="宋体"/>
                <w:color w:val="auto"/>
                <w:spacing w:val="14"/>
                <w:sz w:val="24"/>
                <w:szCs w:val="24"/>
                <w:highlight w:val="none"/>
              </w:rPr>
              <w:t>中标人</w:t>
            </w:r>
          </w:p>
          <w:p w14:paraId="479A5CF6">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（2）收取方式：转账/电汇</w:t>
            </w:r>
          </w:p>
          <w:p w14:paraId="34758D87">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highlight w:val="none"/>
                <w:u w:val="single"/>
                <w:lang w:eastAsia="zh-CN"/>
              </w:rPr>
            </w:pPr>
            <w:r>
              <w:rPr>
                <w:rFonts w:hint="eastAsia" w:ascii="宋体" w:hAnsi="宋体" w:eastAsia="宋体" w:cs="宋体"/>
                <w:b w:val="0"/>
                <w:bCs w:val="0"/>
                <w:color w:val="auto"/>
                <w:kern w:val="0"/>
                <w:sz w:val="24"/>
                <w:szCs w:val="24"/>
                <w:highlight w:val="none"/>
              </w:rPr>
              <w:t>（3）</w:t>
            </w:r>
            <w:r>
              <w:rPr>
                <w:rFonts w:hint="eastAsia" w:ascii="宋体" w:hAnsi="宋体" w:eastAsia="宋体" w:cs="宋体"/>
                <w:b w:val="0"/>
                <w:bCs w:val="0"/>
                <w:color w:val="auto"/>
                <w:kern w:val="0"/>
                <w:sz w:val="24"/>
                <w:szCs w:val="24"/>
                <w:highlight w:val="none"/>
                <w:lang w:val="en-US" w:eastAsia="zh-CN"/>
              </w:rPr>
              <w:t>收费标准：</w:t>
            </w:r>
            <w:r>
              <w:rPr>
                <w:rFonts w:hint="eastAsia" w:ascii="宋体" w:hAnsi="宋体" w:eastAsia="宋体" w:cs="宋体"/>
                <w:b w:val="0"/>
                <w:color w:val="auto"/>
                <w:sz w:val="24"/>
                <w:highlight w:val="none"/>
                <w:u w:val="none"/>
              </w:rPr>
              <w:t>代理服务费收取按照表1的规定标准，中标（成交）金额100万元（含）以上部分按标准的70%收取</w:t>
            </w:r>
            <w:r>
              <w:rPr>
                <w:rFonts w:hint="eastAsia" w:ascii="宋体" w:hAnsi="宋体" w:eastAsia="宋体" w:cs="宋体"/>
                <w:b w:val="0"/>
                <w:color w:val="auto"/>
                <w:sz w:val="24"/>
                <w:highlight w:val="none"/>
                <w:u w:val="none"/>
                <w:lang w:eastAsia="zh-CN"/>
              </w:rPr>
              <w:t>；</w:t>
            </w:r>
            <w:r>
              <w:rPr>
                <w:rFonts w:hint="eastAsia" w:ascii="宋体" w:hAnsi="宋体" w:eastAsia="宋体" w:cs="宋体"/>
                <w:b w:val="0"/>
                <w:color w:val="auto"/>
                <w:sz w:val="24"/>
                <w:highlight w:val="none"/>
                <w:u w:val="none"/>
              </w:rPr>
              <w:t>中标（成交）金额35万元（含）以上至100万元以下部分的货物、服务项目及中标（成交）金额45万元（含）以上至100万元以下部分的工程项目按标准的80%收取</w:t>
            </w:r>
            <w:r>
              <w:rPr>
                <w:rFonts w:hint="eastAsia" w:ascii="宋体" w:hAnsi="宋体" w:eastAsia="宋体" w:cs="宋体"/>
                <w:b w:val="0"/>
                <w:color w:val="auto"/>
                <w:sz w:val="24"/>
                <w:highlight w:val="none"/>
                <w:u w:val="none"/>
                <w:lang w:eastAsia="zh-CN"/>
              </w:rPr>
              <w:t>；</w:t>
            </w:r>
            <w:r>
              <w:rPr>
                <w:rFonts w:hint="eastAsia" w:ascii="宋体" w:hAnsi="宋体" w:eastAsia="宋体" w:cs="宋体"/>
                <w:b w:val="0"/>
                <w:color w:val="auto"/>
                <w:sz w:val="24"/>
                <w:highlight w:val="none"/>
                <w:u w:val="none"/>
              </w:rPr>
              <w:t>如出现首次招标发生流标、废标等异常终止情形的，则再次招标时按照标准的100%收取</w:t>
            </w:r>
            <w:r>
              <w:rPr>
                <w:rFonts w:hint="eastAsia" w:ascii="宋体" w:hAnsi="宋体" w:eastAsia="宋体" w:cs="宋体"/>
                <w:b w:val="0"/>
                <w:color w:val="auto"/>
                <w:sz w:val="24"/>
                <w:highlight w:val="none"/>
                <w:u w:val="none"/>
                <w:lang w:eastAsia="zh-CN"/>
              </w:rPr>
              <w:t>。</w:t>
            </w:r>
          </w:p>
          <w:p w14:paraId="5DFB320E">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Cs w:val="0"/>
                <w:color w:val="auto"/>
                <w:sz w:val="24"/>
                <w:highlight w:val="none"/>
              </w:rPr>
            </w:pPr>
            <w:r>
              <w:rPr>
                <w:rFonts w:hint="eastAsia" w:ascii="宋体" w:hAnsi="宋体" w:eastAsia="宋体" w:cs="宋体"/>
                <w:bCs w:val="0"/>
                <w:color w:val="auto"/>
                <w:sz w:val="24"/>
                <w:highlight w:val="none"/>
              </w:rPr>
              <w:t>表1  招标采购代理服务收费标准</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4"/>
              <w:gridCol w:w="816"/>
              <w:gridCol w:w="816"/>
              <w:gridCol w:w="816"/>
            </w:tblGrid>
            <w:tr w14:paraId="75F0B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0" w:type="auto"/>
                  <w:vAlign w:val="center"/>
                </w:tcPr>
                <w:p w14:paraId="4EE9984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中标（成交）金额</w:t>
                  </w:r>
                </w:p>
              </w:tc>
              <w:tc>
                <w:tcPr>
                  <w:tcW w:w="0" w:type="auto"/>
                  <w:vAlign w:val="center"/>
                </w:tcPr>
                <w:p w14:paraId="1E48059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货物</w:t>
                  </w:r>
                </w:p>
              </w:tc>
              <w:tc>
                <w:tcPr>
                  <w:tcW w:w="0" w:type="auto"/>
                  <w:vAlign w:val="center"/>
                </w:tcPr>
                <w:p w14:paraId="2B8000E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w:t>
                  </w:r>
                </w:p>
              </w:tc>
              <w:tc>
                <w:tcPr>
                  <w:tcW w:w="0" w:type="auto"/>
                  <w:vAlign w:val="center"/>
                </w:tcPr>
                <w:p w14:paraId="1A74166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工程</w:t>
                  </w:r>
                </w:p>
              </w:tc>
            </w:tr>
            <w:tr w14:paraId="3B615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0" w:type="auto"/>
                  <w:vAlign w:val="center"/>
                </w:tcPr>
                <w:p w14:paraId="1E46B54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35万元（含）-100万元</w:t>
                  </w:r>
                </w:p>
              </w:tc>
              <w:tc>
                <w:tcPr>
                  <w:tcW w:w="0" w:type="auto"/>
                  <w:vAlign w:val="center"/>
                </w:tcPr>
                <w:p w14:paraId="5A6CBDB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w:t>
                  </w:r>
                </w:p>
              </w:tc>
              <w:tc>
                <w:tcPr>
                  <w:tcW w:w="0" w:type="auto"/>
                  <w:vAlign w:val="center"/>
                </w:tcPr>
                <w:p w14:paraId="2416241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w:t>
                  </w:r>
                </w:p>
              </w:tc>
              <w:tc>
                <w:tcPr>
                  <w:tcW w:w="0" w:type="auto"/>
                  <w:vAlign w:val="center"/>
                </w:tcPr>
                <w:p w14:paraId="36D361F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r>
            <w:tr w14:paraId="61A3F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103A7EAA">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45万元（含）-100万元</w:t>
                  </w:r>
                </w:p>
              </w:tc>
              <w:tc>
                <w:tcPr>
                  <w:tcW w:w="0" w:type="auto"/>
                  <w:vAlign w:val="center"/>
                </w:tcPr>
                <w:p w14:paraId="3A98A69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0" w:type="auto"/>
                  <w:vAlign w:val="center"/>
                </w:tcPr>
                <w:p w14:paraId="6C948BB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0" w:type="auto"/>
                  <w:vAlign w:val="center"/>
                </w:tcPr>
                <w:p w14:paraId="1C1D4FD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w:t>
                  </w:r>
                </w:p>
              </w:tc>
            </w:tr>
            <w:tr w14:paraId="49198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5C8A6D1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100万元（含）-500万元</w:t>
                  </w:r>
                </w:p>
              </w:tc>
              <w:tc>
                <w:tcPr>
                  <w:tcW w:w="0" w:type="auto"/>
                  <w:vAlign w:val="center"/>
                </w:tcPr>
                <w:p w14:paraId="66B31B5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w:t>
                  </w:r>
                </w:p>
              </w:tc>
              <w:tc>
                <w:tcPr>
                  <w:tcW w:w="0" w:type="auto"/>
                  <w:vAlign w:val="center"/>
                </w:tcPr>
                <w:p w14:paraId="073BD47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0.8%</w:t>
                  </w:r>
                </w:p>
              </w:tc>
              <w:tc>
                <w:tcPr>
                  <w:tcW w:w="0" w:type="auto"/>
                  <w:vAlign w:val="center"/>
                </w:tcPr>
                <w:p w14:paraId="591D2A8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0.7%</w:t>
                  </w:r>
                </w:p>
              </w:tc>
            </w:tr>
            <w:tr w14:paraId="26A16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7C15CBCF">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500万元（含）-1000万元</w:t>
                  </w:r>
                </w:p>
              </w:tc>
              <w:tc>
                <w:tcPr>
                  <w:tcW w:w="0" w:type="auto"/>
                  <w:vAlign w:val="center"/>
                </w:tcPr>
                <w:p w14:paraId="392DEAC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0.8%</w:t>
                  </w:r>
                </w:p>
              </w:tc>
              <w:tc>
                <w:tcPr>
                  <w:tcW w:w="0" w:type="auto"/>
                  <w:vAlign w:val="center"/>
                </w:tcPr>
                <w:p w14:paraId="53F8818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0.45%</w:t>
                  </w:r>
                </w:p>
              </w:tc>
              <w:tc>
                <w:tcPr>
                  <w:tcW w:w="0" w:type="auto"/>
                  <w:vAlign w:val="center"/>
                </w:tcPr>
                <w:p w14:paraId="4CD2DAC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0.55%</w:t>
                  </w:r>
                </w:p>
              </w:tc>
            </w:tr>
            <w:tr w14:paraId="53FEF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5E235261">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1000万元（含）-5000万元</w:t>
                  </w:r>
                </w:p>
              </w:tc>
              <w:tc>
                <w:tcPr>
                  <w:tcW w:w="0" w:type="auto"/>
                  <w:vAlign w:val="center"/>
                </w:tcPr>
                <w:p w14:paraId="64ECA64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0.5%</w:t>
                  </w:r>
                </w:p>
              </w:tc>
              <w:tc>
                <w:tcPr>
                  <w:tcW w:w="0" w:type="auto"/>
                  <w:vAlign w:val="center"/>
                </w:tcPr>
                <w:p w14:paraId="19F923F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0.25%</w:t>
                  </w:r>
                </w:p>
              </w:tc>
              <w:tc>
                <w:tcPr>
                  <w:tcW w:w="0" w:type="auto"/>
                  <w:vAlign w:val="center"/>
                </w:tcPr>
                <w:p w14:paraId="3AB99F3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0.35%</w:t>
                  </w:r>
                </w:p>
              </w:tc>
            </w:tr>
            <w:tr w14:paraId="12753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65719915">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5000万元（含）-10000万元</w:t>
                  </w:r>
                </w:p>
              </w:tc>
              <w:tc>
                <w:tcPr>
                  <w:tcW w:w="0" w:type="auto"/>
                  <w:vAlign w:val="center"/>
                </w:tcPr>
                <w:p w14:paraId="3AD6F82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0.25%</w:t>
                  </w:r>
                </w:p>
              </w:tc>
              <w:tc>
                <w:tcPr>
                  <w:tcW w:w="0" w:type="auto"/>
                  <w:vAlign w:val="center"/>
                </w:tcPr>
                <w:p w14:paraId="401F602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0.1%</w:t>
                  </w:r>
                </w:p>
              </w:tc>
              <w:tc>
                <w:tcPr>
                  <w:tcW w:w="0" w:type="auto"/>
                  <w:vAlign w:val="center"/>
                </w:tcPr>
                <w:p w14:paraId="3790B62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0.2%</w:t>
                  </w:r>
                </w:p>
              </w:tc>
            </w:tr>
            <w:tr w14:paraId="38B60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7DA7C754">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10000万元（含）-100000万元以下</w:t>
                  </w:r>
                </w:p>
              </w:tc>
              <w:tc>
                <w:tcPr>
                  <w:tcW w:w="0" w:type="auto"/>
                  <w:vAlign w:val="center"/>
                </w:tcPr>
                <w:p w14:paraId="286D647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0.05%</w:t>
                  </w:r>
                </w:p>
              </w:tc>
              <w:tc>
                <w:tcPr>
                  <w:tcW w:w="0" w:type="auto"/>
                  <w:vAlign w:val="center"/>
                </w:tcPr>
                <w:p w14:paraId="2C0E505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0.05%</w:t>
                  </w:r>
                </w:p>
              </w:tc>
              <w:tc>
                <w:tcPr>
                  <w:tcW w:w="0" w:type="auto"/>
                  <w:vAlign w:val="center"/>
                </w:tcPr>
                <w:p w14:paraId="773EBE9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0.05%</w:t>
                  </w:r>
                </w:p>
              </w:tc>
            </w:tr>
          </w:tbl>
          <w:p w14:paraId="13C9D1DF">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kern w:val="0"/>
                <w:sz w:val="24"/>
                <w:szCs w:val="24"/>
                <w:highlight w:val="none"/>
                <w:u w:val="single"/>
                <w:lang w:eastAsia="zh-CN"/>
              </w:rPr>
            </w:pPr>
            <w:r>
              <w:rPr>
                <w:rFonts w:hint="eastAsia" w:ascii="宋体" w:hAnsi="宋体" w:eastAsia="宋体" w:cs="宋体"/>
                <w:b/>
                <w:bCs/>
                <w:color w:val="auto"/>
                <w:sz w:val="24"/>
                <w:szCs w:val="22"/>
                <w:highlight w:val="none"/>
              </w:rPr>
              <w:t>注：代理服务收费标准按差额定率累进法计算。</w:t>
            </w:r>
          </w:p>
          <w:p w14:paraId="22737993">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（4）收取单位：上海容基工程项目管理有限公司</w:t>
            </w:r>
          </w:p>
          <w:p w14:paraId="2B71C58C">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 xml:space="preserve">户名：上海容基工程项目管理有限公司淮南分公司  </w:t>
            </w:r>
          </w:p>
          <w:p w14:paraId="73EEBF0C">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账号：</w:t>
            </w:r>
            <w:r>
              <w:rPr>
                <w:rFonts w:hint="eastAsia" w:ascii="宋体" w:hAnsi="宋体" w:eastAsia="宋体" w:cs="宋体"/>
                <w:b w:val="0"/>
                <w:sz w:val="24"/>
                <w:szCs w:val="24"/>
                <w:highlight w:val="none"/>
                <w:lang w:val="en-US" w:eastAsia="zh-CN"/>
              </w:rPr>
              <w:t>181243083750</w:t>
            </w:r>
            <w:r>
              <w:rPr>
                <w:rFonts w:hint="eastAsia" w:ascii="宋体" w:hAnsi="宋体" w:eastAsia="宋体" w:cs="宋体"/>
                <w:b w:val="0"/>
                <w:color w:val="auto"/>
                <w:sz w:val="24"/>
                <w:szCs w:val="24"/>
                <w:highlight w:val="none"/>
                <w:lang w:val="en-US" w:eastAsia="zh-CN"/>
              </w:rPr>
              <w:t xml:space="preserve">  </w:t>
            </w:r>
          </w:p>
          <w:p w14:paraId="3A0B7CB2">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开户银行：</w:t>
            </w:r>
            <w:r>
              <w:rPr>
                <w:rFonts w:hint="eastAsia" w:ascii="宋体" w:hAnsi="宋体" w:eastAsia="宋体" w:cs="宋体"/>
                <w:b w:val="0"/>
                <w:sz w:val="24"/>
                <w:szCs w:val="24"/>
                <w:highlight w:val="none"/>
                <w:lang w:val="en-US" w:eastAsia="zh-CN"/>
              </w:rPr>
              <w:t>中国银行股份有限公司淮南化三建支行</w:t>
            </w:r>
          </w:p>
          <w:p w14:paraId="5769E6A9">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color w:val="auto"/>
                <w:kern w:val="0"/>
                <w:sz w:val="24"/>
                <w:szCs w:val="24"/>
                <w:highlight w:val="none"/>
                <w:lang w:eastAsia="zh-CN"/>
              </w:rPr>
            </w:pPr>
            <w:r>
              <w:rPr>
                <w:rFonts w:hint="eastAsia" w:ascii="宋体" w:hAnsi="宋体" w:eastAsia="宋体" w:cs="宋体"/>
                <w:b w:val="0"/>
                <w:color w:val="auto"/>
                <w:sz w:val="24"/>
                <w:szCs w:val="24"/>
                <w:highlight w:val="none"/>
                <w:lang w:val="en-US" w:eastAsia="zh-CN"/>
              </w:rPr>
              <w:t>（5）缴纳时间：领取中标通知书前</w:t>
            </w:r>
          </w:p>
        </w:tc>
      </w:tr>
      <w:tr w14:paraId="6BF55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24F83E22">
            <w:pPr>
              <w:pStyle w:val="37"/>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sz w:val="24"/>
                <w:szCs w:val="24"/>
                <w:highlight w:val="none"/>
                <w:lang w:eastAsia="zh-CN"/>
              </w:rPr>
            </w:pPr>
            <w:r>
              <w:rPr>
                <w:rFonts w:hint="eastAsia" w:ascii="宋体" w:hAnsi="宋体" w:eastAsia="宋体" w:cs="宋体"/>
                <w:bCs/>
                <w:color w:val="auto"/>
                <w:kern w:val="2"/>
                <w:sz w:val="24"/>
                <w:szCs w:val="24"/>
                <w:highlight w:val="none"/>
              </w:rPr>
              <w:t>3</w:t>
            </w:r>
            <w:r>
              <w:rPr>
                <w:rFonts w:hint="eastAsia" w:ascii="宋体" w:hAnsi="宋体" w:eastAsia="宋体" w:cs="宋体"/>
                <w:bCs/>
                <w:color w:val="auto"/>
                <w:kern w:val="2"/>
                <w:sz w:val="24"/>
                <w:szCs w:val="24"/>
                <w:highlight w:val="none"/>
                <w:lang w:val="en-US" w:eastAsia="zh-CN"/>
              </w:rPr>
              <w:t>1</w:t>
            </w:r>
            <w:r>
              <w:rPr>
                <w:rFonts w:hint="eastAsia" w:ascii="宋体" w:hAnsi="宋体" w:eastAsia="宋体" w:cs="宋体"/>
                <w:bCs/>
                <w:color w:val="auto"/>
                <w:kern w:val="2"/>
                <w:sz w:val="24"/>
                <w:szCs w:val="24"/>
                <w:highlight w:val="none"/>
              </w:rPr>
              <w:t>.</w:t>
            </w:r>
            <w:r>
              <w:rPr>
                <w:rFonts w:hint="eastAsia" w:ascii="宋体" w:hAnsi="宋体" w:eastAsia="宋体" w:cs="宋体"/>
                <w:bCs/>
                <w:color w:val="auto"/>
                <w:kern w:val="2"/>
                <w:sz w:val="24"/>
                <w:szCs w:val="24"/>
                <w:highlight w:val="none"/>
                <w:lang w:val="en-US" w:eastAsia="zh-CN"/>
              </w:rPr>
              <w:t>3</w:t>
            </w:r>
          </w:p>
        </w:tc>
        <w:tc>
          <w:tcPr>
            <w:tcW w:w="1174" w:type="pct"/>
            <w:vAlign w:val="center"/>
          </w:tcPr>
          <w:p w14:paraId="0FCE37F2">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质疑函递交方式、接收部门、联系电话和通讯地址</w:t>
            </w:r>
          </w:p>
        </w:tc>
        <w:tc>
          <w:tcPr>
            <w:tcW w:w="3244" w:type="pct"/>
            <w:vAlign w:val="center"/>
          </w:tcPr>
          <w:p w14:paraId="4F816933">
            <w:pPr>
              <w:pStyle w:val="36"/>
              <w:widowControl w:val="0"/>
              <w:spacing w:before="0" w:beforeAutospacing="0" w:after="0" w:afterAutospacing="0" w:line="360" w:lineRule="auto"/>
              <w:jc w:val="left"/>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提交方式：书面形式</w:t>
            </w:r>
          </w:p>
          <w:p w14:paraId="4ECF08BD">
            <w:pPr>
              <w:pStyle w:val="36"/>
              <w:widowControl w:val="0"/>
              <w:spacing w:before="0" w:beforeAutospacing="0" w:after="0" w:afterAutospacing="0" w:line="360" w:lineRule="auto"/>
              <w:jc w:val="left"/>
              <w:rPr>
                <w:rFonts w:hint="eastAsia" w:ascii="宋体" w:hAnsi="宋体" w:eastAsia="宋体" w:cs="宋体"/>
                <w:b w:val="0"/>
                <w:sz w:val="24"/>
                <w:szCs w:val="24"/>
                <w:highlight w:val="none"/>
                <w:lang w:eastAsia="zh-CN"/>
              </w:rPr>
            </w:pPr>
            <w:r>
              <w:rPr>
                <w:rFonts w:hint="eastAsia" w:ascii="宋体" w:hAnsi="宋体" w:eastAsia="宋体" w:cs="宋体"/>
                <w:b w:val="0"/>
                <w:sz w:val="24"/>
                <w:szCs w:val="24"/>
                <w:highlight w:val="none"/>
              </w:rPr>
              <w:t>接收部门：</w:t>
            </w:r>
            <w:r>
              <w:rPr>
                <w:rFonts w:hint="eastAsia" w:ascii="宋体" w:hAnsi="宋体" w:eastAsia="宋体" w:cs="宋体"/>
                <w:b w:val="0"/>
                <w:sz w:val="24"/>
                <w:szCs w:val="24"/>
                <w:highlight w:val="none"/>
                <w:lang w:eastAsia="zh-CN"/>
              </w:rPr>
              <w:t>上海容基工程项目管理有限公司</w:t>
            </w:r>
          </w:p>
          <w:p w14:paraId="1D3D6047">
            <w:pPr>
              <w:pStyle w:val="36"/>
              <w:widowControl w:val="0"/>
              <w:spacing w:before="0" w:beforeAutospacing="0" w:after="0" w:afterAutospacing="0" w:line="360" w:lineRule="auto"/>
              <w:jc w:val="left"/>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联系电话：</w:t>
            </w:r>
            <w:r>
              <w:rPr>
                <w:rFonts w:hint="eastAsia" w:ascii="宋体" w:hAnsi="宋体" w:eastAsia="宋体" w:cs="宋体"/>
                <w:b w:val="0"/>
                <w:sz w:val="24"/>
                <w:szCs w:val="24"/>
                <w:highlight w:val="none"/>
                <w:lang w:val="zh-CN"/>
              </w:rPr>
              <w:t>0554-</w:t>
            </w:r>
            <w:r>
              <w:rPr>
                <w:rFonts w:hint="eastAsia" w:ascii="宋体" w:hAnsi="宋体" w:eastAsia="宋体" w:cs="宋体"/>
                <w:b w:val="0"/>
                <w:sz w:val="24"/>
                <w:szCs w:val="24"/>
                <w:highlight w:val="none"/>
              </w:rPr>
              <w:t>2160379</w:t>
            </w:r>
            <w:r>
              <w:rPr>
                <w:rFonts w:hint="eastAsia" w:ascii="宋体" w:hAnsi="宋体" w:eastAsia="宋体" w:cs="宋体"/>
                <w:b w:val="0"/>
                <w:sz w:val="24"/>
                <w:szCs w:val="24"/>
                <w:highlight w:val="none"/>
                <w:lang w:val="en-US" w:eastAsia="zh-CN"/>
              </w:rPr>
              <w:t>、</w:t>
            </w:r>
            <w:r>
              <w:rPr>
                <w:rFonts w:hint="eastAsia" w:ascii="宋体" w:hAnsi="宋体" w:eastAsia="宋体" w:cs="宋体"/>
                <w:b w:val="0"/>
                <w:sz w:val="24"/>
                <w:szCs w:val="24"/>
                <w:highlight w:val="none"/>
              </w:rPr>
              <w:t>17353743691</w:t>
            </w:r>
          </w:p>
          <w:p w14:paraId="45FAA1A1">
            <w:pPr>
              <w:pStyle w:val="36"/>
              <w:widowControl w:val="0"/>
              <w:spacing w:before="0" w:beforeAutospacing="0" w:after="0" w:afterAutospacing="0" w:line="360" w:lineRule="auto"/>
              <w:jc w:val="left"/>
              <w:rPr>
                <w:rFonts w:hint="default" w:ascii="宋体" w:hAnsi="宋体" w:eastAsia="宋体" w:cs="宋体"/>
                <w:b w:val="0"/>
                <w:sz w:val="24"/>
                <w:szCs w:val="24"/>
                <w:highlight w:val="none"/>
                <w:lang w:val="en-US" w:eastAsia="zh-CN"/>
              </w:rPr>
            </w:pPr>
            <w:r>
              <w:rPr>
                <w:rFonts w:hint="eastAsia" w:ascii="宋体" w:hAnsi="宋体" w:eastAsia="宋体" w:cs="宋体"/>
                <w:b w:val="0"/>
                <w:sz w:val="24"/>
                <w:szCs w:val="24"/>
                <w:highlight w:val="none"/>
              </w:rPr>
              <w:t>电子邮箱：</w:t>
            </w:r>
            <w:r>
              <w:rPr>
                <w:rFonts w:hint="eastAsia" w:ascii="宋体" w:hAnsi="宋体" w:eastAsia="宋体" w:cs="宋体"/>
                <w:b w:val="0"/>
                <w:sz w:val="24"/>
                <w:szCs w:val="24"/>
                <w:highlight w:val="none"/>
                <w:lang w:val="en-US" w:eastAsia="zh-CN"/>
              </w:rPr>
              <w:t>274665174@qq.com</w:t>
            </w:r>
          </w:p>
          <w:p w14:paraId="56C6C51D">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lang w:eastAsia="zh-CN"/>
              </w:rPr>
            </w:pPr>
            <w:r>
              <w:rPr>
                <w:rFonts w:hint="eastAsia" w:ascii="宋体" w:hAnsi="宋体" w:eastAsia="宋体" w:cs="宋体"/>
                <w:b w:val="0"/>
                <w:sz w:val="24"/>
                <w:szCs w:val="24"/>
                <w:highlight w:val="none"/>
              </w:rPr>
              <w:t>通讯地址：</w:t>
            </w:r>
            <w:r>
              <w:rPr>
                <w:rFonts w:hint="eastAsia" w:ascii="宋体" w:hAnsi="宋体" w:eastAsia="宋体" w:cs="宋体"/>
                <w:b w:val="0"/>
                <w:sz w:val="24"/>
                <w:szCs w:val="24"/>
                <w:highlight w:val="none"/>
                <w:lang w:val="zh-CN"/>
              </w:rPr>
              <w:t>淮南市安成镇青年电子商务产业园二期二栋3层</w:t>
            </w:r>
          </w:p>
        </w:tc>
      </w:tr>
      <w:tr w14:paraId="7F7F4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14DF087">
            <w:pPr>
              <w:pStyle w:val="37"/>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32</w:t>
            </w:r>
          </w:p>
        </w:tc>
        <w:tc>
          <w:tcPr>
            <w:tcW w:w="1174" w:type="pct"/>
            <w:vAlign w:val="center"/>
          </w:tcPr>
          <w:p w14:paraId="0161F270">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其他内容</w:t>
            </w:r>
          </w:p>
        </w:tc>
        <w:tc>
          <w:tcPr>
            <w:tcW w:w="3244" w:type="pct"/>
            <w:vAlign w:val="center"/>
          </w:tcPr>
          <w:p w14:paraId="28A5650D">
            <w:pPr>
              <w:pStyle w:val="36"/>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1、解释权：</w:t>
            </w:r>
          </w:p>
          <w:p w14:paraId="57AD655E">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（1）构成本招标文件的各个组成文件应互为解释，互为说明；</w:t>
            </w:r>
          </w:p>
          <w:p w14:paraId="768AAE39">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（2）同一组成文件中就同一事项的规定或约定不一致的，以编排顺序在后者为准；</w:t>
            </w:r>
          </w:p>
          <w:p w14:paraId="01F8550D">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（3）如有不明确或不一致，构成合同文件组成内容的，以合同文件约定内容为准，且以专用合同条款约定的合同文件优先顺序解释；</w:t>
            </w:r>
          </w:p>
          <w:p w14:paraId="7F883FB4">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（4）除招标文件中有特别规定外，仅适用于招标投标阶段的规定，按招标公告、投标邀请、投标人须知、评标方法和标准、投标文件格式的先后顺序解释；</w:t>
            </w:r>
          </w:p>
          <w:p w14:paraId="27A4A1DC">
            <w:pPr>
              <w:pStyle w:val="36"/>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（5）按本款前述规定仍不能形成结论的，由采购人负责解释。</w:t>
            </w:r>
          </w:p>
          <w:p w14:paraId="4C335B7B">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“政采贷”融资指引：有融资需求的</w:t>
            </w:r>
            <w:r>
              <w:rPr>
                <w:rFonts w:hint="eastAsia" w:ascii="宋体" w:hAnsi="宋体" w:eastAsia="宋体" w:cs="宋体"/>
                <w:color w:val="auto"/>
                <w:sz w:val="24"/>
                <w:szCs w:val="24"/>
                <w:highlight w:val="none"/>
              </w:rPr>
              <w:t>中标人</w:t>
            </w:r>
            <w:r>
              <w:rPr>
                <w:rFonts w:hint="eastAsia" w:ascii="宋体" w:hAnsi="宋体" w:eastAsia="宋体" w:cs="宋体"/>
                <w:bCs/>
                <w:color w:val="auto"/>
                <w:sz w:val="24"/>
                <w:szCs w:val="24"/>
                <w:highlight w:val="none"/>
              </w:rPr>
              <w:t>在取得政府采购中标或成交通知书后，可访问安徽省政府采购网“政采贷”栏目，查看和联系第三方平台或者金融机构，商洽融资事项，确定融资意向。</w:t>
            </w:r>
            <w:r>
              <w:rPr>
                <w:rFonts w:hint="eastAsia" w:ascii="宋体" w:hAnsi="宋体" w:eastAsia="宋体" w:cs="宋体"/>
                <w:color w:val="auto"/>
                <w:sz w:val="24"/>
                <w:szCs w:val="24"/>
                <w:highlight w:val="none"/>
              </w:rPr>
              <w:t>中标人</w:t>
            </w:r>
            <w:r>
              <w:rPr>
                <w:rFonts w:hint="eastAsia" w:ascii="宋体" w:hAnsi="宋体" w:eastAsia="宋体" w:cs="宋体"/>
                <w:bCs/>
                <w:color w:val="auto"/>
                <w:sz w:val="24"/>
                <w:szCs w:val="24"/>
                <w:highlight w:val="none"/>
              </w:rPr>
              <w:t>签署政府采购中标（成交）合同后，登录“徽采云”金融服务模块，选择意向产品进行申请，并填写相关信息，“徽采云”金融服务模块将</w:t>
            </w:r>
            <w:r>
              <w:rPr>
                <w:rFonts w:hint="eastAsia" w:ascii="宋体" w:hAnsi="宋体" w:eastAsia="宋体" w:cs="宋体"/>
                <w:color w:val="auto"/>
                <w:sz w:val="24"/>
                <w:szCs w:val="24"/>
                <w:highlight w:val="none"/>
              </w:rPr>
              <w:t>中标人</w:t>
            </w:r>
            <w:r>
              <w:rPr>
                <w:rFonts w:hint="eastAsia" w:ascii="宋体" w:hAnsi="宋体" w:eastAsia="宋体" w:cs="宋体"/>
                <w:bCs/>
                <w:color w:val="auto"/>
                <w:sz w:val="24"/>
                <w:szCs w:val="24"/>
                <w:highlight w:val="none"/>
              </w:rPr>
              <w:t>融资申请信息推送第三方平台、意向金融机构。</w:t>
            </w:r>
          </w:p>
          <w:p w14:paraId="3422F3BA">
            <w:pPr>
              <w:pStyle w:val="36"/>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3、电子保函指引：中标人可访问安徽省政府采购网“融资/保函”栏目，申请办理电子保函（包括：履约保函、预付款保函）。</w:t>
            </w:r>
          </w:p>
          <w:p w14:paraId="5532F419">
            <w:pPr>
              <w:pStyle w:val="36"/>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4、如无明确要求，本项目报价最低精确到分。</w:t>
            </w:r>
          </w:p>
        </w:tc>
      </w:tr>
    </w:tbl>
    <w:p w14:paraId="077B957B">
      <w:pPr>
        <w:spacing w:line="360" w:lineRule="auto"/>
        <w:jc w:val="center"/>
        <w:outlineLvl w:val="1"/>
        <w:rPr>
          <w:rFonts w:hint="eastAsia" w:ascii="宋体" w:hAnsi="宋体" w:eastAsia="宋体" w:cs="宋体"/>
          <w:b/>
          <w:color w:val="auto"/>
          <w:sz w:val="24"/>
          <w:highlight w:val="none"/>
        </w:rPr>
      </w:pPr>
      <w:r>
        <w:rPr>
          <w:rFonts w:hint="eastAsia" w:ascii="宋体" w:hAnsi="宋体" w:eastAsia="宋体" w:cs="宋体"/>
          <w:b/>
          <w:color w:val="auto"/>
          <w:sz w:val="28"/>
          <w:highlight w:val="none"/>
        </w:rPr>
        <w:br w:type="page"/>
      </w:r>
      <w:bookmarkStart w:id="21" w:name="_Toc24882"/>
      <w:bookmarkStart w:id="22" w:name="_Toc14880"/>
      <w:r>
        <w:rPr>
          <w:rFonts w:hint="eastAsia" w:ascii="宋体" w:hAnsi="宋体" w:eastAsia="宋体" w:cs="宋体"/>
          <w:b/>
          <w:color w:val="auto"/>
          <w:sz w:val="24"/>
          <w:szCs w:val="24"/>
          <w:highlight w:val="none"/>
        </w:rPr>
        <w:t>二、投标人须知正文</w:t>
      </w:r>
      <w:bookmarkEnd w:id="21"/>
      <w:bookmarkEnd w:id="22"/>
    </w:p>
    <w:p w14:paraId="44EDC28B">
      <w:pPr>
        <w:spacing w:line="360" w:lineRule="auto"/>
        <w:ind w:firstLine="437"/>
        <w:outlineLvl w:val="2"/>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1.采购人、采购代理机构及投标人</w:t>
      </w:r>
    </w:p>
    <w:p w14:paraId="698A7BB1">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.1采购人：是指依法开展政府采购活动的国家机关、事业单位、团体组织。</w:t>
      </w:r>
    </w:p>
    <w:p w14:paraId="26529D3E">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.2采购代理机构：是指集中采购机构或从事采购代理业务的社会中介机构。</w:t>
      </w:r>
    </w:p>
    <w:p w14:paraId="32CB074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.3政府采购监督管理部门：各级人民政府指定的有关部门依法履行与政府采购活动有关的监督管理职责。</w:t>
      </w:r>
    </w:p>
    <w:p w14:paraId="7892105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.4投标人：是指向采购人提供货物、工程或者服务的法人、</w:t>
      </w:r>
      <w:r>
        <w:rPr>
          <w:rFonts w:hint="eastAsia" w:ascii="宋体" w:hAnsi="宋体" w:eastAsia="宋体" w:cs="宋体"/>
          <w:color w:val="auto"/>
          <w:sz w:val="24"/>
          <w:highlight w:val="none"/>
          <w:lang w:val="en-US" w:eastAsia="zh-CN"/>
        </w:rPr>
        <w:t>其他</w:t>
      </w:r>
      <w:r>
        <w:rPr>
          <w:rFonts w:hint="eastAsia" w:ascii="宋体" w:hAnsi="宋体" w:eastAsia="宋体" w:cs="宋体"/>
          <w:color w:val="auto"/>
          <w:sz w:val="24"/>
          <w:highlight w:val="none"/>
        </w:rPr>
        <w:t>组织或者自然人。分支机构不得参加政府采购活动，但银行、保险、石油石化、电力、电信等特殊行业除外。本项目的投标人须满足以下条件：</w:t>
      </w:r>
    </w:p>
    <w:p w14:paraId="1957C85E">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具备《中华人民共和国政府采购法》第二十二条关于供应商条件的规定，遵守本项目采购人本级和上级财政部门政府采购的有关规定。</w:t>
      </w:r>
    </w:p>
    <w:p w14:paraId="727AD6F0">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以采购代理机构认可的方式获得了本项目的招标文件。</w:t>
      </w:r>
    </w:p>
    <w:p w14:paraId="023D1F78">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若</w:t>
      </w:r>
      <w:r>
        <w:rPr>
          <w:rFonts w:hint="eastAsia" w:ascii="宋体" w:hAnsi="宋体" w:eastAsia="宋体" w:cs="宋体"/>
          <w:color w:val="auto"/>
          <w:sz w:val="24"/>
          <w:highlight w:val="none"/>
          <w:lang w:eastAsia="zh-CN"/>
        </w:rPr>
        <w:t>采购需求</w:t>
      </w:r>
      <w:r>
        <w:rPr>
          <w:rFonts w:hint="eastAsia" w:ascii="宋体" w:hAnsi="宋体" w:eastAsia="宋体" w:cs="宋体"/>
          <w:color w:val="auto"/>
          <w:sz w:val="24"/>
          <w:highlight w:val="none"/>
        </w:rPr>
        <w:t>中写明允许采购进口产品，投标人应保证所投产品可履行合法报通关手续进入中国关境内。</w:t>
      </w:r>
    </w:p>
    <w:p w14:paraId="659C8C4C">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若</w:t>
      </w:r>
      <w:r>
        <w:rPr>
          <w:rFonts w:hint="eastAsia" w:ascii="宋体" w:hAnsi="宋体" w:eastAsia="宋体" w:cs="宋体"/>
          <w:color w:val="auto"/>
          <w:sz w:val="24"/>
          <w:highlight w:val="none"/>
          <w:lang w:eastAsia="zh-CN"/>
        </w:rPr>
        <w:t>采购需求</w:t>
      </w:r>
      <w:r>
        <w:rPr>
          <w:rFonts w:hint="eastAsia" w:ascii="宋体" w:hAnsi="宋体" w:eastAsia="宋体" w:cs="宋体"/>
          <w:color w:val="auto"/>
          <w:sz w:val="24"/>
          <w:highlight w:val="none"/>
        </w:rPr>
        <w:t>中未写明允许采购进口产品，如投标人所投产品为进口产品，其投标将被认定为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6D00416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5若招标公告中允许联合体投标，对联合体规定如下：</w:t>
      </w:r>
    </w:p>
    <w:p w14:paraId="69A645D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5.1两个以上供应商可以组成一个投标联合体，以一个投标人的身份投标。</w:t>
      </w:r>
      <w:r>
        <w:rPr>
          <w:rFonts w:hint="eastAsia" w:ascii="宋体" w:hAnsi="宋体" w:eastAsia="宋体" w:cs="宋体"/>
          <w:b w:val="0"/>
          <w:color w:val="auto"/>
          <w:sz w:val="24"/>
          <w:highlight w:val="none"/>
        </w:rPr>
        <w:t>联合体投标的，招标文件获取手续由联合体中任一成员单位办理均可。</w:t>
      </w:r>
    </w:p>
    <w:p w14:paraId="6B88D28C">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5.2联合体各方均应符合《中华人民共和国政府采购法》第二十二条规定的条件。</w:t>
      </w:r>
    </w:p>
    <w:p w14:paraId="2F76E39B">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5.3采购人根据采购项目对投标人的特殊要求，联合体中至少应当有一方符合相关规定。</w:t>
      </w:r>
    </w:p>
    <w:p w14:paraId="233151BE">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5.4联合体各方应签订联合协议，明确约定联合体各方承担的工作和相应的责任，并将联合协议作为投标文件的一部分提交。</w:t>
      </w:r>
    </w:p>
    <w:p w14:paraId="3D83197C">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5.5大中型企业、其他自然人、法人或者非法人组织与小型、微型企业组成联合体共同参加投标，联合协议中应写明小型、微型企业的协议合同金额占到联合协议投标总金额的比例。</w:t>
      </w:r>
    </w:p>
    <w:p w14:paraId="44919C6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5.6联合体中有同类资质的供应商按照联合体分工承担相同工作的，应当按照资质等级较低的供应商确定资质等级。</w:t>
      </w:r>
    </w:p>
    <w:p w14:paraId="63A4F9E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5.7以联合体形式参加政府采购活动的，联合体各方不得再单独参加或者与其他供应商另外组成联合体参加本项目投标，否则相关投标将被认定为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46A3A725">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5.8对联合体投标的其他资格要求见</w:t>
      </w:r>
      <w:r>
        <w:rPr>
          <w:rFonts w:hint="eastAsia" w:ascii="宋体" w:hAnsi="宋体" w:eastAsia="宋体" w:cs="宋体"/>
          <w:color w:val="auto"/>
          <w:sz w:val="24"/>
          <w:highlight w:val="none"/>
          <w:lang w:val="en-US" w:eastAsia="zh-CN"/>
        </w:rPr>
        <w:t>申请人的</w:t>
      </w:r>
      <w:r>
        <w:rPr>
          <w:rFonts w:hint="eastAsia" w:ascii="宋体" w:hAnsi="宋体" w:eastAsia="宋体" w:cs="宋体"/>
          <w:color w:val="auto"/>
          <w:sz w:val="24"/>
          <w:highlight w:val="none"/>
        </w:rPr>
        <w:t>资格</w:t>
      </w:r>
      <w:r>
        <w:rPr>
          <w:rFonts w:hint="eastAsia" w:ascii="宋体" w:hAnsi="宋体" w:eastAsia="宋体" w:cs="宋体"/>
          <w:color w:val="auto"/>
          <w:sz w:val="24"/>
          <w:highlight w:val="none"/>
          <w:lang w:val="en-US" w:eastAsia="zh-CN"/>
        </w:rPr>
        <w:t>要求</w:t>
      </w:r>
      <w:r>
        <w:rPr>
          <w:rFonts w:hint="eastAsia" w:ascii="宋体" w:hAnsi="宋体" w:eastAsia="宋体" w:cs="宋体"/>
          <w:color w:val="auto"/>
          <w:sz w:val="24"/>
          <w:highlight w:val="none"/>
        </w:rPr>
        <w:t>。</w:t>
      </w:r>
    </w:p>
    <w:p w14:paraId="31760C6D">
      <w:pPr>
        <w:spacing w:line="360" w:lineRule="auto"/>
        <w:ind w:firstLine="437"/>
        <w:outlineLvl w:val="2"/>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2.资金落实情况</w:t>
      </w:r>
    </w:p>
    <w:p w14:paraId="58CAB01B">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.1本项目的采购人已获得足以支付本次招标后所签订的合同项下的资金。</w:t>
      </w:r>
    </w:p>
    <w:p w14:paraId="7CD9925B">
      <w:pPr>
        <w:spacing w:line="360" w:lineRule="auto"/>
        <w:ind w:firstLine="437"/>
        <w:outlineLvl w:val="2"/>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3.投标费用</w:t>
      </w:r>
    </w:p>
    <w:p w14:paraId="53CA425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不论投标的结果如何，投标人应承担所有与准备和参加投标有关的费用。</w:t>
      </w:r>
    </w:p>
    <w:p w14:paraId="476991B0">
      <w:pPr>
        <w:spacing w:line="360" w:lineRule="auto"/>
        <w:ind w:firstLine="437"/>
        <w:outlineLvl w:val="2"/>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4.适用法律</w:t>
      </w:r>
    </w:p>
    <w:p w14:paraId="437C8E20">
      <w:pPr>
        <w:spacing w:line="360" w:lineRule="auto"/>
        <w:ind w:firstLine="435"/>
        <w:rPr>
          <w:rFonts w:hint="eastAsia" w:ascii="宋体" w:hAnsi="宋体" w:eastAsia="宋体" w:cs="宋体"/>
          <w:b/>
          <w:color w:val="auto"/>
          <w:sz w:val="24"/>
          <w:highlight w:val="none"/>
          <w:lang w:val="en-US" w:eastAsia="zh-CN"/>
        </w:rPr>
      </w:pPr>
      <w:r>
        <w:rPr>
          <w:rFonts w:hint="eastAsia" w:ascii="宋体" w:hAnsi="宋体" w:eastAsia="宋体" w:cs="宋体"/>
          <w:color w:val="auto"/>
          <w:sz w:val="24"/>
          <w:highlight w:val="none"/>
        </w:rPr>
        <w:t>本项目采购人、采购代理机构、投标人、评标委员会的相关行为均受《中华人民共和国政府采购法》、《中华人民共和国政府采购法实施条例》</w:t>
      </w:r>
      <w:r>
        <w:rPr>
          <w:rFonts w:hint="eastAsia" w:ascii="宋体" w:hAnsi="宋体" w:eastAsia="宋体" w:cs="宋体"/>
          <w:color w:val="auto"/>
          <w:sz w:val="24"/>
          <w:highlight w:val="none"/>
          <w:lang w:val="en-US" w:eastAsia="zh-CN"/>
        </w:rPr>
        <w:t>及</w:t>
      </w:r>
      <w:r>
        <w:rPr>
          <w:rFonts w:hint="eastAsia" w:ascii="宋体" w:hAnsi="宋体" w:eastAsia="宋体" w:cs="宋体"/>
          <w:color w:val="auto"/>
          <w:sz w:val="24"/>
          <w:highlight w:val="none"/>
        </w:rPr>
        <w:t>本项目本级和上级财政部门、政府采购监督管理部门的政府采购有关规定的约束，其权利受到上述法律法规的保护。</w:t>
      </w:r>
    </w:p>
    <w:p w14:paraId="70B10221">
      <w:pPr>
        <w:spacing w:line="360" w:lineRule="auto"/>
        <w:ind w:firstLine="437"/>
        <w:outlineLvl w:val="2"/>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5.招标文件构成</w:t>
      </w:r>
    </w:p>
    <w:p w14:paraId="7308EAA9">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.1招标文件包括下列内容：</w:t>
      </w:r>
    </w:p>
    <w:p w14:paraId="116704EC">
      <w:pPr>
        <w:spacing w:line="360" w:lineRule="auto"/>
        <w:ind w:firstLine="840" w:firstLineChars="35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第一章  投标邀请</w:t>
      </w:r>
    </w:p>
    <w:p w14:paraId="1DE2F786">
      <w:pPr>
        <w:spacing w:line="360" w:lineRule="auto"/>
        <w:ind w:firstLine="840" w:firstLineChars="35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第二章  投标人须知</w:t>
      </w:r>
    </w:p>
    <w:p w14:paraId="214C8ED1">
      <w:pPr>
        <w:spacing w:line="360" w:lineRule="auto"/>
        <w:ind w:firstLine="840" w:firstLineChars="35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第三章  采购需求</w:t>
      </w:r>
    </w:p>
    <w:p w14:paraId="7BE1CB2C">
      <w:pPr>
        <w:spacing w:line="360" w:lineRule="auto"/>
        <w:ind w:firstLine="840" w:firstLineChars="35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第四章  评标方法和标准</w:t>
      </w:r>
    </w:p>
    <w:p w14:paraId="411DBA0B">
      <w:pPr>
        <w:spacing w:line="360" w:lineRule="auto"/>
        <w:ind w:firstLine="840" w:firstLineChars="35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第五章  政府采购合同</w:t>
      </w:r>
    </w:p>
    <w:p w14:paraId="594E2C6C">
      <w:pPr>
        <w:spacing w:line="360" w:lineRule="auto"/>
        <w:ind w:firstLine="840" w:firstLineChars="35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第六章  投标文件格式</w:t>
      </w:r>
    </w:p>
    <w:p w14:paraId="49215BDD">
      <w:pPr>
        <w:spacing w:line="360" w:lineRule="auto"/>
        <w:ind w:firstLine="840" w:firstLineChars="35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lang w:val="en-US" w:eastAsia="zh-CN"/>
        </w:rPr>
        <w:t>七</w:t>
      </w:r>
      <w:r>
        <w:rPr>
          <w:rFonts w:hint="eastAsia" w:ascii="宋体" w:hAnsi="宋体" w:eastAsia="宋体" w:cs="宋体"/>
          <w:color w:val="auto"/>
          <w:sz w:val="24"/>
          <w:highlight w:val="none"/>
        </w:rPr>
        <w:t>章  政府采购询问函和质疑函范本</w:t>
      </w:r>
    </w:p>
    <w:p w14:paraId="19D78BB8">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现场考察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标前答疑会</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及相关事项见</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w:t>
      </w:r>
    </w:p>
    <w:p w14:paraId="0DBCB8E8">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原则上采购人、采购代理机构不要求投标人提供样品。仅凭书面方式不能准确描述采购需求，或者需要对样品进行主观判断以确认是否满足采购需求等特殊情况除外。</w:t>
      </w:r>
    </w:p>
    <w:p w14:paraId="5BD5780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如需提供样品，对样品相关要求见采购需求，对样品的评审方法及评审标准见招标文件第四章。</w:t>
      </w:r>
    </w:p>
    <w:p w14:paraId="69E5DE56">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投标人应认真阅读招标文件所有的事项、格式、条款和技术规范等。</w:t>
      </w:r>
    </w:p>
    <w:p w14:paraId="485E3122">
      <w:pPr>
        <w:spacing w:line="360" w:lineRule="auto"/>
        <w:ind w:firstLine="437"/>
        <w:outlineLvl w:val="2"/>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6.招标文件的澄清与修改</w:t>
      </w:r>
    </w:p>
    <w:p w14:paraId="5288FEC8">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.1投标人如对招标文件内容有疑问，必须在</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规定的网上询问截止时间前以网上提问形式（电子交易系统）提交给采购代理机构。</w:t>
      </w:r>
    </w:p>
    <w:p w14:paraId="1F32AF7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.2采购人可主动地或在</w:t>
      </w:r>
      <w:r>
        <w:rPr>
          <w:rFonts w:hint="eastAsia" w:ascii="宋体" w:hAnsi="宋体" w:eastAsia="宋体" w:cs="宋体"/>
          <w:color w:val="auto"/>
          <w:sz w:val="24"/>
          <w:highlight w:val="none"/>
          <w:lang w:val="en-US" w:eastAsia="zh-CN"/>
        </w:rPr>
        <w:t>答复</w:t>
      </w:r>
      <w:r>
        <w:rPr>
          <w:rFonts w:hint="eastAsia" w:ascii="宋体" w:hAnsi="宋体" w:eastAsia="宋体" w:cs="宋体"/>
          <w:color w:val="auto"/>
          <w:sz w:val="24"/>
          <w:highlight w:val="none"/>
        </w:rPr>
        <w:t>投标人提出的</w:t>
      </w:r>
      <w:r>
        <w:rPr>
          <w:rFonts w:hint="eastAsia" w:ascii="宋体" w:hAnsi="宋体" w:eastAsia="宋体" w:cs="宋体"/>
          <w:color w:val="auto"/>
          <w:sz w:val="24"/>
          <w:highlight w:val="none"/>
          <w:lang w:val="en-US" w:eastAsia="zh-CN"/>
        </w:rPr>
        <w:t>询问</w:t>
      </w:r>
      <w:r>
        <w:rPr>
          <w:rFonts w:hint="eastAsia" w:ascii="宋体" w:hAnsi="宋体" w:eastAsia="宋体" w:cs="宋体"/>
          <w:color w:val="auto"/>
          <w:sz w:val="24"/>
          <w:highlight w:val="none"/>
        </w:rPr>
        <w:t>时对招标文件进行澄清与修改。采购代理机构将在安徽省政府采购网以发布更正公告的方式，澄清或修改招标文件，更正公告的内容作为招标文件的组成部分，对投标人起约束作用。投标人应主动上网查询。采购代理机构不承担投标人未及时关注相关信息引发的相关责任。</w:t>
      </w:r>
    </w:p>
    <w:p w14:paraId="5353C175">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4A6A4700">
      <w:pPr>
        <w:spacing w:line="360" w:lineRule="auto"/>
        <w:ind w:firstLine="435"/>
        <w:rPr>
          <w:rFonts w:hint="eastAsia" w:ascii="宋体" w:hAnsi="宋体" w:eastAsia="宋体" w:cs="宋体"/>
          <w:i/>
          <w:iCs/>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.4对于没有提出疑问又参与了本项目投标的投标人将被视为完全认同本招标文件（含更正公告的内容）</w:t>
      </w:r>
      <w:r>
        <w:rPr>
          <w:rFonts w:hint="eastAsia" w:ascii="宋体" w:hAnsi="宋体" w:eastAsia="宋体" w:cs="宋体"/>
          <w:i/>
          <w:color w:val="auto"/>
          <w:sz w:val="24"/>
          <w:highlight w:val="none"/>
        </w:rPr>
        <w:t>。</w:t>
      </w:r>
    </w:p>
    <w:p w14:paraId="60DDA211">
      <w:pPr>
        <w:spacing w:line="360" w:lineRule="auto"/>
        <w:ind w:firstLine="437"/>
        <w:outlineLvl w:val="2"/>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7.投标范围及投标文件中标准和计量单位的使用</w:t>
      </w:r>
    </w:p>
    <w:p w14:paraId="0E27331B">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.1项目有分包的，投标人可对招标文件其中某一个或几个分包进行投标，除非在</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中另有规定。</w:t>
      </w:r>
    </w:p>
    <w:p w14:paraId="1BC7DF3C">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.2投标人应当对所投分包招标文件中“采购需求”所列的所有内容进行投标，如仅响应所投包别中的部分内容，其所投包别的投标将被认定为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2236A9A7">
      <w:pPr>
        <w:spacing w:line="360" w:lineRule="auto"/>
        <w:ind w:firstLine="435"/>
        <w:rPr>
          <w:rFonts w:hint="eastAsia" w:ascii="宋体" w:hAnsi="宋体" w:eastAsia="宋体" w:cs="宋体"/>
          <w:color w:val="auto"/>
          <w:sz w:val="24"/>
          <w:highlight w:val="none"/>
        </w:rPr>
      </w:pPr>
      <w:bookmarkStart w:id="23" w:name="_Hlk16458980"/>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.3无论招标文件中是否要求，投标人所投货物及伴随的服务和工程均应符合国家强制性标准。</w:t>
      </w:r>
    </w:p>
    <w:bookmarkEnd w:id="23"/>
    <w:p w14:paraId="5F2E8696">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4投标人与采购代理机构之间与投标有关的所有往来通知、函件和投标文件均用中文表述。投标人随投标文件提供的证明文件和资料可以为其它语言，但必须附中文译文。翻译的中文资料与外文资料出现差异时，以中文为准。</w:t>
      </w:r>
    </w:p>
    <w:p w14:paraId="2CDA7C9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.5除招标文件中有特殊要求外，投标文件中所使用的计量单位，应采用中华人民共和国法定计量单位。</w:t>
      </w:r>
    </w:p>
    <w:p w14:paraId="182FFBE1">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8</w:t>
      </w:r>
      <w:r>
        <w:rPr>
          <w:rFonts w:hint="eastAsia" w:ascii="宋体" w:hAnsi="宋体" w:eastAsia="宋体" w:cs="宋体"/>
          <w:b/>
          <w:color w:val="auto"/>
          <w:sz w:val="24"/>
          <w:highlight w:val="none"/>
        </w:rPr>
        <w:t>.投标文件构成</w:t>
      </w:r>
    </w:p>
    <w:p w14:paraId="7794C30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.1投标人应完整地按招标文件提供的投标文件格式及要求编写投标文件，具体内容详见本项目投标文件格式的相关内容。</w:t>
      </w:r>
    </w:p>
    <w:p w14:paraId="5335BA9D">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8.2</w:t>
      </w:r>
      <w:r>
        <w:rPr>
          <w:rFonts w:hint="eastAsia" w:ascii="宋体" w:hAnsi="宋体" w:eastAsia="宋体" w:cs="宋体"/>
          <w:color w:val="auto"/>
          <w:sz w:val="24"/>
          <w:highlight w:val="none"/>
        </w:rPr>
        <w:t>投标人应提交招标文件要求的证明文件，证明其投标内容符合招标文件规定</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该证明文件是投标文件的一部分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证明文件</w:t>
      </w:r>
      <w:r>
        <w:rPr>
          <w:rFonts w:hint="eastAsia" w:ascii="宋体" w:hAnsi="宋体" w:eastAsia="宋体" w:cs="宋体"/>
          <w:color w:val="auto"/>
          <w:sz w:val="24"/>
          <w:highlight w:val="none"/>
          <w:lang w:val="en-US" w:eastAsia="zh-CN"/>
        </w:rPr>
        <w:t>形式</w:t>
      </w:r>
      <w:r>
        <w:rPr>
          <w:rFonts w:hint="eastAsia" w:ascii="宋体" w:hAnsi="宋体" w:eastAsia="宋体" w:cs="宋体"/>
          <w:color w:val="auto"/>
          <w:sz w:val="24"/>
          <w:highlight w:val="none"/>
        </w:rPr>
        <w:t>可以是文字资料、图纸和数据</w:t>
      </w:r>
      <w:bookmarkStart w:id="24" w:name="_Hlk11703583"/>
      <w:r>
        <w:rPr>
          <w:rFonts w:hint="eastAsia" w:ascii="宋体" w:hAnsi="宋体" w:eastAsia="宋体" w:cs="宋体"/>
          <w:color w:val="auto"/>
          <w:sz w:val="24"/>
          <w:highlight w:val="none"/>
          <w:lang w:val="en-US" w:eastAsia="zh-CN"/>
        </w:rPr>
        <w:t>等。</w:t>
      </w:r>
    </w:p>
    <w:bookmarkEnd w:id="24"/>
    <w:p w14:paraId="3DE82E09">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8.3</w:t>
      </w:r>
      <w:r>
        <w:rPr>
          <w:rFonts w:hint="eastAsia" w:ascii="宋体" w:hAnsi="宋体" w:eastAsia="宋体" w:cs="宋体"/>
          <w:color w:val="auto"/>
          <w:sz w:val="24"/>
          <w:highlight w:val="none"/>
        </w:rPr>
        <w:t>为保证公平公正，除非另有规定或说明，投标人对同一项目投标时，不得同时提供备选投标方案。</w:t>
      </w:r>
    </w:p>
    <w:p w14:paraId="51688FED">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9</w:t>
      </w:r>
      <w:r>
        <w:rPr>
          <w:rFonts w:hint="eastAsia" w:ascii="宋体" w:hAnsi="宋体" w:eastAsia="宋体" w:cs="宋体"/>
          <w:b/>
          <w:color w:val="auto"/>
          <w:sz w:val="24"/>
          <w:highlight w:val="none"/>
        </w:rPr>
        <w:t>.投标报价</w:t>
      </w:r>
    </w:p>
    <w:p w14:paraId="3A9D77A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.1投标人的报价应当包括满足本次招标全部采购需求。</w:t>
      </w:r>
      <w:r>
        <w:rPr>
          <w:rFonts w:hint="eastAsia" w:ascii="宋体" w:hAnsi="宋体" w:eastAsia="宋体" w:cs="宋体"/>
          <w:color w:val="auto"/>
          <w:sz w:val="24"/>
          <w:highlight w:val="none"/>
          <w:lang w:val="en-US" w:eastAsia="zh-CN"/>
        </w:rPr>
        <w:t>除招标文件另有规定外，</w:t>
      </w:r>
      <w:r>
        <w:rPr>
          <w:rFonts w:hint="eastAsia" w:ascii="宋体" w:hAnsi="宋体" w:eastAsia="宋体" w:cs="宋体"/>
          <w:color w:val="auto"/>
          <w:sz w:val="24"/>
          <w:highlight w:val="none"/>
        </w:rPr>
        <w:t>所有投标均应以人民币报价。投标人的投标报价应遵守《中华人民共和国价格法》。</w:t>
      </w:r>
    </w:p>
    <w:p w14:paraId="4078E0C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.2投标人报价超过招标文件规定的预算金额或者分项、分包最高限价，其投标将被认定为</w:t>
      </w:r>
      <w:r>
        <w:rPr>
          <w:rFonts w:hint="eastAsia" w:ascii="宋体" w:hAnsi="宋体" w:eastAsia="宋体" w:cs="宋体"/>
          <w:b/>
          <w:bCs/>
          <w:color w:val="auto"/>
          <w:sz w:val="24"/>
          <w:highlight w:val="none"/>
        </w:rPr>
        <w:t>投标无效</w:t>
      </w:r>
      <w:r>
        <w:rPr>
          <w:rFonts w:hint="eastAsia" w:ascii="宋体" w:hAnsi="宋体" w:eastAsia="宋体" w:cs="宋体"/>
          <w:color w:val="auto"/>
          <w:sz w:val="24"/>
          <w:highlight w:val="none"/>
        </w:rPr>
        <w:t>。</w:t>
      </w:r>
    </w:p>
    <w:p w14:paraId="0609C75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投标报价在合同履行过程中是固定不变的，不得以任何理由予以变更。任何包含价格调整要求的投标，其投标将被认定为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1F915022">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1CA77A6A">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采购人不接受具有附加条件的报价。</w:t>
      </w:r>
    </w:p>
    <w:p w14:paraId="5D945796">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0</w:t>
      </w:r>
      <w:r>
        <w:rPr>
          <w:rFonts w:hint="eastAsia" w:ascii="宋体" w:hAnsi="宋体" w:eastAsia="宋体" w:cs="宋体"/>
          <w:b/>
          <w:color w:val="auto"/>
          <w:sz w:val="24"/>
          <w:highlight w:val="none"/>
        </w:rPr>
        <w:t>.投标保证金</w:t>
      </w:r>
    </w:p>
    <w:p w14:paraId="693EB3B5">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.1本项目不收取投标保证金。</w:t>
      </w:r>
    </w:p>
    <w:p w14:paraId="64D4DD86">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.投标有效期</w:t>
      </w:r>
    </w:p>
    <w:p w14:paraId="550C718C">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.1投标有效期为从投标截止之日算起的日历天数，投标有效期详见</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w:t>
      </w:r>
    </w:p>
    <w:p w14:paraId="4CB2F115">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.2在投标有效期内，投标人的投标保持有效，投标人不得要求撤销或修改其投标文件。投标有效期不满足要求的投标，其投标将被认定为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1D2F185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3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520B7A91">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.投标文件的递交、修改与撤回</w:t>
      </w:r>
    </w:p>
    <w:p w14:paraId="389C5766">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.1投标人应当在</w:t>
      </w:r>
      <w:r>
        <w:rPr>
          <w:rFonts w:hint="eastAsia" w:ascii="宋体" w:hAnsi="宋体" w:eastAsia="宋体" w:cs="宋体"/>
          <w:color w:val="auto"/>
          <w:sz w:val="24"/>
          <w:highlight w:val="none"/>
          <w:lang w:val="en-US" w:eastAsia="zh-CN"/>
        </w:rPr>
        <w:t>招标公告</w:t>
      </w:r>
      <w:r>
        <w:rPr>
          <w:rFonts w:hint="eastAsia" w:ascii="宋体" w:hAnsi="宋体" w:eastAsia="宋体" w:cs="宋体"/>
          <w:color w:val="auto"/>
          <w:sz w:val="24"/>
          <w:highlight w:val="none"/>
        </w:rPr>
        <w:t>规定的投标截止时间前，将加密的投标文件在电子交易系统上传。</w:t>
      </w:r>
    </w:p>
    <w:p w14:paraId="2F5122EE">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2投标人应当在投标截止时间前完成投标文件的传输递交（以接收到电子签收凭证为准），并可以补充、修改或者撤回投标文件。投标截止时间前未完成投标文件传输的，视为撤回投标文件。未按规定加密或投标截止时间后送达的投标文件，电子交易系统应当拒收。</w:t>
      </w:r>
    </w:p>
    <w:p w14:paraId="5E0C37ED">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.开标</w:t>
      </w:r>
    </w:p>
    <w:p w14:paraId="12437502">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开标时，</w:t>
      </w:r>
      <w:r>
        <w:rPr>
          <w:rFonts w:hint="eastAsia" w:ascii="宋体" w:hAnsi="宋体" w:eastAsia="宋体" w:cs="宋体"/>
          <w:sz w:val="24"/>
          <w:szCs w:val="24"/>
          <w:highlight w:val="none"/>
        </w:rPr>
        <w:t>各投标人应在</w:t>
      </w:r>
      <w:r>
        <w:rPr>
          <w:rFonts w:hint="eastAsia" w:ascii="宋体" w:hAnsi="宋体" w:eastAsia="宋体" w:cs="宋体"/>
          <w:sz w:val="24"/>
          <w:szCs w:val="24"/>
          <w:highlight w:val="none"/>
          <w:u w:val="single"/>
        </w:rPr>
        <w:t>投标人须知前附表</w:t>
      </w:r>
      <w:r>
        <w:rPr>
          <w:rFonts w:hint="eastAsia" w:ascii="宋体" w:hAnsi="宋体" w:eastAsia="宋体" w:cs="宋体"/>
          <w:sz w:val="24"/>
          <w:szCs w:val="24"/>
          <w:highlight w:val="none"/>
        </w:rPr>
        <w:t>规定的解密时间前</w:t>
      </w:r>
      <w:r>
        <w:rPr>
          <w:rFonts w:hint="eastAsia" w:ascii="宋体" w:hAnsi="宋体" w:eastAsia="宋体" w:cs="宋体"/>
          <w:color w:val="auto"/>
          <w:sz w:val="24"/>
          <w:highlight w:val="none"/>
        </w:rPr>
        <w:t>对</w:t>
      </w:r>
      <w:r>
        <w:rPr>
          <w:rFonts w:hint="eastAsia" w:ascii="宋体" w:hAnsi="宋体" w:eastAsia="宋体" w:cs="宋体"/>
          <w:color w:val="auto"/>
          <w:sz w:val="24"/>
          <w:szCs w:val="24"/>
          <w:highlight w:val="none"/>
          <w:lang w:val="en-US" w:eastAsia="zh-CN"/>
        </w:rPr>
        <w:t>其</w:t>
      </w:r>
      <w:r>
        <w:rPr>
          <w:rFonts w:hint="eastAsia" w:ascii="宋体" w:hAnsi="宋体" w:eastAsia="宋体" w:cs="宋体"/>
          <w:color w:val="auto"/>
          <w:sz w:val="24"/>
          <w:highlight w:val="none"/>
        </w:rPr>
        <w:t>投标文件进行解密。</w:t>
      </w:r>
    </w:p>
    <w:p w14:paraId="11A8B832">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开标时，采购代理机构将通过网上开标系统公布开标结果，公布内容包括投标人名称、投标价格及招标文件规定的内容。</w:t>
      </w:r>
    </w:p>
    <w:p w14:paraId="2CA2BDB6">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采购人或采购代理机构将对开标过程进行记录，由参加开标的各投标人代表和相关工作人员签字确认，并存档备查。</w:t>
      </w:r>
    </w:p>
    <w:p w14:paraId="745F86B6">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投标人未派代表参加开标的，视同投标人认可开标结果。</w:t>
      </w:r>
    </w:p>
    <w:p w14:paraId="53822D1C">
      <w:pPr>
        <w:spacing w:line="360" w:lineRule="auto"/>
        <w:ind w:firstLine="435"/>
        <w:rPr>
          <w:rFonts w:hint="eastAsia" w:ascii="宋体" w:hAnsi="宋体" w:eastAsia="宋体" w:cs="宋体"/>
          <w:color w:val="auto"/>
          <w:sz w:val="28"/>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投标人代表对开标过程和开标记录有疑义，以及认为采购人、采购代理机构相关工作人员有需要回避的情形的，应当场提出询问或者回避申请。</w:t>
      </w:r>
    </w:p>
    <w:p w14:paraId="7B4BC9D5">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.资格审查及组建评标委员会</w:t>
      </w:r>
    </w:p>
    <w:p w14:paraId="3BD8A079">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.1采购人或采购代理机构依据法律法规和招标文件中规定的内容，对投标人资格进行审查，未通过资格审查的投标人不进入评标。</w:t>
      </w:r>
    </w:p>
    <w:p w14:paraId="307BF6FE">
      <w:pPr>
        <w:spacing w:line="360" w:lineRule="auto"/>
        <w:ind w:firstLine="435"/>
        <w:rPr>
          <w:rFonts w:hint="eastAsia" w:ascii="宋体" w:hAnsi="宋体" w:eastAsia="宋体" w:cs="宋体"/>
          <w:color w:val="auto"/>
          <w:sz w:val="24"/>
          <w:szCs w:val="24"/>
          <w:highlight w:val="none"/>
        </w:rPr>
      </w:pPr>
      <w:bookmarkStart w:id="25" w:name="_Hlk24663244"/>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.2采购人或采购代理机构将在投标截止时间后至评审结束前通过“信用中国”网站(www.creditchina.gov.cn)、中国政府采购网(www.ccgp.gov.cn)查询相关投标人信用记录，并对</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投标将被认定为</w:t>
      </w:r>
      <w:r>
        <w:rPr>
          <w:rFonts w:hint="eastAsia" w:ascii="宋体" w:hAnsi="宋体" w:eastAsia="宋体" w:cs="宋体"/>
          <w:b/>
          <w:color w:val="auto"/>
          <w:sz w:val="24"/>
          <w:szCs w:val="24"/>
          <w:highlight w:val="none"/>
        </w:rPr>
        <w:t>投标无效</w:t>
      </w:r>
      <w:r>
        <w:rPr>
          <w:rFonts w:hint="eastAsia" w:ascii="宋体" w:hAnsi="宋体" w:eastAsia="宋体" w:cs="宋体"/>
          <w:color w:val="auto"/>
          <w:sz w:val="24"/>
          <w:szCs w:val="24"/>
          <w:highlight w:val="none"/>
        </w:rPr>
        <w:t>。</w:t>
      </w:r>
    </w:p>
    <w:p w14:paraId="79B68217">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以联合体形式参加投标的，联合体成员存在以上不良信用记录的，联合体投标将被认定为</w:t>
      </w:r>
      <w:r>
        <w:rPr>
          <w:rFonts w:hint="eastAsia" w:ascii="宋体" w:hAnsi="宋体" w:eastAsia="宋体" w:cs="宋体"/>
          <w:b/>
          <w:color w:val="auto"/>
          <w:sz w:val="24"/>
          <w:szCs w:val="24"/>
          <w:highlight w:val="none"/>
        </w:rPr>
        <w:t>投标无效</w:t>
      </w:r>
      <w:r>
        <w:rPr>
          <w:rFonts w:hint="eastAsia" w:ascii="宋体" w:hAnsi="宋体" w:eastAsia="宋体" w:cs="宋体"/>
          <w:color w:val="auto"/>
          <w:sz w:val="24"/>
          <w:szCs w:val="24"/>
          <w:highlight w:val="none"/>
        </w:rPr>
        <w:t>。</w:t>
      </w:r>
    </w:p>
    <w:p w14:paraId="6B12F1B8">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以上信用查询记录，采购人或采购代理机构将下载查询结果页面后与其他采购文件一并保存。投标人不良信用记录以采购人或采购代理机构查询结果为准。在本招标文件规定的查询时间之外，网站信息发生的任何变更均不作为资格审查依据。投标人自行提供的与网站信息不一致的其他证明材料亦不作为资格审查依据。</w:t>
      </w:r>
    </w:p>
    <w:bookmarkEnd w:id="25"/>
    <w:p w14:paraId="189D6998">
      <w:pPr>
        <w:spacing w:line="360" w:lineRule="auto"/>
        <w:ind w:firstLine="435"/>
        <w:rPr>
          <w:rFonts w:hint="eastAsia" w:ascii="宋体" w:hAnsi="宋体" w:eastAsia="宋体" w:cs="宋体"/>
          <w:b/>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.3按照《中华人民共和国政府采购法》、《中华人民共和国政府采购法实施条例》及本项目本级和上级财政部门、政府采购监督管理部门的有关规定依法组建的评标委员会，负责本项目评标工作。</w:t>
      </w:r>
    </w:p>
    <w:p w14:paraId="1F4FE672">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15</w:t>
      </w:r>
      <w:r>
        <w:rPr>
          <w:rFonts w:hint="eastAsia" w:ascii="宋体" w:hAnsi="宋体" w:eastAsia="宋体" w:cs="宋体"/>
          <w:b/>
          <w:color w:val="auto"/>
          <w:sz w:val="24"/>
          <w:highlight w:val="none"/>
        </w:rPr>
        <w:t>.投标文件符合性审查与澄清</w:t>
      </w:r>
    </w:p>
    <w:p w14:paraId="38F885D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.1符合性审查是指依据招标文件的规定，从投标文件的有效性和完整性对招标文件的响应程度进行审查，以确定是否对招标文件的实质性要求做出响应。</w:t>
      </w:r>
    </w:p>
    <w:p w14:paraId="5731E7C2">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.2如一个分包内只有一种产品，不同投标人所投产品为同一品牌的，按如下方式处理：</w:t>
      </w:r>
    </w:p>
    <w:p w14:paraId="5C8087E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2.1如本项目使用最低评标价法，提供相同品牌产品的不同投标人以其中通过资格审查、符合性审查且报价最低的参加评标；报价相同的，由采购人或者采购人委托评标委员会按照招标文件中评标方法和标准规定的方式确定一个参加评标的投标人；未规定的采取随机抽取方式确定，其他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58BD877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2.2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方法和标准规定的方式确定一个投标人获得中标人推荐资格；未规定的采取随机抽取方式确定，其他同品牌投标人不作为中标候选人。</w:t>
      </w:r>
    </w:p>
    <w:p w14:paraId="2E263E9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.3如一个分包内包含多种产品的，采购人或采购代理机构将在</w:t>
      </w:r>
      <w:r>
        <w:rPr>
          <w:rFonts w:hint="eastAsia" w:ascii="宋体" w:hAnsi="宋体" w:eastAsia="宋体" w:cs="宋体"/>
          <w:color w:val="auto"/>
          <w:sz w:val="24"/>
          <w:highlight w:val="none"/>
          <w:u w:val="none"/>
          <w:lang w:val="en-US" w:eastAsia="zh-CN"/>
        </w:rPr>
        <w:t>采购需求</w:t>
      </w:r>
      <w:r>
        <w:rPr>
          <w:rFonts w:hint="eastAsia" w:ascii="宋体" w:hAnsi="宋体" w:eastAsia="宋体" w:cs="宋体"/>
          <w:color w:val="auto"/>
          <w:sz w:val="24"/>
          <w:highlight w:val="none"/>
          <w:u w:val="none"/>
        </w:rPr>
        <w:t>中</w:t>
      </w:r>
      <w:r>
        <w:rPr>
          <w:rFonts w:hint="eastAsia" w:ascii="宋体" w:hAnsi="宋体" w:eastAsia="宋体" w:cs="宋体"/>
          <w:color w:val="auto"/>
          <w:sz w:val="24"/>
          <w:highlight w:val="none"/>
        </w:rPr>
        <w:t>载明核心产品，多家投标人提供的核心产品品牌相同的，按第</w:t>
      </w: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.2款规定处理。</w:t>
      </w:r>
    </w:p>
    <w:p w14:paraId="485D90A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.4投标文件的澄清</w:t>
      </w:r>
    </w:p>
    <w:p w14:paraId="2406C78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4.1为有助于投标文件的审查、评价和比较，在评标期间，评标委员会将以书面方式（询标）要求投标人对其投标文件中含义不明确、对同类问题表述不一致或者有明显文字和计算错误的内容，以及评标委员会认为投标人的报价明显低于其他通过符合性审查投标人的报价，有可能影响履约的情况作必要的澄清、说明或补正。投标人的澄清、说明或补正应在评标委员会规定的时间内以书面方式进行，并不得超出投标文件范围或者改变投标文件的实质性内容。</w:t>
      </w:r>
    </w:p>
    <w:p w14:paraId="5B172CAA">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如有询标，投标人授权代表（或法定代表人）可通过远程登录的方式接受网上询标，也可凭本人有效身份证明参加询标。因投标人授权代表联系不上、没有及时登录系统等情形而无法接受评标委员会询标的，投标人自行承担相关风险。</w:t>
      </w:r>
    </w:p>
    <w:p w14:paraId="3CCE38B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15.</w:t>
      </w:r>
      <w:r>
        <w:rPr>
          <w:rFonts w:hint="eastAsia" w:ascii="宋体" w:hAnsi="宋体" w:eastAsia="宋体" w:cs="宋体"/>
          <w:color w:val="auto"/>
          <w:sz w:val="24"/>
          <w:highlight w:val="none"/>
        </w:rPr>
        <w:t>4.2投标人的澄清、说明或补正将作为投标文件的一部分。</w:t>
      </w:r>
    </w:p>
    <w:p w14:paraId="7033831A">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15.</w:t>
      </w:r>
      <w:r>
        <w:rPr>
          <w:rFonts w:hint="eastAsia" w:ascii="宋体" w:hAnsi="宋体" w:eastAsia="宋体" w:cs="宋体"/>
          <w:color w:val="auto"/>
          <w:sz w:val="24"/>
          <w:highlight w:val="none"/>
        </w:rPr>
        <w:t>4.3评标委员会对投标人提交的澄清、说明或补正有疑问的，可以要求投标人进一步澄清、说明或补正，直至满足评标委员会的要求。</w:t>
      </w:r>
    </w:p>
    <w:p w14:paraId="2DEDA64C">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15.</w:t>
      </w:r>
      <w:r>
        <w:rPr>
          <w:rFonts w:hint="eastAsia" w:ascii="宋体" w:hAnsi="宋体" w:eastAsia="宋体" w:cs="宋体"/>
          <w:color w:val="auto"/>
          <w:sz w:val="24"/>
          <w:highlight w:val="none"/>
        </w:rPr>
        <w:t>5投标文件报价出现前后不一致的，按照下列规定修正：</w:t>
      </w:r>
    </w:p>
    <w:p w14:paraId="1823BDC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（1）投标文件中开标一览表内容与投标文件中相应内容不一致的，以开标一览表为准；</w:t>
      </w:r>
    </w:p>
    <w:p w14:paraId="3842FD4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（2）大写金额和小写金额不一致的，以大写金额为准；</w:t>
      </w:r>
    </w:p>
    <w:p w14:paraId="68224F59">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（3）单价金额小数点或者百分比有明显错位的，以开标一览表的总价为准，并修改单价；</w:t>
      </w:r>
    </w:p>
    <w:p w14:paraId="32A446C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（4）总价金额与按单价汇总金额不一致的，以单价金额计算结果为准。</w:t>
      </w:r>
    </w:p>
    <w:p w14:paraId="777EE07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同时出现两种以上不一致的，按照前款规定的顺序修正。修正后的报价按照第</w:t>
      </w:r>
      <w:r>
        <w:rPr>
          <w:rFonts w:hint="eastAsia" w:ascii="宋体" w:hAnsi="宋体" w:eastAsia="宋体" w:cs="宋体"/>
          <w:color w:val="auto"/>
          <w:sz w:val="24"/>
          <w:highlight w:val="none"/>
          <w:lang w:eastAsia="zh-CN"/>
        </w:rPr>
        <w:t>15.</w:t>
      </w:r>
      <w:r>
        <w:rPr>
          <w:rFonts w:hint="eastAsia" w:ascii="宋体" w:hAnsi="宋体" w:eastAsia="宋体" w:cs="宋体"/>
          <w:color w:val="auto"/>
          <w:sz w:val="24"/>
          <w:highlight w:val="none"/>
        </w:rPr>
        <w:t>4条的规定经投标人确认后产生约束力，投标人不确认的，其投标将被认定为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58D28C56">
      <w:pPr>
        <w:spacing w:line="360" w:lineRule="auto"/>
        <w:ind w:firstLine="435"/>
        <w:rPr>
          <w:rFonts w:hint="eastAsia" w:ascii="宋体" w:hAnsi="宋体" w:eastAsia="宋体" w:cs="宋体"/>
          <w:b/>
          <w:color w:val="auto"/>
          <w:sz w:val="24"/>
          <w:highlight w:val="none"/>
        </w:rPr>
      </w:pPr>
      <w:r>
        <w:rPr>
          <w:rFonts w:hint="eastAsia" w:ascii="宋体" w:hAnsi="宋体" w:eastAsia="宋体" w:cs="宋体"/>
          <w:color w:val="auto"/>
          <w:sz w:val="24"/>
          <w:highlight w:val="none"/>
        </w:rPr>
        <w:t>对不同文字文本投标文件的解释发生异议的，以中文文本为准。</w:t>
      </w:r>
    </w:p>
    <w:p w14:paraId="08DDA92D">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16.</w:t>
      </w:r>
      <w:r>
        <w:rPr>
          <w:rFonts w:hint="eastAsia" w:ascii="宋体" w:hAnsi="宋体" w:eastAsia="宋体" w:cs="宋体"/>
          <w:b/>
          <w:color w:val="auto"/>
          <w:sz w:val="24"/>
          <w:highlight w:val="none"/>
        </w:rPr>
        <w:t>投标无效</w:t>
      </w:r>
    </w:p>
    <w:p w14:paraId="5165C9BE">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16.</w:t>
      </w:r>
      <w:r>
        <w:rPr>
          <w:rFonts w:hint="eastAsia" w:ascii="宋体" w:hAnsi="宋体" w:eastAsia="宋体" w:cs="宋体"/>
          <w:color w:val="auto"/>
          <w:sz w:val="24"/>
          <w:highlight w:val="none"/>
        </w:rPr>
        <w:t>1根据本招标文件的规定，评标委员会要审查每份投标文件是否实质上响应了招标文件的要求。投标人不得通过修正或撤销不符合要求的偏离，从而使其投标成为实质上响应的投标。</w:t>
      </w:r>
    </w:p>
    <w:p w14:paraId="26C9039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评标委员会决定投标的响应性只根据招标文件要求和投标文件内容。</w:t>
      </w:r>
    </w:p>
    <w:p w14:paraId="2AE4B3DA">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无论何种原因，即使投标人投标时携带了证书材料的原件，但投标文件中未提供与之内容完全一致的扫描件的，评标委员会视同其未提供。</w:t>
      </w:r>
    </w:p>
    <w:p w14:paraId="54795FD8">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16.</w:t>
      </w:r>
      <w:r>
        <w:rPr>
          <w:rFonts w:hint="eastAsia" w:ascii="宋体" w:hAnsi="宋体" w:eastAsia="宋体" w:cs="宋体"/>
          <w:color w:val="auto"/>
          <w:sz w:val="24"/>
          <w:highlight w:val="none"/>
        </w:rPr>
        <w:t>2如发现下列情况之一的，其投标将被认定为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2798FE2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（1）投标文件未按照招标文件规定要求签署、盖章的；</w:t>
      </w:r>
    </w:p>
    <w:p w14:paraId="62EE873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（2）不具备招标文件中规定的资格要求的；</w:t>
      </w:r>
    </w:p>
    <w:p w14:paraId="0C4FC085">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（3）报价超过招标文件中规定的预算金额或者最高限价的；</w:t>
      </w:r>
    </w:p>
    <w:p w14:paraId="2E447218">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（4）投标文件含有采购人不能接受的附加条件的；</w:t>
      </w:r>
    </w:p>
    <w:p w14:paraId="0CE17612">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（5）法律、法规和招标文件规定的其他无效情形。</w:t>
      </w:r>
    </w:p>
    <w:p w14:paraId="264AD241">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17.</w:t>
      </w:r>
      <w:r>
        <w:rPr>
          <w:rFonts w:hint="eastAsia" w:ascii="宋体" w:hAnsi="宋体" w:eastAsia="宋体" w:cs="宋体"/>
          <w:b/>
          <w:color w:val="auto"/>
          <w:sz w:val="24"/>
          <w:highlight w:val="none"/>
        </w:rPr>
        <w:t>比较与评价</w:t>
      </w:r>
    </w:p>
    <w:p w14:paraId="258EA382">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17.</w:t>
      </w:r>
      <w:r>
        <w:rPr>
          <w:rFonts w:hint="eastAsia" w:ascii="宋体" w:hAnsi="宋体" w:eastAsia="宋体" w:cs="宋体"/>
          <w:color w:val="auto"/>
          <w:sz w:val="24"/>
          <w:highlight w:val="none"/>
        </w:rPr>
        <w:t>1经符合性审查合格的投标文件，评标委员会将根据招标文件确定的评标方法和标准，对其投标文件作进一步的比较与评价。</w:t>
      </w:r>
    </w:p>
    <w:p w14:paraId="105932B2">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17.</w:t>
      </w:r>
      <w:r>
        <w:rPr>
          <w:rFonts w:hint="eastAsia" w:ascii="宋体" w:hAnsi="宋体" w:eastAsia="宋体" w:cs="宋体"/>
          <w:color w:val="auto"/>
          <w:sz w:val="24"/>
          <w:highlight w:val="none"/>
        </w:rPr>
        <w:t>2评标严格按照招标文件的要求和条件进行。根据实际情况，在</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中规定采用下列一种评标方法，详细评标方法和标准见招标文件第四章：</w:t>
      </w:r>
    </w:p>
    <w:p w14:paraId="4C2DA4EE">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（1）最低评标价法，是指投标文件满足招标文件全部实质性要求，且投标报价最低的投标人为中标候选人的评标方法。</w:t>
      </w:r>
    </w:p>
    <w:p w14:paraId="618898F1">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（2）综合评分法，是指投标文件满足招标文件全部实质性要求，且按照评审因素的量化指标评审得分最高的投标人为中标候选人的评标方法。</w:t>
      </w:r>
    </w:p>
    <w:p w14:paraId="20CBF57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17.</w:t>
      </w:r>
      <w:r>
        <w:rPr>
          <w:rFonts w:hint="eastAsia" w:ascii="宋体" w:hAnsi="宋体" w:eastAsia="宋体" w:cs="宋体"/>
          <w:color w:val="auto"/>
          <w:sz w:val="24"/>
          <w:highlight w:val="none"/>
        </w:rPr>
        <w:t>3根据《政府采购促进中小企业发展管理办法》（财库〔2020〕46号）、《三部门联合发布关于促进残疾人就业政府采购政策的通知》（财库〔2017〕141号）和《财政部司法部关于政府采购支持监狱企业发展有关问题的通知》（财库〔2014〕68号）的规定，对满足价格扣除条件且在投标文件中提交了《中小企业声明函》、《残疾人福利性单位声明函》或省级以上监狱管理局、戒毒管理局（含新疆生产建设兵团）出具的属于监狱企业的证明文件的投标人，其投标报价按照</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中规定的标准扣除后的价格参与评审。对于同时属于小微企业、监狱企业或残疾人福利性单位的，不重复进行投标报价扣除。</w:t>
      </w:r>
    </w:p>
    <w:p w14:paraId="74569F4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接受大中型企业与小微企业组成联合体或者允许大中型企业向一家或者多家小微企业分包的，对于联合协议或者分包意向协议约定小微企业的合同份额占到合同总金额30%以上的，可给予联合体或者大中型企业的投标报价按照</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中规定的标准扣除后的价格参与评审。组成联合体或者接受分包的小微企业与联合体内其他企业、分包企业之间存在直接控股、管理关系的，不享受价格扣除优惠政策。</w:t>
      </w:r>
    </w:p>
    <w:p w14:paraId="0053F1E0">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以联合体形式参加政府采购活动，联合体各方均为中小企业的，联合体视同中小企业。其中，联合体各方均为小微企业的，联合体视同小微企业。</w:t>
      </w:r>
    </w:p>
    <w:p w14:paraId="1F08F51F">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18</w:t>
      </w:r>
      <w:r>
        <w:rPr>
          <w:rFonts w:hint="eastAsia" w:ascii="宋体" w:hAnsi="宋体" w:eastAsia="宋体" w:cs="宋体"/>
          <w:b/>
          <w:color w:val="auto"/>
          <w:sz w:val="24"/>
          <w:highlight w:val="none"/>
        </w:rPr>
        <w:t>.废标、重新招标与变更采购方式</w:t>
      </w:r>
    </w:p>
    <w:p w14:paraId="0C7370AB">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18</w:t>
      </w:r>
      <w:r>
        <w:rPr>
          <w:rFonts w:hint="eastAsia" w:ascii="宋体" w:hAnsi="宋体" w:eastAsia="宋体" w:cs="宋体"/>
          <w:color w:val="auto"/>
          <w:sz w:val="24"/>
          <w:highlight w:val="none"/>
        </w:rPr>
        <w:t>.1出现下列情形之一，将导致项目废标：</w:t>
      </w:r>
    </w:p>
    <w:p w14:paraId="3E1A587C">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（1）符合专业条件的供应商或者对招标文件做实质性响应的供应商不足规定数量的；</w:t>
      </w:r>
    </w:p>
    <w:p w14:paraId="4608A06A">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（2）出现影响采购公正的违法、违规行为的；</w:t>
      </w:r>
    </w:p>
    <w:p w14:paraId="2A611752">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（3）投标人的报价均超过了采购预算，采购人不能支付的；</w:t>
      </w:r>
    </w:p>
    <w:p w14:paraId="41675E75">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（4）因重大变故，采购任务取消的。</w:t>
      </w:r>
    </w:p>
    <w:p w14:paraId="31C78906">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18</w:t>
      </w:r>
      <w:r>
        <w:rPr>
          <w:rFonts w:hint="eastAsia" w:ascii="宋体" w:hAnsi="宋体" w:eastAsia="宋体" w:cs="宋体"/>
          <w:color w:val="auto"/>
          <w:sz w:val="24"/>
          <w:highlight w:val="none"/>
        </w:rPr>
        <w:t>.2公开招标数额标准以上的采购项目，投标截止后投标人不足3家或者通过资格审查或符合性审查的投标人不足3家的，除采购任务取消情形外，按照以下方式处理：</w:t>
      </w:r>
    </w:p>
    <w:p w14:paraId="1BFDE4E6">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（1）招标文件存在不合理条款或者招标程序不符合规定的，采购人、采购代理机构改正后依法重新招标；</w:t>
      </w:r>
    </w:p>
    <w:p w14:paraId="6FFA69F9">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（2）招标文件没有不合理条款、招标程序符合规定，需要采用其他采购方式采购的，采购人应当依法报</w:t>
      </w:r>
      <w:r>
        <w:rPr>
          <w:rFonts w:hint="eastAsia" w:ascii="宋体" w:hAnsi="宋体" w:eastAsia="宋体" w:cs="宋体"/>
          <w:b w:val="0"/>
          <w:bCs w:val="0"/>
          <w:color w:val="000000"/>
          <w:kern w:val="2"/>
          <w:sz w:val="24"/>
          <w:szCs w:val="24"/>
          <w:highlight w:val="none"/>
          <w:u w:val="none"/>
          <w:lang w:val="en-US" w:eastAsia="zh-CN" w:bidi="ar-SA"/>
        </w:rPr>
        <w:t>政府采购监督管理部门</w:t>
      </w:r>
      <w:r>
        <w:rPr>
          <w:rFonts w:hint="eastAsia" w:ascii="宋体" w:hAnsi="宋体" w:eastAsia="宋体" w:cs="宋体"/>
          <w:color w:val="auto"/>
          <w:sz w:val="24"/>
          <w:highlight w:val="none"/>
        </w:rPr>
        <w:t>批准。</w:t>
      </w:r>
    </w:p>
    <w:p w14:paraId="06024E13">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19</w:t>
      </w:r>
      <w:r>
        <w:rPr>
          <w:rFonts w:hint="eastAsia" w:ascii="宋体" w:hAnsi="宋体" w:eastAsia="宋体" w:cs="宋体"/>
          <w:b/>
          <w:color w:val="auto"/>
          <w:sz w:val="24"/>
          <w:highlight w:val="none"/>
        </w:rPr>
        <w:t>.保密要求</w:t>
      </w:r>
    </w:p>
    <w:p w14:paraId="44FFF84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19</w:t>
      </w:r>
      <w:r>
        <w:rPr>
          <w:rFonts w:hint="eastAsia" w:ascii="宋体" w:hAnsi="宋体" w:eastAsia="宋体" w:cs="宋体"/>
          <w:color w:val="auto"/>
          <w:sz w:val="24"/>
          <w:highlight w:val="none"/>
        </w:rPr>
        <w:t>.1评标将在严格保密的情况下进行。</w:t>
      </w:r>
    </w:p>
    <w:p w14:paraId="555AA9AE">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19</w:t>
      </w:r>
      <w:r>
        <w:rPr>
          <w:rFonts w:hint="eastAsia" w:ascii="宋体" w:hAnsi="宋体" w:eastAsia="宋体" w:cs="宋体"/>
          <w:color w:val="auto"/>
          <w:sz w:val="24"/>
          <w:highlight w:val="none"/>
        </w:rPr>
        <w:t>.2有关人员应当遵守评标工作纪律，不得泄露评标文件、评标情况和评标中获悉的国家秘密、商业秘密。</w:t>
      </w:r>
    </w:p>
    <w:p w14:paraId="711894BA">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0</w:t>
      </w:r>
      <w:r>
        <w:rPr>
          <w:rFonts w:hint="eastAsia" w:ascii="宋体" w:hAnsi="宋体" w:eastAsia="宋体" w:cs="宋体"/>
          <w:b/>
          <w:color w:val="auto"/>
          <w:sz w:val="24"/>
          <w:highlight w:val="none"/>
        </w:rPr>
        <w:t>.中标候选人的确定原则及标准</w:t>
      </w:r>
    </w:p>
    <w:p w14:paraId="2406352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.1评标委员会依据本项目招标文件所约定的评标方法，对实质上响应招标文件的投标人按下列方法进行排序，确定中标候选人：</w:t>
      </w:r>
    </w:p>
    <w:p w14:paraId="7C61509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采用最低评标价法的，除了算术修正和落实政府采购政策需进行的价格扣除外，不对投标人的投标价格进行任何调整。评标结果按修正和扣除后的投标报价由低到高顺序排列。修正和扣除后的投标报价出现两家或两家以上相同者，则所投产品为节能产品、环境标志产品、不发达地区或少数民族地区产品者优先；若报价相同且所投产品同为节能产品、环境标志产品、不发达地区或少数民族地区产品的，则采取评标委员会随机抽取的方式确定中标候选顺序。</w:t>
      </w:r>
    </w:p>
    <w:p w14:paraId="02398BA8">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采用综合评分法的，评标结果按评审后得分由高到低顺序排列。得分相同的，按投标报价由低到高顺序排列。得分与投标报价均相同的，则所投产品为节能产品、环境标志产品、不发达地区或少数民族地区产品者优先；若得分与投标报价均相同且所投产品同为节能产品、环境标志产品、不发达地区或少数民族地区产品的，则采取评标委员会随机抽取的方式确定中标候选顺序。</w:t>
      </w:r>
    </w:p>
    <w:p w14:paraId="42F9BC7C">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.确定中标候选人和中标人</w:t>
      </w:r>
    </w:p>
    <w:p w14:paraId="5632BF50">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.1评标委员会将根据评标标准，按</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中规定数量推荐中标候选人。</w:t>
      </w:r>
    </w:p>
    <w:p w14:paraId="281758AE">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.2按</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中规定，由评标委员会或采购人确定中标人。</w:t>
      </w:r>
    </w:p>
    <w:p w14:paraId="6811EA05">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.3因重大变故采购任务取消时，采购人有权拒绝任何投标人中标，且对受影响的投标人不承担任何责任。</w:t>
      </w:r>
    </w:p>
    <w:p w14:paraId="136B0D86">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.编写评标报告</w:t>
      </w:r>
    </w:p>
    <w:p w14:paraId="0BC5D8E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339504D9">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.中标结果公告</w:t>
      </w:r>
    </w:p>
    <w:p w14:paraId="47B75CE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.1除</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由评标委员会直接确定中标人外，在评标结束后2个工作日内，采购代理机构将评标报告送采购人。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0E1BBE44">
      <w:pPr>
        <w:spacing w:line="360" w:lineRule="auto"/>
        <w:ind w:firstLine="435"/>
        <w:rPr>
          <w:rFonts w:hint="eastAsia" w:ascii="宋体" w:hAnsi="宋体" w:eastAsia="宋体" w:cs="宋体"/>
          <w:color w:val="auto"/>
          <w:sz w:val="24"/>
          <w:szCs w:val="18"/>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.2</w:t>
      </w:r>
      <w:r>
        <w:rPr>
          <w:rFonts w:hint="eastAsia" w:ascii="宋体" w:hAnsi="宋体" w:eastAsia="宋体" w:cs="宋体"/>
          <w:color w:val="auto"/>
          <w:sz w:val="24"/>
          <w:szCs w:val="18"/>
          <w:highlight w:val="none"/>
        </w:rPr>
        <w:t>自中标人确定之日起2个工作日内，采购代理机构将在安徽省政府采购网（www.ccgp-anhui.gov.cn）上发布中标结果公告。</w:t>
      </w:r>
    </w:p>
    <w:p w14:paraId="62B4765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3中标结果公告内容应当包括采购人及其委托的采购代理机构的名称、地址、联系方式，项目名称和项目编号，中标人名称、地址和中标金额，主要中标标的的名称、规格型号、数量、单价、服务要求，中标公告期限、评审专家名单以及</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中约定进行公告的内容。中标公告期限为1个工作日。</w:t>
      </w:r>
    </w:p>
    <w:p w14:paraId="1D248018">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.中标通知书</w:t>
      </w:r>
    </w:p>
    <w:p w14:paraId="5456017B">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.1采购代理机构发布中标结果公告</w:t>
      </w:r>
      <w:r>
        <w:rPr>
          <w:rFonts w:hint="eastAsia" w:ascii="宋体" w:hAnsi="宋体" w:eastAsia="宋体" w:cs="宋体"/>
          <w:iCs/>
          <w:color w:val="auto"/>
          <w:sz w:val="24"/>
          <w:highlight w:val="none"/>
        </w:rPr>
        <w:t>的</w:t>
      </w:r>
      <w:r>
        <w:rPr>
          <w:rFonts w:hint="eastAsia" w:ascii="宋体" w:hAnsi="宋体" w:eastAsia="宋体" w:cs="宋体"/>
          <w:color w:val="auto"/>
          <w:sz w:val="24"/>
          <w:highlight w:val="none"/>
        </w:rPr>
        <w:t>同时以</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规定的形式向中标人发出中标通知书。</w:t>
      </w:r>
    </w:p>
    <w:p w14:paraId="4C30CD81">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.2中标通知书对采购人和中标人具有同等法律效力。中标通知书发出以后，采购人改变中标结果或者中标人放弃中标，应当承担相应的法律责任。</w:t>
      </w:r>
    </w:p>
    <w:p w14:paraId="605241F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.3中标通知书是合同的组成部分。</w:t>
      </w:r>
    </w:p>
    <w:p w14:paraId="7BA9CEF1">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25</w:t>
      </w:r>
      <w:r>
        <w:rPr>
          <w:rFonts w:hint="eastAsia" w:ascii="宋体" w:hAnsi="宋体" w:eastAsia="宋体" w:cs="宋体"/>
          <w:b/>
          <w:color w:val="auto"/>
          <w:sz w:val="24"/>
          <w:highlight w:val="none"/>
        </w:rPr>
        <w:t>.告知招标结果</w:t>
      </w:r>
    </w:p>
    <w:p w14:paraId="3919389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.1在公告中标结果的同时，采购代理机构同时以</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规定的形式告知未通过资格审查的投标人未通过的原因；采用综合评分法评审的，还将告知未中标人本人的评审得分和排序。</w:t>
      </w:r>
    </w:p>
    <w:p w14:paraId="701A6612">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26</w:t>
      </w:r>
      <w:r>
        <w:rPr>
          <w:rFonts w:hint="eastAsia" w:ascii="宋体" w:hAnsi="宋体" w:eastAsia="宋体" w:cs="宋体"/>
          <w:b/>
          <w:color w:val="auto"/>
          <w:sz w:val="24"/>
          <w:highlight w:val="none"/>
        </w:rPr>
        <w:t>.履约保证金</w:t>
      </w:r>
    </w:p>
    <w:p w14:paraId="5EED97B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26</w:t>
      </w:r>
      <w:r>
        <w:rPr>
          <w:rFonts w:hint="eastAsia" w:ascii="宋体" w:hAnsi="宋体" w:eastAsia="宋体" w:cs="宋体"/>
          <w:color w:val="auto"/>
          <w:sz w:val="24"/>
          <w:highlight w:val="none"/>
        </w:rPr>
        <w:t>.1中标人应按照</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规定缴纳履约保证金。</w:t>
      </w:r>
    </w:p>
    <w:p w14:paraId="5B25450D">
      <w:pPr>
        <w:spacing w:line="360" w:lineRule="auto"/>
        <w:ind w:firstLine="435"/>
        <w:rPr>
          <w:rFonts w:hint="eastAsia" w:ascii="宋体" w:hAnsi="宋体" w:eastAsia="宋体" w:cs="宋体"/>
          <w:b/>
          <w:color w:val="auto"/>
          <w:sz w:val="24"/>
          <w:highlight w:val="none"/>
        </w:rPr>
      </w:pPr>
      <w:r>
        <w:rPr>
          <w:rFonts w:hint="eastAsia" w:ascii="宋体" w:hAnsi="宋体" w:eastAsia="宋体" w:cs="宋体"/>
          <w:color w:val="auto"/>
          <w:sz w:val="24"/>
          <w:highlight w:val="none"/>
          <w:lang w:val="en-US" w:eastAsia="zh-CN"/>
        </w:rPr>
        <w:t>26</w:t>
      </w:r>
      <w:r>
        <w:rPr>
          <w:rFonts w:hint="eastAsia" w:ascii="宋体" w:hAnsi="宋体" w:eastAsia="宋体" w:cs="宋体"/>
          <w:color w:val="auto"/>
          <w:sz w:val="24"/>
          <w:highlight w:val="none"/>
        </w:rPr>
        <w:t>.2如果中标人没有按照上述履约保证金的规定执行，将视为放弃中标资格。在此情况下，采购人可确定下一中标候选人为中标人，也可以重新开展采购活动。</w:t>
      </w:r>
    </w:p>
    <w:p w14:paraId="1DBF8EF4">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27</w:t>
      </w:r>
      <w:r>
        <w:rPr>
          <w:rFonts w:hint="eastAsia" w:ascii="宋体" w:hAnsi="宋体" w:eastAsia="宋体" w:cs="宋体"/>
          <w:b/>
          <w:color w:val="auto"/>
          <w:sz w:val="24"/>
          <w:highlight w:val="none"/>
        </w:rPr>
        <w:t>.签订合同</w:t>
      </w:r>
    </w:p>
    <w:p w14:paraId="7853363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27</w:t>
      </w:r>
      <w:r>
        <w:rPr>
          <w:rFonts w:hint="eastAsia" w:ascii="宋体" w:hAnsi="宋体" w:eastAsia="宋体" w:cs="宋体"/>
          <w:color w:val="auto"/>
          <w:sz w:val="24"/>
          <w:highlight w:val="none"/>
        </w:rPr>
        <w:t>.1</w:t>
      </w:r>
      <w:r>
        <w:rPr>
          <w:rFonts w:hint="eastAsia" w:ascii="宋体" w:hAnsi="宋体" w:eastAsia="宋体" w:cs="宋体"/>
          <w:color w:val="auto"/>
          <w:sz w:val="24"/>
          <w:szCs w:val="24"/>
          <w:highlight w:val="none"/>
          <w:u w:val="none"/>
          <w:lang w:val="en-US" w:eastAsia="zh-CN"/>
        </w:rPr>
        <w:t>采购人与中标人应当按照</w:t>
      </w:r>
      <w:r>
        <w:rPr>
          <w:rFonts w:hint="eastAsia" w:ascii="宋体" w:hAnsi="宋体" w:eastAsia="宋体" w:cs="宋体"/>
          <w:color w:val="auto"/>
          <w:sz w:val="24"/>
          <w:szCs w:val="24"/>
          <w:highlight w:val="none"/>
          <w:u w:val="single"/>
        </w:rPr>
        <w:t>投标人须知前附表</w:t>
      </w:r>
      <w:r>
        <w:rPr>
          <w:rFonts w:hint="eastAsia" w:ascii="宋体" w:hAnsi="宋体" w:eastAsia="宋体" w:cs="宋体"/>
          <w:color w:val="auto"/>
          <w:sz w:val="24"/>
          <w:szCs w:val="24"/>
          <w:highlight w:val="none"/>
          <w:u w:val="none"/>
        </w:rPr>
        <w:t>规定</w:t>
      </w:r>
      <w:r>
        <w:rPr>
          <w:rFonts w:hint="eastAsia" w:ascii="宋体" w:hAnsi="宋体" w:eastAsia="宋体" w:cs="宋体"/>
          <w:color w:val="auto"/>
          <w:sz w:val="24"/>
          <w:szCs w:val="24"/>
          <w:highlight w:val="none"/>
          <w:lang w:val="en-US" w:eastAsia="zh-CN"/>
        </w:rPr>
        <w:t>的时间内完成政府采购合同签订及合同公告。</w:t>
      </w:r>
    </w:p>
    <w:p w14:paraId="4D82E38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27</w:t>
      </w:r>
      <w:r>
        <w:rPr>
          <w:rFonts w:hint="eastAsia" w:ascii="宋体" w:hAnsi="宋体" w:eastAsia="宋体" w:cs="宋体"/>
          <w:color w:val="auto"/>
          <w:sz w:val="24"/>
          <w:highlight w:val="none"/>
        </w:rPr>
        <w:t>.2招标文件、中标人的投标文件及其澄清文件等，均为签订合同的依据。</w:t>
      </w:r>
    </w:p>
    <w:p w14:paraId="6715523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2</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3中标人拒绝与采购人签订合同的，采购人可以按照评审报告推荐的中标候选人名单排序，确定下一中标候选人为中标人，也可以重新开展政府采购活动。</w:t>
      </w:r>
    </w:p>
    <w:p w14:paraId="63BB338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2</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依据《政府采购促进中小企业发展管理办法》（财库〔2020〕46号）规定享受扶持政策获得政府采购合同的，小微企业不得将合同分包给大中型企业，中型企业不得将合同分包给大型企业。</w:t>
      </w:r>
    </w:p>
    <w:p w14:paraId="16928A1B">
      <w:pPr>
        <w:spacing w:line="360" w:lineRule="auto"/>
        <w:ind w:firstLine="437"/>
        <w:outlineLvl w:val="2"/>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28</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代理费用</w:t>
      </w:r>
    </w:p>
    <w:p w14:paraId="4D38E14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28</w:t>
      </w:r>
      <w:r>
        <w:rPr>
          <w:rFonts w:hint="eastAsia" w:ascii="宋体" w:hAnsi="宋体" w:eastAsia="宋体" w:cs="宋体"/>
          <w:color w:val="auto"/>
          <w:sz w:val="24"/>
          <w:highlight w:val="none"/>
        </w:rPr>
        <w:t>.1本项目</w:t>
      </w:r>
      <w:r>
        <w:rPr>
          <w:rFonts w:hint="eastAsia" w:ascii="宋体" w:hAnsi="宋体" w:eastAsia="宋体" w:cs="宋体"/>
          <w:color w:val="auto"/>
          <w:sz w:val="24"/>
          <w:highlight w:val="none"/>
          <w:lang w:val="en-US" w:eastAsia="zh-CN"/>
        </w:rPr>
        <w:t>代理费用</w:t>
      </w:r>
      <w:r>
        <w:rPr>
          <w:rFonts w:hint="eastAsia" w:ascii="宋体" w:hAnsi="宋体" w:eastAsia="宋体" w:cs="宋体"/>
          <w:color w:val="auto"/>
          <w:sz w:val="24"/>
          <w:highlight w:val="none"/>
        </w:rPr>
        <w:t>的收取按</w:t>
      </w:r>
      <w:r>
        <w:rPr>
          <w:rFonts w:hint="eastAsia" w:ascii="宋体" w:hAnsi="宋体" w:eastAsia="宋体" w:cs="宋体"/>
          <w:color w:val="auto"/>
          <w:sz w:val="24"/>
          <w:highlight w:val="none"/>
          <w:u w:val="single"/>
        </w:rPr>
        <w:t>投标人须知前附表的</w:t>
      </w:r>
      <w:r>
        <w:rPr>
          <w:rFonts w:hint="eastAsia" w:ascii="宋体" w:hAnsi="宋体" w:eastAsia="宋体" w:cs="宋体"/>
          <w:color w:val="auto"/>
          <w:sz w:val="24"/>
          <w:highlight w:val="none"/>
        </w:rPr>
        <w:t>规定执行。</w:t>
      </w:r>
    </w:p>
    <w:p w14:paraId="21990EEC">
      <w:pPr>
        <w:spacing w:line="360" w:lineRule="auto"/>
        <w:ind w:firstLine="437"/>
        <w:outlineLvl w:val="2"/>
        <w:rPr>
          <w:rFonts w:hint="eastAsia" w:ascii="宋体" w:hAnsi="宋体" w:eastAsia="宋体" w:cs="宋体"/>
          <w:b/>
          <w:color w:val="auto"/>
          <w:sz w:val="24"/>
          <w:highlight w:val="none"/>
        </w:rPr>
      </w:pPr>
      <w:bookmarkStart w:id="26" w:name="_Toc2583661"/>
      <w:bookmarkStart w:id="27" w:name="_Toc518923100"/>
      <w:r>
        <w:rPr>
          <w:rFonts w:hint="eastAsia" w:ascii="宋体" w:hAnsi="宋体" w:eastAsia="宋体" w:cs="宋体"/>
          <w:b/>
          <w:color w:val="auto"/>
          <w:sz w:val="24"/>
          <w:highlight w:val="none"/>
          <w:lang w:eastAsia="zh-CN"/>
        </w:rPr>
        <w:t>29.</w:t>
      </w:r>
      <w:r>
        <w:rPr>
          <w:rFonts w:hint="eastAsia" w:ascii="宋体" w:hAnsi="宋体" w:eastAsia="宋体" w:cs="宋体"/>
          <w:b/>
          <w:color w:val="auto"/>
          <w:sz w:val="24"/>
          <w:highlight w:val="none"/>
        </w:rPr>
        <w:t>廉洁自律规定</w:t>
      </w:r>
      <w:bookmarkEnd w:id="26"/>
      <w:bookmarkEnd w:id="27"/>
    </w:p>
    <w:p w14:paraId="69343AE5">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29.</w:t>
      </w:r>
      <w:r>
        <w:rPr>
          <w:rFonts w:hint="eastAsia" w:ascii="宋体" w:hAnsi="宋体" w:eastAsia="宋体" w:cs="宋体"/>
          <w:color w:val="auto"/>
          <w:sz w:val="24"/>
          <w:highlight w:val="none"/>
        </w:rPr>
        <w:t>1采购代理机构工作人员不得以不正当手段获取政府采购代理业务，不得与采购人、供应商恶意串通。</w:t>
      </w:r>
    </w:p>
    <w:p w14:paraId="065A7255">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29.</w:t>
      </w:r>
      <w:r>
        <w:rPr>
          <w:rFonts w:hint="eastAsia" w:ascii="宋体" w:hAnsi="宋体" w:eastAsia="宋体" w:cs="宋体"/>
          <w:color w:val="auto"/>
          <w:sz w:val="24"/>
          <w:highlight w:val="none"/>
        </w:rPr>
        <w:t>2采购代理机构工作人员不得接受采购人或者供应商组织的宴请、旅游、娱乐，不得收受礼品、现金、有价证券等，不得向采购人或者供应商报销应当由个人承担的费用。</w:t>
      </w:r>
    </w:p>
    <w:p w14:paraId="0C3BD617">
      <w:pPr>
        <w:spacing w:line="360" w:lineRule="auto"/>
        <w:ind w:firstLine="437"/>
        <w:outlineLvl w:val="2"/>
        <w:rPr>
          <w:rFonts w:hint="eastAsia" w:ascii="宋体" w:hAnsi="宋体" w:eastAsia="宋体" w:cs="宋体"/>
          <w:b/>
          <w:color w:val="auto"/>
          <w:sz w:val="24"/>
          <w:highlight w:val="none"/>
        </w:rPr>
      </w:pPr>
      <w:bookmarkStart w:id="28" w:name="_Toc2583662"/>
      <w:bookmarkStart w:id="29" w:name="_Toc518923101"/>
      <w:r>
        <w:rPr>
          <w:rFonts w:hint="eastAsia" w:ascii="宋体" w:hAnsi="宋体" w:eastAsia="宋体" w:cs="宋体"/>
          <w:b/>
          <w:color w:val="auto"/>
          <w:sz w:val="24"/>
          <w:highlight w:val="none"/>
        </w:rPr>
        <w:t>3</w:t>
      </w:r>
      <w:r>
        <w:rPr>
          <w:rFonts w:hint="eastAsia" w:ascii="宋体" w:hAnsi="宋体" w:eastAsia="宋体" w:cs="宋体"/>
          <w:b/>
          <w:color w:val="auto"/>
          <w:sz w:val="24"/>
          <w:highlight w:val="none"/>
          <w:lang w:val="en-US" w:eastAsia="zh-CN"/>
        </w:rPr>
        <w:t>0</w:t>
      </w:r>
      <w:r>
        <w:rPr>
          <w:rFonts w:hint="eastAsia" w:ascii="宋体" w:hAnsi="宋体" w:eastAsia="宋体" w:cs="宋体"/>
          <w:b/>
          <w:color w:val="auto"/>
          <w:sz w:val="24"/>
          <w:highlight w:val="none"/>
        </w:rPr>
        <w:t>.人员回避</w:t>
      </w:r>
      <w:bookmarkEnd w:id="28"/>
      <w:bookmarkEnd w:id="29"/>
    </w:p>
    <w:p w14:paraId="64E38AE0">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投标人认为采购人员及其相关人员有法律法规所列与其他供应商有利害关系的，可以向采购人或采购代理机构书面提出回避申请，并说明理由。</w:t>
      </w:r>
    </w:p>
    <w:p w14:paraId="6AEDB236">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.质疑的提出与接收</w:t>
      </w:r>
    </w:p>
    <w:p w14:paraId="34449ED5">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.1投标人认为招标文件、招标过程和中标结果使自己的权益受到损害的，可以在知道或者应知其权益受到损害之日起七个工作日内，以书面形式向采购人或其委托的采购代理机构提出质疑。</w:t>
      </w:r>
    </w:p>
    <w:p w14:paraId="01CEFB4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质疑供应商应按照财政部制定的《政府采购供应商质疑函范本》格式（详见招标文件）和《政府采购质疑和投诉办法》的要求，在法定质疑期内以书面形式提出质疑，超出法定质疑期提交的质疑将被拒绝。针对同一采购程序环节的质疑应一次性提出。</w:t>
      </w:r>
    </w:p>
    <w:p w14:paraId="24389AD1">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采购代理机构质疑函接收部门、联系电话和通讯地址，见</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w:t>
      </w:r>
    </w:p>
    <w:p w14:paraId="1702E585">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注：上述条款中所要求的书面形式包含通过电子交易系统递交方式。</w:t>
      </w:r>
    </w:p>
    <w:p w14:paraId="3D2E321B">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.需要补充的其他内容</w:t>
      </w:r>
    </w:p>
    <w:p w14:paraId="6A2F2A06">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需要补充的其他内容，见</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w:t>
      </w:r>
    </w:p>
    <w:p w14:paraId="0702666B">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01B8015D">
      <w:pPr>
        <w:keepNext w:val="0"/>
        <w:keepLines w:val="0"/>
        <w:widowControl/>
        <w:suppressLineNumbers w:val="0"/>
        <w:jc w:val="center"/>
        <w:rPr>
          <w:rFonts w:hint="eastAsia" w:ascii="宋体" w:hAnsi="宋体" w:eastAsia="宋体" w:cs="宋体"/>
          <w:b/>
          <w:bCs/>
          <w:sz w:val="24"/>
          <w:szCs w:val="24"/>
          <w:highlight w:val="none"/>
        </w:rPr>
      </w:pPr>
      <w:r>
        <w:rPr>
          <w:rFonts w:hint="eastAsia" w:ascii="宋体" w:hAnsi="宋体" w:eastAsia="宋体" w:cs="宋体"/>
          <w:b/>
          <w:bCs/>
          <w:color w:val="000000"/>
          <w:kern w:val="0"/>
          <w:sz w:val="28"/>
          <w:szCs w:val="28"/>
          <w:highlight w:val="none"/>
          <w:lang w:val="en-US" w:eastAsia="zh-CN" w:bidi="ar"/>
        </w:rPr>
        <w:t>附 电子交易系统操作指南</w:t>
      </w:r>
    </w:p>
    <w:p w14:paraId="4711218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1.电子招投标 </w:t>
      </w:r>
    </w:p>
    <w:p w14:paraId="212FFB21">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本项目以数据电文形式，依托“徽采云”电子交易系统进行招投标活动。 </w:t>
      </w:r>
    </w:p>
    <w:p w14:paraId="5AB0585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2.投标准备 </w:t>
      </w:r>
    </w:p>
    <w:p w14:paraId="04D6A2BA">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注册账号--详情参见“徽采云”平台供应商注册与配置手册“第2章入驻操作流程”（https://sitecdn.zcycdn.com/f2e-assets/a2d7b18f-adb6-47d9-8fb3-cb8632b8fff </w:t>
      </w:r>
    </w:p>
    <w:p w14:paraId="6661DB3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c.pdf?utm=a0017.b1884.cl28.topic.1a7c2150533811ed990f05d85dda49f6）； </w:t>
      </w:r>
    </w:p>
    <w:p w14:paraId="1C633CE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申领CA数字证书---申领流程详见“安徽省政府采购网-下载专区-其他-供应商CA驱动下载-安徽省各市CA办理服务指南（已有安徽CA和翔晟CA无需重复申领）；安装“徽采云”投标客户端--前往“安徽省政府采购网-下载专区-电子交易系统专区”进行下载并安装 （http://www.ccgp-anhui.gov.cn/anhuiCategory15/anhuiCategory119/9396667. html）。 </w:t>
      </w:r>
    </w:p>
    <w:p w14:paraId="51459DA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3.招标文件的获取 </w:t>
      </w:r>
    </w:p>
    <w:p w14:paraId="69A4B2E5">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使用CA登录“徽采云”电子交易系统，进入“项目采购”应用，在获取采购文件菜单中选择项目，获取招标文件。 </w:t>
      </w:r>
    </w:p>
    <w:p w14:paraId="6E9F7DD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4.投标文件的制作 </w:t>
      </w:r>
    </w:p>
    <w:p w14:paraId="3D927801">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在“徽采云投标客户端”中完成“填写基本信息”、“制作和导入投标（响应）文件”、“标书关联”、“标书检查”、“电子签名”、“生成电子标书”等操作。 </w:t>
      </w:r>
    </w:p>
    <w:p w14:paraId="4A46D7C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5.投标文件的上传 </w:t>
      </w:r>
    </w:p>
    <w:p w14:paraId="0AF9CD1E">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使用CA登录“徽采云”电子交易系统，进入“项目采购”应用，在投标文件上传菜单中选择项目，上传加密的投标文件（*.jmbs）。 </w:t>
      </w:r>
    </w:p>
    <w:p w14:paraId="52EB76E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6.投标文件的解密 </w:t>
      </w:r>
    </w:p>
    <w:p w14:paraId="447658DF">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投标人按照系统提示和招标文件规定，在规定时间内完成在线解密。 </w:t>
      </w:r>
    </w:p>
    <w:p w14:paraId="42902DB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7.其他 </w:t>
      </w:r>
    </w:p>
    <w:p w14:paraId="5BB515D7">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“徽采云”电子交易系统具体操作指南：详见安徽省政府采购网-徽采学院-电子交易系统学习专题-供应商-操作手册。</w:t>
      </w:r>
    </w:p>
    <w:p w14:paraId="3B723799">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CA问题联系电话：安徽 CA 400-880-4959；翔晟 CA 0551-68105136。</w:t>
      </w:r>
    </w:p>
    <w:p w14:paraId="57B01301">
      <w:pPr>
        <w:widowControl/>
        <w:jc w:val="left"/>
        <w:rPr>
          <w:rFonts w:hint="eastAsia" w:ascii="宋体" w:hAnsi="宋体" w:eastAsia="宋体" w:cs="宋体"/>
          <w:b/>
          <w:color w:val="auto"/>
          <w:sz w:val="28"/>
          <w:highlight w:val="none"/>
        </w:rPr>
      </w:pPr>
      <w:r>
        <w:rPr>
          <w:rFonts w:hint="eastAsia" w:ascii="宋体" w:hAnsi="宋体" w:eastAsia="宋体" w:cs="宋体"/>
          <w:color w:val="auto"/>
          <w:sz w:val="24"/>
          <w:highlight w:val="none"/>
        </w:rPr>
        <w:br w:type="page"/>
      </w:r>
    </w:p>
    <w:p w14:paraId="2E3B6483">
      <w:pPr>
        <w:spacing w:line="360" w:lineRule="auto"/>
        <w:jc w:val="center"/>
        <w:outlineLvl w:val="0"/>
        <w:rPr>
          <w:rFonts w:hint="eastAsia" w:ascii="宋体" w:hAnsi="宋体" w:eastAsia="宋体" w:cs="宋体"/>
          <w:b/>
          <w:color w:val="auto"/>
          <w:sz w:val="28"/>
          <w:highlight w:val="none"/>
          <w:lang w:eastAsia="zh-CN"/>
        </w:rPr>
      </w:pPr>
      <w:bookmarkStart w:id="30" w:name="_Toc10891"/>
      <w:r>
        <w:rPr>
          <w:rFonts w:hint="eastAsia" w:ascii="宋体" w:hAnsi="宋体" w:eastAsia="宋体" w:cs="宋体"/>
          <w:b/>
          <w:color w:val="auto"/>
          <w:sz w:val="28"/>
          <w:highlight w:val="none"/>
        </w:rPr>
        <w:t>第三章  采购需求</w:t>
      </w:r>
      <w:bookmarkEnd w:id="30"/>
    </w:p>
    <w:p w14:paraId="089A5771">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前注：</w:t>
      </w:r>
    </w:p>
    <w:p w14:paraId="296A8E43">
      <w:pPr>
        <w:spacing w:line="360" w:lineRule="auto"/>
        <w:ind w:firstLine="435"/>
        <w:rPr>
          <w:rFonts w:hint="eastAsia" w:ascii="宋体" w:hAnsi="宋体" w:eastAsia="宋体" w:cs="宋体"/>
          <w:color w:val="auto"/>
          <w:sz w:val="24"/>
          <w:szCs w:val="18"/>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szCs w:val="18"/>
          <w:highlight w:val="none"/>
        </w:rPr>
        <w:t>根据《政府采购进口产品管理办法》及政府采购管理部门的相关规定，下列采购需求中标注进口产品的货物均已履行相关论证手续，经核准采购进口产品，但不限制满足招标文件要求的国内产品参与竞争。未标注进口产品的货物均为拒绝采购进口产品。</w:t>
      </w:r>
    </w:p>
    <w:p w14:paraId="4A6C8F37">
      <w:pPr>
        <w:spacing w:line="360" w:lineRule="auto"/>
        <w:ind w:firstLine="435"/>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2</w:t>
      </w:r>
      <w:r>
        <w:rPr>
          <w:rFonts w:hint="eastAsia" w:ascii="宋体" w:hAnsi="宋体" w:eastAsia="宋体" w:cs="宋体"/>
          <w:color w:val="auto"/>
          <w:sz w:val="24"/>
          <w:szCs w:val="18"/>
          <w:highlight w:val="none"/>
          <w:lang w:eastAsia="zh-CN"/>
        </w:rPr>
        <w:t>.</w:t>
      </w:r>
      <w:r>
        <w:rPr>
          <w:rFonts w:hint="eastAsia" w:ascii="宋体" w:hAnsi="宋体" w:eastAsia="宋体" w:cs="宋体"/>
          <w:sz w:val="24"/>
          <w:szCs w:val="24"/>
          <w:highlight w:val="none"/>
        </w:rPr>
        <w:t>政府采购政策（包括但不限于下列具体政策要求</w:t>
      </w:r>
      <w:r>
        <w:rPr>
          <w:rFonts w:hint="eastAsia" w:ascii="宋体" w:hAnsi="宋体" w:eastAsia="宋体" w:cs="宋体"/>
          <w:sz w:val="24"/>
          <w:szCs w:val="24"/>
          <w:highlight w:val="none"/>
          <w:lang w:eastAsia="zh-CN"/>
        </w:rPr>
        <w:t>）</w:t>
      </w:r>
      <w:r>
        <w:rPr>
          <w:rFonts w:hint="eastAsia" w:ascii="宋体" w:hAnsi="宋体" w:eastAsia="宋体" w:cs="宋体"/>
          <w:color w:val="auto"/>
          <w:sz w:val="24"/>
          <w:szCs w:val="18"/>
          <w:highlight w:val="none"/>
        </w:rPr>
        <w:t>：</w:t>
      </w:r>
    </w:p>
    <w:p w14:paraId="0E3A26E4">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786394E9">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10861872">
      <w:pPr>
        <w:spacing w:line="360" w:lineRule="auto"/>
        <w:ind w:firstLine="435"/>
        <w:rPr>
          <w:rFonts w:hint="eastAsia" w:ascii="宋体" w:hAnsi="宋体" w:eastAsia="宋体" w:cs="宋体"/>
          <w:color w:val="auto"/>
          <w:sz w:val="24"/>
          <w:szCs w:val="24"/>
          <w:highlight w:val="none"/>
        </w:rPr>
      </w:pPr>
      <w:bookmarkStart w:id="31" w:name="_Toc2554"/>
      <w:bookmarkStart w:id="32" w:name="_Toc32151"/>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本需求中提出的技术方案仅为参考，如无明确限制，投标人可以进行优化，提供满足用户实际需要的更优（或者性能实质上不低于的）技术方案或者设备配置，且此方案或配置须经评委会审核认可；</w:t>
      </w:r>
    </w:p>
    <w:p w14:paraId="6DFE05E8">
      <w:pPr>
        <w:spacing w:line="360" w:lineRule="auto"/>
        <w:ind w:firstLine="43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投标人应当在投标文件中列出完成本项目并通过验收所需的所有各项服务全部费用。中标人必须确保整体通过用户方及有关主管部门验收；投标人应自行踏勘施工建设现场，如投标人因未及时踏勘现场而导致的报价缺项漏项废标、或中标后无法完工，投标人自行承担一切后果； </w:t>
      </w:r>
    </w:p>
    <w:p w14:paraId="4AE92454">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如对本招标文件有任何疑问或澄清要求，请按本招标文件“投标人须知前附表”中的约定联系代理机构，或接受答疑截止时间前联系采购人。否则视同理解和接受。</w:t>
      </w:r>
    </w:p>
    <w:p w14:paraId="46603650">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mc:AlternateContent>
          <mc:Choice Requires="wps">
            <w:drawing>
              <wp:anchor distT="0" distB="0" distL="114300" distR="114300" simplePos="0" relativeHeight="251662336" behindDoc="0" locked="0" layoutInCell="1" allowOverlap="1">
                <wp:simplePos x="0" y="0"/>
                <wp:positionH relativeFrom="column">
                  <wp:posOffset>2135505</wp:posOffset>
                </wp:positionH>
                <wp:positionV relativeFrom="paragraph">
                  <wp:posOffset>944880</wp:posOffset>
                </wp:positionV>
                <wp:extent cx="381000" cy="190500"/>
                <wp:effectExtent l="13970" t="13970" r="24130" b="24130"/>
                <wp:wrapNone/>
                <wp:docPr id="1" name="矩形 22"/>
                <wp:cNvGraphicFramePr/>
                <a:graphic xmlns:a="http://schemas.openxmlformats.org/drawingml/2006/main">
                  <a:graphicData uri="http://schemas.microsoft.com/office/word/2010/wordprocessingShape">
                    <wps:wsp>
                      <wps:cNvSpPr/>
                      <wps:spPr>
                        <a:xfrm>
                          <a:off x="0" y="0"/>
                          <a:ext cx="381000" cy="190500"/>
                        </a:xfrm>
                        <a:prstGeom prst="rect">
                          <a:avLst/>
                        </a:prstGeom>
                        <a:solidFill>
                          <a:srgbClr val="FFFFFF">
                            <a:alpha val="0"/>
                          </a:srgbClr>
                        </a:solidFill>
                        <a:ln w="28575" cap="flat" cmpd="sng">
                          <a:solidFill>
                            <a:srgbClr val="FF0000"/>
                          </a:solidFill>
                          <a:prstDash val="solid"/>
                          <a:miter/>
                          <a:headEnd type="none" w="med" len="med"/>
                          <a:tailEnd type="none" w="med" len="med"/>
                        </a:ln>
                      </wps:spPr>
                      <wps:bodyPr vert="horz" wrap="square" anchor="t" anchorCtr="0" upright="1"/>
                    </wps:wsp>
                  </a:graphicData>
                </a:graphic>
              </wp:anchor>
            </w:drawing>
          </mc:Choice>
          <mc:Fallback>
            <w:pict>
              <v:rect id="矩形 22" o:spid="_x0000_s1026" o:spt="1" style="position:absolute;left:0pt;margin-left:168.15pt;margin-top:74.4pt;height:15pt;width:30pt;z-index:251662336;mso-width-relative:page;mso-height-relative:page;" fillcolor="#FFFFFF" filled="t" stroked="t" coordsize="21600,21600" o:gfxdata="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1GHo7ZAAAACwEAAA8AAAAAAAAAAQAgAAAAIgAAAGRycy9kb3ducmV2LnhtbFBLAQIUABQAAAAI&#10;AIdO4kCvEnpcJQIAAG8EAAAOAAAAAAAAAAEAIAAAACgBAABkcnMvZTJvRG9jLnhtbFBLBQYAAAAA&#10;BgAGAFkBAAC/BQAAAAA=&#10;">
                <v:fill on="t" opacity="0f" focussize="0,0"/>
                <v:stroke weight="2.25pt" color="#FF0000" joinstyle="miter"/>
                <v:imagedata o:title=""/>
                <o:lock v:ext="edit" aspectratio="f"/>
              </v:rect>
            </w:pict>
          </mc:Fallback>
        </mc:AlternateContent>
      </w:r>
      <w:r>
        <w:rPr>
          <w:rFonts w:hint="eastAsia" w:ascii="宋体" w:hAnsi="宋体" w:eastAsia="宋体" w:cs="宋体"/>
          <w:color w:val="auto"/>
          <w:sz w:val="24"/>
          <w:szCs w:val="24"/>
          <w:highlight w:val="none"/>
          <w:lang w:val="en-US"/>
        </w:rPr>
        <mc:AlternateContent>
          <mc:Choice Requires="wps">
            <w:drawing>
              <wp:anchor distT="0" distB="0" distL="114300" distR="114300" simplePos="0" relativeHeight="251663360" behindDoc="0" locked="0" layoutInCell="1" allowOverlap="1">
                <wp:simplePos x="0" y="0"/>
                <wp:positionH relativeFrom="column">
                  <wp:posOffset>4245610</wp:posOffset>
                </wp:positionH>
                <wp:positionV relativeFrom="paragraph">
                  <wp:posOffset>942975</wp:posOffset>
                </wp:positionV>
                <wp:extent cx="885825" cy="200025"/>
                <wp:effectExtent l="13970" t="13970" r="14605" b="14605"/>
                <wp:wrapNone/>
                <wp:docPr id="3" name="矩形 28"/>
                <wp:cNvGraphicFramePr/>
                <a:graphic xmlns:a="http://schemas.openxmlformats.org/drawingml/2006/main">
                  <a:graphicData uri="http://schemas.microsoft.com/office/word/2010/wordprocessingShape">
                    <wps:wsp>
                      <wps:cNvSpPr/>
                      <wps:spPr>
                        <a:xfrm>
                          <a:off x="0" y="0"/>
                          <a:ext cx="885825" cy="200025"/>
                        </a:xfrm>
                        <a:prstGeom prst="rect">
                          <a:avLst/>
                        </a:prstGeom>
                        <a:solidFill>
                          <a:srgbClr val="FFFFFF">
                            <a:alpha val="0"/>
                          </a:srgbClr>
                        </a:solidFill>
                        <a:ln w="28575" cap="flat" cmpd="sng">
                          <a:solidFill>
                            <a:srgbClr val="FF0000"/>
                          </a:solidFill>
                          <a:prstDash val="solid"/>
                          <a:miter/>
                          <a:headEnd type="none" w="med" len="med"/>
                          <a:tailEnd type="none" w="med" len="med"/>
                        </a:ln>
                      </wps:spPr>
                      <wps:bodyPr vert="horz" wrap="square" anchor="t" anchorCtr="0" upright="1"/>
                    </wps:wsp>
                  </a:graphicData>
                </a:graphic>
              </wp:anchor>
            </w:drawing>
          </mc:Choice>
          <mc:Fallback>
            <w:pict>
              <v:rect id="矩形 28" o:spid="_x0000_s1026" o:spt="1" style="position:absolute;left:0pt;margin-left:334.3pt;margin-top:74.25pt;height:15.75pt;width:69.75pt;z-index:251663360;mso-width-relative:page;mso-height-relative:page;" fillcolor="#FFFFFF" filled="t" stroked="t" coordsize="21600,21600" o:gfxdata="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LcrSbZAAAACwEAAA8AAAAAAAAAAQAgAAAAIgAAAGRycy9kb3ducmV2LnhtbFBLAQIUABQAAAAI&#10;AIdO4kCFx/hLJQIAAG8EAAAOAAAAAAAAAAEAIAAAACgBAABkcnMvZTJvRG9jLnhtbFBLBQYAAAAA&#10;BgAGAFkBAAC/BQAAAAA=&#10;">
                <v:fill on="t" opacity="0f" focussize="0,0"/>
                <v:stroke weight="2.25pt" color="#FF0000" joinstyle="miter"/>
                <v:imagedata o:title=""/>
                <o:lock v:ext="edit" aspectratio="f"/>
              </v:rect>
            </w:pict>
          </mc:Fallback>
        </mc:AlternateConten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本项目采购需求所涉及需要提供材料的</w:t>
      </w:r>
      <w:r>
        <w:rPr>
          <w:rFonts w:hint="eastAsia" w:ascii="宋体" w:hAnsi="宋体" w:eastAsia="宋体" w:cs="宋体"/>
          <w:color w:val="auto"/>
          <w:sz w:val="24"/>
          <w:szCs w:val="24"/>
          <w:highlight w:val="none"/>
          <w:lang w:val="en-US" w:eastAsia="zh-CN"/>
        </w:rPr>
        <w:t>技术</w:t>
      </w:r>
      <w:r>
        <w:rPr>
          <w:rFonts w:hint="eastAsia" w:ascii="宋体" w:hAnsi="宋体" w:eastAsia="宋体" w:cs="宋体"/>
          <w:color w:val="auto"/>
          <w:sz w:val="24"/>
          <w:szCs w:val="24"/>
          <w:highlight w:val="none"/>
        </w:rPr>
        <w:t>参数，投标人须在制作</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文件时在“第六章  投标文件格式”的“6.2技术响应表”中注明证明材料的页码，证明材料建议放置在“6.3货物说明一览表”，对于需要证明材料的</w:t>
      </w:r>
      <w:r>
        <w:rPr>
          <w:rFonts w:hint="eastAsia" w:ascii="宋体" w:hAnsi="宋体" w:eastAsia="宋体" w:cs="宋体"/>
          <w:color w:val="auto"/>
          <w:sz w:val="24"/>
          <w:szCs w:val="24"/>
          <w:highlight w:val="none"/>
          <w:lang w:val="en-US" w:eastAsia="zh-CN"/>
        </w:rPr>
        <w:t>技术</w:t>
      </w:r>
      <w:r>
        <w:rPr>
          <w:rFonts w:hint="eastAsia" w:ascii="宋体" w:hAnsi="宋体" w:eastAsia="宋体" w:cs="宋体"/>
          <w:color w:val="auto"/>
          <w:sz w:val="24"/>
          <w:szCs w:val="24"/>
          <w:highlight w:val="none"/>
        </w:rPr>
        <w:t>参数，须在材料相关证明内容的上</w:t>
      </w:r>
      <w:r>
        <w:rPr>
          <w:rFonts w:hint="eastAsia" w:ascii="宋体" w:hAnsi="宋体" w:eastAsia="宋体" w:cs="宋体"/>
          <w:color w:val="auto"/>
          <w:sz w:val="24"/>
          <w:szCs w:val="24"/>
          <w:highlight w:val="none"/>
          <w:lang w:val="en-US" w:eastAsia="zh-CN"/>
        </w:rPr>
        <w:t>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”标注以便查询核对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例：XX证明材料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，投标供应商纸质投标文件中须保证所有提供的证明材料清晰可见，对不清晰不能确定的参数</w:t>
      </w:r>
      <w:r>
        <w:rPr>
          <w:rFonts w:hint="eastAsia" w:ascii="宋体" w:hAnsi="宋体" w:eastAsia="宋体" w:cs="宋体"/>
          <w:color w:val="auto"/>
          <w:sz w:val="24"/>
          <w:szCs w:val="24"/>
          <w:highlight w:val="none"/>
          <w:lang w:val="en-US" w:eastAsia="zh-CN"/>
        </w:rPr>
        <w:t>评审小组可视</w:t>
      </w:r>
      <w:r>
        <w:rPr>
          <w:rFonts w:hint="eastAsia" w:ascii="宋体" w:hAnsi="宋体" w:eastAsia="宋体" w:cs="宋体"/>
          <w:color w:val="auto"/>
          <w:sz w:val="24"/>
          <w:szCs w:val="24"/>
          <w:highlight w:val="none"/>
        </w:rPr>
        <w:t>同未提供，由此造成的后果投标供应商自行承担。</w:t>
      </w:r>
    </w:p>
    <w:p w14:paraId="2A25D75B">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w:t>
      </w:r>
      <w:r>
        <w:rPr>
          <w:rFonts w:hint="eastAsia" w:ascii="宋体" w:hAnsi="宋体" w:eastAsia="宋体" w:cs="宋体"/>
          <w:color w:val="auto"/>
          <w:sz w:val="24"/>
          <w:szCs w:val="18"/>
          <w:highlight w:val="none"/>
        </w:rPr>
        <w:t>中标人有义务保证采购单位系统设备的完整性、系统集成性，需自行考虑招标文件中可能未明示但为保证项目正常运行需要的辅助设备和配件，并考虑在投标报价内。</w:t>
      </w:r>
    </w:p>
    <w:p w14:paraId="7FA29D84">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lang w:val="en-US" w:eastAsia="zh-CN"/>
        </w:rPr>
        <w:t>8</w:t>
      </w:r>
      <w:r>
        <w:rPr>
          <w:rFonts w:hint="eastAsia" w:ascii="宋体" w:hAnsi="宋体" w:eastAsia="宋体" w:cs="宋体"/>
          <w:color w:val="auto"/>
          <w:sz w:val="24"/>
          <w:szCs w:val="18"/>
          <w:highlight w:val="none"/>
        </w:rPr>
        <w:t>.以下如要求提供的检测报告、彩页、证书</w:t>
      </w:r>
      <w:r>
        <w:rPr>
          <w:rFonts w:hint="eastAsia" w:ascii="宋体" w:hAnsi="宋体" w:eastAsia="宋体" w:cs="宋体"/>
          <w:color w:val="auto"/>
          <w:sz w:val="24"/>
          <w:szCs w:val="18"/>
          <w:highlight w:val="none"/>
          <w:lang w:eastAsia="zh-CN"/>
        </w:rPr>
        <w:t>、</w:t>
      </w:r>
      <w:r>
        <w:rPr>
          <w:rFonts w:hint="eastAsia" w:ascii="宋体" w:hAnsi="宋体" w:eastAsia="宋体" w:cs="宋体"/>
          <w:color w:val="auto"/>
          <w:sz w:val="24"/>
          <w:szCs w:val="18"/>
          <w:highlight w:val="none"/>
          <w:lang w:val="en-US" w:eastAsia="zh-CN"/>
        </w:rPr>
        <w:t>承诺</w:t>
      </w:r>
      <w:r>
        <w:rPr>
          <w:rFonts w:hint="eastAsia" w:ascii="宋体" w:hAnsi="宋体" w:eastAsia="宋体" w:cs="宋体"/>
          <w:color w:val="auto"/>
          <w:sz w:val="24"/>
          <w:szCs w:val="18"/>
          <w:highlight w:val="none"/>
        </w:rPr>
        <w:t>等均为影印件（扫描件）加盖投标人公章，作为投标文件的组成部分；但在签订合同前采购人有权对中标候选人提供资料真实性进行核验，如不能提供的，视同虚假应标</w:t>
      </w:r>
      <w:r>
        <w:rPr>
          <w:rFonts w:hint="eastAsia" w:ascii="宋体" w:hAnsi="宋体" w:eastAsia="宋体" w:cs="宋体"/>
          <w:color w:val="auto"/>
          <w:sz w:val="24"/>
          <w:szCs w:val="18"/>
          <w:highlight w:val="none"/>
          <w:lang w:eastAsia="zh-CN"/>
        </w:rPr>
        <w:t>；</w:t>
      </w:r>
      <w:r>
        <w:rPr>
          <w:rFonts w:hint="eastAsia" w:ascii="宋体" w:hAnsi="宋体" w:eastAsia="宋体" w:cs="宋体"/>
          <w:color w:val="auto"/>
          <w:sz w:val="24"/>
          <w:szCs w:val="18"/>
          <w:highlight w:val="none"/>
        </w:rPr>
        <w:t>合同履行阶段，供应商供货时采购人有权核实，如不满足招标文件要求</w:t>
      </w:r>
      <w:r>
        <w:rPr>
          <w:rFonts w:hint="eastAsia" w:ascii="宋体" w:hAnsi="宋体" w:eastAsia="宋体" w:cs="宋体"/>
          <w:color w:val="auto"/>
          <w:sz w:val="24"/>
          <w:szCs w:val="18"/>
          <w:highlight w:val="none"/>
          <w:lang w:val="en-US" w:eastAsia="zh-CN"/>
        </w:rPr>
        <w:t>或存在投标虚假响应情况</w:t>
      </w:r>
      <w:r>
        <w:rPr>
          <w:rFonts w:hint="eastAsia" w:ascii="宋体" w:hAnsi="宋体" w:eastAsia="宋体" w:cs="宋体"/>
          <w:color w:val="auto"/>
          <w:sz w:val="24"/>
          <w:szCs w:val="18"/>
          <w:highlight w:val="none"/>
        </w:rPr>
        <w:t>，验收时不予通过，采购人有权解除合同并报政府采购监管部门处理，由此产生的一切后果由中标人自行承担。</w:t>
      </w:r>
    </w:p>
    <w:p w14:paraId="415AC153">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lang w:val="en-US" w:eastAsia="zh-CN"/>
        </w:rPr>
        <w:t>9.</w:t>
      </w:r>
      <w:r>
        <w:rPr>
          <w:rFonts w:hint="eastAsia" w:ascii="宋体" w:hAnsi="宋体" w:eastAsia="宋体" w:cs="宋体"/>
          <w:color w:val="auto"/>
          <w:sz w:val="24"/>
          <w:szCs w:val="18"/>
          <w:highlight w:val="none"/>
        </w:rPr>
        <w:t>以下如有要求产品演示的均不需要在开标现场演示,采购人会在签订合同前根据需要通知第一中标候选人到校演示,必须为真实的软件或产品演示，演示不符合要求的,将取消其中标资格,并按顺次通知第二、三中标候选人到校进行相同要求的演示。</w:t>
      </w:r>
    </w:p>
    <w:p w14:paraId="2250D6CE">
      <w:pPr>
        <w:rPr>
          <w:rFonts w:hint="eastAsia" w:ascii="宋体" w:hAnsi="宋体" w:eastAsia="宋体" w:cs="宋体"/>
          <w:b/>
          <w:color w:val="auto"/>
          <w:sz w:val="24"/>
          <w:szCs w:val="18"/>
          <w:highlight w:val="none"/>
          <w:lang w:val="en-US" w:eastAsia="zh-CN"/>
        </w:rPr>
      </w:pPr>
    </w:p>
    <w:p w14:paraId="09C8B9F5">
      <w:pPr>
        <w:rPr>
          <w:rFonts w:hint="eastAsia" w:ascii="宋体" w:hAnsi="宋体" w:eastAsia="宋体" w:cs="宋体"/>
          <w:b/>
          <w:color w:val="auto"/>
          <w:sz w:val="24"/>
          <w:szCs w:val="18"/>
          <w:highlight w:val="none"/>
          <w:lang w:val="en-US" w:eastAsia="zh-CN"/>
        </w:rPr>
      </w:pPr>
      <w:r>
        <w:rPr>
          <w:rFonts w:hint="eastAsia" w:ascii="宋体" w:hAnsi="宋体" w:eastAsia="宋体" w:cs="宋体"/>
          <w:b/>
          <w:color w:val="auto"/>
          <w:sz w:val="24"/>
          <w:szCs w:val="18"/>
          <w:highlight w:val="none"/>
          <w:lang w:val="en-US" w:eastAsia="zh-CN"/>
        </w:rPr>
        <w:br w:type="page"/>
      </w:r>
    </w:p>
    <w:p w14:paraId="3BAEA18C">
      <w:pPr>
        <w:spacing w:line="360" w:lineRule="auto"/>
        <w:ind w:firstLine="437"/>
        <w:jc w:val="center"/>
        <w:outlineLvl w:val="1"/>
        <w:rPr>
          <w:rFonts w:hint="eastAsia" w:ascii="宋体" w:hAnsi="宋体" w:eastAsia="宋体" w:cs="宋体"/>
          <w:b/>
          <w:color w:val="auto"/>
          <w:sz w:val="24"/>
          <w:szCs w:val="18"/>
          <w:highlight w:val="none"/>
          <w:lang w:val="en-US" w:eastAsia="zh-CN"/>
        </w:rPr>
      </w:pPr>
      <w:r>
        <w:rPr>
          <w:rFonts w:hint="eastAsia" w:ascii="宋体" w:hAnsi="宋体" w:eastAsia="宋体" w:cs="宋体"/>
          <w:b/>
          <w:color w:val="auto"/>
          <w:sz w:val="24"/>
          <w:szCs w:val="18"/>
          <w:highlight w:val="none"/>
          <w:lang w:val="en-US" w:eastAsia="zh-CN"/>
        </w:rPr>
        <w:t>第1包：教学实验设备（1）</w:t>
      </w:r>
    </w:p>
    <w:bookmarkEnd w:id="31"/>
    <w:bookmarkEnd w:id="32"/>
    <w:p w14:paraId="36E57365">
      <w:pPr>
        <w:spacing w:line="360" w:lineRule="auto"/>
        <w:ind w:firstLine="437"/>
        <w:outlineLvl w:val="1"/>
        <w:rPr>
          <w:rFonts w:hint="eastAsia" w:ascii="宋体" w:hAnsi="宋体" w:eastAsia="宋体" w:cs="宋体"/>
          <w:b/>
          <w:color w:val="auto"/>
          <w:sz w:val="24"/>
          <w:szCs w:val="18"/>
          <w:highlight w:val="none"/>
        </w:rPr>
      </w:pPr>
      <w:bookmarkStart w:id="33" w:name="_Toc5944"/>
      <w:bookmarkStart w:id="34" w:name="_Toc7671"/>
      <w:r>
        <w:rPr>
          <w:rFonts w:hint="eastAsia" w:ascii="宋体" w:hAnsi="宋体" w:eastAsia="宋体" w:cs="宋体"/>
          <w:b/>
          <w:color w:val="auto"/>
          <w:sz w:val="24"/>
          <w:szCs w:val="18"/>
          <w:highlight w:val="none"/>
        </w:rPr>
        <w:t>一、采购需求前附表</w:t>
      </w:r>
    </w:p>
    <w:tbl>
      <w:tblPr>
        <w:tblStyle w:val="2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4"/>
        <w:gridCol w:w="2031"/>
        <w:gridCol w:w="5482"/>
      </w:tblGrid>
      <w:tr w14:paraId="0D902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89" w:type="pct"/>
            <w:vAlign w:val="center"/>
          </w:tcPr>
          <w:p w14:paraId="3BC2FEE7">
            <w:pPr>
              <w:pStyle w:val="37"/>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
                <w:color w:val="auto"/>
                <w:kern w:val="2"/>
                <w:highlight w:val="none"/>
              </w:rPr>
            </w:pPr>
            <w:r>
              <w:rPr>
                <w:rFonts w:hint="eastAsia" w:ascii="宋体" w:hAnsi="宋体" w:eastAsia="宋体" w:cs="宋体"/>
                <w:b/>
                <w:color w:val="auto"/>
                <w:kern w:val="2"/>
                <w:highlight w:val="none"/>
              </w:rPr>
              <w:t>序号</w:t>
            </w:r>
          </w:p>
        </w:tc>
        <w:tc>
          <w:tcPr>
            <w:tcW w:w="1192" w:type="pct"/>
            <w:vAlign w:val="center"/>
          </w:tcPr>
          <w:p w14:paraId="409DCEE2">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Cs w:val="0"/>
                <w:color w:val="auto"/>
                <w:sz w:val="24"/>
                <w:highlight w:val="none"/>
              </w:rPr>
            </w:pPr>
            <w:r>
              <w:rPr>
                <w:rFonts w:hint="eastAsia" w:ascii="宋体" w:hAnsi="宋体" w:eastAsia="宋体" w:cs="宋体"/>
                <w:bCs w:val="0"/>
                <w:color w:val="auto"/>
                <w:sz w:val="24"/>
                <w:highlight w:val="none"/>
              </w:rPr>
              <w:t>条款名称</w:t>
            </w:r>
          </w:p>
        </w:tc>
        <w:tc>
          <w:tcPr>
            <w:tcW w:w="3217" w:type="pct"/>
            <w:vAlign w:val="center"/>
          </w:tcPr>
          <w:p w14:paraId="0C887FB9">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Cs w:val="0"/>
                <w:color w:val="auto"/>
                <w:sz w:val="24"/>
                <w:highlight w:val="none"/>
              </w:rPr>
            </w:pPr>
            <w:r>
              <w:rPr>
                <w:rFonts w:hint="eastAsia" w:ascii="宋体" w:hAnsi="宋体" w:eastAsia="宋体" w:cs="宋体"/>
                <w:bCs w:val="0"/>
                <w:color w:val="auto"/>
                <w:sz w:val="24"/>
                <w:highlight w:val="none"/>
              </w:rPr>
              <w:t>内容、说明与要求</w:t>
            </w:r>
          </w:p>
        </w:tc>
      </w:tr>
      <w:tr w14:paraId="5FF7C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8" w:hRule="atLeast"/>
          <w:jc w:val="center"/>
        </w:trPr>
        <w:tc>
          <w:tcPr>
            <w:tcW w:w="589" w:type="pct"/>
            <w:vAlign w:val="center"/>
          </w:tcPr>
          <w:p w14:paraId="61EB5348">
            <w:pPr>
              <w:pStyle w:val="37"/>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1</w:t>
            </w:r>
          </w:p>
        </w:tc>
        <w:tc>
          <w:tcPr>
            <w:tcW w:w="1192" w:type="pct"/>
            <w:vAlign w:val="center"/>
          </w:tcPr>
          <w:p w14:paraId="718E2B0E">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付款方式</w:t>
            </w:r>
          </w:p>
        </w:tc>
        <w:tc>
          <w:tcPr>
            <w:tcW w:w="3217" w:type="pct"/>
            <w:vAlign w:val="center"/>
          </w:tcPr>
          <w:p w14:paraId="002A416E">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合同签订生效并具备实施条件后采购人根据项目实际情况于5个工作日内支付合同价款的70%作为预付款（中标人须提交银行、保险公司、担保公司等金融机构出具的预付款保函或其他担保措施，以上各类机构出具的以担保函、保证保险承担责任的方式均须满足无条件见索即付条件），验收合格后支付剩余合同价款。（采购人若须提供发票，必须开具增值税专用发票，除法律法规约定情形外）</w:t>
            </w:r>
          </w:p>
        </w:tc>
      </w:tr>
      <w:tr w14:paraId="2C528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9" w:type="pct"/>
            <w:vAlign w:val="center"/>
          </w:tcPr>
          <w:p w14:paraId="28B07498">
            <w:pPr>
              <w:pStyle w:val="37"/>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2</w:t>
            </w:r>
          </w:p>
        </w:tc>
        <w:tc>
          <w:tcPr>
            <w:tcW w:w="1192" w:type="pct"/>
            <w:vAlign w:val="center"/>
          </w:tcPr>
          <w:p w14:paraId="620034E2">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供货及安装地点</w:t>
            </w:r>
          </w:p>
        </w:tc>
        <w:tc>
          <w:tcPr>
            <w:tcW w:w="3217" w:type="pct"/>
            <w:vAlign w:val="center"/>
          </w:tcPr>
          <w:p w14:paraId="626401A5">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color w:val="auto"/>
                <w:sz w:val="24"/>
                <w:highlight w:val="none"/>
              </w:rPr>
            </w:pPr>
            <w:r>
              <w:rPr>
                <w:rFonts w:hint="eastAsia" w:ascii="宋体" w:hAnsi="宋体" w:eastAsia="宋体" w:cs="宋体"/>
                <w:bCs/>
                <w:kern w:val="0"/>
                <w:sz w:val="24"/>
                <w:szCs w:val="24"/>
                <w:highlight w:val="none"/>
                <w:lang w:eastAsia="zh-CN"/>
              </w:rPr>
              <w:t>安徽理工大学</w:t>
            </w:r>
            <w:r>
              <w:rPr>
                <w:rFonts w:hint="eastAsia" w:ascii="宋体" w:hAnsi="宋体" w:eastAsia="宋体" w:cs="宋体"/>
                <w:bCs/>
                <w:kern w:val="0"/>
                <w:sz w:val="24"/>
                <w:szCs w:val="24"/>
                <w:highlight w:val="none"/>
                <w:lang w:val="en-US" w:eastAsia="zh-CN"/>
              </w:rPr>
              <w:t>校园内，</w:t>
            </w:r>
            <w:r>
              <w:rPr>
                <w:rFonts w:hint="eastAsia" w:ascii="宋体" w:hAnsi="宋体" w:eastAsia="宋体" w:cs="宋体"/>
                <w:bCs/>
                <w:kern w:val="0"/>
                <w:sz w:val="24"/>
                <w:szCs w:val="24"/>
                <w:highlight w:val="none"/>
              </w:rPr>
              <w:t>采购人指定地点。</w:t>
            </w:r>
          </w:p>
        </w:tc>
      </w:tr>
      <w:tr w14:paraId="1D9E5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9" w:type="pct"/>
            <w:vAlign w:val="center"/>
          </w:tcPr>
          <w:p w14:paraId="7D60C8B0">
            <w:pPr>
              <w:pStyle w:val="37"/>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3</w:t>
            </w:r>
          </w:p>
        </w:tc>
        <w:tc>
          <w:tcPr>
            <w:tcW w:w="1192" w:type="pct"/>
            <w:vAlign w:val="center"/>
          </w:tcPr>
          <w:p w14:paraId="64C9F9F1">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供货及安装期限</w:t>
            </w:r>
          </w:p>
        </w:tc>
        <w:tc>
          <w:tcPr>
            <w:tcW w:w="3217" w:type="pct"/>
            <w:vAlign w:val="center"/>
          </w:tcPr>
          <w:p w14:paraId="68C60452">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合同签订后</w:t>
            </w:r>
            <w:r>
              <w:rPr>
                <w:rFonts w:hint="eastAsia" w:ascii="宋体" w:hAnsi="宋体" w:eastAsia="宋体" w:cs="宋体"/>
                <w:b w:val="0"/>
                <w:color w:val="auto"/>
                <w:sz w:val="24"/>
                <w:highlight w:val="none"/>
                <w:lang w:val="en-US" w:eastAsia="zh-CN"/>
              </w:rPr>
              <w:t>30</w:t>
            </w:r>
            <w:r>
              <w:rPr>
                <w:rFonts w:hint="eastAsia" w:ascii="宋体" w:hAnsi="宋体" w:eastAsia="宋体" w:cs="宋体"/>
                <w:b w:val="0"/>
                <w:color w:val="auto"/>
                <w:sz w:val="24"/>
                <w:highlight w:val="none"/>
              </w:rPr>
              <w:t>日内</w:t>
            </w:r>
            <w:r>
              <w:rPr>
                <w:rFonts w:hint="eastAsia" w:ascii="宋体" w:hAnsi="宋体" w:eastAsia="宋体" w:cs="宋体"/>
                <w:b w:val="0"/>
                <w:color w:val="auto"/>
                <w:sz w:val="24"/>
                <w:highlight w:val="none"/>
                <w:lang w:eastAsia="zh-CN"/>
              </w:rPr>
              <w:t>，</w:t>
            </w:r>
            <w:r>
              <w:rPr>
                <w:rFonts w:hint="eastAsia" w:ascii="宋体" w:hAnsi="宋体" w:eastAsia="宋体" w:cs="宋体"/>
                <w:b w:val="0"/>
                <w:color w:val="auto"/>
                <w:sz w:val="24"/>
                <w:highlight w:val="none"/>
              </w:rPr>
              <w:t>供应商完成全部货物的供货、安装、调试和培训工作。</w:t>
            </w:r>
          </w:p>
        </w:tc>
      </w:tr>
      <w:tr w14:paraId="785B5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9" w:type="pct"/>
            <w:vAlign w:val="center"/>
          </w:tcPr>
          <w:p w14:paraId="64D3BAF8">
            <w:pPr>
              <w:pStyle w:val="37"/>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4</w:t>
            </w:r>
          </w:p>
        </w:tc>
        <w:tc>
          <w:tcPr>
            <w:tcW w:w="1192" w:type="pct"/>
            <w:vAlign w:val="center"/>
          </w:tcPr>
          <w:p w14:paraId="1479CB0D">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免费质保期</w:t>
            </w:r>
          </w:p>
        </w:tc>
        <w:tc>
          <w:tcPr>
            <w:tcW w:w="3217" w:type="pct"/>
            <w:vAlign w:val="center"/>
          </w:tcPr>
          <w:p w14:paraId="7D5CFA89">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kern w:val="0"/>
                <w:sz w:val="24"/>
                <w:szCs w:val="24"/>
                <w:highlight w:val="none"/>
                <w:lang w:val="en-US" w:eastAsia="zh-CN" w:bidi="ar-SA"/>
              </w:rPr>
            </w:pPr>
            <w:r>
              <w:rPr>
                <w:rFonts w:hint="eastAsia" w:ascii="宋体" w:hAnsi="宋体" w:eastAsia="宋体" w:cs="宋体"/>
                <w:b w:val="0"/>
                <w:bCs/>
                <w:kern w:val="0"/>
                <w:sz w:val="24"/>
                <w:szCs w:val="24"/>
                <w:highlight w:val="none"/>
                <w:lang w:val="en-US" w:eastAsia="zh-CN" w:bidi="ar-SA"/>
              </w:rPr>
              <w:t>本项目免费质量保证期为验收合格之日起，不低于1年。（货物需求另有规定的，以货物需求为准）。</w:t>
            </w:r>
          </w:p>
        </w:tc>
      </w:tr>
      <w:tr w14:paraId="76E22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4" w:type="dxa"/>
            <w:vAlign w:val="center"/>
          </w:tcPr>
          <w:p w14:paraId="281450F1">
            <w:pPr>
              <w:pStyle w:val="37"/>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auto"/>
                <w:kern w:val="2"/>
                <w:highlight w:val="none"/>
              </w:rPr>
            </w:pPr>
            <w:r>
              <w:rPr>
                <w:rFonts w:hint="eastAsia" w:ascii="宋体" w:hAnsi="宋体" w:eastAsia="宋体" w:cs="宋体"/>
                <w:b w:val="0"/>
                <w:bCs/>
                <w:color w:val="auto"/>
                <w:kern w:val="2"/>
                <w:highlight w:val="none"/>
                <w:lang w:val="en-US" w:eastAsia="zh-CN"/>
              </w:rPr>
              <w:t>5</w:t>
            </w:r>
          </w:p>
        </w:tc>
        <w:tc>
          <w:tcPr>
            <w:tcW w:w="2031" w:type="dxa"/>
            <w:vAlign w:val="center"/>
          </w:tcPr>
          <w:p w14:paraId="6143ABDE">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所属行业</w:t>
            </w:r>
          </w:p>
        </w:tc>
        <w:tc>
          <w:tcPr>
            <w:tcW w:w="5482" w:type="dxa"/>
            <w:vAlign w:val="center"/>
          </w:tcPr>
          <w:p w14:paraId="2738D0AF">
            <w:pPr>
              <w:spacing w:line="360" w:lineRule="auto"/>
              <w:jc w:val="center"/>
              <w:rPr>
                <w:rFonts w:hint="eastAsia" w:ascii="宋体" w:hAnsi="宋体" w:eastAsia="宋体" w:cs="宋体"/>
                <w:b w:val="0"/>
                <w:bCs/>
                <w:kern w:val="0"/>
                <w:sz w:val="24"/>
                <w:szCs w:val="24"/>
                <w:highlight w:val="none"/>
                <w:lang w:val="en-US" w:eastAsia="zh-CN" w:bidi="ar-SA"/>
              </w:rPr>
            </w:pPr>
            <w:r>
              <w:rPr>
                <w:rFonts w:hint="eastAsia" w:ascii="宋体" w:hAnsi="宋体" w:eastAsia="宋体" w:cs="宋体"/>
                <w:b w:val="0"/>
                <w:bCs/>
                <w:sz w:val="24"/>
                <w:szCs w:val="24"/>
                <w:highlight w:val="none"/>
                <w:lang w:val="en-US" w:eastAsia="zh-CN"/>
              </w:rPr>
              <w:t>工业</w:t>
            </w:r>
          </w:p>
        </w:tc>
      </w:tr>
    </w:tbl>
    <w:p w14:paraId="0EDBF3B8">
      <w:pPr>
        <w:spacing w:line="360" w:lineRule="auto"/>
        <w:ind w:firstLine="437"/>
        <w:outlineLvl w:val="1"/>
        <w:rPr>
          <w:rFonts w:hint="eastAsia" w:ascii="宋体" w:hAnsi="宋体" w:eastAsia="宋体" w:cs="宋体"/>
          <w:b/>
          <w:bCs/>
          <w:color w:val="auto"/>
          <w:sz w:val="24"/>
          <w:szCs w:val="18"/>
          <w:highlight w:val="none"/>
        </w:rPr>
      </w:pPr>
      <w:r>
        <w:rPr>
          <w:rFonts w:hint="eastAsia" w:ascii="宋体" w:hAnsi="宋体" w:eastAsia="宋体" w:cs="宋体"/>
          <w:b/>
          <w:bCs/>
          <w:color w:val="auto"/>
          <w:sz w:val="24"/>
          <w:szCs w:val="18"/>
          <w:highlight w:val="none"/>
          <w:lang w:val="en-US" w:eastAsia="zh-CN"/>
        </w:rPr>
        <w:t>二、</w:t>
      </w:r>
      <w:r>
        <w:rPr>
          <w:rFonts w:hint="eastAsia" w:ascii="宋体" w:hAnsi="宋体" w:eastAsia="宋体" w:cs="宋体"/>
          <w:b/>
          <w:bCs/>
          <w:color w:val="auto"/>
          <w:sz w:val="24"/>
          <w:szCs w:val="18"/>
          <w:highlight w:val="none"/>
        </w:rPr>
        <w:t>货物需求</w:t>
      </w:r>
      <w:bookmarkEnd w:id="33"/>
      <w:bookmarkEnd w:id="34"/>
    </w:p>
    <w:p w14:paraId="1D61DB24">
      <w:pPr>
        <w:spacing w:line="360" w:lineRule="auto"/>
        <w:ind w:firstLine="437"/>
        <w:rPr>
          <w:rFonts w:hint="eastAsia" w:ascii="宋体" w:hAnsi="宋体" w:eastAsia="宋体" w:cs="宋体"/>
          <w:b/>
          <w:sz w:val="24"/>
          <w:szCs w:val="24"/>
          <w:highlight w:val="none"/>
        </w:rPr>
      </w:pPr>
      <w:bookmarkStart w:id="35" w:name="_Toc7421"/>
      <w:bookmarkStart w:id="36" w:name="_Toc4843"/>
      <w:r>
        <w:rPr>
          <w:rFonts w:hint="eastAsia" w:ascii="宋体" w:hAnsi="宋体" w:eastAsia="宋体" w:cs="宋体"/>
          <w:b/>
          <w:sz w:val="24"/>
          <w:szCs w:val="24"/>
          <w:highlight w:val="none"/>
        </w:rPr>
        <w:t>（一）货物需求说明</w:t>
      </w:r>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0"/>
        <w:gridCol w:w="1312"/>
        <w:gridCol w:w="5527"/>
      </w:tblGrid>
      <w:tr w14:paraId="51CC4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6" w:type="pct"/>
            <w:vAlign w:val="center"/>
          </w:tcPr>
          <w:p w14:paraId="3BE2D3B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4"/>
                <w:szCs w:val="24"/>
                <w:highlight w:val="none"/>
              </w:rPr>
            </w:pPr>
            <w:r>
              <w:rPr>
                <w:rFonts w:hint="eastAsia" w:ascii="宋体" w:hAnsi="宋体" w:eastAsia="宋体" w:cs="宋体"/>
                <w:bCs/>
                <w:kern w:val="0"/>
                <w:sz w:val="24"/>
                <w:szCs w:val="24"/>
                <w:highlight w:val="none"/>
              </w:rPr>
              <w:t>标识重要性</w:t>
            </w:r>
          </w:p>
        </w:tc>
        <w:tc>
          <w:tcPr>
            <w:tcW w:w="770" w:type="pct"/>
            <w:vAlign w:val="center"/>
          </w:tcPr>
          <w:p w14:paraId="6D036AC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4"/>
                <w:szCs w:val="24"/>
                <w:highlight w:val="none"/>
              </w:rPr>
            </w:pPr>
            <w:r>
              <w:rPr>
                <w:rFonts w:hint="eastAsia" w:ascii="宋体" w:hAnsi="宋体" w:eastAsia="宋体" w:cs="宋体"/>
                <w:bCs/>
                <w:kern w:val="0"/>
                <w:sz w:val="24"/>
                <w:szCs w:val="24"/>
                <w:highlight w:val="none"/>
              </w:rPr>
              <w:t>标识符号</w:t>
            </w:r>
          </w:p>
        </w:tc>
        <w:tc>
          <w:tcPr>
            <w:tcW w:w="3243" w:type="pct"/>
            <w:vAlign w:val="center"/>
          </w:tcPr>
          <w:p w14:paraId="5D0DAE0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kern w:val="0"/>
                <w:sz w:val="24"/>
                <w:szCs w:val="24"/>
                <w:highlight w:val="none"/>
                <w:lang w:val="en-US" w:eastAsia="zh-CN"/>
              </w:rPr>
            </w:pPr>
            <w:r>
              <w:rPr>
                <w:rFonts w:hint="eastAsia" w:ascii="宋体" w:hAnsi="宋体" w:eastAsia="宋体" w:cs="宋体"/>
                <w:bCs/>
                <w:kern w:val="0"/>
                <w:sz w:val="24"/>
                <w:szCs w:val="24"/>
                <w:highlight w:val="none"/>
                <w:lang w:val="en-US" w:eastAsia="zh-CN"/>
              </w:rPr>
              <w:t>具体要求或含义</w:t>
            </w:r>
          </w:p>
        </w:tc>
      </w:tr>
      <w:tr w14:paraId="4D829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680" w:type="dxa"/>
            <w:vAlign w:val="center"/>
          </w:tcPr>
          <w:p w14:paraId="37DC2C6F">
            <w:pPr>
              <w:spacing w:line="360" w:lineRule="exact"/>
              <w:jc w:val="center"/>
              <w:rPr>
                <w:rFonts w:hint="eastAsia" w:ascii="宋体" w:hAnsi="宋体" w:eastAsia="宋体" w:cs="宋体"/>
                <w:kern w:val="0"/>
                <w:sz w:val="24"/>
                <w:szCs w:val="24"/>
                <w:highlight w:val="none"/>
              </w:rPr>
            </w:pPr>
            <w:r>
              <w:rPr>
                <w:rFonts w:hint="default" w:ascii="Times New Roman" w:hAnsi="Times New Roman" w:eastAsia="宋体" w:cs="Times New Roman"/>
                <w:b/>
                <w:bCs/>
                <w:sz w:val="24"/>
                <w:highlight w:val="none"/>
              </w:rPr>
              <w:t>重要指标项</w:t>
            </w:r>
          </w:p>
        </w:tc>
        <w:tc>
          <w:tcPr>
            <w:tcW w:w="1312" w:type="dxa"/>
            <w:vAlign w:val="center"/>
          </w:tcPr>
          <w:p w14:paraId="2BAE4BBD">
            <w:pPr>
              <w:spacing w:line="360" w:lineRule="exact"/>
              <w:jc w:val="center"/>
              <w:rPr>
                <w:rFonts w:hint="eastAsia" w:ascii="宋体" w:hAnsi="宋体" w:eastAsia="宋体" w:cs="宋体"/>
                <w:kern w:val="0"/>
                <w:sz w:val="24"/>
                <w:szCs w:val="24"/>
                <w:highlight w:val="none"/>
              </w:rPr>
            </w:pPr>
            <w:r>
              <w:rPr>
                <w:rFonts w:hint="default" w:ascii="Times New Roman" w:hAnsi="Times New Roman" w:eastAsia="宋体" w:cs="Times New Roman"/>
                <w:b/>
                <w:bCs/>
                <w:sz w:val="24"/>
                <w:highlight w:val="none"/>
              </w:rPr>
              <w:t>★</w:t>
            </w:r>
          </w:p>
        </w:tc>
        <w:tc>
          <w:tcPr>
            <w:tcW w:w="5527" w:type="dxa"/>
            <w:vAlign w:val="center"/>
          </w:tcPr>
          <w:p w14:paraId="36E4BCF1">
            <w:pPr>
              <w:pStyle w:val="36"/>
              <w:widowControl w:val="0"/>
              <w:spacing w:before="0" w:beforeAutospacing="0" w:after="0" w:afterAutospacing="0" w:line="360" w:lineRule="auto"/>
              <w:jc w:val="both"/>
              <w:rPr>
                <w:rFonts w:hint="default" w:ascii="Times New Roman" w:hAnsi="Times New Roman" w:eastAsia="宋体" w:cs="Times New Roman"/>
                <w:sz w:val="24"/>
                <w:szCs w:val="22"/>
                <w:highlight w:val="none"/>
              </w:rPr>
            </w:pPr>
            <w:r>
              <w:rPr>
                <w:rFonts w:hint="eastAsia" w:ascii="Times New Roman" w:hAnsi="Times New Roman" w:eastAsia="宋体" w:cs="Times New Roman"/>
                <w:sz w:val="24"/>
                <w:szCs w:val="22"/>
                <w:highlight w:val="none"/>
                <w:lang w:val="en-US" w:eastAsia="zh-CN"/>
              </w:rPr>
              <w:t>1、</w:t>
            </w:r>
            <w:r>
              <w:rPr>
                <w:rFonts w:hint="default" w:ascii="Times New Roman" w:hAnsi="Times New Roman" w:eastAsia="宋体" w:cs="Times New Roman"/>
                <w:sz w:val="24"/>
                <w:szCs w:val="22"/>
                <w:highlight w:val="none"/>
              </w:rPr>
              <w:t>作为评分项，详见“第四章评标方法和标准”中评分细则。</w:t>
            </w:r>
          </w:p>
          <w:p w14:paraId="10DB5E95">
            <w:pPr>
              <w:pStyle w:val="36"/>
              <w:widowControl w:val="0"/>
              <w:spacing w:before="0" w:beforeAutospacing="0" w:after="0" w:afterAutospacing="0" w:line="360" w:lineRule="auto"/>
              <w:jc w:val="both"/>
              <w:rPr>
                <w:rFonts w:hint="eastAsia" w:ascii="宋体" w:hAnsi="宋体" w:eastAsia="宋体" w:cs="宋体"/>
                <w:sz w:val="24"/>
                <w:szCs w:val="24"/>
                <w:highlight w:val="none"/>
              </w:rPr>
            </w:pPr>
            <w:r>
              <w:rPr>
                <w:rFonts w:hint="eastAsia" w:ascii="Times New Roman" w:hAnsi="Times New Roman" w:eastAsia="宋体" w:cs="Times New Roman"/>
                <w:sz w:val="24"/>
                <w:szCs w:val="22"/>
                <w:highlight w:val="none"/>
                <w:lang w:val="en-US" w:eastAsia="zh-CN"/>
              </w:rPr>
              <w:t>2、</w:t>
            </w:r>
            <w:r>
              <w:rPr>
                <w:rFonts w:hint="default" w:ascii="Times New Roman" w:hAnsi="Times New Roman" w:eastAsia="宋体" w:cs="Times New Roman"/>
                <w:sz w:val="24"/>
                <w:szCs w:val="22"/>
                <w:highlight w:val="none"/>
              </w:rPr>
              <w:t>未明确要求提供证明料的，投标人须自行提供证明材料，包括产品技术白皮书、产品技术说明书、产品彩页（产品功能截图）、厂家（制造商）官网截图、第三方机构出具的带有CMA标识的检测报告，提供其中之一即可。未按以上要求提供证明材料的视为负偏离或未响应（为便于评审，建议投标人对证明材料中的关键参数进行标注）</w:t>
            </w:r>
          </w:p>
        </w:tc>
      </w:tr>
      <w:tr w14:paraId="645B7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jc w:val="center"/>
        </w:trPr>
        <w:tc>
          <w:tcPr>
            <w:tcW w:w="1680" w:type="dxa"/>
            <w:vAlign w:val="center"/>
          </w:tcPr>
          <w:p w14:paraId="67ABE19E">
            <w:pPr>
              <w:spacing w:line="360" w:lineRule="exact"/>
              <w:jc w:val="center"/>
              <w:rPr>
                <w:rFonts w:hint="eastAsia" w:ascii="宋体" w:hAnsi="宋体" w:eastAsia="宋体" w:cs="宋体"/>
                <w:kern w:val="0"/>
                <w:sz w:val="24"/>
                <w:szCs w:val="24"/>
                <w:highlight w:val="none"/>
              </w:rPr>
            </w:pPr>
            <w:r>
              <w:rPr>
                <w:rFonts w:hint="default" w:ascii="Times New Roman" w:hAnsi="Times New Roman" w:eastAsia="宋体" w:cs="Times New Roman"/>
                <w:b/>
                <w:bCs/>
                <w:sz w:val="24"/>
                <w:highlight w:val="none"/>
              </w:rPr>
              <w:t>一般技术指标（无标识项）</w:t>
            </w:r>
          </w:p>
        </w:tc>
        <w:tc>
          <w:tcPr>
            <w:tcW w:w="1312" w:type="dxa"/>
            <w:vAlign w:val="center"/>
          </w:tcPr>
          <w:p w14:paraId="71461692">
            <w:pPr>
              <w:spacing w:line="360" w:lineRule="exact"/>
              <w:jc w:val="center"/>
              <w:rPr>
                <w:rFonts w:hint="eastAsia" w:ascii="宋体" w:hAnsi="宋体" w:eastAsia="宋体" w:cs="宋体"/>
                <w:kern w:val="0"/>
                <w:sz w:val="24"/>
                <w:szCs w:val="24"/>
                <w:highlight w:val="none"/>
              </w:rPr>
            </w:pPr>
            <w:r>
              <w:rPr>
                <w:rFonts w:hint="default" w:ascii="Times New Roman" w:hAnsi="Times New Roman" w:eastAsia="宋体" w:cs="Times New Roman"/>
                <w:b/>
                <w:bCs/>
                <w:sz w:val="24"/>
                <w:highlight w:val="none"/>
              </w:rPr>
              <w:t>无</w:t>
            </w:r>
          </w:p>
        </w:tc>
        <w:tc>
          <w:tcPr>
            <w:tcW w:w="5527" w:type="dxa"/>
            <w:vAlign w:val="center"/>
          </w:tcPr>
          <w:p w14:paraId="35F4CF8F">
            <w:pPr>
              <w:pStyle w:val="36"/>
              <w:widowControl w:val="0"/>
              <w:spacing w:before="0" w:beforeAutospacing="0" w:after="0" w:afterAutospacing="0"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作为评分项，详见“第四章评标方法和标准”中评分细则。</w:t>
            </w:r>
          </w:p>
          <w:p w14:paraId="222ABF35">
            <w:pPr>
              <w:pStyle w:val="36"/>
              <w:widowControl w:val="0"/>
              <w:spacing w:before="0" w:beforeAutospacing="0" w:after="0" w:afterAutospacing="0"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注：以投标响应表中的响应情况及采购需求中要求提供的证明材料作为评审依据。</w:t>
            </w:r>
          </w:p>
        </w:tc>
      </w:tr>
      <w:tr w14:paraId="1F7D2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680" w:type="dxa"/>
            <w:vAlign w:val="center"/>
          </w:tcPr>
          <w:p w14:paraId="149FFDFF">
            <w:pPr>
              <w:spacing w:line="360" w:lineRule="exact"/>
              <w:jc w:val="center"/>
              <w:rPr>
                <w:rFonts w:hint="default" w:ascii="Times New Roman" w:hAnsi="Times New Roman" w:eastAsia="宋体" w:cs="Times New Roman"/>
                <w:b/>
                <w:bCs/>
                <w:sz w:val="24"/>
                <w:highlight w:val="none"/>
                <w:lang w:val="en-US" w:eastAsia="zh-CN"/>
              </w:rPr>
            </w:pPr>
            <w:r>
              <w:rPr>
                <w:rFonts w:hint="eastAsia" w:ascii="Times New Roman" w:hAnsi="Times New Roman" w:eastAsia="宋体" w:cs="Times New Roman"/>
                <w:b/>
                <w:bCs/>
                <w:sz w:val="24"/>
                <w:highlight w:val="none"/>
                <w:lang w:val="en-US" w:eastAsia="zh-CN"/>
              </w:rPr>
              <w:t>核心产品</w:t>
            </w:r>
          </w:p>
        </w:tc>
        <w:tc>
          <w:tcPr>
            <w:tcW w:w="1312" w:type="dxa"/>
            <w:vAlign w:val="center"/>
          </w:tcPr>
          <w:p w14:paraId="11C067DC">
            <w:pPr>
              <w:pStyle w:val="36"/>
              <w:widowControl w:val="0"/>
              <w:spacing w:before="0" w:beforeAutospacing="0" w:after="0" w:afterAutospacing="0"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p>
        </w:tc>
        <w:tc>
          <w:tcPr>
            <w:tcW w:w="5527" w:type="dxa"/>
            <w:vAlign w:val="center"/>
          </w:tcPr>
          <w:p w14:paraId="39DFB52D">
            <w:pPr>
              <w:pStyle w:val="36"/>
              <w:widowControl w:val="0"/>
              <w:spacing w:before="0" w:beforeAutospacing="0" w:after="0" w:afterAutospacing="0" w:line="360" w:lineRule="auto"/>
              <w:jc w:val="both"/>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详见本项目投标人须知有关核心产品的规定</w:t>
            </w:r>
          </w:p>
        </w:tc>
      </w:tr>
    </w:tbl>
    <w:p w14:paraId="68F320D8">
      <w:pPr>
        <w:spacing w:line="360" w:lineRule="auto"/>
        <w:ind w:firstLine="437"/>
        <w:rPr>
          <w:rFonts w:hint="eastAsia" w:ascii="宋体" w:hAnsi="宋体" w:eastAsia="宋体" w:cs="宋体"/>
          <w:b/>
          <w:sz w:val="24"/>
          <w:szCs w:val="24"/>
          <w:highlight w:val="none"/>
        </w:rPr>
      </w:pPr>
      <w:r>
        <w:rPr>
          <w:rFonts w:hint="eastAsia" w:ascii="宋体" w:hAnsi="宋体" w:eastAsia="宋体" w:cs="宋体"/>
          <w:b/>
          <w:bCs/>
          <w:sz w:val="24"/>
          <w:szCs w:val="24"/>
          <w:highlight w:val="none"/>
        </w:rPr>
        <w:t>（二）</w:t>
      </w:r>
      <w:r>
        <w:rPr>
          <w:rFonts w:hint="eastAsia" w:ascii="宋体" w:hAnsi="宋体" w:eastAsia="宋体" w:cs="宋体"/>
          <w:b/>
          <w:sz w:val="24"/>
          <w:szCs w:val="24"/>
          <w:highlight w:val="none"/>
        </w:rPr>
        <w:t>货物需求表</w:t>
      </w:r>
    </w:p>
    <w:tbl>
      <w:tblPr>
        <w:tblStyle w:val="28"/>
        <w:tblW w:w="9510" w:type="dxa"/>
        <w:jc w:val="center"/>
        <w:tblLayout w:type="fixed"/>
        <w:tblCellMar>
          <w:top w:w="0" w:type="dxa"/>
          <w:left w:w="108" w:type="dxa"/>
          <w:bottom w:w="0" w:type="dxa"/>
          <w:right w:w="108" w:type="dxa"/>
        </w:tblCellMar>
      </w:tblPr>
      <w:tblGrid>
        <w:gridCol w:w="755"/>
        <w:gridCol w:w="705"/>
        <w:gridCol w:w="7063"/>
        <w:gridCol w:w="530"/>
        <w:gridCol w:w="457"/>
      </w:tblGrid>
      <w:tr w14:paraId="7C40135C">
        <w:trPr>
          <w:trHeight w:val="672"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14:paraId="6BDC4A22">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序号</w:t>
            </w:r>
          </w:p>
        </w:tc>
        <w:tc>
          <w:tcPr>
            <w:tcW w:w="705" w:type="dxa"/>
            <w:tcBorders>
              <w:top w:val="single" w:color="auto" w:sz="4" w:space="0"/>
              <w:left w:val="nil"/>
              <w:bottom w:val="single" w:color="auto" w:sz="4" w:space="0"/>
              <w:right w:val="single" w:color="auto" w:sz="4" w:space="0"/>
            </w:tcBorders>
            <w:noWrap w:val="0"/>
            <w:vAlign w:val="center"/>
          </w:tcPr>
          <w:p w14:paraId="2B4D3A62">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设备</w:t>
            </w:r>
          </w:p>
          <w:p w14:paraId="4DF79E85">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名称</w:t>
            </w:r>
          </w:p>
        </w:tc>
        <w:tc>
          <w:tcPr>
            <w:tcW w:w="7063" w:type="dxa"/>
            <w:tcBorders>
              <w:top w:val="single" w:color="auto" w:sz="4" w:space="0"/>
              <w:left w:val="nil"/>
              <w:bottom w:val="single" w:color="auto" w:sz="4" w:space="0"/>
              <w:right w:val="single" w:color="auto" w:sz="4" w:space="0"/>
            </w:tcBorders>
            <w:noWrap/>
            <w:vAlign w:val="center"/>
          </w:tcPr>
          <w:p w14:paraId="08E63355">
            <w:pPr>
              <w:widowControl/>
              <w:adjustRightInd w:val="0"/>
              <w:snapToGrid w:val="0"/>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主要技术参数</w:t>
            </w:r>
          </w:p>
        </w:tc>
        <w:tc>
          <w:tcPr>
            <w:tcW w:w="530" w:type="dxa"/>
            <w:tcBorders>
              <w:top w:val="single" w:color="auto" w:sz="4" w:space="0"/>
              <w:left w:val="nil"/>
              <w:bottom w:val="single" w:color="auto" w:sz="4" w:space="0"/>
              <w:right w:val="single" w:color="auto" w:sz="4" w:space="0"/>
            </w:tcBorders>
            <w:noWrap w:val="0"/>
            <w:vAlign w:val="center"/>
          </w:tcPr>
          <w:p w14:paraId="176937C1">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单位</w:t>
            </w:r>
          </w:p>
        </w:tc>
        <w:tc>
          <w:tcPr>
            <w:tcW w:w="457" w:type="dxa"/>
            <w:tcBorders>
              <w:top w:val="single" w:color="auto" w:sz="4" w:space="0"/>
              <w:left w:val="nil"/>
              <w:bottom w:val="single" w:color="auto" w:sz="4" w:space="0"/>
              <w:right w:val="single" w:color="auto" w:sz="4" w:space="0"/>
            </w:tcBorders>
            <w:noWrap w:val="0"/>
            <w:vAlign w:val="center"/>
          </w:tcPr>
          <w:p w14:paraId="172D495E">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数量</w:t>
            </w:r>
          </w:p>
        </w:tc>
      </w:tr>
      <w:tr w14:paraId="72202899">
        <w:tblPrEx>
          <w:tblCellMar>
            <w:top w:w="0" w:type="dxa"/>
            <w:left w:w="108" w:type="dxa"/>
            <w:bottom w:w="0" w:type="dxa"/>
            <w:right w:w="108" w:type="dxa"/>
          </w:tblCellMar>
        </w:tblPrEx>
        <w:trPr>
          <w:trHeight w:val="864" w:hRule="atLeast"/>
          <w:jc w:val="center"/>
        </w:trPr>
        <w:tc>
          <w:tcPr>
            <w:tcW w:w="755" w:type="dxa"/>
            <w:tcBorders>
              <w:top w:val="nil"/>
              <w:left w:val="single" w:color="auto" w:sz="4" w:space="0"/>
              <w:bottom w:val="single" w:color="auto" w:sz="4" w:space="0"/>
              <w:right w:val="single" w:color="auto" w:sz="4" w:space="0"/>
            </w:tcBorders>
            <w:noWrap/>
            <w:vAlign w:val="center"/>
          </w:tcPr>
          <w:p w14:paraId="0AB12C07">
            <w:pPr>
              <w:widowControl/>
              <w:jc w:val="center"/>
              <w:rPr>
                <w:rFonts w:hint="eastAsia" w:ascii="宋体" w:hAnsi="宋体" w:eastAsia="宋体" w:cs="宋体"/>
                <w:color w:val="000000"/>
                <w:kern w:val="0"/>
                <w:sz w:val="24"/>
                <w:szCs w:val="24"/>
                <w:highlight w:val="none"/>
              </w:rPr>
            </w:pPr>
            <w:bookmarkStart w:id="37" w:name="_Hlk207103541"/>
            <w:r>
              <w:rPr>
                <w:rFonts w:hint="eastAsia" w:ascii="宋体" w:hAnsi="宋体" w:eastAsia="宋体" w:cs="宋体"/>
                <w:color w:val="000000"/>
                <w:kern w:val="0"/>
                <w:sz w:val="24"/>
                <w:szCs w:val="24"/>
                <w:highlight w:val="none"/>
              </w:rPr>
              <w:t>1</w:t>
            </w:r>
          </w:p>
        </w:tc>
        <w:tc>
          <w:tcPr>
            <w:tcW w:w="705" w:type="dxa"/>
            <w:tcBorders>
              <w:top w:val="nil"/>
              <w:left w:val="nil"/>
              <w:bottom w:val="single" w:color="auto" w:sz="4" w:space="0"/>
              <w:right w:val="single" w:color="auto" w:sz="4" w:space="0"/>
            </w:tcBorders>
            <w:noWrap w:val="0"/>
            <w:vAlign w:val="center"/>
          </w:tcPr>
          <w:p w14:paraId="6B347FE5">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新能源汽车整车管理实验系统</w:t>
            </w:r>
          </w:p>
        </w:tc>
        <w:tc>
          <w:tcPr>
            <w:tcW w:w="7063" w:type="dxa"/>
            <w:tcBorders>
              <w:top w:val="nil"/>
              <w:left w:val="nil"/>
              <w:bottom w:val="single" w:color="auto" w:sz="4" w:space="0"/>
              <w:right w:val="single" w:color="auto" w:sz="4" w:space="0"/>
            </w:tcBorders>
            <w:noWrap w:val="0"/>
            <w:vAlign w:val="center"/>
          </w:tcPr>
          <w:p w14:paraId="0111CEBD">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一、系统简介</w:t>
            </w:r>
          </w:p>
          <w:p w14:paraId="08A2EFF5">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1、电池管理单元为32位嵌入式处理器的快速原型控制器</w:t>
            </w:r>
          </w:p>
          <w:p w14:paraId="44B014E9">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2、支持磷酸铁锂电池、三元锂离子电池</w:t>
            </w:r>
          </w:p>
          <w:p w14:paraId="35B81AAA">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3、支持电池组被动均衡，环境管理，充放电管理等</w:t>
            </w:r>
          </w:p>
          <w:p w14:paraId="347A56FB">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4、采用2P8S电池组，并支持多个电池组、电池管理系统级联</w:t>
            </w:r>
          </w:p>
          <w:p w14:paraId="05C1E2D0">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5、支持集中式、分布式管理系统原理讲解和二次开发</w:t>
            </w:r>
          </w:p>
          <w:p w14:paraId="571E8E23">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6、支持电池管理系统关键信号测量，并具备硬件测量点</w:t>
            </w:r>
          </w:p>
          <w:p w14:paraId="0D14865B">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7、支持图形化程序自动生成C语言程序代码、hex文件，调试时支持在线实物仿真</w:t>
            </w:r>
          </w:p>
          <w:p w14:paraId="10D127C2">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二、系统功能</w:t>
            </w:r>
          </w:p>
          <w:p w14:paraId="535E3F02">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1、能实现基于图形化编程的自动代码开发学习；</w:t>
            </w:r>
          </w:p>
          <w:p w14:paraId="6AA07373">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2、学习汽车ECU及电控系统常用的SIL、HIL仿真方法；</w:t>
            </w:r>
          </w:p>
          <w:p w14:paraId="1FF476B0">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3、能实现对电池管理系统的测试、开发与学习；</w:t>
            </w:r>
          </w:p>
          <w:p w14:paraId="2E1BB4E3">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电池管理单元支持基于图形化模型的代码自动生成，支持用户算法模型自动生成代码；并可在图形化编程界面中编译，并通过图形化编程界面直接下载到快速原型控制器，能方便地使用图形化编程界面进行控制算法设计，并在线实时仿真。无需手动编写一行汇编或C语言代码，就能进行控制设计和仿真调试。</w:t>
            </w:r>
          </w:p>
          <w:p w14:paraId="711F25BC">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5、图形化编程软件中具备电池管理单元的外设模型封装库，可直接调用并控制电池管理单元的某一个硬件外设和功能，如电流传感器、继电器、环境管理、充放电管理、均衡控制等。</w:t>
            </w:r>
          </w:p>
          <w:p w14:paraId="33B2DC8F">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将图形化编程环境的算法/控制模型与电池管理单元硬件模型搭配在一起，编译并下载到电池管理单元中执行控制。电池管理单元在运行过程中，可以将模型中参数直观的显示（以示波器、数值显示器等方式显示）；也可以在运行中修改控制参数，电池管理单元将进行实时参数调整，从而实现真正在线实物仿真。</w:t>
            </w:r>
          </w:p>
          <w:p w14:paraId="07337B21">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7、支持CAN总线通信协议的查看，支持对CAN总线通信协议进行解析。</w:t>
            </w:r>
          </w:p>
          <w:p w14:paraId="02EFD453">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三、电池管理系统硬件配置</w:t>
            </w:r>
          </w:p>
          <w:p w14:paraId="43841038">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1、基于32位高速控制器，运行速度：≥200MHz，Flash：≥512KB，RAM：≥128KB，AD：≥12bit，PWM：≥16bit，SPI接口：≥1通道，内置CAN控制器：≥1通道；</w:t>
            </w:r>
          </w:p>
          <w:p w14:paraId="33336A1F">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2、电池管理芯片：汽车专用；</w:t>
            </w:r>
          </w:p>
          <w:p w14:paraId="0B1077C7">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3、电池管理芯片特点：支持级联；</w:t>
            </w:r>
          </w:p>
          <w:p w14:paraId="7AD09C67">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4、温度传感器数量：≥4路；</w:t>
            </w:r>
          </w:p>
          <w:p w14:paraId="1BE4F446">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5、霍尔式电流传感器数量：≥2个；</w:t>
            </w:r>
          </w:p>
          <w:p w14:paraId="7A398E25">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6、电池加热模块：≥1个；</w:t>
            </w:r>
          </w:p>
          <w:p w14:paraId="42F5915B">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7、电池散热模块：≥1个；</w:t>
            </w:r>
          </w:p>
          <w:p w14:paraId="27EA72E2">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8、烟雾传感器：≥1个；</w:t>
            </w:r>
          </w:p>
          <w:p w14:paraId="2FDE143C">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9、预充电继电器及预充电电阻：≥1个；</w:t>
            </w:r>
          </w:p>
          <w:p w14:paraId="220C86B8">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10、总正接触器：≥1个；</w:t>
            </w:r>
          </w:p>
          <w:p w14:paraId="647CD19B">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11、总负接触器：≥1个；</w:t>
            </w:r>
          </w:p>
          <w:p w14:paraId="6FB79DA5">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12、充电接触器：≥1个；</w:t>
            </w:r>
          </w:p>
          <w:p w14:paraId="6DC41FF8">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四、电池组配置：</w:t>
            </w:r>
          </w:p>
          <w:p w14:paraId="6C19039B">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1、单体电池 类型：三元锂离子电池或磷酸铁锂电池</w:t>
            </w:r>
          </w:p>
          <w:p w14:paraId="130C3739">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2、封装：26650；</w:t>
            </w:r>
          </w:p>
          <w:p w14:paraId="79426928">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3、电池组结构：2P8S；</w:t>
            </w:r>
          </w:p>
          <w:p w14:paraId="52393A11">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4、电池组容量：≥6AH；</w:t>
            </w:r>
          </w:p>
          <w:p w14:paraId="22C48527">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5、放电倍率：≥1C；</w:t>
            </w:r>
          </w:p>
          <w:p w14:paraId="05A9F1C5">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6、支持多个电池组级联；</w:t>
            </w:r>
          </w:p>
          <w:p w14:paraId="498C257A">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五、相关ECU配置：</w:t>
            </w:r>
          </w:p>
          <w:p w14:paraId="6FAEC7F2">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1、整车控制器（VCU）：1个</w:t>
            </w:r>
          </w:p>
          <w:p w14:paraId="2E6DDF58">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(1)模拟档位开关：1个</w:t>
            </w:r>
          </w:p>
          <w:p w14:paraId="18750E5B">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(2)模拟加速踏板：1个</w:t>
            </w:r>
          </w:p>
          <w:p w14:paraId="1FB439F8">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(3)模拟制动开关：1个</w:t>
            </w:r>
          </w:p>
          <w:p w14:paraId="3D3D7637">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(4)高速CAN总线接口：1路</w:t>
            </w:r>
          </w:p>
          <w:p w14:paraId="7055491B">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2、电机控制系统模拟ECU：1个</w:t>
            </w:r>
          </w:p>
          <w:p w14:paraId="48ABB0EF">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(1)模拟驱动电机：≥1个</w:t>
            </w:r>
          </w:p>
          <w:p w14:paraId="2038A90C">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(2)驱动电机温度模拟装置：1个</w:t>
            </w:r>
          </w:p>
          <w:p w14:paraId="67A1D863">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(3)高速CAN总线接口：1路</w:t>
            </w:r>
          </w:p>
          <w:p w14:paraId="0FEE9915">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3、全液晶仪表ECU：1个</w:t>
            </w:r>
          </w:p>
          <w:p w14:paraId="7E3962C7">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(1)车速、扭矩指针仪表</w:t>
            </w:r>
          </w:p>
          <w:p w14:paraId="201D0AA9">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(2)电量、温度、状态、报警等指示</w:t>
            </w:r>
          </w:p>
          <w:p w14:paraId="7D0762CF">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(3)高速CAN总线接口：1路</w:t>
            </w:r>
          </w:p>
          <w:p w14:paraId="6CC45402">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4、专用诊断仪：1个</w:t>
            </w:r>
          </w:p>
          <w:p w14:paraId="2738E67A">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(1)能读取ECU的在线状态</w:t>
            </w:r>
          </w:p>
          <w:p w14:paraId="7841A870">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(2)能读取指定的数据流</w:t>
            </w:r>
          </w:p>
          <w:p w14:paraId="7DC954F1">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(3)具有执行器测试功能</w:t>
            </w:r>
          </w:p>
          <w:p w14:paraId="2926F5B4">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(4)能读取预设的部分故障和故障码</w:t>
            </w:r>
          </w:p>
          <w:p w14:paraId="7391C5D9">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 该项目内容：支持数据流读取，如电流、电压、转速、温度、加速踏板位置、档位、制动开关、电池相关参数；故障读取如加速踏板故障、温度、电量、等故障；执行器测试如电机转动等测试。</w:t>
            </w:r>
          </w:p>
          <w:p w14:paraId="340DE370">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5、CAN通信数据查看器</w:t>
            </w:r>
          </w:p>
          <w:p w14:paraId="535A4ADB">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(1)能读取到网络内的CAN报文，包含：ID、DLC、DATA</w:t>
            </w:r>
          </w:p>
          <w:p w14:paraId="26702FB9">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(2)属于仪表ECU附加功能，共用仪表显示器、ECU</w:t>
            </w:r>
          </w:p>
          <w:p w14:paraId="661E24D9">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六、其他硬件配置</w:t>
            </w:r>
          </w:p>
          <w:p w14:paraId="78006ED7">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1、程序下载/仿真接口：1个，计算机接口：USB，支持在线仿真调试功能；</w:t>
            </w:r>
          </w:p>
          <w:p w14:paraId="31EA68BF">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2、12V电源适配器：额定电流：≥5A，过流保护功能：具备，过流保护模式：打嗝模式，输入电压：220V AC；</w:t>
            </w:r>
          </w:p>
          <w:p w14:paraId="70A5C27F">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3、8串锂电池充电器：充电电流：≥1.0A，过流保护功能：具备，输入电压：220V AC；</w:t>
            </w:r>
          </w:p>
          <w:p w14:paraId="17F17138">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七、教学资源配置：</w:t>
            </w:r>
          </w:p>
          <w:p w14:paraId="3C546E3E">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1、随货提供电池管理系统电路原理图及电路说明；</w:t>
            </w:r>
          </w:p>
          <w:p w14:paraId="508D6FC5">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2、随货提供系统电器原理图；</w:t>
            </w:r>
          </w:p>
          <w:p w14:paraId="24AEBC25">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3、随货提供实验指导书；</w:t>
            </w:r>
          </w:p>
          <w:p w14:paraId="256CD8C5">
            <w:pPr>
              <w:widowControl/>
              <w:adjustRightInd w:val="0"/>
              <w:snapToGrid w:val="0"/>
              <w:jc w:val="left"/>
              <w:rPr>
                <w:rFonts w:hint="eastAsia" w:ascii="宋体" w:hAnsi="宋体" w:eastAsia="宋体" w:cs="宋体"/>
                <w:kern w:val="0"/>
                <w:sz w:val="24"/>
                <w:szCs w:val="24"/>
                <w:highlight w:val="none"/>
              </w:rPr>
            </w:pPr>
            <w:r>
              <w:rPr>
                <w:rFonts w:hint="eastAsia" w:ascii="宋体" w:hAnsi="宋体" w:eastAsia="宋体" w:cs="宋体"/>
                <w:color w:val="000000"/>
                <w:kern w:val="0"/>
                <w:sz w:val="24"/>
                <w:szCs w:val="24"/>
                <w:highlight w:val="none"/>
              </w:rPr>
              <w:t>4、★</w:t>
            </w:r>
            <w:r>
              <w:rPr>
                <w:rFonts w:hint="eastAsia" w:ascii="宋体" w:hAnsi="宋体" w:eastAsia="宋体" w:cs="宋体"/>
                <w:kern w:val="0"/>
                <w:sz w:val="24"/>
                <w:szCs w:val="24"/>
                <w:highlight w:val="none"/>
              </w:rPr>
              <w:t>提供在线教学资源：教师授课端软件：与设备配套提供不少于48学时理实一体的“在线教学课程”，并可通过网络不断优化、更新。通过“在线教学课程”贯穿课堂，可有效组织、管理课堂教学，提高学生学习积极性，其功能包含：课前考勤、在线PPT教学、教学视频、课堂问答（扫码答题）、设备与软件联机互动（根据学时内容需要）、课堂记录等；学生手机端：可进行考勤、课堂扫码答题、设备操作指导、实验数据记录上传等；教师管理后台：班级导入、考勤管理、课堂问答管理、课堂记录管理等;（投标时提供不少于5张软件功能截图）：</w:t>
            </w:r>
          </w:p>
          <w:p w14:paraId="72C2CA4A">
            <w:pPr>
              <w:widowControl/>
              <w:adjustRightInd w:val="0"/>
              <w:snapToGrid w:val="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1）课程功能：包含所属课程课件、测验、作业、素材、公告、学生管理等内容；</w:t>
            </w:r>
          </w:p>
          <w:p w14:paraId="0849CC78">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kern w:val="0"/>
                <w:sz w:val="24"/>
                <w:szCs w:val="24"/>
                <w:highlight w:val="none"/>
              </w:rPr>
              <w:t>2）创建活动：包含发送课件、发布测试、布置作业、发送素养、班级</w:t>
            </w:r>
            <w:r>
              <w:rPr>
                <w:rFonts w:hint="eastAsia" w:ascii="宋体" w:hAnsi="宋体" w:eastAsia="宋体" w:cs="宋体"/>
                <w:color w:val="000000"/>
                <w:kern w:val="0"/>
                <w:sz w:val="24"/>
                <w:szCs w:val="24"/>
                <w:highlight w:val="none"/>
              </w:rPr>
              <w:t>公告、发起考勤等。</w:t>
            </w:r>
          </w:p>
          <w:p w14:paraId="326C4A7A">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3）作业管理:学生可通过插入文字、播入图片、拍照等各种方式进行内容编辑完成作业上传。</w:t>
            </w:r>
          </w:p>
          <w:p w14:paraId="427E7C2A">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4）成绩管理：包含学生教学平时成绩以及测验成绩的详情汇总。</w:t>
            </w:r>
          </w:p>
          <w:p w14:paraId="6FE64B0E">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八、满足实验功能及配套桌椅</w:t>
            </w:r>
          </w:p>
          <w:p w14:paraId="04ABB6BA">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1、系统应用入门；</w:t>
            </w:r>
          </w:p>
          <w:p w14:paraId="55929AFC">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2、代码与仿真工具使用入门；</w:t>
            </w:r>
          </w:p>
          <w:p w14:paraId="4197003F">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3、主正接触器控制实验</w:t>
            </w:r>
          </w:p>
          <w:p w14:paraId="27AB234A">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4、电流传感器信号采集实验</w:t>
            </w:r>
          </w:p>
          <w:p w14:paraId="44DB94F1">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5、过流与保护实验</w:t>
            </w:r>
          </w:p>
          <w:p w14:paraId="63D6BC2C">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6、烟雾检测与放电控制实验</w:t>
            </w:r>
          </w:p>
          <w:p w14:paraId="08F17F59">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7、电池电压采集实验</w:t>
            </w:r>
          </w:p>
          <w:p w14:paraId="60C793E2">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8、电池包电压采集实验</w:t>
            </w:r>
          </w:p>
          <w:p w14:paraId="3E22B9DB">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9、电池温度采集实验</w:t>
            </w:r>
          </w:p>
          <w:p w14:paraId="4C7E0EA2">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10、CAN总线发送实验</w:t>
            </w:r>
          </w:p>
          <w:p w14:paraId="0D71821D">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11、CAN总线接收实验</w:t>
            </w:r>
          </w:p>
          <w:p w14:paraId="59104687">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12、预充电控制实验</w:t>
            </w:r>
          </w:p>
          <w:p w14:paraId="3FCAD3D6">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13、电池均衡控制综合实验</w:t>
            </w:r>
          </w:p>
          <w:p w14:paraId="195640F6">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14、电池充放电管理综合实验</w:t>
            </w:r>
          </w:p>
          <w:p w14:paraId="13658D64">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15、电池环境管理综合实验</w:t>
            </w:r>
          </w:p>
          <w:p w14:paraId="20C7C2FE">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16、电池SOC估算实验</w:t>
            </w:r>
          </w:p>
          <w:p w14:paraId="4A6DA766">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17、电池SOH评估实验</w:t>
            </w:r>
          </w:p>
          <w:p w14:paraId="746DC8DB">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18、电池管理综合实验</w:t>
            </w:r>
          </w:p>
          <w:p w14:paraId="28D9904F">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19、电池管理系统功能认知实验</w:t>
            </w:r>
          </w:p>
          <w:p w14:paraId="272836DF">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20、充放电管理功能认知与测量实验</w:t>
            </w:r>
          </w:p>
          <w:p w14:paraId="15F0DC35">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21、环境管理功能认知与测量实验</w:t>
            </w:r>
          </w:p>
          <w:p w14:paraId="08D28C24">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22、电池均衡功能认知与测量实验</w:t>
            </w:r>
          </w:p>
          <w:p w14:paraId="45E3984F">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23、CAN总线常见故障排查实训</w:t>
            </w:r>
          </w:p>
          <w:p w14:paraId="50840E8E">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24、配套桌子*1，椅子*6，电源插座（三孔*1，两孔*1，上下错开） AC220V，桌子尺寸：≥2000 mm×750 mm×800 mm（长×宽×高）。桌子配双插座，桌面材质：理化板+防静电胶，桌腿：方钢。</w:t>
            </w:r>
          </w:p>
        </w:tc>
        <w:tc>
          <w:tcPr>
            <w:tcW w:w="530" w:type="dxa"/>
            <w:tcBorders>
              <w:top w:val="nil"/>
              <w:left w:val="nil"/>
              <w:bottom w:val="single" w:color="auto" w:sz="4" w:space="0"/>
              <w:right w:val="single" w:color="auto" w:sz="4" w:space="0"/>
            </w:tcBorders>
            <w:noWrap w:val="0"/>
            <w:vAlign w:val="center"/>
          </w:tcPr>
          <w:p w14:paraId="55434F2D">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台</w:t>
            </w:r>
          </w:p>
        </w:tc>
        <w:tc>
          <w:tcPr>
            <w:tcW w:w="457" w:type="dxa"/>
            <w:tcBorders>
              <w:top w:val="nil"/>
              <w:left w:val="nil"/>
              <w:bottom w:val="single" w:color="auto" w:sz="4" w:space="0"/>
              <w:right w:val="single" w:color="auto" w:sz="4" w:space="0"/>
            </w:tcBorders>
            <w:noWrap w:val="0"/>
            <w:vAlign w:val="center"/>
          </w:tcPr>
          <w:p w14:paraId="4D2F958F">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w:t>
            </w:r>
          </w:p>
        </w:tc>
      </w:tr>
      <w:bookmarkEnd w:id="37"/>
      <w:tr w14:paraId="567619CD">
        <w:tblPrEx>
          <w:tblCellMar>
            <w:top w:w="0" w:type="dxa"/>
            <w:left w:w="108" w:type="dxa"/>
            <w:bottom w:w="0" w:type="dxa"/>
            <w:right w:w="108" w:type="dxa"/>
          </w:tblCellMar>
        </w:tblPrEx>
        <w:trPr>
          <w:trHeight w:val="864" w:hRule="atLeast"/>
          <w:jc w:val="center"/>
        </w:trPr>
        <w:tc>
          <w:tcPr>
            <w:tcW w:w="755" w:type="dxa"/>
            <w:tcBorders>
              <w:top w:val="nil"/>
              <w:left w:val="single" w:color="auto" w:sz="4" w:space="0"/>
              <w:bottom w:val="single" w:color="auto" w:sz="4" w:space="0"/>
              <w:right w:val="single" w:color="auto" w:sz="4" w:space="0"/>
            </w:tcBorders>
            <w:noWrap/>
            <w:vAlign w:val="center"/>
          </w:tcPr>
          <w:p w14:paraId="085D87D2">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p>
        </w:tc>
        <w:tc>
          <w:tcPr>
            <w:tcW w:w="705" w:type="dxa"/>
            <w:tcBorders>
              <w:top w:val="nil"/>
              <w:left w:val="nil"/>
              <w:bottom w:val="single" w:color="auto" w:sz="4" w:space="0"/>
              <w:right w:val="single" w:color="auto" w:sz="4" w:space="0"/>
            </w:tcBorders>
            <w:noWrap w:val="0"/>
            <w:vAlign w:val="center"/>
          </w:tcPr>
          <w:p w14:paraId="06A6A3B0">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示波器</w:t>
            </w:r>
          </w:p>
        </w:tc>
        <w:tc>
          <w:tcPr>
            <w:tcW w:w="7063" w:type="dxa"/>
            <w:tcBorders>
              <w:top w:val="nil"/>
              <w:left w:val="nil"/>
              <w:bottom w:val="single" w:color="auto" w:sz="4" w:space="0"/>
              <w:right w:val="single" w:color="auto" w:sz="4" w:space="0"/>
            </w:tcBorders>
            <w:noWrap w:val="0"/>
            <w:vAlign w:val="center"/>
          </w:tcPr>
          <w:p w14:paraId="3E09C1CF">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传感器可以把模拟信号转换为电信号，并通过示波器进行观察和分析。通过示波器，可以让实验人员随时随地看到信号变化。</w:t>
            </w:r>
          </w:p>
          <w:p w14:paraId="71A68388">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技术参数：</w:t>
            </w:r>
          </w:p>
          <w:p w14:paraId="7DE4C9E4">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 具备数据采集和基础信号分析。</w:t>
            </w:r>
          </w:p>
          <w:p w14:paraId="32164C1D">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 具备长时间波形记录和保存。</w:t>
            </w:r>
          </w:p>
          <w:p w14:paraId="05F9872E">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 具备数据自动存储。</w:t>
            </w:r>
          </w:p>
          <w:p w14:paraId="7EEB4C0F">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 具备光标测量功能。</w:t>
            </w:r>
          </w:p>
          <w:p w14:paraId="58455818">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5. 具备历史数据光标测量功能。 </w:t>
            </w:r>
          </w:p>
          <w:p w14:paraId="33DFFDBF">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 具备实时在线捕捉异常数据功能。</w:t>
            </w:r>
          </w:p>
          <w:p w14:paraId="61D6CE7D">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 具备自动生成测试报告功能。</w:t>
            </w:r>
          </w:p>
          <w:p w14:paraId="1520B705">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 具备自定义采集时间/间隔/次数功能。</w:t>
            </w:r>
          </w:p>
          <w:p w14:paraId="48BC4EC0">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9. 具备支持MAX 2GS/s实时采集功能。</w:t>
            </w:r>
          </w:p>
          <w:p w14:paraId="4205B8A6">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 具备5M存储数据能力。</w:t>
            </w:r>
          </w:p>
          <w:p w14:paraId="3E04890E">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 显示器不小于9寸。</w:t>
            </w:r>
          </w:p>
          <w:p w14:paraId="4A7630CB">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12. 具备USB端口和LAN接口。</w:t>
            </w:r>
          </w:p>
          <w:p w14:paraId="1559FCD9">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13. 采集通道数不少于4路。</w:t>
            </w:r>
          </w:p>
          <w:p w14:paraId="639CCA54">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14. 配套数字万用表1个（手持式、可自动量程、具备直流电压采集精度6/60/600V 0.5%、交流电压采集精度6/60/600V 1%、电阻测量精度0.5%、电容测量）。</w:t>
            </w:r>
          </w:p>
          <w:p w14:paraId="17065A21">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15. 配套CAN收发器1个（OPEN5螺丝端子、2路CAN路数、隔离等级3500VDC、数据接收能力14000帧/秒，发送能力6000帧/秒，支持Window系统驱动，外接120欧终端电阻）。</w:t>
            </w:r>
          </w:p>
          <w:p w14:paraId="48761146">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16. 配套USB转485设备1个（兼容USB2.0、RS485、RS422标准，自动识别数据传输方向、自动侦测串口信号速率）。</w:t>
            </w:r>
          </w:p>
          <w:p w14:paraId="0A3FCC14">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17. 配套逻辑分析仪1个（支持CAN，SPI、UART，IIC等协议解析，带宽400M采样，通道数不少于16，最小可采集脉宽20ns，最长采集时间160秒@100M采样速度、4小时@1M采样率，硬件内存64Mbits，耐压范围±30V）。</w:t>
            </w:r>
          </w:p>
        </w:tc>
        <w:tc>
          <w:tcPr>
            <w:tcW w:w="530" w:type="dxa"/>
            <w:tcBorders>
              <w:top w:val="nil"/>
              <w:left w:val="nil"/>
              <w:bottom w:val="single" w:color="auto" w:sz="4" w:space="0"/>
              <w:right w:val="single" w:color="auto" w:sz="4" w:space="0"/>
            </w:tcBorders>
            <w:noWrap w:val="0"/>
            <w:vAlign w:val="center"/>
          </w:tcPr>
          <w:p w14:paraId="27923702">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台</w:t>
            </w:r>
          </w:p>
        </w:tc>
        <w:tc>
          <w:tcPr>
            <w:tcW w:w="457" w:type="dxa"/>
            <w:tcBorders>
              <w:top w:val="nil"/>
              <w:left w:val="nil"/>
              <w:bottom w:val="single" w:color="auto" w:sz="4" w:space="0"/>
              <w:right w:val="single" w:color="auto" w:sz="4" w:space="0"/>
            </w:tcBorders>
            <w:noWrap w:val="0"/>
            <w:vAlign w:val="center"/>
          </w:tcPr>
          <w:p w14:paraId="194A3317">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w:t>
            </w:r>
          </w:p>
        </w:tc>
      </w:tr>
      <w:tr w14:paraId="697205FA">
        <w:tblPrEx>
          <w:tblCellMar>
            <w:top w:w="0" w:type="dxa"/>
            <w:left w:w="108" w:type="dxa"/>
            <w:bottom w:w="0" w:type="dxa"/>
            <w:right w:w="108" w:type="dxa"/>
          </w:tblCellMar>
        </w:tblPrEx>
        <w:trPr>
          <w:trHeight w:val="715" w:hRule="atLeast"/>
          <w:jc w:val="center"/>
        </w:trPr>
        <w:tc>
          <w:tcPr>
            <w:tcW w:w="755" w:type="dxa"/>
            <w:tcBorders>
              <w:top w:val="nil"/>
              <w:left w:val="single" w:color="auto" w:sz="4" w:space="0"/>
              <w:bottom w:val="single" w:color="auto" w:sz="4" w:space="0"/>
              <w:right w:val="single" w:color="auto" w:sz="4" w:space="0"/>
            </w:tcBorders>
            <w:noWrap/>
            <w:vAlign w:val="center"/>
          </w:tcPr>
          <w:p w14:paraId="313ACE8A">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w:t>
            </w:r>
          </w:p>
        </w:tc>
        <w:tc>
          <w:tcPr>
            <w:tcW w:w="705" w:type="dxa"/>
            <w:tcBorders>
              <w:top w:val="nil"/>
              <w:left w:val="nil"/>
              <w:bottom w:val="single" w:color="auto" w:sz="4" w:space="0"/>
              <w:right w:val="single" w:color="auto" w:sz="4" w:space="0"/>
            </w:tcBorders>
            <w:noWrap w:val="0"/>
            <w:vAlign w:val="center"/>
          </w:tcPr>
          <w:p w14:paraId="53A51C65">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实验教学演示机</w:t>
            </w:r>
          </w:p>
        </w:tc>
        <w:tc>
          <w:tcPr>
            <w:tcW w:w="7063" w:type="dxa"/>
            <w:tcBorders>
              <w:top w:val="nil"/>
              <w:left w:val="nil"/>
              <w:bottom w:val="single" w:color="auto" w:sz="4" w:space="0"/>
              <w:right w:val="single" w:color="auto" w:sz="4" w:space="0"/>
            </w:tcBorders>
            <w:noWrap w:val="0"/>
            <w:vAlign w:val="center"/>
          </w:tcPr>
          <w:p w14:paraId="5BEC2FF8">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t>一、硬件基础设计</w:t>
            </w:r>
          </w:p>
          <w:p w14:paraId="5711F475">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1.整机显示尺寸≥86英寸，采用LED液晶屏体，A规屏，显示比例为16:9，物理分辨率≥3840×2160，且整机支持Windows与Android下20点同时触控及书写。（需在具有CMA或CNAS标识的检测报告中体现功能描述）。</w:t>
            </w:r>
          </w:p>
          <w:p w14:paraId="5AD0351A">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2.整机色彩覆盖率在NTSC色域标准下不低于110%，在Windows系统4K分辨率下，屏幕刷新率可达60Hz画面无闪烁。</w:t>
            </w:r>
          </w:p>
          <w:p w14:paraId="721DDD88">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3.屏幕表面采用≤3.0mm厚度的防眩钢化玻璃，透光率≥90%，表面硬度≥莫氏7级，可达到石英抗划等级，屏体表面强度≥100MPa。</w:t>
            </w:r>
          </w:p>
          <w:p w14:paraId="0DA6609F">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4.整机具备前置笔槽。</w:t>
            </w:r>
          </w:p>
          <w:p w14:paraId="355579DB">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5.整机采用针孔阵列发声设计，具备2.0声道，前置2个≥20W中高音音箱，可单独对高音、低音、平衡音进行调整。（需在具有CNAS或CMA标识检测报告中体现功能描述）。</w:t>
            </w:r>
          </w:p>
          <w:p w14:paraId="0120EF8B">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6.整机扬声器在100%音量下，1 米处声压级≥90db, 10米处声压级≥80dB，谐振频率低于260Hz。</w:t>
            </w:r>
          </w:p>
          <w:p w14:paraId="258ACD3F">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7.整机前置具有中文标识的组合式针孔电脑还原物理按键。</w:t>
            </w:r>
          </w:p>
          <w:p w14:paraId="4F56A873">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8.整机Android 系统版本不低于12.0，具备四核CPU， RAM不小于4G，ROM不小于8G（支持扩展64G存储空间）。（需在具有CNAS或CMA标识检测报告中体现功能描述）。</w:t>
            </w:r>
          </w:p>
          <w:p w14:paraId="3AA9B09B">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9.整机前置按键面板可以单独前拆，且带有中文标识的前置按键不少于6个，至少包含护眼、关闭窗口、多任务等按键，可实现色温的调节、调整音量、开启童锁等功能。</w:t>
            </w:r>
          </w:p>
          <w:p w14:paraId="59D3E085">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10.整机前置接口面板可以单独前拆，至少具备1路Type-C 接口、2路双通道USB Type-A接口（Windows 和Android系统均能被识别）、1路HDMI IN高清（以上均为非转接接口）。（需在具有CNAS或CMA标识检测报告中体现功能描述）。</w:t>
            </w:r>
          </w:p>
          <w:p w14:paraId="0825EF52">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11.前置Type-C接口具备数据传输、充电功能，且前置接口采用隐藏式设计具有翻转式防护盖板，高度不少于4.8cm。（需在具有CNAS或CMA标识检测报告中体现功能描述）。</w:t>
            </w:r>
          </w:p>
          <w:p w14:paraId="460B5B5F">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12.屏幕贴合方式采用全贴合：钢化玻璃和液晶显示层无间隙紧密贴合，无介质填充，无空气间隙，显示效果清晰。</w:t>
            </w:r>
          </w:p>
          <w:p w14:paraId="0BA6E067">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13.屏体具有物理防蓝光功能，无需其他操作即可达到蓝光防护效果，通过扫描整机前置二维码即可获取产品防蓝光检测证书，且可通过带中文标识的前置物理快捷按键在原有物理防蓝光功能上，对现实色彩进行色温的调节。（需在具有CNAS或CMA标识检测报告中体现功能描述）</w:t>
            </w:r>
          </w:p>
          <w:p w14:paraId="26D4C53B">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14.整机内置4K、1300W超高清一体化摄像头，支持2D降噪。</w:t>
            </w:r>
          </w:p>
          <w:p w14:paraId="60D4F1F0">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15.整机内置4阵列麦克风全向拾音距离可达12米，拾音角度≥180°。</w:t>
            </w:r>
          </w:p>
          <w:p w14:paraId="674D58D6">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16.整机后置≥1路HDMI输入接口、≥1路USB Type-B触控接口、≥1路VGA，以上接口不接受扩展。</w:t>
            </w:r>
          </w:p>
          <w:p w14:paraId="7FFE2EBF">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17.整机前面板具有标识的天线模块，包含 2.4G、5G 双频Wifi及蓝牙接发装置，Android与Windows均可无线上网。</w:t>
            </w:r>
          </w:p>
          <w:p w14:paraId="49F23795">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18.内置蓝牙模块工作距离不低于12米;在 Windows 系统下，整机可通过蓝牙模块与蓝牙音箱连接，播放交互设备音频，同时支持与具有蓝牙功能的手机连接,进行文件传输。</w:t>
            </w:r>
          </w:p>
          <w:p w14:paraId="2F2AEC4B">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19.整机的蓝光辐射能量≤0.02W/sr且蓝光加权辐亮度≤0.5W/(sr•m2)，不造成视网膜蓝光危害。（需在具有CNAS/CMA标识的检测报告中体现功能描述）。</w:t>
            </w:r>
          </w:p>
          <w:p w14:paraId="03BC258E">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20.整机具有防强光干扰的性能，在≥400K LUX 的强光照射下，书写等功能可以正常使用。（需在具有CNAS/CMA标识的检测报告中体现功能描述）。</w:t>
            </w:r>
          </w:p>
          <w:p w14:paraId="43CE7758">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21.整机功耗≤300W，符合GB21520-2015 的能源效率等级 1 级要求;（需在具有CNAS/CMA标识的检测报告中体现功能描述）。</w:t>
            </w:r>
          </w:p>
          <w:p w14:paraId="1CD5F0B9">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22.整机采用插拔式电脑模块架构，针脚数≥80pin，屏体与插拔式电脑无单独接线。</w:t>
            </w:r>
          </w:p>
          <w:p w14:paraId="70BF42F4">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t>二、电脑模式</w:t>
            </w:r>
          </w:p>
          <w:p w14:paraId="43898B9F">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1.处理器性能：不低于i5第十二代处理器。</w:t>
            </w:r>
          </w:p>
          <w:p w14:paraId="2DCE046F">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2.内存性能：8G内存或以上配置。</w:t>
            </w:r>
          </w:p>
          <w:p w14:paraId="6FF8FF79">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3.硬盘性能：存储空间256G SSD或以上配置。</w:t>
            </w:r>
          </w:p>
          <w:p w14:paraId="39922F2E">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t>三、移动支架</w:t>
            </w:r>
          </w:p>
          <w:p w14:paraId="0A12C1AA">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1.移动支架正负10度倾斜角度下不能翻倒。</w:t>
            </w:r>
          </w:p>
          <w:p w14:paraId="5F2111FB">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2.承挂≥100kg，壁挂高度可调，整体高度可完美兼容55-86寸交互式一体机放置。</w:t>
            </w:r>
          </w:p>
          <w:p w14:paraId="3A985701">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3.承重底板四角采用圆滑处理，防止碰伤。</w:t>
            </w:r>
          </w:p>
          <w:p w14:paraId="6ED881D6">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4.脚轮为万向轮，均带脚刹，直径、脚轮横纵向间距设计合理。</w:t>
            </w:r>
          </w:p>
          <w:p w14:paraId="3C926AA2">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5.支撑立杆采用方通冷轧钢材质，表面酸洗工艺静电黑色喷涂。</w:t>
            </w:r>
          </w:p>
          <w:p w14:paraId="0E5A75FE">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t>三、无线传屏</w:t>
            </w:r>
          </w:p>
          <w:p w14:paraId="357DA1AF">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1.单usb接口设计，无需额外供电线及其他端口，接收端插入 usb 投屏器即可传屏。</w:t>
            </w:r>
          </w:p>
          <w:p w14:paraId="7211B6EA">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2.5.8G wifi传输信道，1080P分辨率音视频镜像传屏，静态播放最低传输延迟小于120ms。</w:t>
            </w:r>
          </w:p>
          <w:p w14:paraId="01E358F5">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3.支持触摸框或者鼠标触摸回传。</w:t>
            </w:r>
          </w:p>
          <w:p w14:paraId="342CCCFF">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t>四、翻页笔</w:t>
            </w:r>
          </w:p>
          <w:p w14:paraId="11018903">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1.笔身具备防滑结构，整体长度≥165mm，直径≤13.5mm，棱缘与拐角均倒圆与磨光，可平稳放置在平面上，也支持吸附在金属材质及侧边黑板。</w:t>
            </w:r>
          </w:p>
          <w:p w14:paraId="5051EB4F">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2.采用无线通信技术，配备无线发射器（无线Dongle），有效传输距离不低于13米。</w:t>
            </w:r>
          </w:p>
          <w:p w14:paraId="13537BDA">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3.具有应用状态双色指示灯，可在充电与使用不同状态显示不同颜色以便于用户查验产品使用状态。</w:t>
            </w:r>
          </w:p>
          <w:p w14:paraId="1CB3AF4D">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4.伸缩笔身采用ABS防滑设计，伸缩长度≥15cm，其具备带丝印标识的复用功能按键数量≥4个，功能按键可实现翻页、飞鼠、黑幕模式、关闭当前窗口等不少于8种功能。</w:t>
            </w:r>
          </w:p>
          <w:p w14:paraId="01A3DB3C">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备注：包安装调试。</w:t>
            </w:r>
          </w:p>
        </w:tc>
        <w:tc>
          <w:tcPr>
            <w:tcW w:w="530" w:type="dxa"/>
            <w:tcBorders>
              <w:top w:val="nil"/>
              <w:left w:val="nil"/>
              <w:bottom w:val="single" w:color="auto" w:sz="4" w:space="0"/>
              <w:right w:val="single" w:color="auto" w:sz="4" w:space="0"/>
            </w:tcBorders>
            <w:noWrap w:val="0"/>
            <w:vAlign w:val="center"/>
          </w:tcPr>
          <w:p w14:paraId="575B188A">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台</w:t>
            </w:r>
          </w:p>
        </w:tc>
        <w:tc>
          <w:tcPr>
            <w:tcW w:w="457" w:type="dxa"/>
            <w:tcBorders>
              <w:top w:val="nil"/>
              <w:left w:val="nil"/>
              <w:bottom w:val="single" w:color="auto" w:sz="4" w:space="0"/>
              <w:right w:val="single" w:color="auto" w:sz="4" w:space="0"/>
            </w:tcBorders>
            <w:noWrap w:val="0"/>
            <w:vAlign w:val="center"/>
          </w:tcPr>
          <w:p w14:paraId="62C9D475">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w:t>
            </w:r>
          </w:p>
        </w:tc>
      </w:tr>
      <w:tr w14:paraId="1F95D8A5">
        <w:tblPrEx>
          <w:tblCellMar>
            <w:top w:w="0" w:type="dxa"/>
            <w:left w:w="108" w:type="dxa"/>
            <w:bottom w:w="0" w:type="dxa"/>
            <w:right w:w="108" w:type="dxa"/>
          </w:tblCellMar>
        </w:tblPrEx>
        <w:trPr>
          <w:trHeight w:val="864" w:hRule="atLeast"/>
          <w:jc w:val="center"/>
        </w:trPr>
        <w:tc>
          <w:tcPr>
            <w:tcW w:w="755" w:type="dxa"/>
            <w:tcBorders>
              <w:top w:val="nil"/>
              <w:left w:val="single" w:color="auto" w:sz="4" w:space="0"/>
              <w:bottom w:val="single" w:color="auto" w:sz="4" w:space="0"/>
              <w:right w:val="single" w:color="auto" w:sz="4" w:space="0"/>
            </w:tcBorders>
            <w:noWrap/>
            <w:vAlign w:val="center"/>
          </w:tcPr>
          <w:p w14:paraId="795CB598">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34</w:t>
            </w:r>
          </w:p>
        </w:tc>
        <w:tc>
          <w:tcPr>
            <w:tcW w:w="705" w:type="dxa"/>
            <w:tcBorders>
              <w:top w:val="nil"/>
              <w:left w:val="nil"/>
              <w:bottom w:val="single" w:color="auto" w:sz="4" w:space="0"/>
              <w:right w:val="single" w:color="auto" w:sz="4" w:space="0"/>
            </w:tcBorders>
            <w:noWrap/>
            <w:vAlign w:val="center"/>
          </w:tcPr>
          <w:p w14:paraId="5666450B">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电驱动总成装调实验台</w:t>
            </w:r>
          </w:p>
        </w:tc>
        <w:tc>
          <w:tcPr>
            <w:tcW w:w="7063" w:type="dxa"/>
            <w:tcBorders>
              <w:top w:val="nil"/>
              <w:left w:val="nil"/>
              <w:bottom w:val="single" w:color="auto" w:sz="4" w:space="0"/>
              <w:right w:val="single" w:color="auto" w:sz="4" w:space="0"/>
            </w:tcBorders>
            <w:noWrap w:val="0"/>
            <w:vAlign w:val="center"/>
          </w:tcPr>
          <w:p w14:paraId="0068B556">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t>一、产品概述</w:t>
            </w:r>
          </w:p>
          <w:p w14:paraId="7E50AF09">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本产品应主要由电驱动总成装调工作平台金属台体、驱动电机、驱动电机合装机、减速器、减速器翻转机构、永磁同步电机控制器、减速器壳体工装、减速器齿轮组工装、直流电源、桌面开关等组成。</w:t>
            </w:r>
          </w:p>
          <w:p w14:paraId="300705B2">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t>二、关键技术指标</w:t>
            </w:r>
          </w:p>
          <w:p w14:paraId="09E10AA4">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（1）电驱动总成装调工作平台金属台体（单位：毫米）</w:t>
            </w:r>
          </w:p>
          <w:p w14:paraId="04EDEB14">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设备整体设计尺寸：≥1650*820*1600mm（长*宽*高）。</w:t>
            </w:r>
          </w:p>
          <w:p w14:paraId="468E343F">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（2）永磁同步电机</w:t>
            </w:r>
          </w:p>
          <w:p w14:paraId="7D97310A">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整体尺寸：≥400*370*320mm  （长*宽*高）。</w:t>
            </w:r>
          </w:p>
          <w:p w14:paraId="2514618D">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驱动电压：≤80V DC。</w:t>
            </w:r>
          </w:p>
          <w:p w14:paraId="554DA862">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额定功率：≥80KW。</w:t>
            </w:r>
          </w:p>
          <w:p w14:paraId="13835A6F">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额定转速：≥5100r/min。</w:t>
            </w:r>
          </w:p>
          <w:p w14:paraId="52C3C185">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最大输出扭矩：≥300N.m。</w:t>
            </w:r>
          </w:p>
          <w:p w14:paraId="152BA82E">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极对数：≥4。</w:t>
            </w:r>
          </w:p>
          <w:p w14:paraId="07A725C0">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绝缘等级：H。</w:t>
            </w:r>
          </w:p>
          <w:p w14:paraId="3F527649">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冷却方式：液冷。</w:t>
            </w:r>
          </w:p>
          <w:p w14:paraId="5ED01513">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重量：≥50Kg。</w:t>
            </w:r>
          </w:p>
          <w:p w14:paraId="23FE1632">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（3）驱动电机合装机</w:t>
            </w:r>
          </w:p>
          <w:p w14:paraId="4F5E3009">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整体尺寸：≥1050*340*325mm  （长*宽*高）。</w:t>
            </w:r>
          </w:p>
          <w:p w14:paraId="7462420C">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丝杠螺母机构：≥2路。</w:t>
            </w:r>
          </w:p>
          <w:p w14:paraId="7B1AD8E5">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丝杠有效行程：≥800mm。</w:t>
            </w:r>
          </w:p>
          <w:p w14:paraId="79D707B7">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顶针中心高度：≤285mm。</w:t>
            </w:r>
          </w:p>
          <w:p w14:paraId="1857A0C2">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手摇轮：≥2个。</w:t>
            </w:r>
          </w:p>
          <w:p w14:paraId="2E8D1096">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（4）减速器</w:t>
            </w:r>
          </w:p>
          <w:p w14:paraId="101B1E10">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整体尺寸：≥470*320*210mm  （长*宽*高）。</w:t>
            </w:r>
          </w:p>
          <w:p w14:paraId="37656B32">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类型：固定齿比变速器。</w:t>
            </w:r>
          </w:p>
          <w:p w14:paraId="5CA74ECA">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（5）减速器翻转机构</w:t>
            </w:r>
          </w:p>
          <w:p w14:paraId="3F3F63E5">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整体尺寸：≥575*75*250mm  （长*宽*高）。</w:t>
            </w:r>
          </w:p>
          <w:p w14:paraId="157FC967">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翻转角度：≥270°。</w:t>
            </w:r>
          </w:p>
          <w:p w14:paraId="36AC7208">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减速比：≥40。</w:t>
            </w:r>
          </w:p>
          <w:p w14:paraId="78FF0BAE">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输入轴：≥10mm。</w:t>
            </w:r>
          </w:p>
          <w:p w14:paraId="0356123B">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输出孔：≥14mm。手摇轮外径：≥100mm。</w:t>
            </w:r>
          </w:p>
          <w:p w14:paraId="3D486ADB">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（6）永磁同步电机驱动器</w:t>
            </w:r>
          </w:p>
          <w:p w14:paraId="7A96A2CF">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整体尺寸：≥255*240*130mm  （长*宽*高）。</w:t>
            </w:r>
          </w:p>
          <w:p w14:paraId="786B1E84">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额定电压：80-360V DC。</w:t>
            </w:r>
          </w:p>
          <w:p w14:paraId="6291D76F">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额定电流：≥53A。</w:t>
            </w:r>
          </w:p>
          <w:p w14:paraId="40C098AB">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控制电压：10.5-30V DC。</w:t>
            </w:r>
          </w:p>
          <w:p w14:paraId="2CFF52F9">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额定功率：≤12KW。</w:t>
            </w:r>
          </w:p>
          <w:p w14:paraId="24ED9CDE">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通讯方式：CAN。</w:t>
            </w:r>
          </w:p>
          <w:p w14:paraId="752A2E16">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重量：≥5.4kg。</w:t>
            </w:r>
          </w:p>
          <w:p w14:paraId="6987ADE4">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冷却方式：自然冷却。</w:t>
            </w:r>
          </w:p>
          <w:p w14:paraId="19C262B4">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最高效率（不含电机）：≥93%。</w:t>
            </w:r>
          </w:p>
          <w:p w14:paraId="1A193B9E">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（6）直流电源</w:t>
            </w:r>
          </w:p>
          <w:p w14:paraId="6AE93A24">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输入功率：≥2.2KW。</w:t>
            </w:r>
          </w:p>
          <w:p w14:paraId="5BBA6711">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输入电压：220V AC。</w:t>
            </w:r>
          </w:p>
          <w:p w14:paraId="07C3BD88">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输出电压：0-345V DC。</w:t>
            </w:r>
          </w:p>
          <w:p w14:paraId="01E99717">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电压显示精度：0.1V。</w:t>
            </w:r>
          </w:p>
          <w:p w14:paraId="16BA7E9D">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电流显示精度：0.1A。</w:t>
            </w:r>
          </w:p>
          <w:p w14:paraId="380B86EB">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（7）桌*1椅*6。桌子尺寸：≥2000 mm×750 mm×800 mm（长×宽×高）。桌子配双电源插座并安装。桌面材质：理化板+防静电胶，桌腿：方钢。</w:t>
            </w:r>
          </w:p>
          <w:p w14:paraId="76570F86">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t>三、产品功能要求</w:t>
            </w:r>
          </w:p>
          <w:p w14:paraId="0DE8A808">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电驱动总成装调工作平台应主要由电机装调区、零件收纳区、减速器装调区、工具收纳区四大功能区组成。</w:t>
            </w:r>
          </w:p>
          <w:p w14:paraId="6F6C7E4A">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平台主体采用整体结构设计，主体外壳采用≥1.5mm厚冷轧板，严格按照钣金加工工艺操作，酸洗、喷塑、丝印。主体框架采用钢结构焊接，表面采用防静电喷涂工艺处理，系统部件通过激光切割和数控加工结构件，配置带锁止功能的万向静音脚轮。</w:t>
            </w:r>
          </w:p>
          <w:p w14:paraId="2E483A65">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（1）电机装调区</w:t>
            </w:r>
          </w:p>
          <w:p w14:paraId="60BB9070">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电机装调区应由电机合装机、驱动电机、电机控制器、减速器、减速器翻转机构、手摇轮等部件组成，可用于驱动电机总成拆装调试作业，减速器装调作业。</w:t>
            </w:r>
          </w:p>
          <w:p w14:paraId="29855952">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驱动电机应选用新能源汽车原车驱动电机，应主要包含转子总成、定子总成、三相转接板、三相接线柱、后端盖、温度传感器、旋变传感器等，配和合装机能够满足用户对驱动电机的拆装调试需求。</w:t>
            </w:r>
          </w:p>
          <w:p w14:paraId="33304F93">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驱动电机合装机应包含长顶针、短顶针、定子固定板、丝杠螺母机构、锁止滑块、手摇轮合装机底座等部件。合装机控制方式应采用手摇控制，通过配置的手摇轮控制电机拆装过程中的部件移动，以达到合理合装分离电机定子总成与转子总成的目的，同时在拆装过程中应满足转子磁感应强度、三相绕组冷态直流电阻、三相绕组对温度传感器绝缘电阻等数据的测量。合装机主体结构为铝型材切割加工，丝杠模组严格按照丝杠加工工艺操作，通过冷拔、滚花、车螺纹、校正、切断、倒角等一系列加工工艺制作而成，经电镀表面处理可防锈防腐。</w:t>
            </w:r>
          </w:p>
          <w:p w14:paraId="4AE18E52">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（2）零件收纳区</w:t>
            </w:r>
          </w:p>
          <w:p w14:paraId="461E121D">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零件收纳区应满足临时收纳拆装时的螺栓、线束、插头及工具，需配置超大双挂钩、超大单挂钩、研磨机拖、小挂钩等红色挂件，便于零件临时收纳取用。</w:t>
            </w:r>
          </w:p>
          <w:p w14:paraId="28B0A722">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（3）减速器装调区</w:t>
            </w:r>
          </w:p>
          <w:p w14:paraId="7713F0E7">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减速器装调区应配有减速器壳体工装与减速器齿轮组工装，用于变速箱壳体与齿轮组件的装调与清洁。</w:t>
            </w:r>
          </w:p>
          <w:p w14:paraId="039808DC">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（4）工具收纳区</w:t>
            </w:r>
          </w:p>
          <w:p w14:paraId="18B382F3">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设备下半部分应设有自吸抽屉且根据零部件开模的内衬卡槽。应配备收纳盒、键盘、鼠标、月牙扳手、合装机顶针、输入轴油封安装工具、合装机顶针支架、差速器油封安装工具、滚花高头螺栓，用于驱动电机的辅助拆装、调试。同时配备空白内衬，用于用户收纳零配件使用。</w:t>
            </w:r>
          </w:p>
          <w:p w14:paraId="3C10DA7B">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t>四、配套驱动电机拆装与检测虚拟检测教学软件：</w:t>
            </w:r>
            <w:r>
              <w:rPr>
                <w:rFonts w:hint="eastAsia" w:ascii="宋体" w:hAnsi="宋体" w:eastAsia="宋体" w:cs="宋体"/>
                <w:color w:val="000000"/>
                <w:kern w:val="0"/>
                <w:sz w:val="24"/>
                <w:szCs w:val="24"/>
                <w:highlight w:val="none"/>
              </w:rPr>
              <w:t>软件要求所包含模型为VR虚拟现实环境下1：1建模而成，构造精致，同屏面数高，巅峰值达到2500万，完美展示汽车零件的细节结构，模型精度至少达到1CM。软件要求在兼顾性能的同时，对画面优化，在处理画面时运用先进技术进行抗锯齿，可以采用的技术诸如Multi-Sampling Anti-Aliasing、Time Anti-Aliasing等。2000万以上多边形场景加载时间少于15秒，百万级多边形场景加载时间小于5秒。</w:t>
            </w:r>
          </w:p>
          <w:p w14:paraId="1D628F1B">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1、教学内容：软件以秦EV车型为原型进行等比例建模，内容应符合维修手册的操作流程，虚拟教学内容应如实反映实际工作流程和操作。</w:t>
            </w:r>
          </w:p>
          <w:p w14:paraId="31BDD8ED">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2、教学模式：按比亚迪秦EV为原型，应院校教学需求，软件分为两种教学模式：教学/练习模式、实训考核模式。</w:t>
            </w:r>
          </w:p>
          <w:p w14:paraId="6F4F8D0D">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教学模式下，仿真教学系统V2.0具有引导操作（语音引导、文字引导、高亮提示、虚模等）功能，指引学生如何联系操作，学生也可自主关闭部分提示功能（如语音提示、高亮提示）。</w:t>
            </w:r>
          </w:p>
          <w:p w14:paraId="103A7239">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考试模式下，不含任何提示功能，学生需完全自主完成考核任务，考核完成后，需有成绩统计功能。</w:t>
            </w:r>
          </w:p>
          <w:p w14:paraId="42F0FE83">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3、★教学课程：软件包含驱动电机系统结构认知、驱动电机系统分解两大教学系统。（提供教学课程以下功能的演示截图）</w:t>
            </w:r>
          </w:p>
          <w:p w14:paraId="3EF5F2CA">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(1)驱动电机系统结构认知：包含驱动电机的结构认知、电机控制器的结构认知、变速器的结构认知共3个课程模块：</w:t>
            </w:r>
          </w:p>
          <w:p w14:paraId="32664728">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①驱动电机的结构认知：模型可进行显示/隐藏/虚化三状切换，模型可进行放大、缩小、旋转、拖拽。模型包含：旋变端盖、旋变压板、旋变定子、旋变转子、电机定子总成、水道内胆（电机壳体）、电机转子总成、平垫片、波形垫片、轴承、轴承卡簧、热套环。</w:t>
            </w:r>
          </w:p>
          <w:p w14:paraId="0E93F022">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②电机控制器的结构认知：模型可进行显示/隐藏/虚化三状切换，模型可进行放大、缩小、旋转、拖拽。模型包含：电机控制器端盖、主控板母线电容连接线、电控信号线束、主控板、主控板安装支架、三相线母排、霍尔电流传感器、直流母线、直流母排、扼流环、母线接线座、三相线绝缘座、驱动板、IGBT、母线电容、电机控制器壳体、电控水道外板、通气阀。</w:t>
            </w:r>
          </w:p>
          <w:p w14:paraId="1C33886B">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③变速器的结构认知：模型可进行显示/隐藏/虚化三状切换，模型可进行放大、缩小、旋转、拖拽。模型包含：进油孔螺栓、出油孔螺栓、固定支架1、固定支架2、变速器端盖、油封1、油封等。</w:t>
            </w:r>
          </w:p>
        </w:tc>
        <w:tc>
          <w:tcPr>
            <w:tcW w:w="530" w:type="dxa"/>
            <w:tcBorders>
              <w:top w:val="nil"/>
              <w:left w:val="nil"/>
              <w:bottom w:val="single" w:color="auto" w:sz="4" w:space="0"/>
              <w:right w:val="single" w:color="auto" w:sz="4" w:space="0"/>
            </w:tcBorders>
            <w:noWrap/>
            <w:vAlign w:val="center"/>
          </w:tcPr>
          <w:p w14:paraId="17EACA58">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台</w:t>
            </w:r>
          </w:p>
        </w:tc>
        <w:tc>
          <w:tcPr>
            <w:tcW w:w="457" w:type="dxa"/>
            <w:tcBorders>
              <w:top w:val="nil"/>
              <w:left w:val="nil"/>
              <w:bottom w:val="single" w:color="auto" w:sz="4" w:space="0"/>
              <w:right w:val="single" w:color="auto" w:sz="4" w:space="0"/>
            </w:tcBorders>
            <w:noWrap/>
            <w:vAlign w:val="center"/>
          </w:tcPr>
          <w:p w14:paraId="35F315EE">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w:t>
            </w:r>
          </w:p>
        </w:tc>
      </w:tr>
      <w:tr w14:paraId="08DE63C8">
        <w:tblPrEx>
          <w:tblCellMar>
            <w:top w:w="0" w:type="dxa"/>
            <w:left w:w="108" w:type="dxa"/>
            <w:bottom w:w="0" w:type="dxa"/>
            <w:right w:w="108" w:type="dxa"/>
          </w:tblCellMar>
        </w:tblPrEx>
        <w:trPr>
          <w:trHeight w:val="864" w:hRule="atLeast"/>
          <w:jc w:val="center"/>
        </w:trPr>
        <w:tc>
          <w:tcPr>
            <w:tcW w:w="755" w:type="dxa"/>
            <w:tcBorders>
              <w:top w:val="nil"/>
              <w:left w:val="single" w:color="auto" w:sz="4" w:space="0"/>
              <w:bottom w:val="single" w:color="auto" w:sz="4" w:space="0"/>
              <w:right w:val="single" w:color="auto" w:sz="4" w:space="0"/>
            </w:tcBorders>
            <w:noWrap/>
            <w:vAlign w:val="center"/>
          </w:tcPr>
          <w:p w14:paraId="00806C17">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w:t>
            </w:r>
          </w:p>
        </w:tc>
        <w:tc>
          <w:tcPr>
            <w:tcW w:w="705" w:type="dxa"/>
            <w:tcBorders>
              <w:top w:val="nil"/>
              <w:left w:val="nil"/>
              <w:bottom w:val="single" w:color="auto" w:sz="4" w:space="0"/>
              <w:right w:val="single" w:color="auto" w:sz="4" w:space="0"/>
            </w:tcBorders>
            <w:noWrap w:val="0"/>
            <w:vAlign w:val="center"/>
          </w:tcPr>
          <w:p w14:paraId="5EE3509B">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动力电池热管理综合实验台</w:t>
            </w:r>
          </w:p>
        </w:tc>
        <w:tc>
          <w:tcPr>
            <w:tcW w:w="7063" w:type="dxa"/>
            <w:tcBorders>
              <w:top w:val="nil"/>
              <w:left w:val="nil"/>
              <w:bottom w:val="single" w:color="auto" w:sz="4" w:space="0"/>
              <w:right w:val="single" w:color="auto" w:sz="4" w:space="0"/>
            </w:tcBorders>
            <w:noWrap w:val="0"/>
            <w:vAlign w:val="center"/>
          </w:tcPr>
          <w:p w14:paraId="01B1D001">
            <w:pPr>
              <w:widowControl/>
              <w:adjustRightInd w:val="0"/>
              <w:snapToGrid w:val="0"/>
              <w:jc w:val="lef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一、功能特点</w:t>
            </w:r>
          </w:p>
          <w:p w14:paraId="5A7DF939">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 电池包为18650磷酸铁锂动力电池包，标称电压36V，动力电池包透明防爆设计，直观内部零部件和连接方式；采用安全可拆卸组装结构，用户可以手动拆装电池包。</w:t>
            </w:r>
          </w:p>
          <w:p w14:paraId="5728A381">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 为实现电池包热管理功能，电池包安装平板式液冷板，每节电池充分与液冷板接触，实现良好的热传递。液冷板内流动冷却液，可将电池产生的热量带走，也可将冷却液加热后循环到液冷板，实现给电池加热功能。</w:t>
            </w:r>
          </w:p>
          <w:p w14:paraId="6AB674A5">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 电池管理单元（BMS）由BMS压采集器、BMS主控器、绝缘检测器、霍尔电流传感器、高压分配单元（包括主正继电器、主负继电器、预充电电阻及继电器、充电控制继电器）、车载充电机、DC-DC变换器等配件组成，具备有动力电池组电压、温度、漏电等信号采集功能，带有水冷散热管道，根据BMS主控器指令控制预充继电器、主正继电器、主负继电器和充电继电器等进行相应的输出动作。车载充电机具有快充或慢充功能，通过开关切换。</w:t>
            </w:r>
          </w:p>
          <w:p w14:paraId="74423549">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 BMS单元具备有动力电池组电压、温度、烟雾、绝缘等信号采集装置，并控制散热风扇、继电器等热管理部件进行相应的输出动作，具备均衡电流不小于100mA的被动均衡能力，具备两路隔离CAN通讯，BMS温度和电压采集点比例1:1。</w:t>
            </w:r>
          </w:p>
          <w:p w14:paraId="4806867C">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 动力电池包温度传感器有两种方式，一种是由可调电位器实现的虚拟温度传感器，通过调节电位器模拟电池产生-15℃到60℃温度，以方便实现电池包热管理过程，虚拟温度传感器显示在设置界面，只允许老师操作，禁止学生操作。二是动力电池包温度传感器使用真实温度传感器，实时测每节电池温度，两种传感器温度显示在上位机中，方便实验时控制与观察。</w:t>
            </w:r>
          </w:p>
          <w:p w14:paraId="3E46B900">
            <w:pPr>
              <w:widowControl/>
              <w:adjustRightInd w:val="0"/>
              <w:snapToGrid w:val="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6.★开源电池管理系统（BMS）的C语言源代码及电路设计原理图和PCB图，以方便学生进行二次开发。</w:t>
            </w:r>
          </w:p>
          <w:p w14:paraId="0EF1EC92">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 空调压缩机及控制系统。空调压缩机在控制器控制下运转，驱动冷媒循环，使用纯电动车变频空调电动压缩机、冷凝器（板式换热器）、蒸发器（板式换热器）、高低压管路组成及水路；配备循环水泵，实现冷却液循环；配备空调压力表显示空调系统工作时实际高压及低压数值。能够实现制冷输出或制热输出，通过上位机控制电池包加热或制冷。配备散热风扇，实现多余能量的排放。</w:t>
            </w:r>
          </w:p>
          <w:p w14:paraId="257965EC">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板式换热器及散热水箱风扇。板式换热器主要是将空调压缩冷媒产生的制冷量转换为冷却液制冷量，并循环到电池包实现电池包降温度或升温。板式换热器使用不锈钢材质，换热量不低于1000W，两个板式换热器，一个做为蒸发器使用，一个做为冷凝器使用，另配散热水箱和电子风扇给板式换热器散热（或散冷）。</w:t>
            </w:r>
          </w:p>
          <w:p w14:paraId="6C700538">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9. 电子三通水阀及电子水泵：电子三通水阀控制冷却液流向，当给电池制冷时将冷水循环到电池包，需要给电池加热时将热水循环到电池包，电子水泵控制冷却液流速流量，电子三通阀在电子水泵在BMS主控板控制下工作，即BMS主控板控制三通水阀的开关状态，并通过PWM方式控制电子水泵的转速。</w:t>
            </w:r>
          </w:p>
          <w:p w14:paraId="5CB8ACA1">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 充电枪及车载充电机：充电枪为国标充电枪，充电机最大输出电流不低于15A，确保在30分钟内给电池包补充电量为总电量总容量的50%以上，充电枪快速给电池组充电以达到电池有温度上升效果，为实现电池热管理实验创造条件。</w:t>
            </w:r>
          </w:p>
          <w:p w14:paraId="7CE551B4">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 放电负载以控制系统：放电负载使用大功率铝壳电阻，为实现可控功率放电，分为四档，确保在30分中内放电量可达电池包总容量的50%以上。</w:t>
            </w:r>
          </w:p>
          <w:p w14:paraId="2010E541">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12.12V低压系统：配备12V 50A电瓶为控制系统提供电源，并为电子风扇供电。配备DC-DC变换器，实现48V电池组给12V电瓶充电。</w:t>
            </w:r>
          </w:p>
          <w:p w14:paraId="4DC0D92D">
            <w:pPr>
              <w:widowControl/>
              <w:adjustRightInd w:val="0"/>
              <w:snapToGrid w:val="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13.触屏一体机及上位机软件：可以显示电池管理系统的每节电池电压、真实温度数据，一个虚拟温度数据。上位机软件可以实现电池包的冷却与加热控制，能显示（并记录）电池剩余电量、每节电池电压、电池温度、热管理执行部件启停等信息，并能显示故障提示信息等，全程实验数据试验后可导出。</w:t>
            </w:r>
          </w:p>
          <w:p w14:paraId="62E7BB76">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14.检测面板：绘制控制器连接原理图并安装检测端子，可以检测热泵空调控制器及电池管理系统的所有信号。</w:t>
            </w:r>
          </w:p>
          <w:p w14:paraId="097101A8">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15. 提供BMS管理系统电路设计图和C语言源程序；提供热泵空调控制器电路图及C语言源程序；提供整车控制器CAN通信协议。</w:t>
            </w:r>
          </w:p>
          <w:p w14:paraId="1FFC7564">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16. 系统自带诊断仪功能，能进行教学系统内的数据流读取、故障码读取、执行器测试功能。</w:t>
            </w:r>
          </w:p>
          <w:p w14:paraId="79C862C5">
            <w:pPr>
              <w:widowControl/>
              <w:adjustRightInd w:val="0"/>
              <w:snapToGrid w:val="0"/>
              <w:jc w:val="lef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二、技术参数</w:t>
            </w:r>
          </w:p>
          <w:p w14:paraId="005BE46E">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 材质</w:t>
            </w:r>
          </w:p>
          <w:p w14:paraId="4C8B8E29">
            <w:pPr>
              <w:widowControl/>
              <w:adjustRightInd w:val="0"/>
              <w:snapToGrid w:val="0"/>
              <w:ind w:left="-74"/>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主体材料采用1.5mm冷轧钢板；</w:t>
            </w:r>
          </w:p>
          <w:p w14:paraId="4D62161A">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2.设备工作电源：</w:t>
            </w:r>
          </w:p>
          <w:p w14:paraId="52D581ED">
            <w:pPr>
              <w:widowControl/>
              <w:adjustRightInd w:val="0"/>
              <w:snapToGrid w:val="0"/>
              <w:ind w:left="-105" w:leftChars="-5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（1）220V交流电，功率≤1500W；</w:t>
            </w:r>
          </w:p>
          <w:p w14:paraId="4F4943B3">
            <w:pPr>
              <w:widowControl/>
              <w:adjustRightInd w:val="0"/>
              <w:snapToGrid w:val="0"/>
              <w:ind w:left="315" w:hanging="389"/>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（2）设备工作温度：-20°～+40°；</w:t>
            </w:r>
          </w:p>
          <w:p w14:paraId="473F9B9D">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3. 动力电池： </w:t>
            </w:r>
          </w:p>
          <w:p w14:paraId="1B16BC3B">
            <w:pPr>
              <w:widowControl/>
              <w:numPr>
                <w:ilvl w:val="0"/>
                <w:numId w:val="1"/>
              </w:numPr>
              <w:adjustRightInd w:val="0"/>
              <w:snapToGrid w:val="0"/>
              <w:ind w:left="-105" w:leftChars="-5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动力电池包容量： ≥15AH。</w:t>
            </w:r>
          </w:p>
          <w:p w14:paraId="1AF4D744">
            <w:pPr>
              <w:widowControl/>
              <w:numPr>
                <w:ilvl w:val="0"/>
                <w:numId w:val="1"/>
              </w:numPr>
              <w:adjustRightInd w:val="0"/>
              <w:snapToGrid w:val="0"/>
              <w:ind w:left="-105" w:leftChars="-5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充放电循环次数： 2000次</w:t>
            </w:r>
          </w:p>
          <w:p w14:paraId="6B1CF615">
            <w:pPr>
              <w:widowControl/>
              <w:numPr>
                <w:ilvl w:val="0"/>
                <w:numId w:val="1"/>
              </w:numPr>
              <w:adjustRightInd w:val="0"/>
              <w:snapToGrid w:val="0"/>
              <w:ind w:left="-105" w:leftChars="-5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工作温度：  -20°～60°。</w:t>
            </w:r>
          </w:p>
          <w:p w14:paraId="19074749">
            <w:pPr>
              <w:widowControl/>
              <w:numPr>
                <w:ilvl w:val="0"/>
                <w:numId w:val="1"/>
              </w:numPr>
              <w:adjustRightInd w:val="0"/>
              <w:snapToGrid w:val="0"/>
              <w:ind w:left="-105" w:leftChars="-5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热管理方式：液冷板冷却(投标时提供带液冷板的电池包实物图片)</w:t>
            </w:r>
          </w:p>
          <w:p w14:paraId="50FF7B64">
            <w:pPr>
              <w:widowControl/>
              <w:numPr>
                <w:ilvl w:val="0"/>
                <w:numId w:val="1"/>
              </w:numPr>
              <w:adjustRightInd w:val="0"/>
              <w:snapToGrid w:val="0"/>
              <w:ind w:left="-105" w:leftChars="-5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电池温度传感器：1个液冷板进口温度传感器，1个出口温度传感器，10个电池温度传感器，1个可调电位器的虚拟温度传感器。</w:t>
            </w:r>
          </w:p>
          <w:p w14:paraId="4AE9B12B">
            <w:pPr>
              <w:widowControl/>
              <w:numPr>
                <w:ilvl w:val="0"/>
                <w:numId w:val="1"/>
              </w:numPr>
              <w:adjustRightInd w:val="0"/>
              <w:snapToGrid w:val="0"/>
              <w:ind w:left="-105" w:leftChars="-5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★含两个独立电池模组，每个电池模组尺寸≤200mm*180mm*160mm。 </w:t>
            </w:r>
          </w:p>
          <w:p w14:paraId="6096FBAE">
            <w:pPr>
              <w:widowControl/>
              <w:numPr>
                <w:ilvl w:val="0"/>
                <w:numId w:val="1"/>
              </w:numPr>
              <w:adjustRightInd w:val="0"/>
              <w:snapToGrid w:val="0"/>
              <w:ind w:left="-105" w:leftChars="-5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★可拆卸组装结构，便于用户拆装维护电池包，附拆卸及安装工具。</w:t>
            </w:r>
          </w:p>
          <w:p w14:paraId="254542ED">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4.涡旋式汽车空调电动压缩机及控制器：</w:t>
            </w:r>
          </w:p>
          <w:p w14:paraId="0671F378">
            <w:pPr>
              <w:widowControl/>
              <w:numPr>
                <w:ilvl w:val="0"/>
                <w:numId w:val="2"/>
              </w:numPr>
              <w:adjustRightInd w:val="0"/>
              <w:snapToGrid w:val="0"/>
              <w:ind w:left="-105" w:leftChars="-5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制冷剂：R134a</w:t>
            </w:r>
          </w:p>
          <w:p w14:paraId="51A2BBFD">
            <w:pPr>
              <w:widowControl/>
              <w:numPr>
                <w:ilvl w:val="0"/>
                <w:numId w:val="2"/>
              </w:numPr>
              <w:adjustRightInd w:val="0"/>
              <w:snapToGrid w:val="0"/>
              <w:ind w:left="-105" w:leftChars="-5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冷冻油：RL22H  150mL </w:t>
            </w:r>
          </w:p>
          <w:p w14:paraId="1C0271E8">
            <w:pPr>
              <w:widowControl/>
              <w:numPr>
                <w:ilvl w:val="0"/>
                <w:numId w:val="2"/>
              </w:numPr>
              <w:adjustRightInd w:val="0"/>
              <w:snapToGrid w:val="0"/>
              <w:ind w:left="-105" w:leftChars="-5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电机类型：BLDC</w:t>
            </w:r>
          </w:p>
          <w:p w14:paraId="773D426E">
            <w:pPr>
              <w:widowControl/>
              <w:numPr>
                <w:ilvl w:val="0"/>
                <w:numId w:val="2"/>
              </w:numPr>
              <w:adjustRightInd w:val="0"/>
              <w:snapToGrid w:val="0"/>
              <w:ind w:left="-105" w:leftChars="-5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运行噪音：小于40db</w:t>
            </w:r>
          </w:p>
          <w:p w14:paraId="494649EB">
            <w:pPr>
              <w:widowControl/>
              <w:numPr>
                <w:ilvl w:val="0"/>
                <w:numId w:val="2"/>
              </w:numPr>
              <w:adjustRightInd w:val="0"/>
              <w:snapToGrid w:val="0"/>
              <w:ind w:left="-105" w:leftChars="-5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输入电压范围：12V-24V DC</w:t>
            </w:r>
          </w:p>
          <w:p w14:paraId="30CAC0F2">
            <w:pPr>
              <w:widowControl/>
              <w:numPr>
                <w:ilvl w:val="0"/>
                <w:numId w:val="2"/>
              </w:numPr>
              <w:adjustRightInd w:val="0"/>
              <w:snapToGrid w:val="0"/>
              <w:ind w:left="-105" w:leftChars="-5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温控电阻：4.8千欧</w:t>
            </w:r>
          </w:p>
          <w:p w14:paraId="55AD5C45">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5.板式换热器 2件：</w:t>
            </w:r>
          </w:p>
          <w:p w14:paraId="3C6984CB">
            <w:pPr>
              <w:widowControl/>
              <w:numPr>
                <w:ilvl w:val="0"/>
                <w:numId w:val="3"/>
              </w:numPr>
              <w:adjustRightInd w:val="0"/>
              <w:snapToGrid w:val="0"/>
              <w:ind w:left="-105" w:leftChars="-5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排量：热交换功率 ≤500</w:t>
            </w:r>
          </w:p>
          <w:p w14:paraId="2925A20A">
            <w:pPr>
              <w:widowControl/>
              <w:numPr>
                <w:ilvl w:val="0"/>
                <w:numId w:val="3"/>
              </w:numPr>
              <w:adjustRightInd w:val="0"/>
              <w:snapToGrid w:val="0"/>
              <w:ind w:left="-105" w:leftChars="-5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冷媒：R134a</w:t>
            </w:r>
          </w:p>
          <w:p w14:paraId="58F81A24">
            <w:pPr>
              <w:widowControl/>
              <w:numPr>
                <w:ilvl w:val="0"/>
                <w:numId w:val="3"/>
              </w:numPr>
              <w:adjustRightInd w:val="0"/>
              <w:snapToGrid w:val="0"/>
              <w:ind w:left="-105" w:leftChars="-5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冷却液：乙二醇   900ml</w:t>
            </w:r>
          </w:p>
          <w:p w14:paraId="6142C172">
            <w:pPr>
              <w:widowControl/>
              <w:numPr>
                <w:ilvl w:val="0"/>
                <w:numId w:val="3"/>
              </w:numPr>
              <w:adjustRightInd w:val="0"/>
              <w:snapToGrid w:val="0"/>
              <w:ind w:left="-105" w:leftChars="-5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换热面积：≥0.35m2</w:t>
            </w:r>
          </w:p>
          <w:p w14:paraId="1A163371">
            <w:pPr>
              <w:widowControl/>
              <w:numPr>
                <w:ilvl w:val="0"/>
                <w:numId w:val="3"/>
              </w:numPr>
              <w:adjustRightInd w:val="0"/>
              <w:snapToGrid w:val="0"/>
              <w:ind w:left="-105" w:leftChars="-5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冷媒接口：≤Ø13mm*2</w:t>
            </w:r>
          </w:p>
          <w:p w14:paraId="78C2DCD0">
            <w:pPr>
              <w:widowControl/>
              <w:numPr>
                <w:ilvl w:val="0"/>
                <w:numId w:val="3"/>
              </w:numPr>
              <w:adjustRightInd w:val="0"/>
              <w:snapToGrid w:val="0"/>
              <w:ind w:left="-105" w:leftChars="-5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冷却液接口：≤DN20</w:t>
            </w:r>
          </w:p>
          <w:p w14:paraId="2E7DCBA7">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6.散热水箱及风扇 2套：</w:t>
            </w:r>
          </w:p>
          <w:p w14:paraId="182DE570">
            <w:pPr>
              <w:widowControl/>
              <w:numPr>
                <w:ilvl w:val="0"/>
                <w:numId w:val="4"/>
              </w:numPr>
              <w:adjustRightInd w:val="0"/>
              <w:snapToGrid w:val="0"/>
              <w:ind w:left="-105" w:leftChars="-5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工作电压范围：≥12DC</w:t>
            </w:r>
          </w:p>
          <w:p w14:paraId="740C9E0C">
            <w:pPr>
              <w:widowControl/>
              <w:numPr>
                <w:ilvl w:val="0"/>
                <w:numId w:val="4"/>
              </w:numPr>
              <w:adjustRightInd w:val="0"/>
              <w:snapToGrid w:val="0"/>
              <w:ind w:left="-105" w:leftChars="-5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散热功率：≤1KW</w:t>
            </w:r>
          </w:p>
          <w:p w14:paraId="101A0CF9">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7.充电枪：国标≥1.5KW</w:t>
            </w:r>
          </w:p>
          <w:p w14:paraId="726A64CC">
            <w:pPr>
              <w:widowControl/>
              <w:adjustRightInd w:val="0"/>
              <w:snapToGrid w:val="0"/>
              <w:ind w:left="-105" w:leftChars="-5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8.车载充电机</w:t>
            </w:r>
          </w:p>
          <w:p w14:paraId="47ECD30A">
            <w:pPr>
              <w:widowControl/>
              <w:numPr>
                <w:ilvl w:val="0"/>
                <w:numId w:val="5"/>
              </w:numPr>
              <w:adjustRightInd w:val="0"/>
              <w:snapToGrid w:val="0"/>
              <w:ind w:left="-105" w:leftChars="-5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输入电压：220VAC；</w:t>
            </w:r>
          </w:p>
          <w:p w14:paraId="017A7C20">
            <w:pPr>
              <w:widowControl/>
              <w:numPr>
                <w:ilvl w:val="0"/>
                <w:numId w:val="5"/>
              </w:numPr>
              <w:adjustRightInd w:val="0"/>
              <w:snapToGrid w:val="0"/>
              <w:ind w:left="-105" w:leftChars="-5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输入电流：≤9A；</w:t>
            </w:r>
          </w:p>
          <w:p w14:paraId="1C462527">
            <w:pPr>
              <w:widowControl/>
              <w:numPr>
                <w:ilvl w:val="0"/>
                <w:numId w:val="5"/>
              </w:numPr>
              <w:adjustRightInd w:val="0"/>
              <w:snapToGrid w:val="0"/>
              <w:ind w:left="-105" w:leftChars="-5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功率因数：≥0.9</w:t>
            </w:r>
          </w:p>
          <w:p w14:paraId="2A61FCF4">
            <w:pPr>
              <w:widowControl/>
              <w:numPr>
                <w:ilvl w:val="0"/>
                <w:numId w:val="5"/>
              </w:numPr>
              <w:adjustRightInd w:val="0"/>
              <w:snapToGrid w:val="0"/>
              <w:ind w:left="-105" w:leftChars="-5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输出电压：≤30V</w:t>
            </w:r>
          </w:p>
          <w:p w14:paraId="5F2BAFE8">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9.DC-DC变换器</w:t>
            </w:r>
          </w:p>
          <w:p w14:paraId="512D7FCF">
            <w:pPr>
              <w:widowControl/>
              <w:numPr>
                <w:ilvl w:val="0"/>
                <w:numId w:val="6"/>
              </w:numPr>
              <w:adjustRightInd w:val="0"/>
              <w:snapToGrid w:val="0"/>
              <w:ind w:left="-105" w:leftChars="-5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输入电压：≤42V DC；</w:t>
            </w:r>
          </w:p>
          <w:p w14:paraId="59716F7F">
            <w:pPr>
              <w:widowControl/>
              <w:numPr>
                <w:ilvl w:val="0"/>
                <w:numId w:val="6"/>
              </w:numPr>
              <w:adjustRightInd w:val="0"/>
              <w:snapToGrid w:val="0"/>
              <w:ind w:left="-105" w:leftChars="-5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输入电流：≤5A；</w:t>
            </w:r>
          </w:p>
          <w:p w14:paraId="45B0B808">
            <w:pPr>
              <w:widowControl/>
              <w:numPr>
                <w:ilvl w:val="0"/>
                <w:numId w:val="6"/>
              </w:numPr>
              <w:adjustRightInd w:val="0"/>
              <w:snapToGrid w:val="0"/>
              <w:ind w:left="-105" w:leftChars="-5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功率因数：≥0.8</w:t>
            </w:r>
          </w:p>
          <w:p w14:paraId="1179B207">
            <w:pPr>
              <w:widowControl/>
              <w:numPr>
                <w:ilvl w:val="0"/>
                <w:numId w:val="6"/>
              </w:numPr>
              <w:adjustRightInd w:val="0"/>
              <w:snapToGrid w:val="0"/>
              <w:ind w:left="-105" w:leftChars="-5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输出电压：≤13.8V</w:t>
            </w:r>
          </w:p>
          <w:p w14:paraId="2E1C3B36">
            <w:pPr>
              <w:widowControl/>
              <w:numPr>
                <w:ilvl w:val="0"/>
                <w:numId w:val="6"/>
              </w:numPr>
              <w:adjustRightInd w:val="0"/>
              <w:snapToGrid w:val="0"/>
              <w:ind w:left="-105" w:leftChars="-5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输出电流：≤15A</w:t>
            </w:r>
          </w:p>
          <w:p w14:paraId="2891744A">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10.放电负载 4个</w:t>
            </w:r>
          </w:p>
          <w:p w14:paraId="600CA180">
            <w:pPr>
              <w:widowControl/>
              <w:numPr>
                <w:ilvl w:val="0"/>
                <w:numId w:val="7"/>
              </w:numPr>
              <w:adjustRightInd w:val="0"/>
              <w:snapToGrid w:val="0"/>
              <w:ind w:left="-105" w:leftChars="-5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工作电压：≤30V DC；</w:t>
            </w:r>
          </w:p>
          <w:p w14:paraId="00D74941">
            <w:pPr>
              <w:widowControl/>
              <w:numPr>
                <w:ilvl w:val="0"/>
                <w:numId w:val="7"/>
              </w:numPr>
              <w:adjustRightInd w:val="0"/>
              <w:snapToGrid w:val="0"/>
              <w:ind w:left="-105" w:leftChars="-5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单个工作电流；≤4A；</w:t>
            </w:r>
          </w:p>
          <w:p w14:paraId="5C985161">
            <w:pPr>
              <w:widowControl/>
              <w:numPr>
                <w:ilvl w:val="0"/>
                <w:numId w:val="7"/>
              </w:numPr>
              <w:adjustRightInd w:val="0"/>
              <w:snapToGrid w:val="0"/>
              <w:ind w:left="-105" w:leftChars="-5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单体功率：≤150W</w:t>
            </w:r>
          </w:p>
          <w:p w14:paraId="00D0487C">
            <w:pPr>
              <w:widowControl/>
              <w:numPr>
                <w:ilvl w:val="0"/>
                <w:numId w:val="7"/>
              </w:numPr>
              <w:adjustRightInd w:val="0"/>
              <w:snapToGrid w:val="0"/>
              <w:ind w:left="-105" w:leftChars="-5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标称阻值：≤6Ω</w:t>
            </w:r>
          </w:p>
          <w:p w14:paraId="2E392EED">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11.电子三通阀 3只</w:t>
            </w:r>
          </w:p>
          <w:p w14:paraId="7762352F">
            <w:pPr>
              <w:widowControl/>
              <w:numPr>
                <w:ilvl w:val="0"/>
                <w:numId w:val="8"/>
              </w:numPr>
              <w:adjustRightInd w:val="0"/>
              <w:snapToGrid w:val="0"/>
              <w:ind w:left="-105" w:leftChars="-5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实车电子三通阀</w:t>
            </w:r>
          </w:p>
          <w:p w14:paraId="49326909">
            <w:pPr>
              <w:widowControl/>
              <w:numPr>
                <w:ilvl w:val="0"/>
                <w:numId w:val="8"/>
              </w:numPr>
              <w:adjustRightInd w:val="0"/>
              <w:snapToGrid w:val="0"/>
              <w:ind w:left="-105" w:leftChars="-5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控制电压：≤12V</w:t>
            </w:r>
          </w:p>
          <w:p w14:paraId="6609FFA1">
            <w:pPr>
              <w:widowControl/>
              <w:numPr>
                <w:ilvl w:val="0"/>
                <w:numId w:val="8"/>
              </w:numPr>
              <w:adjustRightInd w:val="0"/>
              <w:snapToGrid w:val="0"/>
              <w:ind w:left="-105" w:leftChars="-5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3路水管接头，分别为公共端C路、A路和B路</w:t>
            </w:r>
          </w:p>
          <w:p w14:paraId="69ACC5BF">
            <w:pPr>
              <w:widowControl/>
              <w:numPr>
                <w:ilvl w:val="0"/>
                <w:numId w:val="8"/>
              </w:numPr>
              <w:adjustRightInd w:val="0"/>
              <w:snapToGrid w:val="0"/>
              <w:ind w:left="-105" w:leftChars="-5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4线控制引脚，分别为电源1 电源2 地线 位置检测线</w:t>
            </w:r>
          </w:p>
          <w:p w14:paraId="4C63805E">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12.电子循环水泵 1只</w:t>
            </w:r>
          </w:p>
          <w:p w14:paraId="498543AB">
            <w:pPr>
              <w:widowControl/>
              <w:numPr>
                <w:ilvl w:val="0"/>
                <w:numId w:val="9"/>
              </w:numPr>
              <w:adjustRightInd w:val="0"/>
              <w:snapToGrid w:val="0"/>
              <w:ind w:left="-105" w:leftChars="-5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实车电子循环水泵</w:t>
            </w:r>
          </w:p>
          <w:p w14:paraId="6089C8F3">
            <w:pPr>
              <w:widowControl/>
              <w:numPr>
                <w:ilvl w:val="0"/>
                <w:numId w:val="9"/>
              </w:numPr>
              <w:adjustRightInd w:val="0"/>
              <w:snapToGrid w:val="0"/>
              <w:ind w:left="-105" w:leftChars="-5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工作电压≤12V</w:t>
            </w:r>
          </w:p>
          <w:p w14:paraId="20A69371">
            <w:pPr>
              <w:widowControl/>
              <w:numPr>
                <w:ilvl w:val="0"/>
                <w:numId w:val="9"/>
              </w:numPr>
              <w:adjustRightInd w:val="0"/>
              <w:snapToGrid w:val="0"/>
              <w:ind w:left="-105" w:leftChars="-5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工作电流≤5A</w:t>
            </w:r>
          </w:p>
          <w:p w14:paraId="433958EC">
            <w:pPr>
              <w:widowControl/>
              <w:numPr>
                <w:ilvl w:val="0"/>
                <w:numId w:val="9"/>
              </w:numPr>
              <w:adjustRightInd w:val="0"/>
              <w:snapToGrid w:val="0"/>
              <w:ind w:left="-105" w:leftChars="-5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转速控制方式：PWM</w:t>
            </w:r>
          </w:p>
          <w:p w14:paraId="032598EE">
            <w:pPr>
              <w:widowControl/>
              <w:numPr>
                <w:ilvl w:val="0"/>
                <w:numId w:val="9"/>
              </w:numPr>
              <w:adjustRightInd w:val="0"/>
              <w:snapToGrid w:val="0"/>
              <w:ind w:left="-105" w:leftChars="-5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转速检测方式：PWM</w:t>
            </w:r>
          </w:p>
          <w:p w14:paraId="19CDFCD5">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13. 上位机软件：主要显示内容：显示单体电压（每节分别显示）、电池包温度（10个真实温度，10个虚拟温度）、剩余电量、充电状态、继电器状态（包括主正 主负 预充和充电四个继电器）、电池包总电压、总电流。</w:t>
            </w:r>
          </w:p>
          <w:p w14:paraId="243CE229">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14. 上位软件具有电池标定功能，便于用户更换电池后重新对电池包进行标定（投标时提供上位机软件上述电池参数显示界面截图，电池标定界面载图显示内容不全不得分）</w:t>
            </w:r>
          </w:p>
          <w:p w14:paraId="1ECB77A1">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15. 操作终端1套：不低于35寸显示器，CPU不低于 i7-12900，不低于32G内存，不低于512G固态硬盘。操作模拟高低压管路压力表，再现空调系统工作过程实际压力改变，使学员认识高压和低压在制冷系统变化规律。。</w:t>
            </w:r>
          </w:p>
          <w:p w14:paraId="15436F6E">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16. 配套4mm铝塑板，教板完整显示空调系统工作原理图；并在主要零部件低压控制接插口并接检测接插口，借助万用表，实时检测各种状态下参数变化，检测接插口不少于8处。</w:t>
            </w:r>
          </w:p>
          <w:p w14:paraId="07ED65AB">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17. 含恒温恒湿箱2套：定时范围 0~9999min。工作室尺寸 不小于310×230×290mm(宽×深×高)  内容积：不低于20L。温度范围 ：常温~+150℃。温度波动度 ≤±0.5℃。温度偏差 ≤±2.0℃。温度均匀度 ≤2.0℃。工作条件电源 AC.220V  ±10%V，50Hz。设备总功率 2.5KW。设备噪声 ≤68dB。质保期 1年。托盘数量 2个（绝缘）托盘均匀承重10kg。</w:t>
            </w:r>
          </w:p>
          <w:p w14:paraId="5973C5F2">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18. 配备控制系统及数据处理系统软件及控制上位机硬件，设备间微组网，可实现系统远程控制。</w:t>
            </w:r>
          </w:p>
          <w:p w14:paraId="0DDCC3AA">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19.桌*1椅*6。桌子尺寸：≥2000 mm×750 mm×800 mm（长×宽×高）。桌子配双插座并安装。桌面材质：理化板+防静电胶，桌腿：方钢。</w:t>
            </w:r>
          </w:p>
        </w:tc>
        <w:tc>
          <w:tcPr>
            <w:tcW w:w="530" w:type="dxa"/>
            <w:tcBorders>
              <w:top w:val="nil"/>
              <w:left w:val="nil"/>
              <w:bottom w:val="single" w:color="auto" w:sz="4" w:space="0"/>
              <w:right w:val="single" w:color="auto" w:sz="4" w:space="0"/>
            </w:tcBorders>
            <w:noWrap/>
            <w:vAlign w:val="center"/>
          </w:tcPr>
          <w:p w14:paraId="11A03998">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台</w:t>
            </w:r>
          </w:p>
        </w:tc>
        <w:tc>
          <w:tcPr>
            <w:tcW w:w="457" w:type="dxa"/>
            <w:tcBorders>
              <w:top w:val="nil"/>
              <w:left w:val="nil"/>
              <w:bottom w:val="single" w:color="auto" w:sz="4" w:space="0"/>
              <w:right w:val="single" w:color="auto" w:sz="4" w:space="0"/>
            </w:tcBorders>
            <w:noWrap/>
            <w:vAlign w:val="center"/>
          </w:tcPr>
          <w:p w14:paraId="5632C319">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w:t>
            </w:r>
          </w:p>
        </w:tc>
      </w:tr>
      <w:tr w14:paraId="684503AC">
        <w:tblPrEx>
          <w:tblCellMar>
            <w:top w:w="0" w:type="dxa"/>
            <w:left w:w="108" w:type="dxa"/>
            <w:bottom w:w="0" w:type="dxa"/>
            <w:right w:w="108" w:type="dxa"/>
          </w:tblCellMar>
        </w:tblPrEx>
        <w:trPr>
          <w:trHeight w:val="864" w:hRule="atLeast"/>
          <w:jc w:val="center"/>
        </w:trPr>
        <w:tc>
          <w:tcPr>
            <w:tcW w:w="755" w:type="dxa"/>
            <w:tcBorders>
              <w:top w:val="nil"/>
              <w:left w:val="single" w:color="auto" w:sz="4" w:space="0"/>
              <w:bottom w:val="single" w:color="auto" w:sz="4" w:space="0"/>
              <w:right w:val="single" w:color="auto" w:sz="4" w:space="0"/>
            </w:tcBorders>
            <w:noWrap/>
            <w:vAlign w:val="center"/>
          </w:tcPr>
          <w:p w14:paraId="22535A1A">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w:t>
            </w:r>
          </w:p>
        </w:tc>
        <w:tc>
          <w:tcPr>
            <w:tcW w:w="705" w:type="dxa"/>
            <w:tcBorders>
              <w:top w:val="nil"/>
              <w:left w:val="nil"/>
              <w:bottom w:val="single" w:color="auto" w:sz="4" w:space="0"/>
              <w:right w:val="single" w:color="auto" w:sz="4" w:space="0"/>
            </w:tcBorders>
            <w:noWrap w:val="0"/>
            <w:vAlign w:val="center"/>
          </w:tcPr>
          <w:p w14:paraId="715CF202">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净气型无管安全柜</w:t>
            </w:r>
          </w:p>
        </w:tc>
        <w:tc>
          <w:tcPr>
            <w:tcW w:w="7063" w:type="dxa"/>
            <w:tcBorders>
              <w:top w:val="nil"/>
              <w:left w:val="nil"/>
              <w:bottom w:val="single" w:color="auto" w:sz="4" w:space="0"/>
              <w:right w:val="single" w:color="auto" w:sz="4" w:space="0"/>
            </w:tcBorders>
            <w:noWrap w:val="0"/>
            <w:vAlign w:val="center"/>
          </w:tcPr>
          <w:p w14:paraId="359304FA">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1.安全合规：双层镀锌钢结构，具备防火阻燃能力。</w:t>
            </w:r>
          </w:p>
          <w:p w14:paraId="4D73CC45">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2.★公安 GA 认证:配备双 GA 认证锁具，符合 GA1511-2018《易制爆危险化学品储存场所治安防范要求》，有效管理管控类危险化学品。</w:t>
            </w:r>
          </w:p>
          <w:p w14:paraId="11AAC8A4">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3.自净化：自带独立的智能净化滤芯，无需安装通风管道，即可有效净化柜内空气，确保柜内及周边环境的空气质量安全。</w:t>
            </w:r>
          </w:p>
          <w:p w14:paraId="31E59C1E">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4.风险点预警：柜内传感器24小时全天候自动监控温度、湿度、VOC 浓度等信息，超过阈值自动启动声光报警并通知管理员。</w:t>
            </w:r>
          </w:p>
          <w:p w14:paraId="12DFFC07">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5.物资管理：通过物资管控平台，实验室管理员可以无需盘点即可详细了解柜内的化学品品名、 数量等信息。</w:t>
            </w:r>
          </w:p>
          <w:p w14:paraId="66A53743">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6.远程监管：手机/电脑/PAD 可远程在线监控设备，随时随地查看柜内温湿度、气体浓度 等信息，下发安全巡检指令，保证环境安全。</w:t>
            </w:r>
          </w:p>
          <w:p w14:paraId="388326F9">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7.结构：双门结构，板数量≥2层。</w:t>
            </w:r>
          </w:p>
          <w:p w14:paraId="030908D7">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8.★风量 (m</w:t>
            </w:r>
            <w:r>
              <w:rPr>
                <w:rFonts w:hint="eastAsia" w:ascii="宋体" w:hAnsi="宋体" w:eastAsia="宋体" w:cs="宋体"/>
                <w:color w:val="000000"/>
                <w:kern w:val="0"/>
                <w:sz w:val="24"/>
                <w:szCs w:val="24"/>
                <w:highlight w:val="none"/>
                <w:vertAlign w:val="superscript"/>
              </w:rPr>
              <w:t>3</w:t>
            </w:r>
            <w:r>
              <w:rPr>
                <w:rFonts w:hint="eastAsia" w:ascii="宋体" w:hAnsi="宋体" w:eastAsia="宋体" w:cs="宋体"/>
                <w:color w:val="000000"/>
                <w:kern w:val="0"/>
                <w:sz w:val="24"/>
                <w:szCs w:val="24"/>
                <w:highlight w:val="none"/>
              </w:rPr>
              <w:t>/H)：≥240。</w:t>
            </w:r>
          </w:p>
          <w:p w14:paraId="5A643376">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9.含8年耗材滤芯。</w:t>
            </w:r>
          </w:p>
        </w:tc>
        <w:tc>
          <w:tcPr>
            <w:tcW w:w="530" w:type="dxa"/>
            <w:tcBorders>
              <w:top w:val="nil"/>
              <w:left w:val="nil"/>
              <w:bottom w:val="single" w:color="auto" w:sz="4" w:space="0"/>
              <w:right w:val="single" w:color="auto" w:sz="4" w:space="0"/>
            </w:tcBorders>
            <w:noWrap/>
            <w:vAlign w:val="center"/>
          </w:tcPr>
          <w:p w14:paraId="40783AB2">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台</w:t>
            </w:r>
          </w:p>
        </w:tc>
        <w:tc>
          <w:tcPr>
            <w:tcW w:w="457" w:type="dxa"/>
            <w:tcBorders>
              <w:top w:val="nil"/>
              <w:left w:val="nil"/>
              <w:bottom w:val="single" w:color="auto" w:sz="4" w:space="0"/>
              <w:right w:val="single" w:color="auto" w:sz="4" w:space="0"/>
            </w:tcBorders>
            <w:noWrap/>
            <w:vAlign w:val="center"/>
          </w:tcPr>
          <w:p w14:paraId="79E0962B">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p>
        </w:tc>
      </w:tr>
      <w:tr w14:paraId="7111841A">
        <w:tblPrEx>
          <w:tblCellMar>
            <w:top w:w="0" w:type="dxa"/>
            <w:left w:w="108" w:type="dxa"/>
            <w:bottom w:w="0" w:type="dxa"/>
            <w:right w:w="108" w:type="dxa"/>
          </w:tblCellMar>
        </w:tblPrEx>
        <w:trPr>
          <w:trHeight w:val="864" w:hRule="atLeast"/>
          <w:jc w:val="center"/>
        </w:trPr>
        <w:tc>
          <w:tcPr>
            <w:tcW w:w="755" w:type="dxa"/>
            <w:tcBorders>
              <w:top w:val="nil"/>
              <w:left w:val="single" w:color="auto" w:sz="4" w:space="0"/>
              <w:bottom w:val="single" w:color="auto" w:sz="4" w:space="0"/>
              <w:right w:val="single" w:color="auto" w:sz="4" w:space="0"/>
            </w:tcBorders>
            <w:noWrap/>
            <w:vAlign w:val="center"/>
          </w:tcPr>
          <w:p w14:paraId="7C8B4BC1">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w:t>
            </w:r>
          </w:p>
        </w:tc>
        <w:tc>
          <w:tcPr>
            <w:tcW w:w="705" w:type="dxa"/>
            <w:tcBorders>
              <w:top w:val="nil"/>
              <w:left w:val="nil"/>
              <w:bottom w:val="single" w:color="auto" w:sz="4" w:space="0"/>
              <w:right w:val="single" w:color="auto" w:sz="4" w:space="0"/>
            </w:tcBorders>
            <w:noWrap w:val="0"/>
            <w:vAlign w:val="center"/>
          </w:tcPr>
          <w:p w14:paraId="6DDEF180">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电芯充放电测试系统</w:t>
            </w:r>
          </w:p>
        </w:tc>
        <w:tc>
          <w:tcPr>
            <w:tcW w:w="7063" w:type="dxa"/>
            <w:tcBorders>
              <w:top w:val="nil"/>
              <w:left w:val="nil"/>
              <w:bottom w:val="single" w:color="auto" w:sz="4" w:space="0"/>
              <w:right w:val="single" w:color="auto" w:sz="4" w:space="0"/>
            </w:tcBorders>
            <w:noWrap w:val="0"/>
            <w:vAlign w:val="center"/>
          </w:tcPr>
          <w:p w14:paraId="6CF7D710">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1.电压 电压控制范围25mV~5V。</w:t>
            </w:r>
          </w:p>
          <w:p w14:paraId="2E99F0A4">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2.上下夹具两端可放电至2V，2m线长可至2.5V 精度± 0.05% of  FS。稳定度± 0.05% of  FS。</w:t>
            </w:r>
          </w:p>
          <w:p w14:paraId="1A487896">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3.电流：每通道输出范围 量程一：5mA-1A量程二：1A-6A 量程三：6A~12A  精度± 0.05% 。</w:t>
            </w:r>
          </w:p>
          <w:p w14:paraId="692023D6">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4.恒压截止电流 量程一：2mA 量程二：12mA量程三：24mA; 稳定度 ± 0.05%。</w:t>
            </w:r>
          </w:p>
          <w:p w14:paraId="2B7337A0">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5.单通道最大输出功率 60W 定度 ± 0.1% of  FS。</w:t>
            </w:r>
          </w:p>
          <w:p w14:paraId="5B5F1885">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6.电流响应时间(10%FS~90%FS) ＜1ms。</w:t>
            </w:r>
          </w:p>
          <w:p w14:paraId="3BA725E7">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7.工步时间范围 ≤(365*24)小时/工步 。</w:t>
            </w:r>
          </w:p>
          <w:p w14:paraId="3C4B19BC">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8.数据记录条件 最小时间间隔：100ms。</w:t>
            </w:r>
          </w:p>
          <w:p w14:paraId="055A709C">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9.最小电压间隔：10mV。</w:t>
            </w:r>
          </w:p>
          <w:p w14:paraId="1DECE748">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10.最小电流间隔：量程一：2mA。量程二：12mA。量程三：24mA。</w:t>
            </w:r>
          </w:p>
          <w:p w14:paraId="554DF18F">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11.记录频率 10Hz。</w:t>
            </w:r>
          </w:p>
          <w:p w14:paraId="035BFE04">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12.充电模式：恒流充电、恒压充电、恒流恒压充电、恒功率充电。</w:t>
            </w:r>
          </w:p>
          <w:p w14:paraId="614767C7">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13.放电：放电模式（恒流放电、恒压放电、恒流恒压放电、恒功率放电、恒阻放电）。</w:t>
            </w:r>
          </w:p>
          <w:p w14:paraId="52FAE289">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14.脉冲模式：充电(恒流模式、恒功率模式)，放电 (恒流模式、恒功率模式)最小脉冲宽度500ms 脉冲个数:单个脉冲工步支持32个不同的脉冲。</w:t>
            </w:r>
          </w:p>
          <w:p w14:paraId="3E62C02B">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15.充放电连续切换：一个脉冲工步可以实现从充电到放电的连续切换</w:t>
            </w:r>
          </w:p>
          <w:p w14:paraId="2BCC9D17">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16.保护：掉电数据保护，具有脱机测试功能，可设定安全保护条件。</w:t>
            </w:r>
          </w:p>
          <w:p w14:paraId="34E081EA">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17.设置参数包括：电压上限、电压下限、电流上限、电流下限、容量上限、延时时间、具有防反接保护功能; IP防护等级 防护等级IP20 。</w:t>
            </w:r>
          </w:p>
          <w:p w14:paraId="50BAF149">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18.通道特点:恒流源与恒压源采用双闭环结构; 通道控制模式;独立控制; 电压电流检测采样 四线制连接。</w:t>
            </w:r>
          </w:p>
          <w:p w14:paraId="0BAAA1ED">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19.数据库 采用MySQL数据库集中管理测试数据; 整机通道数8。</w:t>
            </w:r>
          </w:p>
          <w:p w14:paraId="157753C7">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20.夹具类型：上下夹具。</w:t>
            </w:r>
          </w:p>
          <w:p w14:paraId="59E8DFE3">
            <w:pPr>
              <w:widowControl/>
              <w:adjustRightInd w:val="0"/>
              <w:snapToGrid w:val="0"/>
              <w:jc w:val="lef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配套扣式电池的充放电模块，配套模块参数：</w:t>
            </w:r>
          </w:p>
          <w:p w14:paraId="7B2F89F5">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 ★电压 电压控制范围 25mV~5V。</w:t>
            </w:r>
          </w:p>
          <w:p w14:paraId="61F3436D">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 最低放电电压精度 ± 0.05%  稳定度 0.1%。</w:t>
            </w:r>
          </w:p>
          <w:p w14:paraId="600220A2">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3. 电流：每通道输出范围量程一：5μA~1mA。 量程二：1mA~10mA。 量程三：10mA~20mA精度± 0.05%。 </w:t>
            </w:r>
          </w:p>
          <w:p w14:paraId="259D2E9B">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 恒压截止电流 量程一：2μA。量程二：20μA。量程三：40μA。稳定度 ± 0.1%。</w:t>
            </w:r>
          </w:p>
          <w:p w14:paraId="243A02AB">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 单通道最大输出功率0.25 W 稳定度 ± 0.2% of  FS。</w:t>
            </w:r>
          </w:p>
          <w:p w14:paraId="405406D7">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 电流响应时间(10%FS~90%FS) ＜500μs。</w:t>
            </w:r>
          </w:p>
          <w:p w14:paraId="75AD20A4">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 工步时间范围 ≤(365*24)小时/工步 。</w:t>
            </w:r>
          </w:p>
          <w:p w14:paraId="45E3472E">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 数据记录条件 最小时间间隔：100ms。</w:t>
            </w:r>
          </w:p>
          <w:p w14:paraId="3E5EE5EE">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9. 最小电压间隔：10mV。</w:t>
            </w:r>
          </w:p>
          <w:p w14:paraId="706E0559">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 最小电流间隔：量程一：2μA。量程二：20μA。量程三：40μA 。</w:t>
            </w:r>
          </w:p>
          <w:p w14:paraId="0C46DAFC">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11.记录频率 10Hz。</w:t>
            </w:r>
          </w:p>
          <w:p w14:paraId="4A30E057">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12.充电模式：恒流充电、恒压充电、恒流恒压充电、恒功率充电 </w:t>
            </w:r>
          </w:p>
          <w:p w14:paraId="5144E90A">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13.放电： 放电模式（恒流放电、恒压放电、恒流恒压放电、恒功率放电、恒阻放电）。</w:t>
            </w:r>
          </w:p>
          <w:p w14:paraId="4132C071">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14. 脉冲模式：充电（恒流模式、恒功率模式），放电 （恒流模式、恒功率模式），最小脉冲宽度500ms ，脉冲个数:单个脉冲工步支持32个不同的脉冲。</w:t>
            </w:r>
          </w:p>
          <w:p w14:paraId="08F7FDEB">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15. 充放电连续切换 一个脉冲工步可以实现从充电到放电的连续切换（循环 循环测试范围1~65535次），单循环工步数 254，循环嵌套 具有嵌套循环功能，最大支持3层嵌套。</w:t>
            </w:r>
          </w:p>
          <w:p w14:paraId="2522F44F">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16. 保护:掉电数据保护 具有脱机测试功能可设定安全保护条件，设置参数包括：电压上限、电压下限、电流上限、电流下限、容量上限、延时时间、具有防反接保护功能; IP防护等级 防护等级IP20 。</w:t>
            </w:r>
          </w:p>
          <w:p w14:paraId="57E68D05">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17. 通道特点：恒流源与恒压源采用双闭环结构，通道控制模式，独立控制，电压电流检测采样 四线制连接。</w:t>
            </w:r>
          </w:p>
          <w:p w14:paraId="405D1D3A">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18. 数据库 采用MySQL数据库集中管理测试数据，漏电流0.005μA，整机通道数8。</w:t>
            </w:r>
          </w:p>
          <w:p w14:paraId="5F49A4DD">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19. 夹具类型：鳄鱼夹具，扣式夹具。</w:t>
            </w:r>
          </w:p>
        </w:tc>
        <w:tc>
          <w:tcPr>
            <w:tcW w:w="530" w:type="dxa"/>
            <w:tcBorders>
              <w:top w:val="nil"/>
              <w:left w:val="nil"/>
              <w:bottom w:val="single" w:color="auto" w:sz="4" w:space="0"/>
              <w:right w:val="single" w:color="auto" w:sz="4" w:space="0"/>
            </w:tcBorders>
            <w:noWrap/>
            <w:vAlign w:val="center"/>
          </w:tcPr>
          <w:p w14:paraId="6B4EBF0C">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套</w:t>
            </w:r>
          </w:p>
        </w:tc>
        <w:tc>
          <w:tcPr>
            <w:tcW w:w="457" w:type="dxa"/>
            <w:tcBorders>
              <w:top w:val="nil"/>
              <w:left w:val="nil"/>
              <w:bottom w:val="single" w:color="auto" w:sz="4" w:space="0"/>
              <w:right w:val="single" w:color="auto" w:sz="4" w:space="0"/>
            </w:tcBorders>
            <w:noWrap/>
            <w:vAlign w:val="center"/>
          </w:tcPr>
          <w:p w14:paraId="069EE402">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w:t>
            </w:r>
          </w:p>
        </w:tc>
      </w:tr>
      <w:tr w14:paraId="519BA4A8">
        <w:tblPrEx>
          <w:tblCellMar>
            <w:top w:w="0" w:type="dxa"/>
            <w:left w:w="108" w:type="dxa"/>
            <w:bottom w:w="0" w:type="dxa"/>
            <w:right w:w="108" w:type="dxa"/>
          </w:tblCellMar>
        </w:tblPrEx>
        <w:trPr>
          <w:trHeight w:val="756" w:hRule="atLeast"/>
          <w:jc w:val="center"/>
        </w:trPr>
        <w:tc>
          <w:tcPr>
            <w:tcW w:w="755" w:type="dxa"/>
            <w:tcBorders>
              <w:top w:val="nil"/>
              <w:left w:val="single" w:color="auto" w:sz="4" w:space="0"/>
              <w:bottom w:val="single" w:color="auto" w:sz="4" w:space="0"/>
              <w:right w:val="single" w:color="auto" w:sz="4" w:space="0"/>
            </w:tcBorders>
            <w:noWrap/>
            <w:vAlign w:val="center"/>
          </w:tcPr>
          <w:p w14:paraId="133CF1A7">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w:t>
            </w:r>
          </w:p>
        </w:tc>
        <w:tc>
          <w:tcPr>
            <w:tcW w:w="705" w:type="dxa"/>
            <w:tcBorders>
              <w:top w:val="nil"/>
              <w:left w:val="nil"/>
              <w:bottom w:val="single" w:color="auto" w:sz="4" w:space="0"/>
              <w:right w:val="single" w:color="auto" w:sz="4" w:space="0"/>
            </w:tcBorders>
            <w:noWrap w:val="0"/>
            <w:vAlign w:val="center"/>
          </w:tcPr>
          <w:p w14:paraId="716A05F9">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高低温试验箱</w:t>
            </w:r>
          </w:p>
        </w:tc>
        <w:tc>
          <w:tcPr>
            <w:tcW w:w="7063" w:type="dxa"/>
            <w:tcBorders>
              <w:top w:val="nil"/>
              <w:left w:val="nil"/>
              <w:bottom w:val="single" w:color="auto" w:sz="4" w:space="0"/>
              <w:right w:val="single" w:color="auto" w:sz="4" w:space="0"/>
            </w:tcBorders>
            <w:noWrap w:val="0"/>
            <w:vAlign w:val="center"/>
          </w:tcPr>
          <w:p w14:paraId="31048840">
            <w:pPr>
              <w:widowControl/>
              <w:numPr>
                <w:ilvl w:val="0"/>
                <w:numId w:val="10"/>
              </w:numPr>
              <w:adjustRightInd w:val="0"/>
              <w:snapToGrid w:val="0"/>
              <w:ind w:left="0" w:firstLine="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内箱尺寸：≥500mm(W)*500mm(H)*500mm(D)；</w:t>
            </w:r>
          </w:p>
          <w:p w14:paraId="120730F0">
            <w:pPr>
              <w:widowControl/>
              <w:numPr>
                <w:ilvl w:val="0"/>
                <w:numId w:val="10"/>
              </w:numPr>
              <w:adjustRightInd w:val="0"/>
              <w:snapToGrid w:val="0"/>
              <w:ind w:left="0" w:firstLine="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外箱尺寸：≥600mm(w)*1550mm(H)*1200mm(D)；</w:t>
            </w:r>
          </w:p>
          <w:p w14:paraId="627D922E">
            <w:pPr>
              <w:widowControl/>
              <w:numPr>
                <w:ilvl w:val="0"/>
                <w:numId w:val="10"/>
              </w:numPr>
              <w:adjustRightInd w:val="0"/>
              <w:snapToGrid w:val="0"/>
              <w:ind w:left="0" w:firstLine="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温度范围：-20℃~150℃(温度连续可调)；</w:t>
            </w:r>
          </w:p>
          <w:p w14:paraId="2AC93FEF">
            <w:pPr>
              <w:widowControl/>
              <w:numPr>
                <w:ilvl w:val="0"/>
                <w:numId w:val="10"/>
              </w:numPr>
              <w:adjustRightInd w:val="0"/>
              <w:snapToGrid w:val="0"/>
              <w:ind w:left="0" w:firstLine="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温度波动度：≤士0.5℃(空载、恒定状态时)；</w:t>
            </w:r>
          </w:p>
          <w:p w14:paraId="5C448E39">
            <w:pPr>
              <w:widowControl/>
              <w:numPr>
                <w:ilvl w:val="0"/>
                <w:numId w:val="10"/>
              </w:numPr>
              <w:adjustRightInd w:val="0"/>
              <w:snapToGrid w:val="0"/>
              <w:ind w:left="0" w:firstLine="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温度偏差：≤士2℃(空载、恒定状态时)；</w:t>
            </w:r>
          </w:p>
          <w:p w14:paraId="6A141788">
            <w:pPr>
              <w:widowControl/>
              <w:numPr>
                <w:ilvl w:val="0"/>
                <w:numId w:val="10"/>
              </w:numPr>
              <w:adjustRightInd w:val="0"/>
              <w:snapToGrid w:val="0"/>
              <w:ind w:left="0" w:firstLine="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温均匀度：≤2℃(空载、恒定状态时)；</w:t>
            </w:r>
          </w:p>
          <w:p w14:paraId="1CE85982">
            <w:pPr>
              <w:widowControl/>
              <w:numPr>
                <w:ilvl w:val="0"/>
                <w:numId w:val="10"/>
              </w:numPr>
              <w:adjustRightInd w:val="0"/>
              <w:snapToGrid w:val="0"/>
              <w:ind w:left="0" w:firstLine="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分辨率：温度 0.01℃；</w:t>
            </w:r>
          </w:p>
          <w:p w14:paraId="497D1189">
            <w:pPr>
              <w:widowControl/>
              <w:numPr>
                <w:ilvl w:val="0"/>
                <w:numId w:val="10"/>
              </w:numPr>
              <w:adjustRightInd w:val="0"/>
              <w:snapToGrid w:val="0"/>
              <w:ind w:left="0" w:firstLine="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升温速率：25℃~150℃&gt;3℃/Min(空载，全程平均)；</w:t>
            </w:r>
          </w:p>
          <w:p w14:paraId="67907C16">
            <w:pPr>
              <w:widowControl/>
              <w:numPr>
                <w:ilvl w:val="0"/>
                <w:numId w:val="10"/>
              </w:numPr>
              <w:adjustRightInd w:val="0"/>
              <w:snapToGrid w:val="0"/>
              <w:ind w:left="0" w:firstLine="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降温速率：25℃~-20℃≥1℃/Min(空载，全程平均)；</w:t>
            </w:r>
          </w:p>
          <w:p w14:paraId="132B5278">
            <w:pPr>
              <w:widowControl/>
              <w:numPr>
                <w:ilvl w:val="0"/>
                <w:numId w:val="10"/>
              </w:numPr>
              <w:adjustRightInd w:val="0"/>
              <w:snapToGrid w:val="0"/>
              <w:ind w:left="0" w:firstLine="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温度测量方式：采用不低于A级高精度铠装铂电阻；</w:t>
            </w:r>
          </w:p>
          <w:p w14:paraId="47ACFC0F">
            <w:pPr>
              <w:widowControl/>
              <w:numPr>
                <w:ilvl w:val="0"/>
                <w:numId w:val="10"/>
              </w:numPr>
              <w:adjustRightInd w:val="0"/>
              <w:snapToGrid w:val="0"/>
              <w:ind w:left="0" w:firstLine="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控制方式：可自动正逆双向同步输出。</w:t>
            </w:r>
          </w:p>
          <w:p w14:paraId="43E0D6BE">
            <w:pPr>
              <w:widowControl/>
              <w:numPr>
                <w:ilvl w:val="0"/>
                <w:numId w:val="10"/>
              </w:numPr>
              <w:adjustRightInd w:val="0"/>
              <w:snapToGrid w:val="0"/>
              <w:ind w:left="0" w:firstLine="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控制器：采用彩色液晶7寸触摸屏，可直接输入、显示、控制温度，控制系统采用人机对话方式。</w:t>
            </w:r>
          </w:p>
          <w:p w14:paraId="1C835A11">
            <w:pPr>
              <w:widowControl/>
              <w:numPr>
                <w:ilvl w:val="0"/>
                <w:numId w:val="10"/>
              </w:numPr>
              <w:adjustRightInd w:val="0"/>
              <w:snapToGrid w:val="0"/>
              <w:ind w:left="0" w:firstLine="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自我校正：控制器附线性自我校正功能，保证其线性稳定性，故可达到温度波动度士0.5℃。</w:t>
            </w:r>
          </w:p>
          <w:p w14:paraId="0D82E121">
            <w:pPr>
              <w:widowControl/>
              <w:numPr>
                <w:ilvl w:val="0"/>
                <w:numId w:val="10"/>
              </w:numPr>
              <w:adjustRightInd w:val="0"/>
              <w:snapToGrid w:val="0"/>
              <w:ind w:left="0" w:firstLine="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数据设定：触控式人机界面对话框设定模式，操作流程简易明确，内建程序目录管理，便利各项试验名称及程序数据之建立、更改、查阅或运转执行。</w:t>
            </w:r>
          </w:p>
          <w:p w14:paraId="66AAC07B">
            <w:pPr>
              <w:widowControl/>
              <w:numPr>
                <w:ilvl w:val="0"/>
                <w:numId w:val="10"/>
              </w:numPr>
              <w:adjustRightInd w:val="0"/>
              <w:snapToGrid w:val="0"/>
              <w:ind w:left="0" w:firstLine="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程序容量：可设置 100个程序组，单个程序最大设置100段，可设置多个循环(整体循环与段循环)，程序之间可以链接。</w:t>
            </w:r>
          </w:p>
          <w:p w14:paraId="6A65B912">
            <w:pPr>
              <w:widowControl/>
              <w:numPr>
                <w:ilvl w:val="0"/>
                <w:numId w:val="10"/>
              </w:numPr>
              <w:adjustRightInd w:val="0"/>
              <w:snapToGrid w:val="0"/>
              <w:ind w:left="0" w:firstLine="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电源控制箱：支持输入： 220V/380V/AC 1路输入，220V/16A、40A，380V/25A、45A/AC，5路任意规格的输出（混合控电）；</w:t>
            </w:r>
          </w:p>
          <w:p w14:paraId="24F00A5B">
            <w:pPr>
              <w:widowControl/>
              <w:numPr>
                <w:ilvl w:val="0"/>
                <w:numId w:val="10"/>
              </w:numPr>
              <w:adjustRightInd w:val="0"/>
              <w:snapToGrid w:val="0"/>
              <w:ind w:left="0" w:firstLine="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★安全设施：整机防爆材质，具备整机防爆功能。</w:t>
            </w:r>
          </w:p>
          <w:p w14:paraId="54574DB4">
            <w:pPr>
              <w:widowControl/>
              <w:numPr>
                <w:ilvl w:val="0"/>
                <w:numId w:val="10"/>
              </w:numPr>
              <w:adjustRightInd w:val="0"/>
              <w:snapToGrid w:val="0"/>
              <w:ind w:left="0" w:firstLine="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要求电源控制箱浪涌（冲击）抗扰度达到≥3级，电快速瞬变脉冲群抗扰度≥3级。</w:t>
            </w:r>
          </w:p>
          <w:p w14:paraId="38FC585B">
            <w:pPr>
              <w:widowControl/>
              <w:numPr>
                <w:ilvl w:val="0"/>
                <w:numId w:val="10"/>
              </w:numPr>
              <w:adjustRightInd w:val="0"/>
              <w:snapToGrid w:val="0"/>
              <w:ind w:left="0" w:firstLine="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保护功能：上下限温度保护功能(声光报警装置)，控制系统具备自检测、自诊断功能自动进行故障显示、报警，显示故障发生时间异常项目及排除对策:自动运行和停止的定时功能:自诊断功能，具有多种断电恢复模式，试验完成后自动停机。</w:t>
            </w:r>
          </w:p>
          <w:p w14:paraId="04E130D5">
            <w:pPr>
              <w:widowControl/>
              <w:numPr>
                <w:ilvl w:val="0"/>
                <w:numId w:val="10"/>
              </w:numPr>
              <w:adjustRightInd w:val="0"/>
              <w:snapToGrid w:val="0"/>
              <w:ind w:left="0" w:firstLine="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配备控制系统及数据处理系统软件及控制上位机硬件，设备间微组网，可实现系统远程控制。</w:t>
            </w:r>
          </w:p>
          <w:p w14:paraId="6941B669">
            <w:pPr>
              <w:widowControl/>
              <w:numPr>
                <w:ilvl w:val="0"/>
                <w:numId w:val="10"/>
              </w:numPr>
              <w:adjustRightInd w:val="0"/>
              <w:snapToGrid w:val="0"/>
              <w:ind w:left="0" w:firstLine="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配备电池灭火器材10套。</w:t>
            </w:r>
          </w:p>
        </w:tc>
        <w:tc>
          <w:tcPr>
            <w:tcW w:w="530" w:type="dxa"/>
            <w:tcBorders>
              <w:top w:val="nil"/>
              <w:left w:val="nil"/>
              <w:bottom w:val="single" w:color="auto" w:sz="4" w:space="0"/>
              <w:right w:val="single" w:color="auto" w:sz="4" w:space="0"/>
            </w:tcBorders>
            <w:noWrap/>
            <w:vAlign w:val="center"/>
          </w:tcPr>
          <w:p w14:paraId="04A14DB9">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台</w:t>
            </w:r>
          </w:p>
        </w:tc>
        <w:tc>
          <w:tcPr>
            <w:tcW w:w="457" w:type="dxa"/>
            <w:tcBorders>
              <w:top w:val="nil"/>
              <w:left w:val="nil"/>
              <w:bottom w:val="single" w:color="auto" w:sz="4" w:space="0"/>
              <w:right w:val="single" w:color="auto" w:sz="4" w:space="0"/>
            </w:tcBorders>
            <w:noWrap/>
            <w:vAlign w:val="center"/>
          </w:tcPr>
          <w:p w14:paraId="377E78F5">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p>
        </w:tc>
      </w:tr>
      <w:tr w14:paraId="226CB8D5">
        <w:tblPrEx>
          <w:tblCellMar>
            <w:top w:w="0" w:type="dxa"/>
            <w:left w:w="108" w:type="dxa"/>
            <w:bottom w:w="0" w:type="dxa"/>
            <w:right w:w="108" w:type="dxa"/>
          </w:tblCellMar>
        </w:tblPrEx>
        <w:trPr>
          <w:trHeight w:val="864" w:hRule="atLeast"/>
          <w:jc w:val="center"/>
        </w:trPr>
        <w:tc>
          <w:tcPr>
            <w:tcW w:w="755" w:type="dxa"/>
            <w:tcBorders>
              <w:top w:val="nil"/>
              <w:left w:val="single" w:color="auto" w:sz="4" w:space="0"/>
              <w:bottom w:val="single" w:color="auto" w:sz="4" w:space="0"/>
              <w:right w:val="single" w:color="auto" w:sz="4" w:space="0"/>
            </w:tcBorders>
            <w:noWrap/>
            <w:vAlign w:val="center"/>
          </w:tcPr>
          <w:p w14:paraId="7BB3BC7C">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9</w:t>
            </w:r>
          </w:p>
        </w:tc>
        <w:tc>
          <w:tcPr>
            <w:tcW w:w="705" w:type="dxa"/>
            <w:tcBorders>
              <w:top w:val="single" w:color="auto" w:sz="4" w:space="0"/>
              <w:left w:val="nil"/>
              <w:bottom w:val="single" w:color="auto" w:sz="4" w:space="0"/>
              <w:right w:val="single" w:color="auto" w:sz="4" w:space="0"/>
            </w:tcBorders>
            <w:noWrap w:val="0"/>
            <w:vAlign w:val="center"/>
          </w:tcPr>
          <w:p w14:paraId="1C636C14">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数据记录仪</w:t>
            </w:r>
          </w:p>
        </w:tc>
        <w:tc>
          <w:tcPr>
            <w:tcW w:w="7063" w:type="dxa"/>
            <w:tcBorders>
              <w:top w:val="single" w:color="auto" w:sz="4" w:space="0"/>
              <w:left w:val="nil"/>
              <w:bottom w:val="single" w:color="auto" w:sz="4" w:space="0"/>
              <w:right w:val="single" w:color="auto" w:sz="4" w:space="0"/>
            </w:tcBorders>
            <w:noWrap w:val="0"/>
            <w:vAlign w:val="center"/>
          </w:tcPr>
          <w:p w14:paraId="5311E153">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 模拟量输入：直流电压，热电偶，热电阻，电阻、阻抗。</w:t>
            </w:r>
          </w:p>
          <w:p w14:paraId="321E78C9">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 ★每套通道配备数：≥32。</w:t>
            </w:r>
          </w:p>
          <w:p w14:paraId="61FC58CD">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3. 输入阻抗：不低于1MΩ。 </w:t>
            </w:r>
          </w:p>
          <w:p w14:paraId="6B784DCC">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 噪声抑制比：共模≥120dB，串模≥40dB。</w:t>
            </w:r>
          </w:p>
          <w:p w14:paraId="6E909482">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 耐电压等级：3,000 VAC (50 Hz/60 Hz) 1 min（模拟输入通道之间，模拟输入到内部电路）。</w:t>
            </w:r>
          </w:p>
          <w:p w14:paraId="0067FEDD">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6. 测量范围：最大输入：60V（DC） 支持各主流热电偶型号，支持三线、四线PT100及PT100-H 四线电阻：最大2KΩ。 </w:t>
            </w:r>
          </w:p>
          <w:p w14:paraId="2CF1D8E5">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7. 数据实时传输至上位机，文件格式：二进制或CSV格式存储到PC。 </w:t>
            </w:r>
          </w:p>
          <w:p w14:paraId="63F193BD">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 通讯接口：以太网、USB。</w:t>
            </w:r>
          </w:p>
          <w:p w14:paraId="3D20ED76">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9. 供电：24V（DC），5V4.5W（TypeC接口）。 </w:t>
            </w:r>
          </w:p>
          <w:p w14:paraId="1C89A537">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10. 工作环境：-10～55°C，5～ 90% RH (不可结露)。 </w:t>
            </w:r>
          </w:p>
          <w:p w14:paraId="15EEC50E">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11. 记录时间：1ms到1h可设定，记录时长：支持连续记录。 </w:t>
            </w:r>
          </w:p>
          <w:p w14:paraId="496DEB5E">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12. 自动保存：支持自动数据保存。 </w:t>
            </w:r>
          </w:p>
          <w:p w14:paraId="1AB434A8">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13. 数值运算：利用上位机软件支持均值，峰值，最大值，最小值及各类函数计算。 </w:t>
            </w:r>
          </w:p>
          <w:p w14:paraId="66CCAC6A">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14. 测量精度：电压：±0.025% f.s，温度：±0.4°C（K型热电偶）。 </w:t>
            </w:r>
          </w:p>
          <w:p w14:paraId="7F14AA12">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15. 每种上述测量传感器数量≥100个、应变片≥100个，满足测量精度要求。</w:t>
            </w:r>
          </w:p>
          <w:p w14:paraId="447A039C">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16. 含配套试验台、实验椅。桌子尺寸：≥1800 mm×750 mm×800 mm（长×宽×高）。桌子配双插座，椅子六把。桌面材质：理化板+防静电胶，桌腿：方钢。</w:t>
            </w:r>
          </w:p>
          <w:p w14:paraId="2157D761">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17.配备控制系统及数据处理系统软件及控制上位机硬件，设备间微组网，可实现系统远程控制。</w:t>
            </w:r>
          </w:p>
          <w:p w14:paraId="629CBCAE">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18. 供应商需完成设备安装、调试，保证设备可立即投入使用。供应商提供人员培训。</w:t>
            </w:r>
          </w:p>
        </w:tc>
        <w:tc>
          <w:tcPr>
            <w:tcW w:w="530" w:type="dxa"/>
            <w:tcBorders>
              <w:top w:val="nil"/>
              <w:left w:val="nil"/>
              <w:bottom w:val="single" w:color="auto" w:sz="4" w:space="0"/>
              <w:right w:val="single" w:color="auto" w:sz="4" w:space="0"/>
            </w:tcBorders>
            <w:noWrap/>
            <w:vAlign w:val="center"/>
          </w:tcPr>
          <w:p w14:paraId="107FC455">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台</w:t>
            </w:r>
          </w:p>
        </w:tc>
        <w:tc>
          <w:tcPr>
            <w:tcW w:w="457" w:type="dxa"/>
            <w:tcBorders>
              <w:top w:val="nil"/>
              <w:left w:val="nil"/>
              <w:bottom w:val="single" w:color="auto" w:sz="4" w:space="0"/>
              <w:right w:val="single" w:color="auto" w:sz="4" w:space="0"/>
            </w:tcBorders>
            <w:noWrap/>
            <w:vAlign w:val="center"/>
          </w:tcPr>
          <w:p w14:paraId="765BCCB5">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w:t>
            </w:r>
          </w:p>
        </w:tc>
      </w:tr>
      <w:tr w14:paraId="54EA96C3">
        <w:tblPrEx>
          <w:tblCellMar>
            <w:top w:w="0" w:type="dxa"/>
            <w:left w:w="108" w:type="dxa"/>
            <w:bottom w:w="0" w:type="dxa"/>
            <w:right w:w="108" w:type="dxa"/>
          </w:tblCellMar>
        </w:tblPrEx>
        <w:trPr>
          <w:trHeight w:val="2634" w:hRule="atLeast"/>
          <w:jc w:val="center"/>
        </w:trPr>
        <w:tc>
          <w:tcPr>
            <w:tcW w:w="755" w:type="dxa"/>
            <w:tcBorders>
              <w:top w:val="nil"/>
              <w:left w:val="single" w:color="auto" w:sz="4" w:space="0"/>
              <w:bottom w:val="single" w:color="auto" w:sz="4" w:space="0"/>
              <w:right w:val="single" w:color="auto" w:sz="4" w:space="0"/>
            </w:tcBorders>
            <w:noWrap/>
            <w:vAlign w:val="center"/>
          </w:tcPr>
          <w:p w14:paraId="4D4C7B99">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w:t>
            </w:r>
          </w:p>
        </w:tc>
        <w:tc>
          <w:tcPr>
            <w:tcW w:w="705" w:type="dxa"/>
            <w:tcBorders>
              <w:top w:val="single" w:color="auto" w:sz="4" w:space="0"/>
              <w:left w:val="nil"/>
              <w:bottom w:val="single" w:color="auto" w:sz="4" w:space="0"/>
              <w:right w:val="single" w:color="auto" w:sz="4" w:space="0"/>
            </w:tcBorders>
            <w:noWrap w:val="0"/>
            <w:vAlign w:val="center"/>
          </w:tcPr>
          <w:p w14:paraId="6DC87567">
            <w:pPr>
              <w:widowControl/>
              <w:jc w:val="left"/>
              <w:rPr>
                <w:rFonts w:hint="eastAsia" w:ascii="宋体" w:hAnsi="宋体" w:eastAsia="宋体" w:cs="宋体"/>
                <w:color w:val="000000"/>
                <w:kern w:val="0"/>
                <w:sz w:val="24"/>
                <w:szCs w:val="24"/>
                <w:highlight w:val="none"/>
              </w:rPr>
            </w:pPr>
            <w:r>
              <w:rPr>
                <w:rFonts w:hint="eastAsia" w:ascii="宋体" w:hAnsi="宋体" w:eastAsia="宋体" w:cs="宋体"/>
                <w:b/>
                <w:bCs/>
                <w:sz w:val="24"/>
                <w:szCs w:val="24"/>
                <w:highlight w:val="none"/>
                <w:lang w:bidi="ar"/>
              </w:rPr>
              <w:t>▲</w:t>
            </w:r>
            <w:r>
              <w:rPr>
                <w:rFonts w:hint="eastAsia" w:ascii="宋体" w:hAnsi="宋体" w:eastAsia="宋体" w:cs="宋体"/>
                <w:color w:val="000000"/>
                <w:kern w:val="0"/>
                <w:sz w:val="24"/>
                <w:szCs w:val="24"/>
                <w:highlight w:val="none"/>
              </w:rPr>
              <w:t>新能源分布式驱动底盘测试实验平台</w:t>
            </w:r>
          </w:p>
        </w:tc>
        <w:tc>
          <w:tcPr>
            <w:tcW w:w="7063" w:type="dxa"/>
            <w:tcBorders>
              <w:top w:val="single" w:color="auto" w:sz="4" w:space="0"/>
              <w:left w:val="nil"/>
              <w:bottom w:val="single" w:color="auto" w:sz="4" w:space="0"/>
              <w:right w:val="single" w:color="auto" w:sz="4" w:space="0"/>
            </w:tcBorders>
            <w:noWrap w:val="0"/>
            <w:vAlign w:val="center"/>
          </w:tcPr>
          <w:p w14:paraId="10D5456D">
            <w:pPr>
              <w:widowControl/>
              <w:adjustRightInd w:val="0"/>
              <w:snapToGrid w:val="0"/>
              <w:ind w:left="173" w:right="-105" w:rightChars="-50" w:hanging="230" w:hangingChars="9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新能源分布式驱动底盘实验平台包含分布式线控驱动、线控制动和线控转向系统，结合整车动力学模型，支持多种工况的教学科研项目。台架由锂电池及BMS管理系统、轮毂电机、线控转向电机、线控制动系统、EPB、性能主机、VCU控制单元、手持遥控器等组成，开放线控CAN协议接口，开放模型算法，支持二次开发工作。新能源线控底盘按照车规级汽车底盘开发的设计要求，各部分通过车辆VCU进行协调控制。可通过驾驶员操纵装置进行模拟驾驶，具备安全保护模式，当控制端失效时，车辆会进入紧急停车模式。同时整车以CAN网络进行通讯，可以通过上位机编程的方式对底盘进行控制。</w:t>
            </w:r>
          </w:p>
          <w:p w14:paraId="01EE29AD">
            <w:pPr>
              <w:widowControl/>
              <w:adjustRightInd w:val="0"/>
              <w:snapToGrid w:val="0"/>
              <w:ind w:left="173" w:right="-105" w:rightChars="-50" w:hanging="230" w:hangingChars="9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2.新能源分布式驱动底盘测试实验平台尺寸（不含显示器）：不小于1500mm*1700mm*1100mm。</w:t>
            </w:r>
          </w:p>
          <w:p w14:paraId="6CC35D1B">
            <w:pPr>
              <w:widowControl/>
              <w:adjustRightInd w:val="0"/>
              <w:snapToGrid w:val="0"/>
              <w:ind w:left="173" w:right="-105" w:rightChars="-50" w:hanging="230" w:hangingChars="9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3.空载最高车速≥50km/h。</w:t>
            </w:r>
          </w:p>
          <w:p w14:paraId="027EAA4C">
            <w:pPr>
              <w:widowControl/>
              <w:adjustRightInd w:val="0"/>
              <w:snapToGrid w:val="0"/>
              <w:ind w:left="173" w:right="-105" w:rightChars="-50" w:hanging="230" w:hangingChars="9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4.电池类型：锂电池 76.8V，54 AH，总功率≥4 kW·h。</w:t>
            </w:r>
          </w:p>
          <w:p w14:paraId="5548B5C4">
            <w:pPr>
              <w:widowControl/>
              <w:adjustRightInd w:val="0"/>
              <w:snapToGrid w:val="0"/>
              <w:ind w:left="173" w:right="-105" w:rightChars="-50" w:hanging="230" w:hangingChars="9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5.电池防护等级：不低于防护等级IP66。</w:t>
            </w:r>
          </w:p>
          <w:p w14:paraId="042FDF3A">
            <w:pPr>
              <w:widowControl/>
              <w:adjustRightInd w:val="0"/>
              <w:snapToGrid w:val="0"/>
              <w:ind w:left="173" w:right="-105" w:rightChars="-50" w:hanging="230" w:hangingChars="9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6.驱动形式：双轮轮毂电机驱动。</w:t>
            </w:r>
          </w:p>
          <w:p w14:paraId="4EDD4A84">
            <w:pPr>
              <w:widowControl/>
              <w:adjustRightInd w:val="0"/>
              <w:snapToGrid w:val="0"/>
              <w:ind w:left="173" w:right="-105" w:rightChars="-50" w:hanging="230" w:hangingChars="9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7.额定功率：不小于3KW；</w:t>
            </w:r>
          </w:p>
          <w:p w14:paraId="54F9318F">
            <w:pPr>
              <w:widowControl/>
              <w:adjustRightInd w:val="0"/>
              <w:snapToGrid w:val="0"/>
              <w:ind w:left="173" w:right="-105" w:rightChars="-50" w:hanging="230" w:hangingChars="9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8.最大转速：不低于550rpm；</w:t>
            </w:r>
          </w:p>
          <w:p w14:paraId="08EEAD9D">
            <w:pPr>
              <w:widowControl/>
              <w:adjustRightInd w:val="0"/>
              <w:snapToGrid w:val="0"/>
              <w:ind w:left="173" w:right="-105" w:rightChars="-50" w:hanging="230" w:hangingChars="9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9.电机效率：大小于85%。 </w:t>
            </w:r>
          </w:p>
          <w:p w14:paraId="559DD716">
            <w:pPr>
              <w:widowControl/>
              <w:adjustRightInd w:val="0"/>
              <w:snapToGrid w:val="0"/>
              <w:ind w:left="173" w:right="-105" w:rightChars="-50" w:hanging="230" w:hangingChars="9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10.配备全线控转向系统，转向电机功率≥360W，线控转向精度≤±1°，线控驱动器开放协议包括目标控制模式、控制使能、目标转角、循环计数、实际控制模式、实际转角、实际转矩、故障等级、故障代码。</w:t>
            </w:r>
          </w:p>
          <w:p w14:paraId="35286705">
            <w:pPr>
              <w:widowControl/>
              <w:adjustRightInd w:val="0"/>
              <w:snapToGrid w:val="0"/>
              <w:ind w:left="173" w:right="-105" w:rightChars="-50" w:hanging="230" w:hangingChars="9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11.配备线控行车制动系统：电机功率≥120W，主缸直径≥20mm，线控主缸最大压力≥8 MPa，制动精度≤0.2 MPa，制动响应时间100ms以内。</w:t>
            </w:r>
          </w:p>
          <w:p w14:paraId="4AE4C73F">
            <w:pPr>
              <w:widowControl/>
              <w:adjustRightInd w:val="0"/>
              <w:snapToGrid w:val="0"/>
              <w:ind w:left="173" w:right="-105" w:rightChars="-50" w:hanging="230" w:hangingChars="9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12.配备线控EPB，卡钳最大压力8Mpa，电机功率不低于200W,工作寿命不低于10W次，开放CAN协议。</w:t>
            </w:r>
          </w:p>
          <w:p w14:paraId="4D6E3DE4">
            <w:pPr>
              <w:widowControl/>
              <w:adjustRightInd w:val="0"/>
              <w:snapToGrid w:val="0"/>
              <w:ind w:left="173" w:right="-105" w:rightChars="-50" w:hanging="230" w:hangingChars="9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13.车规级CAN通讯（协议定制）、底盘域控制器、车规级高低压线束布置、车规级动力锂电池、高效电池管理系统、充电口、充电机、DC-DC转换器（大功率1200W）：</w:t>
            </w:r>
          </w:p>
          <w:p w14:paraId="4AC8CB43">
            <w:pPr>
              <w:widowControl/>
              <w:adjustRightInd w:val="0"/>
              <w:snapToGrid w:val="0"/>
              <w:ind w:left="173" w:right="-105" w:rightChars="-50" w:hanging="230" w:hangingChars="9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14.DC-DC输出功率：不低于1.2KW；</w:t>
            </w:r>
          </w:p>
          <w:p w14:paraId="7FC95BA7">
            <w:pPr>
              <w:widowControl/>
              <w:adjustRightInd w:val="0"/>
              <w:snapToGrid w:val="0"/>
              <w:ind w:left="173" w:right="-105" w:rightChars="-50" w:hanging="230" w:hangingChars="9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15.防护等级：不低于IP65；</w:t>
            </w:r>
          </w:p>
          <w:p w14:paraId="4DC330D2">
            <w:pPr>
              <w:widowControl/>
              <w:adjustRightInd w:val="0"/>
              <w:snapToGrid w:val="0"/>
              <w:ind w:left="173" w:right="-105" w:rightChars="-50" w:hanging="230" w:hangingChars="9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16.工作温度：-40℃~55℃；</w:t>
            </w:r>
          </w:p>
          <w:p w14:paraId="6F52B7A3">
            <w:pPr>
              <w:widowControl/>
              <w:adjustRightInd w:val="0"/>
              <w:snapToGrid w:val="0"/>
              <w:ind w:left="173" w:right="-105" w:rightChars="-50" w:hanging="230" w:hangingChars="9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17.充电机功率：不低于1.3KW；</w:t>
            </w:r>
          </w:p>
          <w:p w14:paraId="2590A1D5">
            <w:pPr>
              <w:widowControl/>
              <w:adjustRightInd w:val="0"/>
              <w:snapToGrid w:val="0"/>
              <w:ind w:left="173" w:right="-105" w:rightChars="-50" w:hanging="230" w:hangingChars="9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18.完善的故障告警及保护功能，其中包括：输入过/欠压保护、输出过压/过流/短路保护、输入防反接保护、输出防反接保护、温度智能降额、过温保护。</w:t>
            </w:r>
          </w:p>
          <w:p w14:paraId="38D42AD8">
            <w:pPr>
              <w:widowControl/>
              <w:adjustRightInd w:val="0"/>
              <w:snapToGrid w:val="0"/>
              <w:ind w:left="173" w:right="-105" w:rightChars="-50" w:hanging="230" w:hangingChars="9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19.性能主机：</w:t>
            </w:r>
          </w:p>
          <w:p w14:paraId="5ED292D9">
            <w:pPr>
              <w:widowControl/>
              <w:adjustRightInd w:val="0"/>
              <w:snapToGrid w:val="0"/>
              <w:ind w:left="173" w:right="-105" w:rightChars="-50" w:hanging="230" w:hangingChars="9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20.CPU性能不低于14核20线程，缓存不低于24MB，睿频最高可达5.3GHz； </w:t>
            </w:r>
          </w:p>
          <w:p w14:paraId="094AFE4A">
            <w:pPr>
              <w:widowControl/>
              <w:adjustRightInd w:val="0"/>
              <w:snapToGrid w:val="0"/>
              <w:ind w:left="173" w:right="-105" w:rightChars="-50" w:hanging="230" w:hangingChars="9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21.接口规格：不低于3个USB端口；</w:t>
            </w:r>
          </w:p>
          <w:p w14:paraId="38AE0EB5">
            <w:pPr>
              <w:widowControl/>
              <w:adjustRightInd w:val="0"/>
              <w:snapToGrid w:val="0"/>
              <w:ind w:left="173" w:right="-105" w:rightChars="-50" w:hanging="230" w:hangingChars="9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22.显示接口：支持HDMI；</w:t>
            </w:r>
          </w:p>
          <w:p w14:paraId="1ED03BD8">
            <w:pPr>
              <w:widowControl/>
              <w:adjustRightInd w:val="0"/>
              <w:snapToGrid w:val="0"/>
              <w:ind w:left="173" w:right="-105" w:rightChars="-50" w:hanging="230" w:hangingChars="9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23.网络接口：不低于1个以太网端口，10/100/1000 Mbps；</w:t>
            </w:r>
          </w:p>
          <w:p w14:paraId="2E271360">
            <w:pPr>
              <w:widowControl/>
              <w:adjustRightInd w:val="0"/>
              <w:snapToGrid w:val="0"/>
              <w:ind w:left="173" w:right="-105" w:rightChars="-50" w:hanging="230" w:hangingChars="9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24.操作系统：支持Windows /linux；</w:t>
            </w:r>
          </w:p>
          <w:p w14:paraId="7D7E3C2E">
            <w:pPr>
              <w:widowControl/>
              <w:adjustRightInd w:val="0"/>
              <w:snapToGrid w:val="0"/>
              <w:ind w:left="173" w:right="-105" w:rightChars="-50" w:hanging="230" w:hangingChars="9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25.上位机具备车辆动力学数据分析，动力学模型车型覆盖范围支持多种车型的建模仿真，包括轿车、轻型货车、轻型多用途运输车及SUV等；软件可以对车辆的动力性、燃油经济性、操纵稳定性、制动性及平顺性进行分析；支持混合动力和纯电动系统的模拟。软件采用VehicleSim(VS)仿真架构，包括VS Solvers用于模拟公路车辆及其控制器的动态行为，VSVisualizer用于显示仿真结果，以及通过用户界面(GUI)访问车辆、道路、测试条件等信息。支持通过软件如MATLAB, Excel等进行绘图和分析，便于用户对模拟结果进行深入研究和数据挖掘。</w:t>
            </w:r>
          </w:p>
          <w:p w14:paraId="7E219347">
            <w:pPr>
              <w:widowControl/>
              <w:adjustRightInd w:val="0"/>
              <w:snapToGrid w:val="0"/>
              <w:ind w:left="173" w:right="-105" w:rightChars="-50" w:hanging="230" w:hangingChars="9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26.台架控制单元VCU支持模型全开，提供Simulink工具包，支持VCU模型一键编译烧录：</w:t>
            </w:r>
          </w:p>
          <w:p w14:paraId="119B71C2">
            <w:pPr>
              <w:widowControl/>
              <w:adjustRightInd w:val="0"/>
              <w:snapToGrid w:val="0"/>
              <w:ind w:left="173" w:right="-105" w:rightChars="-50" w:hanging="230" w:hangingChars="9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27.采用121pin铝合金外壳及防水接插件；</w:t>
            </w:r>
          </w:p>
          <w:p w14:paraId="475071A3">
            <w:pPr>
              <w:widowControl/>
              <w:adjustRightInd w:val="0"/>
              <w:snapToGrid w:val="0"/>
              <w:ind w:left="173" w:right="-105" w:rightChars="-50" w:hanging="230" w:hangingChars="9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28.车规级主控芯片，功能安全等级可达ASIL-B级，主频不低于112MHz；</w:t>
            </w:r>
          </w:p>
          <w:p w14:paraId="699BA2D0">
            <w:pPr>
              <w:widowControl/>
              <w:adjustRightInd w:val="0"/>
              <w:snapToGrid w:val="0"/>
              <w:ind w:left="173" w:right="-105" w:rightChars="-50" w:hanging="230" w:hangingChars="9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29.内部闪存不低于2MB；</w:t>
            </w:r>
          </w:p>
          <w:p w14:paraId="359A9413">
            <w:pPr>
              <w:widowControl/>
              <w:adjustRightInd w:val="0"/>
              <w:snapToGrid w:val="0"/>
              <w:ind w:left="173" w:right="-105" w:rightChars="-50" w:hanging="230" w:hangingChars="9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30.提供SWD烧写接口；</w:t>
            </w:r>
          </w:p>
          <w:p w14:paraId="7EC7FE24">
            <w:pPr>
              <w:widowControl/>
              <w:adjustRightInd w:val="0"/>
              <w:snapToGrid w:val="0"/>
              <w:ind w:left="173" w:right="-105" w:rightChars="-50" w:hanging="230" w:hangingChars="9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31.数字量隔离输入12/24V，H有效（共GND），不少于14路；</w:t>
            </w:r>
          </w:p>
          <w:p w14:paraId="32A9E439">
            <w:pPr>
              <w:widowControl/>
              <w:adjustRightInd w:val="0"/>
              <w:snapToGrid w:val="0"/>
              <w:ind w:left="173" w:right="-105" w:rightChars="-50" w:hanging="230" w:hangingChars="9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32.数字量隔离输入12/24V，L有效（共GND），不少于6路；</w:t>
            </w:r>
          </w:p>
          <w:p w14:paraId="420E5973">
            <w:pPr>
              <w:widowControl/>
              <w:adjustRightInd w:val="0"/>
              <w:snapToGrid w:val="0"/>
              <w:ind w:left="173" w:right="-105" w:rightChars="-50" w:hanging="230" w:hangingChars="9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33.数字量隔离输出，高有效（接负载正极），不少于8路；</w:t>
            </w:r>
          </w:p>
          <w:p w14:paraId="30AEC58F">
            <w:pPr>
              <w:widowControl/>
              <w:adjustRightInd w:val="0"/>
              <w:snapToGrid w:val="0"/>
              <w:ind w:left="173" w:right="-105" w:rightChars="-50" w:hanging="230" w:hangingChars="9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34.数字量隔离输出，低有效（接负载负极），不少于15路；</w:t>
            </w:r>
          </w:p>
          <w:p w14:paraId="1DB3B49F">
            <w:pPr>
              <w:widowControl/>
              <w:adjustRightInd w:val="0"/>
              <w:snapToGrid w:val="0"/>
              <w:ind w:left="173" w:right="-105" w:rightChars="-50" w:hanging="230" w:hangingChars="9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35.模拟量输入16bit，不小于4路，最大采样率不低于800Hz；模拟量输入12bit，不小于4路，最大采样率不低于4000hz；</w:t>
            </w:r>
          </w:p>
          <w:p w14:paraId="3CCEAB79">
            <w:pPr>
              <w:widowControl/>
              <w:adjustRightInd w:val="0"/>
              <w:snapToGrid w:val="0"/>
              <w:ind w:left="173" w:right="-105" w:rightChars="-50" w:hanging="230" w:hangingChars="9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36.CAN/CANFD接口不小于3路，1路具备唤醒功能；</w:t>
            </w:r>
          </w:p>
          <w:p w14:paraId="79DF84C0">
            <w:pPr>
              <w:widowControl/>
              <w:adjustRightInd w:val="0"/>
              <w:snapToGrid w:val="0"/>
              <w:ind w:left="173" w:right="-105" w:rightChars="-50" w:hanging="230" w:hangingChars="9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37.通信接口：不少于RS485*1，RS232*1，100M以太网*1；</w:t>
            </w:r>
          </w:p>
          <w:p w14:paraId="298F68B5">
            <w:pPr>
              <w:widowControl/>
              <w:adjustRightInd w:val="0"/>
              <w:snapToGrid w:val="0"/>
              <w:ind w:left="173" w:right="-105" w:rightChars="-50" w:hanging="230" w:hangingChars="9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38.不少于6路互补PWM信号输出；</w:t>
            </w:r>
          </w:p>
          <w:p w14:paraId="7E593480">
            <w:pPr>
              <w:widowControl/>
              <w:adjustRightInd w:val="0"/>
              <w:snapToGrid w:val="0"/>
              <w:ind w:left="173" w:right="-105" w:rightChars="-50" w:hanging="230" w:hangingChars="9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39. 六轴姿态测量传感器，支持加速度、角速度、角度输出；（提供板载六轴陀螺仪电路板电路原理图、PCB图片，提供不全视为不响应）</w:t>
            </w:r>
          </w:p>
          <w:p w14:paraId="481BAAB0">
            <w:pPr>
              <w:widowControl/>
              <w:adjustRightInd w:val="0"/>
              <w:snapToGrid w:val="0"/>
              <w:ind w:left="173" w:right="-105" w:rightChars="-50" w:hanging="230" w:hangingChars="9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40.车规级电源管理芯片，支持对外输出5V电压，支持故障监测；</w:t>
            </w:r>
          </w:p>
          <w:p w14:paraId="3AC95E08">
            <w:pPr>
              <w:widowControl/>
              <w:adjustRightInd w:val="0"/>
              <w:snapToGrid w:val="0"/>
              <w:ind w:left="173" w:right="-105" w:rightChars="-50" w:hanging="230" w:hangingChars="9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41.★支持OTA空中升级。升级过程可通过云平台管理、查看。（提供OTA升级测试结果截图、功能应用代码截图、功能方案介绍说明书截图，提供不全视为不响应）</w:t>
            </w:r>
          </w:p>
          <w:p w14:paraId="5CD26B8A">
            <w:pPr>
              <w:widowControl/>
              <w:adjustRightInd w:val="0"/>
              <w:snapToGrid w:val="0"/>
              <w:ind w:left="173" w:right="-105" w:rightChars="-50" w:hanging="230" w:hangingChars="9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42.★提供主板电路保护终端：支持防雷击防浪涌功能，最大放电电流Imax(8/20μs)≧40kA，电压保护水平Up≦1.7kV，支持监测功能至少包含：电流、电压、功率、接地通断、断电、漏电监测、雷击浪涌次数、防雷器状态、防雷器温度、防雷器寿命、环境温湿度、水浸、烟雾等监测；（需在具有CNAS或CMA标识检测报告中体现功能描述）</w:t>
            </w:r>
          </w:p>
          <w:p w14:paraId="339789A0">
            <w:pPr>
              <w:widowControl/>
              <w:adjustRightInd w:val="0"/>
              <w:snapToGrid w:val="0"/>
              <w:ind w:left="173" w:right="-105" w:rightChars="-50" w:hanging="230" w:hangingChars="9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43.★可显示监测指标信息，屏显内容包括：电压、电流、频率、功率、雷击浪涌次数、防雷器状态、防雷器温度、防雷器寿命、接地通断、漏电监测、漏电流、温湿度、烟雾、水浸、安装单位、联系人、联系电话，可通过手机扫描屏显电子二维码进行关注、查询、故障报修；（需在具有CNAS或CMA标识检测报告中体现功能描述）</w:t>
            </w:r>
          </w:p>
          <w:p w14:paraId="31D7A152">
            <w:pPr>
              <w:widowControl/>
              <w:adjustRightInd w:val="0"/>
              <w:snapToGrid w:val="0"/>
              <w:ind w:left="173" w:right="-105" w:rightChars="-50" w:hanging="230" w:hangingChars="9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44.设备内置告警扬声器≧1个，具有系统、网络、入网、RS485状态指示灯，告警方式支持本机扬声器告警、手机微信告警、管理平台告警；（需在具有CNAS或CMA标识检测报告中体现功能描述）</w:t>
            </w:r>
          </w:p>
          <w:p w14:paraId="1BB8C755">
            <w:pPr>
              <w:widowControl/>
              <w:adjustRightInd w:val="0"/>
              <w:snapToGrid w:val="0"/>
              <w:ind w:left="173" w:right="-105" w:rightChars="-50" w:hanging="230" w:hangingChars="9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45.★支持供电BYPASS功能，即使本机系统出现问题或者系统重启也不影响正常输出供电，以保障用电设备稳定运行；</w:t>
            </w:r>
            <w:bookmarkStart w:id="38" w:name="OLE_LINK1"/>
            <w:r>
              <w:rPr>
                <w:rFonts w:hint="eastAsia" w:ascii="宋体" w:hAnsi="宋体" w:eastAsia="宋体" w:cs="宋体"/>
                <w:color w:val="000000"/>
                <w:kern w:val="0"/>
                <w:sz w:val="24"/>
                <w:szCs w:val="24"/>
                <w:highlight w:val="none"/>
              </w:rPr>
              <w:t>（需在具有CNAS或CMA标识检测报告中体现功能描述）</w:t>
            </w:r>
            <w:bookmarkEnd w:id="38"/>
          </w:p>
          <w:p w14:paraId="6A2A905F">
            <w:pPr>
              <w:widowControl/>
              <w:adjustRightInd w:val="0"/>
              <w:snapToGrid w:val="0"/>
              <w:ind w:left="173" w:right="-105" w:rightChars="-50" w:hanging="230" w:hangingChars="9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46.支持XCP标定协议，支持在线调试（观测和修改参数）；</w:t>
            </w:r>
          </w:p>
          <w:p w14:paraId="6B33D9A9">
            <w:pPr>
              <w:widowControl/>
              <w:adjustRightInd w:val="0"/>
              <w:snapToGrid w:val="0"/>
              <w:ind w:left="173" w:right="-105" w:rightChars="-50" w:hanging="230" w:hangingChars="9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47.提供Simulink应用层接口案例模型，支持自动代码转换下载烧写，包括ADC、CAN、IO_Demo、PWM_Demo、UART_Demo；</w:t>
            </w:r>
          </w:p>
          <w:p w14:paraId="5DD4D6D7">
            <w:pPr>
              <w:widowControl/>
              <w:adjustRightInd w:val="0"/>
              <w:snapToGrid w:val="0"/>
              <w:ind w:left="173" w:right="-105" w:rightChars="-50" w:hanging="230" w:hangingChars="9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48.支持DBC解包与打包功能，生成对应代码。</w:t>
            </w:r>
          </w:p>
          <w:p w14:paraId="32AEC76B">
            <w:pPr>
              <w:widowControl/>
              <w:adjustRightInd w:val="0"/>
              <w:snapToGrid w:val="0"/>
              <w:ind w:left="173" w:right="-105" w:rightChars="-50" w:hanging="230" w:hangingChars="9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49.配备不少于65寸的显示器，用于场景显示。</w:t>
            </w:r>
          </w:p>
          <w:p w14:paraId="1318896A">
            <w:pPr>
              <w:widowControl/>
              <w:adjustRightInd w:val="0"/>
              <w:snapToGrid w:val="0"/>
              <w:ind w:left="173" w:right="-105" w:rightChars="-50" w:hanging="230" w:hangingChars="9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50.提供与动力学仿真软件联合仿真的Matlab/Simulink与python的仿真接口，可通过外部软件对车辆控制接口、仿真初始条件进行设置，支持自动脚本控制模式下的遍历性仿真测试。</w:t>
            </w:r>
          </w:p>
          <w:p w14:paraId="2B85EFE0">
            <w:pPr>
              <w:widowControl/>
              <w:adjustRightInd w:val="0"/>
              <w:snapToGrid w:val="0"/>
              <w:ind w:left="173" w:right="-105" w:rightChars="-50" w:hanging="230" w:hangingChars="9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51.提供分布式驱动汽车仿真模型，包含Simulink可定制化轮毂电机模型、电池模型、驾驶员模型，提供案例模型及说明文件支持上述模型与CarSim动力学模型的集成（提供开源模型文件截图、案例指导文件截图，模型集成截图，提供不全视为不响应）。</w:t>
            </w:r>
          </w:p>
          <w:p w14:paraId="1B12BFB5">
            <w:pPr>
              <w:widowControl/>
              <w:adjustRightInd w:val="0"/>
              <w:snapToGrid w:val="0"/>
              <w:ind w:left="173" w:right="-105" w:rightChars="-50" w:hanging="230" w:hangingChars="9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52.提供底盘线控demo实验案例，包括原地转向控制、圆规掉头控制、四轮转向控制等策略或算法的开发验证（提供原地转向控制实验录屏视频、圆规掉头控制实验录屏视频和四轮转向控制实验录屏视频，提供不全视为不响应）。</w:t>
            </w:r>
          </w:p>
          <w:p w14:paraId="2CB09AFC">
            <w:pPr>
              <w:widowControl/>
              <w:adjustRightInd w:val="0"/>
              <w:snapToGrid w:val="0"/>
              <w:ind w:left="173" w:right="-105" w:rightChars="-50" w:hanging="230" w:hangingChars="9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53.动力学试验例程包含车辆纵向控制实验ACC、AEB和车辆横向控制实验LKA，提供控制模型。提供制动能量回收案例及配套模型。实验例程包含虚拟仿真的动画场景，场景环境支持自定制，模型以Simulink方式源码开放（提供ACC实验、AEB实验、LKA实验和能量回收实验录屏视频截图，提供不全视为不响应）。</w:t>
            </w:r>
          </w:p>
          <w:p w14:paraId="71D7C458">
            <w:pPr>
              <w:widowControl/>
              <w:adjustRightInd w:val="0"/>
              <w:snapToGrid w:val="0"/>
              <w:ind w:left="173" w:right="-105" w:rightChars="-50" w:hanging="230" w:hangingChars="9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54.桌*1椅*6。桌子尺寸：≥2000 mm×750 mm×800 mm（长×宽×高）。桌子配双插座并安装。桌面材质：理化板+防静电胶，桌腿：方钢。</w:t>
            </w:r>
          </w:p>
        </w:tc>
        <w:tc>
          <w:tcPr>
            <w:tcW w:w="530" w:type="dxa"/>
            <w:tcBorders>
              <w:top w:val="nil"/>
              <w:left w:val="nil"/>
              <w:bottom w:val="single" w:color="auto" w:sz="4" w:space="0"/>
              <w:right w:val="single" w:color="auto" w:sz="4" w:space="0"/>
            </w:tcBorders>
            <w:noWrap w:val="0"/>
            <w:vAlign w:val="center"/>
          </w:tcPr>
          <w:p w14:paraId="796295BC">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台</w:t>
            </w:r>
          </w:p>
        </w:tc>
        <w:tc>
          <w:tcPr>
            <w:tcW w:w="457" w:type="dxa"/>
            <w:tcBorders>
              <w:top w:val="nil"/>
              <w:left w:val="nil"/>
              <w:bottom w:val="single" w:color="auto" w:sz="4" w:space="0"/>
              <w:right w:val="single" w:color="auto" w:sz="4" w:space="0"/>
            </w:tcBorders>
            <w:noWrap w:val="0"/>
            <w:vAlign w:val="center"/>
          </w:tcPr>
          <w:p w14:paraId="2C61D9A6">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w:t>
            </w:r>
          </w:p>
        </w:tc>
      </w:tr>
      <w:tr w14:paraId="22277B48">
        <w:tblPrEx>
          <w:tblCellMar>
            <w:top w:w="0" w:type="dxa"/>
            <w:left w:w="108" w:type="dxa"/>
            <w:bottom w:w="0" w:type="dxa"/>
            <w:right w:w="108" w:type="dxa"/>
          </w:tblCellMar>
        </w:tblPrEx>
        <w:trPr>
          <w:trHeight w:val="864" w:hRule="atLeast"/>
          <w:jc w:val="center"/>
        </w:trPr>
        <w:tc>
          <w:tcPr>
            <w:tcW w:w="755" w:type="dxa"/>
            <w:tcBorders>
              <w:top w:val="single" w:color="auto" w:sz="4" w:space="0"/>
              <w:left w:val="single" w:color="auto" w:sz="4" w:space="0"/>
              <w:bottom w:val="single" w:color="auto" w:sz="4" w:space="0"/>
              <w:right w:val="single" w:color="auto" w:sz="4" w:space="0"/>
            </w:tcBorders>
            <w:noWrap/>
            <w:vAlign w:val="center"/>
          </w:tcPr>
          <w:p w14:paraId="7ECB65A5">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w:t>
            </w:r>
          </w:p>
        </w:tc>
        <w:tc>
          <w:tcPr>
            <w:tcW w:w="705" w:type="dxa"/>
            <w:tcBorders>
              <w:top w:val="single" w:color="auto" w:sz="4" w:space="0"/>
              <w:left w:val="nil"/>
              <w:bottom w:val="single" w:color="auto" w:sz="4" w:space="0"/>
              <w:right w:val="single" w:color="auto" w:sz="4" w:space="0"/>
            </w:tcBorders>
            <w:noWrap w:val="0"/>
            <w:vAlign w:val="center"/>
          </w:tcPr>
          <w:p w14:paraId="47542AF1">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汽车道路性能测试分析系统</w:t>
            </w:r>
          </w:p>
        </w:tc>
        <w:tc>
          <w:tcPr>
            <w:tcW w:w="7063" w:type="dxa"/>
            <w:tcBorders>
              <w:top w:val="single" w:color="auto" w:sz="4" w:space="0"/>
              <w:left w:val="nil"/>
              <w:bottom w:val="single" w:color="auto" w:sz="4" w:space="0"/>
              <w:right w:val="single" w:color="auto" w:sz="4" w:space="0"/>
            </w:tcBorders>
            <w:noWrap w:val="0"/>
            <w:vAlign w:val="center"/>
          </w:tcPr>
          <w:p w14:paraId="2593765E">
            <w:pPr>
              <w:pStyle w:val="23"/>
              <w:widowControl w:val="0"/>
              <w:adjustRightInd w:val="0"/>
              <w:snapToGrid w:val="0"/>
              <w:spacing w:before="0" w:beforeAutospacing="0" w:after="0" w:afterAutospacing="0"/>
              <w:jc w:val="both"/>
              <w:rPr>
                <w:rFonts w:hint="eastAsia" w:ascii="宋体" w:hAnsi="宋体" w:eastAsia="宋体" w:cs="宋体"/>
                <w:color w:val="000000"/>
                <w:kern w:val="2"/>
                <w:sz w:val="24"/>
                <w:szCs w:val="24"/>
                <w:highlight w:val="none"/>
                <w:lang w:bidi="ar"/>
              </w:rPr>
            </w:pPr>
            <w:r>
              <w:rPr>
                <w:rFonts w:hint="eastAsia" w:ascii="宋体" w:hAnsi="宋体" w:eastAsia="宋体" w:cs="宋体"/>
                <w:b/>
                <w:color w:val="000000"/>
                <w:kern w:val="2"/>
                <w:sz w:val="24"/>
                <w:szCs w:val="24"/>
                <w:highlight w:val="none"/>
                <w:lang w:bidi="ar"/>
              </w:rPr>
              <w:t>一、设备功能</w:t>
            </w:r>
            <w:r>
              <w:rPr>
                <w:rFonts w:hint="eastAsia" w:ascii="宋体" w:hAnsi="宋体" w:eastAsia="宋体" w:cs="宋体"/>
                <w:color w:val="000000"/>
                <w:kern w:val="2"/>
                <w:sz w:val="24"/>
                <w:szCs w:val="24"/>
                <w:highlight w:val="none"/>
                <w:lang w:bidi="ar"/>
              </w:rPr>
              <w:t xml:space="preserve"> </w:t>
            </w:r>
          </w:p>
          <w:p w14:paraId="1BDE5A28">
            <w:pPr>
              <w:pStyle w:val="23"/>
              <w:widowControl w:val="0"/>
              <w:adjustRightInd w:val="0"/>
              <w:snapToGrid w:val="0"/>
              <w:spacing w:before="0" w:beforeAutospacing="0" w:after="0" w:afterAutospacing="0"/>
              <w:jc w:val="both"/>
              <w:rPr>
                <w:rFonts w:hint="eastAsia" w:ascii="宋体" w:hAnsi="宋体" w:eastAsia="宋体" w:cs="宋体"/>
                <w:color w:val="000000"/>
                <w:kern w:val="2"/>
                <w:sz w:val="24"/>
                <w:szCs w:val="24"/>
                <w:highlight w:val="none"/>
                <w:lang w:bidi="ar"/>
              </w:rPr>
            </w:pPr>
            <w:r>
              <w:rPr>
                <w:rFonts w:hint="eastAsia" w:ascii="宋体" w:hAnsi="宋体" w:eastAsia="宋体" w:cs="宋体"/>
                <w:color w:val="000000"/>
                <w:kern w:val="2"/>
                <w:sz w:val="24"/>
                <w:szCs w:val="24"/>
                <w:highlight w:val="none"/>
                <w:lang w:bidi="ar"/>
              </w:rPr>
              <w:t>汽车整车道路性能测试分析系统，能完成国家标准规定的整车性能道路试验，具有以下功能特点：</w:t>
            </w:r>
          </w:p>
          <w:p w14:paraId="37BFCBC3">
            <w:pPr>
              <w:pStyle w:val="23"/>
              <w:widowControl w:val="0"/>
              <w:numPr>
                <w:ilvl w:val="0"/>
                <w:numId w:val="11"/>
              </w:numPr>
              <w:adjustRightInd w:val="0"/>
              <w:snapToGrid w:val="0"/>
              <w:spacing w:before="0" w:beforeAutospacing="0" w:after="0" w:afterAutospacing="0"/>
              <w:jc w:val="both"/>
              <w:rPr>
                <w:rFonts w:hint="eastAsia" w:ascii="宋体" w:hAnsi="宋体" w:eastAsia="宋体" w:cs="宋体"/>
                <w:color w:val="000000"/>
                <w:kern w:val="2"/>
                <w:sz w:val="24"/>
                <w:szCs w:val="24"/>
                <w:highlight w:val="none"/>
                <w:lang w:bidi="ar"/>
              </w:rPr>
            </w:pPr>
            <w:r>
              <w:rPr>
                <w:rFonts w:hint="eastAsia" w:ascii="宋体" w:hAnsi="宋体" w:eastAsia="宋体" w:cs="宋体"/>
                <w:b/>
                <w:color w:val="000000"/>
                <w:kern w:val="2"/>
                <w:sz w:val="24"/>
                <w:szCs w:val="24"/>
                <w:highlight w:val="none"/>
                <w:lang w:bidi="ar"/>
              </w:rPr>
              <w:t>动力性试验</w:t>
            </w:r>
            <w:r>
              <w:rPr>
                <w:rFonts w:hint="eastAsia" w:ascii="宋体" w:hAnsi="宋体" w:eastAsia="宋体" w:cs="宋体"/>
                <w:color w:val="000000"/>
                <w:kern w:val="2"/>
                <w:sz w:val="24"/>
                <w:szCs w:val="24"/>
                <w:highlight w:val="none"/>
                <w:lang w:bidi="ar"/>
              </w:rPr>
              <w:t xml:space="preserve"> </w:t>
            </w:r>
          </w:p>
          <w:p w14:paraId="5F65C3B0">
            <w:pPr>
              <w:pStyle w:val="23"/>
              <w:widowControl w:val="0"/>
              <w:adjustRightInd w:val="0"/>
              <w:snapToGrid w:val="0"/>
              <w:spacing w:before="0" w:beforeAutospacing="0" w:after="0" w:afterAutospacing="0"/>
              <w:jc w:val="both"/>
              <w:rPr>
                <w:rFonts w:hint="eastAsia" w:ascii="宋体" w:hAnsi="宋体" w:eastAsia="宋体" w:cs="宋体"/>
                <w:color w:val="000000"/>
                <w:kern w:val="2"/>
                <w:sz w:val="24"/>
                <w:szCs w:val="24"/>
                <w:highlight w:val="none"/>
                <w:lang w:bidi="ar"/>
              </w:rPr>
            </w:pPr>
            <w:r>
              <w:rPr>
                <w:rFonts w:hint="eastAsia" w:ascii="宋体" w:hAnsi="宋体" w:eastAsia="宋体" w:cs="宋体"/>
                <w:color w:val="000000"/>
                <w:kern w:val="2"/>
                <w:sz w:val="24"/>
                <w:szCs w:val="24"/>
                <w:highlight w:val="none"/>
                <w:lang w:bidi="ar"/>
              </w:rPr>
              <w:t>① 最低稳定车速、最高车速试验数据采集与分析；</w:t>
            </w:r>
          </w:p>
          <w:p w14:paraId="3B3989CB">
            <w:pPr>
              <w:pStyle w:val="23"/>
              <w:widowControl w:val="0"/>
              <w:adjustRightInd w:val="0"/>
              <w:snapToGrid w:val="0"/>
              <w:spacing w:before="0" w:beforeAutospacing="0" w:after="0" w:afterAutospacing="0"/>
              <w:jc w:val="both"/>
              <w:rPr>
                <w:rFonts w:hint="eastAsia" w:ascii="宋体" w:hAnsi="宋体" w:eastAsia="宋体" w:cs="宋体"/>
                <w:color w:val="000000"/>
                <w:kern w:val="2"/>
                <w:sz w:val="24"/>
                <w:szCs w:val="24"/>
                <w:highlight w:val="none"/>
                <w:lang w:bidi="ar"/>
              </w:rPr>
            </w:pPr>
            <w:r>
              <w:rPr>
                <w:rFonts w:hint="eastAsia" w:ascii="宋体" w:hAnsi="宋体" w:eastAsia="宋体" w:cs="宋体"/>
                <w:color w:val="000000"/>
                <w:kern w:val="2"/>
                <w:sz w:val="24"/>
                <w:szCs w:val="24"/>
                <w:highlight w:val="none"/>
                <w:lang w:bidi="ar"/>
              </w:rPr>
              <w:t xml:space="preserve">② 起步加速试验、直接档加速试验数据采集与分析(含时间、位移、速度、加速度等关键参数)； </w:t>
            </w:r>
          </w:p>
          <w:p w14:paraId="344114B6">
            <w:pPr>
              <w:pStyle w:val="23"/>
              <w:widowControl w:val="0"/>
              <w:adjustRightInd w:val="0"/>
              <w:snapToGrid w:val="0"/>
              <w:spacing w:before="0" w:beforeAutospacing="0" w:after="0" w:afterAutospacing="0"/>
              <w:jc w:val="both"/>
              <w:rPr>
                <w:rFonts w:hint="eastAsia" w:ascii="宋体" w:hAnsi="宋体" w:eastAsia="宋体" w:cs="宋体"/>
                <w:color w:val="000000"/>
                <w:kern w:val="2"/>
                <w:sz w:val="24"/>
                <w:szCs w:val="24"/>
                <w:highlight w:val="none"/>
                <w:lang w:bidi="ar"/>
              </w:rPr>
            </w:pPr>
            <w:r>
              <w:rPr>
                <w:rFonts w:hint="eastAsia" w:ascii="宋体" w:hAnsi="宋体" w:eastAsia="宋体" w:cs="宋体"/>
                <w:color w:val="000000"/>
                <w:kern w:val="2"/>
                <w:sz w:val="24"/>
                <w:szCs w:val="24"/>
                <w:highlight w:val="none"/>
                <w:lang w:bidi="ar"/>
              </w:rPr>
              <w:t>③ 滑行试验数据采集与分析(含时间、位移、速度、阻力系数测定等关键参数)。</w:t>
            </w:r>
          </w:p>
          <w:p w14:paraId="1871B8A3">
            <w:pPr>
              <w:pStyle w:val="23"/>
              <w:widowControl w:val="0"/>
              <w:adjustRightInd w:val="0"/>
              <w:snapToGrid w:val="0"/>
              <w:spacing w:before="0" w:beforeAutospacing="0" w:after="0" w:afterAutospacing="0"/>
              <w:jc w:val="both"/>
              <w:rPr>
                <w:rFonts w:hint="eastAsia" w:ascii="宋体" w:hAnsi="宋体" w:eastAsia="宋体" w:cs="宋体"/>
                <w:color w:val="000000"/>
                <w:kern w:val="2"/>
                <w:sz w:val="24"/>
                <w:szCs w:val="24"/>
                <w:highlight w:val="none"/>
                <w:lang w:bidi="ar"/>
              </w:rPr>
            </w:pPr>
            <w:r>
              <w:rPr>
                <w:rFonts w:hint="eastAsia" w:ascii="宋体" w:hAnsi="宋体" w:eastAsia="宋体" w:cs="宋体"/>
                <w:color w:val="000000"/>
                <w:kern w:val="2"/>
                <w:sz w:val="24"/>
                <w:szCs w:val="24"/>
                <w:highlight w:val="none"/>
                <w:lang w:bidi="ar"/>
              </w:rPr>
              <w:t>④爬坡试验数据采集与分析</w:t>
            </w:r>
          </w:p>
          <w:p w14:paraId="78FDDD88">
            <w:pPr>
              <w:pStyle w:val="23"/>
              <w:widowControl w:val="0"/>
              <w:adjustRightInd w:val="0"/>
              <w:snapToGrid w:val="0"/>
              <w:spacing w:before="0" w:beforeAutospacing="0" w:after="0" w:afterAutospacing="0"/>
              <w:jc w:val="both"/>
              <w:rPr>
                <w:rFonts w:hint="eastAsia" w:ascii="宋体" w:hAnsi="宋体" w:eastAsia="宋体" w:cs="宋体"/>
                <w:b/>
                <w:color w:val="000000"/>
                <w:kern w:val="2"/>
                <w:sz w:val="24"/>
                <w:szCs w:val="24"/>
                <w:highlight w:val="none"/>
                <w:lang w:bidi="ar"/>
              </w:rPr>
            </w:pPr>
            <w:r>
              <w:rPr>
                <w:rFonts w:hint="eastAsia" w:ascii="宋体" w:hAnsi="宋体" w:eastAsia="宋体" w:cs="宋体"/>
                <w:b/>
                <w:color w:val="000000"/>
                <w:kern w:val="2"/>
                <w:sz w:val="24"/>
                <w:szCs w:val="24"/>
                <w:highlight w:val="none"/>
                <w:lang w:bidi="ar"/>
              </w:rPr>
              <w:t>2）制动性试验</w:t>
            </w:r>
          </w:p>
          <w:p w14:paraId="774EC294">
            <w:pPr>
              <w:pStyle w:val="23"/>
              <w:widowControl w:val="0"/>
              <w:adjustRightInd w:val="0"/>
              <w:snapToGrid w:val="0"/>
              <w:spacing w:before="0" w:beforeAutospacing="0" w:after="0" w:afterAutospacing="0"/>
              <w:jc w:val="both"/>
              <w:rPr>
                <w:rFonts w:hint="eastAsia" w:ascii="宋体" w:hAnsi="宋体" w:eastAsia="宋体" w:cs="宋体"/>
                <w:color w:val="000000"/>
                <w:kern w:val="2"/>
                <w:sz w:val="24"/>
                <w:szCs w:val="24"/>
                <w:highlight w:val="none"/>
                <w:lang w:bidi="ar"/>
              </w:rPr>
            </w:pPr>
            <w:r>
              <w:rPr>
                <w:rFonts w:hint="eastAsia" w:ascii="宋体" w:hAnsi="宋体" w:eastAsia="宋体" w:cs="宋体"/>
                <w:color w:val="000000"/>
                <w:kern w:val="2"/>
                <w:sz w:val="24"/>
                <w:szCs w:val="24"/>
                <w:highlight w:val="none"/>
                <w:lang w:bidi="ar"/>
              </w:rPr>
              <w:t>①制动性能试验数据采集与分析（包括压力、时间、速度、减速度、位移等关键参数）</w:t>
            </w:r>
            <w:r>
              <w:rPr>
                <w:rFonts w:hint="eastAsia" w:ascii="宋体" w:hAnsi="宋体" w:eastAsia="宋体" w:cs="宋体"/>
                <w:color w:val="000000"/>
                <w:kern w:val="2"/>
                <w:sz w:val="24"/>
                <w:szCs w:val="24"/>
                <w:highlight w:val="none"/>
                <w:lang w:eastAsia="zh" w:bidi="ar"/>
              </w:rPr>
              <w:t>。</w:t>
            </w:r>
          </w:p>
          <w:p w14:paraId="39B832B9">
            <w:pPr>
              <w:pStyle w:val="23"/>
              <w:widowControl w:val="0"/>
              <w:adjustRightInd w:val="0"/>
              <w:snapToGrid w:val="0"/>
              <w:spacing w:before="0" w:beforeAutospacing="0" w:after="0" w:afterAutospacing="0"/>
              <w:jc w:val="both"/>
              <w:rPr>
                <w:rFonts w:hint="eastAsia" w:ascii="宋体" w:hAnsi="宋体" w:eastAsia="宋体" w:cs="宋体"/>
                <w:color w:val="000000"/>
                <w:kern w:val="2"/>
                <w:sz w:val="24"/>
                <w:szCs w:val="24"/>
                <w:highlight w:val="none"/>
                <w:lang w:bidi="ar"/>
              </w:rPr>
            </w:pPr>
            <w:r>
              <w:rPr>
                <w:rFonts w:hint="eastAsia" w:ascii="宋体" w:hAnsi="宋体" w:eastAsia="宋体" w:cs="宋体"/>
                <w:color w:val="000000"/>
                <w:kern w:val="2"/>
                <w:sz w:val="24"/>
                <w:szCs w:val="24"/>
                <w:highlight w:val="none"/>
                <w:lang w:bidi="ar"/>
              </w:rPr>
              <w:t>②附着系数测定</w:t>
            </w:r>
          </w:p>
          <w:p w14:paraId="5E668BEE">
            <w:pPr>
              <w:pStyle w:val="23"/>
              <w:widowControl w:val="0"/>
              <w:adjustRightInd w:val="0"/>
              <w:snapToGrid w:val="0"/>
              <w:spacing w:before="0" w:beforeAutospacing="0" w:after="0" w:afterAutospacing="0"/>
              <w:jc w:val="both"/>
              <w:rPr>
                <w:rFonts w:hint="eastAsia" w:ascii="宋体" w:hAnsi="宋体" w:eastAsia="宋体" w:cs="宋体"/>
                <w:color w:val="000000"/>
                <w:kern w:val="2"/>
                <w:sz w:val="24"/>
                <w:szCs w:val="24"/>
                <w:highlight w:val="none"/>
                <w:lang w:bidi="ar"/>
              </w:rPr>
            </w:pPr>
            <w:r>
              <w:rPr>
                <w:rFonts w:hint="eastAsia" w:ascii="宋体" w:hAnsi="宋体" w:eastAsia="宋体" w:cs="宋体"/>
                <w:b/>
                <w:color w:val="000000"/>
                <w:kern w:val="2"/>
                <w:sz w:val="24"/>
                <w:szCs w:val="24"/>
                <w:highlight w:val="none"/>
                <w:lang w:bidi="ar"/>
              </w:rPr>
              <w:t>3）电压/电流测量（电耗测试部分）</w:t>
            </w:r>
            <w:r>
              <w:rPr>
                <w:rFonts w:hint="eastAsia" w:ascii="宋体" w:hAnsi="宋体" w:eastAsia="宋体" w:cs="宋体"/>
                <w:color w:val="000000"/>
                <w:kern w:val="2"/>
                <w:sz w:val="24"/>
                <w:szCs w:val="24"/>
                <w:highlight w:val="none"/>
                <w:lang w:bidi="ar"/>
              </w:rPr>
              <w:t xml:space="preserve"> </w:t>
            </w:r>
          </w:p>
          <w:p w14:paraId="1C49D488">
            <w:pPr>
              <w:pStyle w:val="23"/>
              <w:widowControl w:val="0"/>
              <w:adjustRightInd w:val="0"/>
              <w:snapToGrid w:val="0"/>
              <w:spacing w:before="0" w:beforeAutospacing="0" w:after="0" w:afterAutospacing="0"/>
              <w:jc w:val="both"/>
              <w:rPr>
                <w:rFonts w:hint="eastAsia" w:ascii="宋体" w:hAnsi="宋体" w:eastAsia="宋体" w:cs="宋体"/>
                <w:color w:val="000000"/>
                <w:kern w:val="2"/>
                <w:sz w:val="24"/>
                <w:szCs w:val="24"/>
                <w:highlight w:val="none"/>
                <w:lang w:bidi="ar"/>
              </w:rPr>
            </w:pPr>
            <w:r>
              <w:rPr>
                <w:rFonts w:hint="eastAsia" w:ascii="宋体" w:hAnsi="宋体" w:eastAsia="宋体" w:cs="宋体"/>
                <w:b/>
                <w:color w:val="000000"/>
                <w:kern w:val="2"/>
                <w:sz w:val="24"/>
                <w:szCs w:val="24"/>
                <w:highlight w:val="none"/>
                <w:lang w:bidi="ar"/>
              </w:rPr>
              <w:t>4） ABS/ASR 试验</w:t>
            </w:r>
            <w:r>
              <w:rPr>
                <w:rFonts w:hint="eastAsia" w:ascii="宋体" w:hAnsi="宋体" w:eastAsia="宋体" w:cs="宋体"/>
                <w:color w:val="000000"/>
                <w:kern w:val="2"/>
                <w:sz w:val="24"/>
                <w:szCs w:val="24"/>
                <w:highlight w:val="none"/>
                <w:lang w:bidi="ar"/>
              </w:rPr>
              <w:t xml:space="preserve"> </w:t>
            </w:r>
          </w:p>
          <w:p w14:paraId="262088F2">
            <w:pPr>
              <w:pStyle w:val="23"/>
              <w:widowControl w:val="0"/>
              <w:adjustRightInd w:val="0"/>
              <w:snapToGrid w:val="0"/>
              <w:spacing w:before="0" w:beforeAutospacing="0" w:after="0" w:afterAutospacing="0"/>
              <w:jc w:val="both"/>
              <w:rPr>
                <w:rFonts w:hint="eastAsia" w:ascii="宋体" w:hAnsi="宋体" w:eastAsia="宋体" w:cs="宋体"/>
                <w:color w:val="000000"/>
                <w:kern w:val="2"/>
                <w:sz w:val="24"/>
                <w:szCs w:val="24"/>
                <w:highlight w:val="none"/>
                <w:lang w:bidi="ar"/>
              </w:rPr>
            </w:pPr>
            <w:r>
              <w:rPr>
                <w:rFonts w:hint="eastAsia" w:ascii="宋体" w:hAnsi="宋体" w:eastAsia="宋体" w:cs="宋体"/>
                <w:color w:val="000000"/>
                <w:kern w:val="2"/>
                <w:sz w:val="24"/>
                <w:szCs w:val="24"/>
                <w:highlight w:val="none"/>
                <w:lang w:bidi="ar"/>
              </w:rPr>
              <w:t>① 能完成 6 轮瞬时转速、滑转（滑移）率瞬时测量；</w:t>
            </w:r>
          </w:p>
          <w:p w14:paraId="64B6DEC6">
            <w:pPr>
              <w:pStyle w:val="23"/>
              <w:widowControl w:val="0"/>
              <w:adjustRightInd w:val="0"/>
              <w:snapToGrid w:val="0"/>
              <w:spacing w:before="0" w:beforeAutospacing="0" w:after="0" w:afterAutospacing="0"/>
              <w:jc w:val="both"/>
              <w:rPr>
                <w:rFonts w:hint="eastAsia" w:ascii="宋体" w:hAnsi="宋体" w:eastAsia="宋体" w:cs="宋体"/>
                <w:color w:val="000000"/>
                <w:kern w:val="2"/>
                <w:sz w:val="24"/>
                <w:szCs w:val="24"/>
                <w:highlight w:val="none"/>
                <w:lang w:bidi="ar"/>
              </w:rPr>
            </w:pPr>
            <w:r>
              <w:rPr>
                <w:rFonts w:hint="eastAsia" w:ascii="宋体" w:hAnsi="宋体" w:eastAsia="宋体" w:cs="宋体"/>
                <w:color w:val="000000"/>
                <w:kern w:val="2"/>
                <w:sz w:val="24"/>
                <w:szCs w:val="24"/>
                <w:highlight w:val="none"/>
                <w:lang w:bidi="ar"/>
              </w:rPr>
              <w:t xml:space="preserve">② 能完成 6 轮平均转速、滑转（滑移）率测量； </w:t>
            </w:r>
          </w:p>
          <w:p w14:paraId="5059430C">
            <w:pPr>
              <w:pStyle w:val="23"/>
              <w:widowControl w:val="0"/>
              <w:adjustRightInd w:val="0"/>
              <w:snapToGrid w:val="0"/>
              <w:spacing w:before="0" w:beforeAutospacing="0" w:after="0" w:afterAutospacing="0"/>
              <w:jc w:val="both"/>
              <w:rPr>
                <w:rFonts w:hint="eastAsia" w:ascii="宋体" w:hAnsi="宋体" w:eastAsia="宋体" w:cs="宋体"/>
                <w:color w:val="000000"/>
                <w:kern w:val="2"/>
                <w:sz w:val="24"/>
                <w:szCs w:val="24"/>
                <w:highlight w:val="none"/>
                <w:lang w:bidi="ar"/>
              </w:rPr>
            </w:pPr>
            <w:r>
              <w:rPr>
                <w:rFonts w:hint="eastAsia" w:ascii="宋体" w:hAnsi="宋体" w:eastAsia="宋体" w:cs="宋体"/>
                <w:color w:val="000000"/>
                <w:kern w:val="2"/>
                <w:sz w:val="24"/>
                <w:szCs w:val="24"/>
                <w:highlight w:val="none"/>
                <w:lang w:bidi="ar"/>
              </w:rPr>
              <w:t xml:space="preserve">③ 6个车轮转数通道具有变向功能与防抖功能； </w:t>
            </w:r>
          </w:p>
          <w:p w14:paraId="6A8AE438">
            <w:pPr>
              <w:pStyle w:val="23"/>
              <w:widowControl w:val="0"/>
              <w:adjustRightInd w:val="0"/>
              <w:snapToGrid w:val="0"/>
              <w:spacing w:before="0" w:beforeAutospacing="0" w:after="0" w:afterAutospacing="0"/>
              <w:jc w:val="both"/>
              <w:rPr>
                <w:rFonts w:hint="eastAsia" w:ascii="宋体" w:hAnsi="宋体" w:eastAsia="宋体" w:cs="宋体"/>
                <w:color w:val="000000"/>
                <w:kern w:val="2"/>
                <w:sz w:val="24"/>
                <w:szCs w:val="24"/>
                <w:highlight w:val="none"/>
                <w:lang w:bidi="ar"/>
              </w:rPr>
            </w:pPr>
            <w:r>
              <w:rPr>
                <w:rFonts w:hint="eastAsia" w:ascii="宋体" w:hAnsi="宋体" w:eastAsia="宋体" w:cs="宋体"/>
                <w:color w:val="000000"/>
                <w:kern w:val="2"/>
                <w:sz w:val="24"/>
                <w:szCs w:val="24"/>
                <w:highlight w:val="none"/>
                <w:lang w:bidi="ar"/>
              </w:rPr>
              <w:t>④ 采用了独特的等精度硬件测速电路，解决脉冲信号频率测量时快速性和准确性之间的矛盾；</w:t>
            </w:r>
          </w:p>
          <w:p w14:paraId="69CAFFD0">
            <w:pPr>
              <w:pStyle w:val="23"/>
              <w:widowControl w:val="0"/>
              <w:adjustRightInd w:val="0"/>
              <w:snapToGrid w:val="0"/>
              <w:spacing w:before="0" w:beforeAutospacing="0" w:after="0" w:afterAutospacing="0"/>
              <w:jc w:val="both"/>
              <w:rPr>
                <w:rFonts w:hint="eastAsia" w:ascii="宋体" w:hAnsi="宋体" w:eastAsia="宋体" w:cs="宋体"/>
                <w:color w:val="000000"/>
                <w:kern w:val="2"/>
                <w:sz w:val="24"/>
                <w:szCs w:val="24"/>
                <w:highlight w:val="none"/>
                <w:lang w:bidi="ar"/>
              </w:rPr>
            </w:pPr>
            <w:r>
              <w:rPr>
                <w:rFonts w:hint="eastAsia" w:ascii="宋体" w:hAnsi="宋体" w:eastAsia="宋体" w:cs="宋体"/>
                <w:color w:val="000000"/>
                <w:kern w:val="2"/>
                <w:sz w:val="24"/>
                <w:szCs w:val="24"/>
                <w:highlight w:val="none"/>
                <w:lang w:bidi="ar"/>
              </w:rPr>
              <w:t xml:space="preserve">⑤ 可显示不少于60个测量参数与实时曲线（同时显示不少于16个参数和实时曲线）； </w:t>
            </w:r>
          </w:p>
          <w:p w14:paraId="31787485">
            <w:pPr>
              <w:pStyle w:val="23"/>
              <w:widowControl w:val="0"/>
              <w:adjustRightInd w:val="0"/>
              <w:snapToGrid w:val="0"/>
              <w:spacing w:before="0" w:beforeAutospacing="0" w:after="0" w:afterAutospacing="0"/>
              <w:jc w:val="both"/>
              <w:rPr>
                <w:rFonts w:hint="eastAsia" w:ascii="宋体" w:hAnsi="宋体" w:eastAsia="宋体" w:cs="宋体"/>
                <w:color w:val="000000"/>
                <w:kern w:val="2"/>
                <w:sz w:val="24"/>
                <w:szCs w:val="24"/>
                <w:highlight w:val="none"/>
                <w:lang w:bidi="ar"/>
              </w:rPr>
            </w:pPr>
            <w:r>
              <w:rPr>
                <w:rFonts w:hint="eastAsia" w:ascii="宋体" w:hAnsi="宋体" w:eastAsia="宋体" w:cs="宋体"/>
                <w:color w:val="000000"/>
                <w:kern w:val="2"/>
                <w:sz w:val="24"/>
                <w:szCs w:val="24"/>
                <w:highlight w:val="none"/>
                <w:lang w:bidi="ar"/>
              </w:rPr>
              <w:t>⑥ 可显示50条试验平均曲线或者特殊参数（同时显示 2条参数曲线）；</w:t>
            </w:r>
          </w:p>
          <w:p w14:paraId="193C31F3">
            <w:pPr>
              <w:pStyle w:val="23"/>
              <w:widowControl w:val="0"/>
              <w:adjustRightInd w:val="0"/>
              <w:snapToGrid w:val="0"/>
              <w:spacing w:before="0" w:beforeAutospacing="0" w:after="0" w:afterAutospacing="0"/>
              <w:jc w:val="both"/>
              <w:rPr>
                <w:rFonts w:hint="eastAsia" w:ascii="宋体" w:hAnsi="宋体" w:eastAsia="宋体" w:cs="宋体"/>
                <w:color w:val="000000"/>
                <w:kern w:val="2"/>
                <w:sz w:val="24"/>
                <w:szCs w:val="24"/>
                <w:highlight w:val="none"/>
                <w:lang w:bidi="ar"/>
              </w:rPr>
            </w:pPr>
            <w:r>
              <w:rPr>
                <w:rFonts w:hint="eastAsia" w:ascii="宋体" w:hAnsi="宋体" w:eastAsia="宋体" w:cs="宋体"/>
                <w:color w:val="000000"/>
                <w:kern w:val="2"/>
                <w:sz w:val="24"/>
                <w:szCs w:val="24"/>
                <w:highlight w:val="none"/>
                <w:lang w:bidi="ar"/>
              </w:rPr>
              <w:t>⑦ 多种试验触发同步模式，可完成诸如 ABS、ASR性能测试、常规制动性、动力性等试验</w:t>
            </w:r>
            <w:r>
              <w:rPr>
                <w:rFonts w:hint="eastAsia" w:ascii="宋体" w:hAnsi="宋体" w:eastAsia="宋体" w:cs="宋体"/>
                <w:color w:val="000000"/>
                <w:kern w:val="2"/>
                <w:sz w:val="24"/>
                <w:szCs w:val="24"/>
                <w:highlight w:val="none"/>
                <w:lang w:eastAsia="zh" w:bidi="ar"/>
              </w:rPr>
              <w:t>。</w:t>
            </w:r>
          </w:p>
          <w:p w14:paraId="35F43757">
            <w:pPr>
              <w:pStyle w:val="23"/>
              <w:widowControl w:val="0"/>
              <w:adjustRightInd w:val="0"/>
              <w:snapToGrid w:val="0"/>
              <w:spacing w:before="0" w:beforeAutospacing="0" w:after="0" w:afterAutospacing="0"/>
              <w:jc w:val="both"/>
              <w:rPr>
                <w:rFonts w:hint="eastAsia" w:ascii="宋体" w:hAnsi="宋体" w:eastAsia="宋体" w:cs="宋体"/>
                <w:color w:val="000000"/>
                <w:kern w:val="2"/>
                <w:sz w:val="24"/>
                <w:szCs w:val="24"/>
                <w:highlight w:val="none"/>
                <w:lang w:bidi="ar"/>
              </w:rPr>
            </w:pPr>
            <w:r>
              <w:rPr>
                <w:rFonts w:hint="eastAsia" w:ascii="宋体" w:hAnsi="宋体" w:eastAsia="宋体" w:cs="宋体"/>
                <w:color w:val="000000"/>
                <w:kern w:val="2"/>
                <w:sz w:val="24"/>
                <w:szCs w:val="24"/>
                <w:highlight w:val="none"/>
                <w:lang w:bidi="ar"/>
              </w:rPr>
              <w:sym w:font="Wingdings" w:char="F088"/>
            </w:r>
            <w:r>
              <w:rPr>
                <w:rFonts w:hint="eastAsia" w:ascii="宋体" w:hAnsi="宋体" w:eastAsia="宋体" w:cs="宋体"/>
                <w:color w:val="000000"/>
                <w:kern w:val="2"/>
                <w:sz w:val="24"/>
                <w:szCs w:val="24"/>
                <w:highlight w:val="none"/>
                <w:lang w:bidi="ar"/>
              </w:rPr>
              <w:t xml:space="preserve"> 实现附着系数利用率测定，包括最大制动强度测定与附着系数测定</w:t>
            </w:r>
          </w:p>
          <w:p w14:paraId="5FCC082A">
            <w:pPr>
              <w:pStyle w:val="23"/>
              <w:widowControl w:val="0"/>
              <w:adjustRightInd w:val="0"/>
              <w:snapToGrid w:val="0"/>
              <w:spacing w:before="0" w:beforeAutospacing="0" w:after="0" w:afterAutospacing="0"/>
              <w:jc w:val="both"/>
              <w:rPr>
                <w:rFonts w:hint="eastAsia" w:ascii="宋体" w:hAnsi="宋体" w:eastAsia="宋体" w:cs="宋体"/>
                <w:color w:val="000000"/>
                <w:kern w:val="2"/>
                <w:sz w:val="24"/>
                <w:szCs w:val="24"/>
                <w:highlight w:val="none"/>
                <w:lang w:bidi="ar"/>
              </w:rPr>
            </w:pPr>
            <w:r>
              <w:rPr>
                <w:rFonts w:hint="eastAsia" w:ascii="宋体" w:hAnsi="宋体" w:eastAsia="宋体" w:cs="宋体"/>
                <w:b/>
                <w:color w:val="000000"/>
                <w:kern w:val="2"/>
                <w:sz w:val="24"/>
                <w:szCs w:val="24"/>
                <w:highlight w:val="none"/>
                <w:lang w:bidi="ar"/>
              </w:rPr>
              <w:t>5）其它试验</w:t>
            </w:r>
            <w:r>
              <w:rPr>
                <w:rFonts w:hint="eastAsia" w:ascii="宋体" w:hAnsi="宋体" w:eastAsia="宋体" w:cs="宋体"/>
                <w:color w:val="000000"/>
                <w:kern w:val="2"/>
                <w:sz w:val="24"/>
                <w:szCs w:val="24"/>
                <w:highlight w:val="none"/>
                <w:lang w:bidi="ar"/>
              </w:rPr>
              <w:t xml:space="preserve"> </w:t>
            </w:r>
          </w:p>
          <w:p w14:paraId="069B4C9A">
            <w:pPr>
              <w:pStyle w:val="23"/>
              <w:widowControl w:val="0"/>
              <w:adjustRightInd w:val="0"/>
              <w:snapToGrid w:val="0"/>
              <w:spacing w:before="0" w:beforeAutospacing="0" w:after="0" w:afterAutospacing="0"/>
              <w:jc w:val="both"/>
              <w:rPr>
                <w:rFonts w:hint="eastAsia" w:ascii="宋体" w:hAnsi="宋体" w:eastAsia="宋体" w:cs="宋体"/>
                <w:color w:val="000000"/>
                <w:kern w:val="2"/>
                <w:sz w:val="24"/>
                <w:szCs w:val="24"/>
                <w:highlight w:val="none"/>
                <w:lang w:bidi="ar"/>
              </w:rPr>
            </w:pPr>
            <w:r>
              <w:rPr>
                <w:rFonts w:hint="eastAsia" w:ascii="宋体" w:hAnsi="宋体" w:eastAsia="宋体" w:cs="宋体"/>
                <w:color w:val="000000"/>
                <w:kern w:val="2"/>
                <w:sz w:val="24"/>
                <w:szCs w:val="24"/>
                <w:highlight w:val="none"/>
                <w:lang w:bidi="ar"/>
              </w:rPr>
              <w:t>车速里程表校验</w:t>
            </w:r>
            <w:r>
              <w:rPr>
                <w:rFonts w:hint="eastAsia" w:ascii="宋体" w:hAnsi="宋体" w:eastAsia="宋体" w:cs="宋体"/>
                <w:color w:val="000000"/>
                <w:kern w:val="2"/>
                <w:sz w:val="24"/>
                <w:szCs w:val="24"/>
                <w:highlight w:val="none"/>
                <w:lang w:eastAsia="zh" w:bidi="ar"/>
              </w:rPr>
              <w:t>。</w:t>
            </w:r>
          </w:p>
          <w:p w14:paraId="6BF26587">
            <w:pPr>
              <w:pStyle w:val="23"/>
              <w:widowControl w:val="0"/>
              <w:adjustRightInd w:val="0"/>
              <w:snapToGrid w:val="0"/>
              <w:spacing w:before="0" w:beforeAutospacing="0" w:after="0" w:afterAutospacing="0"/>
              <w:jc w:val="both"/>
              <w:rPr>
                <w:rFonts w:hint="eastAsia" w:ascii="宋体" w:hAnsi="宋体" w:eastAsia="宋体" w:cs="宋体"/>
                <w:b/>
                <w:color w:val="000000"/>
                <w:kern w:val="2"/>
                <w:sz w:val="24"/>
                <w:szCs w:val="24"/>
                <w:highlight w:val="none"/>
                <w:lang w:bidi="ar"/>
              </w:rPr>
            </w:pPr>
            <w:r>
              <w:rPr>
                <w:rFonts w:hint="eastAsia" w:ascii="宋体" w:hAnsi="宋体" w:eastAsia="宋体" w:cs="宋体"/>
                <w:b/>
                <w:color w:val="000000"/>
                <w:kern w:val="2"/>
                <w:sz w:val="24"/>
                <w:szCs w:val="24"/>
                <w:highlight w:val="none"/>
                <w:lang w:bidi="ar"/>
              </w:rPr>
              <w:t>6）测试满足的国家标准（不限于以下标准）</w:t>
            </w:r>
          </w:p>
          <w:p w14:paraId="0AD93ECA">
            <w:pPr>
              <w:pStyle w:val="23"/>
              <w:adjustRightInd w:val="0"/>
              <w:snapToGrid w:val="0"/>
              <w:spacing w:before="0" w:beforeAutospacing="0" w:after="0" w:afterAutospacing="0"/>
              <w:rPr>
                <w:rFonts w:hint="eastAsia" w:ascii="宋体" w:hAnsi="宋体" w:eastAsia="宋体" w:cs="宋体"/>
                <w:color w:val="000000"/>
                <w:kern w:val="2"/>
                <w:sz w:val="24"/>
                <w:szCs w:val="24"/>
                <w:highlight w:val="none"/>
                <w:lang w:bidi="ar"/>
              </w:rPr>
            </w:pPr>
            <w:r>
              <w:rPr>
                <w:rFonts w:hint="eastAsia" w:ascii="宋体" w:hAnsi="宋体" w:eastAsia="宋体" w:cs="宋体"/>
                <w:color w:val="000000"/>
                <w:kern w:val="2"/>
                <w:sz w:val="24"/>
                <w:szCs w:val="24"/>
                <w:highlight w:val="none"/>
                <w:lang w:bidi="ar"/>
              </w:rPr>
              <w:t>GB/T 12547-2009《汽车最低稳定车速试验方法》</w:t>
            </w:r>
          </w:p>
          <w:p w14:paraId="47D6EF21">
            <w:pPr>
              <w:pStyle w:val="23"/>
              <w:adjustRightInd w:val="0"/>
              <w:snapToGrid w:val="0"/>
              <w:spacing w:before="0" w:beforeAutospacing="0" w:after="0" w:afterAutospacing="0"/>
              <w:rPr>
                <w:rFonts w:hint="eastAsia" w:ascii="宋体" w:hAnsi="宋体" w:eastAsia="宋体" w:cs="宋体"/>
                <w:color w:val="000000"/>
                <w:kern w:val="2"/>
                <w:sz w:val="24"/>
                <w:szCs w:val="24"/>
                <w:highlight w:val="none"/>
                <w:lang w:bidi="ar"/>
              </w:rPr>
            </w:pPr>
            <w:r>
              <w:rPr>
                <w:rFonts w:hint="eastAsia" w:ascii="宋体" w:hAnsi="宋体" w:eastAsia="宋体" w:cs="宋体"/>
                <w:color w:val="000000"/>
                <w:kern w:val="2"/>
                <w:sz w:val="24"/>
                <w:szCs w:val="24"/>
                <w:highlight w:val="none"/>
                <w:lang w:bidi="ar"/>
              </w:rPr>
              <w:t>GB/T 12536-2017《汽车滑行试验方法》</w:t>
            </w:r>
          </w:p>
          <w:p w14:paraId="23723983">
            <w:pPr>
              <w:pStyle w:val="23"/>
              <w:adjustRightInd w:val="0"/>
              <w:snapToGrid w:val="0"/>
              <w:spacing w:before="0" w:beforeAutospacing="0" w:after="0" w:afterAutospacing="0"/>
              <w:rPr>
                <w:rFonts w:hint="eastAsia" w:ascii="宋体" w:hAnsi="宋体" w:eastAsia="宋体" w:cs="宋体"/>
                <w:color w:val="000000"/>
                <w:kern w:val="2"/>
                <w:sz w:val="24"/>
                <w:szCs w:val="24"/>
                <w:highlight w:val="none"/>
                <w:lang w:bidi="ar"/>
              </w:rPr>
            </w:pPr>
            <w:r>
              <w:rPr>
                <w:rFonts w:hint="eastAsia" w:ascii="宋体" w:hAnsi="宋体" w:eastAsia="宋体" w:cs="宋体"/>
                <w:color w:val="000000"/>
                <w:kern w:val="2"/>
                <w:sz w:val="24"/>
                <w:szCs w:val="24"/>
                <w:highlight w:val="none"/>
                <w:lang w:bidi="ar"/>
              </w:rPr>
              <w:t>GB/T 12543-2009《汽车加速性能试验方法》</w:t>
            </w:r>
          </w:p>
          <w:p w14:paraId="0FD785F0">
            <w:pPr>
              <w:pStyle w:val="23"/>
              <w:adjustRightInd w:val="0"/>
              <w:snapToGrid w:val="0"/>
              <w:spacing w:before="0" w:beforeAutospacing="0" w:after="0" w:afterAutospacing="0"/>
              <w:rPr>
                <w:rFonts w:hint="eastAsia" w:ascii="宋体" w:hAnsi="宋体" w:eastAsia="宋体" w:cs="宋体"/>
                <w:color w:val="000000"/>
                <w:kern w:val="2"/>
                <w:sz w:val="24"/>
                <w:szCs w:val="24"/>
                <w:highlight w:val="none"/>
                <w:lang w:bidi="ar"/>
              </w:rPr>
            </w:pPr>
            <w:r>
              <w:rPr>
                <w:rFonts w:hint="eastAsia" w:ascii="宋体" w:hAnsi="宋体" w:eastAsia="宋体" w:cs="宋体"/>
                <w:color w:val="000000"/>
                <w:kern w:val="2"/>
                <w:sz w:val="24"/>
                <w:szCs w:val="24"/>
                <w:highlight w:val="none"/>
                <w:lang w:bidi="ar"/>
              </w:rPr>
              <w:t>GB/T 12539-2018《汽车爬陡坡试验方法》</w:t>
            </w:r>
          </w:p>
          <w:p w14:paraId="4CBCB24C">
            <w:pPr>
              <w:pStyle w:val="23"/>
              <w:adjustRightInd w:val="0"/>
              <w:snapToGrid w:val="0"/>
              <w:spacing w:before="0" w:beforeAutospacing="0" w:after="0" w:afterAutospacing="0"/>
              <w:rPr>
                <w:rFonts w:hint="eastAsia" w:ascii="宋体" w:hAnsi="宋体" w:eastAsia="宋体" w:cs="宋体"/>
                <w:color w:val="000000"/>
                <w:kern w:val="2"/>
                <w:sz w:val="24"/>
                <w:szCs w:val="24"/>
                <w:highlight w:val="none"/>
                <w:lang w:bidi="ar"/>
              </w:rPr>
            </w:pPr>
            <w:r>
              <w:rPr>
                <w:rFonts w:hint="eastAsia" w:ascii="宋体" w:hAnsi="宋体" w:eastAsia="宋体" w:cs="宋体"/>
                <w:color w:val="000000"/>
                <w:kern w:val="2"/>
                <w:sz w:val="24"/>
                <w:szCs w:val="24"/>
                <w:highlight w:val="none"/>
                <w:lang w:bidi="ar"/>
              </w:rPr>
              <w:t>GB/T 12544-2012《汽车最高车速试验方法》</w:t>
            </w:r>
          </w:p>
          <w:p w14:paraId="67480FB2">
            <w:pPr>
              <w:pStyle w:val="23"/>
              <w:adjustRightInd w:val="0"/>
              <w:snapToGrid w:val="0"/>
              <w:spacing w:before="0" w:beforeAutospacing="0" w:after="0" w:afterAutospacing="0"/>
              <w:rPr>
                <w:rFonts w:hint="eastAsia" w:ascii="宋体" w:hAnsi="宋体" w:eastAsia="宋体" w:cs="宋体"/>
                <w:color w:val="000000"/>
                <w:kern w:val="2"/>
                <w:sz w:val="24"/>
                <w:szCs w:val="24"/>
                <w:highlight w:val="none"/>
                <w:lang w:bidi="ar"/>
              </w:rPr>
            </w:pPr>
            <w:r>
              <w:rPr>
                <w:rFonts w:hint="eastAsia" w:ascii="宋体" w:hAnsi="宋体" w:eastAsia="宋体" w:cs="宋体"/>
                <w:color w:val="000000"/>
                <w:kern w:val="2"/>
                <w:sz w:val="24"/>
                <w:szCs w:val="24"/>
                <w:highlight w:val="none"/>
                <w:lang w:bidi="ar"/>
              </w:rPr>
              <w:t>GB/T 12548-2016《汽车速度表、里程表检验校正方法》</w:t>
            </w:r>
          </w:p>
          <w:p w14:paraId="490364F2">
            <w:pPr>
              <w:pStyle w:val="23"/>
              <w:adjustRightInd w:val="0"/>
              <w:snapToGrid w:val="0"/>
              <w:spacing w:before="0" w:beforeAutospacing="0" w:after="0" w:afterAutospacing="0"/>
              <w:rPr>
                <w:rFonts w:hint="eastAsia" w:ascii="宋体" w:hAnsi="宋体" w:eastAsia="宋体" w:cs="宋体"/>
                <w:color w:val="000000"/>
                <w:kern w:val="2"/>
                <w:sz w:val="24"/>
                <w:szCs w:val="24"/>
                <w:highlight w:val="none"/>
                <w:lang w:bidi="ar"/>
              </w:rPr>
            </w:pPr>
            <w:r>
              <w:rPr>
                <w:rFonts w:hint="eastAsia" w:ascii="宋体" w:hAnsi="宋体" w:eastAsia="宋体" w:cs="宋体"/>
                <w:color w:val="000000"/>
                <w:kern w:val="2"/>
                <w:sz w:val="24"/>
                <w:szCs w:val="24"/>
                <w:highlight w:val="none"/>
                <w:lang w:bidi="ar"/>
              </w:rPr>
              <w:t>GB/T 24545-2009《车辆车速限制系统技术要求》</w:t>
            </w:r>
          </w:p>
          <w:p w14:paraId="23B7E930">
            <w:pPr>
              <w:pStyle w:val="23"/>
              <w:adjustRightInd w:val="0"/>
              <w:snapToGrid w:val="0"/>
              <w:spacing w:before="0" w:beforeAutospacing="0" w:after="0" w:afterAutospacing="0"/>
              <w:rPr>
                <w:rFonts w:hint="eastAsia" w:ascii="宋体" w:hAnsi="宋体" w:eastAsia="宋体" w:cs="宋体"/>
                <w:color w:val="000000"/>
                <w:kern w:val="2"/>
                <w:sz w:val="24"/>
                <w:szCs w:val="24"/>
                <w:highlight w:val="none"/>
                <w:lang w:bidi="ar"/>
              </w:rPr>
            </w:pPr>
            <w:r>
              <w:rPr>
                <w:rFonts w:hint="eastAsia" w:ascii="宋体" w:hAnsi="宋体" w:eastAsia="宋体" w:cs="宋体"/>
                <w:color w:val="000000"/>
                <w:kern w:val="2"/>
                <w:sz w:val="24"/>
                <w:szCs w:val="24"/>
                <w:highlight w:val="none"/>
                <w:lang w:bidi="ar"/>
              </w:rPr>
              <w:t>GB/T 13594-2025《机动车和挂车防抱制动性能和试验方法》</w:t>
            </w:r>
          </w:p>
          <w:p w14:paraId="23C0D20E">
            <w:pPr>
              <w:pStyle w:val="23"/>
              <w:adjustRightInd w:val="0"/>
              <w:snapToGrid w:val="0"/>
              <w:spacing w:before="0" w:beforeAutospacing="0" w:after="0" w:afterAutospacing="0"/>
              <w:rPr>
                <w:rFonts w:hint="eastAsia" w:ascii="宋体" w:hAnsi="宋体" w:eastAsia="宋体" w:cs="宋体"/>
                <w:color w:val="000000"/>
                <w:kern w:val="2"/>
                <w:sz w:val="24"/>
                <w:szCs w:val="24"/>
                <w:highlight w:val="none"/>
                <w:lang w:bidi="ar"/>
              </w:rPr>
            </w:pPr>
            <w:r>
              <w:rPr>
                <w:rFonts w:hint="eastAsia" w:ascii="宋体" w:hAnsi="宋体" w:eastAsia="宋体" w:cs="宋体"/>
                <w:color w:val="000000"/>
                <w:kern w:val="2"/>
                <w:sz w:val="24"/>
                <w:szCs w:val="24"/>
                <w:highlight w:val="none"/>
                <w:lang w:bidi="ar"/>
              </w:rPr>
              <w:t>GB/T 38186-2019《商用车制动系统技术要求及试验方法》</w:t>
            </w:r>
          </w:p>
          <w:p w14:paraId="153DC0E2">
            <w:pPr>
              <w:pStyle w:val="23"/>
              <w:widowControl w:val="0"/>
              <w:adjustRightInd w:val="0"/>
              <w:snapToGrid w:val="0"/>
              <w:spacing w:before="0" w:beforeAutospacing="0" w:after="0" w:afterAutospacing="0"/>
              <w:jc w:val="both"/>
              <w:rPr>
                <w:rFonts w:hint="eastAsia" w:ascii="宋体" w:hAnsi="宋体" w:eastAsia="宋体" w:cs="宋体"/>
                <w:color w:val="000000"/>
                <w:sz w:val="24"/>
                <w:szCs w:val="24"/>
                <w:highlight w:val="none"/>
              </w:rPr>
            </w:pPr>
            <w:r>
              <w:rPr>
                <w:rFonts w:hint="eastAsia" w:ascii="宋体" w:hAnsi="宋体" w:eastAsia="宋体" w:cs="宋体"/>
                <w:color w:val="000000"/>
                <w:kern w:val="2"/>
                <w:sz w:val="24"/>
                <w:szCs w:val="24"/>
                <w:highlight w:val="none"/>
                <w:lang w:bidi="ar"/>
              </w:rPr>
              <w:t>GB 7258-2017《机动车运行安全技术条件》</w:t>
            </w:r>
            <w:r>
              <w:rPr>
                <w:rFonts w:hint="eastAsia" w:ascii="宋体" w:hAnsi="宋体" w:eastAsia="宋体" w:cs="宋体"/>
                <w:color w:val="000000"/>
                <w:sz w:val="24"/>
                <w:szCs w:val="24"/>
                <w:highlight w:val="none"/>
              </w:rPr>
              <w:br w:type="textWrapping"/>
            </w:r>
            <w:r>
              <w:rPr>
                <w:rFonts w:hint="eastAsia" w:ascii="宋体" w:hAnsi="宋体" w:eastAsia="宋体" w:cs="宋体"/>
                <w:color w:val="000000"/>
                <w:sz w:val="24"/>
                <w:szCs w:val="24"/>
                <w:highlight w:val="none"/>
              </w:rPr>
              <w:t>GB/T 18386-2017《电动汽车—能量消耗率和续驶里程—试验方法》</w:t>
            </w:r>
          </w:p>
          <w:p w14:paraId="06B705E6">
            <w:pPr>
              <w:pStyle w:val="23"/>
              <w:widowControl w:val="0"/>
              <w:adjustRightInd w:val="0"/>
              <w:snapToGrid w:val="0"/>
              <w:spacing w:before="0" w:beforeAutospacing="0" w:after="0" w:afterAutospacing="0"/>
              <w:jc w:val="both"/>
              <w:rPr>
                <w:rFonts w:hint="eastAsia" w:ascii="宋体" w:hAnsi="宋体" w:eastAsia="宋体" w:cs="宋体"/>
                <w:color w:val="000000"/>
                <w:kern w:val="2"/>
                <w:sz w:val="24"/>
                <w:szCs w:val="24"/>
                <w:highlight w:val="none"/>
                <w:lang w:bidi="ar"/>
              </w:rPr>
            </w:pPr>
            <w:r>
              <w:rPr>
                <w:rFonts w:hint="eastAsia" w:ascii="宋体" w:hAnsi="宋体" w:eastAsia="宋体" w:cs="宋体"/>
                <w:color w:val="000000"/>
                <w:kern w:val="2"/>
                <w:sz w:val="24"/>
                <w:szCs w:val="24"/>
                <w:highlight w:val="none"/>
                <w:lang w:bidi="ar"/>
              </w:rPr>
              <w:t>GB 36980.1—2025《电动汽车能量消耗量限值 第1部分：乘用车》</w:t>
            </w:r>
          </w:p>
          <w:p w14:paraId="5269EBBA">
            <w:pPr>
              <w:pStyle w:val="23"/>
              <w:widowControl w:val="0"/>
              <w:adjustRightInd w:val="0"/>
              <w:snapToGrid w:val="0"/>
              <w:spacing w:before="0" w:beforeAutospacing="0" w:after="0" w:afterAutospacing="0"/>
              <w:jc w:val="both"/>
              <w:rPr>
                <w:rFonts w:hint="eastAsia" w:ascii="宋体" w:hAnsi="宋体" w:eastAsia="宋体" w:cs="宋体"/>
                <w:color w:val="000000"/>
                <w:kern w:val="2"/>
                <w:sz w:val="24"/>
                <w:szCs w:val="24"/>
                <w:highlight w:val="none"/>
                <w:lang w:bidi="ar"/>
              </w:rPr>
            </w:pPr>
            <w:r>
              <w:rPr>
                <w:rFonts w:hint="eastAsia" w:ascii="宋体" w:hAnsi="宋体" w:eastAsia="宋体" w:cs="宋体"/>
                <w:b/>
                <w:color w:val="000000"/>
                <w:kern w:val="2"/>
                <w:sz w:val="24"/>
                <w:szCs w:val="24"/>
                <w:highlight w:val="none"/>
                <w:lang w:bidi="ar"/>
              </w:rPr>
              <w:t>二、设备工作条件</w:t>
            </w:r>
            <w:r>
              <w:rPr>
                <w:rFonts w:hint="eastAsia" w:ascii="宋体" w:hAnsi="宋体" w:eastAsia="宋体" w:cs="宋体"/>
                <w:color w:val="000000"/>
                <w:kern w:val="2"/>
                <w:sz w:val="24"/>
                <w:szCs w:val="24"/>
                <w:highlight w:val="none"/>
                <w:lang w:bidi="ar"/>
              </w:rPr>
              <w:t xml:space="preserve"> </w:t>
            </w:r>
          </w:p>
          <w:p w14:paraId="5AFEE208">
            <w:pPr>
              <w:pStyle w:val="23"/>
              <w:widowControl w:val="0"/>
              <w:adjustRightInd w:val="0"/>
              <w:snapToGrid w:val="0"/>
              <w:spacing w:before="0" w:beforeAutospacing="0" w:after="0" w:afterAutospacing="0"/>
              <w:jc w:val="both"/>
              <w:rPr>
                <w:rFonts w:hint="eastAsia" w:ascii="宋体" w:hAnsi="宋体" w:eastAsia="宋体" w:cs="宋体"/>
                <w:color w:val="000000"/>
                <w:kern w:val="2"/>
                <w:sz w:val="24"/>
                <w:szCs w:val="24"/>
                <w:highlight w:val="none"/>
                <w:lang w:bidi="ar"/>
              </w:rPr>
            </w:pPr>
            <w:r>
              <w:rPr>
                <w:rFonts w:hint="eastAsia" w:ascii="宋体" w:hAnsi="宋体" w:eastAsia="宋体" w:cs="宋体"/>
                <w:color w:val="000000"/>
                <w:kern w:val="2"/>
                <w:sz w:val="24"/>
                <w:szCs w:val="24"/>
                <w:highlight w:val="none"/>
                <w:lang w:bidi="ar"/>
              </w:rPr>
              <w:t>2.1 工作环境：温度范围-20 ℃~60 ℃，相对湿度&lt;95%（不结露）</w:t>
            </w:r>
            <w:r>
              <w:rPr>
                <w:rFonts w:hint="eastAsia" w:ascii="宋体" w:hAnsi="宋体" w:eastAsia="宋体" w:cs="宋体"/>
                <w:color w:val="000000"/>
                <w:kern w:val="2"/>
                <w:sz w:val="24"/>
                <w:szCs w:val="24"/>
                <w:highlight w:val="none"/>
                <w:lang w:eastAsia="zh" w:bidi="ar"/>
              </w:rPr>
              <w:t>。</w:t>
            </w:r>
            <w:r>
              <w:rPr>
                <w:rFonts w:hint="eastAsia" w:ascii="宋体" w:hAnsi="宋体" w:eastAsia="宋体" w:cs="宋体"/>
                <w:color w:val="000000"/>
                <w:kern w:val="2"/>
                <w:sz w:val="24"/>
                <w:szCs w:val="24"/>
                <w:highlight w:val="none"/>
                <w:lang w:bidi="ar"/>
              </w:rPr>
              <w:t xml:space="preserve"> </w:t>
            </w:r>
          </w:p>
          <w:p w14:paraId="07D8BB51">
            <w:pPr>
              <w:pStyle w:val="23"/>
              <w:widowControl w:val="0"/>
              <w:adjustRightInd w:val="0"/>
              <w:snapToGrid w:val="0"/>
              <w:spacing w:before="0" w:beforeAutospacing="0" w:after="0" w:afterAutospacing="0"/>
              <w:jc w:val="both"/>
              <w:rPr>
                <w:rFonts w:hint="eastAsia" w:ascii="宋体" w:hAnsi="宋体" w:eastAsia="宋体" w:cs="宋体"/>
                <w:color w:val="000000"/>
                <w:kern w:val="2"/>
                <w:sz w:val="24"/>
                <w:szCs w:val="24"/>
                <w:highlight w:val="none"/>
                <w:lang w:bidi="ar"/>
              </w:rPr>
            </w:pPr>
            <w:r>
              <w:rPr>
                <w:rFonts w:hint="eastAsia" w:ascii="宋体" w:hAnsi="宋体" w:eastAsia="宋体" w:cs="宋体"/>
                <w:color w:val="000000"/>
                <w:kern w:val="2"/>
                <w:sz w:val="24"/>
                <w:szCs w:val="24"/>
                <w:highlight w:val="none"/>
                <w:lang w:bidi="ar"/>
              </w:rPr>
              <w:t>2.2 工作电源12 VDC（7～30V 宽电压），具有短路和反接保护功能。</w:t>
            </w:r>
          </w:p>
          <w:p w14:paraId="4A8C8C90">
            <w:pPr>
              <w:pStyle w:val="23"/>
              <w:widowControl w:val="0"/>
              <w:adjustRightInd w:val="0"/>
              <w:snapToGrid w:val="0"/>
              <w:spacing w:before="0" w:beforeAutospacing="0" w:after="0" w:afterAutospacing="0"/>
              <w:jc w:val="both"/>
              <w:rPr>
                <w:rFonts w:hint="eastAsia" w:ascii="宋体" w:hAnsi="宋体" w:eastAsia="宋体" w:cs="宋体"/>
                <w:color w:val="000000"/>
                <w:kern w:val="2"/>
                <w:sz w:val="24"/>
                <w:szCs w:val="24"/>
                <w:highlight w:val="none"/>
                <w:lang w:bidi="ar"/>
              </w:rPr>
            </w:pPr>
            <w:r>
              <w:rPr>
                <w:rFonts w:hint="eastAsia" w:ascii="宋体" w:hAnsi="宋体" w:eastAsia="宋体" w:cs="宋体"/>
                <w:color w:val="000000"/>
                <w:kern w:val="2"/>
                <w:sz w:val="24"/>
                <w:szCs w:val="24"/>
                <w:highlight w:val="none"/>
                <w:lang w:bidi="ar"/>
              </w:rPr>
              <w:t>2.3 提供与车载电源的匹配器和提供电源的电池</w:t>
            </w:r>
          </w:p>
          <w:p w14:paraId="20978F62">
            <w:pPr>
              <w:pStyle w:val="23"/>
              <w:widowControl w:val="0"/>
              <w:adjustRightInd w:val="0"/>
              <w:snapToGrid w:val="0"/>
              <w:spacing w:before="0" w:beforeAutospacing="0" w:after="0" w:afterAutospacing="0"/>
              <w:jc w:val="both"/>
              <w:rPr>
                <w:rFonts w:hint="eastAsia" w:ascii="宋体" w:hAnsi="宋体" w:eastAsia="宋体" w:cs="宋体"/>
                <w:b/>
                <w:color w:val="000000"/>
                <w:kern w:val="2"/>
                <w:sz w:val="24"/>
                <w:szCs w:val="24"/>
                <w:highlight w:val="none"/>
                <w:lang w:bidi="ar"/>
              </w:rPr>
            </w:pPr>
            <w:r>
              <w:rPr>
                <w:rFonts w:hint="eastAsia" w:ascii="宋体" w:hAnsi="宋体" w:eastAsia="宋体" w:cs="宋体"/>
                <w:b/>
                <w:color w:val="000000"/>
                <w:kern w:val="2"/>
                <w:sz w:val="24"/>
                <w:szCs w:val="24"/>
                <w:highlight w:val="none"/>
                <w:lang w:bidi="ar"/>
              </w:rPr>
              <w:t>三、系统组成</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517"/>
              <w:gridCol w:w="1052"/>
              <w:gridCol w:w="1994"/>
            </w:tblGrid>
            <w:tr w14:paraId="21613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14:paraId="322E2C87">
                  <w:pPr>
                    <w:pStyle w:val="23"/>
                    <w:adjustRightInd w:val="0"/>
                    <w:snapToGrid w:val="0"/>
                    <w:spacing w:before="0" w:beforeAutospacing="0"/>
                    <w:jc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序 号</w:t>
                  </w:r>
                </w:p>
              </w:tc>
              <w:tc>
                <w:tcPr>
                  <w:tcW w:w="1517" w:type="dxa"/>
                  <w:tcBorders>
                    <w:top w:val="single" w:color="auto" w:sz="4" w:space="0"/>
                    <w:left w:val="nil"/>
                    <w:bottom w:val="single" w:color="auto" w:sz="4" w:space="0"/>
                    <w:right w:val="single" w:color="auto" w:sz="4" w:space="0"/>
                  </w:tcBorders>
                  <w:noWrap w:val="0"/>
                  <w:vAlign w:val="center"/>
                </w:tcPr>
                <w:p w14:paraId="58DBED7E">
                  <w:pPr>
                    <w:pStyle w:val="23"/>
                    <w:adjustRightInd w:val="0"/>
                    <w:snapToGrid w:val="0"/>
                    <w:spacing w:before="0" w:beforeAutospacing="0"/>
                    <w:jc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名称</w:t>
                  </w:r>
                </w:p>
              </w:tc>
              <w:tc>
                <w:tcPr>
                  <w:tcW w:w="1052" w:type="dxa"/>
                  <w:tcBorders>
                    <w:top w:val="single" w:color="auto" w:sz="4" w:space="0"/>
                    <w:left w:val="nil"/>
                    <w:bottom w:val="single" w:color="auto" w:sz="4" w:space="0"/>
                    <w:right w:val="single" w:color="auto" w:sz="4" w:space="0"/>
                  </w:tcBorders>
                  <w:noWrap w:val="0"/>
                  <w:vAlign w:val="center"/>
                </w:tcPr>
                <w:p w14:paraId="0CFCAAB4">
                  <w:pPr>
                    <w:pStyle w:val="23"/>
                    <w:adjustRightInd w:val="0"/>
                    <w:snapToGrid w:val="0"/>
                    <w:spacing w:before="0" w:beforeAutospacing="0"/>
                    <w:jc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数量</w:t>
                  </w:r>
                </w:p>
              </w:tc>
              <w:tc>
                <w:tcPr>
                  <w:tcW w:w="1994" w:type="dxa"/>
                  <w:tcBorders>
                    <w:top w:val="single" w:color="auto" w:sz="4" w:space="0"/>
                    <w:left w:val="nil"/>
                    <w:bottom w:val="single" w:color="auto" w:sz="4" w:space="0"/>
                    <w:right w:val="single" w:color="auto" w:sz="4" w:space="0"/>
                  </w:tcBorders>
                  <w:noWrap w:val="0"/>
                  <w:vAlign w:val="center"/>
                </w:tcPr>
                <w:p w14:paraId="118D6705">
                  <w:pPr>
                    <w:pStyle w:val="23"/>
                    <w:adjustRightInd w:val="0"/>
                    <w:snapToGrid w:val="0"/>
                    <w:spacing w:before="0" w:beforeAutospacing="0"/>
                    <w:jc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备注</w:t>
                  </w:r>
                </w:p>
              </w:tc>
            </w:tr>
            <w:tr w14:paraId="4B3F1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14:paraId="5C6416F3">
                  <w:pPr>
                    <w:pStyle w:val="23"/>
                    <w:adjustRightInd w:val="0"/>
                    <w:snapToGrid w:val="0"/>
                    <w:spacing w:before="0" w:beforeAutospacing="0"/>
                    <w:jc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w:t>
                  </w:r>
                </w:p>
              </w:tc>
              <w:tc>
                <w:tcPr>
                  <w:tcW w:w="1517" w:type="dxa"/>
                  <w:tcBorders>
                    <w:top w:val="single" w:color="auto" w:sz="4" w:space="0"/>
                    <w:left w:val="nil"/>
                    <w:bottom w:val="single" w:color="auto" w:sz="4" w:space="0"/>
                    <w:right w:val="single" w:color="auto" w:sz="4" w:space="0"/>
                  </w:tcBorders>
                  <w:noWrap w:val="0"/>
                  <w:vAlign w:val="center"/>
                </w:tcPr>
                <w:p w14:paraId="5D6D9CDB">
                  <w:pPr>
                    <w:pStyle w:val="23"/>
                    <w:adjustRightInd w:val="0"/>
                    <w:snapToGrid w:val="0"/>
                    <w:spacing w:before="0" w:beforeAutospacing="0"/>
                    <w:jc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数据采集器</w:t>
                  </w:r>
                </w:p>
              </w:tc>
              <w:tc>
                <w:tcPr>
                  <w:tcW w:w="1052" w:type="dxa"/>
                  <w:tcBorders>
                    <w:top w:val="single" w:color="auto" w:sz="4" w:space="0"/>
                    <w:left w:val="nil"/>
                    <w:bottom w:val="single" w:color="auto" w:sz="4" w:space="0"/>
                    <w:right w:val="single" w:color="auto" w:sz="4" w:space="0"/>
                  </w:tcBorders>
                  <w:noWrap w:val="0"/>
                  <w:vAlign w:val="center"/>
                </w:tcPr>
                <w:p w14:paraId="6FFDD45F">
                  <w:pPr>
                    <w:pStyle w:val="23"/>
                    <w:adjustRightInd w:val="0"/>
                    <w:snapToGrid w:val="0"/>
                    <w:spacing w:before="0" w:beforeAutospacing="0"/>
                    <w:jc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w:t>
                  </w:r>
                </w:p>
              </w:tc>
              <w:tc>
                <w:tcPr>
                  <w:tcW w:w="1994" w:type="dxa"/>
                  <w:tcBorders>
                    <w:top w:val="single" w:color="auto" w:sz="4" w:space="0"/>
                    <w:left w:val="nil"/>
                    <w:bottom w:val="single" w:color="auto" w:sz="4" w:space="0"/>
                    <w:right w:val="single" w:color="auto" w:sz="4" w:space="0"/>
                  </w:tcBorders>
                  <w:noWrap w:val="0"/>
                  <w:vAlign w:val="center"/>
                </w:tcPr>
                <w:p w14:paraId="01EED1AA">
                  <w:pPr>
                    <w:pStyle w:val="23"/>
                    <w:adjustRightInd w:val="0"/>
                    <w:snapToGrid w:val="0"/>
                    <w:spacing w:before="0" w:beforeAutospacing="0"/>
                    <w:jc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内置 测速模块 100Hz  GPS</w:t>
                  </w:r>
                </w:p>
              </w:tc>
            </w:tr>
            <w:tr w14:paraId="5F1F4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14:paraId="7E51F9C0">
                  <w:pPr>
                    <w:pStyle w:val="23"/>
                    <w:adjustRightInd w:val="0"/>
                    <w:snapToGrid w:val="0"/>
                    <w:spacing w:before="0" w:beforeAutospacing="0"/>
                    <w:jc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w:t>
                  </w:r>
                </w:p>
              </w:tc>
              <w:tc>
                <w:tcPr>
                  <w:tcW w:w="1517" w:type="dxa"/>
                  <w:tcBorders>
                    <w:top w:val="single" w:color="auto" w:sz="4" w:space="0"/>
                    <w:left w:val="nil"/>
                    <w:bottom w:val="single" w:color="auto" w:sz="4" w:space="0"/>
                    <w:right w:val="single" w:color="auto" w:sz="4" w:space="0"/>
                  </w:tcBorders>
                  <w:noWrap w:val="0"/>
                  <w:vAlign w:val="center"/>
                </w:tcPr>
                <w:p w14:paraId="6F12B4D5">
                  <w:pPr>
                    <w:pStyle w:val="23"/>
                    <w:adjustRightInd w:val="0"/>
                    <w:snapToGrid w:val="0"/>
                    <w:spacing w:before="0" w:beforeAutospacing="0"/>
                    <w:jc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制动踏板开关</w:t>
                  </w:r>
                </w:p>
              </w:tc>
              <w:tc>
                <w:tcPr>
                  <w:tcW w:w="1052" w:type="dxa"/>
                  <w:tcBorders>
                    <w:top w:val="single" w:color="auto" w:sz="4" w:space="0"/>
                    <w:left w:val="nil"/>
                    <w:bottom w:val="single" w:color="auto" w:sz="4" w:space="0"/>
                    <w:right w:val="single" w:color="auto" w:sz="4" w:space="0"/>
                  </w:tcBorders>
                  <w:noWrap w:val="0"/>
                  <w:vAlign w:val="center"/>
                </w:tcPr>
                <w:p w14:paraId="71E4336E">
                  <w:pPr>
                    <w:pStyle w:val="23"/>
                    <w:adjustRightInd w:val="0"/>
                    <w:snapToGrid w:val="0"/>
                    <w:spacing w:before="0" w:beforeAutospacing="0"/>
                    <w:jc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w:t>
                  </w:r>
                </w:p>
              </w:tc>
              <w:tc>
                <w:tcPr>
                  <w:tcW w:w="1994" w:type="dxa"/>
                  <w:tcBorders>
                    <w:top w:val="single" w:color="auto" w:sz="4" w:space="0"/>
                    <w:left w:val="nil"/>
                    <w:bottom w:val="single" w:color="auto" w:sz="4" w:space="0"/>
                    <w:right w:val="single" w:color="auto" w:sz="4" w:space="0"/>
                  </w:tcBorders>
                  <w:noWrap w:val="0"/>
                  <w:vAlign w:val="center"/>
                </w:tcPr>
                <w:p w14:paraId="60CF91B9">
                  <w:pPr>
                    <w:pStyle w:val="23"/>
                    <w:adjustRightInd w:val="0"/>
                    <w:snapToGrid w:val="0"/>
                    <w:spacing w:before="0" w:beforeAutospacing="0"/>
                    <w:jc w:val="center"/>
                    <w:rPr>
                      <w:rFonts w:hint="eastAsia" w:ascii="宋体" w:hAnsi="宋体" w:eastAsia="宋体" w:cs="宋体"/>
                      <w:sz w:val="24"/>
                      <w:szCs w:val="24"/>
                      <w:highlight w:val="none"/>
                    </w:rPr>
                  </w:pPr>
                </w:p>
              </w:tc>
            </w:tr>
            <w:tr w14:paraId="2911A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14:paraId="34CFB453">
                  <w:pPr>
                    <w:pStyle w:val="23"/>
                    <w:adjustRightInd w:val="0"/>
                    <w:snapToGrid w:val="0"/>
                    <w:spacing w:before="0" w:beforeAutospacing="0"/>
                    <w:jc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3</w:t>
                  </w:r>
                </w:p>
              </w:tc>
              <w:tc>
                <w:tcPr>
                  <w:tcW w:w="1517" w:type="dxa"/>
                  <w:tcBorders>
                    <w:top w:val="single" w:color="auto" w:sz="4" w:space="0"/>
                    <w:left w:val="nil"/>
                    <w:bottom w:val="single" w:color="auto" w:sz="4" w:space="0"/>
                    <w:right w:val="single" w:color="auto" w:sz="4" w:space="0"/>
                  </w:tcBorders>
                  <w:noWrap w:val="0"/>
                  <w:vAlign w:val="center"/>
                </w:tcPr>
                <w:p w14:paraId="0C1A05EC">
                  <w:pPr>
                    <w:pStyle w:val="23"/>
                    <w:adjustRightInd w:val="0"/>
                    <w:snapToGrid w:val="0"/>
                    <w:spacing w:before="0" w:beforeAutospacing="0"/>
                    <w:jc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制动踏板力计</w:t>
                  </w:r>
                </w:p>
              </w:tc>
              <w:tc>
                <w:tcPr>
                  <w:tcW w:w="1052" w:type="dxa"/>
                  <w:tcBorders>
                    <w:top w:val="single" w:color="auto" w:sz="4" w:space="0"/>
                    <w:left w:val="nil"/>
                    <w:bottom w:val="single" w:color="auto" w:sz="4" w:space="0"/>
                    <w:right w:val="single" w:color="auto" w:sz="4" w:space="0"/>
                  </w:tcBorders>
                  <w:noWrap w:val="0"/>
                  <w:vAlign w:val="center"/>
                </w:tcPr>
                <w:p w14:paraId="03D4A8CA">
                  <w:pPr>
                    <w:pStyle w:val="23"/>
                    <w:adjustRightInd w:val="0"/>
                    <w:snapToGrid w:val="0"/>
                    <w:spacing w:before="0" w:beforeAutospacing="0"/>
                    <w:jc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w:t>
                  </w:r>
                </w:p>
              </w:tc>
              <w:tc>
                <w:tcPr>
                  <w:tcW w:w="1994" w:type="dxa"/>
                  <w:tcBorders>
                    <w:top w:val="single" w:color="auto" w:sz="4" w:space="0"/>
                    <w:left w:val="nil"/>
                    <w:bottom w:val="single" w:color="auto" w:sz="4" w:space="0"/>
                    <w:right w:val="single" w:color="auto" w:sz="4" w:space="0"/>
                  </w:tcBorders>
                  <w:noWrap w:val="0"/>
                  <w:vAlign w:val="center"/>
                </w:tcPr>
                <w:p w14:paraId="01CBA1DF">
                  <w:pPr>
                    <w:pStyle w:val="23"/>
                    <w:adjustRightInd w:val="0"/>
                    <w:snapToGrid w:val="0"/>
                    <w:spacing w:before="0" w:beforeAutospacing="0"/>
                    <w:jc w:val="center"/>
                    <w:rPr>
                      <w:rFonts w:hint="eastAsia" w:ascii="宋体" w:hAnsi="宋体" w:eastAsia="宋体" w:cs="宋体"/>
                      <w:sz w:val="24"/>
                      <w:szCs w:val="24"/>
                      <w:highlight w:val="none"/>
                    </w:rPr>
                  </w:pPr>
                </w:p>
              </w:tc>
            </w:tr>
            <w:tr w14:paraId="09B4F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14:paraId="6E361358">
                  <w:pPr>
                    <w:pStyle w:val="23"/>
                    <w:adjustRightInd w:val="0"/>
                    <w:snapToGrid w:val="0"/>
                    <w:spacing w:before="0" w:beforeAutospacing="0"/>
                    <w:jc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4</w:t>
                  </w:r>
                </w:p>
              </w:tc>
              <w:tc>
                <w:tcPr>
                  <w:tcW w:w="1517" w:type="dxa"/>
                  <w:tcBorders>
                    <w:top w:val="single" w:color="auto" w:sz="4" w:space="0"/>
                    <w:left w:val="nil"/>
                    <w:bottom w:val="single" w:color="auto" w:sz="4" w:space="0"/>
                    <w:right w:val="single" w:color="auto" w:sz="4" w:space="0"/>
                  </w:tcBorders>
                  <w:noWrap w:val="0"/>
                  <w:vAlign w:val="center"/>
                </w:tcPr>
                <w:p w14:paraId="23DE473F">
                  <w:pPr>
                    <w:pStyle w:val="23"/>
                    <w:adjustRightInd w:val="0"/>
                    <w:snapToGrid w:val="0"/>
                    <w:spacing w:before="0" w:beforeAutospacing="0"/>
                    <w:jc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高精度轮速传感器</w:t>
                  </w:r>
                </w:p>
              </w:tc>
              <w:tc>
                <w:tcPr>
                  <w:tcW w:w="1052" w:type="dxa"/>
                  <w:tcBorders>
                    <w:top w:val="single" w:color="auto" w:sz="4" w:space="0"/>
                    <w:left w:val="nil"/>
                    <w:bottom w:val="single" w:color="auto" w:sz="4" w:space="0"/>
                    <w:right w:val="single" w:color="auto" w:sz="4" w:space="0"/>
                  </w:tcBorders>
                  <w:noWrap w:val="0"/>
                  <w:vAlign w:val="center"/>
                </w:tcPr>
                <w:p w14:paraId="56B5843F">
                  <w:pPr>
                    <w:pStyle w:val="23"/>
                    <w:adjustRightInd w:val="0"/>
                    <w:snapToGrid w:val="0"/>
                    <w:spacing w:before="0" w:beforeAutospacing="0"/>
                    <w:jc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4</w:t>
                  </w:r>
                </w:p>
              </w:tc>
              <w:tc>
                <w:tcPr>
                  <w:tcW w:w="1994" w:type="dxa"/>
                  <w:tcBorders>
                    <w:top w:val="single" w:color="auto" w:sz="4" w:space="0"/>
                    <w:left w:val="nil"/>
                    <w:bottom w:val="single" w:color="auto" w:sz="4" w:space="0"/>
                    <w:right w:val="single" w:color="auto" w:sz="4" w:space="0"/>
                  </w:tcBorders>
                  <w:noWrap w:val="0"/>
                  <w:vAlign w:val="center"/>
                </w:tcPr>
                <w:p w14:paraId="10485405">
                  <w:pPr>
                    <w:pStyle w:val="23"/>
                    <w:adjustRightInd w:val="0"/>
                    <w:snapToGrid w:val="0"/>
                    <w:spacing w:before="0" w:beforeAutospacing="0"/>
                    <w:jc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含固定装置</w:t>
                  </w:r>
                </w:p>
              </w:tc>
            </w:tr>
            <w:tr w14:paraId="7FEBB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14:paraId="006B8C01">
                  <w:pPr>
                    <w:pStyle w:val="23"/>
                    <w:adjustRightInd w:val="0"/>
                    <w:snapToGrid w:val="0"/>
                    <w:spacing w:before="0" w:beforeAutospacing="0"/>
                    <w:jc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5</w:t>
                  </w:r>
                </w:p>
              </w:tc>
              <w:tc>
                <w:tcPr>
                  <w:tcW w:w="1517" w:type="dxa"/>
                  <w:tcBorders>
                    <w:top w:val="single" w:color="auto" w:sz="4" w:space="0"/>
                    <w:left w:val="nil"/>
                    <w:bottom w:val="single" w:color="auto" w:sz="4" w:space="0"/>
                    <w:right w:val="single" w:color="auto" w:sz="4" w:space="0"/>
                  </w:tcBorders>
                  <w:noWrap w:val="0"/>
                  <w:vAlign w:val="center"/>
                </w:tcPr>
                <w:p w14:paraId="3DF6AE51">
                  <w:pPr>
                    <w:pStyle w:val="23"/>
                    <w:adjustRightInd w:val="0"/>
                    <w:snapToGrid w:val="0"/>
                    <w:spacing w:before="0" w:beforeAutospacing="0"/>
                    <w:jc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压力传感器</w:t>
                  </w:r>
                </w:p>
              </w:tc>
              <w:tc>
                <w:tcPr>
                  <w:tcW w:w="1052" w:type="dxa"/>
                  <w:tcBorders>
                    <w:top w:val="single" w:color="auto" w:sz="4" w:space="0"/>
                    <w:left w:val="nil"/>
                    <w:bottom w:val="single" w:color="auto" w:sz="4" w:space="0"/>
                    <w:right w:val="single" w:color="auto" w:sz="4" w:space="0"/>
                  </w:tcBorders>
                  <w:noWrap w:val="0"/>
                  <w:vAlign w:val="center"/>
                </w:tcPr>
                <w:p w14:paraId="2909AC78">
                  <w:pPr>
                    <w:pStyle w:val="23"/>
                    <w:adjustRightInd w:val="0"/>
                    <w:snapToGrid w:val="0"/>
                    <w:spacing w:before="0" w:beforeAutospacing="0"/>
                    <w:jc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4</w:t>
                  </w:r>
                </w:p>
              </w:tc>
              <w:tc>
                <w:tcPr>
                  <w:tcW w:w="1994" w:type="dxa"/>
                  <w:tcBorders>
                    <w:top w:val="single" w:color="auto" w:sz="4" w:space="0"/>
                    <w:left w:val="nil"/>
                    <w:bottom w:val="single" w:color="auto" w:sz="4" w:space="0"/>
                    <w:right w:val="single" w:color="auto" w:sz="4" w:space="0"/>
                  </w:tcBorders>
                  <w:noWrap w:val="0"/>
                  <w:vAlign w:val="center"/>
                </w:tcPr>
                <w:p w14:paraId="4469DE08">
                  <w:pPr>
                    <w:pStyle w:val="23"/>
                    <w:adjustRightInd w:val="0"/>
                    <w:snapToGrid w:val="0"/>
                    <w:spacing w:before="0" w:beforeAutospacing="0"/>
                    <w:jc w:val="center"/>
                    <w:rPr>
                      <w:rFonts w:hint="eastAsia" w:ascii="宋体" w:hAnsi="宋体" w:eastAsia="宋体" w:cs="宋体"/>
                      <w:sz w:val="24"/>
                      <w:szCs w:val="24"/>
                      <w:highlight w:val="none"/>
                    </w:rPr>
                  </w:pPr>
                </w:p>
              </w:tc>
            </w:tr>
            <w:tr w14:paraId="7E60B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14:paraId="1A6624EB">
                  <w:pPr>
                    <w:pStyle w:val="23"/>
                    <w:adjustRightInd w:val="0"/>
                    <w:snapToGrid w:val="0"/>
                    <w:spacing w:before="0" w:beforeAutospacing="0"/>
                    <w:jc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6</w:t>
                  </w:r>
                </w:p>
              </w:tc>
              <w:tc>
                <w:tcPr>
                  <w:tcW w:w="1517" w:type="dxa"/>
                  <w:tcBorders>
                    <w:top w:val="single" w:color="auto" w:sz="4" w:space="0"/>
                    <w:left w:val="nil"/>
                    <w:bottom w:val="single" w:color="auto" w:sz="4" w:space="0"/>
                    <w:right w:val="single" w:color="auto" w:sz="4" w:space="0"/>
                  </w:tcBorders>
                  <w:noWrap w:val="0"/>
                  <w:vAlign w:val="center"/>
                </w:tcPr>
                <w:p w14:paraId="4510F3C9">
                  <w:pPr>
                    <w:pStyle w:val="23"/>
                    <w:adjustRightInd w:val="0"/>
                    <w:snapToGrid w:val="0"/>
                    <w:spacing w:before="0" w:beforeAutospacing="0"/>
                    <w:jc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压力变送模块</w:t>
                  </w:r>
                </w:p>
              </w:tc>
              <w:tc>
                <w:tcPr>
                  <w:tcW w:w="1052" w:type="dxa"/>
                  <w:tcBorders>
                    <w:top w:val="single" w:color="auto" w:sz="4" w:space="0"/>
                    <w:left w:val="nil"/>
                    <w:bottom w:val="single" w:color="auto" w:sz="4" w:space="0"/>
                    <w:right w:val="single" w:color="auto" w:sz="4" w:space="0"/>
                  </w:tcBorders>
                  <w:noWrap w:val="0"/>
                  <w:vAlign w:val="center"/>
                </w:tcPr>
                <w:p w14:paraId="14C773B3">
                  <w:pPr>
                    <w:pStyle w:val="23"/>
                    <w:adjustRightInd w:val="0"/>
                    <w:snapToGrid w:val="0"/>
                    <w:spacing w:before="0" w:beforeAutospacing="0"/>
                    <w:jc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w:t>
                  </w:r>
                </w:p>
              </w:tc>
              <w:tc>
                <w:tcPr>
                  <w:tcW w:w="1994" w:type="dxa"/>
                  <w:tcBorders>
                    <w:top w:val="single" w:color="auto" w:sz="4" w:space="0"/>
                    <w:left w:val="nil"/>
                    <w:bottom w:val="single" w:color="auto" w:sz="4" w:space="0"/>
                    <w:right w:val="single" w:color="auto" w:sz="4" w:space="0"/>
                  </w:tcBorders>
                  <w:noWrap w:val="0"/>
                  <w:vAlign w:val="center"/>
                </w:tcPr>
                <w:p w14:paraId="51A8F4DE">
                  <w:pPr>
                    <w:pStyle w:val="23"/>
                    <w:adjustRightInd w:val="0"/>
                    <w:snapToGrid w:val="0"/>
                    <w:spacing w:before="0" w:beforeAutospacing="0"/>
                    <w:jc w:val="center"/>
                    <w:rPr>
                      <w:rFonts w:hint="eastAsia" w:ascii="宋体" w:hAnsi="宋体" w:eastAsia="宋体" w:cs="宋体"/>
                      <w:sz w:val="24"/>
                      <w:szCs w:val="24"/>
                      <w:highlight w:val="none"/>
                    </w:rPr>
                  </w:pPr>
                </w:p>
              </w:tc>
            </w:tr>
            <w:tr w14:paraId="5EC8A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14:paraId="542BDFBA">
                  <w:pPr>
                    <w:pStyle w:val="23"/>
                    <w:adjustRightInd w:val="0"/>
                    <w:snapToGrid w:val="0"/>
                    <w:spacing w:before="0" w:beforeAutospacing="0"/>
                    <w:jc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7</w:t>
                  </w:r>
                </w:p>
              </w:tc>
              <w:tc>
                <w:tcPr>
                  <w:tcW w:w="1517" w:type="dxa"/>
                  <w:tcBorders>
                    <w:top w:val="single" w:color="auto" w:sz="4" w:space="0"/>
                    <w:left w:val="nil"/>
                    <w:bottom w:val="single" w:color="auto" w:sz="4" w:space="0"/>
                    <w:right w:val="single" w:color="auto" w:sz="4" w:space="0"/>
                  </w:tcBorders>
                  <w:noWrap w:val="0"/>
                  <w:vAlign w:val="center"/>
                </w:tcPr>
                <w:p w14:paraId="46D63309">
                  <w:pPr>
                    <w:pStyle w:val="23"/>
                    <w:adjustRightInd w:val="0"/>
                    <w:snapToGrid w:val="0"/>
                    <w:spacing w:before="0" w:beforeAutospacing="0"/>
                    <w:jc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驾驶员监视器</w:t>
                  </w:r>
                </w:p>
              </w:tc>
              <w:tc>
                <w:tcPr>
                  <w:tcW w:w="1052" w:type="dxa"/>
                  <w:tcBorders>
                    <w:top w:val="single" w:color="auto" w:sz="4" w:space="0"/>
                    <w:left w:val="nil"/>
                    <w:bottom w:val="single" w:color="auto" w:sz="4" w:space="0"/>
                    <w:right w:val="single" w:color="auto" w:sz="4" w:space="0"/>
                  </w:tcBorders>
                  <w:noWrap w:val="0"/>
                  <w:vAlign w:val="center"/>
                </w:tcPr>
                <w:p w14:paraId="64D1EC7D">
                  <w:pPr>
                    <w:pStyle w:val="23"/>
                    <w:adjustRightInd w:val="0"/>
                    <w:snapToGrid w:val="0"/>
                    <w:spacing w:before="0" w:beforeAutospacing="0"/>
                    <w:jc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w:t>
                  </w:r>
                </w:p>
              </w:tc>
              <w:tc>
                <w:tcPr>
                  <w:tcW w:w="1994" w:type="dxa"/>
                  <w:tcBorders>
                    <w:top w:val="single" w:color="auto" w:sz="4" w:space="0"/>
                    <w:left w:val="nil"/>
                    <w:bottom w:val="single" w:color="auto" w:sz="4" w:space="0"/>
                    <w:right w:val="single" w:color="auto" w:sz="4" w:space="0"/>
                  </w:tcBorders>
                  <w:noWrap w:val="0"/>
                  <w:vAlign w:val="center"/>
                </w:tcPr>
                <w:p w14:paraId="21A4926E">
                  <w:pPr>
                    <w:pStyle w:val="23"/>
                    <w:adjustRightInd w:val="0"/>
                    <w:snapToGrid w:val="0"/>
                    <w:spacing w:before="0" w:beforeAutospacing="0"/>
                    <w:jc w:val="center"/>
                    <w:rPr>
                      <w:rFonts w:hint="eastAsia" w:ascii="宋体" w:hAnsi="宋体" w:eastAsia="宋体" w:cs="宋体"/>
                      <w:sz w:val="24"/>
                      <w:szCs w:val="24"/>
                      <w:highlight w:val="none"/>
                    </w:rPr>
                  </w:pPr>
                </w:p>
              </w:tc>
            </w:tr>
            <w:tr w14:paraId="000CF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14:paraId="688ED233">
                  <w:pPr>
                    <w:pStyle w:val="23"/>
                    <w:adjustRightInd w:val="0"/>
                    <w:snapToGrid w:val="0"/>
                    <w:spacing w:before="0" w:beforeAutospacing="0"/>
                    <w:jc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8</w:t>
                  </w:r>
                </w:p>
              </w:tc>
              <w:tc>
                <w:tcPr>
                  <w:tcW w:w="1517" w:type="dxa"/>
                  <w:tcBorders>
                    <w:top w:val="single" w:color="auto" w:sz="4" w:space="0"/>
                    <w:left w:val="nil"/>
                    <w:bottom w:val="single" w:color="auto" w:sz="4" w:space="0"/>
                    <w:right w:val="single" w:color="auto" w:sz="4" w:space="0"/>
                  </w:tcBorders>
                  <w:noWrap w:val="0"/>
                  <w:vAlign w:val="center"/>
                </w:tcPr>
                <w:p w14:paraId="39F66666">
                  <w:pPr>
                    <w:pStyle w:val="23"/>
                    <w:adjustRightInd w:val="0"/>
                    <w:snapToGrid w:val="0"/>
                    <w:spacing w:before="0" w:beforeAutospacing="0"/>
                    <w:jc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电耗计</w:t>
                  </w:r>
                </w:p>
              </w:tc>
              <w:tc>
                <w:tcPr>
                  <w:tcW w:w="1052" w:type="dxa"/>
                  <w:tcBorders>
                    <w:top w:val="single" w:color="auto" w:sz="4" w:space="0"/>
                    <w:left w:val="nil"/>
                    <w:bottom w:val="single" w:color="auto" w:sz="4" w:space="0"/>
                    <w:right w:val="single" w:color="auto" w:sz="4" w:space="0"/>
                  </w:tcBorders>
                  <w:noWrap w:val="0"/>
                  <w:vAlign w:val="center"/>
                </w:tcPr>
                <w:p w14:paraId="788732C7">
                  <w:pPr>
                    <w:pStyle w:val="23"/>
                    <w:adjustRightInd w:val="0"/>
                    <w:snapToGrid w:val="0"/>
                    <w:spacing w:before="0" w:beforeAutospacing="0"/>
                    <w:jc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w:t>
                  </w:r>
                </w:p>
              </w:tc>
              <w:tc>
                <w:tcPr>
                  <w:tcW w:w="1994" w:type="dxa"/>
                  <w:tcBorders>
                    <w:top w:val="single" w:color="auto" w:sz="4" w:space="0"/>
                    <w:left w:val="nil"/>
                    <w:bottom w:val="single" w:color="auto" w:sz="4" w:space="0"/>
                    <w:right w:val="single" w:color="auto" w:sz="4" w:space="0"/>
                  </w:tcBorders>
                  <w:noWrap w:val="0"/>
                  <w:vAlign w:val="center"/>
                </w:tcPr>
                <w:p w14:paraId="7161B05C">
                  <w:pPr>
                    <w:pStyle w:val="23"/>
                    <w:adjustRightInd w:val="0"/>
                    <w:snapToGrid w:val="0"/>
                    <w:spacing w:before="0" w:beforeAutospacing="0"/>
                    <w:jc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用于电耗测试（电压传感器内置）</w:t>
                  </w:r>
                </w:p>
              </w:tc>
            </w:tr>
            <w:tr w14:paraId="2A06C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14:paraId="6BAA5F60">
                  <w:pPr>
                    <w:pStyle w:val="23"/>
                    <w:adjustRightInd w:val="0"/>
                    <w:snapToGrid w:val="0"/>
                    <w:spacing w:before="0" w:beforeAutospacing="0"/>
                    <w:jc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9</w:t>
                  </w:r>
                </w:p>
              </w:tc>
              <w:tc>
                <w:tcPr>
                  <w:tcW w:w="1517" w:type="dxa"/>
                  <w:tcBorders>
                    <w:top w:val="single" w:color="auto" w:sz="4" w:space="0"/>
                    <w:left w:val="nil"/>
                    <w:bottom w:val="single" w:color="auto" w:sz="4" w:space="0"/>
                    <w:right w:val="single" w:color="auto" w:sz="4" w:space="0"/>
                  </w:tcBorders>
                  <w:noWrap w:val="0"/>
                  <w:vAlign w:val="center"/>
                </w:tcPr>
                <w:p w14:paraId="42663E68">
                  <w:pPr>
                    <w:pStyle w:val="23"/>
                    <w:adjustRightInd w:val="0"/>
                    <w:snapToGrid w:val="0"/>
                    <w:spacing w:before="0" w:beforeAutospacing="0"/>
                    <w:jc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直流电流传感器</w:t>
                  </w:r>
                </w:p>
              </w:tc>
              <w:tc>
                <w:tcPr>
                  <w:tcW w:w="1052" w:type="dxa"/>
                  <w:tcBorders>
                    <w:top w:val="single" w:color="auto" w:sz="4" w:space="0"/>
                    <w:left w:val="nil"/>
                    <w:bottom w:val="single" w:color="auto" w:sz="4" w:space="0"/>
                    <w:right w:val="single" w:color="auto" w:sz="4" w:space="0"/>
                  </w:tcBorders>
                  <w:noWrap w:val="0"/>
                  <w:vAlign w:val="center"/>
                </w:tcPr>
                <w:p w14:paraId="0DF7BB33">
                  <w:pPr>
                    <w:pStyle w:val="23"/>
                    <w:adjustRightInd w:val="0"/>
                    <w:snapToGrid w:val="0"/>
                    <w:spacing w:before="0" w:beforeAutospacing="0"/>
                    <w:jc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w:t>
                  </w:r>
                </w:p>
              </w:tc>
              <w:tc>
                <w:tcPr>
                  <w:tcW w:w="1994" w:type="dxa"/>
                  <w:tcBorders>
                    <w:top w:val="single" w:color="auto" w:sz="4" w:space="0"/>
                    <w:left w:val="nil"/>
                    <w:bottom w:val="single" w:color="auto" w:sz="4" w:space="0"/>
                    <w:right w:val="single" w:color="auto" w:sz="4" w:space="0"/>
                  </w:tcBorders>
                  <w:noWrap w:val="0"/>
                  <w:vAlign w:val="center"/>
                </w:tcPr>
                <w:p w14:paraId="3E49F919">
                  <w:pPr>
                    <w:pStyle w:val="23"/>
                    <w:adjustRightInd w:val="0"/>
                    <w:snapToGrid w:val="0"/>
                    <w:spacing w:before="0" w:beforeAutospacing="0"/>
                    <w:jc w:val="center"/>
                    <w:rPr>
                      <w:rFonts w:hint="eastAsia" w:ascii="宋体" w:hAnsi="宋体" w:eastAsia="宋体" w:cs="宋体"/>
                      <w:sz w:val="24"/>
                      <w:szCs w:val="24"/>
                      <w:highlight w:val="none"/>
                    </w:rPr>
                  </w:pPr>
                </w:p>
              </w:tc>
            </w:tr>
            <w:tr w14:paraId="5B7E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14:paraId="62B29CAB">
                  <w:pPr>
                    <w:pStyle w:val="23"/>
                    <w:adjustRightInd w:val="0"/>
                    <w:snapToGrid w:val="0"/>
                    <w:spacing w:before="0" w:beforeAutospacing="0"/>
                    <w:jc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10</w:t>
                  </w:r>
                </w:p>
              </w:tc>
              <w:tc>
                <w:tcPr>
                  <w:tcW w:w="1517" w:type="dxa"/>
                  <w:tcBorders>
                    <w:top w:val="single" w:color="auto" w:sz="4" w:space="0"/>
                    <w:left w:val="nil"/>
                    <w:bottom w:val="single" w:color="auto" w:sz="4" w:space="0"/>
                    <w:right w:val="single" w:color="auto" w:sz="4" w:space="0"/>
                  </w:tcBorders>
                  <w:noWrap w:val="0"/>
                  <w:vAlign w:val="center"/>
                </w:tcPr>
                <w:p w14:paraId="2F996A60">
                  <w:pPr>
                    <w:pStyle w:val="23"/>
                    <w:adjustRightInd w:val="0"/>
                    <w:snapToGrid w:val="0"/>
                    <w:spacing w:before="0" w:beforeAutospacing="0"/>
                    <w:jc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直流电压传感器</w:t>
                  </w:r>
                </w:p>
              </w:tc>
              <w:tc>
                <w:tcPr>
                  <w:tcW w:w="1052" w:type="dxa"/>
                  <w:tcBorders>
                    <w:top w:val="single" w:color="auto" w:sz="4" w:space="0"/>
                    <w:left w:val="nil"/>
                    <w:bottom w:val="single" w:color="auto" w:sz="4" w:space="0"/>
                    <w:right w:val="single" w:color="auto" w:sz="4" w:space="0"/>
                  </w:tcBorders>
                  <w:noWrap w:val="0"/>
                  <w:vAlign w:val="center"/>
                </w:tcPr>
                <w:p w14:paraId="7106A612">
                  <w:pPr>
                    <w:pStyle w:val="23"/>
                    <w:adjustRightInd w:val="0"/>
                    <w:snapToGrid w:val="0"/>
                    <w:spacing w:before="0" w:beforeAutospacing="0"/>
                    <w:jc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w:t>
                  </w:r>
                </w:p>
              </w:tc>
              <w:tc>
                <w:tcPr>
                  <w:tcW w:w="1994" w:type="dxa"/>
                  <w:tcBorders>
                    <w:top w:val="single" w:color="auto" w:sz="4" w:space="0"/>
                    <w:left w:val="nil"/>
                    <w:bottom w:val="single" w:color="auto" w:sz="4" w:space="0"/>
                    <w:right w:val="single" w:color="auto" w:sz="4" w:space="0"/>
                  </w:tcBorders>
                  <w:noWrap w:val="0"/>
                  <w:vAlign w:val="center"/>
                </w:tcPr>
                <w:p w14:paraId="05EAC99C">
                  <w:pPr>
                    <w:pStyle w:val="23"/>
                    <w:adjustRightInd w:val="0"/>
                    <w:snapToGrid w:val="0"/>
                    <w:spacing w:before="0" w:beforeAutospacing="0"/>
                    <w:jc w:val="center"/>
                    <w:rPr>
                      <w:rFonts w:hint="eastAsia" w:ascii="宋体" w:hAnsi="宋体" w:eastAsia="宋体" w:cs="宋体"/>
                      <w:sz w:val="24"/>
                      <w:szCs w:val="24"/>
                      <w:highlight w:val="none"/>
                    </w:rPr>
                  </w:pPr>
                </w:p>
              </w:tc>
            </w:tr>
            <w:tr w14:paraId="34B1A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14:paraId="31361ED5">
                  <w:pPr>
                    <w:pStyle w:val="23"/>
                    <w:adjustRightInd w:val="0"/>
                    <w:snapToGrid w:val="0"/>
                    <w:spacing w:before="0" w:beforeAutospacing="0"/>
                    <w:jc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11</w:t>
                  </w:r>
                </w:p>
              </w:tc>
              <w:tc>
                <w:tcPr>
                  <w:tcW w:w="1517" w:type="dxa"/>
                  <w:tcBorders>
                    <w:top w:val="single" w:color="auto" w:sz="4" w:space="0"/>
                    <w:left w:val="nil"/>
                    <w:bottom w:val="single" w:color="auto" w:sz="4" w:space="0"/>
                    <w:right w:val="single" w:color="auto" w:sz="4" w:space="0"/>
                  </w:tcBorders>
                  <w:noWrap w:val="0"/>
                  <w:vAlign w:val="center"/>
                </w:tcPr>
                <w:p w14:paraId="1C0B4F51">
                  <w:pPr>
                    <w:pStyle w:val="23"/>
                    <w:adjustRightInd w:val="0"/>
                    <w:snapToGrid w:val="0"/>
                    <w:spacing w:before="0" w:beforeAutospacing="0"/>
                    <w:jc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试验专用锂电池</w:t>
                  </w:r>
                </w:p>
              </w:tc>
              <w:tc>
                <w:tcPr>
                  <w:tcW w:w="1052" w:type="dxa"/>
                  <w:tcBorders>
                    <w:top w:val="single" w:color="auto" w:sz="4" w:space="0"/>
                    <w:left w:val="nil"/>
                    <w:bottom w:val="single" w:color="auto" w:sz="4" w:space="0"/>
                    <w:right w:val="single" w:color="auto" w:sz="4" w:space="0"/>
                  </w:tcBorders>
                  <w:noWrap w:val="0"/>
                  <w:vAlign w:val="center"/>
                </w:tcPr>
                <w:p w14:paraId="0AEBFE55">
                  <w:pPr>
                    <w:pStyle w:val="23"/>
                    <w:adjustRightInd w:val="0"/>
                    <w:snapToGrid w:val="0"/>
                    <w:spacing w:before="0" w:beforeAutospacing="0"/>
                    <w:jc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w:t>
                  </w:r>
                </w:p>
              </w:tc>
              <w:tc>
                <w:tcPr>
                  <w:tcW w:w="1994" w:type="dxa"/>
                  <w:tcBorders>
                    <w:top w:val="single" w:color="auto" w:sz="4" w:space="0"/>
                    <w:left w:val="nil"/>
                    <w:bottom w:val="single" w:color="auto" w:sz="4" w:space="0"/>
                    <w:right w:val="single" w:color="auto" w:sz="4" w:space="0"/>
                  </w:tcBorders>
                  <w:noWrap w:val="0"/>
                  <w:vAlign w:val="center"/>
                </w:tcPr>
                <w:p w14:paraId="0E9CCECC">
                  <w:pPr>
                    <w:pStyle w:val="23"/>
                    <w:adjustRightInd w:val="0"/>
                    <w:snapToGrid w:val="0"/>
                    <w:spacing w:before="0" w:beforeAutospacing="0"/>
                    <w:jc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试验共用</w:t>
                  </w:r>
                </w:p>
              </w:tc>
            </w:tr>
            <w:tr w14:paraId="0839C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14:paraId="0CBD2DCD">
                  <w:pPr>
                    <w:pStyle w:val="23"/>
                    <w:adjustRightInd w:val="0"/>
                    <w:snapToGrid w:val="0"/>
                    <w:spacing w:before="0" w:beforeAutospacing="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w:t>
                  </w:r>
                </w:p>
              </w:tc>
              <w:tc>
                <w:tcPr>
                  <w:tcW w:w="1517" w:type="dxa"/>
                  <w:tcBorders>
                    <w:top w:val="single" w:color="auto" w:sz="4" w:space="0"/>
                    <w:left w:val="nil"/>
                    <w:bottom w:val="single" w:color="auto" w:sz="4" w:space="0"/>
                    <w:right w:val="single" w:color="auto" w:sz="4" w:space="0"/>
                  </w:tcBorders>
                  <w:noWrap w:val="0"/>
                  <w:vAlign w:val="center"/>
                </w:tcPr>
                <w:p w14:paraId="454AC308">
                  <w:pPr>
                    <w:pStyle w:val="23"/>
                    <w:adjustRightInd w:val="0"/>
                    <w:snapToGrid w:val="0"/>
                    <w:spacing w:before="0" w:beforeAutospacing="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笔记本PC（可安装测试和数据分析软件）</w:t>
                  </w:r>
                </w:p>
              </w:tc>
              <w:tc>
                <w:tcPr>
                  <w:tcW w:w="1052" w:type="dxa"/>
                  <w:tcBorders>
                    <w:top w:val="single" w:color="auto" w:sz="4" w:space="0"/>
                    <w:left w:val="nil"/>
                    <w:bottom w:val="single" w:color="auto" w:sz="4" w:space="0"/>
                    <w:right w:val="single" w:color="auto" w:sz="4" w:space="0"/>
                  </w:tcBorders>
                  <w:noWrap w:val="0"/>
                  <w:vAlign w:val="center"/>
                </w:tcPr>
                <w:p w14:paraId="7B98B3FD">
                  <w:pPr>
                    <w:pStyle w:val="23"/>
                    <w:adjustRightInd w:val="0"/>
                    <w:snapToGrid w:val="0"/>
                    <w:spacing w:before="0" w:beforeAutospacing="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1994" w:type="dxa"/>
                  <w:tcBorders>
                    <w:top w:val="single" w:color="auto" w:sz="4" w:space="0"/>
                    <w:left w:val="nil"/>
                    <w:bottom w:val="single" w:color="auto" w:sz="4" w:space="0"/>
                    <w:right w:val="single" w:color="auto" w:sz="4" w:space="0"/>
                  </w:tcBorders>
                  <w:noWrap w:val="0"/>
                  <w:vAlign w:val="center"/>
                </w:tcPr>
                <w:p w14:paraId="161698FC">
                  <w:pPr>
                    <w:pStyle w:val="23"/>
                    <w:adjustRightInd w:val="0"/>
                    <w:snapToGrid w:val="0"/>
                    <w:spacing w:before="0" w:beforeAutospacing="0"/>
                    <w:jc w:val="center"/>
                    <w:rPr>
                      <w:rFonts w:hint="eastAsia" w:ascii="宋体" w:hAnsi="宋体" w:eastAsia="宋体" w:cs="宋体"/>
                      <w:color w:val="000000"/>
                      <w:sz w:val="24"/>
                      <w:szCs w:val="24"/>
                      <w:highlight w:val="none"/>
                    </w:rPr>
                  </w:pPr>
                </w:p>
              </w:tc>
            </w:tr>
            <w:tr w14:paraId="59285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14:paraId="3869D565">
                  <w:pPr>
                    <w:pStyle w:val="23"/>
                    <w:adjustRightInd w:val="0"/>
                    <w:snapToGrid w:val="0"/>
                    <w:spacing w:before="0" w:beforeAutospacing="0"/>
                    <w:jc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13</w:t>
                  </w:r>
                </w:p>
              </w:tc>
              <w:tc>
                <w:tcPr>
                  <w:tcW w:w="1517" w:type="dxa"/>
                  <w:tcBorders>
                    <w:top w:val="single" w:color="auto" w:sz="4" w:space="0"/>
                    <w:left w:val="nil"/>
                    <w:bottom w:val="single" w:color="auto" w:sz="4" w:space="0"/>
                    <w:right w:val="single" w:color="auto" w:sz="4" w:space="0"/>
                  </w:tcBorders>
                  <w:noWrap w:val="0"/>
                  <w:vAlign w:val="center"/>
                </w:tcPr>
                <w:p w14:paraId="19C80882">
                  <w:pPr>
                    <w:pStyle w:val="23"/>
                    <w:adjustRightInd w:val="0"/>
                    <w:snapToGrid w:val="0"/>
                    <w:spacing w:before="0" w:beforeAutospacing="0"/>
                    <w:jc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防反接保护电源连接器</w:t>
                  </w:r>
                </w:p>
              </w:tc>
              <w:tc>
                <w:tcPr>
                  <w:tcW w:w="1052" w:type="dxa"/>
                  <w:tcBorders>
                    <w:top w:val="single" w:color="auto" w:sz="4" w:space="0"/>
                    <w:left w:val="nil"/>
                    <w:bottom w:val="single" w:color="auto" w:sz="4" w:space="0"/>
                    <w:right w:val="single" w:color="auto" w:sz="4" w:space="0"/>
                  </w:tcBorders>
                  <w:noWrap w:val="0"/>
                  <w:vAlign w:val="center"/>
                </w:tcPr>
                <w:p w14:paraId="75234873">
                  <w:pPr>
                    <w:pStyle w:val="23"/>
                    <w:adjustRightInd w:val="0"/>
                    <w:snapToGrid w:val="0"/>
                    <w:spacing w:before="0" w:beforeAutospacing="0"/>
                    <w:jc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w:t>
                  </w:r>
                </w:p>
              </w:tc>
              <w:tc>
                <w:tcPr>
                  <w:tcW w:w="1994" w:type="dxa"/>
                  <w:tcBorders>
                    <w:top w:val="single" w:color="auto" w:sz="4" w:space="0"/>
                    <w:left w:val="nil"/>
                    <w:bottom w:val="single" w:color="auto" w:sz="4" w:space="0"/>
                    <w:right w:val="single" w:color="auto" w:sz="4" w:space="0"/>
                  </w:tcBorders>
                  <w:noWrap w:val="0"/>
                  <w:vAlign w:val="center"/>
                </w:tcPr>
                <w:p w14:paraId="6F2340EB">
                  <w:pPr>
                    <w:pStyle w:val="23"/>
                    <w:adjustRightInd w:val="0"/>
                    <w:snapToGrid w:val="0"/>
                    <w:spacing w:before="0" w:beforeAutospacing="0"/>
                    <w:jc w:val="center"/>
                    <w:rPr>
                      <w:rFonts w:hint="eastAsia" w:ascii="宋体" w:hAnsi="宋体" w:eastAsia="宋体" w:cs="宋体"/>
                      <w:sz w:val="24"/>
                      <w:szCs w:val="24"/>
                      <w:highlight w:val="none"/>
                    </w:rPr>
                  </w:pPr>
                </w:p>
              </w:tc>
            </w:tr>
            <w:tr w14:paraId="5F632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14:paraId="461BBFF2">
                  <w:pPr>
                    <w:pStyle w:val="23"/>
                    <w:adjustRightInd w:val="0"/>
                    <w:snapToGrid w:val="0"/>
                    <w:spacing w:before="0" w:beforeAutospacing="0"/>
                    <w:jc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13</w:t>
                  </w:r>
                </w:p>
              </w:tc>
              <w:tc>
                <w:tcPr>
                  <w:tcW w:w="1517" w:type="dxa"/>
                  <w:tcBorders>
                    <w:top w:val="single" w:color="auto" w:sz="4" w:space="0"/>
                    <w:left w:val="nil"/>
                    <w:bottom w:val="single" w:color="auto" w:sz="4" w:space="0"/>
                    <w:right w:val="single" w:color="auto" w:sz="4" w:space="0"/>
                  </w:tcBorders>
                  <w:noWrap w:val="0"/>
                  <w:vAlign w:val="center"/>
                </w:tcPr>
                <w:p w14:paraId="2175C6CB">
                  <w:pPr>
                    <w:pStyle w:val="23"/>
                    <w:adjustRightInd w:val="0"/>
                    <w:snapToGrid w:val="0"/>
                    <w:spacing w:before="0" w:beforeAutospacing="0"/>
                    <w:jc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数据处理器</w:t>
                  </w:r>
                </w:p>
              </w:tc>
              <w:tc>
                <w:tcPr>
                  <w:tcW w:w="1052" w:type="dxa"/>
                  <w:tcBorders>
                    <w:top w:val="single" w:color="auto" w:sz="4" w:space="0"/>
                    <w:left w:val="nil"/>
                    <w:bottom w:val="single" w:color="auto" w:sz="4" w:space="0"/>
                    <w:right w:val="single" w:color="auto" w:sz="4" w:space="0"/>
                  </w:tcBorders>
                  <w:noWrap w:val="0"/>
                  <w:vAlign w:val="center"/>
                </w:tcPr>
                <w:p w14:paraId="556F17EC">
                  <w:pPr>
                    <w:pStyle w:val="23"/>
                    <w:adjustRightInd w:val="0"/>
                    <w:snapToGrid w:val="0"/>
                    <w:spacing w:before="0" w:beforeAutospacing="0"/>
                    <w:jc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w:t>
                  </w:r>
                </w:p>
              </w:tc>
              <w:tc>
                <w:tcPr>
                  <w:tcW w:w="1994" w:type="dxa"/>
                  <w:tcBorders>
                    <w:top w:val="single" w:color="auto" w:sz="4" w:space="0"/>
                    <w:left w:val="nil"/>
                    <w:bottom w:val="single" w:color="auto" w:sz="4" w:space="0"/>
                    <w:right w:val="single" w:color="auto" w:sz="4" w:space="0"/>
                  </w:tcBorders>
                  <w:noWrap w:val="0"/>
                  <w:vAlign w:val="center"/>
                </w:tcPr>
                <w:p w14:paraId="0CCE8976">
                  <w:pPr>
                    <w:pStyle w:val="23"/>
                    <w:adjustRightInd w:val="0"/>
                    <w:snapToGrid w:val="0"/>
                    <w:spacing w:before="0" w:beforeAutospacing="0"/>
                    <w:jc w:val="center"/>
                    <w:rPr>
                      <w:rFonts w:hint="eastAsia" w:ascii="宋体" w:hAnsi="宋体" w:eastAsia="宋体" w:cs="宋体"/>
                      <w:sz w:val="24"/>
                      <w:szCs w:val="24"/>
                      <w:highlight w:val="none"/>
                    </w:rPr>
                  </w:pPr>
                </w:p>
              </w:tc>
            </w:tr>
            <w:tr w14:paraId="7A440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14:paraId="4C1D9ECC">
                  <w:pPr>
                    <w:pStyle w:val="23"/>
                    <w:adjustRightInd w:val="0"/>
                    <w:snapToGrid w:val="0"/>
                    <w:spacing w:before="0" w:beforeAutospacing="0"/>
                    <w:jc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15</w:t>
                  </w:r>
                </w:p>
              </w:tc>
              <w:tc>
                <w:tcPr>
                  <w:tcW w:w="1517" w:type="dxa"/>
                  <w:tcBorders>
                    <w:top w:val="single" w:color="auto" w:sz="4" w:space="0"/>
                    <w:left w:val="nil"/>
                    <w:bottom w:val="single" w:color="auto" w:sz="4" w:space="0"/>
                    <w:right w:val="single" w:color="auto" w:sz="4" w:space="0"/>
                  </w:tcBorders>
                  <w:noWrap w:val="0"/>
                  <w:vAlign w:val="center"/>
                </w:tcPr>
                <w:p w14:paraId="69A4DA60">
                  <w:pPr>
                    <w:pStyle w:val="23"/>
                    <w:adjustRightInd w:val="0"/>
                    <w:snapToGrid w:val="0"/>
                    <w:spacing w:before="0" w:beforeAutospacing="0"/>
                    <w:jc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附件（车载电源适配器、必要电线和信号线）</w:t>
                  </w:r>
                </w:p>
              </w:tc>
              <w:tc>
                <w:tcPr>
                  <w:tcW w:w="1052" w:type="dxa"/>
                  <w:tcBorders>
                    <w:top w:val="single" w:color="auto" w:sz="4" w:space="0"/>
                    <w:left w:val="nil"/>
                    <w:bottom w:val="single" w:color="auto" w:sz="4" w:space="0"/>
                    <w:right w:val="single" w:color="auto" w:sz="4" w:space="0"/>
                  </w:tcBorders>
                  <w:noWrap w:val="0"/>
                  <w:vAlign w:val="center"/>
                </w:tcPr>
                <w:p w14:paraId="0504ED42">
                  <w:pPr>
                    <w:pStyle w:val="23"/>
                    <w:adjustRightInd w:val="0"/>
                    <w:snapToGrid w:val="0"/>
                    <w:spacing w:before="0" w:beforeAutospacing="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若干</w:t>
                  </w:r>
                </w:p>
              </w:tc>
              <w:tc>
                <w:tcPr>
                  <w:tcW w:w="1994" w:type="dxa"/>
                  <w:tcBorders>
                    <w:top w:val="single" w:color="auto" w:sz="4" w:space="0"/>
                    <w:left w:val="nil"/>
                    <w:bottom w:val="single" w:color="auto" w:sz="4" w:space="0"/>
                    <w:right w:val="single" w:color="auto" w:sz="4" w:space="0"/>
                  </w:tcBorders>
                  <w:noWrap w:val="0"/>
                  <w:vAlign w:val="center"/>
                </w:tcPr>
                <w:p w14:paraId="25E259F6">
                  <w:pPr>
                    <w:pStyle w:val="23"/>
                    <w:adjustRightInd w:val="0"/>
                    <w:snapToGrid w:val="0"/>
                    <w:spacing w:before="0" w:beforeAutospacing="0"/>
                    <w:jc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电源线、信号线等</w:t>
                  </w:r>
                </w:p>
              </w:tc>
            </w:tr>
            <w:tr w14:paraId="0F49B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14:paraId="37E8EC70">
                  <w:pPr>
                    <w:pStyle w:val="23"/>
                    <w:adjustRightInd w:val="0"/>
                    <w:snapToGrid w:val="0"/>
                    <w:spacing w:before="0" w:beforeAutospacing="0"/>
                    <w:jc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16</w:t>
                  </w:r>
                </w:p>
              </w:tc>
              <w:tc>
                <w:tcPr>
                  <w:tcW w:w="1517" w:type="dxa"/>
                  <w:tcBorders>
                    <w:top w:val="single" w:color="auto" w:sz="4" w:space="0"/>
                    <w:left w:val="nil"/>
                    <w:bottom w:val="single" w:color="auto" w:sz="4" w:space="0"/>
                    <w:right w:val="single" w:color="auto" w:sz="4" w:space="0"/>
                  </w:tcBorders>
                  <w:noWrap w:val="0"/>
                  <w:vAlign w:val="center"/>
                </w:tcPr>
                <w:p w14:paraId="2661EC7B">
                  <w:pPr>
                    <w:pStyle w:val="23"/>
                    <w:adjustRightInd w:val="0"/>
                    <w:snapToGrid w:val="0"/>
                    <w:spacing w:before="0" w:beforeAutospacing="0"/>
                    <w:jc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测试分析软件（可安装其他主流电脑）</w:t>
                  </w:r>
                </w:p>
              </w:tc>
              <w:tc>
                <w:tcPr>
                  <w:tcW w:w="1052" w:type="dxa"/>
                  <w:tcBorders>
                    <w:top w:val="single" w:color="auto" w:sz="4" w:space="0"/>
                    <w:left w:val="nil"/>
                    <w:bottom w:val="single" w:color="auto" w:sz="4" w:space="0"/>
                    <w:right w:val="single" w:color="auto" w:sz="4" w:space="0"/>
                  </w:tcBorders>
                  <w:noWrap w:val="0"/>
                  <w:vAlign w:val="center"/>
                </w:tcPr>
                <w:p w14:paraId="37BFE574">
                  <w:pPr>
                    <w:pStyle w:val="23"/>
                    <w:adjustRightInd w:val="0"/>
                    <w:snapToGrid w:val="0"/>
                    <w:spacing w:before="0" w:beforeAutospacing="0"/>
                    <w:jc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动力、制动、ABS、电耗等试验采集与分析软件</w:t>
                  </w:r>
                </w:p>
              </w:tc>
              <w:tc>
                <w:tcPr>
                  <w:tcW w:w="1994" w:type="dxa"/>
                  <w:tcBorders>
                    <w:top w:val="single" w:color="auto" w:sz="4" w:space="0"/>
                    <w:left w:val="nil"/>
                    <w:bottom w:val="single" w:color="auto" w:sz="4" w:space="0"/>
                    <w:right w:val="single" w:color="auto" w:sz="4" w:space="0"/>
                  </w:tcBorders>
                  <w:noWrap w:val="0"/>
                  <w:vAlign w:val="center"/>
                </w:tcPr>
                <w:p w14:paraId="18C3F97D">
                  <w:pPr>
                    <w:pStyle w:val="23"/>
                    <w:adjustRightInd w:val="0"/>
                    <w:snapToGrid w:val="0"/>
                    <w:spacing w:before="0" w:beforeAutospacing="0"/>
                    <w:jc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最新版</w:t>
                  </w:r>
                </w:p>
              </w:tc>
            </w:tr>
            <w:tr w14:paraId="1E55F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14:paraId="02C97989">
                  <w:pPr>
                    <w:pStyle w:val="23"/>
                    <w:adjustRightInd w:val="0"/>
                    <w:snapToGrid w:val="0"/>
                    <w:spacing w:before="0" w:beforeAutospacing="0"/>
                    <w:jc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17</w:t>
                  </w:r>
                </w:p>
              </w:tc>
              <w:tc>
                <w:tcPr>
                  <w:tcW w:w="1517" w:type="dxa"/>
                  <w:tcBorders>
                    <w:top w:val="single" w:color="auto" w:sz="4" w:space="0"/>
                    <w:left w:val="nil"/>
                    <w:bottom w:val="single" w:color="auto" w:sz="4" w:space="0"/>
                    <w:right w:val="single" w:color="auto" w:sz="4" w:space="0"/>
                  </w:tcBorders>
                  <w:noWrap w:val="0"/>
                  <w:vAlign w:val="center"/>
                </w:tcPr>
                <w:p w14:paraId="3B6A7C57">
                  <w:pPr>
                    <w:pStyle w:val="23"/>
                    <w:adjustRightInd w:val="0"/>
                    <w:snapToGrid w:val="0"/>
                    <w:spacing w:before="0" w:beforeAutospacing="0"/>
                    <w:jc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使用手册</w:t>
                  </w:r>
                </w:p>
              </w:tc>
              <w:tc>
                <w:tcPr>
                  <w:tcW w:w="1052" w:type="dxa"/>
                  <w:tcBorders>
                    <w:top w:val="single" w:color="auto" w:sz="4" w:space="0"/>
                    <w:left w:val="nil"/>
                    <w:bottom w:val="single" w:color="auto" w:sz="4" w:space="0"/>
                    <w:right w:val="single" w:color="auto" w:sz="4" w:space="0"/>
                  </w:tcBorders>
                  <w:noWrap w:val="0"/>
                  <w:vAlign w:val="center"/>
                </w:tcPr>
                <w:p w14:paraId="082795D3">
                  <w:pPr>
                    <w:pStyle w:val="23"/>
                    <w:adjustRightInd w:val="0"/>
                    <w:snapToGrid w:val="0"/>
                    <w:spacing w:before="0" w:beforeAutospacing="0"/>
                    <w:jc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3</w:t>
                  </w:r>
                </w:p>
              </w:tc>
              <w:tc>
                <w:tcPr>
                  <w:tcW w:w="1994" w:type="dxa"/>
                  <w:tcBorders>
                    <w:top w:val="single" w:color="auto" w:sz="4" w:space="0"/>
                    <w:left w:val="nil"/>
                    <w:bottom w:val="single" w:color="auto" w:sz="4" w:space="0"/>
                    <w:right w:val="single" w:color="auto" w:sz="4" w:space="0"/>
                  </w:tcBorders>
                  <w:noWrap w:val="0"/>
                  <w:vAlign w:val="center"/>
                </w:tcPr>
                <w:p w14:paraId="371AC6B9">
                  <w:pPr>
                    <w:pStyle w:val="23"/>
                    <w:adjustRightInd w:val="0"/>
                    <w:snapToGrid w:val="0"/>
                    <w:spacing w:before="0" w:beforeAutospacing="0"/>
                    <w:jc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电子版</w:t>
                  </w:r>
                </w:p>
              </w:tc>
            </w:tr>
            <w:tr w14:paraId="220CD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14:paraId="67A40B44">
                  <w:pPr>
                    <w:pStyle w:val="23"/>
                    <w:adjustRightInd w:val="0"/>
                    <w:snapToGrid w:val="0"/>
                    <w:spacing w:before="0" w:beforeAutospacing="0"/>
                    <w:jc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18</w:t>
                  </w:r>
                </w:p>
              </w:tc>
              <w:tc>
                <w:tcPr>
                  <w:tcW w:w="1517" w:type="dxa"/>
                  <w:tcBorders>
                    <w:top w:val="single" w:color="auto" w:sz="4" w:space="0"/>
                    <w:left w:val="nil"/>
                    <w:bottom w:val="single" w:color="auto" w:sz="4" w:space="0"/>
                    <w:right w:val="single" w:color="auto" w:sz="4" w:space="0"/>
                  </w:tcBorders>
                  <w:noWrap w:val="0"/>
                  <w:vAlign w:val="center"/>
                </w:tcPr>
                <w:p w14:paraId="66A55D7A">
                  <w:pPr>
                    <w:pStyle w:val="23"/>
                    <w:adjustRightInd w:val="0"/>
                    <w:snapToGrid w:val="0"/>
                    <w:spacing w:before="0" w:beforeAutospacing="0"/>
                    <w:jc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外包装</w:t>
                  </w:r>
                </w:p>
              </w:tc>
              <w:tc>
                <w:tcPr>
                  <w:tcW w:w="1052" w:type="dxa"/>
                  <w:tcBorders>
                    <w:top w:val="single" w:color="auto" w:sz="4" w:space="0"/>
                    <w:left w:val="nil"/>
                    <w:bottom w:val="single" w:color="auto" w:sz="4" w:space="0"/>
                    <w:right w:val="single" w:color="auto" w:sz="4" w:space="0"/>
                  </w:tcBorders>
                  <w:noWrap w:val="0"/>
                  <w:vAlign w:val="center"/>
                </w:tcPr>
                <w:p w14:paraId="3AF7BA9C">
                  <w:pPr>
                    <w:pStyle w:val="23"/>
                    <w:adjustRightInd w:val="0"/>
                    <w:snapToGrid w:val="0"/>
                    <w:spacing w:before="0" w:beforeAutospacing="0"/>
                    <w:jc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若干</w:t>
                  </w:r>
                </w:p>
              </w:tc>
              <w:tc>
                <w:tcPr>
                  <w:tcW w:w="1994" w:type="dxa"/>
                  <w:tcBorders>
                    <w:top w:val="single" w:color="auto" w:sz="4" w:space="0"/>
                    <w:left w:val="nil"/>
                    <w:bottom w:val="single" w:color="auto" w:sz="4" w:space="0"/>
                    <w:right w:val="single" w:color="auto" w:sz="4" w:space="0"/>
                  </w:tcBorders>
                  <w:noWrap w:val="0"/>
                  <w:vAlign w:val="center"/>
                </w:tcPr>
                <w:p w14:paraId="27B9DF92">
                  <w:pPr>
                    <w:pStyle w:val="23"/>
                    <w:adjustRightInd w:val="0"/>
                    <w:snapToGrid w:val="0"/>
                    <w:spacing w:before="0" w:beforeAutospacing="0"/>
                    <w:jc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需配备必要的设备硬质外包装（设备箱）</w:t>
                  </w:r>
                </w:p>
              </w:tc>
            </w:tr>
            <w:tr w14:paraId="5ED64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14:paraId="29896E37">
                  <w:pPr>
                    <w:pStyle w:val="23"/>
                    <w:adjustRightInd w:val="0"/>
                    <w:snapToGrid w:val="0"/>
                    <w:spacing w:before="0" w:beforeAutospacing="0"/>
                    <w:jc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18</w:t>
                  </w:r>
                </w:p>
              </w:tc>
              <w:tc>
                <w:tcPr>
                  <w:tcW w:w="1517" w:type="dxa"/>
                  <w:tcBorders>
                    <w:top w:val="single" w:color="auto" w:sz="4" w:space="0"/>
                    <w:left w:val="nil"/>
                    <w:bottom w:val="single" w:color="auto" w:sz="4" w:space="0"/>
                    <w:right w:val="single" w:color="auto" w:sz="4" w:space="0"/>
                  </w:tcBorders>
                  <w:noWrap w:val="0"/>
                  <w:vAlign w:val="center"/>
                </w:tcPr>
                <w:p w14:paraId="0B039617">
                  <w:pPr>
                    <w:pStyle w:val="23"/>
                    <w:adjustRightInd w:val="0"/>
                    <w:snapToGrid w:val="0"/>
                    <w:spacing w:before="0" w:beforeAutospacing="0"/>
                    <w:jc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培训</w:t>
                  </w:r>
                </w:p>
              </w:tc>
              <w:tc>
                <w:tcPr>
                  <w:tcW w:w="1052" w:type="dxa"/>
                  <w:tcBorders>
                    <w:top w:val="single" w:color="auto" w:sz="4" w:space="0"/>
                    <w:left w:val="nil"/>
                    <w:bottom w:val="single" w:color="auto" w:sz="4" w:space="0"/>
                    <w:right w:val="single" w:color="auto" w:sz="4" w:space="0"/>
                  </w:tcBorders>
                  <w:noWrap w:val="0"/>
                  <w:vAlign w:val="center"/>
                </w:tcPr>
                <w:p w14:paraId="24E13815">
                  <w:pPr>
                    <w:pStyle w:val="23"/>
                    <w:adjustRightInd w:val="0"/>
                    <w:snapToGrid w:val="0"/>
                    <w:spacing w:before="0" w:beforeAutospacing="0"/>
                    <w:jc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培训师生至能独立完成试验</w:t>
                  </w:r>
                </w:p>
              </w:tc>
              <w:tc>
                <w:tcPr>
                  <w:tcW w:w="1994" w:type="dxa"/>
                  <w:tcBorders>
                    <w:top w:val="single" w:color="auto" w:sz="4" w:space="0"/>
                    <w:left w:val="nil"/>
                    <w:bottom w:val="single" w:color="auto" w:sz="4" w:space="0"/>
                    <w:right w:val="single" w:color="auto" w:sz="4" w:space="0"/>
                  </w:tcBorders>
                  <w:noWrap w:val="0"/>
                  <w:vAlign w:val="center"/>
                </w:tcPr>
                <w:p w14:paraId="3CFACB80">
                  <w:pPr>
                    <w:pStyle w:val="23"/>
                    <w:adjustRightInd w:val="0"/>
                    <w:snapToGrid w:val="0"/>
                    <w:spacing w:before="0" w:beforeAutospacing="0"/>
                    <w:jc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需对方技术人员现场操作演示培训</w:t>
                  </w:r>
                </w:p>
              </w:tc>
            </w:tr>
          </w:tbl>
          <w:p w14:paraId="087BE05F">
            <w:pPr>
              <w:pStyle w:val="23"/>
              <w:widowControl w:val="0"/>
              <w:adjustRightInd w:val="0"/>
              <w:spacing w:before="0" w:beforeAutospacing="0" w:after="0" w:afterAutospacing="0"/>
              <w:jc w:val="both"/>
              <w:rPr>
                <w:rFonts w:hint="eastAsia" w:ascii="宋体" w:hAnsi="宋体" w:eastAsia="宋体" w:cs="宋体"/>
                <w:b/>
                <w:color w:val="000000"/>
                <w:sz w:val="24"/>
                <w:szCs w:val="24"/>
                <w:highlight w:val="none"/>
                <w:lang w:bidi="ar"/>
              </w:rPr>
            </w:pPr>
          </w:p>
          <w:p w14:paraId="2D478D7D">
            <w:pPr>
              <w:pStyle w:val="23"/>
              <w:widowControl w:val="0"/>
              <w:adjustRightInd w:val="0"/>
              <w:spacing w:before="0" w:beforeAutospacing="0" w:after="0" w:afterAutospacing="0"/>
              <w:jc w:val="both"/>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bidi="ar"/>
              </w:rPr>
              <w:t>四、主要技术参数</w:t>
            </w:r>
          </w:p>
          <w:p w14:paraId="0137E978">
            <w:pPr>
              <w:pStyle w:val="23"/>
              <w:widowControl w:val="0"/>
              <w:adjustRightInd w:val="0"/>
              <w:snapToGrid w:val="0"/>
              <w:spacing w:before="0" w:beforeAutospacing="0" w:after="0" w:afterAutospacing="0"/>
              <w:jc w:val="both"/>
              <w:rPr>
                <w:rFonts w:hint="eastAsia" w:ascii="宋体" w:hAnsi="宋体" w:eastAsia="宋体" w:cs="宋体"/>
                <w:b/>
                <w:sz w:val="24"/>
                <w:szCs w:val="24"/>
                <w:highlight w:val="none"/>
              </w:rPr>
            </w:pPr>
            <w:r>
              <w:rPr>
                <w:rFonts w:hint="eastAsia" w:ascii="宋体" w:hAnsi="宋体" w:eastAsia="宋体" w:cs="宋体"/>
                <w:b/>
                <w:color w:val="000000"/>
                <w:sz w:val="24"/>
                <w:szCs w:val="24"/>
                <w:highlight w:val="none"/>
                <w:lang w:bidi="ar"/>
              </w:rPr>
              <w:t>4.1 数据采集器</w:t>
            </w:r>
          </w:p>
          <w:p w14:paraId="2A9A8DE4">
            <w:pPr>
              <w:pStyle w:val="23"/>
              <w:widowControl w:val="0"/>
              <w:adjustRightInd w:val="0"/>
              <w:snapToGrid w:val="0"/>
              <w:spacing w:before="0" w:beforeAutospacing="0" w:after="0" w:afterAutospacing="0"/>
              <w:jc w:val="both"/>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 xml:space="preserve">技术参数 </w:t>
            </w:r>
          </w:p>
          <w:p w14:paraId="2E680A57">
            <w:pPr>
              <w:pStyle w:val="23"/>
              <w:widowControl w:val="0"/>
              <w:adjustRightInd w:val="0"/>
              <w:snapToGrid w:val="0"/>
              <w:spacing w:before="0" w:beforeAutospacing="0" w:after="0" w:afterAutospacing="0"/>
              <w:jc w:val="both"/>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（1）车速量程： 0～400km/h</w:t>
            </w:r>
            <w:r>
              <w:rPr>
                <w:rFonts w:hint="eastAsia" w:ascii="宋体" w:hAnsi="宋体" w:eastAsia="宋体" w:cs="宋体"/>
                <w:color w:val="000000"/>
                <w:sz w:val="24"/>
                <w:szCs w:val="24"/>
                <w:highlight w:val="none"/>
                <w:lang w:eastAsia="zh" w:bidi="ar"/>
              </w:rPr>
              <w:t>。</w:t>
            </w:r>
            <w:r>
              <w:rPr>
                <w:rFonts w:hint="eastAsia" w:ascii="宋体" w:hAnsi="宋体" w:eastAsia="宋体" w:cs="宋体"/>
                <w:color w:val="000000"/>
                <w:sz w:val="24"/>
                <w:szCs w:val="24"/>
                <w:highlight w:val="none"/>
                <w:lang w:bidi="ar"/>
              </w:rPr>
              <w:t>精度：±0.1 km/h</w:t>
            </w:r>
            <w:r>
              <w:rPr>
                <w:rFonts w:hint="eastAsia" w:ascii="宋体" w:hAnsi="宋体" w:eastAsia="宋体" w:cs="宋体"/>
                <w:color w:val="000000"/>
                <w:sz w:val="24"/>
                <w:szCs w:val="24"/>
                <w:highlight w:val="none"/>
                <w:lang w:eastAsia="zh" w:bidi="ar"/>
              </w:rPr>
              <w:t>。</w:t>
            </w:r>
            <w:r>
              <w:rPr>
                <w:rFonts w:hint="eastAsia" w:ascii="宋体" w:hAnsi="宋体" w:eastAsia="宋体" w:cs="宋体"/>
                <w:color w:val="000000"/>
                <w:sz w:val="24"/>
                <w:szCs w:val="24"/>
                <w:highlight w:val="none"/>
                <w:lang w:bidi="ar"/>
              </w:rPr>
              <w:t>分辨率： 0.01 km/h</w:t>
            </w:r>
            <w:r>
              <w:rPr>
                <w:rFonts w:hint="eastAsia" w:ascii="宋体" w:hAnsi="宋体" w:eastAsia="宋体" w:cs="宋体"/>
                <w:color w:val="000000"/>
                <w:sz w:val="24"/>
                <w:szCs w:val="24"/>
                <w:highlight w:val="none"/>
                <w:lang w:eastAsia="zh" w:bidi="ar"/>
              </w:rPr>
              <w:t>。</w:t>
            </w:r>
            <w:r>
              <w:rPr>
                <w:rFonts w:hint="eastAsia" w:ascii="宋体" w:hAnsi="宋体" w:eastAsia="宋体" w:cs="宋体"/>
                <w:color w:val="000000"/>
                <w:sz w:val="24"/>
                <w:szCs w:val="24"/>
                <w:highlight w:val="none"/>
                <w:lang w:bidi="ar"/>
              </w:rPr>
              <w:t xml:space="preserve"> </w:t>
            </w:r>
          </w:p>
          <w:p w14:paraId="1D211C86">
            <w:pPr>
              <w:pStyle w:val="23"/>
              <w:widowControl w:val="0"/>
              <w:adjustRightInd w:val="0"/>
              <w:snapToGrid w:val="0"/>
              <w:spacing w:before="0" w:beforeAutospacing="0" w:after="0" w:afterAutospacing="0"/>
              <w:jc w:val="both"/>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（2）时间量程： 3600s</w:t>
            </w:r>
            <w:r>
              <w:rPr>
                <w:rFonts w:hint="eastAsia" w:ascii="宋体" w:hAnsi="宋体" w:eastAsia="宋体" w:cs="宋体"/>
                <w:color w:val="000000"/>
                <w:sz w:val="24"/>
                <w:szCs w:val="24"/>
                <w:highlight w:val="none"/>
                <w:lang w:eastAsia="zh" w:bidi="ar"/>
              </w:rPr>
              <w:t>。</w:t>
            </w:r>
            <w:r>
              <w:rPr>
                <w:rFonts w:hint="eastAsia" w:ascii="宋体" w:hAnsi="宋体" w:eastAsia="宋体" w:cs="宋体"/>
                <w:color w:val="000000"/>
                <w:sz w:val="24"/>
                <w:szCs w:val="24"/>
                <w:highlight w:val="none"/>
                <w:lang w:bidi="ar"/>
              </w:rPr>
              <w:t>精度：±10ms</w:t>
            </w:r>
            <w:r>
              <w:rPr>
                <w:rFonts w:hint="eastAsia" w:ascii="宋体" w:hAnsi="宋体" w:eastAsia="宋体" w:cs="宋体"/>
                <w:color w:val="000000"/>
                <w:sz w:val="24"/>
                <w:szCs w:val="24"/>
                <w:highlight w:val="none"/>
                <w:lang w:eastAsia="zh" w:bidi="ar"/>
              </w:rPr>
              <w:t>。</w:t>
            </w:r>
            <w:r>
              <w:rPr>
                <w:rFonts w:hint="eastAsia" w:ascii="宋体" w:hAnsi="宋体" w:eastAsia="宋体" w:cs="宋体"/>
                <w:color w:val="000000"/>
                <w:sz w:val="24"/>
                <w:szCs w:val="24"/>
                <w:highlight w:val="none"/>
                <w:lang w:bidi="ar"/>
              </w:rPr>
              <w:t>分辨率：1ms</w:t>
            </w:r>
            <w:r>
              <w:rPr>
                <w:rFonts w:hint="eastAsia" w:ascii="宋体" w:hAnsi="宋体" w:eastAsia="宋体" w:cs="宋体"/>
                <w:color w:val="000000"/>
                <w:sz w:val="24"/>
                <w:szCs w:val="24"/>
                <w:highlight w:val="none"/>
                <w:lang w:eastAsia="zh" w:bidi="ar"/>
              </w:rPr>
              <w:t>。</w:t>
            </w:r>
          </w:p>
          <w:p w14:paraId="41DDD174">
            <w:pPr>
              <w:pStyle w:val="23"/>
              <w:widowControl w:val="0"/>
              <w:adjustRightInd w:val="0"/>
              <w:snapToGrid w:val="0"/>
              <w:spacing w:before="0" w:beforeAutospacing="0" w:after="0" w:afterAutospacing="0"/>
              <w:jc w:val="both"/>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（3）距离量程： 1000m</w:t>
            </w:r>
            <w:r>
              <w:rPr>
                <w:rFonts w:hint="eastAsia" w:ascii="宋体" w:hAnsi="宋体" w:eastAsia="宋体" w:cs="宋体"/>
                <w:color w:val="000000"/>
                <w:sz w:val="24"/>
                <w:szCs w:val="24"/>
                <w:highlight w:val="none"/>
                <w:lang w:eastAsia="zh" w:bidi="ar"/>
              </w:rPr>
              <w:t>。</w:t>
            </w:r>
            <w:r>
              <w:rPr>
                <w:rFonts w:hint="eastAsia" w:ascii="宋体" w:hAnsi="宋体" w:eastAsia="宋体" w:cs="宋体"/>
                <w:color w:val="000000"/>
                <w:sz w:val="24"/>
                <w:szCs w:val="24"/>
                <w:highlight w:val="none"/>
                <w:lang w:bidi="ar"/>
              </w:rPr>
              <w:t>精度：±0.1%FS</w:t>
            </w:r>
            <w:r>
              <w:rPr>
                <w:rFonts w:hint="eastAsia" w:ascii="宋体" w:hAnsi="宋体" w:eastAsia="宋体" w:cs="宋体"/>
                <w:color w:val="000000"/>
                <w:sz w:val="24"/>
                <w:szCs w:val="24"/>
                <w:highlight w:val="none"/>
                <w:lang w:eastAsia="zh" w:bidi="ar"/>
              </w:rPr>
              <w:t>。</w:t>
            </w:r>
            <w:r>
              <w:rPr>
                <w:rFonts w:hint="eastAsia" w:ascii="宋体" w:hAnsi="宋体" w:eastAsia="宋体" w:cs="宋体"/>
                <w:color w:val="000000"/>
                <w:sz w:val="24"/>
                <w:szCs w:val="24"/>
                <w:highlight w:val="none"/>
                <w:lang w:bidi="ar"/>
              </w:rPr>
              <w:t>分辨率： 4mm</w:t>
            </w:r>
            <w:r>
              <w:rPr>
                <w:rFonts w:hint="eastAsia" w:ascii="宋体" w:hAnsi="宋体" w:eastAsia="宋体" w:cs="宋体"/>
                <w:color w:val="000000"/>
                <w:sz w:val="24"/>
                <w:szCs w:val="24"/>
                <w:highlight w:val="none"/>
                <w:lang w:eastAsia="zh" w:bidi="ar"/>
              </w:rPr>
              <w:t>。</w:t>
            </w:r>
          </w:p>
          <w:p w14:paraId="2278C992">
            <w:pPr>
              <w:pStyle w:val="23"/>
              <w:widowControl w:val="0"/>
              <w:adjustRightInd w:val="0"/>
              <w:snapToGrid w:val="0"/>
              <w:spacing w:before="0" w:beforeAutospacing="0" w:after="0" w:afterAutospacing="0"/>
              <w:jc w:val="both"/>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（4）数据更新率 100Hz</w:t>
            </w:r>
            <w:r>
              <w:rPr>
                <w:rFonts w:hint="eastAsia" w:ascii="宋体" w:hAnsi="宋体" w:eastAsia="宋体" w:cs="宋体"/>
                <w:color w:val="000000"/>
                <w:sz w:val="24"/>
                <w:szCs w:val="24"/>
                <w:highlight w:val="none"/>
                <w:lang w:eastAsia="zh" w:bidi="ar"/>
              </w:rPr>
              <w:t>。</w:t>
            </w:r>
            <w:r>
              <w:rPr>
                <w:rFonts w:hint="eastAsia" w:ascii="宋体" w:hAnsi="宋体" w:eastAsia="宋体" w:cs="宋体"/>
                <w:color w:val="000000"/>
                <w:sz w:val="24"/>
                <w:szCs w:val="24"/>
                <w:highlight w:val="none"/>
                <w:lang w:bidi="ar"/>
              </w:rPr>
              <w:t xml:space="preserve"> GPS 更新频率： 100Hz</w:t>
            </w:r>
            <w:r>
              <w:rPr>
                <w:rFonts w:hint="eastAsia" w:ascii="宋体" w:hAnsi="宋体" w:eastAsia="宋体" w:cs="宋体"/>
                <w:color w:val="000000"/>
                <w:sz w:val="24"/>
                <w:szCs w:val="24"/>
                <w:highlight w:val="none"/>
                <w:lang w:eastAsia="zh" w:bidi="ar"/>
              </w:rPr>
              <w:t>。</w:t>
            </w:r>
            <w:r>
              <w:rPr>
                <w:rFonts w:hint="eastAsia" w:ascii="宋体" w:hAnsi="宋体" w:eastAsia="宋体" w:cs="宋体"/>
                <w:color w:val="000000"/>
                <w:sz w:val="24"/>
                <w:szCs w:val="24"/>
                <w:highlight w:val="none"/>
                <w:lang w:bidi="ar"/>
              </w:rPr>
              <w:t xml:space="preserve"> </w:t>
            </w:r>
          </w:p>
          <w:p w14:paraId="4DE0688D">
            <w:pPr>
              <w:pStyle w:val="23"/>
              <w:widowControl w:val="0"/>
              <w:adjustRightInd w:val="0"/>
              <w:snapToGrid w:val="0"/>
              <w:spacing w:before="0" w:beforeAutospacing="0" w:after="0" w:afterAutospacing="0"/>
              <w:jc w:val="both"/>
              <w:rPr>
                <w:rFonts w:hint="eastAsia" w:ascii="宋体" w:hAnsi="宋体" w:eastAsia="宋体" w:cs="宋体"/>
                <w:color w:val="000000"/>
                <w:sz w:val="24"/>
                <w:szCs w:val="24"/>
                <w:highlight w:val="none"/>
                <w:lang w:eastAsia="zh" w:bidi="ar"/>
              </w:rPr>
            </w:pPr>
            <w:r>
              <w:rPr>
                <w:rFonts w:hint="eastAsia" w:ascii="宋体" w:hAnsi="宋体" w:eastAsia="宋体" w:cs="宋体"/>
                <w:color w:val="000000"/>
                <w:sz w:val="24"/>
                <w:szCs w:val="24"/>
                <w:highlight w:val="none"/>
                <w:lang w:bidi="ar"/>
              </w:rPr>
              <w:t>（5）模拟量输入 8CH， 1 通道内置放大电路和激励电压，可直连应变信号，其他 7 通道输入信号范围±5V</w:t>
            </w:r>
            <w:r>
              <w:rPr>
                <w:rFonts w:hint="eastAsia" w:ascii="宋体" w:hAnsi="宋体" w:eastAsia="宋体" w:cs="宋体"/>
                <w:color w:val="000000"/>
                <w:sz w:val="24"/>
                <w:szCs w:val="24"/>
                <w:highlight w:val="none"/>
                <w:lang w:eastAsia="zh" w:bidi="ar"/>
              </w:rPr>
              <w:t>。</w:t>
            </w:r>
          </w:p>
          <w:p w14:paraId="531433D6">
            <w:pPr>
              <w:pStyle w:val="23"/>
              <w:widowControl w:val="0"/>
              <w:adjustRightInd w:val="0"/>
              <w:snapToGrid w:val="0"/>
              <w:spacing w:before="0" w:beforeAutospacing="0" w:after="0" w:afterAutospacing="0"/>
              <w:jc w:val="both"/>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（6）频率输入： 6CH，内置传感器供电，可直接连接轮速传感器</w:t>
            </w:r>
            <w:r>
              <w:rPr>
                <w:rFonts w:hint="eastAsia" w:ascii="宋体" w:hAnsi="宋体" w:eastAsia="宋体" w:cs="宋体"/>
                <w:color w:val="000000"/>
                <w:sz w:val="24"/>
                <w:szCs w:val="24"/>
                <w:highlight w:val="none"/>
                <w:lang w:eastAsia="zh" w:bidi="ar"/>
              </w:rPr>
              <w:t>。</w:t>
            </w:r>
          </w:p>
          <w:p w14:paraId="22725FCD">
            <w:pPr>
              <w:pStyle w:val="23"/>
              <w:widowControl w:val="0"/>
              <w:adjustRightInd w:val="0"/>
              <w:snapToGrid w:val="0"/>
              <w:spacing w:before="0" w:beforeAutospacing="0" w:after="0" w:afterAutospacing="0"/>
              <w:jc w:val="both"/>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（7）车速通道： 1CH，内置高精度测量级 GPS/BD 测速模块</w:t>
            </w:r>
            <w:r>
              <w:rPr>
                <w:rFonts w:hint="eastAsia" w:ascii="宋体" w:hAnsi="宋体" w:eastAsia="宋体" w:cs="宋体"/>
                <w:color w:val="000000"/>
                <w:sz w:val="24"/>
                <w:szCs w:val="24"/>
                <w:highlight w:val="none"/>
                <w:lang w:eastAsia="zh" w:bidi="ar"/>
              </w:rPr>
              <w:t>。</w:t>
            </w:r>
          </w:p>
          <w:p w14:paraId="67F8A646">
            <w:pPr>
              <w:pStyle w:val="23"/>
              <w:widowControl w:val="0"/>
              <w:adjustRightInd w:val="0"/>
              <w:snapToGrid w:val="0"/>
              <w:spacing w:before="0" w:beforeAutospacing="0" w:after="0" w:afterAutospacing="0"/>
              <w:jc w:val="both"/>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（8）发动机转速：1CH，内置传感器供电，可接脉冲输出的转速传感器</w:t>
            </w:r>
            <w:r>
              <w:rPr>
                <w:rFonts w:hint="eastAsia" w:ascii="宋体" w:hAnsi="宋体" w:eastAsia="宋体" w:cs="宋体"/>
                <w:color w:val="000000"/>
                <w:sz w:val="24"/>
                <w:szCs w:val="24"/>
                <w:highlight w:val="none"/>
                <w:lang w:eastAsia="zh" w:bidi="ar"/>
              </w:rPr>
              <w:t>。</w:t>
            </w:r>
          </w:p>
          <w:p w14:paraId="09556895">
            <w:pPr>
              <w:pStyle w:val="23"/>
              <w:widowControl w:val="0"/>
              <w:adjustRightInd w:val="0"/>
              <w:snapToGrid w:val="0"/>
              <w:spacing w:before="0" w:beforeAutospacing="0" w:after="0" w:afterAutospacing="0"/>
              <w:jc w:val="both"/>
              <w:rPr>
                <w:rFonts w:hint="eastAsia" w:ascii="宋体" w:hAnsi="宋体" w:eastAsia="宋体" w:cs="宋体"/>
                <w:color w:val="000000"/>
                <w:sz w:val="24"/>
                <w:szCs w:val="24"/>
                <w:highlight w:val="none"/>
                <w:lang w:eastAsia="zh" w:bidi="ar"/>
              </w:rPr>
            </w:pPr>
            <w:r>
              <w:rPr>
                <w:rFonts w:hint="eastAsia" w:ascii="宋体" w:hAnsi="宋体" w:eastAsia="宋体" w:cs="宋体"/>
                <w:color w:val="000000"/>
                <w:sz w:val="24"/>
                <w:szCs w:val="24"/>
                <w:highlight w:val="none"/>
                <w:lang w:bidi="ar"/>
              </w:rPr>
              <w:t>（9）油耗通道：1CH，内置传感器供电，可接双脉冲输出的油耗计</w:t>
            </w:r>
            <w:r>
              <w:rPr>
                <w:rFonts w:hint="eastAsia" w:ascii="宋体" w:hAnsi="宋体" w:eastAsia="宋体" w:cs="宋体"/>
                <w:color w:val="000000"/>
                <w:sz w:val="24"/>
                <w:szCs w:val="24"/>
                <w:highlight w:val="none"/>
                <w:lang w:eastAsia="zh" w:bidi="ar"/>
              </w:rPr>
              <w:t>。</w:t>
            </w:r>
          </w:p>
          <w:p w14:paraId="4D561F4D">
            <w:pPr>
              <w:pStyle w:val="23"/>
              <w:widowControl w:val="0"/>
              <w:adjustRightInd w:val="0"/>
              <w:snapToGrid w:val="0"/>
              <w:spacing w:before="0" w:beforeAutospacing="0" w:after="0" w:afterAutospacing="0"/>
              <w:jc w:val="both"/>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（10）数字触发：2CH，可连接制动触发开关和外检同步信号</w:t>
            </w:r>
            <w:r>
              <w:rPr>
                <w:rFonts w:hint="eastAsia" w:ascii="宋体" w:hAnsi="宋体" w:eastAsia="宋体" w:cs="宋体"/>
                <w:color w:val="000000"/>
                <w:sz w:val="24"/>
                <w:szCs w:val="24"/>
                <w:highlight w:val="none"/>
                <w:lang w:eastAsia="zh" w:bidi="ar"/>
              </w:rPr>
              <w:t>。</w:t>
            </w:r>
          </w:p>
          <w:p w14:paraId="082FC796">
            <w:pPr>
              <w:pStyle w:val="23"/>
              <w:widowControl w:val="0"/>
              <w:adjustRightInd w:val="0"/>
              <w:snapToGrid w:val="0"/>
              <w:spacing w:before="0" w:beforeAutospacing="0" w:after="0" w:afterAutospacing="0"/>
              <w:jc w:val="both"/>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（11）RS232/CAN：1CH，用于功能扩展</w:t>
            </w:r>
            <w:r>
              <w:rPr>
                <w:rFonts w:hint="eastAsia" w:ascii="宋体" w:hAnsi="宋体" w:eastAsia="宋体" w:cs="宋体"/>
                <w:color w:val="000000"/>
                <w:sz w:val="24"/>
                <w:szCs w:val="24"/>
                <w:highlight w:val="none"/>
                <w:lang w:eastAsia="zh" w:bidi="ar"/>
              </w:rPr>
              <w:t>。</w:t>
            </w:r>
          </w:p>
          <w:p w14:paraId="643F3618">
            <w:pPr>
              <w:pStyle w:val="23"/>
              <w:widowControl w:val="0"/>
              <w:adjustRightInd w:val="0"/>
              <w:snapToGrid w:val="0"/>
              <w:spacing w:before="0" w:beforeAutospacing="0" w:after="0" w:afterAutospacing="0"/>
              <w:jc w:val="both"/>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（12）USB 接口：1CH，用于与 PC 机通讯</w:t>
            </w:r>
            <w:r>
              <w:rPr>
                <w:rFonts w:hint="eastAsia" w:ascii="宋体" w:hAnsi="宋体" w:eastAsia="宋体" w:cs="宋体"/>
                <w:color w:val="000000"/>
                <w:sz w:val="24"/>
                <w:szCs w:val="24"/>
                <w:highlight w:val="none"/>
                <w:lang w:eastAsia="zh" w:bidi="ar"/>
              </w:rPr>
              <w:t>。</w:t>
            </w:r>
          </w:p>
          <w:p w14:paraId="47B5828D">
            <w:pPr>
              <w:pStyle w:val="23"/>
              <w:widowControl w:val="0"/>
              <w:adjustRightInd w:val="0"/>
              <w:snapToGrid w:val="0"/>
              <w:spacing w:before="0" w:beforeAutospacing="0" w:after="0" w:afterAutospacing="0"/>
              <w:jc w:val="both"/>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（13）电源输入：12VDC（7~30V 宽电压）</w:t>
            </w:r>
            <w:r>
              <w:rPr>
                <w:rFonts w:hint="eastAsia" w:ascii="宋体" w:hAnsi="宋体" w:eastAsia="宋体" w:cs="宋体"/>
                <w:color w:val="000000"/>
                <w:sz w:val="24"/>
                <w:szCs w:val="24"/>
                <w:highlight w:val="none"/>
                <w:lang w:eastAsia="zh" w:bidi="ar"/>
              </w:rPr>
              <w:t>。</w:t>
            </w:r>
          </w:p>
          <w:p w14:paraId="18262986">
            <w:pPr>
              <w:pStyle w:val="23"/>
              <w:widowControl w:val="0"/>
              <w:adjustRightInd w:val="0"/>
              <w:snapToGrid w:val="0"/>
              <w:spacing w:before="0" w:beforeAutospacing="0" w:after="0" w:afterAutospacing="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bidi="ar"/>
              </w:rPr>
              <w:t>（14）外形尺寸 LWH 251x200x55mm（含防撞保护）。</w:t>
            </w:r>
          </w:p>
          <w:p w14:paraId="73F0652E">
            <w:pPr>
              <w:pStyle w:val="23"/>
              <w:widowControl w:val="0"/>
              <w:adjustRightInd w:val="0"/>
              <w:snapToGrid w:val="0"/>
              <w:spacing w:before="0" w:beforeAutospacing="0" w:after="0" w:afterAutospacing="0"/>
              <w:jc w:val="both"/>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bidi="ar"/>
              </w:rPr>
              <w:t>4.2 踏板触发器</w:t>
            </w:r>
          </w:p>
          <w:p w14:paraId="3C742CBD">
            <w:pPr>
              <w:pStyle w:val="23"/>
              <w:widowControl w:val="0"/>
              <w:adjustRightInd w:val="0"/>
              <w:snapToGrid w:val="0"/>
              <w:spacing w:before="0" w:beforeAutospacing="0" w:after="0" w:afterAutospacing="0"/>
              <w:jc w:val="both"/>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（1）常开触点，低电平使能</w:t>
            </w:r>
            <w:r>
              <w:rPr>
                <w:rFonts w:hint="eastAsia" w:ascii="宋体" w:hAnsi="宋体" w:eastAsia="宋体" w:cs="宋体"/>
                <w:color w:val="000000"/>
                <w:sz w:val="24"/>
                <w:szCs w:val="24"/>
                <w:highlight w:val="none"/>
                <w:lang w:eastAsia="zh" w:bidi="ar"/>
              </w:rPr>
              <w:t>。</w:t>
            </w:r>
            <w:r>
              <w:rPr>
                <w:rFonts w:hint="eastAsia" w:ascii="宋体" w:hAnsi="宋体" w:eastAsia="宋体" w:cs="宋体"/>
                <w:color w:val="000000"/>
                <w:sz w:val="24"/>
                <w:szCs w:val="24"/>
                <w:highlight w:val="none"/>
                <w:lang w:bidi="ar"/>
              </w:rPr>
              <w:t xml:space="preserve"> </w:t>
            </w:r>
          </w:p>
          <w:p w14:paraId="034A7656">
            <w:pPr>
              <w:pStyle w:val="23"/>
              <w:widowControl w:val="0"/>
              <w:adjustRightInd w:val="0"/>
              <w:snapToGrid w:val="0"/>
              <w:spacing w:before="0" w:beforeAutospacing="0" w:after="0" w:afterAutospacing="0"/>
              <w:jc w:val="both"/>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（2）触发力值 7N，外壳材料 PVC，弯曲半径 55mm，导线 18AWG，线长 2m</w:t>
            </w:r>
            <w:r>
              <w:rPr>
                <w:rFonts w:hint="eastAsia" w:ascii="宋体" w:hAnsi="宋体" w:eastAsia="宋体" w:cs="宋体"/>
                <w:color w:val="000000"/>
                <w:sz w:val="24"/>
                <w:szCs w:val="24"/>
                <w:highlight w:val="none"/>
                <w:lang w:eastAsia="zh" w:bidi="ar"/>
              </w:rPr>
              <w:t>。</w:t>
            </w:r>
            <w:r>
              <w:rPr>
                <w:rFonts w:hint="eastAsia" w:ascii="宋体" w:hAnsi="宋体" w:eastAsia="宋体" w:cs="宋体"/>
                <w:color w:val="000000"/>
                <w:sz w:val="24"/>
                <w:szCs w:val="24"/>
                <w:highlight w:val="none"/>
                <w:lang w:bidi="ar"/>
              </w:rPr>
              <w:t xml:space="preserve"> </w:t>
            </w:r>
          </w:p>
          <w:p w14:paraId="26D7C639">
            <w:pPr>
              <w:pStyle w:val="23"/>
              <w:widowControl w:val="0"/>
              <w:adjustRightInd w:val="0"/>
              <w:snapToGrid w:val="0"/>
              <w:spacing w:before="0" w:beforeAutospacing="0" w:after="0" w:afterAutospacing="0"/>
              <w:jc w:val="both"/>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（3）触点耐久性 3 百万次。</w:t>
            </w:r>
          </w:p>
          <w:p w14:paraId="4B7B3561">
            <w:pPr>
              <w:pStyle w:val="23"/>
              <w:widowControl w:val="0"/>
              <w:adjustRightInd w:val="0"/>
              <w:snapToGrid w:val="0"/>
              <w:spacing w:before="0" w:beforeAutospacing="0" w:after="0" w:afterAutospacing="0"/>
              <w:jc w:val="both"/>
              <w:rPr>
                <w:rFonts w:hint="eastAsia" w:ascii="宋体" w:hAnsi="宋体" w:eastAsia="宋体" w:cs="宋体"/>
                <w:color w:val="000000"/>
                <w:sz w:val="24"/>
                <w:szCs w:val="24"/>
                <w:highlight w:val="none"/>
              </w:rPr>
            </w:pPr>
          </w:p>
          <w:p w14:paraId="48244D51">
            <w:pPr>
              <w:pStyle w:val="23"/>
              <w:widowControl w:val="0"/>
              <w:adjustRightInd w:val="0"/>
              <w:snapToGrid w:val="0"/>
              <w:spacing w:before="0" w:beforeAutospacing="0" w:after="0" w:afterAutospacing="0"/>
              <w:jc w:val="both"/>
              <w:rPr>
                <w:rFonts w:hint="eastAsia" w:ascii="宋体" w:hAnsi="宋体" w:eastAsia="宋体" w:cs="宋体"/>
                <w:color w:val="000000"/>
                <w:sz w:val="24"/>
                <w:szCs w:val="24"/>
                <w:highlight w:val="none"/>
                <w:lang w:bidi="ar"/>
              </w:rPr>
            </w:pPr>
            <w:r>
              <w:rPr>
                <w:rFonts w:hint="eastAsia" w:ascii="宋体" w:hAnsi="宋体" w:eastAsia="宋体" w:cs="宋体"/>
                <w:b/>
                <w:color w:val="000000"/>
                <w:sz w:val="24"/>
                <w:szCs w:val="24"/>
                <w:highlight w:val="none"/>
                <w:lang w:bidi="ar"/>
              </w:rPr>
              <w:t>4.3 踏板力传感器</w:t>
            </w:r>
            <w:r>
              <w:rPr>
                <w:rFonts w:hint="eastAsia" w:ascii="宋体" w:hAnsi="宋体" w:eastAsia="宋体" w:cs="宋体"/>
                <w:color w:val="000000"/>
                <w:sz w:val="24"/>
                <w:szCs w:val="24"/>
                <w:highlight w:val="none"/>
                <w:lang w:bidi="ar"/>
              </w:rPr>
              <w:t xml:space="preserve"> </w:t>
            </w:r>
          </w:p>
          <w:p w14:paraId="1BD246F4">
            <w:pPr>
              <w:pStyle w:val="23"/>
              <w:widowControl w:val="0"/>
              <w:adjustRightInd w:val="0"/>
              <w:snapToGrid w:val="0"/>
              <w:spacing w:before="0" w:beforeAutospacing="0" w:after="0" w:afterAutospacing="0"/>
              <w:jc w:val="both"/>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（1）量程： 1000N</w:t>
            </w:r>
            <w:r>
              <w:rPr>
                <w:rFonts w:hint="eastAsia" w:ascii="宋体" w:hAnsi="宋体" w:eastAsia="宋体" w:cs="宋体"/>
                <w:color w:val="000000"/>
                <w:sz w:val="24"/>
                <w:szCs w:val="24"/>
                <w:highlight w:val="none"/>
                <w:lang w:eastAsia="zh" w:bidi="ar"/>
              </w:rPr>
              <w:t>。</w:t>
            </w:r>
            <w:r>
              <w:rPr>
                <w:rFonts w:hint="eastAsia" w:ascii="宋体" w:hAnsi="宋体" w:eastAsia="宋体" w:cs="宋体"/>
                <w:color w:val="000000"/>
                <w:sz w:val="24"/>
                <w:szCs w:val="24"/>
                <w:highlight w:val="none"/>
                <w:lang w:bidi="ar"/>
              </w:rPr>
              <w:t>综合精度：±0.5%F.S</w:t>
            </w:r>
            <w:r>
              <w:rPr>
                <w:rFonts w:hint="eastAsia" w:ascii="宋体" w:hAnsi="宋体" w:eastAsia="宋体" w:cs="宋体"/>
                <w:color w:val="000000"/>
                <w:sz w:val="24"/>
                <w:szCs w:val="24"/>
                <w:highlight w:val="none"/>
                <w:lang w:eastAsia="zh" w:bidi="ar"/>
              </w:rPr>
              <w:t>。</w:t>
            </w:r>
            <w:r>
              <w:rPr>
                <w:rFonts w:hint="eastAsia" w:ascii="宋体" w:hAnsi="宋体" w:eastAsia="宋体" w:cs="宋体"/>
                <w:color w:val="000000"/>
                <w:sz w:val="24"/>
                <w:szCs w:val="24"/>
                <w:highlight w:val="none"/>
                <w:lang w:bidi="ar"/>
              </w:rPr>
              <w:t xml:space="preserve"> </w:t>
            </w:r>
          </w:p>
          <w:p w14:paraId="34E33831">
            <w:pPr>
              <w:pStyle w:val="23"/>
              <w:widowControl w:val="0"/>
              <w:adjustRightInd w:val="0"/>
              <w:snapToGrid w:val="0"/>
              <w:spacing w:before="0" w:beforeAutospacing="0" w:after="0" w:afterAutospacing="0"/>
              <w:jc w:val="both"/>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（2）桥压： 5～10V</w:t>
            </w:r>
            <w:r>
              <w:rPr>
                <w:rFonts w:hint="eastAsia" w:ascii="宋体" w:hAnsi="宋体" w:eastAsia="宋体" w:cs="宋体"/>
                <w:color w:val="000000"/>
                <w:sz w:val="24"/>
                <w:szCs w:val="24"/>
                <w:highlight w:val="none"/>
                <w:lang w:eastAsia="zh" w:bidi="ar"/>
              </w:rPr>
              <w:t>。</w:t>
            </w:r>
            <w:r>
              <w:rPr>
                <w:rFonts w:hint="eastAsia" w:ascii="宋体" w:hAnsi="宋体" w:eastAsia="宋体" w:cs="宋体"/>
                <w:color w:val="000000"/>
                <w:sz w:val="24"/>
                <w:szCs w:val="24"/>
                <w:highlight w:val="none"/>
                <w:lang w:bidi="ar"/>
              </w:rPr>
              <w:t xml:space="preserve"> </w:t>
            </w:r>
          </w:p>
          <w:p w14:paraId="188ABE59">
            <w:pPr>
              <w:pStyle w:val="23"/>
              <w:widowControl w:val="0"/>
              <w:adjustRightInd w:val="0"/>
              <w:snapToGrid w:val="0"/>
              <w:spacing w:before="0" w:beforeAutospacing="0" w:after="0" w:afterAutospacing="0"/>
              <w:jc w:val="both"/>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（3）偏心载荷误差（离中心 20mm 圆周）：≤±0.5% FS</w:t>
            </w:r>
            <w:r>
              <w:rPr>
                <w:rFonts w:hint="eastAsia" w:ascii="宋体" w:hAnsi="宋体" w:eastAsia="宋体" w:cs="宋体"/>
                <w:color w:val="000000"/>
                <w:sz w:val="24"/>
                <w:szCs w:val="24"/>
                <w:highlight w:val="none"/>
                <w:lang w:eastAsia="zh" w:bidi="ar"/>
              </w:rPr>
              <w:t>。</w:t>
            </w:r>
            <w:r>
              <w:rPr>
                <w:rFonts w:hint="eastAsia" w:ascii="宋体" w:hAnsi="宋体" w:eastAsia="宋体" w:cs="宋体"/>
                <w:color w:val="000000"/>
                <w:sz w:val="24"/>
                <w:szCs w:val="24"/>
                <w:highlight w:val="none"/>
                <w:lang w:bidi="ar"/>
              </w:rPr>
              <w:t xml:space="preserve"> </w:t>
            </w:r>
          </w:p>
          <w:p w14:paraId="5BCFE4D9">
            <w:pPr>
              <w:pStyle w:val="23"/>
              <w:widowControl w:val="0"/>
              <w:adjustRightInd w:val="0"/>
              <w:snapToGrid w:val="0"/>
              <w:spacing w:before="0" w:beforeAutospacing="0" w:after="0" w:afterAutospacing="0"/>
              <w:jc w:val="both"/>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（4）灵敏度： 1.5～2mV/V</w:t>
            </w:r>
            <w:r>
              <w:rPr>
                <w:rFonts w:hint="eastAsia" w:ascii="宋体" w:hAnsi="宋体" w:eastAsia="宋体" w:cs="宋体"/>
                <w:color w:val="000000"/>
                <w:sz w:val="24"/>
                <w:szCs w:val="24"/>
                <w:highlight w:val="none"/>
                <w:lang w:eastAsia="zh" w:bidi="ar"/>
              </w:rPr>
              <w:t>。</w:t>
            </w:r>
            <w:r>
              <w:rPr>
                <w:rFonts w:hint="eastAsia" w:ascii="宋体" w:hAnsi="宋体" w:eastAsia="宋体" w:cs="宋体"/>
                <w:color w:val="000000"/>
                <w:sz w:val="24"/>
                <w:szCs w:val="24"/>
                <w:highlight w:val="none"/>
                <w:lang w:bidi="ar"/>
              </w:rPr>
              <w:t xml:space="preserve"> </w:t>
            </w:r>
          </w:p>
          <w:p w14:paraId="68716639">
            <w:pPr>
              <w:pStyle w:val="23"/>
              <w:widowControl w:val="0"/>
              <w:adjustRightInd w:val="0"/>
              <w:snapToGrid w:val="0"/>
              <w:spacing w:before="0" w:beforeAutospacing="0" w:after="0" w:afterAutospacing="0"/>
              <w:jc w:val="both"/>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（5）温度系数：±0.05% FS /10℃</w:t>
            </w:r>
            <w:r>
              <w:rPr>
                <w:rFonts w:hint="eastAsia" w:ascii="宋体" w:hAnsi="宋体" w:eastAsia="宋体" w:cs="宋体"/>
                <w:color w:val="000000"/>
                <w:sz w:val="24"/>
                <w:szCs w:val="24"/>
                <w:highlight w:val="none"/>
                <w:lang w:eastAsia="zh" w:bidi="ar"/>
              </w:rPr>
              <w:t>。</w:t>
            </w:r>
            <w:r>
              <w:rPr>
                <w:rFonts w:hint="eastAsia" w:ascii="宋体" w:hAnsi="宋体" w:eastAsia="宋体" w:cs="宋体"/>
                <w:color w:val="000000"/>
                <w:sz w:val="24"/>
                <w:szCs w:val="24"/>
                <w:highlight w:val="none"/>
                <w:lang w:bidi="ar"/>
              </w:rPr>
              <w:t xml:space="preserve"> </w:t>
            </w:r>
          </w:p>
          <w:p w14:paraId="1DF5959E">
            <w:pPr>
              <w:pStyle w:val="23"/>
              <w:widowControl w:val="0"/>
              <w:adjustRightInd w:val="0"/>
              <w:snapToGrid w:val="0"/>
              <w:spacing w:before="0" w:beforeAutospacing="0" w:after="0" w:afterAutospacing="0"/>
              <w:jc w:val="both"/>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（6）非线性误差：±0.1% FS</w:t>
            </w:r>
            <w:r>
              <w:rPr>
                <w:rFonts w:hint="eastAsia" w:ascii="宋体" w:hAnsi="宋体" w:eastAsia="宋体" w:cs="宋体"/>
                <w:color w:val="000000"/>
                <w:sz w:val="24"/>
                <w:szCs w:val="24"/>
                <w:highlight w:val="none"/>
                <w:lang w:eastAsia="zh" w:bidi="ar"/>
              </w:rPr>
              <w:t>。</w:t>
            </w:r>
            <w:r>
              <w:rPr>
                <w:rFonts w:hint="eastAsia" w:ascii="宋体" w:hAnsi="宋体" w:eastAsia="宋体" w:cs="宋体"/>
                <w:color w:val="000000"/>
                <w:sz w:val="24"/>
                <w:szCs w:val="24"/>
                <w:highlight w:val="none"/>
                <w:lang w:bidi="ar"/>
              </w:rPr>
              <w:t xml:space="preserve"> </w:t>
            </w:r>
          </w:p>
          <w:p w14:paraId="3A16C5E9">
            <w:pPr>
              <w:pStyle w:val="23"/>
              <w:widowControl w:val="0"/>
              <w:adjustRightInd w:val="0"/>
              <w:snapToGrid w:val="0"/>
              <w:spacing w:before="0" w:beforeAutospacing="0" w:after="0" w:afterAutospacing="0"/>
              <w:jc w:val="both"/>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（7）温度补偿范围： -20～50℃</w:t>
            </w:r>
            <w:r>
              <w:rPr>
                <w:rFonts w:hint="eastAsia" w:ascii="宋体" w:hAnsi="宋体" w:eastAsia="宋体" w:cs="宋体"/>
                <w:color w:val="000000"/>
                <w:sz w:val="24"/>
                <w:szCs w:val="24"/>
                <w:highlight w:val="none"/>
                <w:lang w:eastAsia="zh" w:bidi="ar"/>
              </w:rPr>
              <w:t>。</w:t>
            </w:r>
            <w:r>
              <w:rPr>
                <w:rFonts w:hint="eastAsia" w:ascii="宋体" w:hAnsi="宋体" w:eastAsia="宋体" w:cs="宋体"/>
                <w:color w:val="000000"/>
                <w:sz w:val="24"/>
                <w:szCs w:val="24"/>
                <w:highlight w:val="none"/>
                <w:lang w:bidi="ar"/>
              </w:rPr>
              <w:t xml:space="preserve"> </w:t>
            </w:r>
          </w:p>
          <w:p w14:paraId="0C3DC8DD">
            <w:pPr>
              <w:pStyle w:val="23"/>
              <w:widowControl w:val="0"/>
              <w:adjustRightInd w:val="0"/>
              <w:snapToGrid w:val="0"/>
              <w:spacing w:before="0" w:beforeAutospacing="0" w:after="0" w:afterAutospacing="0"/>
              <w:jc w:val="both"/>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（8）绝缘电阻：≥5000MΩ</w:t>
            </w:r>
            <w:r>
              <w:rPr>
                <w:rFonts w:hint="eastAsia" w:ascii="宋体" w:hAnsi="宋体" w:eastAsia="宋体" w:cs="宋体"/>
                <w:color w:val="000000"/>
                <w:sz w:val="24"/>
                <w:szCs w:val="24"/>
                <w:highlight w:val="none"/>
                <w:lang w:eastAsia="zh" w:bidi="ar"/>
              </w:rPr>
              <w:t>。</w:t>
            </w:r>
            <w:r>
              <w:rPr>
                <w:rFonts w:hint="eastAsia" w:ascii="宋体" w:hAnsi="宋体" w:eastAsia="宋体" w:cs="宋体"/>
                <w:color w:val="000000"/>
                <w:sz w:val="24"/>
                <w:szCs w:val="24"/>
                <w:highlight w:val="none"/>
                <w:lang w:bidi="ar"/>
              </w:rPr>
              <w:t xml:space="preserve"> </w:t>
            </w:r>
          </w:p>
          <w:p w14:paraId="40CCF2B2">
            <w:pPr>
              <w:pStyle w:val="23"/>
              <w:widowControl w:val="0"/>
              <w:adjustRightInd w:val="0"/>
              <w:snapToGrid w:val="0"/>
              <w:spacing w:before="0" w:beforeAutospacing="0" w:after="0" w:afterAutospacing="0"/>
              <w:jc w:val="both"/>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（9）工作温度： -25～70℃</w:t>
            </w:r>
            <w:r>
              <w:rPr>
                <w:rFonts w:hint="eastAsia" w:ascii="宋体" w:hAnsi="宋体" w:eastAsia="宋体" w:cs="宋体"/>
                <w:color w:val="000000"/>
                <w:sz w:val="24"/>
                <w:szCs w:val="24"/>
                <w:highlight w:val="none"/>
                <w:lang w:eastAsia="zh" w:bidi="ar"/>
              </w:rPr>
              <w:t>。</w:t>
            </w:r>
            <w:r>
              <w:rPr>
                <w:rFonts w:hint="eastAsia" w:ascii="宋体" w:hAnsi="宋体" w:eastAsia="宋体" w:cs="宋体"/>
                <w:color w:val="000000"/>
                <w:sz w:val="24"/>
                <w:szCs w:val="24"/>
                <w:highlight w:val="none"/>
                <w:lang w:bidi="ar"/>
              </w:rPr>
              <w:t xml:space="preserve"> </w:t>
            </w:r>
          </w:p>
          <w:p w14:paraId="68AAD211">
            <w:pPr>
              <w:pStyle w:val="23"/>
              <w:widowControl w:val="0"/>
              <w:adjustRightInd w:val="0"/>
              <w:snapToGrid w:val="0"/>
              <w:spacing w:before="0" w:beforeAutospacing="0" w:after="0" w:afterAutospacing="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bidi="ar"/>
              </w:rPr>
              <w:t>（10）安全过载：≥120%。</w:t>
            </w:r>
            <w:r>
              <w:rPr>
                <w:rFonts w:hint="eastAsia" w:ascii="宋体" w:hAnsi="宋体" w:eastAsia="宋体" w:cs="宋体"/>
                <w:sz w:val="24"/>
                <w:szCs w:val="24"/>
                <w:highlight w:val="none"/>
                <w:lang w:bidi="ar"/>
              </w:rPr>
              <w:t xml:space="preserve"> </w:t>
            </w:r>
          </w:p>
          <w:p w14:paraId="3B347C98">
            <w:pPr>
              <w:pStyle w:val="23"/>
              <w:widowControl w:val="0"/>
              <w:adjustRightInd w:val="0"/>
              <w:snapToGrid w:val="0"/>
              <w:spacing w:before="0" w:beforeAutospacing="0" w:after="0" w:afterAutospacing="0"/>
              <w:jc w:val="both"/>
              <w:rPr>
                <w:rFonts w:hint="eastAsia" w:ascii="宋体" w:hAnsi="宋体" w:eastAsia="宋体" w:cs="宋体"/>
                <w:color w:val="000000"/>
                <w:sz w:val="24"/>
                <w:szCs w:val="24"/>
                <w:highlight w:val="none"/>
                <w:lang w:bidi="ar"/>
              </w:rPr>
            </w:pPr>
            <w:r>
              <w:rPr>
                <w:rFonts w:hint="eastAsia" w:ascii="宋体" w:hAnsi="宋体" w:eastAsia="宋体" w:cs="宋体"/>
                <w:b/>
                <w:color w:val="000000"/>
                <w:sz w:val="24"/>
                <w:szCs w:val="24"/>
                <w:highlight w:val="none"/>
                <w:lang w:bidi="ar"/>
              </w:rPr>
              <w:t>4.4 轮速传感器（含固定装置）</w:t>
            </w:r>
            <w:r>
              <w:rPr>
                <w:rFonts w:hint="eastAsia" w:ascii="宋体" w:hAnsi="宋体" w:eastAsia="宋体" w:cs="宋体"/>
                <w:color w:val="000000"/>
                <w:sz w:val="24"/>
                <w:szCs w:val="24"/>
                <w:highlight w:val="none"/>
                <w:lang w:bidi="ar"/>
              </w:rPr>
              <w:t xml:space="preserve"> </w:t>
            </w:r>
          </w:p>
          <w:p w14:paraId="09B64E82">
            <w:pPr>
              <w:pStyle w:val="23"/>
              <w:widowControl w:val="0"/>
              <w:adjustRightInd w:val="0"/>
              <w:snapToGrid w:val="0"/>
              <w:spacing w:before="0" w:beforeAutospacing="0" w:after="0" w:afterAutospacing="0"/>
              <w:ind w:firstLine="480" w:firstLineChars="200"/>
              <w:jc w:val="both"/>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该传感器测量精度高，通用性强，可以和大部分主流车辆的车轮对接。该型传感器为高精度量化车轮的转动速度提供了可能。技术指标 ：</w:t>
            </w:r>
          </w:p>
          <w:p w14:paraId="1A3ABD59">
            <w:pPr>
              <w:pStyle w:val="23"/>
              <w:widowControl w:val="0"/>
              <w:adjustRightInd w:val="0"/>
              <w:snapToGrid w:val="0"/>
              <w:spacing w:before="0" w:beforeAutospacing="0" w:after="0" w:afterAutospacing="0"/>
              <w:jc w:val="both"/>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（1）供电电压：5～24VDC，电流 20mA</w:t>
            </w:r>
            <w:r>
              <w:rPr>
                <w:rFonts w:hint="eastAsia" w:ascii="宋体" w:hAnsi="宋体" w:eastAsia="宋体" w:cs="宋体"/>
                <w:color w:val="000000"/>
                <w:sz w:val="24"/>
                <w:szCs w:val="24"/>
                <w:highlight w:val="none"/>
                <w:lang w:eastAsia="zh" w:bidi="ar"/>
              </w:rPr>
              <w:t>。</w:t>
            </w:r>
            <w:r>
              <w:rPr>
                <w:rFonts w:hint="eastAsia" w:ascii="宋体" w:hAnsi="宋体" w:eastAsia="宋体" w:cs="宋体"/>
                <w:color w:val="000000"/>
                <w:sz w:val="24"/>
                <w:szCs w:val="24"/>
                <w:highlight w:val="none"/>
                <w:lang w:bidi="ar"/>
              </w:rPr>
              <w:t xml:space="preserve"> </w:t>
            </w:r>
          </w:p>
          <w:p w14:paraId="02993445">
            <w:pPr>
              <w:pStyle w:val="23"/>
              <w:widowControl w:val="0"/>
              <w:adjustRightInd w:val="0"/>
              <w:snapToGrid w:val="0"/>
              <w:spacing w:before="0" w:beforeAutospacing="0" w:after="0" w:afterAutospacing="0"/>
              <w:jc w:val="both"/>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（2）每圈脉冲数：1000，允许最高转速：3000rpm</w:t>
            </w:r>
            <w:r>
              <w:rPr>
                <w:rFonts w:hint="eastAsia" w:ascii="宋体" w:hAnsi="宋体" w:eastAsia="宋体" w:cs="宋体"/>
                <w:color w:val="000000"/>
                <w:sz w:val="24"/>
                <w:szCs w:val="24"/>
                <w:highlight w:val="none"/>
                <w:lang w:eastAsia="zh" w:bidi="ar"/>
              </w:rPr>
              <w:t>。</w:t>
            </w:r>
            <w:r>
              <w:rPr>
                <w:rFonts w:hint="eastAsia" w:ascii="宋体" w:hAnsi="宋体" w:eastAsia="宋体" w:cs="宋体"/>
                <w:color w:val="000000"/>
                <w:sz w:val="24"/>
                <w:szCs w:val="24"/>
                <w:highlight w:val="none"/>
                <w:lang w:bidi="ar"/>
              </w:rPr>
              <w:t xml:space="preserve"> </w:t>
            </w:r>
          </w:p>
          <w:p w14:paraId="38419DBE">
            <w:pPr>
              <w:pStyle w:val="23"/>
              <w:widowControl w:val="0"/>
              <w:adjustRightInd w:val="0"/>
              <w:snapToGrid w:val="0"/>
              <w:spacing w:before="0" w:beforeAutospacing="0" w:after="0" w:afterAutospacing="0"/>
              <w:jc w:val="both"/>
              <w:rPr>
                <w:rFonts w:hint="eastAsia" w:ascii="宋体" w:hAnsi="宋体" w:eastAsia="宋体" w:cs="宋体"/>
                <w:color w:val="000000"/>
                <w:sz w:val="24"/>
                <w:szCs w:val="24"/>
                <w:highlight w:val="none"/>
                <w:lang w:eastAsia="zh" w:bidi="ar"/>
              </w:rPr>
            </w:pPr>
            <w:r>
              <w:rPr>
                <w:rFonts w:hint="eastAsia" w:ascii="宋体" w:hAnsi="宋体" w:eastAsia="宋体" w:cs="宋体"/>
                <w:color w:val="000000"/>
                <w:sz w:val="24"/>
                <w:szCs w:val="24"/>
                <w:highlight w:val="none"/>
                <w:lang w:bidi="ar"/>
              </w:rPr>
              <w:t>（3）精度： 0.1km/h</w:t>
            </w:r>
            <w:r>
              <w:rPr>
                <w:rFonts w:hint="eastAsia" w:ascii="宋体" w:hAnsi="宋体" w:eastAsia="宋体" w:cs="宋体"/>
                <w:color w:val="000000"/>
                <w:sz w:val="24"/>
                <w:szCs w:val="24"/>
                <w:highlight w:val="none"/>
                <w:lang w:eastAsia="zh" w:bidi="ar"/>
              </w:rPr>
              <w:t>。</w:t>
            </w:r>
          </w:p>
          <w:p w14:paraId="6AFAE4B2">
            <w:pPr>
              <w:pStyle w:val="23"/>
              <w:widowControl w:val="0"/>
              <w:adjustRightInd w:val="0"/>
              <w:snapToGrid w:val="0"/>
              <w:spacing w:before="0" w:beforeAutospacing="0" w:after="0" w:afterAutospacing="0"/>
              <w:jc w:val="both"/>
              <w:rPr>
                <w:rFonts w:hint="eastAsia" w:ascii="宋体" w:hAnsi="宋体" w:eastAsia="宋体" w:cs="宋体"/>
                <w:color w:val="000000"/>
                <w:sz w:val="24"/>
                <w:szCs w:val="24"/>
                <w:highlight w:val="none"/>
                <w:lang w:eastAsia="zh" w:bidi="ar"/>
              </w:rPr>
            </w:pPr>
            <w:r>
              <w:rPr>
                <w:rFonts w:hint="eastAsia" w:ascii="宋体" w:hAnsi="宋体" w:eastAsia="宋体" w:cs="宋体"/>
                <w:color w:val="000000"/>
                <w:sz w:val="24"/>
                <w:szCs w:val="24"/>
                <w:highlight w:val="none"/>
                <w:lang w:bidi="ar"/>
              </w:rPr>
              <w:t>（4）信号输出：双脉冲输出</w:t>
            </w:r>
            <w:r>
              <w:rPr>
                <w:rFonts w:hint="eastAsia" w:ascii="宋体" w:hAnsi="宋体" w:eastAsia="宋体" w:cs="宋体"/>
                <w:color w:val="000000"/>
                <w:sz w:val="24"/>
                <w:szCs w:val="24"/>
                <w:highlight w:val="none"/>
                <w:lang w:eastAsia="zh" w:bidi="ar"/>
              </w:rPr>
              <w:t>。</w:t>
            </w:r>
          </w:p>
          <w:p w14:paraId="7661E9AF">
            <w:pPr>
              <w:pStyle w:val="23"/>
              <w:widowControl w:val="0"/>
              <w:adjustRightInd w:val="0"/>
              <w:snapToGrid w:val="0"/>
              <w:spacing w:before="0" w:beforeAutospacing="0" w:after="0" w:afterAutospacing="0"/>
              <w:jc w:val="both"/>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（5）防护设计：防水和防松动设计</w:t>
            </w:r>
            <w:r>
              <w:rPr>
                <w:rFonts w:hint="eastAsia" w:ascii="宋体" w:hAnsi="宋体" w:eastAsia="宋体" w:cs="宋体"/>
                <w:color w:val="000000"/>
                <w:sz w:val="24"/>
                <w:szCs w:val="24"/>
                <w:highlight w:val="none"/>
                <w:lang w:eastAsia="zh" w:bidi="ar"/>
              </w:rPr>
              <w:t>。</w:t>
            </w:r>
            <w:r>
              <w:rPr>
                <w:rFonts w:hint="eastAsia" w:ascii="宋体" w:hAnsi="宋体" w:eastAsia="宋体" w:cs="宋体"/>
                <w:color w:val="000000"/>
                <w:sz w:val="24"/>
                <w:szCs w:val="24"/>
                <w:highlight w:val="none"/>
                <w:lang w:bidi="ar"/>
              </w:rPr>
              <w:t xml:space="preserve"> </w:t>
            </w:r>
          </w:p>
          <w:p w14:paraId="4041DF94">
            <w:pPr>
              <w:pStyle w:val="23"/>
              <w:widowControl w:val="0"/>
              <w:adjustRightInd w:val="0"/>
              <w:snapToGrid w:val="0"/>
              <w:spacing w:before="0" w:beforeAutospacing="0" w:after="0" w:afterAutospacing="0"/>
              <w:jc w:val="both"/>
              <w:rPr>
                <w:rFonts w:hint="eastAsia" w:ascii="宋体" w:hAnsi="宋体" w:eastAsia="宋体" w:cs="宋体"/>
                <w:color w:val="000000"/>
                <w:sz w:val="24"/>
                <w:szCs w:val="24"/>
                <w:highlight w:val="none"/>
                <w:lang w:eastAsia="zh" w:bidi="ar"/>
              </w:rPr>
            </w:pPr>
            <w:r>
              <w:rPr>
                <w:rFonts w:hint="eastAsia" w:ascii="宋体" w:hAnsi="宋体" w:eastAsia="宋体" w:cs="宋体"/>
                <w:color w:val="000000"/>
                <w:sz w:val="24"/>
                <w:szCs w:val="24"/>
                <w:highlight w:val="none"/>
                <w:lang w:bidi="ar"/>
              </w:rPr>
              <w:t>（6）安装适配器：过渡圆盘</w:t>
            </w:r>
            <w:r>
              <w:rPr>
                <w:rFonts w:hint="eastAsia" w:ascii="宋体" w:hAnsi="宋体" w:eastAsia="宋体" w:cs="宋体"/>
                <w:color w:val="000000"/>
                <w:sz w:val="24"/>
                <w:szCs w:val="24"/>
                <w:highlight w:val="none"/>
                <w:lang w:eastAsia="zh" w:bidi="ar"/>
              </w:rPr>
              <w:t>。</w:t>
            </w:r>
          </w:p>
          <w:p w14:paraId="6E58A494">
            <w:pPr>
              <w:pStyle w:val="23"/>
              <w:widowControl w:val="0"/>
              <w:adjustRightInd w:val="0"/>
              <w:snapToGrid w:val="0"/>
              <w:spacing w:before="0" w:beforeAutospacing="0" w:after="0" w:afterAutospacing="0"/>
              <w:jc w:val="both"/>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（7）适合车型：轿车</w:t>
            </w:r>
            <w:r>
              <w:rPr>
                <w:rFonts w:hint="eastAsia" w:ascii="宋体" w:hAnsi="宋体" w:eastAsia="宋体" w:cs="宋体"/>
                <w:color w:val="000000"/>
                <w:sz w:val="24"/>
                <w:szCs w:val="24"/>
                <w:highlight w:val="none"/>
                <w:lang w:eastAsia="zh" w:bidi="ar"/>
              </w:rPr>
              <w:t>。</w:t>
            </w:r>
            <w:r>
              <w:rPr>
                <w:rFonts w:hint="eastAsia" w:ascii="宋体" w:hAnsi="宋体" w:eastAsia="宋体" w:cs="宋体"/>
                <w:color w:val="000000"/>
                <w:sz w:val="24"/>
                <w:szCs w:val="24"/>
                <w:highlight w:val="none"/>
                <w:lang w:bidi="ar"/>
              </w:rPr>
              <w:t xml:space="preserve"> </w:t>
            </w:r>
          </w:p>
          <w:p w14:paraId="7808AE32">
            <w:pPr>
              <w:pStyle w:val="23"/>
              <w:widowControl w:val="0"/>
              <w:adjustRightInd w:val="0"/>
              <w:snapToGrid w:val="0"/>
              <w:spacing w:before="0" w:beforeAutospacing="0" w:after="0" w:afterAutospacing="0"/>
              <w:jc w:val="both"/>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（8）定位杆长度： 600mmx2</w:t>
            </w:r>
            <w:r>
              <w:rPr>
                <w:rFonts w:hint="eastAsia" w:ascii="宋体" w:hAnsi="宋体" w:eastAsia="宋体" w:cs="宋体"/>
                <w:color w:val="000000"/>
                <w:sz w:val="24"/>
                <w:szCs w:val="24"/>
                <w:highlight w:val="none"/>
                <w:lang w:eastAsia="zh" w:bidi="ar"/>
              </w:rPr>
              <w:t>。</w:t>
            </w:r>
            <w:r>
              <w:rPr>
                <w:rFonts w:hint="eastAsia" w:ascii="宋体" w:hAnsi="宋体" w:eastAsia="宋体" w:cs="宋体"/>
                <w:color w:val="000000"/>
                <w:sz w:val="24"/>
                <w:szCs w:val="24"/>
                <w:highlight w:val="none"/>
                <w:lang w:bidi="ar"/>
              </w:rPr>
              <w:t xml:space="preserve"> </w:t>
            </w:r>
          </w:p>
          <w:p w14:paraId="66BACBB9">
            <w:pPr>
              <w:pStyle w:val="23"/>
              <w:widowControl w:val="0"/>
              <w:adjustRightInd w:val="0"/>
              <w:snapToGrid w:val="0"/>
              <w:spacing w:before="0" w:beforeAutospacing="0" w:after="0" w:afterAutospacing="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bidi="ar"/>
              </w:rPr>
              <w:t>（9）吸附方式：强力磁钢。</w:t>
            </w:r>
            <w:r>
              <w:rPr>
                <w:rFonts w:hint="eastAsia" w:ascii="宋体" w:hAnsi="宋体" w:eastAsia="宋体" w:cs="宋体"/>
                <w:sz w:val="24"/>
                <w:szCs w:val="24"/>
                <w:highlight w:val="none"/>
                <w:lang w:bidi="ar"/>
              </w:rPr>
              <w:t xml:space="preserve"> </w:t>
            </w:r>
          </w:p>
          <w:p w14:paraId="4AE470F4">
            <w:pPr>
              <w:pStyle w:val="23"/>
              <w:widowControl w:val="0"/>
              <w:adjustRightInd w:val="0"/>
              <w:snapToGrid w:val="0"/>
              <w:spacing w:before="0" w:beforeAutospacing="0" w:after="0" w:afterAutospacing="0"/>
              <w:jc w:val="both"/>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lang w:bidi="ar"/>
              </w:rPr>
              <w:t>4.5 压力传感器（型号可选）</w:t>
            </w:r>
          </w:p>
          <w:p w14:paraId="4B2E4EB0">
            <w:pPr>
              <w:pStyle w:val="23"/>
              <w:widowControl w:val="0"/>
              <w:adjustRightInd w:val="0"/>
              <w:snapToGrid w:val="0"/>
              <w:spacing w:before="0" w:beforeAutospacing="0" w:after="0" w:afterAutospacing="0"/>
              <w:ind w:firstLine="480" w:firstLineChars="20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bidi="ar"/>
              </w:rPr>
              <w:t>采用不锈钢隔离膜片的 OEM 压力传感器作为信号测量元件，并经过计算机自动测试，用激光调阻工艺进行了宽温度范围的零点和灵敏度温度补偿。具有抗干扰和抗冲击力能力强，测量精度高等优点。整体构件采用 304/316 不锈钢，结构小巧紧凑，是车辆试验领域理想的压力测量传感器。</w:t>
            </w:r>
          </w:p>
          <w:p w14:paraId="520FA3C2">
            <w:pPr>
              <w:pStyle w:val="23"/>
              <w:widowControl w:val="0"/>
              <w:adjustRightInd w:val="0"/>
              <w:snapToGrid w:val="0"/>
              <w:spacing w:before="0" w:beforeAutospacing="0" w:after="0" w:afterAutospacing="0"/>
              <w:jc w:val="both"/>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技术参数 ：</w:t>
            </w:r>
          </w:p>
          <w:p w14:paraId="0E8ED46D">
            <w:pPr>
              <w:pStyle w:val="23"/>
              <w:widowControl w:val="0"/>
              <w:adjustRightInd w:val="0"/>
              <w:snapToGrid w:val="0"/>
              <w:spacing w:before="0" w:beforeAutospacing="0" w:after="0" w:afterAutospacing="0"/>
              <w:jc w:val="both"/>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 xml:space="preserve">（1）量程：0-20MPa（液压）， 输出：4～20mA，接口：M10*1 </w:t>
            </w:r>
            <w:r>
              <w:rPr>
                <w:rFonts w:hint="eastAsia" w:ascii="宋体" w:hAnsi="宋体" w:eastAsia="宋体" w:cs="宋体"/>
                <w:color w:val="000000"/>
                <w:sz w:val="24"/>
                <w:szCs w:val="24"/>
                <w:highlight w:val="none"/>
                <w:lang w:eastAsia="zh" w:bidi="ar"/>
              </w:rPr>
              <w:t>。</w:t>
            </w:r>
            <w:r>
              <w:rPr>
                <w:rFonts w:hint="eastAsia" w:ascii="宋体" w:hAnsi="宋体" w:eastAsia="宋体" w:cs="宋体"/>
                <w:color w:val="000000"/>
                <w:sz w:val="24"/>
                <w:szCs w:val="24"/>
                <w:highlight w:val="none"/>
                <w:lang w:bidi="ar"/>
              </w:rPr>
              <w:t xml:space="preserve"> </w:t>
            </w:r>
          </w:p>
          <w:p w14:paraId="786367CA">
            <w:pPr>
              <w:pStyle w:val="23"/>
              <w:widowControl w:val="0"/>
              <w:adjustRightInd w:val="0"/>
              <w:snapToGrid w:val="0"/>
              <w:spacing w:before="0" w:beforeAutospacing="0" w:after="0" w:afterAutospacing="0"/>
              <w:jc w:val="both"/>
              <w:rPr>
                <w:rFonts w:hint="eastAsia" w:ascii="宋体" w:hAnsi="宋体" w:eastAsia="宋体" w:cs="宋体"/>
                <w:color w:val="000000"/>
                <w:sz w:val="24"/>
                <w:szCs w:val="24"/>
                <w:highlight w:val="none"/>
                <w:lang w:eastAsia="zh" w:bidi="ar"/>
              </w:rPr>
            </w:pPr>
            <w:r>
              <w:rPr>
                <w:rFonts w:hint="eastAsia" w:ascii="宋体" w:hAnsi="宋体" w:eastAsia="宋体" w:cs="宋体"/>
                <w:color w:val="000000"/>
                <w:sz w:val="24"/>
                <w:szCs w:val="24"/>
                <w:highlight w:val="none"/>
                <w:lang w:bidi="ar"/>
              </w:rPr>
              <w:t>（2）供电：9-36VDC ，精度：0.25 级， 线长：8 米</w:t>
            </w:r>
            <w:r>
              <w:rPr>
                <w:rFonts w:hint="eastAsia" w:ascii="宋体" w:hAnsi="宋体" w:eastAsia="宋体" w:cs="宋体"/>
                <w:color w:val="000000"/>
                <w:sz w:val="24"/>
                <w:szCs w:val="24"/>
                <w:highlight w:val="none"/>
                <w:lang w:eastAsia="zh" w:bidi="ar"/>
              </w:rPr>
              <w:t>。</w:t>
            </w:r>
          </w:p>
          <w:p w14:paraId="42814178">
            <w:pPr>
              <w:pStyle w:val="23"/>
              <w:widowControl w:val="0"/>
              <w:adjustRightInd w:val="0"/>
              <w:snapToGrid w:val="0"/>
              <w:spacing w:before="0" w:beforeAutospacing="0" w:after="0" w:afterAutospacing="0"/>
              <w:jc w:val="both"/>
              <w:rPr>
                <w:rFonts w:hint="eastAsia" w:ascii="宋体" w:hAnsi="宋体" w:eastAsia="宋体" w:cs="宋体"/>
                <w:color w:val="000000"/>
                <w:sz w:val="24"/>
                <w:szCs w:val="24"/>
                <w:highlight w:val="none"/>
                <w:lang w:eastAsia="zh" w:bidi="ar"/>
              </w:rPr>
            </w:pPr>
            <w:r>
              <w:rPr>
                <w:rFonts w:hint="eastAsia" w:ascii="宋体" w:hAnsi="宋体" w:eastAsia="宋体" w:cs="宋体"/>
                <w:color w:val="000000"/>
                <w:sz w:val="24"/>
                <w:szCs w:val="24"/>
                <w:highlight w:val="none"/>
                <w:lang w:bidi="ar"/>
              </w:rPr>
              <w:t>（3）易拆装</w:t>
            </w:r>
            <w:r>
              <w:rPr>
                <w:rFonts w:hint="eastAsia" w:ascii="宋体" w:hAnsi="宋体" w:eastAsia="宋体" w:cs="宋体"/>
                <w:color w:val="000000"/>
                <w:sz w:val="24"/>
                <w:szCs w:val="24"/>
                <w:highlight w:val="none"/>
                <w:lang w:eastAsia="zh" w:bidi="ar"/>
              </w:rPr>
              <w:t>。</w:t>
            </w:r>
          </w:p>
          <w:p w14:paraId="7BE98A08">
            <w:pPr>
              <w:pStyle w:val="23"/>
              <w:widowControl w:val="0"/>
              <w:adjustRightInd w:val="0"/>
              <w:snapToGrid w:val="0"/>
              <w:spacing w:before="0" w:beforeAutospacing="0" w:after="0" w:afterAutospacing="0"/>
              <w:jc w:val="both"/>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（4）抗干扰能力强，防雷击</w:t>
            </w:r>
            <w:r>
              <w:rPr>
                <w:rFonts w:hint="eastAsia" w:ascii="宋体" w:hAnsi="宋体" w:eastAsia="宋体" w:cs="宋体"/>
                <w:color w:val="000000"/>
                <w:sz w:val="24"/>
                <w:szCs w:val="24"/>
                <w:highlight w:val="none"/>
                <w:lang w:eastAsia="zh" w:bidi="ar"/>
              </w:rPr>
              <w:t>。</w:t>
            </w:r>
            <w:r>
              <w:rPr>
                <w:rFonts w:hint="eastAsia" w:ascii="宋体" w:hAnsi="宋体" w:eastAsia="宋体" w:cs="宋体"/>
                <w:color w:val="000000"/>
                <w:sz w:val="24"/>
                <w:szCs w:val="24"/>
                <w:highlight w:val="none"/>
                <w:lang w:bidi="ar"/>
              </w:rPr>
              <w:t xml:space="preserve"> </w:t>
            </w:r>
          </w:p>
          <w:p w14:paraId="7D4B85C8">
            <w:pPr>
              <w:pStyle w:val="23"/>
              <w:widowControl w:val="0"/>
              <w:adjustRightInd w:val="0"/>
              <w:snapToGrid w:val="0"/>
              <w:spacing w:before="0" w:beforeAutospacing="0" w:after="0" w:afterAutospacing="0"/>
              <w:jc w:val="both"/>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（5）保护措施多：限流保护、限压保护、反接保护</w:t>
            </w:r>
            <w:r>
              <w:rPr>
                <w:rFonts w:hint="eastAsia" w:ascii="宋体" w:hAnsi="宋体" w:eastAsia="宋体" w:cs="宋体"/>
                <w:color w:val="000000"/>
                <w:sz w:val="24"/>
                <w:szCs w:val="24"/>
                <w:highlight w:val="none"/>
                <w:lang w:eastAsia="zh" w:bidi="ar"/>
              </w:rPr>
              <w:t>。</w:t>
            </w:r>
            <w:r>
              <w:rPr>
                <w:rFonts w:hint="eastAsia" w:ascii="宋体" w:hAnsi="宋体" w:eastAsia="宋体" w:cs="宋体"/>
                <w:color w:val="000000"/>
                <w:sz w:val="24"/>
                <w:szCs w:val="24"/>
                <w:highlight w:val="none"/>
                <w:lang w:bidi="ar"/>
              </w:rPr>
              <w:t xml:space="preserve"> </w:t>
            </w:r>
          </w:p>
          <w:p w14:paraId="5EFFD6AC">
            <w:pPr>
              <w:pStyle w:val="23"/>
              <w:widowControl w:val="0"/>
              <w:adjustRightInd w:val="0"/>
              <w:snapToGrid w:val="0"/>
              <w:spacing w:before="0" w:beforeAutospacing="0" w:after="0" w:afterAutospacing="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bidi="ar"/>
              </w:rPr>
              <w:t>（6）体积小、重量轻、精度高、温度漂移小、响应速度快、耐冲击</w:t>
            </w:r>
            <w:r>
              <w:rPr>
                <w:rFonts w:hint="eastAsia" w:ascii="宋体" w:hAnsi="宋体" w:eastAsia="宋体" w:cs="宋体"/>
                <w:color w:val="000000"/>
                <w:sz w:val="24"/>
                <w:szCs w:val="24"/>
                <w:highlight w:val="none"/>
                <w:lang w:eastAsia="zh" w:bidi="ar"/>
              </w:rPr>
              <w:t>。</w:t>
            </w:r>
            <w:r>
              <w:rPr>
                <w:rFonts w:hint="eastAsia" w:ascii="宋体" w:hAnsi="宋体" w:eastAsia="宋体" w:cs="宋体"/>
                <w:sz w:val="24"/>
                <w:szCs w:val="24"/>
                <w:highlight w:val="none"/>
                <w:lang w:bidi="ar"/>
              </w:rPr>
              <w:t xml:space="preserve"> </w:t>
            </w:r>
          </w:p>
          <w:p w14:paraId="6CDB9B61">
            <w:pPr>
              <w:pStyle w:val="23"/>
              <w:widowControl w:val="0"/>
              <w:adjustRightInd w:val="0"/>
              <w:snapToGrid w:val="0"/>
              <w:spacing w:before="0" w:beforeAutospacing="0" w:after="0" w:afterAutospacing="0"/>
              <w:jc w:val="both"/>
              <w:rPr>
                <w:rFonts w:hint="eastAsia" w:ascii="宋体" w:hAnsi="宋体" w:eastAsia="宋体" w:cs="宋体"/>
                <w:color w:val="000000"/>
                <w:sz w:val="24"/>
                <w:szCs w:val="24"/>
                <w:highlight w:val="none"/>
                <w:lang w:bidi="ar"/>
              </w:rPr>
            </w:pPr>
            <w:r>
              <w:rPr>
                <w:rFonts w:hint="eastAsia" w:ascii="宋体" w:hAnsi="宋体" w:eastAsia="宋体" w:cs="宋体"/>
                <w:b/>
                <w:color w:val="000000"/>
                <w:sz w:val="24"/>
                <w:szCs w:val="24"/>
                <w:highlight w:val="none"/>
                <w:lang w:bidi="ar"/>
              </w:rPr>
              <w:t>4.6 压力变送模块</w:t>
            </w:r>
            <w:r>
              <w:rPr>
                <w:rFonts w:hint="eastAsia" w:ascii="宋体" w:hAnsi="宋体" w:eastAsia="宋体" w:cs="宋体"/>
                <w:color w:val="000000"/>
                <w:sz w:val="24"/>
                <w:szCs w:val="24"/>
                <w:highlight w:val="none"/>
                <w:lang w:bidi="ar"/>
              </w:rPr>
              <w:t xml:space="preserve"> </w:t>
            </w:r>
          </w:p>
          <w:p w14:paraId="75C1A643">
            <w:pPr>
              <w:pStyle w:val="23"/>
              <w:widowControl w:val="0"/>
              <w:adjustRightInd w:val="0"/>
              <w:snapToGrid w:val="0"/>
              <w:spacing w:before="0" w:beforeAutospacing="0" w:after="0" w:afterAutospacing="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bidi="ar"/>
              </w:rPr>
              <w:t>输入通道：7 通道， 4～20mA 通道，供电电压：12VDC。</w:t>
            </w:r>
            <w:r>
              <w:rPr>
                <w:rFonts w:hint="eastAsia" w:ascii="宋体" w:hAnsi="宋体" w:eastAsia="宋体" w:cs="宋体"/>
                <w:sz w:val="24"/>
                <w:szCs w:val="24"/>
                <w:highlight w:val="none"/>
                <w:lang w:bidi="ar"/>
              </w:rPr>
              <w:t xml:space="preserve"> </w:t>
            </w:r>
          </w:p>
          <w:p w14:paraId="3FD9FFA3">
            <w:pPr>
              <w:pStyle w:val="23"/>
              <w:widowControl w:val="0"/>
              <w:adjustRightInd w:val="0"/>
              <w:snapToGrid w:val="0"/>
              <w:spacing w:before="0" w:beforeAutospacing="0" w:after="0" w:afterAutospacing="0"/>
              <w:jc w:val="both"/>
              <w:rPr>
                <w:rFonts w:hint="eastAsia" w:ascii="宋体" w:hAnsi="宋体" w:eastAsia="宋体" w:cs="宋体"/>
                <w:color w:val="000000"/>
                <w:sz w:val="24"/>
                <w:szCs w:val="24"/>
                <w:highlight w:val="none"/>
                <w:lang w:bidi="ar"/>
              </w:rPr>
            </w:pPr>
            <w:r>
              <w:rPr>
                <w:rFonts w:hint="eastAsia" w:ascii="宋体" w:hAnsi="宋体" w:eastAsia="宋体" w:cs="宋体"/>
                <w:b/>
                <w:color w:val="000000"/>
                <w:sz w:val="24"/>
                <w:szCs w:val="24"/>
                <w:highlight w:val="none"/>
                <w:lang w:bidi="ar"/>
              </w:rPr>
              <w:t>4.7 试验专用锂电池</w:t>
            </w:r>
            <w:r>
              <w:rPr>
                <w:rFonts w:hint="eastAsia" w:ascii="宋体" w:hAnsi="宋体" w:eastAsia="宋体" w:cs="宋体"/>
                <w:color w:val="000000"/>
                <w:sz w:val="24"/>
                <w:szCs w:val="24"/>
                <w:highlight w:val="none"/>
                <w:lang w:bidi="ar"/>
              </w:rPr>
              <w:t xml:space="preserve"> </w:t>
            </w:r>
          </w:p>
          <w:p w14:paraId="6A4F87E0">
            <w:pPr>
              <w:pStyle w:val="23"/>
              <w:widowControl w:val="0"/>
              <w:adjustRightInd w:val="0"/>
              <w:snapToGrid w:val="0"/>
              <w:spacing w:before="0" w:beforeAutospacing="0" w:after="0" w:afterAutospacing="0"/>
              <w:jc w:val="both"/>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（1） LCD 显示屏，聚合物电芯，大容量续航持久</w:t>
            </w:r>
            <w:r>
              <w:rPr>
                <w:rFonts w:hint="eastAsia" w:ascii="宋体" w:hAnsi="宋体" w:eastAsia="宋体" w:cs="宋体"/>
                <w:color w:val="000000"/>
                <w:sz w:val="24"/>
                <w:szCs w:val="24"/>
                <w:highlight w:val="none"/>
                <w:lang w:eastAsia="zh" w:bidi="ar"/>
              </w:rPr>
              <w:t>。</w:t>
            </w:r>
            <w:r>
              <w:rPr>
                <w:rFonts w:hint="eastAsia" w:ascii="宋体" w:hAnsi="宋体" w:eastAsia="宋体" w:cs="宋体"/>
                <w:color w:val="000000"/>
                <w:sz w:val="24"/>
                <w:szCs w:val="24"/>
                <w:highlight w:val="none"/>
                <w:lang w:bidi="ar"/>
              </w:rPr>
              <w:t xml:space="preserve"> </w:t>
            </w:r>
          </w:p>
          <w:p w14:paraId="38EE6213">
            <w:pPr>
              <w:pStyle w:val="23"/>
              <w:widowControl w:val="0"/>
              <w:adjustRightInd w:val="0"/>
              <w:snapToGrid w:val="0"/>
              <w:spacing w:before="0" w:beforeAutospacing="0" w:after="0" w:afterAutospacing="0"/>
              <w:jc w:val="both"/>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（2）安全 A+级，具有过冲、过放、过功率、过流、过压、温度、短路等保护</w:t>
            </w:r>
            <w:r>
              <w:rPr>
                <w:rFonts w:hint="eastAsia" w:ascii="宋体" w:hAnsi="宋体" w:eastAsia="宋体" w:cs="宋体"/>
                <w:color w:val="000000"/>
                <w:sz w:val="24"/>
                <w:szCs w:val="24"/>
                <w:highlight w:val="none"/>
                <w:lang w:eastAsia="zh" w:bidi="ar"/>
              </w:rPr>
              <w:t>。</w:t>
            </w:r>
            <w:r>
              <w:rPr>
                <w:rFonts w:hint="eastAsia" w:ascii="宋体" w:hAnsi="宋体" w:eastAsia="宋体" w:cs="宋体"/>
                <w:color w:val="000000"/>
                <w:sz w:val="24"/>
                <w:szCs w:val="24"/>
                <w:highlight w:val="none"/>
                <w:lang w:bidi="ar"/>
              </w:rPr>
              <w:t xml:space="preserve"> </w:t>
            </w:r>
          </w:p>
          <w:p w14:paraId="4A73902A">
            <w:pPr>
              <w:pStyle w:val="23"/>
              <w:widowControl w:val="0"/>
              <w:adjustRightInd w:val="0"/>
              <w:snapToGrid w:val="0"/>
              <w:spacing w:before="0" w:beforeAutospacing="0" w:after="0" w:afterAutospacing="0"/>
              <w:jc w:val="both"/>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（3）支持百分比精准数显，输出电压： 12VCD</w:t>
            </w:r>
            <w:r>
              <w:rPr>
                <w:rFonts w:hint="eastAsia" w:ascii="宋体" w:hAnsi="宋体" w:eastAsia="宋体" w:cs="宋体"/>
                <w:color w:val="000000"/>
                <w:sz w:val="24"/>
                <w:szCs w:val="24"/>
                <w:highlight w:val="none"/>
                <w:lang w:eastAsia="zh" w:bidi="ar"/>
              </w:rPr>
              <w:t>。</w:t>
            </w:r>
            <w:r>
              <w:rPr>
                <w:rFonts w:hint="eastAsia" w:ascii="宋体" w:hAnsi="宋体" w:eastAsia="宋体" w:cs="宋体"/>
                <w:color w:val="000000"/>
                <w:sz w:val="24"/>
                <w:szCs w:val="24"/>
                <w:highlight w:val="none"/>
                <w:lang w:bidi="ar"/>
              </w:rPr>
              <w:t xml:space="preserve"> </w:t>
            </w:r>
          </w:p>
          <w:p w14:paraId="58D19637">
            <w:pPr>
              <w:pStyle w:val="23"/>
              <w:widowControl w:val="0"/>
              <w:adjustRightInd w:val="0"/>
              <w:snapToGrid w:val="0"/>
              <w:spacing w:before="0" w:beforeAutospacing="0" w:after="0" w:afterAutospacing="0"/>
              <w:jc w:val="both"/>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（4）双 USB 输出口</w:t>
            </w:r>
            <w:r>
              <w:rPr>
                <w:rFonts w:hint="eastAsia" w:ascii="宋体" w:hAnsi="宋体" w:eastAsia="宋体" w:cs="宋体"/>
                <w:color w:val="000000"/>
                <w:sz w:val="24"/>
                <w:szCs w:val="24"/>
                <w:highlight w:val="none"/>
                <w:lang w:eastAsia="zh" w:bidi="ar"/>
              </w:rPr>
              <w:t>。</w:t>
            </w:r>
            <w:r>
              <w:rPr>
                <w:rFonts w:hint="eastAsia" w:ascii="宋体" w:hAnsi="宋体" w:eastAsia="宋体" w:cs="宋体"/>
                <w:color w:val="000000"/>
                <w:sz w:val="24"/>
                <w:szCs w:val="24"/>
                <w:highlight w:val="none"/>
                <w:lang w:bidi="ar"/>
              </w:rPr>
              <w:t xml:space="preserve"> </w:t>
            </w:r>
          </w:p>
          <w:p w14:paraId="013FAB46">
            <w:pPr>
              <w:pStyle w:val="23"/>
              <w:widowControl w:val="0"/>
              <w:adjustRightInd w:val="0"/>
              <w:snapToGrid w:val="0"/>
              <w:spacing w:before="0" w:beforeAutospacing="0" w:after="0" w:afterAutospacing="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bidi="ar"/>
              </w:rPr>
              <w:t>（5）电芯容量： 32000mAh/118.4Wh。</w:t>
            </w:r>
          </w:p>
          <w:p w14:paraId="49196676">
            <w:pPr>
              <w:pStyle w:val="23"/>
              <w:widowControl w:val="0"/>
              <w:adjustRightInd w:val="0"/>
              <w:snapToGrid w:val="0"/>
              <w:spacing w:before="0" w:beforeAutospacing="0" w:after="0" w:afterAutospacing="0"/>
              <w:jc w:val="both"/>
              <w:rPr>
                <w:rFonts w:hint="eastAsia" w:ascii="宋体" w:hAnsi="宋体" w:eastAsia="宋体" w:cs="宋体"/>
                <w:b/>
                <w:sz w:val="24"/>
                <w:szCs w:val="24"/>
                <w:highlight w:val="none"/>
              </w:rPr>
            </w:pPr>
            <w:r>
              <w:rPr>
                <w:rFonts w:hint="eastAsia" w:ascii="宋体" w:hAnsi="宋体" w:eastAsia="宋体" w:cs="宋体"/>
                <w:b/>
                <w:color w:val="000000"/>
                <w:sz w:val="24"/>
                <w:szCs w:val="24"/>
                <w:highlight w:val="none"/>
                <w:lang w:bidi="ar"/>
              </w:rPr>
              <w:t>4.9 数据处理器（电脑）</w:t>
            </w:r>
          </w:p>
          <w:p w14:paraId="1C1C65CA">
            <w:pPr>
              <w:pStyle w:val="23"/>
              <w:widowControl w:val="0"/>
              <w:adjustRightInd w:val="0"/>
              <w:snapToGrid w:val="0"/>
              <w:spacing w:before="0" w:beforeAutospacing="0" w:after="0" w:afterAutospacing="0"/>
              <w:jc w:val="both"/>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（1）15.6英寸屏幕显示，屏幕色彩100%sRGB（典型值），400nits，90%屏占比，智能亮度</w:t>
            </w:r>
            <w:r>
              <w:rPr>
                <w:rFonts w:hint="eastAsia" w:ascii="宋体" w:hAnsi="宋体" w:eastAsia="宋体" w:cs="宋体"/>
                <w:color w:val="000000"/>
                <w:sz w:val="24"/>
                <w:szCs w:val="24"/>
                <w:highlight w:val="none"/>
                <w:lang w:eastAsia="zh" w:bidi="ar"/>
              </w:rPr>
              <w:t>。</w:t>
            </w:r>
          </w:p>
          <w:p w14:paraId="34595583">
            <w:pPr>
              <w:pStyle w:val="23"/>
              <w:widowControl w:val="0"/>
              <w:adjustRightInd w:val="0"/>
              <w:snapToGrid w:val="0"/>
              <w:spacing w:before="0" w:beforeAutospacing="0" w:after="0" w:afterAutospacing="0"/>
              <w:jc w:val="both"/>
              <w:rPr>
                <w:rFonts w:hint="eastAsia" w:ascii="宋体" w:hAnsi="宋体" w:eastAsia="宋体" w:cs="宋体"/>
                <w:color w:val="000000"/>
                <w:sz w:val="24"/>
                <w:szCs w:val="24"/>
                <w:highlight w:val="none"/>
                <w:lang w:eastAsia="zh" w:bidi="ar"/>
              </w:rPr>
            </w:pPr>
            <w:r>
              <w:rPr>
                <w:rFonts w:hint="eastAsia" w:ascii="宋体" w:hAnsi="宋体" w:eastAsia="宋体" w:cs="宋体"/>
                <w:color w:val="000000"/>
                <w:sz w:val="24"/>
                <w:szCs w:val="24"/>
                <w:highlight w:val="none"/>
                <w:lang w:eastAsia="zh" w:bidi="ar"/>
              </w:rPr>
              <w:t>（2）</w:t>
            </w:r>
            <w:r>
              <w:rPr>
                <w:rFonts w:hint="eastAsia" w:ascii="宋体" w:hAnsi="宋体" w:eastAsia="宋体" w:cs="宋体"/>
                <w:color w:val="000000"/>
                <w:sz w:val="24"/>
                <w:szCs w:val="24"/>
                <w:highlight w:val="none"/>
                <w:lang w:bidi="ar"/>
              </w:rPr>
              <w:t>运行内存32GB，SSD 固态硬盘存储容量：1TB</w:t>
            </w:r>
            <w:r>
              <w:rPr>
                <w:rFonts w:hint="eastAsia" w:ascii="宋体" w:hAnsi="宋体" w:eastAsia="宋体" w:cs="宋体"/>
                <w:color w:val="000000"/>
                <w:sz w:val="24"/>
                <w:szCs w:val="24"/>
                <w:highlight w:val="none"/>
                <w:lang w:eastAsia="zh" w:bidi="ar"/>
              </w:rPr>
              <w:t>。</w:t>
            </w:r>
          </w:p>
          <w:p w14:paraId="3E2DDF12">
            <w:pPr>
              <w:pStyle w:val="23"/>
              <w:widowControl w:val="0"/>
              <w:adjustRightInd w:val="0"/>
              <w:snapToGrid w:val="0"/>
              <w:spacing w:before="0" w:beforeAutospacing="0" w:after="0" w:afterAutospacing="0"/>
              <w:jc w:val="both"/>
              <w:rPr>
                <w:rFonts w:hint="eastAsia" w:ascii="宋体" w:hAnsi="宋体" w:eastAsia="宋体" w:cs="宋体"/>
                <w:color w:val="000000"/>
                <w:sz w:val="24"/>
                <w:szCs w:val="24"/>
                <w:highlight w:val="none"/>
                <w:lang w:bidi="ar"/>
              </w:rPr>
            </w:pPr>
            <w:r>
              <w:rPr>
                <w:rFonts w:hint="eastAsia" w:ascii="宋体" w:hAnsi="宋体" w:eastAsia="宋体" w:cs="宋体"/>
                <w:sz w:val="24"/>
                <w:szCs w:val="24"/>
                <w:highlight w:val="none"/>
              </w:rPr>
              <w:t>（3）</w:t>
            </w:r>
            <w:r>
              <w:rPr>
                <w:rFonts w:hint="eastAsia" w:ascii="宋体" w:hAnsi="宋体" w:eastAsia="宋体" w:cs="宋体"/>
                <w:color w:val="000000"/>
                <w:sz w:val="24"/>
                <w:szCs w:val="24"/>
                <w:highlight w:val="none"/>
                <w:lang w:bidi="ar"/>
              </w:rPr>
              <w:t>WIN10-11 操作系统，试验电池容量 56Wh（额定容量）。</w:t>
            </w:r>
          </w:p>
          <w:p w14:paraId="56F3C56A">
            <w:pPr>
              <w:pStyle w:val="23"/>
              <w:widowControl w:val="0"/>
              <w:adjustRightInd w:val="0"/>
              <w:snapToGrid w:val="0"/>
              <w:spacing w:before="0" w:beforeAutospacing="0" w:after="0" w:afterAutospacing="0"/>
              <w:jc w:val="both"/>
              <w:rPr>
                <w:rFonts w:hint="eastAsia" w:ascii="宋体" w:hAnsi="宋体" w:eastAsia="宋体" w:cs="宋体"/>
                <w:sz w:val="24"/>
                <w:szCs w:val="24"/>
                <w:highlight w:val="none"/>
              </w:rPr>
            </w:pPr>
          </w:p>
          <w:p w14:paraId="595C3684">
            <w:pPr>
              <w:pStyle w:val="23"/>
              <w:widowControl w:val="0"/>
              <w:adjustRightInd w:val="0"/>
              <w:snapToGrid w:val="0"/>
              <w:spacing w:before="0" w:beforeAutospacing="0" w:after="0" w:afterAutospacing="0"/>
              <w:jc w:val="both"/>
              <w:rPr>
                <w:rFonts w:hint="eastAsia" w:ascii="宋体" w:hAnsi="宋体" w:eastAsia="宋体" w:cs="宋体"/>
                <w:b/>
                <w:color w:val="000000"/>
                <w:kern w:val="2"/>
                <w:sz w:val="24"/>
                <w:szCs w:val="24"/>
                <w:highlight w:val="none"/>
              </w:rPr>
            </w:pPr>
            <w:r>
              <w:rPr>
                <w:rFonts w:hint="eastAsia" w:ascii="宋体" w:hAnsi="宋体" w:eastAsia="宋体" w:cs="宋体"/>
                <w:b/>
                <w:color w:val="000000"/>
                <w:kern w:val="2"/>
                <w:sz w:val="24"/>
                <w:szCs w:val="24"/>
                <w:highlight w:val="none"/>
                <w:lang w:bidi="ar"/>
              </w:rPr>
              <w:t>五、汽车整车道路性能测试分析系统特点</w:t>
            </w:r>
          </w:p>
          <w:p w14:paraId="031E8507">
            <w:pPr>
              <w:pStyle w:val="23"/>
              <w:widowControl w:val="0"/>
              <w:adjustRightInd w:val="0"/>
              <w:snapToGrid w:val="0"/>
              <w:spacing w:before="0" w:beforeAutospacing="0" w:after="0" w:afterAutospacing="0"/>
              <w:jc w:val="both"/>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（1）包含数据采集软件和数据分析软件，满足相关国标试验要求</w:t>
            </w:r>
            <w:r>
              <w:rPr>
                <w:rFonts w:hint="eastAsia" w:ascii="宋体" w:hAnsi="宋体" w:eastAsia="宋体" w:cs="宋体"/>
                <w:color w:val="000000"/>
                <w:sz w:val="24"/>
                <w:szCs w:val="24"/>
                <w:highlight w:val="none"/>
                <w:lang w:eastAsia="zh" w:bidi="ar"/>
              </w:rPr>
              <w:t>。</w:t>
            </w:r>
          </w:p>
          <w:p w14:paraId="5182B31E">
            <w:pPr>
              <w:pStyle w:val="23"/>
              <w:widowControl w:val="0"/>
              <w:adjustRightInd w:val="0"/>
              <w:snapToGrid w:val="0"/>
              <w:spacing w:before="0" w:beforeAutospacing="0" w:after="0" w:afterAutospacing="0"/>
              <w:jc w:val="both"/>
              <w:rPr>
                <w:rFonts w:hint="eastAsia" w:ascii="宋体" w:hAnsi="宋体" w:eastAsia="宋体" w:cs="宋体"/>
                <w:sz w:val="24"/>
                <w:szCs w:val="24"/>
                <w:highlight w:val="none"/>
                <w:lang w:eastAsia="zh"/>
              </w:rPr>
            </w:pPr>
            <w:r>
              <w:rPr>
                <w:rFonts w:hint="eastAsia" w:ascii="宋体" w:hAnsi="宋体" w:eastAsia="宋体" w:cs="宋体"/>
                <w:color w:val="000000"/>
                <w:sz w:val="24"/>
                <w:szCs w:val="24"/>
                <w:highlight w:val="none"/>
                <w:lang w:bidi="ar"/>
              </w:rPr>
              <w:t>（2）采用车载加厚铝合金机箱和原装镀金连接插座，确保连接可靠性</w:t>
            </w:r>
            <w:r>
              <w:rPr>
                <w:rFonts w:hint="eastAsia" w:ascii="宋体" w:hAnsi="宋体" w:eastAsia="宋体" w:cs="宋体"/>
                <w:color w:val="000000"/>
                <w:sz w:val="24"/>
                <w:szCs w:val="24"/>
                <w:highlight w:val="none"/>
                <w:lang w:eastAsia="zh" w:bidi="ar"/>
              </w:rPr>
              <w:t>。</w:t>
            </w:r>
          </w:p>
          <w:p w14:paraId="5310394D">
            <w:pPr>
              <w:pStyle w:val="23"/>
              <w:widowControl w:val="0"/>
              <w:adjustRightInd w:val="0"/>
              <w:snapToGrid w:val="0"/>
              <w:spacing w:before="0" w:beforeAutospacing="0" w:after="0" w:afterAutospacing="0"/>
              <w:jc w:val="both"/>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（3）多种硬件电路完成的试验开始、试验结束触发条件，减少触发延时误差（软件触发会带来较大的测量误差，特别是制动试验）</w:t>
            </w:r>
            <w:r>
              <w:rPr>
                <w:rFonts w:hint="eastAsia" w:ascii="宋体" w:hAnsi="宋体" w:eastAsia="宋体" w:cs="宋体"/>
                <w:color w:val="000000"/>
                <w:sz w:val="24"/>
                <w:szCs w:val="24"/>
                <w:highlight w:val="none"/>
                <w:lang w:eastAsia="zh" w:bidi="ar"/>
              </w:rPr>
              <w:t>。</w:t>
            </w:r>
            <w:r>
              <w:rPr>
                <w:rFonts w:hint="eastAsia" w:ascii="宋体" w:hAnsi="宋体" w:eastAsia="宋体" w:cs="宋体"/>
                <w:color w:val="000000"/>
                <w:sz w:val="24"/>
                <w:szCs w:val="24"/>
                <w:highlight w:val="none"/>
                <w:lang w:bidi="ar"/>
              </w:rPr>
              <w:t xml:space="preserve"> </w:t>
            </w:r>
          </w:p>
          <w:p w14:paraId="013767B5">
            <w:pPr>
              <w:pStyle w:val="23"/>
              <w:widowControl w:val="0"/>
              <w:adjustRightInd w:val="0"/>
              <w:snapToGrid w:val="0"/>
              <w:spacing w:before="0" w:beforeAutospacing="0" w:after="0" w:afterAutospacing="0"/>
              <w:jc w:val="both"/>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 xml:space="preserve">（4）软件设计充分考虑车载振动工况，中文界面，数字和曲线显示醒目，试验过程一键操作（空格键），可以不用鼠标。 </w:t>
            </w:r>
          </w:p>
          <w:p w14:paraId="4EB6668A">
            <w:pPr>
              <w:pStyle w:val="23"/>
              <w:widowControl w:val="0"/>
              <w:adjustRightInd w:val="0"/>
              <w:snapToGrid w:val="0"/>
              <w:spacing w:before="0" w:beforeAutospacing="0" w:after="0" w:afterAutospacing="0"/>
              <w:jc w:val="both"/>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（5）试验参数配置定制管理功能，可将常用的针对不同试验项目的试验配置保存起来，方便以后直接调用</w:t>
            </w:r>
            <w:r>
              <w:rPr>
                <w:rFonts w:hint="eastAsia" w:ascii="宋体" w:hAnsi="宋体" w:eastAsia="宋体" w:cs="宋体"/>
                <w:color w:val="000000"/>
                <w:sz w:val="24"/>
                <w:szCs w:val="24"/>
                <w:highlight w:val="none"/>
                <w:lang w:eastAsia="zh" w:bidi="ar"/>
              </w:rPr>
              <w:t>。</w:t>
            </w:r>
            <w:r>
              <w:rPr>
                <w:rFonts w:hint="eastAsia" w:ascii="宋体" w:hAnsi="宋体" w:eastAsia="宋体" w:cs="宋体"/>
                <w:color w:val="000000"/>
                <w:sz w:val="24"/>
                <w:szCs w:val="24"/>
                <w:highlight w:val="none"/>
                <w:lang w:bidi="ar"/>
              </w:rPr>
              <w:t xml:space="preserve"> </w:t>
            </w:r>
          </w:p>
          <w:p w14:paraId="1F501516">
            <w:pPr>
              <w:pStyle w:val="23"/>
              <w:widowControl w:val="0"/>
              <w:adjustRightInd w:val="0"/>
              <w:snapToGrid w:val="0"/>
              <w:spacing w:before="0" w:beforeAutospacing="0" w:after="0" w:afterAutospacing="0"/>
              <w:jc w:val="both"/>
              <w:rPr>
                <w:rFonts w:hint="eastAsia" w:ascii="宋体" w:hAnsi="宋体" w:eastAsia="宋体" w:cs="宋体"/>
                <w:color w:val="000000"/>
                <w:sz w:val="24"/>
                <w:szCs w:val="24"/>
                <w:highlight w:val="none"/>
                <w:lang w:eastAsia="zh" w:bidi="ar"/>
              </w:rPr>
            </w:pPr>
            <w:r>
              <w:rPr>
                <w:rFonts w:hint="eastAsia" w:ascii="宋体" w:hAnsi="宋体" w:eastAsia="宋体" w:cs="宋体"/>
                <w:color w:val="000000"/>
                <w:sz w:val="24"/>
                <w:szCs w:val="24"/>
                <w:highlight w:val="none"/>
                <w:lang w:bidi="ar"/>
              </w:rPr>
              <w:t>（6）试验过程控制方便简单，一键完成，适用于车辆动态环境操作</w:t>
            </w:r>
            <w:r>
              <w:rPr>
                <w:rFonts w:hint="eastAsia" w:ascii="宋体" w:hAnsi="宋体" w:eastAsia="宋体" w:cs="宋体"/>
                <w:color w:val="000000"/>
                <w:sz w:val="24"/>
                <w:szCs w:val="24"/>
                <w:highlight w:val="none"/>
                <w:lang w:eastAsia="zh" w:bidi="ar"/>
              </w:rPr>
              <w:t>。</w:t>
            </w:r>
          </w:p>
          <w:p w14:paraId="1E443606">
            <w:pPr>
              <w:pStyle w:val="23"/>
              <w:widowControl w:val="0"/>
              <w:adjustRightInd w:val="0"/>
              <w:snapToGrid w:val="0"/>
              <w:spacing w:before="0" w:beforeAutospacing="0" w:after="0" w:afterAutospacing="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bidi="ar"/>
              </w:rPr>
              <w:t>（7）所有数据、曲线都可以输出到剪贴板、文本文件或打印机。</w:t>
            </w:r>
          </w:p>
          <w:p w14:paraId="6D61B824">
            <w:pPr>
              <w:widowControl/>
              <w:adjustRightInd w:val="0"/>
              <w:snapToGrid w:val="0"/>
              <w:jc w:val="left"/>
              <w:rPr>
                <w:rFonts w:hint="eastAsia" w:ascii="宋体" w:hAnsi="宋体" w:eastAsia="宋体" w:cs="宋体"/>
                <w:color w:val="000000"/>
                <w:sz w:val="24"/>
                <w:szCs w:val="24"/>
                <w:highlight w:val="none"/>
                <w:lang w:bidi="ar"/>
              </w:rPr>
            </w:pPr>
            <w:r>
              <w:rPr>
                <w:rFonts w:hint="eastAsia" w:ascii="宋体" w:hAnsi="宋体" w:eastAsia="宋体" w:cs="宋体"/>
                <w:b/>
                <w:color w:val="000000"/>
                <w:sz w:val="24"/>
                <w:szCs w:val="24"/>
                <w:highlight w:val="none"/>
                <w:lang w:bidi="ar"/>
              </w:rPr>
              <w:t>六、技术培训与服务承诺</w:t>
            </w:r>
            <w:r>
              <w:rPr>
                <w:rFonts w:hint="eastAsia" w:ascii="宋体" w:hAnsi="宋体" w:eastAsia="宋体" w:cs="宋体"/>
                <w:color w:val="000000"/>
                <w:sz w:val="24"/>
                <w:szCs w:val="24"/>
                <w:highlight w:val="none"/>
                <w:lang w:bidi="ar"/>
              </w:rPr>
              <w:t xml:space="preserve"> </w:t>
            </w:r>
          </w:p>
          <w:p w14:paraId="26118949">
            <w:pPr>
              <w:widowControl/>
              <w:adjustRightInd w:val="0"/>
              <w:snapToGrid w:val="0"/>
              <w:jc w:val="left"/>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 xml:space="preserve">（1）产品安装调试结束后，对操作人员进行全面的免费技术培训。 </w:t>
            </w:r>
          </w:p>
          <w:p w14:paraId="20B576F7">
            <w:pPr>
              <w:widowControl/>
              <w:adjustRightInd w:val="0"/>
              <w:snapToGrid w:val="0"/>
              <w:jc w:val="left"/>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 xml:space="preserve">（2）协助完成试验操作。 </w:t>
            </w:r>
          </w:p>
          <w:p w14:paraId="77783BEB">
            <w:pPr>
              <w:widowControl/>
              <w:adjustRightInd w:val="0"/>
              <w:snapToGrid w:val="0"/>
              <w:jc w:val="left"/>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 xml:space="preserve">（3）设备自验收合格之日起质保期1年。在此期间，无偿提供设备故障维修（非人为）、技术服务以及软件升级。 </w:t>
            </w:r>
          </w:p>
          <w:p w14:paraId="7256044A">
            <w:pPr>
              <w:widowControl/>
              <w:adjustRightInd w:val="0"/>
              <w:snapToGrid w:val="0"/>
              <w:jc w:val="left"/>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 xml:space="preserve">（4）在保修期内，如遇设备故障，要求2小时内做出响应， 4 小时内给出解决方案，36小时内派专业技术人员到现场进行处理，3个工作日排除故障并提供一切备品配件，对非人为造成的各类零件损坏，及时免费更换。 </w:t>
            </w:r>
          </w:p>
          <w:p w14:paraId="28F05BC1">
            <w:pPr>
              <w:widowControl/>
              <w:adjustRightInd w:val="0"/>
              <w:snapToGrid w:val="0"/>
              <w:jc w:val="left"/>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（5）保修期满后，对系统进行终身维护，对设备故障进行技术解答，必要时到现场予以处理。需更换备品备件时，以最优惠的价格和最快的速度提供给客户。</w:t>
            </w:r>
          </w:p>
          <w:p w14:paraId="1CEB4B28">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lang w:bidi="ar"/>
              </w:rPr>
              <w:t>（6）如果开发出新版本的软件，免费为客户升级到最新版本。</w:t>
            </w:r>
          </w:p>
        </w:tc>
        <w:tc>
          <w:tcPr>
            <w:tcW w:w="530" w:type="dxa"/>
            <w:tcBorders>
              <w:top w:val="single" w:color="auto" w:sz="4" w:space="0"/>
              <w:left w:val="nil"/>
              <w:bottom w:val="single" w:color="auto" w:sz="4" w:space="0"/>
              <w:right w:val="single" w:color="auto" w:sz="4" w:space="0"/>
            </w:tcBorders>
            <w:noWrap w:val="0"/>
            <w:vAlign w:val="center"/>
          </w:tcPr>
          <w:p w14:paraId="0D39F5D2">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套</w:t>
            </w:r>
          </w:p>
        </w:tc>
        <w:tc>
          <w:tcPr>
            <w:tcW w:w="457" w:type="dxa"/>
            <w:tcBorders>
              <w:top w:val="single" w:color="auto" w:sz="4" w:space="0"/>
              <w:left w:val="nil"/>
              <w:bottom w:val="single" w:color="auto" w:sz="4" w:space="0"/>
              <w:right w:val="single" w:color="auto" w:sz="4" w:space="0"/>
            </w:tcBorders>
            <w:noWrap w:val="0"/>
            <w:vAlign w:val="center"/>
          </w:tcPr>
          <w:p w14:paraId="7CA847D6">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r>
      <w:tr w14:paraId="465B89F8">
        <w:tblPrEx>
          <w:tblCellMar>
            <w:top w:w="0" w:type="dxa"/>
            <w:left w:w="108" w:type="dxa"/>
            <w:bottom w:w="0" w:type="dxa"/>
            <w:right w:w="108" w:type="dxa"/>
          </w:tblCellMar>
        </w:tblPrEx>
        <w:trPr>
          <w:trHeight w:val="864" w:hRule="atLeast"/>
          <w:jc w:val="center"/>
        </w:trPr>
        <w:tc>
          <w:tcPr>
            <w:tcW w:w="755" w:type="dxa"/>
            <w:tcBorders>
              <w:top w:val="nil"/>
              <w:left w:val="single" w:color="auto" w:sz="4" w:space="0"/>
              <w:bottom w:val="single" w:color="auto" w:sz="4" w:space="0"/>
              <w:right w:val="single" w:color="auto" w:sz="4" w:space="0"/>
            </w:tcBorders>
            <w:noWrap/>
            <w:vAlign w:val="center"/>
          </w:tcPr>
          <w:p w14:paraId="0FAD56A9">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12</w:t>
            </w:r>
          </w:p>
        </w:tc>
        <w:tc>
          <w:tcPr>
            <w:tcW w:w="705" w:type="dxa"/>
            <w:tcBorders>
              <w:top w:val="nil"/>
              <w:left w:val="nil"/>
              <w:bottom w:val="single" w:color="auto" w:sz="4" w:space="0"/>
              <w:right w:val="single" w:color="auto" w:sz="4" w:space="0"/>
            </w:tcBorders>
            <w:noWrap w:val="0"/>
            <w:vAlign w:val="center"/>
          </w:tcPr>
          <w:p w14:paraId="2C2353AB">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汽车电耗测试系统</w:t>
            </w:r>
          </w:p>
        </w:tc>
        <w:tc>
          <w:tcPr>
            <w:tcW w:w="7063" w:type="dxa"/>
            <w:tcBorders>
              <w:top w:val="nil"/>
              <w:left w:val="nil"/>
              <w:bottom w:val="single" w:color="auto" w:sz="4" w:space="0"/>
              <w:right w:val="single" w:color="auto" w:sz="4" w:space="0"/>
            </w:tcBorders>
            <w:noWrap w:val="0"/>
            <w:vAlign w:val="center"/>
          </w:tcPr>
          <w:p w14:paraId="1E00986C">
            <w:pPr>
              <w:widowControl/>
              <w:adjustRightInd w:val="0"/>
              <w:snapToGrid w:val="0"/>
              <w:ind w:firstLine="480" w:firstLineChars="200"/>
              <w:jc w:val="left"/>
              <w:rPr>
                <w:rFonts w:hint="eastAsia" w:ascii="宋体" w:hAnsi="宋体" w:eastAsia="宋体" w:cs="宋体"/>
                <w:color w:val="000000"/>
                <w:kern w:val="0"/>
                <w:sz w:val="24"/>
                <w:szCs w:val="24"/>
                <w:highlight w:val="none"/>
                <w:lang w:eastAsia="zh-Hans"/>
              </w:rPr>
            </w:pPr>
            <w:r>
              <w:rPr>
                <w:rFonts w:hint="eastAsia" w:ascii="宋体" w:hAnsi="宋体" w:eastAsia="宋体" w:cs="宋体"/>
                <w:color w:val="000000"/>
                <w:kern w:val="0"/>
                <w:sz w:val="24"/>
                <w:szCs w:val="24"/>
                <w:highlight w:val="none"/>
                <w:lang w:eastAsia="zh-Hans"/>
              </w:rPr>
              <w:t>新能源电动汽车（电动汽车）需要实时检测电机的能量和动力电池的能量输出时的电流和电压变化。可采集单路电压、电流、瞬时功率和电能消耗的数据采集器，要通讯接口丰富，支持模拟量电压输出，搭配高亮超宽视角 OLED 显示屏，可实时采集与分析试验数据。</w:t>
            </w:r>
          </w:p>
          <w:p w14:paraId="6BDE978F">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lang w:eastAsia="zh-Hans"/>
              </w:rPr>
              <w:t>主要技术参数与硬件</w:t>
            </w:r>
            <w:r>
              <w:rPr>
                <w:rFonts w:hint="eastAsia" w:ascii="宋体" w:hAnsi="宋体" w:eastAsia="宋体" w:cs="宋体"/>
                <w:b/>
                <w:bCs/>
                <w:color w:val="000000"/>
                <w:kern w:val="0"/>
                <w:sz w:val="24"/>
                <w:szCs w:val="24"/>
                <w:highlight w:val="none"/>
              </w:rPr>
              <w:t>：</w:t>
            </w:r>
          </w:p>
          <w:p w14:paraId="70651A7F">
            <w:pPr>
              <w:widowControl/>
              <w:adjustRightInd w:val="0"/>
              <w:snapToGrid w:val="0"/>
              <w:jc w:val="left"/>
              <w:rPr>
                <w:rFonts w:hint="eastAsia" w:ascii="宋体" w:hAnsi="宋体" w:eastAsia="宋体" w:cs="宋体"/>
                <w:color w:val="000000"/>
                <w:kern w:val="0"/>
                <w:sz w:val="24"/>
                <w:szCs w:val="24"/>
                <w:highlight w:val="none"/>
                <w:lang w:eastAsia="zh-Hans"/>
              </w:rPr>
            </w:pPr>
            <w:r>
              <w:rPr>
                <w:rFonts w:hint="eastAsia" w:ascii="宋体" w:hAnsi="宋体" w:eastAsia="宋体" w:cs="宋体"/>
                <w:color w:val="000000"/>
                <w:kern w:val="0"/>
                <w:sz w:val="24"/>
                <w:szCs w:val="24"/>
                <w:highlight w:val="none"/>
                <w:lang w:eastAsia="zh-Hans"/>
              </w:rPr>
              <w:t>1. 电压测量： 量程： 0～1000VDC</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lang w:eastAsia="zh-Hans"/>
              </w:rPr>
              <w:t>精度：±1.0%</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lang w:eastAsia="zh-Hans"/>
              </w:rPr>
              <w:t>分辨率： 0.001V。</w:t>
            </w:r>
          </w:p>
          <w:p w14:paraId="7BDD4D63">
            <w:pPr>
              <w:widowControl/>
              <w:adjustRightInd w:val="0"/>
              <w:snapToGrid w:val="0"/>
              <w:jc w:val="left"/>
              <w:rPr>
                <w:rFonts w:hint="eastAsia" w:ascii="宋体" w:hAnsi="宋体" w:eastAsia="宋体" w:cs="宋体"/>
                <w:color w:val="000000"/>
                <w:kern w:val="0"/>
                <w:sz w:val="24"/>
                <w:szCs w:val="24"/>
                <w:highlight w:val="none"/>
                <w:lang w:eastAsia="zh-Hans"/>
              </w:rPr>
            </w:pPr>
            <w:r>
              <w:rPr>
                <w:rFonts w:hint="eastAsia" w:ascii="宋体" w:hAnsi="宋体" w:eastAsia="宋体" w:cs="宋体"/>
                <w:color w:val="000000"/>
                <w:kern w:val="0"/>
                <w:sz w:val="24"/>
                <w:szCs w:val="24"/>
                <w:highlight w:val="none"/>
                <w:lang w:eastAsia="zh-Hans"/>
              </w:rPr>
              <w:t>2. 电流测量： 量程：±500ADC</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lang w:eastAsia="zh-Hans"/>
              </w:rPr>
              <w:t>精度：±1.0%</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lang w:eastAsia="zh-Hans"/>
              </w:rPr>
              <w:t xml:space="preserve">分辨率： 0.001A。 </w:t>
            </w:r>
          </w:p>
          <w:p w14:paraId="06FBDF76">
            <w:pPr>
              <w:widowControl/>
              <w:adjustRightInd w:val="0"/>
              <w:snapToGrid w:val="0"/>
              <w:jc w:val="left"/>
              <w:rPr>
                <w:rFonts w:hint="eastAsia" w:ascii="宋体" w:hAnsi="宋体" w:eastAsia="宋体" w:cs="宋体"/>
                <w:color w:val="000000"/>
                <w:kern w:val="0"/>
                <w:sz w:val="24"/>
                <w:szCs w:val="24"/>
                <w:highlight w:val="none"/>
                <w:lang w:eastAsia="zh-Hans"/>
              </w:rPr>
            </w:pPr>
            <w:r>
              <w:rPr>
                <w:rFonts w:hint="eastAsia" w:ascii="宋体" w:hAnsi="宋体" w:eastAsia="宋体" w:cs="宋体"/>
                <w:color w:val="000000"/>
                <w:kern w:val="0"/>
                <w:sz w:val="24"/>
                <w:szCs w:val="24"/>
                <w:highlight w:val="none"/>
                <w:lang w:eastAsia="zh-Hans"/>
              </w:rPr>
              <w:t>3. 电能测量： 量程： 0～500kWh</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lang w:eastAsia="zh-Hans"/>
              </w:rPr>
              <w:t>精度：±1.0% FS</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lang w:eastAsia="zh-Hans"/>
              </w:rPr>
              <w:t>分辨率： 10Wh。</w:t>
            </w:r>
          </w:p>
          <w:p w14:paraId="72B831D8">
            <w:pPr>
              <w:widowControl/>
              <w:adjustRightInd w:val="0"/>
              <w:snapToGrid w:val="0"/>
              <w:jc w:val="left"/>
              <w:rPr>
                <w:rFonts w:hint="eastAsia" w:ascii="宋体" w:hAnsi="宋体" w:eastAsia="宋体" w:cs="宋体"/>
                <w:color w:val="000000"/>
                <w:kern w:val="0"/>
                <w:sz w:val="24"/>
                <w:szCs w:val="24"/>
                <w:highlight w:val="none"/>
                <w:lang w:eastAsia="zh-Hans"/>
              </w:rPr>
            </w:pPr>
            <w:r>
              <w:rPr>
                <w:rFonts w:hint="eastAsia" w:ascii="宋体" w:hAnsi="宋体" w:eastAsia="宋体" w:cs="宋体"/>
                <w:color w:val="000000"/>
                <w:kern w:val="0"/>
                <w:sz w:val="24"/>
                <w:szCs w:val="24"/>
                <w:highlight w:val="none"/>
                <w:lang w:eastAsia="zh-Hans"/>
              </w:rPr>
              <w:t>4. 电功率测量： 量程： 0～500kW</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lang w:eastAsia="zh-Hans"/>
              </w:rPr>
              <w:t>精度：±1.0% FS</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lang w:eastAsia="zh-Hans"/>
              </w:rPr>
              <w:t>分辨率： 0.01kW。</w:t>
            </w:r>
          </w:p>
          <w:p w14:paraId="202286E5">
            <w:pPr>
              <w:widowControl/>
              <w:adjustRightInd w:val="0"/>
              <w:snapToGrid w:val="0"/>
              <w:jc w:val="left"/>
              <w:rPr>
                <w:rFonts w:hint="eastAsia" w:ascii="宋体" w:hAnsi="宋体" w:eastAsia="宋体" w:cs="宋体"/>
                <w:color w:val="000000"/>
                <w:kern w:val="0"/>
                <w:sz w:val="24"/>
                <w:szCs w:val="24"/>
                <w:highlight w:val="none"/>
                <w:lang w:eastAsia="zh-Hans"/>
              </w:rPr>
            </w:pPr>
            <w:r>
              <w:rPr>
                <w:rFonts w:hint="eastAsia" w:ascii="宋体" w:hAnsi="宋体" w:eastAsia="宋体" w:cs="宋体"/>
                <w:color w:val="000000"/>
                <w:kern w:val="0"/>
                <w:sz w:val="24"/>
                <w:szCs w:val="24"/>
                <w:highlight w:val="none"/>
                <w:lang w:eastAsia="zh-Hans"/>
              </w:rPr>
              <w:t>5. 适应车型： 新能源汽车。</w:t>
            </w:r>
          </w:p>
          <w:p w14:paraId="4422BF7B">
            <w:pPr>
              <w:widowControl/>
              <w:adjustRightInd w:val="0"/>
              <w:snapToGrid w:val="0"/>
              <w:jc w:val="left"/>
              <w:rPr>
                <w:rFonts w:hint="eastAsia" w:ascii="宋体" w:hAnsi="宋体" w:eastAsia="宋体" w:cs="宋体"/>
                <w:color w:val="000000"/>
                <w:kern w:val="0"/>
                <w:sz w:val="24"/>
                <w:szCs w:val="24"/>
                <w:highlight w:val="none"/>
                <w:lang w:eastAsia="zh-Hans"/>
              </w:rPr>
            </w:pPr>
            <w:r>
              <w:rPr>
                <w:rFonts w:hint="eastAsia" w:ascii="宋体" w:hAnsi="宋体" w:eastAsia="宋体" w:cs="宋体"/>
                <w:color w:val="000000"/>
                <w:kern w:val="0"/>
                <w:sz w:val="24"/>
                <w:szCs w:val="24"/>
                <w:highlight w:val="none"/>
                <w:lang w:eastAsia="zh-Hans"/>
              </w:rPr>
              <w:t>6. 电能输出信号：单路脉冲或正交双路脉冲输出， TTL 方波。</w:t>
            </w:r>
          </w:p>
          <w:p w14:paraId="04F2AEA9">
            <w:pPr>
              <w:widowControl/>
              <w:adjustRightInd w:val="0"/>
              <w:snapToGrid w:val="0"/>
              <w:jc w:val="left"/>
              <w:rPr>
                <w:rFonts w:hint="eastAsia" w:ascii="宋体" w:hAnsi="宋体" w:eastAsia="宋体" w:cs="宋体"/>
                <w:color w:val="000000"/>
                <w:kern w:val="0"/>
                <w:sz w:val="24"/>
                <w:szCs w:val="24"/>
                <w:highlight w:val="none"/>
                <w:lang w:eastAsia="zh-Hans"/>
              </w:rPr>
            </w:pPr>
            <w:r>
              <w:rPr>
                <w:rFonts w:hint="eastAsia" w:ascii="宋体" w:hAnsi="宋体" w:eastAsia="宋体" w:cs="宋体"/>
                <w:color w:val="000000"/>
                <w:kern w:val="0"/>
                <w:sz w:val="24"/>
                <w:szCs w:val="24"/>
                <w:highlight w:val="none"/>
                <w:lang w:eastAsia="zh-Hans"/>
              </w:rPr>
              <w:t xml:space="preserve">7. 电压输出信号： 0～5V。 </w:t>
            </w:r>
          </w:p>
          <w:p w14:paraId="7F07377C">
            <w:pPr>
              <w:widowControl/>
              <w:adjustRightInd w:val="0"/>
              <w:snapToGrid w:val="0"/>
              <w:jc w:val="left"/>
              <w:rPr>
                <w:rFonts w:hint="eastAsia" w:ascii="宋体" w:hAnsi="宋体" w:eastAsia="宋体" w:cs="宋体"/>
                <w:color w:val="000000"/>
                <w:kern w:val="0"/>
                <w:sz w:val="24"/>
                <w:szCs w:val="24"/>
                <w:highlight w:val="none"/>
                <w:lang w:eastAsia="zh-Hans"/>
              </w:rPr>
            </w:pPr>
            <w:r>
              <w:rPr>
                <w:rFonts w:hint="eastAsia" w:ascii="宋体" w:hAnsi="宋体" w:eastAsia="宋体" w:cs="宋体"/>
                <w:color w:val="000000"/>
                <w:kern w:val="0"/>
                <w:sz w:val="24"/>
                <w:szCs w:val="24"/>
                <w:highlight w:val="none"/>
                <w:lang w:eastAsia="zh-Hans"/>
              </w:rPr>
              <w:t xml:space="preserve">8. 工作电压： 12V 或 24VDC。 </w:t>
            </w:r>
          </w:p>
          <w:p w14:paraId="4365E559">
            <w:pPr>
              <w:widowControl/>
              <w:adjustRightInd w:val="0"/>
              <w:snapToGrid w:val="0"/>
              <w:jc w:val="left"/>
              <w:rPr>
                <w:rFonts w:hint="eastAsia" w:ascii="宋体" w:hAnsi="宋体" w:eastAsia="宋体" w:cs="宋体"/>
                <w:color w:val="000000"/>
                <w:kern w:val="0"/>
                <w:sz w:val="24"/>
                <w:szCs w:val="24"/>
                <w:highlight w:val="none"/>
                <w:lang w:eastAsia="zh-Hans"/>
              </w:rPr>
            </w:pPr>
            <w:r>
              <w:rPr>
                <w:rFonts w:hint="eastAsia" w:ascii="宋体" w:hAnsi="宋体" w:eastAsia="宋体" w:cs="宋体"/>
                <w:color w:val="000000"/>
                <w:kern w:val="0"/>
                <w:sz w:val="24"/>
                <w:szCs w:val="24"/>
                <w:highlight w:val="none"/>
                <w:lang w:eastAsia="zh-Hans"/>
              </w:rPr>
              <w:t xml:space="preserve">9. 工作温度： -20～+60°C。 </w:t>
            </w:r>
          </w:p>
          <w:p w14:paraId="3D2A76D2">
            <w:pPr>
              <w:widowControl/>
              <w:adjustRightInd w:val="0"/>
              <w:snapToGrid w:val="0"/>
              <w:jc w:val="left"/>
              <w:rPr>
                <w:rFonts w:hint="eastAsia" w:ascii="宋体" w:hAnsi="宋体" w:eastAsia="宋体" w:cs="宋体"/>
                <w:color w:val="000000"/>
                <w:kern w:val="0"/>
                <w:sz w:val="24"/>
                <w:szCs w:val="24"/>
                <w:highlight w:val="none"/>
                <w:lang w:eastAsia="zh-Hans"/>
              </w:rPr>
            </w:pPr>
            <w:r>
              <w:rPr>
                <w:rFonts w:hint="eastAsia" w:ascii="宋体" w:hAnsi="宋体" w:eastAsia="宋体" w:cs="宋体"/>
                <w:color w:val="000000"/>
                <w:kern w:val="0"/>
                <w:sz w:val="24"/>
                <w:szCs w:val="24"/>
                <w:highlight w:val="none"/>
                <w:lang w:eastAsia="zh-Hans"/>
              </w:rPr>
              <w:t xml:space="preserve">10. 显示功能：采用宽温高亮度 OLED 显示电能、功率、电流、电压。 </w:t>
            </w:r>
          </w:p>
          <w:p w14:paraId="404D2D22">
            <w:pPr>
              <w:widowControl/>
              <w:adjustRightInd w:val="0"/>
              <w:snapToGrid w:val="0"/>
              <w:jc w:val="left"/>
              <w:rPr>
                <w:rFonts w:hint="eastAsia" w:ascii="宋体" w:hAnsi="宋体" w:eastAsia="宋体" w:cs="宋体"/>
                <w:color w:val="000000"/>
                <w:kern w:val="0"/>
                <w:sz w:val="24"/>
                <w:szCs w:val="24"/>
                <w:highlight w:val="none"/>
                <w:lang w:eastAsia="zh-Hans"/>
              </w:rPr>
            </w:pPr>
            <w:r>
              <w:rPr>
                <w:rFonts w:hint="eastAsia" w:ascii="宋体" w:hAnsi="宋体" w:eastAsia="宋体" w:cs="宋体"/>
                <w:color w:val="000000"/>
                <w:kern w:val="0"/>
                <w:sz w:val="24"/>
                <w:szCs w:val="24"/>
                <w:highlight w:val="none"/>
                <w:lang w:eastAsia="zh-Hans"/>
              </w:rPr>
              <w:t xml:space="preserve">11. 通讯接口： RS232。 </w:t>
            </w:r>
          </w:p>
          <w:p w14:paraId="58370C02">
            <w:pPr>
              <w:widowControl/>
              <w:adjustRightInd w:val="0"/>
              <w:snapToGrid w:val="0"/>
              <w:jc w:val="left"/>
              <w:rPr>
                <w:rFonts w:hint="eastAsia" w:ascii="宋体" w:hAnsi="宋体" w:eastAsia="宋体" w:cs="宋体"/>
                <w:color w:val="000000"/>
                <w:kern w:val="0"/>
                <w:sz w:val="24"/>
                <w:szCs w:val="24"/>
                <w:highlight w:val="none"/>
                <w:lang w:eastAsia="zh-Hans"/>
              </w:rPr>
            </w:pPr>
            <w:r>
              <w:rPr>
                <w:rFonts w:hint="eastAsia" w:ascii="宋体" w:hAnsi="宋体" w:eastAsia="宋体" w:cs="宋体"/>
                <w:color w:val="000000"/>
                <w:kern w:val="0"/>
                <w:sz w:val="24"/>
                <w:szCs w:val="24"/>
                <w:highlight w:val="none"/>
                <w:lang w:eastAsia="zh-Hans"/>
              </w:rPr>
              <w:t xml:space="preserve">12. 外形尺寸： 13.1cm(L)*13.04cm(W)*5.7cm(H)。 </w:t>
            </w:r>
          </w:p>
          <w:p w14:paraId="595507F7">
            <w:pPr>
              <w:widowControl/>
              <w:adjustRightInd w:val="0"/>
              <w:snapToGrid w:val="0"/>
              <w:jc w:val="left"/>
              <w:rPr>
                <w:rFonts w:hint="eastAsia" w:ascii="宋体" w:hAnsi="宋体" w:eastAsia="宋体" w:cs="宋体"/>
                <w:color w:val="000000"/>
                <w:kern w:val="0"/>
                <w:sz w:val="24"/>
                <w:szCs w:val="24"/>
                <w:highlight w:val="none"/>
                <w:lang w:eastAsia="zh-Hans"/>
              </w:rPr>
            </w:pPr>
            <w:r>
              <w:rPr>
                <w:rFonts w:hint="eastAsia" w:ascii="宋体" w:hAnsi="宋体" w:eastAsia="宋体" w:cs="宋体"/>
                <w:color w:val="000000"/>
                <w:kern w:val="0"/>
                <w:sz w:val="24"/>
                <w:szCs w:val="24"/>
                <w:highlight w:val="none"/>
                <w:lang w:eastAsia="zh-Hans"/>
              </w:rPr>
              <w:t>13. 重量：约 580g。</w:t>
            </w:r>
          </w:p>
          <w:p w14:paraId="1597E333">
            <w:pPr>
              <w:widowControl/>
              <w:adjustRightInd w:val="0"/>
              <w:snapToGrid w:val="0"/>
              <w:jc w:val="left"/>
              <w:rPr>
                <w:rFonts w:hint="eastAsia" w:ascii="宋体" w:hAnsi="宋体" w:eastAsia="宋体" w:cs="宋体"/>
                <w:color w:val="000000"/>
                <w:kern w:val="0"/>
                <w:sz w:val="24"/>
                <w:szCs w:val="24"/>
                <w:highlight w:val="none"/>
                <w:lang w:eastAsia="zh-Hans"/>
              </w:rPr>
            </w:pPr>
            <w:r>
              <w:rPr>
                <w:rFonts w:hint="eastAsia" w:ascii="宋体" w:hAnsi="宋体" w:eastAsia="宋体" w:cs="宋体"/>
                <w:b/>
                <w:bCs/>
                <w:color w:val="000000"/>
                <w:kern w:val="0"/>
                <w:sz w:val="24"/>
                <w:szCs w:val="24"/>
                <w:highlight w:val="none"/>
                <w:lang w:eastAsia="zh-Hans"/>
              </w:rPr>
              <w:t>直流电流传感器</w:t>
            </w:r>
          </w:p>
          <w:p w14:paraId="505FE9DF">
            <w:pPr>
              <w:widowControl/>
              <w:adjustRightInd w:val="0"/>
              <w:snapToGrid w:val="0"/>
              <w:jc w:val="left"/>
              <w:rPr>
                <w:rFonts w:hint="eastAsia" w:ascii="宋体" w:hAnsi="宋体" w:eastAsia="宋体" w:cs="宋体"/>
                <w:color w:val="000000"/>
                <w:kern w:val="0"/>
                <w:sz w:val="24"/>
                <w:szCs w:val="24"/>
                <w:highlight w:val="none"/>
                <w:lang w:eastAsia="zh-Hans"/>
              </w:rPr>
            </w:pPr>
            <w:r>
              <w:rPr>
                <w:rFonts w:hint="eastAsia" w:ascii="宋体" w:hAnsi="宋体" w:eastAsia="宋体" w:cs="宋体"/>
                <w:color w:val="000000"/>
                <w:kern w:val="0"/>
                <w:sz w:val="24"/>
                <w:szCs w:val="24"/>
                <w:highlight w:val="none"/>
                <w:lang w:eastAsia="zh-Hans"/>
              </w:rPr>
              <w:t>功能：直流电流、交流电流测量。</w:t>
            </w:r>
          </w:p>
          <w:p w14:paraId="3C1A811C">
            <w:pPr>
              <w:widowControl/>
              <w:adjustRightInd w:val="0"/>
              <w:snapToGrid w:val="0"/>
              <w:jc w:val="left"/>
              <w:rPr>
                <w:rFonts w:hint="eastAsia" w:ascii="宋体" w:hAnsi="宋体" w:eastAsia="宋体" w:cs="宋体"/>
                <w:color w:val="000000"/>
                <w:kern w:val="0"/>
                <w:sz w:val="24"/>
                <w:szCs w:val="24"/>
                <w:highlight w:val="none"/>
                <w:lang w:eastAsia="zh-Hans"/>
              </w:rPr>
            </w:pPr>
            <w:r>
              <w:rPr>
                <w:rFonts w:hint="eastAsia" w:ascii="宋体" w:hAnsi="宋体" w:eastAsia="宋体" w:cs="宋体"/>
                <w:color w:val="000000"/>
                <w:kern w:val="0"/>
                <w:sz w:val="24"/>
                <w:szCs w:val="24"/>
                <w:highlight w:val="none"/>
                <w:lang w:eastAsia="zh-Hans"/>
              </w:rPr>
              <w:t>1. 测试方式：钳形CT，非接触测量，钳头无任何裸露金属导体。</w:t>
            </w:r>
          </w:p>
          <w:p w14:paraId="0CE1AE8E">
            <w:pPr>
              <w:widowControl/>
              <w:adjustRightInd w:val="0"/>
              <w:snapToGrid w:val="0"/>
              <w:jc w:val="left"/>
              <w:rPr>
                <w:rFonts w:hint="eastAsia" w:ascii="宋体" w:hAnsi="宋体" w:eastAsia="宋体" w:cs="宋体"/>
                <w:color w:val="000000"/>
                <w:kern w:val="0"/>
                <w:sz w:val="24"/>
                <w:szCs w:val="24"/>
                <w:highlight w:val="none"/>
                <w:lang w:eastAsia="zh-Hans"/>
              </w:rPr>
            </w:pPr>
            <w:r>
              <w:rPr>
                <w:rFonts w:hint="eastAsia" w:ascii="宋体" w:hAnsi="宋体" w:eastAsia="宋体" w:cs="宋体"/>
                <w:color w:val="000000"/>
                <w:kern w:val="0"/>
                <w:sz w:val="24"/>
                <w:szCs w:val="24"/>
                <w:highlight w:val="none"/>
                <w:lang w:eastAsia="zh-Hans"/>
              </w:rPr>
              <w:t>2. 机身尺寸：高宽厚：185mm×70mm×38mm。</w:t>
            </w:r>
          </w:p>
          <w:p w14:paraId="4AFFB3A1">
            <w:pPr>
              <w:widowControl/>
              <w:adjustRightInd w:val="0"/>
              <w:snapToGrid w:val="0"/>
              <w:jc w:val="left"/>
              <w:rPr>
                <w:rFonts w:hint="eastAsia" w:ascii="宋体" w:hAnsi="宋体" w:eastAsia="宋体" w:cs="宋体"/>
                <w:color w:val="000000"/>
                <w:kern w:val="0"/>
                <w:sz w:val="24"/>
                <w:szCs w:val="24"/>
                <w:highlight w:val="none"/>
                <w:lang w:eastAsia="zh-Hans"/>
              </w:rPr>
            </w:pPr>
            <w:r>
              <w:rPr>
                <w:rFonts w:hint="eastAsia" w:ascii="宋体" w:hAnsi="宋体" w:eastAsia="宋体" w:cs="宋体"/>
                <w:color w:val="000000"/>
                <w:kern w:val="0"/>
                <w:sz w:val="24"/>
                <w:szCs w:val="24"/>
                <w:highlight w:val="none"/>
                <w:lang w:eastAsia="zh-Hans"/>
              </w:rPr>
              <w:t>3. 钳口尺寸：30mm×35mm。</w:t>
            </w:r>
          </w:p>
          <w:p w14:paraId="1AD74AFD">
            <w:pPr>
              <w:widowControl/>
              <w:adjustRightInd w:val="0"/>
              <w:snapToGrid w:val="0"/>
              <w:jc w:val="left"/>
              <w:rPr>
                <w:rFonts w:hint="eastAsia" w:ascii="宋体" w:hAnsi="宋体" w:eastAsia="宋体" w:cs="宋体"/>
                <w:color w:val="000000"/>
                <w:kern w:val="0"/>
                <w:sz w:val="24"/>
                <w:szCs w:val="24"/>
                <w:highlight w:val="none"/>
                <w:lang w:eastAsia="zh-Hans"/>
              </w:rPr>
            </w:pPr>
            <w:r>
              <w:rPr>
                <w:rFonts w:hint="eastAsia" w:ascii="宋体" w:hAnsi="宋体" w:eastAsia="宋体" w:cs="宋体"/>
                <w:color w:val="000000"/>
                <w:kern w:val="0"/>
                <w:sz w:val="24"/>
                <w:szCs w:val="24"/>
                <w:highlight w:val="none"/>
                <w:lang w:eastAsia="zh-Hans"/>
              </w:rPr>
              <w:t>4. 交流频率：45Hz～400Hz。</w:t>
            </w:r>
          </w:p>
          <w:p w14:paraId="451026A8">
            <w:pPr>
              <w:widowControl/>
              <w:adjustRightInd w:val="0"/>
              <w:snapToGrid w:val="0"/>
              <w:jc w:val="left"/>
              <w:rPr>
                <w:rFonts w:hint="eastAsia" w:ascii="宋体" w:hAnsi="宋体" w:eastAsia="宋体" w:cs="宋体"/>
                <w:color w:val="000000"/>
                <w:kern w:val="0"/>
                <w:sz w:val="24"/>
                <w:szCs w:val="24"/>
                <w:highlight w:val="none"/>
                <w:lang w:eastAsia="zh-Hans"/>
              </w:rPr>
            </w:pPr>
            <w:r>
              <w:rPr>
                <w:rFonts w:hint="eastAsia" w:ascii="宋体" w:hAnsi="宋体" w:eastAsia="宋体" w:cs="宋体"/>
                <w:color w:val="000000"/>
                <w:kern w:val="0"/>
                <w:sz w:val="24"/>
                <w:szCs w:val="24"/>
                <w:highlight w:val="none"/>
                <w:lang w:eastAsia="zh-Hans"/>
              </w:rPr>
              <w:t>5. 量程：AC/DC 0.0A～500A。精度：0.5%。分辨率：0.1A。</w:t>
            </w:r>
          </w:p>
          <w:p w14:paraId="7AD5C20C">
            <w:pPr>
              <w:widowControl/>
              <w:adjustRightInd w:val="0"/>
              <w:snapToGrid w:val="0"/>
              <w:jc w:val="left"/>
              <w:rPr>
                <w:rFonts w:hint="eastAsia" w:ascii="宋体" w:hAnsi="宋体" w:eastAsia="宋体" w:cs="宋体"/>
                <w:color w:val="000000"/>
                <w:kern w:val="0"/>
                <w:sz w:val="24"/>
                <w:szCs w:val="24"/>
                <w:highlight w:val="none"/>
                <w:lang w:eastAsia="zh-Hans"/>
              </w:rPr>
            </w:pPr>
            <w:r>
              <w:rPr>
                <w:rFonts w:hint="eastAsia" w:ascii="宋体" w:hAnsi="宋体" w:eastAsia="宋体" w:cs="宋体"/>
                <w:color w:val="000000"/>
                <w:kern w:val="0"/>
                <w:sz w:val="24"/>
                <w:szCs w:val="24"/>
                <w:highlight w:val="none"/>
                <w:lang w:eastAsia="zh-Hans"/>
              </w:rPr>
              <w:t>6. 输出：1mV/A 频率向应：10KHz(-3dB)。</w:t>
            </w:r>
          </w:p>
          <w:p w14:paraId="56B9E23C">
            <w:pPr>
              <w:widowControl/>
              <w:adjustRightInd w:val="0"/>
              <w:snapToGrid w:val="0"/>
              <w:jc w:val="left"/>
              <w:rPr>
                <w:rFonts w:hint="eastAsia" w:ascii="宋体" w:hAnsi="宋体" w:eastAsia="宋体" w:cs="宋体"/>
                <w:color w:val="000000"/>
                <w:kern w:val="0"/>
                <w:sz w:val="24"/>
                <w:szCs w:val="24"/>
                <w:highlight w:val="none"/>
                <w:lang w:eastAsia="zh-Hans"/>
              </w:rPr>
            </w:pPr>
            <w:r>
              <w:rPr>
                <w:rFonts w:hint="eastAsia" w:ascii="宋体" w:hAnsi="宋体" w:eastAsia="宋体" w:cs="宋体"/>
                <w:color w:val="000000"/>
                <w:kern w:val="0"/>
                <w:sz w:val="24"/>
                <w:szCs w:val="24"/>
                <w:highlight w:val="none"/>
                <w:lang w:eastAsia="zh-Hans"/>
              </w:rPr>
              <w:t>7. 工作温湿度：-10℃～50℃。80%rh 以下。</w:t>
            </w:r>
          </w:p>
          <w:p w14:paraId="4FD18473">
            <w:pPr>
              <w:widowControl/>
              <w:adjustRightInd w:val="0"/>
              <w:snapToGrid w:val="0"/>
              <w:jc w:val="left"/>
              <w:rPr>
                <w:rFonts w:hint="eastAsia" w:ascii="宋体" w:hAnsi="宋体" w:eastAsia="宋体" w:cs="宋体"/>
                <w:color w:val="000000"/>
                <w:kern w:val="0"/>
                <w:sz w:val="24"/>
                <w:szCs w:val="24"/>
                <w:highlight w:val="none"/>
                <w:lang w:eastAsia="zh-Hans"/>
              </w:rPr>
            </w:pPr>
            <w:r>
              <w:rPr>
                <w:rFonts w:hint="eastAsia" w:ascii="宋体" w:hAnsi="宋体" w:eastAsia="宋体" w:cs="宋体"/>
                <w:color w:val="000000"/>
                <w:kern w:val="0"/>
                <w:sz w:val="24"/>
                <w:szCs w:val="24"/>
                <w:highlight w:val="none"/>
                <w:lang w:eastAsia="zh-Hans"/>
              </w:rPr>
              <w:t>8. 绝缘强度：AC2kV/rms(铁心与盒之间)。</w:t>
            </w:r>
          </w:p>
          <w:p w14:paraId="27BBD925">
            <w:pPr>
              <w:widowControl/>
              <w:adjustRightInd w:val="0"/>
              <w:snapToGrid w:val="0"/>
              <w:jc w:val="left"/>
              <w:rPr>
                <w:rFonts w:hint="eastAsia" w:ascii="宋体" w:hAnsi="宋体" w:eastAsia="宋体" w:cs="宋体"/>
                <w:color w:val="000000"/>
                <w:kern w:val="0"/>
                <w:sz w:val="24"/>
                <w:szCs w:val="24"/>
                <w:highlight w:val="none"/>
                <w:lang w:eastAsia="zh-Hans"/>
              </w:rPr>
            </w:pPr>
            <w:r>
              <w:rPr>
                <w:rFonts w:hint="eastAsia" w:ascii="宋体" w:hAnsi="宋体" w:eastAsia="宋体" w:cs="宋体"/>
                <w:color w:val="000000"/>
                <w:kern w:val="0"/>
                <w:sz w:val="24"/>
                <w:szCs w:val="24"/>
                <w:highlight w:val="none"/>
                <w:lang w:eastAsia="zh-Hans"/>
              </w:rPr>
              <w:t>9. 适合安规：IEC1010-1、IEC1010-2-032、污染等2、CAT Ⅲ(600V)。</w:t>
            </w:r>
          </w:p>
          <w:p w14:paraId="265AC03B">
            <w:pPr>
              <w:widowControl/>
              <w:adjustRightInd w:val="0"/>
              <w:snapToGrid w:val="0"/>
              <w:jc w:val="left"/>
              <w:rPr>
                <w:rFonts w:hint="eastAsia" w:ascii="宋体" w:hAnsi="宋体" w:eastAsia="宋体" w:cs="宋体"/>
                <w:color w:val="000000"/>
                <w:kern w:val="0"/>
                <w:sz w:val="24"/>
                <w:szCs w:val="24"/>
                <w:highlight w:val="none"/>
                <w:lang w:eastAsia="zh-Hans"/>
              </w:rPr>
            </w:pPr>
            <w:r>
              <w:rPr>
                <w:rFonts w:hint="eastAsia" w:ascii="宋体" w:hAnsi="宋体" w:eastAsia="宋体" w:cs="宋体"/>
                <w:b/>
                <w:bCs/>
                <w:color w:val="000000"/>
                <w:kern w:val="0"/>
                <w:sz w:val="24"/>
                <w:szCs w:val="24"/>
                <w:highlight w:val="none"/>
                <w:lang w:eastAsia="zh-Hans"/>
              </w:rPr>
              <w:t>直流电压传感器（内置）</w:t>
            </w:r>
          </w:p>
          <w:p w14:paraId="1F06652E">
            <w:pPr>
              <w:widowControl/>
              <w:adjustRightInd w:val="0"/>
              <w:snapToGrid w:val="0"/>
              <w:jc w:val="left"/>
              <w:rPr>
                <w:rFonts w:hint="eastAsia" w:ascii="宋体" w:hAnsi="宋体" w:eastAsia="宋体" w:cs="宋体"/>
                <w:color w:val="000000"/>
                <w:kern w:val="0"/>
                <w:sz w:val="24"/>
                <w:szCs w:val="24"/>
                <w:highlight w:val="none"/>
                <w:lang w:eastAsia="zh-Hans"/>
              </w:rPr>
            </w:pPr>
            <w:r>
              <w:rPr>
                <w:rFonts w:hint="eastAsia" w:ascii="宋体" w:hAnsi="宋体" w:eastAsia="宋体" w:cs="宋体"/>
                <w:color w:val="000000"/>
                <w:kern w:val="0"/>
                <w:sz w:val="24"/>
                <w:szCs w:val="24"/>
                <w:highlight w:val="none"/>
                <w:lang w:eastAsia="zh-Hans"/>
              </w:rPr>
              <w:t>1. 输入信号：0～1000VDC。</w:t>
            </w:r>
          </w:p>
          <w:p w14:paraId="6551BA5E">
            <w:pPr>
              <w:widowControl/>
              <w:adjustRightInd w:val="0"/>
              <w:snapToGrid w:val="0"/>
              <w:jc w:val="left"/>
              <w:rPr>
                <w:rFonts w:hint="eastAsia" w:ascii="宋体" w:hAnsi="宋体" w:eastAsia="宋体" w:cs="宋体"/>
                <w:color w:val="000000"/>
                <w:kern w:val="0"/>
                <w:sz w:val="24"/>
                <w:szCs w:val="24"/>
                <w:highlight w:val="none"/>
                <w:lang w:eastAsia="zh-Hans"/>
              </w:rPr>
            </w:pPr>
            <w:r>
              <w:rPr>
                <w:rFonts w:hint="eastAsia" w:ascii="宋体" w:hAnsi="宋体" w:eastAsia="宋体" w:cs="宋体"/>
                <w:color w:val="000000"/>
                <w:kern w:val="0"/>
                <w:sz w:val="24"/>
                <w:szCs w:val="24"/>
                <w:highlight w:val="none"/>
                <w:lang w:eastAsia="zh-Hans"/>
              </w:rPr>
              <w:t>2. 输出信号0～5V，精度：0.5%。</w:t>
            </w:r>
          </w:p>
          <w:p w14:paraId="281408E0">
            <w:pPr>
              <w:widowControl/>
              <w:adjustRightInd w:val="0"/>
              <w:snapToGrid w:val="0"/>
              <w:jc w:val="left"/>
              <w:rPr>
                <w:rFonts w:hint="eastAsia" w:ascii="宋体" w:hAnsi="宋体" w:eastAsia="宋体" w:cs="宋体"/>
                <w:color w:val="000000"/>
                <w:kern w:val="0"/>
                <w:sz w:val="24"/>
                <w:szCs w:val="24"/>
                <w:highlight w:val="none"/>
                <w:lang w:eastAsia="zh-Hans"/>
              </w:rPr>
            </w:pPr>
            <w:r>
              <w:rPr>
                <w:rFonts w:hint="eastAsia" w:ascii="宋体" w:hAnsi="宋体" w:eastAsia="宋体" w:cs="宋体"/>
                <w:color w:val="000000"/>
                <w:kern w:val="0"/>
                <w:sz w:val="24"/>
                <w:szCs w:val="24"/>
                <w:highlight w:val="none"/>
                <w:lang w:eastAsia="zh-Hans"/>
              </w:rPr>
              <w:t>3. 工作温度：-10～+60℃。</w:t>
            </w:r>
          </w:p>
          <w:p w14:paraId="2F2AB9F9">
            <w:pPr>
              <w:widowControl/>
              <w:adjustRightInd w:val="0"/>
              <w:snapToGrid w:val="0"/>
              <w:jc w:val="left"/>
              <w:rPr>
                <w:rFonts w:hint="eastAsia" w:ascii="宋体" w:hAnsi="宋体" w:eastAsia="宋体" w:cs="宋体"/>
                <w:color w:val="000000"/>
                <w:kern w:val="0"/>
                <w:sz w:val="24"/>
                <w:szCs w:val="24"/>
                <w:highlight w:val="none"/>
                <w:lang w:eastAsia="zh-Hans"/>
              </w:rPr>
            </w:pPr>
            <w:r>
              <w:rPr>
                <w:rFonts w:hint="eastAsia" w:ascii="宋体" w:hAnsi="宋体" w:eastAsia="宋体" w:cs="宋体"/>
                <w:color w:val="000000"/>
                <w:kern w:val="0"/>
                <w:sz w:val="24"/>
                <w:szCs w:val="24"/>
                <w:highlight w:val="none"/>
                <w:lang w:eastAsia="zh-Hans"/>
              </w:rPr>
              <w:t>4. 隔离耐压：2.5KVDC。</w:t>
            </w:r>
          </w:p>
          <w:p w14:paraId="05C5D8A6">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eastAsia="zh-Hans"/>
              </w:rPr>
              <w:t>5. 输入过载能力：2 倍额定值（连续）。</w:t>
            </w:r>
          </w:p>
          <w:p w14:paraId="013C58A3">
            <w:pPr>
              <w:pStyle w:val="23"/>
              <w:widowControl w:val="0"/>
              <w:adjustRightInd w:val="0"/>
              <w:snapToGrid w:val="0"/>
              <w:spacing w:before="0" w:beforeAutospacing="0" w:after="0" w:afterAutospacing="0"/>
              <w:jc w:val="both"/>
              <w:rPr>
                <w:rFonts w:hint="eastAsia" w:ascii="宋体" w:hAnsi="宋体" w:eastAsia="宋体" w:cs="宋体"/>
                <w:b/>
                <w:color w:val="000000"/>
                <w:kern w:val="2"/>
                <w:sz w:val="24"/>
                <w:szCs w:val="24"/>
                <w:highlight w:val="none"/>
                <w:lang w:bidi="ar"/>
              </w:rPr>
            </w:pPr>
            <w:r>
              <w:rPr>
                <w:rFonts w:hint="eastAsia" w:ascii="宋体" w:hAnsi="宋体" w:eastAsia="宋体" w:cs="宋体"/>
                <w:b/>
                <w:color w:val="000000"/>
                <w:kern w:val="2"/>
                <w:sz w:val="24"/>
                <w:szCs w:val="24"/>
                <w:highlight w:val="none"/>
                <w:lang w:bidi="ar"/>
              </w:rPr>
              <w:t>测试满足的国家标准（不限于以下标准）</w:t>
            </w:r>
            <w:r>
              <w:rPr>
                <w:rFonts w:hint="eastAsia" w:ascii="宋体" w:hAnsi="宋体" w:eastAsia="宋体" w:cs="宋体"/>
                <w:color w:val="000000"/>
                <w:sz w:val="24"/>
                <w:szCs w:val="24"/>
                <w:highlight w:val="none"/>
              </w:rPr>
              <w:br w:type="textWrapping"/>
            </w:r>
            <w:r>
              <w:rPr>
                <w:rFonts w:hint="eastAsia" w:ascii="宋体" w:hAnsi="宋体" w:eastAsia="宋体" w:cs="宋体"/>
                <w:color w:val="000000"/>
                <w:sz w:val="24"/>
                <w:szCs w:val="24"/>
                <w:highlight w:val="none"/>
              </w:rPr>
              <w:t>GB/T 18386-2017《电动汽车—能量消耗率和续驶里程—试验方法》</w:t>
            </w:r>
          </w:p>
          <w:p w14:paraId="161298E3">
            <w:pPr>
              <w:pStyle w:val="23"/>
              <w:widowControl w:val="0"/>
              <w:adjustRightInd w:val="0"/>
              <w:snapToGrid w:val="0"/>
              <w:spacing w:before="0" w:beforeAutospacing="0" w:after="0" w:afterAutospacing="0"/>
              <w:jc w:val="both"/>
              <w:rPr>
                <w:rFonts w:hint="eastAsia" w:ascii="宋体" w:hAnsi="宋体" w:eastAsia="宋体" w:cs="宋体"/>
                <w:color w:val="000000"/>
                <w:kern w:val="2"/>
                <w:sz w:val="24"/>
                <w:szCs w:val="24"/>
                <w:highlight w:val="none"/>
                <w:lang w:bidi="ar"/>
              </w:rPr>
            </w:pPr>
            <w:r>
              <w:rPr>
                <w:rFonts w:hint="eastAsia" w:ascii="宋体" w:hAnsi="宋体" w:eastAsia="宋体" w:cs="宋体"/>
                <w:color w:val="000000"/>
                <w:kern w:val="2"/>
                <w:sz w:val="24"/>
                <w:szCs w:val="24"/>
                <w:highlight w:val="none"/>
                <w:lang w:bidi="ar"/>
              </w:rPr>
              <w:t>GB 36980.1—2025《电动汽车能量消耗量限值 第1部分：乘用车》</w:t>
            </w:r>
          </w:p>
          <w:p w14:paraId="64AB252F">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GB/T 18386.1-2021《电动汽车能量消耗量和续驶里程试验方法 第1部分：轻型汽车》</w:t>
            </w:r>
          </w:p>
          <w:p w14:paraId="2987D17E">
            <w:pPr>
              <w:widowControl/>
              <w:adjustRightInd w:val="0"/>
              <w:snapToGrid w:val="0"/>
              <w:jc w:val="left"/>
              <w:rPr>
                <w:rFonts w:hint="eastAsia" w:ascii="宋体" w:hAnsi="宋体" w:eastAsia="宋体" w:cs="宋体"/>
                <w:color w:val="000000"/>
                <w:kern w:val="0"/>
                <w:sz w:val="24"/>
                <w:szCs w:val="24"/>
                <w:highlight w:val="none"/>
                <w:lang w:eastAsia="zh-Hans"/>
              </w:rPr>
            </w:pPr>
            <w:r>
              <w:rPr>
                <w:rFonts w:hint="eastAsia" w:ascii="宋体" w:hAnsi="宋体" w:eastAsia="宋体" w:cs="宋体"/>
                <w:b/>
                <w:bCs/>
                <w:color w:val="000000"/>
                <w:kern w:val="0"/>
                <w:sz w:val="24"/>
                <w:szCs w:val="24"/>
                <w:highlight w:val="none"/>
                <w:lang w:eastAsia="zh-Hans"/>
              </w:rPr>
              <w:t>汽车电耗测试系统</w:t>
            </w:r>
          </w:p>
          <w:p w14:paraId="04546183">
            <w:pPr>
              <w:widowControl/>
              <w:adjustRightInd w:val="0"/>
              <w:snapToGrid w:val="0"/>
              <w:jc w:val="left"/>
              <w:rPr>
                <w:rFonts w:hint="eastAsia" w:ascii="宋体" w:hAnsi="宋体" w:eastAsia="宋体" w:cs="宋体"/>
                <w:color w:val="000000"/>
                <w:kern w:val="0"/>
                <w:sz w:val="24"/>
                <w:szCs w:val="24"/>
                <w:highlight w:val="none"/>
                <w:lang w:eastAsia="zh-Hans"/>
              </w:rPr>
            </w:pPr>
            <w:r>
              <w:rPr>
                <w:rFonts w:hint="eastAsia" w:ascii="宋体" w:hAnsi="宋体" w:eastAsia="宋体" w:cs="宋体"/>
                <w:color w:val="000000"/>
                <w:kern w:val="0"/>
                <w:sz w:val="24"/>
                <w:szCs w:val="24"/>
                <w:highlight w:val="none"/>
                <w:lang w:eastAsia="zh-Hans"/>
              </w:rPr>
              <w:t xml:space="preserve">（1）包含数据采集和数据分析软硬件，传感器、采集仪、数据分析系统（PC电脑），满足相关国标试验要求。 </w:t>
            </w:r>
          </w:p>
          <w:p w14:paraId="012CAF8E">
            <w:pPr>
              <w:widowControl/>
              <w:adjustRightInd w:val="0"/>
              <w:snapToGrid w:val="0"/>
              <w:jc w:val="left"/>
              <w:rPr>
                <w:rFonts w:hint="eastAsia" w:ascii="宋体" w:hAnsi="宋体" w:eastAsia="宋体" w:cs="宋体"/>
                <w:color w:val="000000"/>
                <w:kern w:val="0"/>
                <w:sz w:val="24"/>
                <w:szCs w:val="24"/>
                <w:highlight w:val="none"/>
                <w:lang w:eastAsia="zh-Hans"/>
              </w:rPr>
            </w:pPr>
            <w:r>
              <w:rPr>
                <w:rFonts w:hint="eastAsia" w:ascii="宋体" w:hAnsi="宋体" w:eastAsia="宋体" w:cs="宋体"/>
                <w:color w:val="000000"/>
                <w:kern w:val="0"/>
                <w:sz w:val="24"/>
                <w:szCs w:val="24"/>
                <w:highlight w:val="none"/>
                <w:lang w:eastAsia="zh-Hans"/>
              </w:rPr>
              <w:t>（2）采用车载加厚铝合金机箱和原装镀金连接插座，确保连接可靠性。</w:t>
            </w:r>
          </w:p>
          <w:p w14:paraId="1B51E4EF">
            <w:pPr>
              <w:widowControl/>
              <w:adjustRightInd w:val="0"/>
              <w:snapToGrid w:val="0"/>
              <w:jc w:val="left"/>
              <w:rPr>
                <w:rFonts w:hint="eastAsia" w:ascii="宋体" w:hAnsi="宋体" w:eastAsia="宋体" w:cs="宋体"/>
                <w:color w:val="000000"/>
                <w:kern w:val="0"/>
                <w:sz w:val="24"/>
                <w:szCs w:val="24"/>
                <w:highlight w:val="none"/>
                <w:lang w:eastAsia="zh-Hans"/>
              </w:rPr>
            </w:pPr>
            <w:r>
              <w:rPr>
                <w:rFonts w:hint="eastAsia" w:ascii="宋体" w:hAnsi="宋体" w:eastAsia="宋体" w:cs="宋体"/>
                <w:color w:val="000000"/>
                <w:kern w:val="0"/>
                <w:sz w:val="24"/>
                <w:szCs w:val="24"/>
                <w:highlight w:val="none"/>
                <w:lang w:eastAsia="zh-Hans"/>
              </w:rPr>
              <w:t xml:space="preserve">（3）多种硬件电路完成的试验开始、试验结束触发条件，减少触发延时误差（软件触发会带来较大的测量误差）。 </w:t>
            </w:r>
          </w:p>
          <w:p w14:paraId="6FE094B8">
            <w:pPr>
              <w:widowControl/>
              <w:adjustRightInd w:val="0"/>
              <w:snapToGrid w:val="0"/>
              <w:jc w:val="left"/>
              <w:rPr>
                <w:rFonts w:hint="eastAsia" w:ascii="宋体" w:hAnsi="宋体" w:eastAsia="宋体" w:cs="宋体"/>
                <w:color w:val="000000"/>
                <w:kern w:val="0"/>
                <w:sz w:val="24"/>
                <w:szCs w:val="24"/>
                <w:highlight w:val="none"/>
                <w:lang w:eastAsia="zh-Hans"/>
              </w:rPr>
            </w:pPr>
            <w:r>
              <w:rPr>
                <w:rFonts w:hint="eastAsia" w:ascii="宋体" w:hAnsi="宋体" w:eastAsia="宋体" w:cs="宋体"/>
                <w:color w:val="000000"/>
                <w:kern w:val="0"/>
                <w:sz w:val="24"/>
                <w:szCs w:val="24"/>
                <w:highlight w:val="none"/>
                <w:lang w:eastAsia="zh-Hans"/>
              </w:rPr>
              <w:t>（4）软件设计充分考虑车载振动工况，中文界面，数字和曲线显示醒目，试验过程一键操作。</w:t>
            </w:r>
          </w:p>
          <w:p w14:paraId="2166F0EC">
            <w:pPr>
              <w:widowControl/>
              <w:adjustRightInd w:val="0"/>
              <w:snapToGrid w:val="0"/>
              <w:jc w:val="left"/>
              <w:rPr>
                <w:rFonts w:hint="eastAsia" w:ascii="宋体" w:hAnsi="宋体" w:eastAsia="宋体" w:cs="宋体"/>
                <w:color w:val="000000"/>
                <w:kern w:val="0"/>
                <w:sz w:val="24"/>
                <w:szCs w:val="24"/>
                <w:highlight w:val="none"/>
                <w:lang w:eastAsia="zh-Hans"/>
              </w:rPr>
            </w:pPr>
            <w:r>
              <w:rPr>
                <w:rFonts w:hint="eastAsia" w:ascii="宋体" w:hAnsi="宋体" w:eastAsia="宋体" w:cs="宋体"/>
                <w:color w:val="000000"/>
                <w:kern w:val="0"/>
                <w:sz w:val="24"/>
                <w:szCs w:val="24"/>
                <w:highlight w:val="none"/>
                <w:lang w:eastAsia="zh-Hans"/>
              </w:rPr>
              <w:t xml:space="preserve">（5）试验参数配置定制管理功能，可将常用的针对不同试验项目的试验配置保存起来，方便以后直接调用。 </w:t>
            </w:r>
          </w:p>
          <w:p w14:paraId="647EE2F1">
            <w:pPr>
              <w:widowControl/>
              <w:adjustRightInd w:val="0"/>
              <w:snapToGrid w:val="0"/>
              <w:jc w:val="left"/>
              <w:rPr>
                <w:rFonts w:hint="eastAsia" w:ascii="宋体" w:hAnsi="宋体" w:eastAsia="宋体" w:cs="宋体"/>
                <w:color w:val="000000"/>
                <w:kern w:val="0"/>
                <w:sz w:val="24"/>
                <w:szCs w:val="24"/>
                <w:highlight w:val="none"/>
                <w:lang w:eastAsia="zh-Hans"/>
              </w:rPr>
            </w:pPr>
            <w:r>
              <w:rPr>
                <w:rFonts w:hint="eastAsia" w:ascii="宋体" w:hAnsi="宋体" w:eastAsia="宋体" w:cs="宋体"/>
                <w:color w:val="000000"/>
                <w:kern w:val="0"/>
                <w:sz w:val="24"/>
                <w:szCs w:val="24"/>
                <w:highlight w:val="none"/>
                <w:lang w:eastAsia="zh-Hans"/>
              </w:rPr>
              <w:t xml:space="preserve">（6）试验过程控制方便简单，一键完成，适用于新能源车辆动态环境操作。 </w:t>
            </w:r>
          </w:p>
          <w:p w14:paraId="1DEC36D1">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eastAsia="zh-Hans"/>
              </w:rPr>
              <w:t>（7）所有数据、曲线都可以输出到保存文档、剪贴板、文本文件、表格或打印机。</w:t>
            </w:r>
          </w:p>
          <w:p w14:paraId="51194B09">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（8）不破坏整车结构前提下，完成电动车能耗测试</w:t>
            </w:r>
          </w:p>
          <w:p w14:paraId="60346923">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eastAsia="zh-Hans"/>
              </w:rPr>
              <w:t>（</w:t>
            </w:r>
            <w:r>
              <w:rPr>
                <w:rFonts w:hint="eastAsia" w:ascii="宋体" w:hAnsi="宋体" w:eastAsia="宋体" w:cs="宋体"/>
                <w:color w:val="000000"/>
                <w:kern w:val="0"/>
                <w:sz w:val="24"/>
                <w:szCs w:val="24"/>
                <w:highlight w:val="none"/>
              </w:rPr>
              <w:t>9</w:t>
            </w:r>
            <w:r>
              <w:rPr>
                <w:rFonts w:hint="eastAsia" w:ascii="宋体" w:hAnsi="宋体" w:eastAsia="宋体" w:cs="宋体"/>
                <w:color w:val="000000"/>
                <w:kern w:val="0"/>
                <w:sz w:val="24"/>
                <w:szCs w:val="24"/>
                <w:highlight w:val="none"/>
                <w:lang w:eastAsia="zh-Hans"/>
              </w:rPr>
              <w:t>）未尽事项满足新能源汽车能量消耗测试相关的国家标准。</w:t>
            </w:r>
          </w:p>
          <w:p w14:paraId="3F5D4F4D">
            <w:pPr>
              <w:widowControl/>
              <w:adjustRightInd w:val="0"/>
              <w:snapToGrid w:val="0"/>
              <w:jc w:val="left"/>
              <w:rPr>
                <w:rFonts w:hint="eastAsia" w:ascii="宋体" w:hAnsi="宋体" w:eastAsia="宋体" w:cs="宋体"/>
                <w:color w:val="000000"/>
                <w:kern w:val="0"/>
                <w:sz w:val="24"/>
                <w:szCs w:val="24"/>
                <w:highlight w:val="none"/>
                <w:lang w:eastAsia="zh-Hans"/>
              </w:rPr>
            </w:pPr>
            <w:r>
              <w:rPr>
                <w:rFonts w:hint="eastAsia" w:ascii="宋体" w:hAnsi="宋体" w:eastAsia="宋体" w:cs="宋体"/>
                <w:b/>
                <w:bCs/>
                <w:color w:val="000000"/>
                <w:kern w:val="0"/>
                <w:sz w:val="24"/>
                <w:szCs w:val="24"/>
                <w:highlight w:val="none"/>
                <w:lang w:eastAsia="zh-Hans"/>
              </w:rPr>
              <w:t>技术培训与服务承诺</w:t>
            </w:r>
          </w:p>
          <w:p w14:paraId="598C0911">
            <w:pPr>
              <w:widowControl/>
              <w:adjustRightInd w:val="0"/>
              <w:snapToGrid w:val="0"/>
              <w:jc w:val="left"/>
              <w:rPr>
                <w:rFonts w:hint="eastAsia" w:ascii="宋体" w:hAnsi="宋体" w:eastAsia="宋体" w:cs="宋体"/>
                <w:color w:val="000000"/>
                <w:kern w:val="0"/>
                <w:sz w:val="24"/>
                <w:szCs w:val="24"/>
                <w:highlight w:val="none"/>
                <w:lang w:eastAsia="zh-Hans"/>
              </w:rPr>
            </w:pPr>
            <w:r>
              <w:rPr>
                <w:rFonts w:hint="eastAsia" w:ascii="宋体" w:hAnsi="宋体" w:eastAsia="宋体" w:cs="宋体"/>
                <w:color w:val="000000"/>
                <w:kern w:val="0"/>
                <w:sz w:val="24"/>
                <w:szCs w:val="24"/>
                <w:highlight w:val="none"/>
                <w:lang w:eastAsia="zh-Hans"/>
              </w:rPr>
              <w:t xml:space="preserve">（1） 产品安装调试结束后，对操作人员进行全面的免费技术培训。 </w:t>
            </w:r>
          </w:p>
          <w:p w14:paraId="59A67EFE">
            <w:pPr>
              <w:widowControl/>
              <w:adjustRightInd w:val="0"/>
              <w:snapToGrid w:val="0"/>
              <w:jc w:val="left"/>
              <w:rPr>
                <w:rFonts w:hint="eastAsia" w:ascii="宋体" w:hAnsi="宋体" w:eastAsia="宋体" w:cs="宋体"/>
                <w:color w:val="000000"/>
                <w:kern w:val="0"/>
                <w:sz w:val="24"/>
                <w:szCs w:val="24"/>
                <w:highlight w:val="none"/>
                <w:lang w:eastAsia="zh-Hans"/>
              </w:rPr>
            </w:pPr>
            <w:r>
              <w:rPr>
                <w:rFonts w:hint="eastAsia" w:ascii="宋体" w:hAnsi="宋体" w:eastAsia="宋体" w:cs="宋体"/>
                <w:color w:val="000000"/>
                <w:kern w:val="0"/>
                <w:sz w:val="24"/>
                <w:szCs w:val="24"/>
                <w:highlight w:val="none"/>
                <w:lang w:eastAsia="zh-Hans"/>
              </w:rPr>
              <w:t xml:space="preserve">（2） 协助完成试验操作。 </w:t>
            </w:r>
          </w:p>
          <w:p w14:paraId="4251DB35">
            <w:pPr>
              <w:widowControl/>
              <w:adjustRightInd w:val="0"/>
              <w:snapToGrid w:val="0"/>
              <w:jc w:val="left"/>
              <w:rPr>
                <w:rFonts w:hint="eastAsia" w:ascii="宋体" w:hAnsi="宋体" w:eastAsia="宋体" w:cs="宋体"/>
                <w:color w:val="000000"/>
                <w:kern w:val="0"/>
                <w:sz w:val="24"/>
                <w:szCs w:val="24"/>
                <w:highlight w:val="none"/>
                <w:lang w:eastAsia="zh-Hans"/>
              </w:rPr>
            </w:pPr>
            <w:r>
              <w:rPr>
                <w:rFonts w:hint="eastAsia" w:ascii="宋体" w:hAnsi="宋体" w:eastAsia="宋体" w:cs="宋体"/>
                <w:color w:val="000000"/>
                <w:kern w:val="0"/>
                <w:sz w:val="24"/>
                <w:szCs w:val="24"/>
                <w:highlight w:val="none"/>
                <w:lang w:eastAsia="zh-Hans"/>
              </w:rPr>
              <w:t xml:space="preserve">（3）设备自验收合格之日起质保期 1 年。在此期间，无偿提供设备故障维修（非人为） 、技术服务以及软件升级。 </w:t>
            </w:r>
          </w:p>
          <w:p w14:paraId="0A003B6B">
            <w:pPr>
              <w:widowControl/>
              <w:adjustRightInd w:val="0"/>
              <w:snapToGrid w:val="0"/>
              <w:jc w:val="left"/>
              <w:rPr>
                <w:rFonts w:hint="eastAsia" w:ascii="宋体" w:hAnsi="宋体" w:eastAsia="宋体" w:cs="宋体"/>
                <w:color w:val="000000"/>
                <w:kern w:val="0"/>
                <w:sz w:val="24"/>
                <w:szCs w:val="24"/>
                <w:highlight w:val="none"/>
                <w:lang w:eastAsia="zh-Hans"/>
              </w:rPr>
            </w:pPr>
            <w:r>
              <w:rPr>
                <w:rFonts w:hint="eastAsia" w:ascii="宋体" w:hAnsi="宋体" w:eastAsia="宋体" w:cs="宋体"/>
                <w:color w:val="000000"/>
                <w:kern w:val="0"/>
                <w:sz w:val="24"/>
                <w:szCs w:val="24"/>
                <w:highlight w:val="none"/>
                <w:lang w:eastAsia="zh-Hans"/>
              </w:rPr>
              <w:t xml:space="preserve">（4）在保修期内，如遇设备故障，要求 2 小时内做出响应， 4 小时内给出解决方案， 36 小时内派专业技术人员到现场进行处理， 3 个工作日排除故障并提供一切备品配件，对非人为造成的各类零件损坏，及时免费更换。 </w:t>
            </w:r>
          </w:p>
          <w:p w14:paraId="134845B1">
            <w:pPr>
              <w:widowControl/>
              <w:adjustRightInd w:val="0"/>
              <w:snapToGrid w:val="0"/>
              <w:jc w:val="left"/>
              <w:rPr>
                <w:rFonts w:hint="eastAsia" w:ascii="宋体" w:hAnsi="宋体" w:eastAsia="宋体" w:cs="宋体"/>
                <w:color w:val="000000"/>
                <w:kern w:val="0"/>
                <w:sz w:val="24"/>
                <w:szCs w:val="24"/>
                <w:highlight w:val="none"/>
                <w:lang w:eastAsia="zh-Hans"/>
              </w:rPr>
            </w:pPr>
            <w:r>
              <w:rPr>
                <w:rFonts w:hint="eastAsia" w:ascii="宋体" w:hAnsi="宋体" w:eastAsia="宋体" w:cs="宋体"/>
                <w:color w:val="000000"/>
                <w:kern w:val="0"/>
                <w:sz w:val="24"/>
                <w:szCs w:val="24"/>
                <w:highlight w:val="none"/>
                <w:lang w:eastAsia="zh-Hans"/>
              </w:rPr>
              <w:t xml:space="preserve">（5）保修期满后，对系统进行终身维护，对设备故障进行技术解答，必要时到现场予以处理。需更换备品备件时，以最优惠的价格和最快的速度予以提供。 </w:t>
            </w:r>
          </w:p>
          <w:p w14:paraId="2AC3D80B">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eastAsia="zh-Hans"/>
              </w:rPr>
              <w:t>（6）如果对方开发出新版本的软件，免费升级到最新版本。</w:t>
            </w:r>
          </w:p>
        </w:tc>
        <w:tc>
          <w:tcPr>
            <w:tcW w:w="530" w:type="dxa"/>
            <w:tcBorders>
              <w:top w:val="nil"/>
              <w:left w:val="nil"/>
              <w:bottom w:val="single" w:color="auto" w:sz="4" w:space="0"/>
              <w:right w:val="single" w:color="auto" w:sz="4" w:space="0"/>
            </w:tcBorders>
            <w:noWrap w:val="0"/>
            <w:vAlign w:val="center"/>
          </w:tcPr>
          <w:p w14:paraId="4EF87798">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套</w:t>
            </w:r>
          </w:p>
        </w:tc>
        <w:tc>
          <w:tcPr>
            <w:tcW w:w="457" w:type="dxa"/>
            <w:tcBorders>
              <w:top w:val="nil"/>
              <w:left w:val="nil"/>
              <w:bottom w:val="single" w:color="auto" w:sz="4" w:space="0"/>
              <w:right w:val="single" w:color="auto" w:sz="4" w:space="0"/>
            </w:tcBorders>
            <w:noWrap w:val="0"/>
            <w:vAlign w:val="center"/>
          </w:tcPr>
          <w:p w14:paraId="3847D1B5">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r>
      <w:tr w14:paraId="0085B13C">
        <w:tblPrEx>
          <w:tblCellMar>
            <w:top w:w="0" w:type="dxa"/>
            <w:left w:w="108" w:type="dxa"/>
            <w:bottom w:w="0" w:type="dxa"/>
            <w:right w:w="108" w:type="dxa"/>
          </w:tblCellMar>
        </w:tblPrEx>
        <w:trPr>
          <w:trHeight w:val="864" w:hRule="atLeast"/>
          <w:jc w:val="center"/>
        </w:trPr>
        <w:tc>
          <w:tcPr>
            <w:tcW w:w="755" w:type="dxa"/>
            <w:tcBorders>
              <w:top w:val="nil"/>
              <w:left w:val="single" w:color="auto" w:sz="4" w:space="0"/>
              <w:bottom w:val="single" w:color="auto" w:sz="4" w:space="0"/>
              <w:right w:val="single" w:color="auto" w:sz="4" w:space="0"/>
            </w:tcBorders>
            <w:noWrap/>
            <w:vAlign w:val="center"/>
          </w:tcPr>
          <w:p w14:paraId="3D3EBBC0">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13</w:t>
            </w:r>
          </w:p>
        </w:tc>
        <w:tc>
          <w:tcPr>
            <w:tcW w:w="705" w:type="dxa"/>
            <w:tcBorders>
              <w:top w:val="nil"/>
              <w:left w:val="nil"/>
              <w:bottom w:val="single" w:color="auto" w:sz="4" w:space="0"/>
              <w:right w:val="single" w:color="auto" w:sz="4" w:space="0"/>
            </w:tcBorders>
            <w:noWrap w:val="0"/>
            <w:vAlign w:val="center"/>
          </w:tcPr>
          <w:p w14:paraId="4E086A20">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汽车液压气动实验台</w:t>
            </w:r>
          </w:p>
        </w:tc>
        <w:tc>
          <w:tcPr>
            <w:tcW w:w="7063" w:type="dxa"/>
            <w:tcBorders>
              <w:top w:val="nil"/>
              <w:left w:val="nil"/>
              <w:bottom w:val="single" w:color="auto" w:sz="4" w:space="0"/>
              <w:right w:val="single" w:color="auto" w:sz="4" w:space="0"/>
            </w:tcBorders>
            <w:noWrap w:val="0"/>
            <w:vAlign w:val="center"/>
          </w:tcPr>
          <w:p w14:paraId="1432FB2F">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t>一、产品概述</w:t>
            </w:r>
          </w:p>
          <w:p w14:paraId="2FECE725">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汽车液压与气压传动PLC控制综合实训装置采用“二合一”结构，所有器件都采用工业元器件，配备两套实验设备，一套为气动与PLC实训平台，另一套为液压传动与PLC实训平台，且各自配有独立的PLC电气控制设备。 同一套装置既可以分别独立进行液压控制、气动控制的相应基本同路及其应用实验，又可以进行PLC编程及应用控制实验，适用于“液压传动与控制”“汽车液压与气动”等相关课程的教学实训。集真实的液压元件、各执行模块、继电器控制单元、PLC编程控制技术于一体，液压元件成独立模块，均装有带弹性插脚的底板，实训时可在通用铝型材板上组装成各种液压系统回路，电机和泵轴承式连接（一体化）再和油箱固定在一起，油箱和控制屏单独放置。带有三相电源漏电保护，直流电源带有过流保护，系统额定压力为6.3Mpa。</w:t>
            </w:r>
          </w:p>
          <w:p w14:paraId="7F598C3C">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t>二、技术参数</w:t>
            </w:r>
          </w:p>
          <w:p w14:paraId="3C1434E9">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 输入电源：220V。</w:t>
            </w:r>
          </w:p>
          <w:p w14:paraId="42AB5CA4">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 直流电源：DC24V。</w:t>
            </w:r>
          </w:p>
          <w:p w14:paraId="47FB2DBD">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 装置容量：&lt;3kVA。</w:t>
            </w:r>
          </w:p>
          <w:p w14:paraId="0A5C5A23">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 工作环境温度：－5℃～40℃。</w:t>
            </w:r>
          </w:p>
          <w:p w14:paraId="7BF91468">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 工作湿度：≤90%(40℃时)。</w:t>
            </w:r>
          </w:p>
          <w:p w14:paraId="60957BEA">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 外形尺寸：1600mm×1000mm×1750mm。</w:t>
            </w:r>
          </w:p>
          <w:p w14:paraId="69FFE2AC">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 液压泵站：最大容积45L，2mm钢板、变量叶片泵及电机、油温液面计、清洁盖、空气滤清器、吸油过滤器、耐震不锈钢压力表，L-HL46号液压油。变量叶片泵：压力7MPa，排壁8mL/r，转速1420r/min。电机：额定电压220V，额定功率1.5kW，绝缘等级B。</w:t>
            </w:r>
          </w:p>
          <w:p w14:paraId="4CBE3B11">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 静音无油空气压缩机：工作电源：AC220V。电机功率：750W公称容量24L。额定输出气压0.8Mpa 。</w:t>
            </w:r>
          </w:p>
          <w:p w14:paraId="44A3EDBB">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9. 组态仿真演示与控制实验：本设备配套采用正版组态液压气动虚拟仿真教学软件，带加密狗，不限时，不限次，提供了全套液压(不少于50种)，气压回路（不少于40种）三维立体动态的模拟演示与控制，能在计算机里提供液压，气压回路搭接原理图（包括实验说明、实验配置、实验步骤）液压，气动元件三维动画演示图（包括装配动画演示、剖面旋转动画），并且能同步控制真实气动回路的动作，可以真实模拟回路的运行情况。使学生能更直观地学习和了解实验内容，实现了实验过程的虚拟可视仿真。</w:t>
            </w:r>
          </w:p>
          <w:p w14:paraId="60C0C43C">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t>三、可以完成的实训项目</w:t>
            </w:r>
          </w:p>
          <w:p w14:paraId="5747A2B7">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（一）液压部分实训项目</w:t>
            </w:r>
          </w:p>
          <w:p w14:paraId="6528B3D2">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可完成二十几种液压回路实训（学生也可自行设计搭建其它回路），典型实训如下：</w:t>
            </w:r>
          </w:p>
          <w:p w14:paraId="73069009">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 单级调压回路。</w:t>
            </w:r>
          </w:p>
          <w:p w14:paraId="20269536">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 多级调压回路。</w:t>
            </w:r>
          </w:p>
          <w:p w14:paraId="7414771A">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 减压回路。</w:t>
            </w:r>
          </w:p>
          <w:p w14:paraId="15508BD5">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 卸荷回路。</w:t>
            </w:r>
          </w:p>
          <w:p w14:paraId="655028BF">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 进油节流调速回路。</w:t>
            </w:r>
          </w:p>
          <w:p w14:paraId="68027BFF">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 回油节流调速回路。</w:t>
            </w:r>
          </w:p>
          <w:p w14:paraId="03FE8B0A">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 旁油节流调速回路。</w:t>
            </w:r>
          </w:p>
          <w:p w14:paraId="4B225B2F">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 液压缸差动连接的快速运动回路。</w:t>
            </w:r>
          </w:p>
          <w:p w14:paraId="09F8F8CC">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9. 调速阀短接速度换接回路。</w:t>
            </w:r>
          </w:p>
          <w:p w14:paraId="731415B0">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 调速阀串联的速度换接回路。</w:t>
            </w:r>
          </w:p>
          <w:p w14:paraId="19F7D63A">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 调速阀并联的速度换接回路。</w:t>
            </w:r>
          </w:p>
          <w:p w14:paraId="6C1F499D">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12. 用换向阀的换向回路。</w:t>
            </w:r>
          </w:p>
          <w:p w14:paraId="7688A023">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13. 用“O”型机能换向阀的锁紧回路。</w:t>
            </w:r>
          </w:p>
          <w:p w14:paraId="0555FE03">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14. 用液控单向阀的锁紧回路。</w:t>
            </w:r>
          </w:p>
          <w:p w14:paraId="31FACC31">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15. 用顺序阀控制的顺序动作回路。</w:t>
            </w:r>
          </w:p>
          <w:p w14:paraId="383D3870">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16. 用调速阀控制的同步回。</w:t>
            </w:r>
          </w:p>
          <w:p w14:paraId="15327850">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17. PLC控制的连续往返回路。</w:t>
            </w:r>
          </w:p>
          <w:p w14:paraId="7C885A57">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18. PLC控制的延时返回的单往复回路。</w:t>
            </w:r>
          </w:p>
          <w:p w14:paraId="02CEBD50">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19. PLC控制的压力继电器顺序动作回路。</w:t>
            </w:r>
          </w:p>
          <w:p w14:paraId="339D6E29">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 PLC控制的行程开关顺序动作回路。</w:t>
            </w:r>
          </w:p>
          <w:p w14:paraId="6DBC6C77">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21. 时间继电器控制的顺序回路。</w:t>
            </w:r>
          </w:p>
          <w:p w14:paraId="0D5515DC">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22. 液压泵站额定流量实验。</w:t>
            </w:r>
          </w:p>
          <w:p w14:paraId="65D8B058">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23. 液压泵站额定转速实验。</w:t>
            </w:r>
          </w:p>
          <w:p w14:paraId="059D2C9E">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24. 液压泵站额定压力实验。</w:t>
            </w:r>
          </w:p>
          <w:p w14:paraId="42291CF8">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（二）气动部分实训项目</w:t>
            </w:r>
          </w:p>
          <w:p w14:paraId="01DB317D">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 单作用气缸的换向回路。</w:t>
            </w:r>
          </w:p>
          <w:p w14:paraId="109B76C7">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 双作用气缸的换向回路。</w:t>
            </w:r>
          </w:p>
          <w:p w14:paraId="1624B9C5">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 单作用气缸速度控制回路。</w:t>
            </w:r>
          </w:p>
          <w:p w14:paraId="4F112B0B">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 双作用气缸双向调速回路。</w:t>
            </w:r>
          </w:p>
          <w:p w14:paraId="6CAF4619">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 速度换接回路。</w:t>
            </w:r>
          </w:p>
          <w:p w14:paraId="51385836">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 缓冲回路。</w:t>
            </w:r>
          </w:p>
          <w:p w14:paraId="7A07E94D">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 二次压力控制回路。</w:t>
            </w:r>
          </w:p>
          <w:p w14:paraId="074732C5">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 高低压转换回路。</w:t>
            </w:r>
          </w:p>
          <w:p w14:paraId="0FB3E80A">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9. 计数回路.</w:t>
            </w:r>
          </w:p>
          <w:p w14:paraId="4ABF0056">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 延时回路。</w:t>
            </w:r>
          </w:p>
          <w:p w14:paraId="48F9F6D9">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 过载保护回路。</w:t>
            </w:r>
          </w:p>
          <w:p w14:paraId="3A5AF534">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12. 互锁回路。</w:t>
            </w:r>
          </w:p>
          <w:p w14:paraId="64ADD3B1">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13. 单缸单往复控制回路。</w:t>
            </w:r>
          </w:p>
          <w:p w14:paraId="57AB4C88">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14. 单缸连续往复动作回路。</w:t>
            </w:r>
          </w:p>
          <w:p w14:paraId="501C7182">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15. 直线缸、旋转缸顺序动作回路。</w:t>
            </w:r>
          </w:p>
          <w:p w14:paraId="0A18E657">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16. 多缸顺序动作回路。</w:t>
            </w:r>
          </w:p>
          <w:p w14:paraId="731A6921">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17. 双缸、同步动作回路。</w:t>
            </w:r>
          </w:p>
          <w:p w14:paraId="063BB0D7">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18. 四缸联动回路。</w:t>
            </w:r>
          </w:p>
          <w:p w14:paraId="5B6C23EA">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19. 卸荷回路。</w:t>
            </w:r>
          </w:p>
          <w:p w14:paraId="71F5F916">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 或门型梭阀的应用回路。</w:t>
            </w:r>
          </w:p>
          <w:p w14:paraId="4168350D">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21. 快速排气阀应用回路，残压排除回路。</w:t>
            </w:r>
          </w:p>
          <w:p w14:paraId="3235004A">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22. 自动与手动运用回路。</w:t>
            </w:r>
          </w:p>
          <w:p w14:paraId="3F66238F">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23. 双手操作回路。</w:t>
            </w:r>
          </w:p>
          <w:p w14:paraId="59C1379C">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24. PLC控制的行程开关顺序动作回路。</w:t>
            </w:r>
          </w:p>
          <w:p w14:paraId="46654951">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25. PLC控制的连续往返回路。</w:t>
            </w:r>
          </w:p>
          <w:p w14:paraId="4525CBD4">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26. PLC控制的延时返回的单往复回路。</w:t>
            </w:r>
          </w:p>
          <w:p w14:paraId="0353E9CC">
            <w:pPr>
              <w:widowControl/>
              <w:adjustRightInd w:val="0"/>
              <w:snapToGrid w:val="0"/>
              <w:jc w:val="lef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四、配套</w:t>
            </w:r>
          </w:p>
          <w:p w14:paraId="0799E886">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配备控制系统及数据处理系统软件及控制上位机硬件设备和试验桌。桌子尺寸：≥2000 mm×750 mm×800 mm（长×宽×高），桌子配插座，桌面材质：理化板+防静电胶，桌腿：方钢。</w:t>
            </w:r>
          </w:p>
        </w:tc>
        <w:tc>
          <w:tcPr>
            <w:tcW w:w="530" w:type="dxa"/>
            <w:tcBorders>
              <w:top w:val="nil"/>
              <w:left w:val="nil"/>
              <w:bottom w:val="single" w:color="auto" w:sz="4" w:space="0"/>
              <w:right w:val="single" w:color="auto" w:sz="4" w:space="0"/>
            </w:tcBorders>
            <w:noWrap w:val="0"/>
            <w:vAlign w:val="center"/>
          </w:tcPr>
          <w:p w14:paraId="0D1F4C97">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台</w:t>
            </w:r>
          </w:p>
        </w:tc>
        <w:tc>
          <w:tcPr>
            <w:tcW w:w="457" w:type="dxa"/>
            <w:tcBorders>
              <w:top w:val="nil"/>
              <w:left w:val="nil"/>
              <w:bottom w:val="single" w:color="auto" w:sz="4" w:space="0"/>
              <w:right w:val="single" w:color="auto" w:sz="4" w:space="0"/>
            </w:tcBorders>
            <w:noWrap w:val="0"/>
            <w:vAlign w:val="center"/>
          </w:tcPr>
          <w:p w14:paraId="73866C9F">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w:t>
            </w:r>
          </w:p>
        </w:tc>
      </w:tr>
      <w:tr w14:paraId="633AB235">
        <w:tblPrEx>
          <w:tblCellMar>
            <w:top w:w="0" w:type="dxa"/>
            <w:left w:w="108" w:type="dxa"/>
            <w:bottom w:w="0" w:type="dxa"/>
            <w:right w:w="108" w:type="dxa"/>
          </w:tblCellMar>
        </w:tblPrEx>
        <w:trPr>
          <w:trHeight w:val="864" w:hRule="atLeast"/>
          <w:jc w:val="center"/>
        </w:trPr>
        <w:tc>
          <w:tcPr>
            <w:tcW w:w="755" w:type="dxa"/>
            <w:tcBorders>
              <w:top w:val="nil"/>
              <w:left w:val="single" w:color="auto" w:sz="4" w:space="0"/>
              <w:bottom w:val="single" w:color="auto" w:sz="4" w:space="0"/>
              <w:right w:val="single" w:color="auto" w:sz="4" w:space="0"/>
            </w:tcBorders>
            <w:noWrap/>
            <w:vAlign w:val="center"/>
          </w:tcPr>
          <w:p w14:paraId="55D89DF7">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14</w:t>
            </w:r>
          </w:p>
        </w:tc>
        <w:tc>
          <w:tcPr>
            <w:tcW w:w="705" w:type="dxa"/>
            <w:tcBorders>
              <w:top w:val="nil"/>
              <w:left w:val="nil"/>
              <w:bottom w:val="single" w:color="auto" w:sz="4" w:space="0"/>
              <w:right w:val="single" w:color="auto" w:sz="4" w:space="0"/>
            </w:tcBorders>
            <w:noWrap w:val="0"/>
            <w:vAlign w:val="center"/>
          </w:tcPr>
          <w:p w14:paraId="289F6373">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微缩智能网联汽车</w:t>
            </w:r>
          </w:p>
        </w:tc>
        <w:tc>
          <w:tcPr>
            <w:tcW w:w="7063" w:type="dxa"/>
            <w:tcBorders>
              <w:top w:val="nil"/>
              <w:left w:val="nil"/>
              <w:bottom w:val="single" w:color="auto" w:sz="4" w:space="0"/>
              <w:right w:val="single" w:color="auto" w:sz="4" w:space="0"/>
            </w:tcBorders>
            <w:noWrap w:val="0"/>
            <w:vAlign w:val="center"/>
          </w:tcPr>
          <w:p w14:paraId="08AF340B">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t>一、功能概述</w:t>
            </w:r>
          </w:p>
          <w:p w14:paraId="3EE3208C">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 基于单车道线的车道保持与避障：单车道线通过HSV颜色进行识别，避障融合激光雷达与yolov5目标检测算法，车辆横纵向控制基于pid算法实现，车速可稳定在直道0.5m/s，弯道0.3m/s，提供python与c++源码。</w:t>
            </w:r>
          </w:p>
          <w:p w14:paraId="6E48AA9C">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 基于双车道线的车道保持与避障：双车道线识别通过深度学习ufld算法进行实现，避障融合激光雷达与yolov5目标检测算法，车辆横纵向控制基于pid算法实现，车速可稳定在直道0.5m/s，弯道0.3m/s，提供python与c++源码。</w:t>
            </w:r>
          </w:p>
          <w:p w14:paraId="169A8177">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 SLAM建图导航与轨迹跟踪：室内沙盘场景基于slam算法（Gmapping，CatoGrapher等），融合多传感器（imu，轮速记，摄像头）进行感知和定位，在沙盘稳定在0.3m/s运动，提供c++与python源码。</w:t>
            </w:r>
          </w:p>
          <w:p w14:paraId="0EBD4D38">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 识别红绿灯：使用pytorch/tensorflow进行yolo的训练，模型的部署采用业界通用方案tensorrt，识别结果采用ros话题通讯机制传输给控制模块，实现红灯停，绿灯行，提供python与c++源码。</w:t>
            </w:r>
          </w:p>
          <w:p w14:paraId="385B0D07">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 多辆智能车协同功能：可进行多车编队、换道、合流、分流等协同功能。</w:t>
            </w:r>
          </w:p>
          <w:p w14:paraId="06C70FFF">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6. 智能车自动巡航、路径跟踪、跟驰换道、紧急制动等功能：支持跟驰模型和路径跟踪算法的调整设置（路径跟踪功能，仅高精定位场景支持）。 </w:t>
            </w:r>
          </w:p>
          <w:p w14:paraId="282ED996">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t>二、技术参数</w:t>
            </w:r>
          </w:p>
          <w:p w14:paraId="686363C9">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 车辆类型：1:10。</w:t>
            </w:r>
          </w:p>
          <w:p w14:paraId="4FDDF806">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 转向形式：前桥阿克曼转向（高精度伺服电机）。</w:t>
            </w:r>
          </w:p>
          <w:p w14:paraId="61D10C5A">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 驱动方式：单电机后置四驱。</w:t>
            </w:r>
          </w:p>
          <w:p w14:paraId="79070D94">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 制动方式：电机减速。</w:t>
            </w:r>
          </w:p>
          <w:p w14:paraId="3735041F">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 轮胎尺寸：直径65mm，轮宽25mm。</w:t>
            </w:r>
          </w:p>
          <w:p w14:paraId="03251196">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 前轮中心距：165mm。</w:t>
            </w:r>
          </w:p>
          <w:p w14:paraId="393E72F9">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 后轮中心距：165mm。</w:t>
            </w:r>
          </w:p>
          <w:p w14:paraId="16514FF3">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 前后轮轴距：255mm。</w:t>
            </w:r>
          </w:p>
          <w:p w14:paraId="747A5D18">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9. 车辆尺寸：L485×W192×H142mm（不含单目摄像头及激光雷达）。</w:t>
            </w:r>
          </w:p>
          <w:p w14:paraId="056611B5">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 L485×W192×H186mm（到激光雷达的高度，不含单目摄像头）。</w:t>
            </w:r>
          </w:p>
          <w:p w14:paraId="11405A71">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 L485×W192×H248mm（含单目摄像头及激光雷达高度）。</w:t>
            </w:r>
          </w:p>
          <w:p w14:paraId="782B86CF">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12. 最小离地间隙：3.8mm。</w:t>
            </w:r>
          </w:p>
          <w:p w14:paraId="4FCC29B4">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13. 整车质量：3.0kg。</w:t>
            </w:r>
          </w:p>
          <w:p w14:paraId="2F873799">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14. 最大速度：≥0.5m/s。</w:t>
            </w:r>
          </w:p>
          <w:p w14:paraId="0B819406">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15. 转弯半径：0.9m。</w:t>
            </w:r>
          </w:p>
          <w:p w14:paraId="1CF79371">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16. 爬坡能力：≥21%。</w:t>
            </w:r>
          </w:p>
          <w:p w14:paraId="221750D6">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17. 转向角度：±20°。</w:t>
            </w:r>
          </w:p>
          <w:p w14:paraId="05466B02">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18. 控制精度：≥±1°。</w:t>
            </w:r>
          </w:p>
          <w:p w14:paraId="2431EE3F">
            <w:pPr>
              <w:widowControl/>
              <w:adjustRightInd w:val="0"/>
              <w:snapToGrid w:val="0"/>
              <w:jc w:val="left"/>
              <w:rPr>
                <w:rFonts w:hint="eastAsia" w:ascii="宋体" w:hAnsi="宋体" w:eastAsia="宋体" w:cs="宋体"/>
                <w:kern w:val="0"/>
                <w:sz w:val="24"/>
                <w:szCs w:val="24"/>
                <w:highlight w:val="none"/>
              </w:rPr>
            </w:pPr>
            <w:r>
              <w:rPr>
                <w:rFonts w:hint="eastAsia" w:ascii="宋体" w:hAnsi="宋体" w:eastAsia="宋体" w:cs="宋体"/>
                <w:color w:val="000000"/>
                <w:kern w:val="0"/>
                <w:sz w:val="24"/>
                <w:szCs w:val="24"/>
                <w:highlight w:val="none"/>
              </w:rPr>
              <w:t>19. 核心板：</w:t>
            </w:r>
            <w:r>
              <w:rPr>
                <w:rFonts w:hint="eastAsia" w:ascii="宋体" w:hAnsi="宋体" w:eastAsia="宋体" w:cs="宋体"/>
                <w:kern w:val="0"/>
                <w:sz w:val="24"/>
                <w:szCs w:val="24"/>
                <w:highlight w:val="none"/>
              </w:rPr>
              <w:t>不低于NVIDIA Jetson Xavier NX。</w:t>
            </w:r>
          </w:p>
          <w:p w14:paraId="27FE789A">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kern w:val="0"/>
                <w:sz w:val="24"/>
                <w:szCs w:val="24"/>
                <w:highlight w:val="none"/>
              </w:rPr>
              <w:t>20. 控制板：不低于运动底盘主控芯片STM</w:t>
            </w:r>
            <w:r>
              <w:rPr>
                <w:rFonts w:hint="eastAsia" w:ascii="宋体" w:hAnsi="宋体" w:eastAsia="宋体" w:cs="宋体"/>
                <w:color w:val="000000"/>
                <w:kern w:val="0"/>
                <w:sz w:val="24"/>
                <w:szCs w:val="24"/>
                <w:highlight w:val="none"/>
              </w:rPr>
              <w:t>32F1系列，Cortex-M3处理器。</w:t>
            </w:r>
          </w:p>
          <w:p w14:paraId="656D4CDE">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21. 双目景深摄像机： 深度分辨率和帧率≥1280x720 90fps， RGB传感器分辨率和帧率≥1920x1080 30fps，深度距离范0.105m-10m，使用环境支持室内/室外使用。</w:t>
            </w:r>
          </w:p>
          <w:p w14:paraId="6F2CB332">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22. 九轴IMU：加速度范围±16g，陀螺仪范围±2000dps,磁场范围4800uT。</w:t>
            </w:r>
          </w:p>
          <w:p w14:paraId="7B6B81E2">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23. 毫米波雷达：工作电压5V，探测频率24~24.25GHz，探测距离0.1m~3.5m通讯接口UART。</w:t>
            </w:r>
          </w:p>
          <w:p w14:paraId="54B64679">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24. 超声波测距：工作电压3.3~5V，测量距离0.03m~4.5m，盲区3cm，测量精度±(0.3%S+1)cm。</w:t>
            </w:r>
          </w:p>
          <w:p w14:paraId="65F66DA0">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25. 驱动电机：DC12V直流有刷电机，额定电流≤0.4A，额定扭力400g.cm，堵转扭力≥2.0kg.c。</w:t>
            </w:r>
          </w:p>
          <w:p w14:paraId="3C2E20B5">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26. 舵机：工作电压6V~7.4V，空载速度为0.185sec/60°(54PRM)，额定电流100mA，额定负载7kg.cm，堵转扭力≥20.5kg.cm。控制方式PWM。</w:t>
            </w:r>
          </w:p>
          <w:p w14:paraId="7EF74F8F">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27. 信标感应模块：探测信标距离可达10cm，数据传输最大速率10Mbit/s，数据刷新速率7Hz。</w:t>
            </w:r>
          </w:p>
          <w:p w14:paraId="6CC30FAB">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28. 激光雷达：测量半径 ：0.2m - 12m，采样频率 ：16K，扫描频率：10Hz(5Hz-15Hz)，角度分辨率：0.225°。</w:t>
            </w:r>
          </w:p>
          <w:p w14:paraId="5E6E8FA9">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三、教学支持：</w:t>
            </w:r>
          </w:p>
          <w:p w14:paraId="13E2E123">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初级：智能网联汽车系统适配</w:t>
            </w:r>
          </w:p>
          <w:p w14:paraId="57AD9DCB">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任务一：认识智能汽车技术</w:t>
            </w:r>
          </w:p>
          <w:p w14:paraId="7AD1BE8F">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任务二：智能网联汽车的自动驾驶系统安装</w:t>
            </w:r>
          </w:p>
          <w:p w14:paraId="2CD22A54">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任务三：智能网联汽车的传感器适配</w:t>
            </w:r>
          </w:p>
          <w:p w14:paraId="6029E47D">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任务四：智能网联汽车的线控底盘适配</w:t>
            </w:r>
          </w:p>
          <w:p w14:paraId="053FC7FC">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中级：智能网联汽车综合故障维修</w:t>
            </w:r>
          </w:p>
          <w:p w14:paraId="7C6223C8">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任务一：车辆无法实现远程控制故障维修</w:t>
            </w:r>
          </w:p>
          <w:p w14:paraId="609626CF">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任务二：自动泊车功能不工作故障维修</w:t>
            </w:r>
          </w:p>
          <w:p w14:paraId="7EC7F4D0">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任务三：自动紧急制动功能受限故障维修</w:t>
            </w:r>
          </w:p>
          <w:p w14:paraId="1052C473">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任务四：自动驾驶功能异常退出故障维修</w:t>
            </w:r>
          </w:p>
          <w:p w14:paraId="31B44B35">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高级：自动驾驶技术与应用</w:t>
            </w:r>
          </w:p>
          <w:p w14:paraId="4BA54C16">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任务一：实车 ADAS 系统的标定与应用</w:t>
            </w:r>
          </w:p>
          <w:p w14:paraId="7670FD77">
            <w:pPr>
              <w:widowControl/>
              <w:adjustRightInd w:val="0"/>
              <w:snapToGrid w:val="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 xml:space="preserve">  任务二：L4 级自动驾驶车辆的改装技术 </w:t>
            </w:r>
            <w:r>
              <w:rPr>
                <w:rFonts w:hint="eastAsia" w:ascii="宋体" w:hAnsi="宋体" w:eastAsia="宋体" w:cs="宋体"/>
                <w:sz w:val="24"/>
                <w:szCs w:val="24"/>
                <w:highlight w:val="none"/>
              </w:rPr>
              <w:t xml:space="preserve">             </w:t>
            </w:r>
          </w:p>
        </w:tc>
        <w:tc>
          <w:tcPr>
            <w:tcW w:w="530" w:type="dxa"/>
            <w:tcBorders>
              <w:top w:val="nil"/>
              <w:left w:val="nil"/>
              <w:bottom w:val="single" w:color="auto" w:sz="4" w:space="0"/>
              <w:right w:val="single" w:color="auto" w:sz="4" w:space="0"/>
            </w:tcBorders>
            <w:noWrap w:val="0"/>
            <w:vAlign w:val="center"/>
          </w:tcPr>
          <w:p w14:paraId="00755D52">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辆</w:t>
            </w:r>
          </w:p>
        </w:tc>
        <w:tc>
          <w:tcPr>
            <w:tcW w:w="457" w:type="dxa"/>
            <w:tcBorders>
              <w:top w:val="nil"/>
              <w:left w:val="nil"/>
              <w:bottom w:val="single" w:color="auto" w:sz="4" w:space="0"/>
              <w:right w:val="single" w:color="auto" w:sz="4" w:space="0"/>
            </w:tcBorders>
            <w:noWrap w:val="0"/>
            <w:vAlign w:val="center"/>
          </w:tcPr>
          <w:p w14:paraId="100970DC">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w:t>
            </w:r>
          </w:p>
        </w:tc>
      </w:tr>
      <w:tr w14:paraId="4F275D46">
        <w:tblPrEx>
          <w:tblCellMar>
            <w:top w:w="0" w:type="dxa"/>
            <w:left w:w="108" w:type="dxa"/>
            <w:bottom w:w="0" w:type="dxa"/>
            <w:right w:w="108" w:type="dxa"/>
          </w:tblCellMar>
        </w:tblPrEx>
        <w:trPr>
          <w:trHeight w:val="864" w:hRule="atLeast"/>
          <w:jc w:val="center"/>
        </w:trPr>
        <w:tc>
          <w:tcPr>
            <w:tcW w:w="755" w:type="dxa"/>
            <w:tcBorders>
              <w:top w:val="nil"/>
              <w:left w:val="single" w:color="auto" w:sz="4" w:space="0"/>
              <w:bottom w:val="single" w:color="auto" w:sz="4" w:space="0"/>
              <w:right w:val="single" w:color="auto" w:sz="4" w:space="0"/>
            </w:tcBorders>
            <w:noWrap/>
            <w:vAlign w:val="center"/>
          </w:tcPr>
          <w:p w14:paraId="5CD57316">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15</w:t>
            </w:r>
          </w:p>
        </w:tc>
        <w:tc>
          <w:tcPr>
            <w:tcW w:w="705" w:type="dxa"/>
            <w:tcBorders>
              <w:top w:val="nil"/>
              <w:left w:val="nil"/>
              <w:bottom w:val="single" w:color="auto" w:sz="4" w:space="0"/>
              <w:right w:val="single" w:color="auto" w:sz="4" w:space="0"/>
            </w:tcBorders>
            <w:noWrap w:val="0"/>
            <w:vAlign w:val="center"/>
          </w:tcPr>
          <w:p w14:paraId="666C92AC">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智慧路网基础平台</w:t>
            </w:r>
          </w:p>
        </w:tc>
        <w:tc>
          <w:tcPr>
            <w:tcW w:w="7063" w:type="dxa"/>
            <w:tcBorders>
              <w:top w:val="nil"/>
              <w:left w:val="nil"/>
              <w:bottom w:val="single" w:color="auto" w:sz="4" w:space="0"/>
              <w:right w:val="single" w:color="auto" w:sz="4" w:space="0"/>
            </w:tcBorders>
            <w:noWrap w:val="0"/>
            <w:vAlign w:val="center"/>
          </w:tcPr>
          <w:p w14:paraId="5A023F00">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投影式路网是一种将路网通过投影的方式展示路网环境。利用投影设备将路网的设计方案（图片、动画、仿真软件界面等）投射在普通地板、专用地面或桌面上。采用的投影式路网设计可以随时变换道路设计方案，不占用实验空间，简单方便。为确保贴近真实交通环境，道路的形态按照真实的公路工程建设标准按比例缩小设计，根据需求可定制实现融合十字交叉口、T形交叉口、环形交叉口、公交路、停车区、景观区等不同场景元素。同样的，对于以下参数描述，根据需求可定制实现部分或全部，具体参考最终设计方案。同时，平台采用模块化设计方便搬运和后期拓展。</w:t>
            </w:r>
          </w:p>
          <w:p w14:paraId="7DBC9D4E">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t>技术描述：</w:t>
            </w:r>
          </w:p>
          <w:p w14:paraId="021A3E45">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 由上到下包括：功能展示层、路面层、路基层、设备舱等几部分组成，道路参考真实公路工程建设标准按比例缩小设计。</w:t>
            </w:r>
          </w:p>
          <w:p w14:paraId="47108FB5">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 路网元素：可根据具体设计融合城市道路、绿化带、标志建筑、高速路、高架桥、匝道等不同场景元素。</w:t>
            </w:r>
          </w:p>
          <w:p w14:paraId="61B07882">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 行车道类型：可根据具体设计融合包含双车道、单车道、十字交叉口、T形交叉口、高架桥、环形交叉口、匝道、隧道、公交专用道、车列停靠站台等道路类型。</w:t>
            </w:r>
          </w:p>
          <w:p w14:paraId="4B1E61CA">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 标志标线种类：可根据具体设计融合包含斑马线、限速标志、信号灯标志、车道线、指路标志、动态限速标志等。</w:t>
            </w:r>
          </w:p>
          <w:p w14:paraId="578C49C2">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t>技术参数：</w:t>
            </w:r>
          </w:p>
          <w:p w14:paraId="250ED8B4">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投影路网根据需求可定制实现包含基础道路、交叉口、匝道等交通要素，主要有：</w:t>
            </w:r>
          </w:p>
          <w:p w14:paraId="6B132242">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 基础道路场景，包含线性、路面、路基、隔离护栏、周围环境的交通要素。</w:t>
            </w:r>
          </w:p>
          <w:p w14:paraId="0DF6F3D5">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 交叉口场景，包含十字、丁字、畸形等不同交叉口形式。</w:t>
            </w:r>
          </w:p>
          <w:p w14:paraId="4A86517D">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 根据道路曲率、半径等参数开发急弯场景。</w:t>
            </w:r>
          </w:p>
          <w:p w14:paraId="54404E66">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 匝道分合流场景。</w:t>
            </w:r>
          </w:p>
          <w:p w14:paraId="120706E0">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单个投影仪的投影面积一般不小于3*2.5米，具体与架设环境相关，投影亮度不低于6000流明。投影路网采用unity建模仿真，路网类型不低于2个，支持手动一键切换功能。</w:t>
            </w:r>
          </w:p>
          <w:p w14:paraId="2333A42B">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t>高清晰投影：</w:t>
            </w:r>
          </w:p>
          <w:p w14:paraId="675A1868">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 芯片：DLP显示技术，芯片尺寸0.67英寸。</w:t>
            </w:r>
          </w:p>
          <w:p w14:paraId="228762B7">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 分辨率：≥1920×1200。</w:t>
            </w:r>
          </w:p>
          <w:p w14:paraId="0E9D43CB">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 光源：ALPD激光光源，光源寿命≥20000小时。</w:t>
            </w:r>
          </w:p>
          <w:p w14:paraId="210D5D03">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 亮度：≥8300ANSI流明。</w:t>
            </w:r>
          </w:p>
          <w:p w14:paraId="37D2D799">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 对比度：≥100,000:1。</w:t>
            </w:r>
          </w:p>
          <w:p w14:paraId="01AD4435">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 亮度均匀性：≥90%。</w:t>
            </w:r>
          </w:p>
          <w:p w14:paraId="3E20B5AC">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 镜头：标准镜头'1.23~1.97:1，支持0.55:1、0.62:1、0.8:1镜头可选。</w:t>
            </w:r>
          </w:p>
          <w:p w14:paraId="4FC8B4DA">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 镜头位移：支持垂直水平方向手动镜头位移，垂直方向：±100%，水平方向：±40%。</w:t>
            </w:r>
          </w:p>
          <w:p w14:paraId="3745D4BF">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9. 信号接口：输入：RGB*1。HDMI*1。DVI*1。</w:t>
            </w:r>
          </w:p>
          <w:p w14:paraId="1BE93419">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 控制接口：RS232 in*1，RJ45*1（网络控制），3D SYNC*1。</w:t>
            </w:r>
          </w:p>
          <w:p w14:paraId="4436BEA2">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 色域：≥REC.709。</w:t>
            </w:r>
          </w:p>
          <w:p w14:paraId="4AC385F7">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12. 功耗：功耗≤450W，待机功耗≤0.5W。</w:t>
            </w:r>
          </w:p>
          <w:p w14:paraId="2783E04A">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13. 3D：支持DLPlink 3D、红外3D，支持多台投影机3D同步。</w:t>
            </w:r>
          </w:p>
          <w:p w14:paraId="48828DD6">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14. 颜色调整：支持RGBYCMW七色调整。</w:t>
            </w:r>
          </w:p>
          <w:p w14:paraId="36F994E1">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t>定位及轨迹跟踪系统功能概述：</w:t>
            </w:r>
          </w:p>
          <w:p w14:paraId="01E9D7EF">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 根据场景大小实现全场景的定位覆盖，定位精度不低于1cm。</w:t>
            </w:r>
          </w:p>
          <w:p w14:paraId="13A3F2B5">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 能实现6辆以上智能车的定位，基于室内定位系统能精准实现智能车的路径规划与导航，轨迹跟踪误差不高于2cm。</w:t>
            </w:r>
          </w:p>
          <w:p w14:paraId="7FAA46D9">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 配有光学动作捕捉镜头，镜头连接线，镜头固定装置套件，光学标定系统等。支持智能车路径轨迹的导出。</w:t>
            </w:r>
          </w:p>
          <w:p w14:paraId="7A52A9AB">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t>动捕镜头：</w:t>
            </w:r>
          </w:p>
          <w:p w14:paraId="27B4A165">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 红外光学追踪，无电、磁和声音干扰。</w:t>
            </w:r>
          </w:p>
          <w:p w14:paraId="0159AA21">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 无线追踪，无数据线和电源线的牵绊。</w:t>
            </w:r>
          </w:p>
          <w:p w14:paraId="4CD0646C">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 内置高能近红外LED闪光灯，波长为850 nm，强度可供调整。</w:t>
            </w:r>
          </w:p>
          <w:p w14:paraId="097DE4F4">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 满分辨率最大帧速：≥200帧/秒。</w:t>
            </w:r>
          </w:p>
          <w:p w14:paraId="3F195B6B">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 分辨率： ≥130万像素。</w:t>
            </w:r>
          </w:p>
          <w:p w14:paraId="516B53CA">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 为尽可能减少捕捉死角，最大化利用场地，需保证相机水平视场角≥90°，垂直视场角≥70°。</w:t>
            </w:r>
          </w:p>
          <w:p w14:paraId="6587FEB6">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 为保证使用灵活度，相机镜头需支持连续变焦功能，可以根据不同的使用场景选择不同的焦距而无须更换镜头。变焦范围应不小于4-12mm，即最小焦距不大于4mm，最大焦距不小于12mm。</w:t>
            </w:r>
          </w:p>
          <w:p w14:paraId="7AFEA39F">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 为保证景深以及透光量，应保证相机光圈≤1.2。</w:t>
            </w:r>
          </w:p>
          <w:p w14:paraId="47143B8B">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9. 为保证使用友好度，镜头前方有三色LED灯圈可以直观显示相机的工作状态以及校准进度等，外观无裸露（需提供照片）。</w:t>
            </w:r>
          </w:p>
          <w:p w14:paraId="5F221857">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 为保证捕捉精度，相机内置处理器性能需≥双核ARM A9，内存≥1GB DDR3 SDRAM，≥16MB QSPI，≥4GB eMMC。</w:t>
            </w:r>
          </w:p>
          <w:p w14:paraId="27958C15">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 相机主体密封，电路板除镜头部分外无裸露，且只有一个RJ45接口供电和传输数据（需提供照片）</w:t>
            </w:r>
          </w:p>
          <w:p w14:paraId="416336D1">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12. POE供电，仅需一根网线即可同时完成系统供电、同步及数据传输功能。</w:t>
            </w:r>
          </w:p>
          <w:p w14:paraId="64E2EE8E">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13. 安装距离：100米。</w:t>
            </w:r>
          </w:p>
          <w:p w14:paraId="5AAA4D6B">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14. 延迟: ≤5毫秒。</w:t>
            </w:r>
          </w:p>
          <w:p w14:paraId="292BBC70">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15. 追踪距离：≥15米。</w:t>
            </w:r>
          </w:p>
          <w:p w14:paraId="28C2E4D5">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16. 为保证产品质量，相机需通过ROHS、CE、FCC、VCCI认证，投标文件中提供具有CMA或CNAS标识的第三方检测报告。</w:t>
            </w:r>
          </w:p>
          <w:p w14:paraId="0DAABC1F">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17. 相机能在环境温度-40℃连续工作48h以上和温度90℃连续工作连续工作16h，可正常工作，具备完善的抗高低温性（需在具有CNAS或CMA标识检测报告中体现功能描述）。</w:t>
            </w:r>
          </w:p>
          <w:p w14:paraId="551402B4">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18. 相机能在湿度60℃，96%RH的潮湿环境下48h，正常工作，（投标文件中提供具有CMA或CNAS标识的第三方检测报告）。</w:t>
            </w:r>
          </w:p>
          <w:p w14:paraId="4369E2E2">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19. ★相机在振动频率3hz-200hz，振幅0.35（p-p），扫频速度1oct/min,振动方向X/Y/Z轴，振动时间1h/轴向的条件下产品振动无异响，能正常工作（需在具有CNAS或CMA标识检测报告中体现功能描述）。</w:t>
            </w:r>
          </w:p>
          <w:p w14:paraId="2EC87511">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t>交换机：</w:t>
            </w:r>
          </w:p>
          <w:p w14:paraId="181E6D8F">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 10/100/1000Base-T RJ45端口支持PoE+供电。</w:t>
            </w:r>
          </w:p>
          <w:p w14:paraId="1A69538C">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 符合IEEE 802.3af/at标准，单端口PoE功率可达30W，整机最大PoE输出功率不低于370W。</w:t>
            </w:r>
          </w:p>
          <w:p w14:paraId="43FDF7F1">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 支持标准交换、视频监控、VLAN隔离三种工作模式。</w:t>
            </w:r>
          </w:p>
          <w:p w14:paraId="484799A7">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 能自动检测识别符合标准的受电设备并通过网线为其供电。</w:t>
            </w:r>
          </w:p>
          <w:p w14:paraId="6BB90B09">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 提供1个千兆SFP端口。</w:t>
            </w:r>
          </w:p>
          <w:p w14:paraId="3AA15F6D">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 所有端口支持千兆无阻塞线速转发，传输更流畅。</w:t>
            </w:r>
          </w:p>
          <w:p w14:paraId="2F9147C0">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 支持IEEE 802.3x全双工流控和Backpressure半双工流控。</w:t>
            </w:r>
          </w:p>
          <w:p w14:paraId="6882AA48">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 PoE端口支持优先级机制，当剩余功率不足时，优先保障高优先级端口的供电，避免设备超负荷工作。</w:t>
            </w:r>
          </w:p>
        </w:tc>
        <w:tc>
          <w:tcPr>
            <w:tcW w:w="530" w:type="dxa"/>
            <w:tcBorders>
              <w:top w:val="nil"/>
              <w:left w:val="nil"/>
              <w:bottom w:val="single" w:color="auto" w:sz="4" w:space="0"/>
              <w:right w:val="single" w:color="auto" w:sz="4" w:space="0"/>
            </w:tcBorders>
            <w:noWrap w:val="0"/>
            <w:vAlign w:val="center"/>
          </w:tcPr>
          <w:p w14:paraId="42F84FA3">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套</w:t>
            </w:r>
          </w:p>
        </w:tc>
        <w:tc>
          <w:tcPr>
            <w:tcW w:w="457" w:type="dxa"/>
            <w:tcBorders>
              <w:top w:val="nil"/>
              <w:left w:val="nil"/>
              <w:bottom w:val="single" w:color="auto" w:sz="4" w:space="0"/>
              <w:right w:val="single" w:color="auto" w:sz="4" w:space="0"/>
            </w:tcBorders>
            <w:noWrap w:val="0"/>
            <w:vAlign w:val="center"/>
          </w:tcPr>
          <w:p w14:paraId="0CF8BC88">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r>
      <w:tr w14:paraId="60C7881A">
        <w:tblPrEx>
          <w:tblCellMar>
            <w:top w:w="0" w:type="dxa"/>
            <w:left w:w="108" w:type="dxa"/>
            <w:bottom w:w="0" w:type="dxa"/>
            <w:right w:w="108" w:type="dxa"/>
          </w:tblCellMar>
        </w:tblPrEx>
        <w:trPr>
          <w:trHeight w:val="1938" w:hRule="atLeast"/>
          <w:jc w:val="center"/>
        </w:trPr>
        <w:tc>
          <w:tcPr>
            <w:tcW w:w="755" w:type="dxa"/>
            <w:tcBorders>
              <w:top w:val="nil"/>
              <w:left w:val="single" w:color="auto" w:sz="4" w:space="0"/>
              <w:bottom w:val="single" w:color="auto" w:sz="4" w:space="0"/>
              <w:right w:val="single" w:color="auto" w:sz="4" w:space="0"/>
            </w:tcBorders>
            <w:noWrap/>
            <w:vAlign w:val="center"/>
          </w:tcPr>
          <w:p w14:paraId="6D0F1257">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16</w:t>
            </w:r>
          </w:p>
        </w:tc>
        <w:tc>
          <w:tcPr>
            <w:tcW w:w="705" w:type="dxa"/>
            <w:tcBorders>
              <w:top w:val="nil"/>
              <w:left w:val="nil"/>
              <w:bottom w:val="single" w:color="auto" w:sz="4" w:space="0"/>
              <w:right w:val="single" w:color="auto" w:sz="4" w:space="0"/>
            </w:tcBorders>
            <w:noWrap w:val="0"/>
            <w:vAlign w:val="center"/>
          </w:tcPr>
          <w:p w14:paraId="1F44FE66">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智能网联信号灯</w:t>
            </w:r>
          </w:p>
        </w:tc>
        <w:tc>
          <w:tcPr>
            <w:tcW w:w="7063" w:type="dxa"/>
            <w:tcBorders>
              <w:top w:val="nil"/>
              <w:left w:val="nil"/>
              <w:bottom w:val="single" w:color="auto" w:sz="4" w:space="0"/>
              <w:right w:val="single" w:color="auto" w:sz="4" w:space="0"/>
            </w:tcBorders>
            <w:noWrap w:val="0"/>
            <w:vAlign w:val="center"/>
          </w:tcPr>
          <w:p w14:paraId="4965750E">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包含了路口信号灯、信号控制机以及后台管理系统。</w:t>
            </w:r>
          </w:p>
          <w:p w14:paraId="0EC8D952">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t>技术参数：</w:t>
            </w:r>
          </w:p>
          <w:p w14:paraId="167BFFD2">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 路口全方向红绿黄三色信号灯组，可包含左直右信号灯和倒计时器，信号灯组可选圆头信号灯和箭头信号灯。</w:t>
            </w:r>
          </w:p>
          <w:p w14:paraId="5E0B653F">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 满足智能网联功能，实时广播当前路口信号灯状态和倒计时。</w:t>
            </w:r>
          </w:p>
          <w:p w14:paraId="350F5140">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 具备后台远程设置每个路口信号灯的相位排列、基本配时方案、配时方案、日时方案、设备校时等功能。</w:t>
            </w:r>
          </w:p>
          <w:p w14:paraId="37712C59">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 后台支持路口信号灯指定相位放行、相位差配置、半程倒计时设置、全绿/黄/红设置等功能。</w:t>
            </w:r>
          </w:p>
          <w:p w14:paraId="1A033842">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 提供可视化界面，可现场监测运行状态、配置设备参数。</w:t>
            </w:r>
          </w:p>
          <w:p w14:paraId="5D6B817E">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 支持绿波、公交优先、特种车辆优先等实验所要求的信号灯设置功能。</w:t>
            </w:r>
          </w:p>
        </w:tc>
        <w:tc>
          <w:tcPr>
            <w:tcW w:w="530" w:type="dxa"/>
            <w:tcBorders>
              <w:top w:val="nil"/>
              <w:left w:val="nil"/>
              <w:bottom w:val="single" w:color="auto" w:sz="4" w:space="0"/>
              <w:right w:val="single" w:color="auto" w:sz="4" w:space="0"/>
            </w:tcBorders>
            <w:noWrap w:val="0"/>
            <w:vAlign w:val="center"/>
          </w:tcPr>
          <w:p w14:paraId="2CA39025">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套</w:t>
            </w:r>
          </w:p>
        </w:tc>
        <w:tc>
          <w:tcPr>
            <w:tcW w:w="457" w:type="dxa"/>
            <w:tcBorders>
              <w:top w:val="nil"/>
              <w:left w:val="nil"/>
              <w:bottom w:val="single" w:color="auto" w:sz="4" w:space="0"/>
              <w:right w:val="single" w:color="auto" w:sz="4" w:space="0"/>
            </w:tcBorders>
            <w:noWrap w:val="0"/>
            <w:vAlign w:val="center"/>
          </w:tcPr>
          <w:p w14:paraId="7CF5F16E">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12</w:t>
            </w:r>
          </w:p>
        </w:tc>
      </w:tr>
      <w:tr w14:paraId="6DDDEE04">
        <w:tblPrEx>
          <w:tblCellMar>
            <w:top w:w="0" w:type="dxa"/>
            <w:left w:w="108" w:type="dxa"/>
            <w:bottom w:w="0" w:type="dxa"/>
            <w:right w:w="108" w:type="dxa"/>
          </w:tblCellMar>
        </w:tblPrEx>
        <w:trPr>
          <w:trHeight w:val="458" w:hRule="atLeast"/>
          <w:jc w:val="center"/>
        </w:trPr>
        <w:tc>
          <w:tcPr>
            <w:tcW w:w="755" w:type="dxa"/>
            <w:tcBorders>
              <w:top w:val="nil"/>
              <w:left w:val="single" w:color="auto" w:sz="4" w:space="0"/>
              <w:bottom w:val="single" w:color="auto" w:sz="4" w:space="0"/>
              <w:right w:val="single" w:color="auto" w:sz="4" w:space="0"/>
            </w:tcBorders>
            <w:noWrap/>
            <w:vAlign w:val="center"/>
          </w:tcPr>
          <w:p w14:paraId="28BFA982">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17</w:t>
            </w:r>
          </w:p>
        </w:tc>
        <w:tc>
          <w:tcPr>
            <w:tcW w:w="705" w:type="dxa"/>
            <w:tcBorders>
              <w:top w:val="nil"/>
              <w:left w:val="nil"/>
              <w:bottom w:val="single" w:color="auto" w:sz="4" w:space="0"/>
              <w:right w:val="single" w:color="auto" w:sz="4" w:space="0"/>
            </w:tcBorders>
            <w:noWrap w:val="0"/>
            <w:vAlign w:val="center"/>
          </w:tcPr>
          <w:p w14:paraId="2E33C171">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中控服务器</w:t>
            </w:r>
          </w:p>
        </w:tc>
        <w:tc>
          <w:tcPr>
            <w:tcW w:w="7063" w:type="dxa"/>
            <w:tcBorders>
              <w:top w:val="nil"/>
              <w:left w:val="nil"/>
              <w:bottom w:val="single" w:color="auto" w:sz="4" w:space="0"/>
              <w:right w:val="single" w:color="auto" w:sz="4" w:space="0"/>
            </w:tcBorders>
            <w:noWrap w:val="0"/>
            <w:vAlign w:val="center"/>
          </w:tcPr>
          <w:p w14:paraId="04BC7D01">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中控服务器为云控系统运行平台，配备一拖三显示屏，满足车联网、车路协同以及云端调度运行。</w:t>
            </w:r>
          </w:p>
          <w:p w14:paraId="49EF6BF5">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t>技术参数：</w:t>
            </w:r>
          </w:p>
          <w:p w14:paraId="4140F780">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 CPU：INTEL处理器、主频3.0GHZ以上、六核以上处理器。</w:t>
            </w:r>
          </w:p>
          <w:p w14:paraId="48BDB50E">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 内存：不低于16G以上内存，多个内存扩展槽支持扩展到64G内存。</w:t>
            </w:r>
          </w:p>
          <w:p w14:paraId="30760014">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 硬盘：不低于1T以上(SSD)。</w:t>
            </w:r>
          </w:p>
          <w:p w14:paraId="1559B231">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 显卡：不低于16G以上独立显卡。</w:t>
            </w:r>
          </w:p>
          <w:p w14:paraId="07B6F4BA">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 电源：不低于800W以上大功率电源，支持大功率独立显卡。</w:t>
            </w:r>
          </w:p>
          <w:p w14:paraId="7C12D3C9">
            <w:pPr>
              <w:widowControl/>
              <w:adjustRightInd w:val="0"/>
              <w:snapToGrid w:val="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6. 显示器：不低于22寸1拖3高分辨率宽屏液晶显示器。</w:t>
            </w:r>
          </w:p>
          <w:p w14:paraId="1F66AA5E">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 系统管理软件：支持隐藏底层操作系统选单，有多个操作系统时，可设置默认进入某个操作系统，自定义进入系统的时间（时间可设置到秒）；（需在具有CNAS或CMA标识检测报告中体现功能描述）</w:t>
            </w:r>
          </w:p>
          <w:p w14:paraId="2F3941FC">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7.1. 可对多个操作系统自动分配不同网段的IP地址；（需在具有CNAS或CMA标识检测报告中体现功能描述）</w:t>
            </w:r>
          </w:p>
          <w:p w14:paraId="2E3BFA18">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7.2. 分配用户权限，用户在现有安装好的国产化操作系统下面创建属于自己的专用虚拟系统，所安装的软件和保存的数据仅自己可以使用，其他用户无法查看、修改或删除；（需在具有CNAS或CMA标识检测报告中体现功能描述）</w:t>
            </w:r>
          </w:p>
        </w:tc>
        <w:tc>
          <w:tcPr>
            <w:tcW w:w="530" w:type="dxa"/>
            <w:tcBorders>
              <w:top w:val="nil"/>
              <w:left w:val="nil"/>
              <w:bottom w:val="single" w:color="auto" w:sz="4" w:space="0"/>
              <w:right w:val="single" w:color="auto" w:sz="4" w:space="0"/>
            </w:tcBorders>
            <w:noWrap w:val="0"/>
            <w:vAlign w:val="center"/>
          </w:tcPr>
          <w:p w14:paraId="404F43C8">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套</w:t>
            </w:r>
          </w:p>
        </w:tc>
        <w:tc>
          <w:tcPr>
            <w:tcW w:w="457" w:type="dxa"/>
            <w:tcBorders>
              <w:top w:val="nil"/>
              <w:left w:val="nil"/>
              <w:bottom w:val="single" w:color="auto" w:sz="4" w:space="0"/>
              <w:right w:val="single" w:color="auto" w:sz="4" w:space="0"/>
            </w:tcBorders>
            <w:noWrap w:val="0"/>
            <w:vAlign w:val="center"/>
          </w:tcPr>
          <w:p w14:paraId="1B6B192C">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r>
      <w:tr w14:paraId="5AD8CCD6">
        <w:tblPrEx>
          <w:tblCellMar>
            <w:top w:w="0" w:type="dxa"/>
            <w:left w:w="108" w:type="dxa"/>
            <w:bottom w:w="0" w:type="dxa"/>
            <w:right w:w="108" w:type="dxa"/>
          </w:tblCellMar>
        </w:tblPrEx>
        <w:trPr>
          <w:trHeight w:val="864" w:hRule="atLeast"/>
          <w:jc w:val="center"/>
        </w:trPr>
        <w:tc>
          <w:tcPr>
            <w:tcW w:w="755" w:type="dxa"/>
            <w:tcBorders>
              <w:top w:val="nil"/>
              <w:left w:val="single" w:color="auto" w:sz="4" w:space="0"/>
              <w:bottom w:val="single" w:color="auto" w:sz="4" w:space="0"/>
              <w:right w:val="single" w:color="auto" w:sz="4" w:space="0"/>
            </w:tcBorders>
            <w:noWrap/>
            <w:vAlign w:val="center"/>
          </w:tcPr>
          <w:p w14:paraId="6B834C4B">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18</w:t>
            </w:r>
          </w:p>
        </w:tc>
        <w:tc>
          <w:tcPr>
            <w:tcW w:w="705" w:type="dxa"/>
            <w:tcBorders>
              <w:top w:val="nil"/>
              <w:left w:val="nil"/>
              <w:bottom w:val="single" w:color="auto" w:sz="4" w:space="0"/>
              <w:right w:val="single" w:color="auto" w:sz="4" w:space="0"/>
            </w:tcBorders>
            <w:noWrap w:val="0"/>
            <w:vAlign w:val="center"/>
          </w:tcPr>
          <w:p w14:paraId="07F019D8">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中控调度显示系统</w:t>
            </w:r>
          </w:p>
        </w:tc>
        <w:tc>
          <w:tcPr>
            <w:tcW w:w="7063" w:type="dxa"/>
            <w:tcBorders>
              <w:top w:val="nil"/>
              <w:left w:val="nil"/>
              <w:bottom w:val="single" w:color="auto" w:sz="4" w:space="0"/>
              <w:right w:val="single" w:color="auto" w:sz="4" w:space="0"/>
            </w:tcBorders>
            <w:noWrap w:val="0"/>
            <w:vAlign w:val="center"/>
          </w:tcPr>
          <w:p w14:paraId="2F4256D0">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中控调度显示系统是一款集大屏，信号传输一体的图像处理设备，支持远程驱动大屏、控制大屏、各类信号传输、图像处理等功能。</w:t>
            </w:r>
          </w:p>
          <w:p w14:paraId="279C37A6">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t>技术参数：</w:t>
            </w:r>
          </w:p>
          <w:p w14:paraId="06B44D98">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一、硬件部分（共2套）</w:t>
            </w:r>
          </w:p>
          <w:p w14:paraId="51EC1BA5">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1、液晶屏：尺寸≥86英寸，显示比例(16：9) ，A级液晶LED显示屏；</w:t>
            </w:r>
          </w:p>
          <w:p w14:paraId="63F344B2">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2、分辨率≥3840*2160，亮度≥400c/㎡，对比度≥6000:1；</w:t>
            </w:r>
          </w:p>
          <w:p w14:paraId="40D299CD">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3、红外触摸技术，多点触控，支持在安卓、 windows 系统下 20点及以上同时触控及书写；</w:t>
            </w:r>
          </w:p>
          <w:p w14:paraId="4DDABC40">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4、前置接口：HDMI*1（非转接）、Touch USB*1、USB 3.0*3、Type-C*1；USB支持同时在Windows及Android系统下被读取；（需在具有CNAS或CMA标识检测报告中体现功能描述）</w:t>
            </w:r>
          </w:p>
          <w:p w14:paraId="689E8BE4">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5、具备≥7 个中文带丝印标识的前置物理按键：录屏、图像比例、音量-、音量+、设置、护 眼、电源等，前置图像比例调节按键：可实现对PPT 课件画面一键切换屏幕分辨率，调整画面显示比例，可设置 16:9、4:3、点对点画面；电源按键带有双色指示灯，支持整机开关、电脑开关和节能待机键三合一；（需在具有CNAS或CMA标识检测报告中体现功能描述）</w:t>
            </w:r>
          </w:p>
          <w:p w14:paraId="6F25EDC6">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6、音响置于主屏上方，出音口正前方设计，采用格栅阵列缝隙发声设计，让声音无阻碍传播，完全覆盖整个教室，无声音盲区，满足每个学生听课需求；（需在具有CNAS或CMA标识检测报告中体现功能描述）</w:t>
            </w:r>
          </w:p>
          <w:p w14:paraId="66E7D67F">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7、一根 USB-C 数据线实现外部电脑与触控一体机之间高清视频信号、音频信号以及触摸信号的实时传输，可兼容市面上具备通用 USB 端子的各类电脑；</w:t>
            </w:r>
          </w:p>
          <w:p w14:paraId="70B62FFB">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8、内置双路 WIFI，支持 AP 热点，Wifi : 2.4GHz / AP : 2.4GHz/5GHz；</w:t>
            </w:r>
          </w:p>
          <w:p w14:paraId="0DABEA16">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9、无信号待机/自动节能：在无操作或无信号输入时，整机自动进入待机节能的功能，待机的时间间隔可自定义，既节能环保又能延长机器使用寿命；</w:t>
            </w:r>
          </w:p>
          <w:p w14:paraId="784C7C28">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10、内置Android 主板采用不低于 4 核 64 位性能 CPU，Android ≥11.0操作系统，内存（ROM)≥2GB，存储空间(RAM)≥16GB；</w:t>
            </w:r>
          </w:p>
          <w:p w14:paraId="15D50820">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11、采用防火防护外壳设计，外壳依据 GB 4943.1-2011《信息技术设备安全 第 1 部分：通用要求》，满足 V-0 要求。</w:t>
            </w:r>
          </w:p>
          <w:p w14:paraId="06E24F2A">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12、★防遮挡功能：在屏幕上任意取四个或以上测试点，每个测试点连续遮挡1-10 个红外发射灯管，然后从未遮挡的区域向遮挡区域连续划线跨过遮挡区域，进行书写；触摸接收器在单点或多点遮挡后仍能正常书写，触控屏扭曲变形达到 10 度时，仍然可以实现多点触控；笔迹连贯、无断线。(需在具有CNAS或CMA标识检测报告中体现功能描述）</w:t>
            </w:r>
          </w:p>
          <w:p w14:paraId="270D8BD9">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13、可选配：内置≥1300万像素摄像头，具备非独立外扩展的6阵列拾音麦克风，拾音距离≥ 10米，方便录制师生人声；</w:t>
            </w:r>
          </w:p>
          <w:p w14:paraId="2CB3398E">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14、内置触摸中控菜单：内置触摸中控菜单，将信号源通道切换、亮度对比度调节、声音图像调节等整合到同一菜单下，无须实体按键，在任意显示通道下均可通过手势在屏幕上调取该触摸菜单，方便快捷。</w:t>
            </w:r>
          </w:p>
          <w:p w14:paraId="5E53F0DC">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15、一键自检：无需借助 PC，整机可一键进行硬件自检，包括对系统内存、存储、软件版本、wifi 模组、RTC 状态、内置电脑等进行状态提示。</w:t>
            </w:r>
          </w:p>
          <w:p w14:paraId="4CBCA23B">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16、★整机通过低温工作试验、高温工作试验、振动试验、跌落试验。（需在具有CNAS或CMA标识检测报告中体现功能描述）</w:t>
            </w:r>
          </w:p>
          <w:p w14:paraId="7ED907B0">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二、电脑模块</w:t>
            </w:r>
          </w:p>
          <w:p w14:paraId="29475A08">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1、为了保证交互平板产品后续可扩展性，一体机采用符合INTEL标准协议的80pin OPS接口；</w:t>
            </w:r>
          </w:p>
          <w:p w14:paraId="17661AB3">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2、处理器：Intel 酷睿I5或以上；</w:t>
            </w:r>
          </w:p>
          <w:p w14:paraId="7550E590">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3、内存：8G DDR4或以上配置；硬盘：256GSSD或以上配置；</w:t>
            </w:r>
          </w:p>
          <w:p w14:paraId="26781CA3">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4、内置网卡：10M/100M/1000M；</w:t>
            </w:r>
          </w:p>
          <w:p w14:paraId="2AF66DBB">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5、具有独立非外扩展的电脑USB接口：电脑上至少4个USB接口；</w:t>
            </w:r>
          </w:p>
          <w:p w14:paraId="3FD5C89C">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6、具有视频输出接口：HDMI接口；</w:t>
            </w:r>
          </w:p>
          <w:p w14:paraId="35D7E7D8">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7、内置WIFI、蓝牙模块，具有无线电发射设备型号核准证。</w:t>
            </w:r>
          </w:p>
        </w:tc>
        <w:tc>
          <w:tcPr>
            <w:tcW w:w="530" w:type="dxa"/>
            <w:tcBorders>
              <w:top w:val="nil"/>
              <w:left w:val="nil"/>
              <w:bottom w:val="single" w:color="auto" w:sz="4" w:space="0"/>
              <w:right w:val="single" w:color="auto" w:sz="4" w:space="0"/>
            </w:tcBorders>
            <w:noWrap w:val="0"/>
            <w:vAlign w:val="center"/>
          </w:tcPr>
          <w:p w14:paraId="3930B81E">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套</w:t>
            </w:r>
          </w:p>
        </w:tc>
        <w:tc>
          <w:tcPr>
            <w:tcW w:w="457" w:type="dxa"/>
            <w:tcBorders>
              <w:top w:val="nil"/>
              <w:left w:val="nil"/>
              <w:bottom w:val="single" w:color="auto" w:sz="4" w:space="0"/>
              <w:right w:val="single" w:color="auto" w:sz="4" w:space="0"/>
            </w:tcBorders>
            <w:noWrap w:val="0"/>
            <w:vAlign w:val="center"/>
          </w:tcPr>
          <w:p w14:paraId="2068625D">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r>
      <w:tr w14:paraId="5B0FC95D">
        <w:tblPrEx>
          <w:tblCellMar>
            <w:top w:w="0" w:type="dxa"/>
            <w:left w:w="108" w:type="dxa"/>
            <w:bottom w:w="0" w:type="dxa"/>
            <w:right w:w="108" w:type="dxa"/>
          </w:tblCellMar>
        </w:tblPrEx>
        <w:trPr>
          <w:trHeight w:val="864" w:hRule="atLeast"/>
          <w:jc w:val="center"/>
        </w:trPr>
        <w:tc>
          <w:tcPr>
            <w:tcW w:w="755" w:type="dxa"/>
            <w:tcBorders>
              <w:top w:val="nil"/>
              <w:left w:val="single" w:color="auto" w:sz="4" w:space="0"/>
              <w:bottom w:val="single" w:color="auto" w:sz="4" w:space="0"/>
              <w:right w:val="single" w:color="auto" w:sz="4" w:space="0"/>
            </w:tcBorders>
            <w:noWrap/>
            <w:vAlign w:val="center"/>
          </w:tcPr>
          <w:p w14:paraId="4E9B54AB">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19</w:t>
            </w:r>
          </w:p>
        </w:tc>
        <w:tc>
          <w:tcPr>
            <w:tcW w:w="705" w:type="dxa"/>
            <w:tcBorders>
              <w:top w:val="nil"/>
              <w:left w:val="nil"/>
              <w:bottom w:val="single" w:color="auto" w:sz="4" w:space="0"/>
              <w:right w:val="single" w:color="auto" w:sz="4" w:space="0"/>
            </w:tcBorders>
            <w:noWrap w:val="0"/>
            <w:vAlign w:val="center"/>
          </w:tcPr>
          <w:p w14:paraId="2E5ADEA5">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车路协同控制系统</w:t>
            </w:r>
          </w:p>
        </w:tc>
        <w:tc>
          <w:tcPr>
            <w:tcW w:w="7063" w:type="dxa"/>
            <w:tcBorders>
              <w:top w:val="nil"/>
              <w:left w:val="nil"/>
              <w:bottom w:val="single" w:color="auto" w:sz="4" w:space="0"/>
              <w:right w:val="single" w:color="auto" w:sz="4" w:space="0"/>
            </w:tcBorders>
            <w:noWrap w:val="0"/>
            <w:vAlign w:val="center"/>
          </w:tcPr>
          <w:p w14:paraId="341A3477">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车路协同控制系统可以在室内场景下实现多种车路协同场景，根据路侧选配的实际情况，当有相应设备时具有以下功能：</w:t>
            </w:r>
          </w:p>
          <w:p w14:paraId="12CA460E">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t>（一）智能车与交通信息发布诱导屏协同运行</w:t>
            </w:r>
          </w:p>
          <w:p w14:paraId="5AFFA4EC">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 信息诱导屏可以发布不同的交通诱导信息，支持手动发布或自动发布。</w:t>
            </w:r>
          </w:p>
          <w:p w14:paraId="62519CEB">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 信息诱导屏手动发布信息是通过在系统中用鼠标点击操作进行预设模板内容或自定义编辑内容的发布。</w:t>
            </w:r>
          </w:p>
          <w:p w14:paraId="2EC749B5">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 信息诱导屏自动发布信息是在特殊交通场景下自动关联触发，如在某设定路段拥堵时，可在后方信息诱导屏进行前方拥堵预警实时提醒。</w:t>
            </w:r>
          </w:p>
          <w:p w14:paraId="0524D01D">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 信息诱导屏发布的内容可与车辆行驶进行协同联动，如发布雾区提醒时，路过车辆可相应的进行减速或停车。</w:t>
            </w:r>
          </w:p>
          <w:p w14:paraId="6BD23365">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t>（二）智能车与信号灯协同运行</w:t>
            </w:r>
          </w:p>
          <w:p w14:paraId="041B3053">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 智能车可以进行角色设置，以适应不同的信号控制策略。</w:t>
            </w:r>
          </w:p>
          <w:p w14:paraId="2086FEA3">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 私家车行驶，按照信号控制交通规则，红灯/黄灯停，绿灯行。</w:t>
            </w:r>
          </w:p>
          <w:p w14:paraId="2228CFF9">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 公交车行驶，遵循公交优先原则，是通过实时控制路口信号灯的配时方案，来达到公交车快速通行的目的，可在保证其他相位最短绿倒计时情况下，公交车行驶相位快速切换。</w:t>
            </w:r>
          </w:p>
          <w:p w14:paraId="584B5B6A">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 特种车辆行驶，绝对优先是特种车行驶在当前相位非绿情况下强制切换为绿灯，不停车通行。</w:t>
            </w:r>
          </w:p>
          <w:p w14:paraId="61B6E474">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 特种车辆行驶，可以不遵守信号灯规则，路口不停车通行。</w:t>
            </w:r>
          </w:p>
          <w:p w14:paraId="6925A74B">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 智能车与行人/非机动车协同运行：</w:t>
            </w:r>
          </w:p>
          <w:p w14:paraId="4E23F341">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 行人/非机动车模型为模拟行人/非机动车过路口的交通场景，可以进行远程控制其状态。</w:t>
            </w:r>
          </w:p>
          <w:p w14:paraId="1B03EDC7">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 行人/非机动车初始状态位于路侧，通过远程触发其运行，可以移动到道路中央，同时也可以取消，以返回到路侧边缘位置。</w:t>
            </w:r>
          </w:p>
          <w:p w14:paraId="616DE2D7">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9. 智能车行驶途中，遇到行人/非机动车经过，主动刹车避让，行人返回路侧后，车辆恢复行驶状态。</w:t>
            </w:r>
          </w:p>
          <w:p w14:paraId="116873BF">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t>（三）智能车与停车场协同运行</w:t>
            </w:r>
          </w:p>
          <w:p w14:paraId="25D12A06">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 停车场配备停车位诱导屏，可实时检测车位占用情况及在诱导屏显示剩余停车位数量及车位占用分配情况。</w:t>
            </w:r>
          </w:p>
          <w:p w14:paraId="30C17E58">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 停车场配备收费系统，车辆出入停车场时闸机可自动运行抬杆/落杆。进入停车场时，收费屏显示车牌并进行停车计时，车辆驶出时进行该车的费用显示。</w:t>
            </w:r>
          </w:p>
          <w:p w14:paraId="297BFE3B">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 多车进入停车场可自动分配车位，保证有空车位的情况不会出现车辆等待拥堵情况，以达到合理分配调度。</w:t>
            </w:r>
          </w:p>
          <w:p w14:paraId="2091FCF8">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 智能车与ETC收费系统协同运行：</w:t>
            </w:r>
          </w:p>
          <w:p w14:paraId="790A94EC">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 高架或高速匝道配套ETC收费系统，主要包括自动闸机和收费显示功能。</w:t>
            </w:r>
          </w:p>
          <w:p w14:paraId="7EFE3E21">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 自动闸机功能在车辆行驶靠近时自动抬杆，经过后自动落杆。</w:t>
            </w:r>
          </w:p>
          <w:p w14:paraId="31458827">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 收费显示功能在车辆进入收费道路前，显示车牌并开始计时，在车辆驶出收费道路后显示车牌及费用情况。</w:t>
            </w:r>
          </w:p>
          <w:p w14:paraId="5C50ACC6">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 收费方案可通过设定计算，设置单位时间/单位距离的收费金额，并启用时长收费/路程收费方案后，进行计算得出。</w:t>
            </w:r>
          </w:p>
          <w:p w14:paraId="59D8DBD4">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w:t>
            </w:r>
            <w:r>
              <w:rPr>
                <w:rFonts w:hint="eastAsia" w:ascii="宋体" w:hAnsi="宋体" w:eastAsia="宋体" w:cs="宋体"/>
                <w:b/>
                <w:bCs/>
                <w:color w:val="000000"/>
                <w:kern w:val="0"/>
                <w:sz w:val="24"/>
                <w:szCs w:val="24"/>
                <w:highlight w:val="none"/>
              </w:rPr>
              <w:t>四）智能车与动态限速标志协同运行</w:t>
            </w:r>
          </w:p>
          <w:p w14:paraId="03DED6DC">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 动态限速标志可远程手动进行设置，设定为不限速或固定某一限速值，动态限速牌进行相应的显示。</w:t>
            </w:r>
          </w:p>
          <w:p w14:paraId="0F2CF830">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 车辆经过限速路段时，如不限速则正常行驶，如进行限速设置则按照设定的限速值行驶，经过限速路段后，恢复限速前的速度行驶。</w:t>
            </w:r>
          </w:p>
          <w:p w14:paraId="4D3E1185">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 系统自动记录车辆进入/驶出限速路段的时间，可根据限速路段长度进行平均速度计算。</w:t>
            </w:r>
          </w:p>
          <w:p w14:paraId="18C1FABA">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t>（五）智能车在信号灯路口的车速引导功能运行</w:t>
            </w:r>
          </w:p>
          <w:p w14:paraId="5A71EE26">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 车速引导功能是保证车辆能快速通过或缓慢不停车通过交通路口的速度引导功能。</w:t>
            </w:r>
          </w:p>
          <w:p w14:paraId="1C8BC96D">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 车速引导可在任意路口进行设置，设置车速引导的车道及开始引导的位置设置等。</w:t>
            </w:r>
          </w:p>
          <w:p w14:paraId="7B76D605">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 车辆经过车速引导位置时，系统根据当前车辆的车速、到路口的距离以及信号灯相位和倒计时情况，实时计算车辆行驶速度。</w:t>
            </w:r>
          </w:p>
          <w:p w14:paraId="6C4ABE12">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 智能车按照车速引导进行行驶，会触发三种情况，一是加速通行，在绿灯结束前正常通过路口；二是减速缓慢通行，在绿灯刚开始时车辆正好到达路口；三是无速度引导，按照当前速度可正常通过路口，或无法通过速度引导达到加速通行/减速缓慢通行的目的，此时车辆会在路口前停车。</w:t>
            </w:r>
          </w:p>
          <w:p w14:paraId="4D2D1258">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 车速引导功能可以进行多次速度的计算和引导，在人为干预主车车辆运行或前车速度引导功能关闭导致主车无法按照车速引导行驶，在干扰解除后，主车会按照实时计算的引导速度行驶。</w:t>
            </w:r>
          </w:p>
          <w:p w14:paraId="00D49D6A">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t>（六）实验数据实时接收与分发</w:t>
            </w:r>
          </w:p>
          <w:p w14:paraId="0360B51B">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 通过无线通信技术实现自动发布功能，系统更新频率不低于10HZ。</w:t>
            </w:r>
          </w:p>
          <w:p w14:paraId="622FC1D1">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 实验数据包括但不限于车辆运行状态，如速度、转向、偏航、位置等；路侧设备状态数据，如信号灯相位/倒计时、诱导屏显示、动态限速值、收费信息、停车场占用状态等。</w:t>
            </w:r>
          </w:p>
        </w:tc>
        <w:tc>
          <w:tcPr>
            <w:tcW w:w="530" w:type="dxa"/>
            <w:tcBorders>
              <w:top w:val="nil"/>
              <w:left w:val="nil"/>
              <w:bottom w:val="single" w:color="auto" w:sz="4" w:space="0"/>
              <w:right w:val="single" w:color="auto" w:sz="4" w:space="0"/>
            </w:tcBorders>
            <w:noWrap w:val="0"/>
            <w:vAlign w:val="center"/>
          </w:tcPr>
          <w:p w14:paraId="0D192EFE">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套</w:t>
            </w:r>
          </w:p>
        </w:tc>
        <w:tc>
          <w:tcPr>
            <w:tcW w:w="457" w:type="dxa"/>
            <w:tcBorders>
              <w:top w:val="nil"/>
              <w:left w:val="nil"/>
              <w:bottom w:val="single" w:color="auto" w:sz="4" w:space="0"/>
              <w:right w:val="single" w:color="auto" w:sz="4" w:space="0"/>
            </w:tcBorders>
            <w:noWrap w:val="0"/>
            <w:vAlign w:val="center"/>
          </w:tcPr>
          <w:p w14:paraId="62396C33">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r>
      <w:tr w14:paraId="3AE8D9B0">
        <w:tblPrEx>
          <w:tblCellMar>
            <w:top w:w="0" w:type="dxa"/>
            <w:left w:w="108" w:type="dxa"/>
            <w:bottom w:w="0" w:type="dxa"/>
            <w:right w:w="108" w:type="dxa"/>
          </w:tblCellMar>
        </w:tblPrEx>
        <w:trPr>
          <w:trHeight w:val="864" w:hRule="atLeast"/>
          <w:jc w:val="center"/>
        </w:trPr>
        <w:tc>
          <w:tcPr>
            <w:tcW w:w="755" w:type="dxa"/>
            <w:tcBorders>
              <w:top w:val="nil"/>
              <w:left w:val="single" w:color="auto" w:sz="4" w:space="0"/>
              <w:bottom w:val="single" w:color="auto" w:sz="4" w:space="0"/>
              <w:right w:val="single" w:color="auto" w:sz="4" w:space="0"/>
            </w:tcBorders>
            <w:noWrap/>
            <w:vAlign w:val="center"/>
          </w:tcPr>
          <w:p w14:paraId="326B79FA">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w:t>
            </w:r>
          </w:p>
        </w:tc>
        <w:tc>
          <w:tcPr>
            <w:tcW w:w="705" w:type="dxa"/>
            <w:tcBorders>
              <w:top w:val="nil"/>
              <w:left w:val="nil"/>
              <w:bottom w:val="single" w:color="auto" w:sz="4" w:space="0"/>
              <w:right w:val="single" w:color="auto" w:sz="4" w:space="0"/>
            </w:tcBorders>
            <w:noWrap w:val="0"/>
            <w:vAlign w:val="center"/>
          </w:tcPr>
          <w:p w14:paraId="798D91BF">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数字化网联决策系统</w:t>
            </w:r>
          </w:p>
        </w:tc>
        <w:tc>
          <w:tcPr>
            <w:tcW w:w="7063" w:type="dxa"/>
            <w:tcBorders>
              <w:top w:val="nil"/>
              <w:left w:val="nil"/>
              <w:bottom w:val="single" w:color="auto" w:sz="4" w:space="0"/>
              <w:right w:val="single" w:color="auto" w:sz="4" w:space="0"/>
            </w:tcBorders>
            <w:noWrap w:val="0"/>
            <w:vAlign w:val="center"/>
          </w:tcPr>
          <w:p w14:paraId="7421B520">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智慧管理调度决策云控系统是整套系统的核心功能，它能实现智能车的运动控制、路径规划、任务下发、角色设置、集中调度，数据分析等；能实现路侧设备的管控，如设置各路口红绿灯、交通诱导显示屏、电子限速牌速度值等，并能实时显示各模块工作运行状态等。</w:t>
            </w:r>
          </w:p>
          <w:p w14:paraId="5165AC3B">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一、</w:t>
            </w:r>
            <w:r>
              <w:rPr>
                <w:rFonts w:hint="eastAsia" w:ascii="宋体" w:hAnsi="宋体" w:eastAsia="宋体" w:cs="宋体"/>
                <w:b/>
                <w:bCs/>
                <w:color w:val="000000"/>
                <w:kern w:val="0"/>
                <w:sz w:val="24"/>
                <w:szCs w:val="24"/>
                <w:highlight w:val="none"/>
              </w:rPr>
              <w:t>车辆管理</w:t>
            </w:r>
          </w:p>
          <w:p w14:paraId="325C8ED7">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（一）车辆实时动态轨迹显示</w:t>
            </w:r>
          </w:p>
          <w:p w14:paraId="6E9C08C3">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 系统显示包含二维仿真界面，与沙盘俯视图保持一致，在有高架、隧道等交通场景时，可多层显示。</w:t>
            </w:r>
          </w:p>
          <w:p w14:paraId="24D77D26">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 系统通过定位技术可实时检测到车辆的位置及偏航角，并映射到二维仿真界面，进行数字孪生。</w:t>
            </w:r>
          </w:p>
          <w:p w14:paraId="2374CEAC">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 车辆轨迹数据自动保存，可根据实验需要进行导出分析。</w:t>
            </w:r>
          </w:p>
          <w:p w14:paraId="33752983">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 车辆运行状态参数显示分析：</w:t>
            </w:r>
          </w:p>
          <w:p w14:paraId="4308675C">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 系统显示包含车辆运行状态曲线，包括车辆的运行速度、加速度、前车距离的实时曲线图。</w:t>
            </w:r>
          </w:p>
          <w:p w14:paraId="0B29C432">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 多车的状态曲线用不同颜色进行区分，支持缩小放大功能，以便分析观察。</w:t>
            </w:r>
          </w:p>
          <w:p w14:paraId="44F77F9F">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 车辆角色定义与任务流程控制：</w:t>
            </w:r>
          </w:p>
          <w:p w14:paraId="43AAEDC5">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 车辆角色设定至少包含私家车、公交车、警车，以适配不同的交通场景。</w:t>
            </w:r>
          </w:p>
          <w:p w14:paraId="76B4C9FA">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9. 车辆运行控制至少包含开始、暂停、继续、停止，可以单选/多选进行行驶控制。</w:t>
            </w:r>
          </w:p>
          <w:p w14:paraId="1CB8F27C">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 车辆驾驶者视角视频显示：</w:t>
            </w:r>
          </w:p>
          <w:p w14:paraId="3C96370D">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 车辆配备驾驶者视角摄像头，可在系统上实时打开进行监控。</w:t>
            </w:r>
          </w:p>
          <w:p w14:paraId="0D9C3FE0">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12. 摄像头为广角选型，可清晰全面的观察道路情况，为驾驶者视角数据采集及模拟驾驶提供支持。</w:t>
            </w:r>
          </w:p>
          <w:p w14:paraId="6514C6B7">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13. 驾驶者视角视频可观察目标识别功能，可对前方车辆、行人等模型进行识别和框选。</w:t>
            </w:r>
          </w:p>
          <w:p w14:paraId="3D8DD9FD">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14. 车辆行驶路径离线规划和导出：</w:t>
            </w:r>
          </w:p>
          <w:p w14:paraId="1494A506">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15. 路径离线规划功能，通过在基础路网UI界面上手动选择起讫点，自动生成所有可行的路径。</w:t>
            </w:r>
          </w:p>
          <w:p w14:paraId="5139F611">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16. 路径导出功能，在生成的路径中可选择性的进行命名并保存，在主运行界面通过路径选择进行加载。</w:t>
            </w:r>
          </w:p>
          <w:p w14:paraId="539D810D">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（二）车辆行驶路径实时规划导航：</w:t>
            </w:r>
          </w:p>
          <w:p w14:paraId="0156F477">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 在主运行界面，可选择实时在线运行车辆进行路径的规划。</w:t>
            </w:r>
          </w:p>
          <w:p w14:paraId="1A2B7039">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 车辆位置自动映射在沙盘仿真界面上作为路径的起点，手动指定终点后，路径自动规划所有可行路径。</w:t>
            </w:r>
          </w:p>
          <w:p w14:paraId="062D204D">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 选择特定路径并下发，车辆按照规划的路径行驶，到终点后停止。</w:t>
            </w:r>
          </w:p>
          <w:p w14:paraId="1DEE29A1">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二、</w:t>
            </w:r>
            <w:r>
              <w:rPr>
                <w:rFonts w:hint="eastAsia" w:ascii="宋体" w:hAnsi="宋体" w:eastAsia="宋体" w:cs="宋体"/>
                <w:b/>
                <w:bCs/>
                <w:color w:val="000000"/>
                <w:kern w:val="0"/>
                <w:sz w:val="24"/>
                <w:szCs w:val="24"/>
                <w:highlight w:val="none"/>
              </w:rPr>
              <w:t>路侧管理</w:t>
            </w:r>
          </w:p>
          <w:p w14:paraId="1EA0D1ED">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根据路侧选配的实际情况，当有相应设备时具有以下功能：</w:t>
            </w:r>
          </w:p>
          <w:p w14:paraId="6E12F15B">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（一）所有信息诱导屏上发布信息的编辑设置：</w:t>
            </w:r>
          </w:p>
          <w:p w14:paraId="62EAC4BF">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所有信息诱导屏可分别独立操作控制，支持文字自定义编辑，字体颜色和背景颜色统一设置。</w:t>
            </w:r>
          </w:p>
          <w:p w14:paraId="06CC465C">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（二）所有路口信号灯的状态同步显示、配时方案设置、扩展功能、校时调试等：</w:t>
            </w:r>
          </w:p>
          <w:p w14:paraId="4FCF7FA5">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 所有信号灯可分别独立控制，支持真实道路交通信号机级别的各类定时控制参数设置。</w:t>
            </w:r>
          </w:p>
          <w:p w14:paraId="7E7C103E">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 相位排列方案支持常用十字交叉口两相位、四相位设置方案，以及部分路口三相位设置方案，直行、左转优先可设置。</w:t>
            </w:r>
          </w:p>
          <w:p w14:paraId="1078D575">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 配时方案可对每个相位的绿灯时间、相位差等进行配置。</w:t>
            </w:r>
          </w:p>
          <w:p w14:paraId="080547E7">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 基本配时方案可对最短绿、最长绿、黄灯时间、全红时间、绿闪时间、行闪时间等进行配置。</w:t>
            </w:r>
          </w:p>
          <w:p w14:paraId="163CB6F5">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 日时方案可对每日不同时段进行分别设置，满足普通时间、高峰期等不同时段的特殊方案的要求。</w:t>
            </w:r>
          </w:p>
          <w:p w14:paraId="3614E053">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 以上配置方案均支持多个，通过选择应用方案的编号启用，方便进行保存和切换。</w:t>
            </w:r>
          </w:p>
          <w:p w14:paraId="2B407998">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 信号灯同步显示功能，可在UI界面实时孪生显示信号灯的状态。</w:t>
            </w:r>
          </w:p>
          <w:p w14:paraId="590A3D59">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（三）所有视频监控摄像头的监控画面展示：</w:t>
            </w:r>
          </w:p>
          <w:p w14:paraId="79EBCCC2">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 视频监控画面支持单画面以及多宫格的方式进行显示。</w:t>
            </w:r>
          </w:p>
          <w:p w14:paraId="510C60F6">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 视频监控可进行电子抓拍，对通行车辆进行抓拍并保存图片，支持在线浏览和导出。</w:t>
            </w:r>
          </w:p>
          <w:p w14:paraId="4D3E251E">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（四）所有动态行人模型/非机动车模型的运行控制：</w:t>
            </w:r>
          </w:p>
          <w:p w14:paraId="6FEA55CE">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通过远程控制的方式对行人模型/非机动车模型进行运行控制，包含路侧和路中两种状态，路侧时不影响车辆行驶，路中时会影响车辆行驶。</w:t>
            </w:r>
          </w:p>
          <w:p w14:paraId="7BF71EF7">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（五）所有停车场上停车位占用情况的动态显示：</w:t>
            </w:r>
          </w:p>
          <w:p w14:paraId="1C3A55A8">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 停车位实时检测与显示功能，通过每个停车位配备的传感器，可感知车位是否被占用，以及占用的是否为系统车辆。</w:t>
            </w:r>
          </w:p>
          <w:p w14:paraId="186B580A">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 检测到车位未被占用时，系统UI界面及车位诱导屏上相应车位显示为空。车位被占用但不是系统中的车辆时为锥桶图示。车位被占用且为系统中的车辆时为汽车图示。</w:t>
            </w:r>
          </w:p>
          <w:p w14:paraId="0B2CA321">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（六）所有ETC及停车场收费系统的收费标准设置：</w:t>
            </w:r>
          </w:p>
          <w:p w14:paraId="78A605D5">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 收费标准支持按照时长和里程两种方式进行收费。</w:t>
            </w:r>
          </w:p>
          <w:p w14:paraId="3EBFAC86">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 收费的单价可进行设置，每小时收费金额或每公里收费金额，并可对时间和里程进行比例的设置，以解决实验时等待时间过长或行驶距离不够的问题。</w:t>
            </w:r>
          </w:p>
          <w:p w14:paraId="54162E78">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（七）所有动态限速牌的限制速度编辑设置：</w:t>
            </w:r>
          </w:p>
          <w:p w14:paraId="72AF6660">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所有动态限速牌可分别独立控制，进行不限速或限速值的设置。</w:t>
            </w:r>
          </w:p>
          <w:p w14:paraId="001EEAF5">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（八）交通流量信息采集：</w:t>
            </w:r>
          </w:p>
          <w:p w14:paraId="59604820">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 根据路侧选配情况，采集设备可包括但不限于智慧信标、感应线圈、激光雷达、摄像头等设备。</w:t>
            </w:r>
          </w:p>
          <w:p w14:paraId="543A4398">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 智慧信标方案支持全地图任意路段的流量监控，通过配置文件的方式实现路段的选择。</w:t>
            </w:r>
          </w:p>
          <w:p w14:paraId="0EE136A0">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 感应线圈方案通过预埋线圈进行车流检测，与真实道路流量监测的线圈方案原理一致，通过多线圈布置可实现除流量外的车速等功能。</w:t>
            </w:r>
          </w:p>
          <w:p w14:paraId="6784A28D">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 激光雷达方案通过检测车辆经过的时间差，计算出包括流量、速度、车长、车高、车型等参数。</w:t>
            </w:r>
          </w:p>
          <w:p w14:paraId="65AF48BC">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 摄像头方案通过视觉识别与追踪，实现车辆流量的统计。</w:t>
            </w:r>
          </w:p>
          <w:p w14:paraId="2E1C3C90">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（九）交通控制相关功能：</w:t>
            </w:r>
          </w:p>
          <w:p w14:paraId="5D34FC90">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 交通控制功能可包括但不限于绿波、感应控制、特种车辆通行、匝道控制等功能。</w:t>
            </w:r>
          </w:p>
          <w:p w14:paraId="5070C4FA">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 绿波功能主要通过设置信号灯配时方案及相位差，达到车辆按照固定速度连续通过路口的功能，系统支持单向绿波、双向绿波要求的配时方案设置功能。</w:t>
            </w:r>
          </w:p>
          <w:p w14:paraId="71C76138">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 感应控制功能基于真实道路交通信号机的自适应信号控制模式，在不同车流时自动适应不同的绿灯时长。</w:t>
            </w:r>
          </w:p>
          <w:p w14:paraId="1641D3B6">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 特种车辆通行功能，可实现车辆公交优先、绝对优先、闯红灯等场景运行。</w:t>
            </w:r>
          </w:p>
          <w:p w14:paraId="247876D5">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 匝道控制功能，可实现通过交通容量控制法的交通信号控制与场景展示，以及相关实验参数的设置。</w:t>
            </w:r>
          </w:p>
          <w:p w14:paraId="28A85F5D">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三、</w:t>
            </w:r>
            <w:r>
              <w:rPr>
                <w:rFonts w:hint="eastAsia" w:ascii="宋体" w:hAnsi="宋体" w:eastAsia="宋体" w:cs="宋体"/>
                <w:b/>
                <w:bCs/>
                <w:color w:val="000000"/>
                <w:kern w:val="0"/>
                <w:sz w:val="24"/>
                <w:szCs w:val="24"/>
                <w:highlight w:val="none"/>
              </w:rPr>
              <w:t>教研支撑</w:t>
            </w:r>
          </w:p>
          <w:p w14:paraId="4F81CDD7">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 支持多用户登录，管理员负责对普通用户分配车辆和路侧的管理使用权限。</w:t>
            </w:r>
          </w:p>
          <w:p w14:paraId="26E85261">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 支持车辆跟驰和跟踪等参数的设置，方便进行自动驾驶相关实验教学。</w:t>
            </w:r>
          </w:p>
          <w:p w14:paraId="02186069">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 支持速度引导等算法模型二次开发，通过python代码嵌入，可根据教学需求定制。</w:t>
            </w:r>
          </w:p>
          <w:p w14:paraId="674154FA">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 支持所有路侧设备及车辆数据的导出，方便进行实验分析。</w:t>
            </w:r>
          </w:p>
        </w:tc>
        <w:tc>
          <w:tcPr>
            <w:tcW w:w="530" w:type="dxa"/>
            <w:tcBorders>
              <w:top w:val="nil"/>
              <w:left w:val="nil"/>
              <w:bottom w:val="single" w:color="auto" w:sz="4" w:space="0"/>
              <w:right w:val="single" w:color="auto" w:sz="4" w:space="0"/>
            </w:tcBorders>
            <w:noWrap w:val="0"/>
            <w:vAlign w:val="center"/>
          </w:tcPr>
          <w:p w14:paraId="27C75995">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套</w:t>
            </w:r>
          </w:p>
        </w:tc>
        <w:tc>
          <w:tcPr>
            <w:tcW w:w="457" w:type="dxa"/>
            <w:tcBorders>
              <w:top w:val="nil"/>
              <w:left w:val="nil"/>
              <w:bottom w:val="single" w:color="auto" w:sz="4" w:space="0"/>
              <w:right w:val="single" w:color="auto" w:sz="4" w:space="0"/>
            </w:tcBorders>
            <w:noWrap w:val="0"/>
            <w:vAlign w:val="center"/>
          </w:tcPr>
          <w:p w14:paraId="0886B0B1">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r>
      <w:tr w14:paraId="147EA5FD">
        <w:tblPrEx>
          <w:tblCellMar>
            <w:top w:w="0" w:type="dxa"/>
            <w:left w:w="108" w:type="dxa"/>
            <w:bottom w:w="0" w:type="dxa"/>
            <w:right w:w="108" w:type="dxa"/>
          </w:tblCellMar>
        </w:tblPrEx>
        <w:trPr>
          <w:trHeight w:val="864" w:hRule="atLeast"/>
          <w:jc w:val="center"/>
        </w:trPr>
        <w:tc>
          <w:tcPr>
            <w:tcW w:w="755" w:type="dxa"/>
            <w:tcBorders>
              <w:top w:val="nil"/>
              <w:left w:val="single" w:color="auto" w:sz="4" w:space="0"/>
              <w:bottom w:val="single" w:color="auto" w:sz="4" w:space="0"/>
              <w:right w:val="single" w:color="auto" w:sz="4" w:space="0"/>
            </w:tcBorders>
            <w:noWrap/>
            <w:vAlign w:val="center"/>
          </w:tcPr>
          <w:p w14:paraId="04F021EE">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21</w:t>
            </w:r>
          </w:p>
        </w:tc>
        <w:tc>
          <w:tcPr>
            <w:tcW w:w="705" w:type="dxa"/>
            <w:tcBorders>
              <w:top w:val="nil"/>
              <w:left w:val="nil"/>
              <w:bottom w:val="single" w:color="auto" w:sz="4" w:space="0"/>
              <w:right w:val="single" w:color="auto" w:sz="4" w:space="0"/>
            </w:tcBorders>
            <w:noWrap w:val="0"/>
            <w:vAlign w:val="center"/>
          </w:tcPr>
          <w:p w14:paraId="03B627EE">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智慧网联汽车教学评价及比赛系统</w:t>
            </w:r>
          </w:p>
        </w:tc>
        <w:tc>
          <w:tcPr>
            <w:tcW w:w="7063" w:type="dxa"/>
            <w:tcBorders>
              <w:top w:val="nil"/>
              <w:left w:val="nil"/>
              <w:bottom w:val="single" w:color="auto" w:sz="4" w:space="0"/>
              <w:right w:val="single" w:color="auto" w:sz="4" w:space="0"/>
            </w:tcBorders>
            <w:noWrap w:val="0"/>
            <w:vAlign w:val="center"/>
          </w:tcPr>
          <w:p w14:paraId="79B81FAB">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含评价规则、实验目的、实验过程、实验结果评价表及教学成果比赛：</w:t>
            </w:r>
          </w:p>
          <w:p w14:paraId="2341B93F">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 无人驾驶教学成果与比赛评价系统规则制定。</w:t>
            </w:r>
          </w:p>
          <w:p w14:paraId="72101E18">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 初级部分实现智慧路网中高速路段的车辆识别车道线的demo，并给出算法接口。</w:t>
            </w:r>
          </w:p>
          <w:p w14:paraId="610B4B68">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 初级部分实现车辆自动变道demo，并给出算法接口。</w:t>
            </w:r>
          </w:p>
          <w:p w14:paraId="20399A58">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 中级部分实现模拟正常行驶车流的demo，并给出算法接口。</w:t>
            </w:r>
          </w:p>
          <w:p w14:paraId="1BA8CCE3">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 中级部分给出车辆识别红绿灯的demo，并给出算法接口。</w:t>
            </w:r>
          </w:p>
          <w:p w14:paraId="4339B060">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 高级部分给出指定路段车辆编队合成的demo，并给出算法接口。</w:t>
            </w:r>
          </w:p>
        </w:tc>
        <w:tc>
          <w:tcPr>
            <w:tcW w:w="530" w:type="dxa"/>
            <w:tcBorders>
              <w:top w:val="nil"/>
              <w:left w:val="nil"/>
              <w:bottom w:val="single" w:color="auto" w:sz="4" w:space="0"/>
              <w:right w:val="single" w:color="auto" w:sz="4" w:space="0"/>
            </w:tcBorders>
            <w:noWrap w:val="0"/>
            <w:vAlign w:val="center"/>
          </w:tcPr>
          <w:p w14:paraId="2C03A045">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套</w:t>
            </w:r>
          </w:p>
        </w:tc>
        <w:tc>
          <w:tcPr>
            <w:tcW w:w="457" w:type="dxa"/>
            <w:tcBorders>
              <w:top w:val="nil"/>
              <w:left w:val="nil"/>
              <w:bottom w:val="single" w:color="auto" w:sz="4" w:space="0"/>
              <w:right w:val="single" w:color="auto" w:sz="4" w:space="0"/>
            </w:tcBorders>
            <w:noWrap w:val="0"/>
            <w:vAlign w:val="center"/>
          </w:tcPr>
          <w:p w14:paraId="664CE6C9">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r>
      <w:tr w14:paraId="1A8CAC93">
        <w:tblPrEx>
          <w:tblCellMar>
            <w:top w:w="0" w:type="dxa"/>
            <w:left w:w="108" w:type="dxa"/>
            <w:bottom w:w="0" w:type="dxa"/>
            <w:right w:w="108" w:type="dxa"/>
          </w:tblCellMar>
        </w:tblPrEx>
        <w:trPr>
          <w:trHeight w:val="558" w:hRule="atLeast"/>
          <w:jc w:val="center"/>
        </w:trPr>
        <w:tc>
          <w:tcPr>
            <w:tcW w:w="755" w:type="dxa"/>
            <w:tcBorders>
              <w:top w:val="nil"/>
              <w:left w:val="single" w:color="auto" w:sz="4" w:space="0"/>
              <w:bottom w:val="single" w:color="auto" w:sz="4" w:space="0"/>
              <w:right w:val="single" w:color="auto" w:sz="4" w:space="0"/>
            </w:tcBorders>
            <w:noWrap/>
            <w:vAlign w:val="center"/>
          </w:tcPr>
          <w:p w14:paraId="5A2EE120">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22</w:t>
            </w:r>
          </w:p>
        </w:tc>
        <w:tc>
          <w:tcPr>
            <w:tcW w:w="705" w:type="dxa"/>
            <w:tcBorders>
              <w:top w:val="nil"/>
              <w:left w:val="nil"/>
              <w:bottom w:val="single" w:color="auto" w:sz="4" w:space="0"/>
              <w:right w:val="single" w:color="auto" w:sz="4" w:space="0"/>
            </w:tcBorders>
            <w:noWrap/>
            <w:vAlign w:val="center"/>
          </w:tcPr>
          <w:p w14:paraId="67571807">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电导率测试仪</w:t>
            </w:r>
          </w:p>
        </w:tc>
        <w:tc>
          <w:tcPr>
            <w:tcW w:w="7063" w:type="dxa"/>
            <w:tcBorders>
              <w:top w:val="nil"/>
              <w:left w:val="nil"/>
              <w:bottom w:val="single" w:color="auto" w:sz="4" w:space="0"/>
              <w:right w:val="single" w:color="auto" w:sz="4" w:space="0"/>
            </w:tcBorders>
            <w:noWrap w:val="0"/>
            <w:vAlign w:val="center"/>
          </w:tcPr>
          <w:p w14:paraId="793BBC9E">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1.测量参数：电导率，TDS，电阻率，盐度，温度。</w:t>
            </w:r>
          </w:p>
          <w:p w14:paraId="66D6C44A">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2.★测量范围：电导率：0.000 μS/cm-2000 mS/cm，TDS：0.00 mg/L-1000 g/L，盐度：0.00-80.00 psu，电阻率：0.00-100.0 MΩ*cm，温度: -30.0～130.0℃。</w:t>
            </w:r>
          </w:p>
          <w:p w14:paraId="1E362840">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3.分辨率：自动量程，最高分辨率0.001，0.1 °C。</w:t>
            </w:r>
          </w:p>
          <w:p w14:paraId="13FD7262">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4.★精度：测量值的0.5%。其中0-100℃内精度0.1°C。</w:t>
            </w:r>
          </w:p>
          <w:p w14:paraId="70410735">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5.内置13个标准液，可自定义标准液10组。</w:t>
            </w:r>
          </w:p>
          <w:p w14:paraId="086B5710">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6.仪器完全符合GLP要求，可以实时存储2000组数据，数据导出可使用U盘或软件。</w:t>
            </w:r>
          </w:p>
          <w:p w14:paraId="3A58CFC2">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7.7英寸的彩色触摸屏。</w:t>
            </w:r>
          </w:p>
          <w:p w14:paraId="705D44A4">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8.两级用户权限管理。</w:t>
            </w:r>
          </w:p>
          <w:p w14:paraId="104F0587">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9.测量设置保存/导入为方法，彩色限值提醒，验证结果清晰提示。</w:t>
            </w:r>
          </w:p>
          <w:p w14:paraId="264A3D27">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t>基本配置：</w:t>
            </w:r>
          </w:p>
          <w:p w14:paraId="08AC159F">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1.电导率主机。</w:t>
            </w:r>
          </w:p>
          <w:p w14:paraId="7C4A3332">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2.电源线。</w:t>
            </w:r>
          </w:p>
          <w:p w14:paraId="04C3A66E">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 电极。</w:t>
            </w:r>
          </w:p>
          <w:p w14:paraId="4C8D7A39">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4.电极支架。</w:t>
            </w:r>
          </w:p>
          <w:p w14:paraId="766CEB82">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5.保护罩。</w:t>
            </w:r>
          </w:p>
          <w:p w14:paraId="1AC21F76">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6.校准缓冲液。</w:t>
            </w:r>
          </w:p>
          <w:p w14:paraId="6FAE8BA9">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7.压力显示款电池加压测试模具*4：内部规格：（连 PPS 套）直径40mm。腔体直径 10mm和15mm各两套。总高度70mm。装置外直径 90mm，连丝杆总高 130mm。最高压力可至 400mpa。模具直径：10-16 mm。传感器量程：0-10 T。传感器精度：0.1%-0.3%。</w:t>
            </w:r>
          </w:p>
          <w:p w14:paraId="28EFB2B0">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8.配备柜式耐腐蚀药品柜1套，900*450*1800，双开门。</w:t>
            </w:r>
          </w:p>
          <w:p w14:paraId="5AD52129">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9.实验服40套。</w:t>
            </w:r>
          </w:p>
          <w:p w14:paraId="089BC1EC">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10.护目镜40套。</w:t>
            </w:r>
          </w:p>
          <w:p w14:paraId="42B68992">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11.不锈钢储物架3 套。</w:t>
            </w:r>
          </w:p>
          <w:p w14:paraId="5B573A7E">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12.电池粉末材压片系统：压力0-15T，整体无密封连接、压力压强双显示、可操作空间高度＞130mm、2根立柱、压力稳定≤1Mpa/10min 工作台直径90mm 立柱间距大于等于140*150mm。</w:t>
            </w:r>
          </w:p>
          <w:p w14:paraId="72FF9745">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13.实验教学材料：磷酸铁锂LFP极片涂碳铝箔正极材料涂层辊压后 100片。</w:t>
            </w:r>
          </w:p>
        </w:tc>
        <w:tc>
          <w:tcPr>
            <w:tcW w:w="530" w:type="dxa"/>
            <w:tcBorders>
              <w:top w:val="nil"/>
              <w:left w:val="nil"/>
              <w:bottom w:val="single" w:color="auto" w:sz="4" w:space="0"/>
              <w:right w:val="single" w:color="auto" w:sz="4" w:space="0"/>
            </w:tcBorders>
            <w:noWrap w:val="0"/>
            <w:vAlign w:val="center"/>
          </w:tcPr>
          <w:p w14:paraId="47847562">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台</w:t>
            </w:r>
          </w:p>
        </w:tc>
        <w:tc>
          <w:tcPr>
            <w:tcW w:w="457" w:type="dxa"/>
            <w:tcBorders>
              <w:top w:val="nil"/>
              <w:left w:val="nil"/>
              <w:bottom w:val="single" w:color="auto" w:sz="4" w:space="0"/>
              <w:right w:val="single" w:color="auto" w:sz="4" w:space="0"/>
            </w:tcBorders>
            <w:noWrap/>
            <w:vAlign w:val="center"/>
          </w:tcPr>
          <w:p w14:paraId="49D7E28D">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w:t>
            </w:r>
          </w:p>
        </w:tc>
      </w:tr>
      <w:tr w14:paraId="2D704D49">
        <w:tblPrEx>
          <w:tblCellMar>
            <w:top w:w="0" w:type="dxa"/>
            <w:left w:w="108" w:type="dxa"/>
            <w:bottom w:w="0" w:type="dxa"/>
            <w:right w:w="108" w:type="dxa"/>
          </w:tblCellMar>
        </w:tblPrEx>
        <w:trPr>
          <w:trHeight w:val="864" w:hRule="atLeast"/>
          <w:jc w:val="center"/>
        </w:trPr>
        <w:tc>
          <w:tcPr>
            <w:tcW w:w="755" w:type="dxa"/>
            <w:tcBorders>
              <w:top w:val="nil"/>
              <w:left w:val="single" w:color="auto" w:sz="4" w:space="0"/>
              <w:bottom w:val="single" w:color="auto" w:sz="4" w:space="0"/>
              <w:right w:val="single" w:color="auto" w:sz="4" w:space="0"/>
            </w:tcBorders>
            <w:noWrap/>
            <w:vAlign w:val="center"/>
          </w:tcPr>
          <w:p w14:paraId="60B400E2">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23</w:t>
            </w:r>
          </w:p>
        </w:tc>
        <w:tc>
          <w:tcPr>
            <w:tcW w:w="705" w:type="dxa"/>
            <w:tcBorders>
              <w:top w:val="nil"/>
              <w:left w:val="nil"/>
              <w:bottom w:val="single" w:color="auto" w:sz="4" w:space="0"/>
              <w:right w:val="single" w:color="auto" w:sz="4" w:space="0"/>
            </w:tcBorders>
            <w:noWrap/>
            <w:vAlign w:val="center"/>
          </w:tcPr>
          <w:p w14:paraId="252E4F3C">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粘度测试仪</w:t>
            </w:r>
          </w:p>
        </w:tc>
        <w:tc>
          <w:tcPr>
            <w:tcW w:w="7063" w:type="dxa"/>
            <w:tcBorders>
              <w:top w:val="nil"/>
              <w:left w:val="nil"/>
              <w:bottom w:val="single" w:color="auto" w:sz="4" w:space="0"/>
              <w:right w:val="single" w:color="auto" w:sz="4" w:space="0"/>
            </w:tcBorders>
            <w:noWrap w:val="0"/>
            <w:vAlign w:val="center"/>
          </w:tcPr>
          <w:p w14:paraId="1FC297D9">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1.★转子通过磁吸附耦合到主机上，无需通过螺纹固定，避免转子损坏。</w:t>
            </w:r>
          </w:p>
          <w:p w14:paraId="474AA601">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2.具备转子自动识别功能，无需手动设置转子信息，避免选错转子造成的测量错误。</w:t>
            </w:r>
          </w:p>
          <w:p w14:paraId="1A1BB372">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3.主机具有自动搜索转速并提醒选择合适的转子以达到合适的扭矩功能，自动轴承检查功能，无需手动上发条，可避免紧急的停机时间。</w:t>
            </w:r>
          </w:p>
          <w:p w14:paraId="7B195022">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4.配置超低粘度测量系统（0号转子），测试低粘度的电解液。</w:t>
            </w:r>
          </w:p>
          <w:p w14:paraId="16BE49C1">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5.仪器主轴由 AISI 316L 不锈钢制成，比302材质更加耐腐蚀，更适宜测试电池电解液。</w:t>
            </w:r>
          </w:p>
          <w:p w14:paraId="4A2E42F2">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6.转速范围：0.1 ~200 rpm，可自定义转速，包括19 个标准转速和6个自定义转速共25个增量，实验灵活性更强。</w:t>
            </w:r>
          </w:p>
          <w:p w14:paraId="36B77680">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7.★准确度：全量程范围 ±1.0%，重复性：±0.2%。</w:t>
            </w:r>
          </w:p>
          <w:p w14:paraId="292748F6">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8.水浴循环控温装置温控范围-50-150℃，温度准确度＞0.1℃。</w:t>
            </w:r>
          </w:p>
          <w:p w14:paraId="5CEE13C8">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9.磁吸超低粘度测量系统所需电解液样品量＞8ml，粘度测量范围1mpas~2500mpas。</w:t>
            </w:r>
          </w:p>
          <w:p w14:paraId="0D6985AD">
            <w:pPr>
              <w:widowControl/>
              <w:adjustRightInd w:val="0"/>
              <w:snapToGrid w:val="0"/>
              <w:jc w:val="lef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基本配置：</w:t>
            </w:r>
          </w:p>
          <w:p w14:paraId="0B434AE0">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1.旋转粘度计主机1台。</w:t>
            </w:r>
          </w:p>
          <w:p w14:paraId="0BE90AFC">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2.L1-L4磁吸转子4根。</w:t>
            </w:r>
          </w:p>
          <w:p w14:paraId="6331C0AF">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3.温度传感器1件。</w:t>
            </w:r>
          </w:p>
          <w:p w14:paraId="67E83115">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4.水浴夹套1件。</w:t>
            </w:r>
          </w:p>
          <w:p w14:paraId="5E247316">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5.磁吸超低粘度测量系统（含样品杯、杯盖、磁吸转子、适配器）1套。</w:t>
            </w:r>
          </w:p>
          <w:p w14:paraId="5ADD7498">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6.水浴控温装置1套。</w:t>
            </w:r>
          </w:p>
          <w:p w14:paraId="5F8E0D42">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7.数据传输管理软件1套。</w:t>
            </w:r>
          </w:p>
          <w:p w14:paraId="736D23C8">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8.500ml锂电池电解液和钠电池电解液，各500ml。</w:t>
            </w:r>
          </w:p>
          <w:p w14:paraId="1C7A110C">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9.三门实验室用小冰箱，一台。</w:t>
            </w:r>
          </w:p>
          <w:p w14:paraId="72D42980">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10.丁腈一次性实验室手套，s,m,L码各100盒（内含100只）。</w:t>
            </w:r>
          </w:p>
          <w:p w14:paraId="72A243CF">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11.实验室用防喷溅面罩和护目镜，各100（内含100只）套。</w:t>
            </w:r>
          </w:p>
          <w:p w14:paraId="5B994E93">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12.实验室用活性炭一次性口罩，100盒（内含100只）。</w:t>
            </w:r>
          </w:p>
          <w:p w14:paraId="50426688">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13.3M活性炭KN95口罩，100盒（内含100只）。</w:t>
            </w:r>
          </w:p>
          <w:p w14:paraId="57F5ABB5">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14.电解液微量量液杯，原装 3套。</w:t>
            </w:r>
          </w:p>
          <w:p w14:paraId="18C86D5E">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15.电解液装置容器（烧杯、试管、离心管各50套）。</w:t>
            </w:r>
          </w:p>
          <w:p w14:paraId="703096B3">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16.试验桌*1，椅*6一套，桌子尺寸：≥2000 mm×750 mm×800 mm（长×宽×高），桌子配双电源插座，桌面材质：理化板+防静电胶，桌腿：方钢。</w:t>
            </w:r>
          </w:p>
          <w:p w14:paraId="2C9F57F4">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17.超声波清洗机*2，数控，容积：10L 功率200w 内槽尺寸300*240*150mm 带降音盖。</w:t>
            </w:r>
          </w:p>
          <w:p w14:paraId="483ADE92">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18.柜式耐腐蚀药品柜*2, 尺寸≥900*450*1800 双开门。</w:t>
            </w:r>
          </w:p>
        </w:tc>
        <w:tc>
          <w:tcPr>
            <w:tcW w:w="530" w:type="dxa"/>
            <w:tcBorders>
              <w:top w:val="nil"/>
              <w:left w:val="nil"/>
              <w:bottom w:val="single" w:color="auto" w:sz="4" w:space="0"/>
              <w:right w:val="single" w:color="auto" w:sz="4" w:space="0"/>
            </w:tcBorders>
            <w:noWrap w:val="0"/>
            <w:vAlign w:val="center"/>
          </w:tcPr>
          <w:p w14:paraId="63BAD925">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台</w:t>
            </w:r>
          </w:p>
        </w:tc>
        <w:tc>
          <w:tcPr>
            <w:tcW w:w="457" w:type="dxa"/>
            <w:tcBorders>
              <w:top w:val="nil"/>
              <w:left w:val="nil"/>
              <w:bottom w:val="single" w:color="auto" w:sz="4" w:space="0"/>
              <w:right w:val="single" w:color="auto" w:sz="4" w:space="0"/>
            </w:tcBorders>
            <w:noWrap/>
            <w:vAlign w:val="center"/>
          </w:tcPr>
          <w:p w14:paraId="415D41BC">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w:t>
            </w:r>
          </w:p>
        </w:tc>
      </w:tr>
      <w:tr w14:paraId="7E843E39">
        <w:tblPrEx>
          <w:tblCellMar>
            <w:top w:w="0" w:type="dxa"/>
            <w:left w:w="108" w:type="dxa"/>
            <w:bottom w:w="0" w:type="dxa"/>
            <w:right w:w="108" w:type="dxa"/>
          </w:tblCellMar>
        </w:tblPrEx>
        <w:trPr>
          <w:trHeight w:val="864" w:hRule="atLeast"/>
          <w:jc w:val="center"/>
        </w:trPr>
        <w:tc>
          <w:tcPr>
            <w:tcW w:w="755" w:type="dxa"/>
            <w:tcBorders>
              <w:top w:val="nil"/>
              <w:left w:val="single" w:color="auto" w:sz="4" w:space="0"/>
              <w:bottom w:val="single" w:color="auto" w:sz="4" w:space="0"/>
              <w:right w:val="single" w:color="auto" w:sz="4" w:space="0"/>
            </w:tcBorders>
            <w:noWrap/>
            <w:vAlign w:val="center"/>
          </w:tcPr>
          <w:p w14:paraId="2A4E0F55">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24</w:t>
            </w:r>
          </w:p>
        </w:tc>
        <w:tc>
          <w:tcPr>
            <w:tcW w:w="705" w:type="dxa"/>
            <w:tcBorders>
              <w:top w:val="nil"/>
              <w:left w:val="nil"/>
              <w:bottom w:val="single" w:color="auto" w:sz="4" w:space="0"/>
              <w:right w:val="single" w:color="auto" w:sz="4" w:space="0"/>
            </w:tcBorders>
            <w:noWrap/>
            <w:vAlign w:val="center"/>
          </w:tcPr>
          <w:p w14:paraId="6FFEF956">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万分之一天平</w:t>
            </w:r>
          </w:p>
        </w:tc>
        <w:tc>
          <w:tcPr>
            <w:tcW w:w="7063" w:type="dxa"/>
            <w:tcBorders>
              <w:top w:val="nil"/>
              <w:left w:val="nil"/>
              <w:bottom w:val="single" w:color="auto" w:sz="4" w:space="0"/>
              <w:right w:val="single" w:color="auto" w:sz="4" w:space="0"/>
            </w:tcBorders>
            <w:noWrap w:val="0"/>
            <w:vAlign w:val="center"/>
          </w:tcPr>
          <w:p w14:paraId="1F83B024">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（一）主要用途</w:t>
            </w:r>
          </w:p>
          <w:p w14:paraId="5D670E17">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用于样品的称量。</w:t>
            </w:r>
          </w:p>
          <w:p w14:paraId="23644ABF">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（二）工作环境条件</w:t>
            </w:r>
          </w:p>
          <w:p w14:paraId="44781B06">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2.1电源：220V±10% (50 Hz/60 Hz)。</w:t>
            </w:r>
          </w:p>
          <w:p w14:paraId="384E3E41">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2.2操作温度：20±2.5℃。</w:t>
            </w:r>
          </w:p>
          <w:p w14:paraId="73348D16">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（三）技术指标</w:t>
            </w:r>
          </w:p>
          <w:p w14:paraId="196E0982">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3.1最大称量值：≥110g。</w:t>
            </w:r>
          </w:p>
          <w:p w14:paraId="3EA5F924">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3.2可读性：0.1mg。</w:t>
            </w:r>
          </w:p>
          <w:p w14:paraId="2D8C7E23">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3.3线性误差：±0.2mg。重复性：±0.1mg。</w:t>
            </w:r>
          </w:p>
          <w:p w14:paraId="003AB325">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3.4秤盘参考尺寸：Φ80mm。</w:t>
            </w:r>
          </w:p>
          <w:p w14:paraId="5C0C32F3">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3.5配备九种丰富的程序应用：百分比称重功能，密度称量程序自动换算直读功能，动物（动态）称量功能，设定物体称量计数功能，成本结算（计价）功能，上下限检重功能，毛、净、皮称量功能，峰值保持功能，累计功能。</w:t>
            </w:r>
          </w:p>
          <w:p w14:paraId="6DC1D64B">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3.6采用电磁力精密传感器。</w:t>
            </w:r>
          </w:p>
          <w:p w14:paraId="129FCDF1">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3.7全自动外校系统。</w:t>
            </w:r>
          </w:p>
          <w:p w14:paraId="50F938BD">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3.8七级防震滤波可调功能。</w:t>
            </w:r>
          </w:p>
          <w:p w14:paraId="4E2E8464">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3.9具有克、克拉、英磅等二十种单位转换功能，并可锁定和屏敝。</w:t>
            </w:r>
          </w:p>
          <w:p w14:paraId="0450688F">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3.10标配RS232/USB双接口，轻松实现称量数据的传输。</w:t>
            </w:r>
          </w:p>
          <w:p w14:paraId="1E4C9945">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3.11开关机自动锁定当前模式，方便用户继续上次功能操作。</w:t>
            </w:r>
          </w:p>
          <w:p w14:paraId="295A5C7C">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3.12内置日期、时间可调功能，内置温度显示功能。</w:t>
            </w:r>
          </w:p>
          <w:p w14:paraId="3A86E66C">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3.13配备下挂钩外部称量装置，以满足轻量大体积物品称重。</w:t>
            </w:r>
          </w:p>
          <w:p w14:paraId="78F0BD19">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3.14称重稳定时间可调功能，满足不同称重需求。</w:t>
            </w:r>
          </w:p>
          <w:p w14:paraId="6586E3AE">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3.15人性化后置式工具箱可放置砝码、手套。</w:t>
            </w:r>
          </w:p>
          <w:p w14:paraId="772FE1CA">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（四）配置</w:t>
            </w:r>
          </w:p>
          <w:p w14:paraId="25FB51A6">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4.1主机：1台。</w:t>
            </w:r>
          </w:p>
          <w:p w14:paraId="60FB6724">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4.2 试验桌*1，椅*6一套，桌子尺寸：≥2000 mm×750 mm×800 mm（长×宽×高），桌子配双电源插座，桌面材质：理化板+防静电胶，桌腿：方钢。</w:t>
            </w:r>
          </w:p>
          <w:p w14:paraId="304BFC4A">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（五）技术服务</w:t>
            </w:r>
          </w:p>
          <w:p w14:paraId="3CFED94F">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5.1安装验收后1年内，全机免费保修。</w:t>
            </w:r>
          </w:p>
          <w:p w14:paraId="18DF7DCF">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5.2如果仪器出现故障，在接到我校维修服务的请求后，仪器公司工程师应在8小时内作出应答，进行电话指导、网上诊断协助排除故障。必要时，在48小时内到达现场。</w:t>
            </w:r>
          </w:p>
          <w:p w14:paraId="1D405A40">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5.3提供全套仪器操作说明书，到货后，由仪器工程师免费安装。仪器安装后，安装工程师为用户进行现场培训。</w:t>
            </w:r>
          </w:p>
        </w:tc>
        <w:tc>
          <w:tcPr>
            <w:tcW w:w="530" w:type="dxa"/>
            <w:tcBorders>
              <w:top w:val="nil"/>
              <w:left w:val="nil"/>
              <w:bottom w:val="single" w:color="auto" w:sz="4" w:space="0"/>
              <w:right w:val="single" w:color="auto" w:sz="4" w:space="0"/>
            </w:tcBorders>
            <w:noWrap/>
            <w:vAlign w:val="center"/>
          </w:tcPr>
          <w:p w14:paraId="11230D82">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台</w:t>
            </w:r>
          </w:p>
        </w:tc>
        <w:tc>
          <w:tcPr>
            <w:tcW w:w="457" w:type="dxa"/>
            <w:tcBorders>
              <w:top w:val="nil"/>
              <w:left w:val="nil"/>
              <w:bottom w:val="single" w:color="auto" w:sz="4" w:space="0"/>
              <w:right w:val="single" w:color="auto" w:sz="4" w:space="0"/>
            </w:tcBorders>
            <w:noWrap/>
            <w:vAlign w:val="center"/>
          </w:tcPr>
          <w:p w14:paraId="28D97F70">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w:t>
            </w:r>
          </w:p>
        </w:tc>
      </w:tr>
      <w:tr w14:paraId="3EC392BE">
        <w:tblPrEx>
          <w:tblCellMar>
            <w:top w:w="0" w:type="dxa"/>
            <w:left w:w="108" w:type="dxa"/>
            <w:bottom w:w="0" w:type="dxa"/>
            <w:right w:w="108" w:type="dxa"/>
          </w:tblCellMar>
        </w:tblPrEx>
        <w:trPr>
          <w:trHeight w:val="864" w:hRule="atLeast"/>
          <w:jc w:val="center"/>
        </w:trPr>
        <w:tc>
          <w:tcPr>
            <w:tcW w:w="755" w:type="dxa"/>
            <w:tcBorders>
              <w:top w:val="nil"/>
              <w:left w:val="single" w:color="auto" w:sz="4" w:space="0"/>
              <w:bottom w:val="single" w:color="auto" w:sz="4" w:space="0"/>
              <w:right w:val="single" w:color="auto" w:sz="4" w:space="0"/>
            </w:tcBorders>
            <w:noWrap/>
            <w:vAlign w:val="center"/>
          </w:tcPr>
          <w:p w14:paraId="7F4631A2">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25</w:t>
            </w:r>
          </w:p>
        </w:tc>
        <w:tc>
          <w:tcPr>
            <w:tcW w:w="705" w:type="dxa"/>
            <w:tcBorders>
              <w:top w:val="nil"/>
              <w:left w:val="nil"/>
              <w:bottom w:val="single" w:color="auto" w:sz="4" w:space="0"/>
              <w:right w:val="single" w:color="auto" w:sz="4" w:space="0"/>
            </w:tcBorders>
            <w:noWrap/>
            <w:vAlign w:val="center"/>
          </w:tcPr>
          <w:p w14:paraId="51AE3555">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移液枪套装</w:t>
            </w:r>
          </w:p>
        </w:tc>
        <w:tc>
          <w:tcPr>
            <w:tcW w:w="7063" w:type="dxa"/>
            <w:tcBorders>
              <w:top w:val="nil"/>
              <w:left w:val="nil"/>
              <w:bottom w:val="single" w:color="auto" w:sz="4" w:space="0"/>
              <w:right w:val="single" w:color="auto" w:sz="4" w:space="0"/>
            </w:tcBorders>
            <w:noWrap w:val="0"/>
            <w:vAlign w:val="center"/>
          </w:tcPr>
          <w:p w14:paraId="06F3F2EF">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1.0.1-2.5ul，增量0.05ul，最大误差0.03-0.0625ul。</w:t>
            </w:r>
          </w:p>
          <w:p w14:paraId="1621B0EF">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2.0.5-10ul，增量0.1ul，最大误差0.025-0.1ul。</w:t>
            </w:r>
          </w:p>
          <w:p w14:paraId="570A9BCB">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3.10-100ul，增量1ul，最大误差0.3-0.85ul。</w:t>
            </w:r>
          </w:p>
          <w:p w14:paraId="59C4FBBE">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4.100-1000ul，增量5ul，最大误差2-6ul。</w:t>
            </w:r>
          </w:p>
          <w:p w14:paraId="6A38A44F">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5.1000-5000ul，增量50ul，最大误差7-25ul。</w:t>
            </w:r>
          </w:p>
        </w:tc>
        <w:tc>
          <w:tcPr>
            <w:tcW w:w="530" w:type="dxa"/>
            <w:tcBorders>
              <w:top w:val="nil"/>
              <w:left w:val="nil"/>
              <w:bottom w:val="single" w:color="auto" w:sz="4" w:space="0"/>
              <w:right w:val="single" w:color="auto" w:sz="4" w:space="0"/>
            </w:tcBorders>
            <w:noWrap/>
            <w:vAlign w:val="center"/>
          </w:tcPr>
          <w:p w14:paraId="652DE115">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套</w:t>
            </w:r>
          </w:p>
        </w:tc>
        <w:tc>
          <w:tcPr>
            <w:tcW w:w="457" w:type="dxa"/>
            <w:tcBorders>
              <w:top w:val="nil"/>
              <w:left w:val="nil"/>
              <w:bottom w:val="single" w:color="auto" w:sz="4" w:space="0"/>
              <w:right w:val="single" w:color="auto" w:sz="4" w:space="0"/>
            </w:tcBorders>
            <w:noWrap/>
            <w:vAlign w:val="center"/>
          </w:tcPr>
          <w:p w14:paraId="5057CA53">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w:t>
            </w:r>
          </w:p>
        </w:tc>
      </w:tr>
      <w:tr w14:paraId="13D2F804">
        <w:tblPrEx>
          <w:tblCellMar>
            <w:top w:w="0" w:type="dxa"/>
            <w:left w:w="108" w:type="dxa"/>
            <w:bottom w:w="0" w:type="dxa"/>
            <w:right w:w="108" w:type="dxa"/>
          </w:tblCellMar>
        </w:tblPrEx>
        <w:trPr>
          <w:trHeight w:val="864" w:hRule="atLeast"/>
          <w:jc w:val="center"/>
        </w:trPr>
        <w:tc>
          <w:tcPr>
            <w:tcW w:w="755" w:type="dxa"/>
            <w:tcBorders>
              <w:top w:val="nil"/>
              <w:left w:val="single" w:color="auto" w:sz="4" w:space="0"/>
              <w:bottom w:val="single" w:color="auto" w:sz="4" w:space="0"/>
              <w:right w:val="single" w:color="auto" w:sz="4" w:space="0"/>
            </w:tcBorders>
            <w:noWrap/>
            <w:vAlign w:val="center"/>
          </w:tcPr>
          <w:p w14:paraId="14F828AD">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26</w:t>
            </w:r>
          </w:p>
        </w:tc>
        <w:tc>
          <w:tcPr>
            <w:tcW w:w="705" w:type="dxa"/>
            <w:tcBorders>
              <w:top w:val="nil"/>
              <w:left w:val="nil"/>
              <w:bottom w:val="single" w:color="auto" w:sz="4" w:space="0"/>
              <w:right w:val="single" w:color="auto" w:sz="4" w:space="0"/>
            </w:tcBorders>
            <w:noWrap/>
            <w:vAlign w:val="center"/>
          </w:tcPr>
          <w:p w14:paraId="0D9DE6A5">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通风橱</w:t>
            </w:r>
          </w:p>
        </w:tc>
        <w:tc>
          <w:tcPr>
            <w:tcW w:w="7063" w:type="dxa"/>
            <w:tcBorders>
              <w:top w:val="nil"/>
              <w:left w:val="nil"/>
              <w:bottom w:val="single" w:color="auto" w:sz="4" w:space="0"/>
              <w:right w:val="single" w:color="auto" w:sz="4" w:space="0"/>
            </w:tcBorders>
            <w:noWrap w:val="0"/>
            <w:vAlign w:val="center"/>
          </w:tcPr>
          <w:p w14:paraId="64E04A53">
            <w:pPr>
              <w:widowControl/>
              <w:adjustRightInd w:val="0"/>
              <w:snapToGrid w:val="0"/>
              <w:jc w:val="lef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1.产品技术要求</w:t>
            </w:r>
          </w:p>
          <w:p w14:paraId="76D357B6">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全钢工艺制作，线条柔和，承重性好，组合灵活，利于维修，便于安装运输,外形设计美观大方；外形尺寸误差值：长、宽、高≤3mm。柜体对角线或框架对角线≤1000mm，邻边垂直度允许误差值≤3mm，邻边垂直度允许误差值≤4mm。 </w:t>
            </w:r>
          </w:p>
          <w:p w14:paraId="5E14E35B">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全钢通风柜：1800*1050*2350mm。</w:t>
            </w:r>
          </w:p>
          <w:p w14:paraId="3EFBC26E">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内部尺寸：1540*800*800。</w:t>
            </w:r>
          </w:p>
          <w:p w14:paraId="32B9AF4C">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通风柜操作面净空间≥1230mm×690mm×1150mm。上面台面，底下柜子。 </w:t>
            </w:r>
          </w:p>
          <w:p w14:paraId="26B537DA">
            <w:pPr>
              <w:widowControl/>
              <w:adjustRightInd w:val="0"/>
              <w:snapToGrid w:val="0"/>
              <w:jc w:val="lef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2.工艺要求</w:t>
            </w:r>
          </w:p>
          <w:p w14:paraId="10FEBE7D">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2.1台面：采用实验室专用12.7mm厚实芯理化板+防静电胶制作而成，四周加边至25.4mm。具有耐腐蚀、耐各种强酸碱和有机溶剂的侵蚀，有韧性、耐冲击、耐高温200℃、防水、抗细菌生长、不含任何有毒物质，无辐射，健康环保防静电。</w:t>
            </w:r>
          </w:p>
          <w:p w14:paraId="1ABADF65">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2.2衬板及导流板：采用进风柜专用耐酸碱导流板，厚5mm白色表面积层化学板装设。安装位置与角度需使排气分布均匀，无死角，在标准状况下，导流板上方与中、下方出风口排风量比例各约50±10%，以确保不同比重之气体均能有效排除，另并具手动可调排风量比例设计，可提高中、下方出风口排风量比例至80%以上，以适应不同实验之需求。</w:t>
            </w:r>
          </w:p>
          <w:p w14:paraId="2CA8C61E">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2.3视窗：框架采用铝合金材料制作，内部采用5mm厚钢化玻璃，视窗采用无间断平衡、隐蔽式结构设计。视窗配重平衡，保证视窗的平稳开、关，视窗上下滑动自如，可停留在任意位置，在通风柜视窗与通风柜工作台面垂直闭合处，设计留有防止气体外溢的气流栅，用以防止因温差而产生的对流气体外溢，保证当视窗关闭风机仍工作时，柜体内工作区不会产生负压。</w:t>
            </w:r>
          </w:p>
          <w:p w14:paraId="54011DC7">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2.4窗口把手：采用环氧树脂粉沫喷涂烤漆钢制拉手，美观、大方。</w:t>
            </w:r>
          </w:p>
          <w:p w14:paraId="7D45D3DC">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2.5悬吊钢索：采用直径5mmPVC包覆钢索，具有防锈、承重能力强、抗锈、耐腐蚀等特点。</w:t>
            </w:r>
          </w:p>
          <w:p w14:paraId="1F4CBE6B">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2.6通风柜外壳、箱体：整体采用1.0mm冷轧钢板经专用机床裁剪、冲压、折弯、气体保护焊接制作而成，表面经除油、酸洗、磷化等防锈工艺处理，再经环氧树脂喷塑工艺处理，具有耐强酸碱、耐腐蚀、耐冲击、韧性强等特点。钢材表面平整光滑，不允许有明显焊疤、鼓泡、凹陷、压痕、划痕、裂痕、麻点、崩角和刃口等缺陷。</w:t>
            </w:r>
          </w:p>
          <w:p w14:paraId="70A3A218">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2.7背板：为了配合水、电、气的安装及日常维护，下柜体背板设计为可拆卸背板。</w:t>
            </w:r>
          </w:p>
          <w:p w14:paraId="09B980C3">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2.8通风柜控制器：采用微电脑集成液晶触摸面板式开关控制，外形美观大方，便于维护及更换。</w:t>
            </w:r>
          </w:p>
          <w:p w14:paraId="7E7F77FF">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2.9插座：采用多功能防水三孔插座，并配置过载保护开关。</w:t>
            </w:r>
          </w:p>
          <w:p w14:paraId="58BEB3E1">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2.10照明：采用日光灯照明，保证工作面不低于450Lux的亮度标准，不与柜内气体接触，易更换。</w:t>
            </w:r>
          </w:p>
          <w:p w14:paraId="27C7D99B">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2.11水龙头：采用单口、双口或三口白色水龙头，冷热水可调，出水嘴为铜质尖嘴型，高头、单口360°旋转，便于多用途使用，可拆卸清洗。每台标准型通风柜均预留水阀的安装位置。</w:t>
            </w:r>
          </w:p>
          <w:p w14:paraId="2180E7CE">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2.12、水槽：采用PP材质，模具成型，耐酸碱腐蚀，台下托底式安装。</w:t>
            </w:r>
          </w:p>
          <w:p w14:paraId="5BFF4503">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2.13气阀：采用铜制外表经环氧树脂喷涂工艺处理，耐高压、耐酸碱、耐热材质，单口隔离操作式。每台标准型通风柜均预留气体考克的安装位置。</w:t>
            </w:r>
          </w:p>
          <w:p w14:paraId="38124131">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2.14铰链：开启次数达到10万次以上。</w:t>
            </w:r>
          </w:p>
          <w:p w14:paraId="4C96F484">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2.15配电箱：采用内嵌方式设计，固定于通风柜下箱体背板上，其中包含空气开关、过载保护器、接触器。</w:t>
            </w:r>
          </w:p>
          <w:p w14:paraId="0F83D439">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2.16柜门及拉手：采用一体式设计，拉手为一字型隐蔽型，柜门设计有通风百叶窗，可防止柜体内部由于溶剂挥发所产生的腐蚀。 </w:t>
            </w:r>
          </w:p>
        </w:tc>
        <w:tc>
          <w:tcPr>
            <w:tcW w:w="530" w:type="dxa"/>
            <w:tcBorders>
              <w:top w:val="nil"/>
              <w:left w:val="nil"/>
              <w:bottom w:val="single" w:color="auto" w:sz="4" w:space="0"/>
              <w:right w:val="single" w:color="auto" w:sz="4" w:space="0"/>
            </w:tcBorders>
            <w:noWrap/>
            <w:vAlign w:val="center"/>
          </w:tcPr>
          <w:p w14:paraId="3AAE19B6">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套</w:t>
            </w:r>
          </w:p>
        </w:tc>
        <w:tc>
          <w:tcPr>
            <w:tcW w:w="457" w:type="dxa"/>
            <w:tcBorders>
              <w:top w:val="nil"/>
              <w:left w:val="nil"/>
              <w:bottom w:val="single" w:color="auto" w:sz="4" w:space="0"/>
              <w:right w:val="single" w:color="auto" w:sz="4" w:space="0"/>
            </w:tcBorders>
            <w:noWrap/>
            <w:vAlign w:val="center"/>
          </w:tcPr>
          <w:p w14:paraId="24E234AF">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w:t>
            </w:r>
          </w:p>
        </w:tc>
      </w:tr>
      <w:tr w14:paraId="58D0A4D3">
        <w:tblPrEx>
          <w:tblCellMar>
            <w:top w:w="0" w:type="dxa"/>
            <w:left w:w="108" w:type="dxa"/>
            <w:bottom w:w="0" w:type="dxa"/>
            <w:right w:w="108" w:type="dxa"/>
          </w:tblCellMar>
        </w:tblPrEx>
        <w:trPr>
          <w:trHeight w:val="864" w:hRule="atLeast"/>
          <w:jc w:val="center"/>
        </w:trPr>
        <w:tc>
          <w:tcPr>
            <w:tcW w:w="755" w:type="dxa"/>
            <w:tcBorders>
              <w:top w:val="nil"/>
              <w:left w:val="single" w:color="auto" w:sz="4" w:space="0"/>
              <w:bottom w:val="single" w:color="auto" w:sz="4" w:space="0"/>
              <w:right w:val="single" w:color="auto" w:sz="4" w:space="0"/>
            </w:tcBorders>
            <w:noWrap/>
            <w:vAlign w:val="center"/>
          </w:tcPr>
          <w:p w14:paraId="3F9076D8">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27</w:t>
            </w:r>
          </w:p>
        </w:tc>
        <w:tc>
          <w:tcPr>
            <w:tcW w:w="705" w:type="dxa"/>
            <w:tcBorders>
              <w:top w:val="nil"/>
              <w:left w:val="nil"/>
              <w:bottom w:val="single" w:color="auto" w:sz="4" w:space="0"/>
              <w:right w:val="single" w:color="auto" w:sz="4" w:space="0"/>
            </w:tcBorders>
            <w:noWrap/>
            <w:vAlign w:val="center"/>
          </w:tcPr>
          <w:p w14:paraId="62FA2EAF">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钢木试验台</w:t>
            </w:r>
          </w:p>
        </w:tc>
        <w:tc>
          <w:tcPr>
            <w:tcW w:w="7063" w:type="dxa"/>
            <w:tcBorders>
              <w:top w:val="nil"/>
              <w:left w:val="nil"/>
              <w:bottom w:val="single" w:color="auto" w:sz="4" w:space="0"/>
              <w:right w:val="single" w:color="auto" w:sz="4" w:space="0"/>
            </w:tcBorders>
            <w:noWrap w:val="0"/>
            <w:vAlign w:val="center"/>
          </w:tcPr>
          <w:p w14:paraId="30773174">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1.材质：柜体采用18mm E1级三聚氰胺饰面刨花板、PVC防水处理封边条，钢架采用40*60*1.2厚镀锌钢管焊接而成，表面环氧树脂粉末静电喷涂，高温固化，附着力高，耐划，耐酸碱，美观耐用。</w:t>
            </w:r>
          </w:p>
          <w:p w14:paraId="2E592BB8">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2.规格（mm）</w:t>
            </w:r>
          </w:p>
          <w:p w14:paraId="3A08CBE7">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钢木边台空位1： 8000*750*800。</w:t>
            </w:r>
          </w:p>
          <w:p w14:paraId="78B87520">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钢木边台空位2：3000*750*800。</w:t>
            </w:r>
          </w:p>
          <w:p w14:paraId="7FDFC41A">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钢木中台空位3：5000*750*800。</w:t>
            </w:r>
          </w:p>
          <w:p w14:paraId="757B6BB0">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钢Ự钩继转角柜 1000*1000*800。</w:t>
            </w:r>
          </w:p>
          <w:p w14:paraId="45D1980C">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PP中水槽+三联水龙2套：550*450*310。</w:t>
            </w:r>
          </w:p>
          <w:p w14:paraId="1BB76530">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3.配件：</w:t>
            </w:r>
          </w:p>
          <w:p w14:paraId="2E46EE0D">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滑轨：16寸优质专用滑轨，静音顺滑。</w:t>
            </w:r>
          </w:p>
          <w:p w14:paraId="538C9696">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铰链：采用优质铰链，115度打开。</w:t>
            </w:r>
          </w:p>
          <w:p w14:paraId="0DA85F2C">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4.加工工艺：</w:t>
            </w:r>
          </w:p>
          <w:p w14:paraId="48DD70C4">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钢架焊接：点焊和氩弧焊。</w:t>
            </w:r>
          </w:p>
          <w:p w14:paraId="22BF35C4">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5.柜体结构：</w:t>
            </w:r>
          </w:p>
          <w:p w14:paraId="63C7C53A">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每个单元均可拆装结构，包装小，装安前搬运方便，体积小不易碰到实验室的过道及楼梯，上楼容易，移动快捷。</w:t>
            </w:r>
          </w:p>
          <w:p w14:paraId="29E034B5">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6.台面：12.7M M实心理化板。含运费安装及水管连接，保证正常使用，及1年售后。</w:t>
            </w:r>
          </w:p>
        </w:tc>
        <w:tc>
          <w:tcPr>
            <w:tcW w:w="530" w:type="dxa"/>
            <w:tcBorders>
              <w:top w:val="nil"/>
              <w:left w:val="nil"/>
              <w:bottom w:val="single" w:color="auto" w:sz="4" w:space="0"/>
              <w:right w:val="single" w:color="auto" w:sz="4" w:space="0"/>
            </w:tcBorders>
            <w:noWrap/>
            <w:vAlign w:val="center"/>
          </w:tcPr>
          <w:p w14:paraId="62EC9661">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套</w:t>
            </w:r>
          </w:p>
        </w:tc>
        <w:tc>
          <w:tcPr>
            <w:tcW w:w="457" w:type="dxa"/>
            <w:tcBorders>
              <w:top w:val="nil"/>
              <w:left w:val="nil"/>
              <w:bottom w:val="single" w:color="auto" w:sz="4" w:space="0"/>
              <w:right w:val="single" w:color="auto" w:sz="4" w:space="0"/>
            </w:tcBorders>
            <w:noWrap/>
            <w:vAlign w:val="center"/>
          </w:tcPr>
          <w:p w14:paraId="28658BD3">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r>
      <w:tr w14:paraId="79BFDF8B">
        <w:tblPrEx>
          <w:tblCellMar>
            <w:top w:w="0" w:type="dxa"/>
            <w:left w:w="108" w:type="dxa"/>
            <w:bottom w:w="0" w:type="dxa"/>
            <w:right w:w="108" w:type="dxa"/>
          </w:tblCellMar>
        </w:tblPrEx>
        <w:trPr>
          <w:trHeight w:val="864" w:hRule="atLeast"/>
          <w:jc w:val="center"/>
        </w:trPr>
        <w:tc>
          <w:tcPr>
            <w:tcW w:w="755" w:type="dxa"/>
            <w:tcBorders>
              <w:top w:val="nil"/>
              <w:left w:val="single" w:color="auto" w:sz="4" w:space="0"/>
              <w:bottom w:val="single" w:color="auto" w:sz="4" w:space="0"/>
              <w:right w:val="single" w:color="auto" w:sz="4" w:space="0"/>
            </w:tcBorders>
            <w:noWrap/>
            <w:vAlign w:val="center"/>
          </w:tcPr>
          <w:p w14:paraId="671E902C">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28</w:t>
            </w:r>
          </w:p>
        </w:tc>
        <w:tc>
          <w:tcPr>
            <w:tcW w:w="705" w:type="dxa"/>
            <w:tcBorders>
              <w:top w:val="nil"/>
              <w:left w:val="nil"/>
              <w:bottom w:val="single" w:color="auto" w:sz="4" w:space="0"/>
              <w:right w:val="single" w:color="auto" w:sz="4" w:space="0"/>
            </w:tcBorders>
            <w:noWrap/>
            <w:vAlign w:val="center"/>
          </w:tcPr>
          <w:p w14:paraId="1DC8D7F4">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电池组分分析检测平台</w:t>
            </w:r>
          </w:p>
        </w:tc>
        <w:tc>
          <w:tcPr>
            <w:tcW w:w="7063" w:type="dxa"/>
            <w:tcBorders>
              <w:top w:val="nil"/>
              <w:left w:val="nil"/>
              <w:bottom w:val="single" w:color="auto" w:sz="4" w:space="0"/>
              <w:right w:val="single" w:color="auto" w:sz="4" w:space="0"/>
            </w:tcBorders>
            <w:noWrap w:val="0"/>
            <w:vAlign w:val="center"/>
          </w:tcPr>
          <w:p w14:paraId="257A3686">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1.干涉仪：无机械磨损的磁浮式干涉仪，具有三维激光控制自动调整和每秒不低于10万次高速扫描动态准直控制功能，保证长期检测的高稳定性、准确性，无光谱偏离和失真。</w:t>
            </w:r>
          </w:p>
          <w:p w14:paraId="29AB285D">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2.光谱范围：7000-400cm-1。</w:t>
            </w:r>
          </w:p>
          <w:p w14:paraId="150E47C3">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3.★光谱分辨率: 优于0.4cm-1（提供印刷资料或检测机构出具的检测报告为准，否则视为无法满足）。</w:t>
            </w:r>
          </w:p>
          <w:p w14:paraId="5EC70408">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4.★全光谱线性准确度：优于0.15%T（提供印刷资料或检测机构出具的检测报告为准，否则视为无法满足）。</w:t>
            </w:r>
          </w:p>
          <w:p w14:paraId="5D0F9734">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5.红外光源：热稳定、高能量、长寿命红外光源，精确定位无需打开光学盖即可在外部无线接插精确定位。</w:t>
            </w:r>
          </w:p>
          <w:p w14:paraId="66AEF870">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6.检测器:高性能DLATGS检测器，仪器能自动识别和参数设置，采用优于24位500KHz A/D转换器保证高精度、高速数据采集。</w:t>
            </w:r>
          </w:p>
          <w:p w14:paraId="763F0B74">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7.★多色LED扫描条，可以显示仪器不同的工作状态（提供印刷资料或检测机构出具的检测报告为准，否则视为无法满足）。</w:t>
            </w:r>
          </w:p>
          <w:p w14:paraId="09B73FD5">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8.光学台：干燥密封系统，样品仓两侧配备防雾化镀层的红外透射密封窗片。</w:t>
            </w:r>
          </w:p>
          <w:p w14:paraId="10D05C43">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9.禁止使用有毒的KRS-5窗片和无法覆盖中红外全光谱范围的Znse窗片。</w:t>
            </w:r>
          </w:p>
          <w:p w14:paraId="6B88DD45">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10.光学元件与光学台采用对针定位模式，非螺丝定位方式。</w:t>
            </w:r>
          </w:p>
          <w:p w14:paraId="6D6E94BC">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 配置要求：（1）红外光谱仪主机，（2）干磁浮式干涉仪，（3）DLATGS检测器，（4）3M化学气体专用防护面具*200个，滤芯1000个。</w:t>
            </w:r>
          </w:p>
        </w:tc>
        <w:tc>
          <w:tcPr>
            <w:tcW w:w="530" w:type="dxa"/>
            <w:tcBorders>
              <w:top w:val="nil"/>
              <w:left w:val="nil"/>
              <w:bottom w:val="single" w:color="auto" w:sz="4" w:space="0"/>
              <w:right w:val="single" w:color="auto" w:sz="4" w:space="0"/>
            </w:tcBorders>
            <w:noWrap/>
            <w:vAlign w:val="center"/>
          </w:tcPr>
          <w:p w14:paraId="3D6064FC">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台</w:t>
            </w:r>
          </w:p>
        </w:tc>
        <w:tc>
          <w:tcPr>
            <w:tcW w:w="457" w:type="dxa"/>
            <w:tcBorders>
              <w:top w:val="nil"/>
              <w:left w:val="nil"/>
              <w:bottom w:val="single" w:color="auto" w:sz="4" w:space="0"/>
              <w:right w:val="single" w:color="auto" w:sz="4" w:space="0"/>
            </w:tcBorders>
            <w:noWrap/>
            <w:vAlign w:val="center"/>
          </w:tcPr>
          <w:p w14:paraId="70F19324">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r>
      <w:tr w14:paraId="63B77489">
        <w:tblPrEx>
          <w:tblCellMar>
            <w:top w:w="0" w:type="dxa"/>
            <w:left w:w="108" w:type="dxa"/>
            <w:bottom w:w="0" w:type="dxa"/>
            <w:right w:w="108" w:type="dxa"/>
          </w:tblCellMar>
        </w:tblPrEx>
        <w:trPr>
          <w:trHeight w:val="864" w:hRule="atLeast"/>
          <w:jc w:val="center"/>
        </w:trPr>
        <w:tc>
          <w:tcPr>
            <w:tcW w:w="755" w:type="dxa"/>
            <w:tcBorders>
              <w:top w:val="nil"/>
              <w:left w:val="single" w:color="auto" w:sz="4" w:space="0"/>
              <w:bottom w:val="single" w:color="auto" w:sz="4" w:space="0"/>
              <w:right w:val="single" w:color="auto" w:sz="4" w:space="0"/>
            </w:tcBorders>
            <w:noWrap/>
            <w:vAlign w:val="center"/>
          </w:tcPr>
          <w:p w14:paraId="3A87434F">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29</w:t>
            </w:r>
          </w:p>
        </w:tc>
        <w:tc>
          <w:tcPr>
            <w:tcW w:w="705" w:type="dxa"/>
            <w:tcBorders>
              <w:top w:val="nil"/>
              <w:left w:val="nil"/>
              <w:bottom w:val="single" w:color="auto" w:sz="4" w:space="0"/>
              <w:right w:val="single" w:color="auto" w:sz="4" w:space="0"/>
            </w:tcBorders>
            <w:noWrap/>
            <w:vAlign w:val="center"/>
          </w:tcPr>
          <w:p w14:paraId="05DD07E0">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热红外教学分析系统</w:t>
            </w:r>
          </w:p>
        </w:tc>
        <w:tc>
          <w:tcPr>
            <w:tcW w:w="7063" w:type="dxa"/>
            <w:tcBorders>
              <w:top w:val="nil"/>
              <w:left w:val="nil"/>
              <w:bottom w:val="single" w:color="auto" w:sz="4" w:space="0"/>
              <w:right w:val="single" w:color="auto" w:sz="4" w:space="0"/>
            </w:tcBorders>
            <w:noWrap w:val="0"/>
            <w:vAlign w:val="center"/>
          </w:tcPr>
          <w:p w14:paraId="2064AE8D">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1.软件操作界面可按操作者需求进行中英文等多语言切换。</w:t>
            </w:r>
          </w:p>
          <w:p w14:paraId="7D28DD9E">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2.软件能够光谱采集、数据处理、谱库检索等基本功能。</w:t>
            </w:r>
          </w:p>
          <w:p w14:paraId="51CCDFD2">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 ★配置不少于十万张拥有知识产权的标准图谱、永久免费使用、非在线付费使用（提供印刷资料或检测机构出具的检测报告为准，否则视为无法满足）。</w:t>
            </w:r>
          </w:p>
          <w:p w14:paraId="6BA5593B">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4.离线安装在用户电脑的高分辨红外光谱数据库。</w:t>
            </w:r>
          </w:p>
          <w:p w14:paraId="5A8BFAC0">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5.★谱库中包含两万张药用化学品、材料的标准红外光谱数据库。</w:t>
            </w:r>
          </w:p>
          <w:p w14:paraId="797728F8">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6.自动光谱质量检查、实验设置。</w:t>
            </w:r>
          </w:p>
          <w:p w14:paraId="126F98D8">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8.高精度鉴别软件，快速比对鉴别和确定不同含量的物质、不同晶型，同属不同种等样品状态，无需特定测试条件和定量标定。</w:t>
            </w:r>
          </w:p>
          <w:p w14:paraId="0E4A86C8">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9.混合物光谱分离鉴别检测分析方法：能对混合物和污染物样品红外光谱进行采集自动搜索分离鉴别、给出含量比例。</w:t>
            </w:r>
          </w:p>
          <w:p w14:paraId="2DAE02C5">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10.支持不同红外光谱格式。</w:t>
            </w:r>
          </w:p>
          <w:p w14:paraId="46AA2458">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11.可连网检索光谱化学结构和给出不同组分相对含量比例，操作一键式完成无需专业化经验。</w:t>
            </w:r>
          </w:p>
          <w:p w14:paraId="3CB831A7">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配置要求：</w:t>
            </w:r>
          </w:p>
          <w:p w14:paraId="0B2B82CB">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1.红外光谱分析软件*1套。</w:t>
            </w:r>
          </w:p>
          <w:p w14:paraId="3E11AA5B">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提供十万张拥有知识产权、永久免费使用、非在线付费使用、离线安装在用户电脑的高分辨红外光谱数据库，或提供十万张以上的萨特勒等谱图集的红外光谱数据库二十年以上的许可证。谱库中包含两万张药用化学品、材料的标准红外光谱数据库*1套。</w:t>
            </w:r>
          </w:p>
          <w:p w14:paraId="6BBC5B29">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3.混合物分析软件*1套。</w:t>
            </w:r>
          </w:p>
          <w:p w14:paraId="44391198">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4.教学材料：(a)包覆后的NCM811活性正极片80片 单片尺寸230*100mm。</w:t>
            </w:r>
          </w:p>
          <w:p w14:paraId="4FED445E">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(b) 负极材料1：锂片直径10mm/16mm 厚度0.4mm 一共300g。</w:t>
            </w:r>
          </w:p>
          <w:p w14:paraId="3A1909A7">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(c)负极材:2：锂-铟合金箔10mm*0.1mm 和15mm*0.1mm各120片。</w:t>
            </w:r>
          </w:p>
        </w:tc>
        <w:tc>
          <w:tcPr>
            <w:tcW w:w="530" w:type="dxa"/>
            <w:tcBorders>
              <w:top w:val="nil"/>
              <w:left w:val="nil"/>
              <w:bottom w:val="single" w:color="auto" w:sz="4" w:space="0"/>
              <w:right w:val="single" w:color="auto" w:sz="4" w:space="0"/>
            </w:tcBorders>
            <w:noWrap/>
            <w:vAlign w:val="center"/>
          </w:tcPr>
          <w:p w14:paraId="19C1BB0E">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台</w:t>
            </w:r>
          </w:p>
        </w:tc>
        <w:tc>
          <w:tcPr>
            <w:tcW w:w="457" w:type="dxa"/>
            <w:tcBorders>
              <w:top w:val="nil"/>
              <w:left w:val="nil"/>
              <w:bottom w:val="single" w:color="auto" w:sz="4" w:space="0"/>
              <w:right w:val="single" w:color="auto" w:sz="4" w:space="0"/>
            </w:tcBorders>
            <w:noWrap/>
            <w:vAlign w:val="center"/>
          </w:tcPr>
          <w:p w14:paraId="16420333">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r>
      <w:tr w14:paraId="235137E0">
        <w:tblPrEx>
          <w:tblCellMar>
            <w:top w:w="0" w:type="dxa"/>
            <w:left w:w="108" w:type="dxa"/>
            <w:bottom w:w="0" w:type="dxa"/>
            <w:right w:w="108" w:type="dxa"/>
          </w:tblCellMar>
        </w:tblPrEx>
        <w:trPr>
          <w:trHeight w:val="864" w:hRule="atLeast"/>
          <w:jc w:val="center"/>
        </w:trPr>
        <w:tc>
          <w:tcPr>
            <w:tcW w:w="755" w:type="dxa"/>
            <w:tcBorders>
              <w:top w:val="nil"/>
              <w:left w:val="single" w:color="auto" w:sz="4" w:space="0"/>
              <w:bottom w:val="single" w:color="auto" w:sz="4" w:space="0"/>
              <w:right w:val="single" w:color="auto" w:sz="4" w:space="0"/>
            </w:tcBorders>
            <w:noWrap/>
            <w:vAlign w:val="center"/>
          </w:tcPr>
          <w:p w14:paraId="6F6BA849">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30</w:t>
            </w:r>
          </w:p>
        </w:tc>
        <w:tc>
          <w:tcPr>
            <w:tcW w:w="705" w:type="dxa"/>
            <w:tcBorders>
              <w:top w:val="nil"/>
              <w:left w:val="nil"/>
              <w:bottom w:val="single" w:color="auto" w:sz="4" w:space="0"/>
              <w:right w:val="single" w:color="auto" w:sz="4" w:space="0"/>
            </w:tcBorders>
            <w:noWrap/>
            <w:vAlign w:val="center"/>
          </w:tcPr>
          <w:p w14:paraId="2D7AEA64">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电池产气测量教学实验平台</w:t>
            </w:r>
          </w:p>
        </w:tc>
        <w:tc>
          <w:tcPr>
            <w:tcW w:w="7063" w:type="dxa"/>
            <w:tcBorders>
              <w:top w:val="nil"/>
              <w:left w:val="nil"/>
              <w:bottom w:val="single" w:color="auto" w:sz="4" w:space="0"/>
              <w:right w:val="single" w:color="auto" w:sz="4" w:space="0"/>
            </w:tcBorders>
            <w:noWrap w:val="0"/>
            <w:vAlign w:val="center"/>
          </w:tcPr>
          <w:p w14:paraId="51A456B5">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1.★气体池体积：≥22mL。（提供印刷资料或检测机构出具的检测报告为准，否则视为无法满足）</w:t>
            </w:r>
          </w:p>
          <w:p w14:paraId="2AE81B6E">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2.温度控制：内置气体池和TGA气体传输管线数字双温控系统。</w:t>
            </w:r>
          </w:p>
          <w:p w14:paraId="4C186C32">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 ★最高温度可加热至300度。（提供公印刷资料或检测机构出具的检测报告为准，否则视为无法满足）</w:t>
            </w:r>
          </w:p>
          <w:p w14:paraId="2CCA17C9">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 ★气体池光通量：≥80%。（提供印刷资料或检测机构出具的检测报告为准，否则视为无法满足）</w:t>
            </w:r>
          </w:p>
          <w:p w14:paraId="0DA95E6D">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5.常用载气流速为10-100ml/min。</w:t>
            </w:r>
          </w:p>
          <w:p w14:paraId="7C74FF53">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6.采用特殊气体惰性的玻璃内镀不绣钢合金材料的加热传输管，保证逸出气体在进入流动池的过程中组分十分稳定。</w:t>
            </w:r>
          </w:p>
          <w:p w14:paraId="43B18E35">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7.传输加热管需包裹表面保温材料。</w:t>
            </w:r>
          </w:p>
          <w:p w14:paraId="23CF0941">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8.加热管长度至少1m。</w:t>
            </w:r>
          </w:p>
          <w:p w14:paraId="7812848A">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9.采用“螺母式”连接口，与热重分析仪能够良好的连接，避免逸出气体侧漏。</w:t>
            </w:r>
          </w:p>
          <w:p w14:paraId="26CB0082">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10.提供不锈钢支架，避免加热管折叠。</w:t>
            </w:r>
          </w:p>
          <w:p w14:paraId="5C4521DF">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 ★配件要求：热红联用气体池*1套。气体池加热管路*1套。联用支架*1套。</w:t>
            </w:r>
          </w:p>
        </w:tc>
        <w:tc>
          <w:tcPr>
            <w:tcW w:w="530" w:type="dxa"/>
            <w:tcBorders>
              <w:top w:val="nil"/>
              <w:left w:val="nil"/>
              <w:bottom w:val="single" w:color="auto" w:sz="4" w:space="0"/>
              <w:right w:val="single" w:color="auto" w:sz="4" w:space="0"/>
            </w:tcBorders>
            <w:noWrap/>
            <w:vAlign w:val="center"/>
          </w:tcPr>
          <w:p w14:paraId="66D72B34">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台</w:t>
            </w:r>
          </w:p>
        </w:tc>
        <w:tc>
          <w:tcPr>
            <w:tcW w:w="457" w:type="dxa"/>
            <w:tcBorders>
              <w:top w:val="nil"/>
              <w:left w:val="nil"/>
              <w:bottom w:val="single" w:color="auto" w:sz="4" w:space="0"/>
              <w:right w:val="single" w:color="auto" w:sz="4" w:space="0"/>
            </w:tcBorders>
            <w:noWrap/>
            <w:vAlign w:val="center"/>
          </w:tcPr>
          <w:p w14:paraId="50BEAB0E">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r>
      <w:tr w14:paraId="660D472A">
        <w:tblPrEx>
          <w:tblCellMar>
            <w:top w:w="0" w:type="dxa"/>
            <w:left w:w="108" w:type="dxa"/>
            <w:bottom w:w="0" w:type="dxa"/>
            <w:right w:w="108" w:type="dxa"/>
          </w:tblCellMar>
        </w:tblPrEx>
        <w:trPr>
          <w:trHeight w:val="372" w:hRule="atLeast"/>
          <w:jc w:val="center"/>
        </w:trPr>
        <w:tc>
          <w:tcPr>
            <w:tcW w:w="755" w:type="dxa"/>
            <w:tcBorders>
              <w:top w:val="nil"/>
              <w:left w:val="single" w:color="auto" w:sz="4" w:space="0"/>
              <w:bottom w:val="single" w:color="auto" w:sz="4" w:space="0"/>
              <w:right w:val="single" w:color="auto" w:sz="4" w:space="0"/>
            </w:tcBorders>
            <w:noWrap/>
            <w:vAlign w:val="center"/>
          </w:tcPr>
          <w:p w14:paraId="4462A4D2">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31</w:t>
            </w:r>
          </w:p>
        </w:tc>
        <w:tc>
          <w:tcPr>
            <w:tcW w:w="705" w:type="dxa"/>
            <w:tcBorders>
              <w:top w:val="nil"/>
              <w:left w:val="nil"/>
              <w:bottom w:val="single" w:color="auto" w:sz="4" w:space="0"/>
              <w:right w:val="single" w:color="auto" w:sz="4" w:space="0"/>
            </w:tcBorders>
            <w:noWrap/>
            <w:vAlign w:val="center"/>
          </w:tcPr>
          <w:p w14:paraId="7040FF5B">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电池封口机</w:t>
            </w:r>
          </w:p>
        </w:tc>
        <w:tc>
          <w:tcPr>
            <w:tcW w:w="7063" w:type="dxa"/>
            <w:tcBorders>
              <w:top w:val="nil"/>
              <w:left w:val="nil"/>
              <w:bottom w:val="single" w:color="auto" w:sz="4" w:space="0"/>
              <w:right w:val="single" w:color="auto" w:sz="4" w:space="0"/>
            </w:tcBorders>
            <w:noWrap w:val="0"/>
            <w:vAlign w:val="center"/>
          </w:tcPr>
          <w:p w14:paraId="7B7F2A40">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bidi="ar"/>
              </w:rPr>
              <w:t>1.手摇杆操作力度小于5kg。</w:t>
            </w:r>
          </w:p>
          <w:p w14:paraId="2BFE77D8">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bidi="ar"/>
              </w:rPr>
              <w:t>2.正常纽扣电池封装压力的压力表读数在50～70kg/cm2左右，本机在出厂前已调节好,如在特殊情况需要更大的压力要向厂家咨询后才能调节。</w:t>
            </w:r>
          </w:p>
          <w:p w14:paraId="79120272">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bidi="ar"/>
              </w:rPr>
              <w:t>3.</w:t>
            </w:r>
            <w:r>
              <w:rPr>
                <w:rFonts w:hint="eastAsia" w:ascii="宋体" w:hAnsi="宋体" w:eastAsia="宋体" w:cs="宋体"/>
                <w:color w:val="000000"/>
                <w:kern w:val="0"/>
                <w:sz w:val="24"/>
                <w:szCs w:val="24"/>
                <w:highlight w:val="none"/>
              </w:rPr>
              <w:t>模具采用高精度定位环限位，控制电池封装高度，以免万一封装压力过大不稳定，而导致电池封口损坏。具有防止电池封口短路功能。</w:t>
            </w:r>
          </w:p>
          <w:p w14:paraId="6E26ACFD">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bidi="ar"/>
              </w:rPr>
              <w:t>4.结构件材质：高强度的钨钢,表面经过环保电镀和喷涂处理永不生锈。</w:t>
            </w:r>
          </w:p>
          <w:p w14:paraId="32A0831E">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bidi="ar"/>
              </w:rPr>
              <w:t>5.封口模具：标准20mm 3套和另配的3套。</w:t>
            </w:r>
          </w:p>
          <w:p w14:paraId="1111B9EC">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bidi="ar"/>
              </w:rPr>
              <w:t>6.外形尺寸：≤223mm X 170mm X 325mm。</w:t>
            </w:r>
          </w:p>
          <w:p w14:paraId="736E1319">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bidi="ar"/>
              </w:rPr>
              <w:t>7.配件：配置粉末压片模具*3：</w:t>
            </w:r>
          </w:p>
          <w:p w14:paraId="23C5417B">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bidi="ar"/>
              </w:rPr>
              <w:t>压片直径：12和15 mm。材质：合金工具钢。压头硬度：HRC60-HRC62。腔体深度(N): 40mm。</w:t>
            </w:r>
          </w:p>
        </w:tc>
        <w:tc>
          <w:tcPr>
            <w:tcW w:w="530" w:type="dxa"/>
            <w:tcBorders>
              <w:top w:val="nil"/>
              <w:left w:val="nil"/>
              <w:bottom w:val="single" w:color="auto" w:sz="4" w:space="0"/>
              <w:right w:val="single" w:color="auto" w:sz="4" w:space="0"/>
            </w:tcBorders>
            <w:noWrap/>
            <w:vAlign w:val="center"/>
          </w:tcPr>
          <w:p w14:paraId="16E2A53E">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台</w:t>
            </w:r>
          </w:p>
        </w:tc>
        <w:tc>
          <w:tcPr>
            <w:tcW w:w="457" w:type="dxa"/>
            <w:tcBorders>
              <w:top w:val="nil"/>
              <w:left w:val="nil"/>
              <w:bottom w:val="single" w:color="auto" w:sz="4" w:space="0"/>
              <w:right w:val="single" w:color="auto" w:sz="4" w:space="0"/>
            </w:tcBorders>
            <w:noWrap/>
            <w:vAlign w:val="center"/>
          </w:tcPr>
          <w:p w14:paraId="6350DE69">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w:t>
            </w:r>
          </w:p>
        </w:tc>
      </w:tr>
      <w:tr w14:paraId="42AD82A7">
        <w:tblPrEx>
          <w:tblCellMar>
            <w:top w:w="0" w:type="dxa"/>
            <w:left w:w="108" w:type="dxa"/>
            <w:bottom w:w="0" w:type="dxa"/>
            <w:right w:w="108" w:type="dxa"/>
          </w:tblCellMar>
        </w:tblPrEx>
        <w:trPr>
          <w:trHeight w:val="864" w:hRule="atLeast"/>
          <w:jc w:val="center"/>
        </w:trPr>
        <w:tc>
          <w:tcPr>
            <w:tcW w:w="755" w:type="dxa"/>
            <w:tcBorders>
              <w:top w:val="nil"/>
              <w:left w:val="single" w:color="auto" w:sz="4" w:space="0"/>
              <w:bottom w:val="single" w:color="auto" w:sz="4" w:space="0"/>
              <w:right w:val="single" w:color="auto" w:sz="4" w:space="0"/>
            </w:tcBorders>
            <w:noWrap/>
            <w:vAlign w:val="center"/>
          </w:tcPr>
          <w:p w14:paraId="2AD7CEB0">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32</w:t>
            </w:r>
          </w:p>
        </w:tc>
        <w:tc>
          <w:tcPr>
            <w:tcW w:w="705" w:type="dxa"/>
            <w:tcBorders>
              <w:top w:val="nil"/>
              <w:left w:val="nil"/>
              <w:bottom w:val="single" w:color="auto" w:sz="4" w:space="0"/>
              <w:right w:val="single" w:color="auto" w:sz="4" w:space="0"/>
            </w:tcBorders>
            <w:noWrap/>
            <w:vAlign w:val="center"/>
          </w:tcPr>
          <w:p w14:paraId="122C0974">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电化学工作站</w:t>
            </w:r>
          </w:p>
        </w:tc>
        <w:tc>
          <w:tcPr>
            <w:tcW w:w="7063" w:type="dxa"/>
            <w:tcBorders>
              <w:top w:val="nil"/>
              <w:left w:val="nil"/>
              <w:bottom w:val="single" w:color="auto" w:sz="4" w:space="0"/>
              <w:right w:val="single" w:color="auto" w:sz="4" w:space="0"/>
            </w:tcBorders>
            <w:noWrap w:val="0"/>
            <w:vAlign w:val="center"/>
          </w:tcPr>
          <w:p w14:paraId="6F9B960E">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t>1.硬件参数指标</w:t>
            </w:r>
          </w:p>
          <w:p w14:paraId="1410DC31">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恒电位控制范围：±10V。</w:t>
            </w:r>
          </w:p>
          <w:p w14:paraId="2C680078">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恒电流控制范围：±2.0A。</w:t>
            </w:r>
          </w:p>
          <w:p w14:paraId="59CD94FA">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电位控制精度：0. 1%。</w:t>
            </w:r>
          </w:p>
          <w:p w14:paraId="6FD8C79D">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电流控制精度：0. 1%。</w:t>
            </w:r>
          </w:p>
          <w:p w14:paraId="0DF8BD2D">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电位分辨率：10μV(&gt;100Hz), 3μV(&lt;10Hz)。</w:t>
            </w:r>
          </w:p>
          <w:p w14:paraId="097A818B">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电流灵敏度：1pA。</w:t>
            </w:r>
          </w:p>
          <w:p w14:paraId="49AFADA1">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电位上升时间：&lt;1μS(&lt;10mA), &lt;10μS(&lt;2A)。</w:t>
            </w:r>
          </w:p>
          <w:p w14:paraId="52DBE997">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参比电极输入阻抗：1012Ω||20pF。</w:t>
            </w:r>
          </w:p>
          <w:p w14:paraId="69BB1D7F">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电流量程：2nA～2 A， 共 10 档。</w:t>
            </w:r>
          </w:p>
          <w:p w14:paraId="10DF4957">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槽压：±21V。</w:t>
            </w:r>
          </w:p>
          <w:p w14:paraId="4F0E3BA2">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最大输出电流：2.0A。</w:t>
            </w:r>
          </w:p>
          <w:p w14:paraId="46B064F1">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CV和LSV扫描速度：0.001mV～10V/s。</w:t>
            </w:r>
          </w:p>
          <w:p w14:paraId="39DF799A">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t>2.电化学阻抗功能指标</w:t>
            </w:r>
          </w:p>
          <w:p w14:paraId="71613C4B">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信号发生器：</w:t>
            </w:r>
          </w:p>
          <w:p w14:paraId="17CBF9C7">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频率响应：10μHz~ 1MHz。</w:t>
            </w:r>
          </w:p>
          <w:p w14:paraId="240AAF91">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频率精确度：0.005%。</w:t>
            </w:r>
          </w:p>
          <w:p w14:paraId="62BBC56E">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交流信号幅值：1mV~2500mV。</w:t>
            </w:r>
          </w:p>
          <w:p w14:paraId="75264AD1">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信号分辨率：0. 1mV RMS。</w:t>
            </w:r>
          </w:p>
          <w:p w14:paraId="436A6D70">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直流偏压：- 10~+10V。</w:t>
            </w:r>
          </w:p>
          <w:p w14:paraId="4DCDF5B4">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DDS 输出阻抗：50Ω。</w:t>
            </w:r>
          </w:p>
          <w:p w14:paraId="74E661AA">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波形：正弦波，三角波，方波。</w:t>
            </w:r>
          </w:p>
          <w:p w14:paraId="7E7BEBE1">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正弦波失真：&lt;1%。</w:t>
            </w:r>
          </w:p>
          <w:p w14:paraId="6B6E9F78">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扫描方式：对数/线性，增加/下降。</w:t>
            </w:r>
          </w:p>
          <w:p w14:paraId="34E990B2">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t>3.CorrTest测量与控制软件主要功能</w:t>
            </w:r>
          </w:p>
          <w:p w14:paraId="3F11057C">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CA 和 CC 脉冲宽度：0.0001～65000s。</w:t>
            </w:r>
          </w:p>
          <w:p w14:paraId="154DF41E">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电流扫描增量：1mA @1A/mS。</w:t>
            </w:r>
          </w:p>
          <w:p w14:paraId="2C76317B">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电位扫描时电位增量：0.076mV @1V/mS。</w:t>
            </w:r>
          </w:p>
          <w:p w14:paraId="35ABDCF2">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SWV 频率：0.001～100KHz。</w:t>
            </w:r>
          </w:p>
          <w:p w14:paraId="675D0B0C">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DPV 和 NPV 脉冲宽度：0.0001～1000s。</w:t>
            </w:r>
          </w:p>
          <w:p w14:paraId="37AAD696">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AD 数据采集：16bit@1MHz, 20bit @1KHz。</w:t>
            </w:r>
          </w:p>
          <w:p w14:paraId="75FD3DCF">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DA 分辨率：16bit,  建立时间：1μS。</w:t>
            </w:r>
          </w:p>
          <w:p w14:paraId="2F6694F2">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CV 的最小电位增量：0.075mV。</w:t>
            </w:r>
          </w:p>
          <w:p w14:paraId="020A621E">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IMP 频率：10μHz~ 1MHz。</w:t>
            </w:r>
          </w:p>
          <w:p w14:paraId="3D2120F4">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低通滤波器：8 段可编程。</w:t>
            </w:r>
          </w:p>
          <w:p w14:paraId="27D7DDD1">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电流与电位量程： 自动设置。</w:t>
            </w:r>
          </w:p>
          <w:p w14:paraId="7CFBF2E2">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信号分析器：</w:t>
            </w:r>
          </w:p>
          <w:p w14:paraId="357EE47C">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最小积分时间：10mS或者循环的最长时间。</w:t>
            </w:r>
          </w:p>
          <w:p w14:paraId="0A988D76">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最大积分时间：106个循环或者105S。</w:t>
            </w:r>
          </w:p>
          <w:p w14:paraId="6AF61721">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测量时间延迟：0~ 105秒。</w:t>
            </w:r>
          </w:p>
          <w:p w14:paraId="21C87019">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直流偏置补偿：</w:t>
            </w:r>
          </w:p>
          <w:p w14:paraId="17F9F075">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电位自动补偿范围：- 10V~+10V。</w:t>
            </w:r>
          </w:p>
          <w:p w14:paraId="36104BDD">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电流补偿范围：- 1A~+1A。</w:t>
            </w:r>
          </w:p>
          <w:p w14:paraId="7D5B1DAB">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带宽调整(Bandwidth)：</w:t>
            </w:r>
          </w:p>
          <w:p w14:paraId="0DBC4B2F">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自动或手动设置，共 8 级可调。</w:t>
            </w:r>
          </w:p>
          <w:p w14:paraId="1A10B7B2">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稳态极化：开路电位测量（OCP）、恒电位极化（I-t 曲线测试)、恒电流极化、动电位扫描（TAFEL 曲线）、动电流扫描（DGP）。暂态极化：任意恒电位阶梯波、任意恒电流阶梯波、恒电位阶跃（VSTEP）、恒电流阶跃（ISTEP）。</w:t>
            </w:r>
          </w:p>
          <w:p w14:paraId="24D64121">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计时分析：计时电位法（CP）、计时电流法（CA）、计时电量法（CC）。</w:t>
            </w:r>
          </w:p>
          <w:p w14:paraId="7F889B26">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伏安分析：线性扫描伏安法（LSV）# 、线性循环伏安法（CV）。</w:t>
            </w:r>
          </w:p>
          <w:p w14:paraId="49D85C75">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交流阻抗：电化学阻抗（EIS）～频率扫描、电化学阻抗（EIS）～时间扫描、电化学阻抗（EIS）~ 电位扫描（Mott-Schottky 曲线）、恒电流阻抗测试。</w:t>
            </w:r>
          </w:p>
          <w:p w14:paraId="79B3B4DB">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腐蚀测量：动电位再活化法（EPR）、电化学噪声（EN）、电偶腐蚀测量（ZRA）、氢扩散测试、晶间腐蚀测量。</w:t>
            </w:r>
          </w:p>
          <w:p w14:paraId="2222C5B1">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电池测试：电池充放电测试、恒电流充放电、恒电位充放电、恒电流间歇滴定技术（GITT）、恒电位间歇滴定技术（PITT）。</w:t>
            </w:r>
          </w:p>
          <w:p w14:paraId="4516AE56">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其他： 电化学沉积（溶解）、控制电位电解库仑法、脚本化测试、溶液电阻测量。</w:t>
            </w:r>
          </w:p>
          <w:p w14:paraId="072C0D95">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t>4.仪器配置</w:t>
            </w:r>
          </w:p>
          <w:p w14:paraId="05AB2545">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1）仪器主机1台。</w:t>
            </w:r>
          </w:p>
          <w:p w14:paraId="446DA0C5">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2）测试与分析软件1套。</w:t>
            </w:r>
          </w:p>
          <w:p w14:paraId="36563191">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3）电源线、USB 数据线、 电极电缆线各1条。</w:t>
            </w:r>
          </w:p>
          <w:p w14:paraId="109E9ABE">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4）模拟电解池1个（仪器自检器件）。</w:t>
            </w:r>
          </w:p>
          <w:p w14:paraId="1CF7B5C6">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 配备控制系统及数据处理系统软件及控制上位机硬件，设备间微组网，可实现系统远程控制。</w:t>
            </w:r>
          </w:p>
          <w:p w14:paraId="5D090E20">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6）实验桌一套，椅6把，桌子尺寸：≥2000 mm×750 mm×800 mm（长×宽×高）。桌子配插座并安装完成。桌面材质：理化板+防静电胶，桌腿：方钢。</w:t>
            </w:r>
          </w:p>
          <w:p w14:paraId="2D125437">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7）教学实验服、护目镜各二十套。</w:t>
            </w:r>
          </w:p>
          <w:p w14:paraId="21C42E35">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t>5.售后服务</w:t>
            </w:r>
          </w:p>
          <w:p w14:paraId="4276EC97">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1）质保期3年。免费提供同型号软件升级。</w:t>
            </w:r>
          </w:p>
          <w:p w14:paraId="7DB6BE1D">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2）根据用户需要，免费提供视频安装调试培训服务，提供终身维修服务。 </w:t>
            </w:r>
          </w:p>
          <w:p w14:paraId="10DDC58F">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3）质保期内免维修费。</w:t>
            </w:r>
          </w:p>
        </w:tc>
        <w:tc>
          <w:tcPr>
            <w:tcW w:w="530" w:type="dxa"/>
            <w:tcBorders>
              <w:top w:val="nil"/>
              <w:left w:val="nil"/>
              <w:bottom w:val="single" w:color="auto" w:sz="4" w:space="0"/>
              <w:right w:val="single" w:color="auto" w:sz="4" w:space="0"/>
            </w:tcBorders>
            <w:noWrap/>
            <w:vAlign w:val="center"/>
          </w:tcPr>
          <w:p w14:paraId="76A5411C">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套</w:t>
            </w:r>
          </w:p>
        </w:tc>
        <w:tc>
          <w:tcPr>
            <w:tcW w:w="457" w:type="dxa"/>
            <w:tcBorders>
              <w:top w:val="nil"/>
              <w:left w:val="nil"/>
              <w:bottom w:val="single" w:color="auto" w:sz="4" w:space="0"/>
              <w:right w:val="single" w:color="auto" w:sz="4" w:space="0"/>
            </w:tcBorders>
            <w:noWrap/>
            <w:vAlign w:val="center"/>
          </w:tcPr>
          <w:p w14:paraId="0E821418">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p>
        </w:tc>
      </w:tr>
      <w:tr w14:paraId="4B6E354F">
        <w:tblPrEx>
          <w:tblCellMar>
            <w:top w:w="0" w:type="dxa"/>
            <w:left w:w="108" w:type="dxa"/>
            <w:bottom w:w="0" w:type="dxa"/>
            <w:right w:w="108" w:type="dxa"/>
          </w:tblCellMar>
        </w:tblPrEx>
        <w:trPr>
          <w:trHeight w:val="864" w:hRule="atLeast"/>
          <w:jc w:val="center"/>
        </w:trPr>
        <w:tc>
          <w:tcPr>
            <w:tcW w:w="755" w:type="dxa"/>
            <w:tcBorders>
              <w:top w:val="nil"/>
              <w:left w:val="single" w:color="auto" w:sz="4" w:space="0"/>
              <w:bottom w:val="single" w:color="auto" w:sz="4" w:space="0"/>
              <w:right w:val="single" w:color="auto" w:sz="4" w:space="0"/>
            </w:tcBorders>
            <w:noWrap/>
            <w:vAlign w:val="center"/>
          </w:tcPr>
          <w:p w14:paraId="4424E276">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33</w:t>
            </w:r>
          </w:p>
        </w:tc>
        <w:tc>
          <w:tcPr>
            <w:tcW w:w="705" w:type="dxa"/>
            <w:tcBorders>
              <w:top w:val="nil"/>
              <w:left w:val="nil"/>
              <w:bottom w:val="single" w:color="auto" w:sz="4" w:space="0"/>
              <w:right w:val="single" w:color="auto" w:sz="4" w:space="0"/>
            </w:tcBorders>
            <w:noWrap/>
            <w:vAlign w:val="center"/>
          </w:tcPr>
          <w:p w14:paraId="5433B7CC">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热重分析仪</w:t>
            </w:r>
          </w:p>
        </w:tc>
        <w:tc>
          <w:tcPr>
            <w:tcW w:w="7063" w:type="dxa"/>
            <w:tcBorders>
              <w:top w:val="nil"/>
              <w:left w:val="nil"/>
              <w:bottom w:val="single" w:color="auto" w:sz="4" w:space="0"/>
              <w:right w:val="single" w:color="auto" w:sz="4" w:space="0"/>
            </w:tcBorders>
            <w:noWrap w:val="0"/>
            <w:vAlign w:val="center"/>
          </w:tcPr>
          <w:p w14:paraId="5FC7A57C">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t>一、组件</w:t>
            </w:r>
          </w:p>
          <w:p w14:paraId="397CEC89">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1.配备计算机相应的数据通信、报告处理系统一套。</w:t>
            </w:r>
          </w:p>
          <w:p w14:paraId="2009212E">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2.配备用于样品数值仿真用的远程模拟计算资源一套。</w:t>
            </w:r>
          </w:p>
          <w:p w14:paraId="336B1AAB">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3.配备40ul带盖铝坩埚500只。</w:t>
            </w:r>
          </w:p>
          <w:p w14:paraId="1E26F189">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4.专用定制化坩埚支架及传感器。</w:t>
            </w:r>
          </w:p>
          <w:p w14:paraId="759743E7">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5.配备生物物质样品制备表征配件一套。</w:t>
            </w:r>
          </w:p>
          <w:p w14:paraId="62FC0953">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t>二、技术参数</w:t>
            </w:r>
          </w:p>
          <w:p w14:paraId="3024B7AF">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1.温度范围:室温～1150℃。</w:t>
            </w:r>
          </w:p>
          <w:p w14:paraId="45762A89">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2.温度分辨率：≤0.001℃。</w:t>
            </w:r>
          </w:p>
          <w:p w14:paraId="4E701CD6">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3.温度波动:±0.01℃。</w:t>
            </w:r>
          </w:p>
          <w:p w14:paraId="6478FCA7">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4.升温速率：0.1～100℃/min。</w:t>
            </w:r>
          </w:p>
          <w:p w14:paraId="20A79909">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5.温控方式 PID控制，升温、恒温、降温。</w:t>
            </w:r>
          </w:p>
          <w:p w14:paraId="5458392A">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6.恒温时间：0-300 min任意设定。</w:t>
            </w:r>
          </w:p>
          <w:p w14:paraId="59AA6D19">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7.程序控制：程序设置多段升温恒温，可以同时设置至少六段。</w:t>
            </w:r>
          </w:p>
          <w:p w14:paraId="1879803D">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8.天平测量范围：0.01mg～3g ,可扩展至≥50g。</w:t>
            </w:r>
          </w:p>
          <w:p w14:paraId="450FBFD9">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9.天平精度：≤0.01mg。</w:t>
            </w:r>
          </w:p>
          <w:p w14:paraId="0354A53F">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10.显示方式:汉字大屏液晶显示。</w:t>
            </w:r>
          </w:p>
          <w:p w14:paraId="3008EEBA">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11.气氛装置:内置气体流量计，包含两路气体切换和流量大小控制。</w:t>
            </w:r>
          </w:p>
          <w:p w14:paraId="7721A6EF">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12.天平解析度：≤0.1ug。</w:t>
            </w:r>
          </w:p>
          <w:p w14:paraId="04DEEDD8">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13.软件: 智能软件可自动记录TG曲线进行数据处理、TG/DTG、质量、百分比坐标可以任意切换，软件带自动调节功能，根据图谱显示，自动延伸，缩放。</w:t>
            </w:r>
          </w:p>
          <w:p w14:paraId="29BADF0F">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14.气路可以设置多段自动切换，无需手动调节。</w:t>
            </w:r>
          </w:p>
          <w:p w14:paraId="36D210F3">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15.数据接口: 标准USB接口，专用软件（软件不定期免费升级）。</w:t>
            </w:r>
          </w:p>
          <w:p w14:paraId="56632F2A">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16.曲线扫描：升温扫描、降温扫描。</w:t>
            </w:r>
          </w:p>
          <w:p w14:paraId="056A13E1">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17.可以同时打开五条测试图谱，比对分析。</w:t>
            </w:r>
          </w:p>
          <w:p w14:paraId="1CB8CB47">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18.实验前，可以设置惰性气体对炉体内进行吹扫排空，吹扫时间可以程序设置。</w:t>
            </w:r>
          </w:p>
          <w:p w14:paraId="3EDA6A53">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19.仪器下位机带有温度多点校正功能，至少满足高中低三个点。</w:t>
            </w:r>
          </w:p>
          <w:p w14:paraId="06127A30">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20.仪器加热控制，采用PID控温，仪器液晶屏界面可以设置调节PID参数比，可以自适应不同的加热方式。</w:t>
            </w:r>
          </w:p>
          <w:p w14:paraId="7BA00DDA">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21.操作显示屏界面具备中英文切换功能。</w:t>
            </w:r>
          </w:p>
          <w:p w14:paraId="5C81209F">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22.含数据分析及控制系统硬件及软件一套。</w:t>
            </w:r>
          </w:p>
          <w:p w14:paraId="1592B06D">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23.配备控制系统及数据处理系统软、上位机硬件设备，试验台*1、实验椅*6。桌子尺寸：≥1800 mm×750 mm×800 mm（长×宽×高）。桌子配220V插座，并通电，并通电。桌面材质：理化板+防静电胶，桌腿：方钢。</w:t>
            </w:r>
          </w:p>
          <w:p w14:paraId="7462E4E6">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24.教学实验服、护目镜各40套。试验塑胶手套、N95试验口罩各40盒等。</w:t>
            </w:r>
          </w:p>
        </w:tc>
        <w:tc>
          <w:tcPr>
            <w:tcW w:w="530" w:type="dxa"/>
            <w:tcBorders>
              <w:top w:val="nil"/>
              <w:left w:val="nil"/>
              <w:bottom w:val="single" w:color="auto" w:sz="4" w:space="0"/>
              <w:right w:val="single" w:color="auto" w:sz="4" w:space="0"/>
            </w:tcBorders>
            <w:noWrap/>
            <w:vAlign w:val="center"/>
          </w:tcPr>
          <w:p w14:paraId="67AE99B9">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台</w:t>
            </w:r>
          </w:p>
        </w:tc>
        <w:tc>
          <w:tcPr>
            <w:tcW w:w="457" w:type="dxa"/>
            <w:tcBorders>
              <w:top w:val="nil"/>
              <w:left w:val="nil"/>
              <w:bottom w:val="single" w:color="auto" w:sz="4" w:space="0"/>
              <w:right w:val="single" w:color="auto" w:sz="4" w:space="0"/>
            </w:tcBorders>
            <w:noWrap/>
            <w:vAlign w:val="center"/>
          </w:tcPr>
          <w:p w14:paraId="06C87BA2">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r>
      <w:tr w14:paraId="5CD6A487">
        <w:tblPrEx>
          <w:tblCellMar>
            <w:top w:w="0" w:type="dxa"/>
            <w:left w:w="108" w:type="dxa"/>
            <w:bottom w:w="0" w:type="dxa"/>
            <w:right w:w="108" w:type="dxa"/>
          </w:tblCellMar>
        </w:tblPrEx>
        <w:trPr>
          <w:trHeight w:val="864" w:hRule="atLeast"/>
          <w:jc w:val="center"/>
        </w:trPr>
        <w:tc>
          <w:tcPr>
            <w:tcW w:w="755" w:type="dxa"/>
            <w:tcBorders>
              <w:top w:val="nil"/>
              <w:left w:val="single" w:color="auto" w:sz="4" w:space="0"/>
              <w:bottom w:val="single" w:color="auto" w:sz="4" w:space="0"/>
              <w:right w:val="single" w:color="auto" w:sz="4" w:space="0"/>
            </w:tcBorders>
            <w:noWrap/>
            <w:vAlign w:val="center"/>
          </w:tcPr>
          <w:p w14:paraId="3DC876DC">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34</w:t>
            </w:r>
          </w:p>
        </w:tc>
        <w:tc>
          <w:tcPr>
            <w:tcW w:w="705" w:type="dxa"/>
            <w:tcBorders>
              <w:top w:val="nil"/>
              <w:left w:val="nil"/>
              <w:bottom w:val="single" w:color="auto" w:sz="4" w:space="0"/>
              <w:right w:val="single" w:color="auto" w:sz="4" w:space="0"/>
            </w:tcBorders>
            <w:noWrap/>
            <w:vAlign w:val="center"/>
          </w:tcPr>
          <w:p w14:paraId="6313C8BB">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压片机</w:t>
            </w:r>
          </w:p>
        </w:tc>
        <w:tc>
          <w:tcPr>
            <w:tcW w:w="7063" w:type="dxa"/>
            <w:tcBorders>
              <w:top w:val="nil"/>
              <w:left w:val="nil"/>
              <w:bottom w:val="single" w:color="auto" w:sz="4" w:space="0"/>
              <w:right w:val="single" w:color="auto" w:sz="4" w:space="0"/>
            </w:tcBorders>
            <w:noWrap w:val="0"/>
            <w:vAlign w:val="center"/>
          </w:tcPr>
          <w:p w14:paraId="4118C055">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DSC测试铝坩埚压片机1套：</w:t>
            </w:r>
          </w:p>
          <w:p w14:paraId="104DEE51">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1.尺寸：</w:t>
            </w:r>
            <w:r>
              <w:rPr>
                <w:rFonts w:hint="eastAsia" w:ascii="宋体" w:hAnsi="宋体" w:eastAsia="宋体" w:cs="宋体"/>
                <w:sz w:val="24"/>
                <w:szCs w:val="24"/>
                <w:highlight w:val="none"/>
              </w:rPr>
              <w:t>≤</w:t>
            </w:r>
            <w:r>
              <w:rPr>
                <w:rFonts w:hint="eastAsia" w:ascii="宋体" w:hAnsi="宋体" w:eastAsia="宋体" w:cs="宋体"/>
                <w:color w:val="000000"/>
                <w:kern w:val="0"/>
                <w:sz w:val="24"/>
                <w:szCs w:val="24"/>
                <w:highlight w:val="none"/>
              </w:rPr>
              <w:t>70*230*145mm。</w:t>
            </w:r>
          </w:p>
          <w:p w14:paraId="3A501C40">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2.适用于铝坩埚。</w:t>
            </w:r>
          </w:p>
          <w:p w14:paraId="167C539C">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3.坩埚口径：直径6.7mm（其它型号坩埚可另配冲头）。</w:t>
            </w:r>
          </w:p>
          <w:p w14:paraId="166A6233">
            <w:pPr>
              <w:widowControl/>
              <w:adjustRightInd w:val="0"/>
              <w:snapToGrid w:val="0"/>
              <w:jc w:val="left"/>
              <w:rPr>
                <w:rFonts w:hint="eastAsia" w:ascii="宋体" w:hAnsi="宋体" w:eastAsia="宋体" w:cs="宋体"/>
                <w:color w:val="000000"/>
                <w:kern w:val="0"/>
                <w:sz w:val="24"/>
                <w:szCs w:val="24"/>
                <w:highlight w:val="none"/>
              </w:rPr>
            </w:pPr>
          </w:p>
          <w:p w14:paraId="2B607E3A">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DSC测试可重复使用高压坩埚密封压机压片机1套：</w:t>
            </w:r>
          </w:p>
          <w:p w14:paraId="46989FFE">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1.重量：2KG</w:t>
            </w:r>
            <w:r>
              <w:rPr>
                <w:rFonts w:hint="eastAsia" w:ascii="宋体" w:hAnsi="宋体" w:eastAsia="宋体" w:cs="宋体"/>
                <w:sz w:val="24"/>
                <w:szCs w:val="24"/>
                <w:highlight w:val="none"/>
              </w:rPr>
              <w:t>±20%</w:t>
            </w:r>
            <w:r>
              <w:rPr>
                <w:rFonts w:hint="eastAsia" w:ascii="宋体" w:hAnsi="宋体" w:eastAsia="宋体" w:cs="宋体"/>
                <w:color w:val="000000"/>
                <w:kern w:val="0"/>
                <w:sz w:val="24"/>
                <w:szCs w:val="24"/>
                <w:highlight w:val="none"/>
              </w:rPr>
              <w:t>左右，适用于可重复高压坩埚。</w:t>
            </w:r>
          </w:p>
          <w:p w14:paraId="7A1AC53B">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2.坩埚尺寸：30ul，扭力范围：0~ 30牛顿米。</w:t>
            </w:r>
          </w:p>
          <w:p w14:paraId="769F6B58">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3.配备控制系统及数据处理系统软件及控制上位机硬件，设备间微组网，可实现系统远程控制。</w:t>
            </w:r>
          </w:p>
          <w:p w14:paraId="1F35C6DE">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4.试验台*1、实验椅*6。桌子尺寸：≥1800 mm×750 mm×800 mm（长×宽×高）。桌子配220V插座，并通电，并通电。桌面材质：理化板+防静电胶，桌腿：方钢。</w:t>
            </w:r>
          </w:p>
        </w:tc>
        <w:tc>
          <w:tcPr>
            <w:tcW w:w="530" w:type="dxa"/>
            <w:tcBorders>
              <w:top w:val="nil"/>
              <w:left w:val="nil"/>
              <w:bottom w:val="single" w:color="auto" w:sz="4" w:space="0"/>
              <w:right w:val="single" w:color="auto" w:sz="4" w:space="0"/>
            </w:tcBorders>
            <w:noWrap/>
            <w:vAlign w:val="center"/>
          </w:tcPr>
          <w:p w14:paraId="677FC2F9">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套</w:t>
            </w:r>
          </w:p>
        </w:tc>
        <w:tc>
          <w:tcPr>
            <w:tcW w:w="457" w:type="dxa"/>
            <w:tcBorders>
              <w:top w:val="nil"/>
              <w:left w:val="nil"/>
              <w:bottom w:val="single" w:color="auto" w:sz="4" w:space="0"/>
              <w:right w:val="single" w:color="auto" w:sz="4" w:space="0"/>
            </w:tcBorders>
            <w:noWrap/>
            <w:vAlign w:val="center"/>
          </w:tcPr>
          <w:p w14:paraId="18A299D4">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p>
        </w:tc>
      </w:tr>
      <w:tr w14:paraId="10E10500">
        <w:tblPrEx>
          <w:tblCellMar>
            <w:top w:w="0" w:type="dxa"/>
            <w:left w:w="108" w:type="dxa"/>
            <w:bottom w:w="0" w:type="dxa"/>
            <w:right w:w="108" w:type="dxa"/>
          </w:tblCellMar>
        </w:tblPrEx>
        <w:trPr>
          <w:trHeight w:val="864" w:hRule="atLeast"/>
          <w:jc w:val="center"/>
        </w:trPr>
        <w:tc>
          <w:tcPr>
            <w:tcW w:w="755" w:type="dxa"/>
            <w:tcBorders>
              <w:top w:val="nil"/>
              <w:left w:val="single" w:color="auto" w:sz="4" w:space="0"/>
              <w:bottom w:val="single" w:color="auto" w:sz="4" w:space="0"/>
              <w:right w:val="single" w:color="auto" w:sz="4" w:space="0"/>
            </w:tcBorders>
            <w:noWrap/>
            <w:vAlign w:val="center"/>
          </w:tcPr>
          <w:p w14:paraId="124BAEE1">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35</w:t>
            </w:r>
          </w:p>
        </w:tc>
        <w:tc>
          <w:tcPr>
            <w:tcW w:w="705" w:type="dxa"/>
            <w:tcBorders>
              <w:top w:val="nil"/>
              <w:left w:val="nil"/>
              <w:bottom w:val="single" w:color="auto" w:sz="4" w:space="0"/>
              <w:right w:val="single" w:color="auto" w:sz="4" w:space="0"/>
            </w:tcBorders>
            <w:noWrap/>
            <w:vAlign w:val="center"/>
          </w:tcPr>
          <w:p w14:paraId="2B0FFC23">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行星球磨机</w:t>
            </w:r>
          </w:p>
        </w:tc>
        <w:tc>
          <w:tcPr>
            <w:tcW w:w="7063" w:type="dxa"/>
            <w:tcBorders>
              <w:top w:val="nil"/>
              <w:left w:val="nil"/>
              <w:bottom w:val="single" w:color="auto" w:sz="4" w:space="0"/>
              <w:right w:val="single" w:color="auto" w:sz="4" w:space="0"/>
            </w:tcBorders>
            <w:noWrap w:val="0"/>
            <w:vAlign w:val="center"/>
          </w:tcPr>
          <w:p w14:paraId="79061B9E">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bidi="ar"/>
              </w:rPr>
              <w:t>1.产量：4*100ml。</w:t>
            </w:r>
          </w:p>
          <w:p w14:paraId="2E4BEA06">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bidi="ar"/>
              </w:rPr>
              <w:t>2.★结构形式：油封静音行星式，油封箱尺寸：26.5*10cm，油封量：220ml，多通量功能：4-8通量，通量容积：50ml-100ml，行星盘直径：26.5cm，弧形套筒球磨罐装置，投标文件中提供U型一体罐套5级安全防护证明资料。</w:t>
            </w:r>
          </w:p>
          <w:p w14:paraId="065B4064">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bidi="ar"/>
              </w:rPr>
              <w:t>3.研磨方式：干法/湿法/高能合金化研磨/真空磨/低温磨/真空磨。</w:t>
            </w:r>
          </w:p>
          <w:p w14:paraId="77D0DB51">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bidi="ar"/>
              </w:rPr>
              <w:t>4.装卸料方式：间歇式。传动方式：齿轮传动。</w:t>
            </w:r>
          </w:p>
          <w:p w14:paraId="34AAF146">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bidi="ar"/>
              </w:rPr>
              <w:t>5.调速方式：变频调速。</w:t>
            </w:r>
          </w:p>
          <w:p w14:paraId="4199D47A">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bidi="ar"/>
              </w:rPr>
              <w:t>6.控制系统：变频控制系统、触摸屏幕控制系统可选。</w:t>
            </w:r>
          </w:p>
          <w:p w14:paraId="009C3F5C">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bidi="ar"/>
              </w:rPr>
              <w:t>7.转速比(r/min)：2:1。公转速度(r/min)：5-450。</w:t>
            </w:r>
          </w:p>
          <w:p w14:paraId="2E420A4F">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bidi="ar"/>
              </w:rPr>
              <w:t>8.自转速度(r/min)：10-900。</w:t>
            </w:r>
          </w:p>
          <w:p w14:paraId="3367E0B2">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bidi="ar"/>
              </w:rPr>
              <w:t>9.工位(P)：4工位。额定电压(V)：220。</w:t>
            </w:r>
          </w:p>
          <w:p w14:paraId="16854A3D">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bidi="ar"/>
              </w:rPr>
              <w:t>10.额定功率(W)：550。频率(Hz)：50。</w:t>
            </w:r>
          </w:p>
          <w:p w14:paraId="60C38708">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bidi="ar"/>
              </w:rPr>
              <w:t>11.连续运行时长(h)：100。运行定时时间(h)：1-9999。</w:t>
            </w:r>
          </w:p>
          <w:p w14:paraId="323E2EED">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bidi="ar"/>
              </w:rPr>
              <w:t>12.多段速程序设定：7段。进料粒度(mm)：15mm，坚硬物3mm</w:t>
            </w:r>
          </w:p>
          <w:p w14:paraId="57BCD23A">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bidi="ar"/>
              </w:rPr>
              <w:t>13.出料粒度(μm)：0.1μm，即100nm。</w:t>
            </w:r>
          </w:p>
          <w:p w14:paraId="0BC8165F">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bidi="ar"/>
              </w:rPr>
              <w:t>14.主要标准配置：油封静音行星球磨主机一台，球磨罐4个及研磨球4套。同时可研磨样口1-4份。</w:t>
            </w:r>
          </w:p>
          <w:p w14:paraId="53CDCCF3">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bidi="ar"/>
              </w:rPr>
              <w:t>15.球磨罐材质：不锈钢罐、氧化锆、玛瑙、氧化锆、刚玉、碳化钨、尼龙、聚氨酯、聚四氟乙烯。配球大小(mm)：5、8、10。球料比：（5~15）：1。</w:t>
            </w:r>
          </w:p>
          <w:p w14:paraId="70EDB778">
            <w:pPr>
              <w:widowControl/>
              <w:adjustRightInd w:val="0"/>
              <w:snapToGri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bidi="ar"/>
              </w:rPr>
              <w:t>16.★为保证产品的售后服务及货物质量，投标人投标时承诺提供原厂2年售后服务。</w:t>
            </w:r>
          </w:p>
        </w:tc>
        <w:tc>
          <w:tcPr>
            <w:tcW w:w="530" w:type="dxa"/>
            <w:tcBorders>
              <w:top w:val="nil"/>
              <w:left w:val="nil"/>
              <w:bottom w:val="single" w:color="auto" w:sz="4" w:space="0"/>
              <w:right w:val="single" w:color="auto" w:sz="4" w:space="0"/>
            </w:tcBorders>
            <w:noWrap/>
            <w:vAlign w:val="center"/>
          </w:tcPr>
          <w:p w14:paraId="357BF39D">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台</w:t>
            </w:r>
          </w:p>
        </w:tc>
        <w:tc>
          <w:tcPr>
            <w:tcW w:w="457" w:type="dxa"/>
            <w:tcBorders>
              <w:top w:val="nil"/>
              <w:left w:val="nil"/>
              <w:bottom w:val="single" w:color="auto" w:sz="4" w:space="0"/>
              <w:right w:val="single" w:color="auto" w:sz="4" w:space="0"/>
            </w:tcBorders>
            <w:noWrap/>
            <w:vAlign w:val="center"/>
          </w:tcPr>
          <w:p w14:paraId="79D64EC7">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r>
    </w:tbl>
    <w:p w14:paraId="01D1D1CF">
      <w:pPr>
        <w:spacing w:line="360" w:lineRule="auto"/>
        <w:ind w:left="479" w:leftChars="228" w:firstLine="19" w:firstLineChars="8"/>
        <w:outlineLvl w:val="1"/>
        <w:rPr>
          <w:rFonts w:hint="eastAsia" w:ascii="宋体" w:hAnsi="宋体" w:eastAsia="宋体" w:cs="宋体"/>
          <w:b/>
          <w:bCs/>
          <w:color w:val="auto"/>
          <w:sz w:val="24"/>
          <w:szCs w:val="18"/>
          <w:highlight w:val="none"/>
          <w:lang w:val="en-US" w:eastAsia="zh-CN"/>
        </w:rPr>
      </w:pPr>
    </w:p>
    <w:p w14:paraId="1C3AD2A1">
      <w:pPr>
        <w:spacing w:line="360" w:lineRule="auto"/>
        <w:ind w:left="479" w:leftChars="228" w:firstLine="19" w:firstLineChars="8"/>
        <w:outlineLvl w:val="1"/>
        <w:rPr>
          <w:rFonts w:hint="eastAsia" w:ascii="宋体" w:hAnsi="宋体" w:eastAsia="宋体" w:cs="宋体"/>
          <w:b/>
          <w:bCs/>
          <w:color w:val="auto"/>
          <w:sz w:val="24"/>
          <w:szCs w:val="18"/>
          <w:highlight w:val="none"/>
          <w:lang w:val="en-US" w:eastAsia="zh-CN"/>
        </w:rPr>
      </w:pPr>
      <w:r>
        <w:rPr>
          <w:rFonts w:hint="eastAsia" w:ascii="宋体" w:hAnsi="宋体" w:eastAsia="宋体" w:cs="宋体"/>
          <w:b/>
          <w:bCs/>
          <w:color w:val="auto"/>
          <w:sz w:val="24"/>
          <w:szCs w:val="18"/>
          <w:highlight w:val="none"/>
          <w:lang w:val="en-US" w:eastAsia="zh-CN"/>
        </w:rPr>
        <w:t>三、报价要求</w:t>
      </w:r>
      <w:bookmarkEnd w:id="35"/>
      <w:bookmarkEnd w:id="36"/>
    </w:p>
    <w:p w14:paraId="4810BC3B">
      <w:pPr>
        <w:spacing w:line="360" w:lineRule="auto"/>
        <w:ind w:firstLine="435"/>
        <w:rPr>
          <w:rFonts w:hint="eastAsia" w:ascii="宋体" w:hAnsi="宋体" w:eastAsia="宋体" w:cs="宋体"/>
          <w:b/>
          <w:color w:val="auto"/>
          <w:sz w:val="24"/>
          <w:szCs w:val="18"/>
          <w:highlight w:val="none"/>
          <w:lang w:val="en-US" w:eastAsia="zh-CN"/>
        </w:rPr>
      </w:pPr>
      <w:r>
        <w:rPr>
          <w:rFonts w:hint="eastAsia" w:ascii="宋体" w:hAnsi="宋体" w:eastAsia="宋体" w:cs="宋体"/>
          <w:color w:val="auto"/>
          <w:sz w:val="24"/>
          <w:szCs w:val="24"/>
          <w:highlight w:val="none"/>
        </w:rPr>
        <w:t>本项目报总价，报价即完成本项目所需内容的所有费用，中标后采购人不再另行支付任何费用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投标分项报价表中须明确列出所投产品所含货物名称、品牌、型号规格、原产地及生产厂商，否则可能导致投标无效。</w:t>
      </w:r>
    </w:p>
    <w:p w14:paraId="3B210420">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3E6CDB39">
      <w:pPr>
        <w:spacing w:line="360" w:lineRule="auto"/>
        <w:jc w:val="center"/>
        <w:outlineLvl w:val="0"/>
        <w:rPr>
          <w:rFonts w:hint="eastAsia" w:ascii="宋体" w:hAnsi="宋体" w:eastAsia="宋体" w:cs="宋体"/>
          <w:b/>
          <w:color w:val="auto"/>
          <w:sz w:val="28"/>
          <w:highlight w:val="none"/>
        </w:rPr>
      </w:pPr>
      <w:bookmarkStart w:id="39" w:name="_Toc16417"/>
      <w:r>
        <w:rPr>
          <w:rFonts w:hint="eastAsia" w:ascii="宋体" w:hAnsi="宋体" w:eastAsia="宋体" w:cs="宋体"/>
          <w:b/>
          <w:color w:val="auto"/>
          <w:sz w:val="28"/>
          <w:highlight w:val="none"/>
        </w:rPr>
        <w:t>第四章  评标方法和标准（综合评分法）</w:t>
      </w:r>
      <w:bookmarkEnd w:id="39"/>
    </w:p>
    <w:p w14:paraId="4BBDA51D">
      <w:pPr>
        <w:spacing w:line="360" w:lineRule="auto"/>
        <w:ind w:firstLine="437"/>
        <w:outlineLvl w:val="1"/>
        <w:rPr>
          <w:rFonts w:hint="eastAsia" w:ascii="宋体" w:hAnsi="宋体" w:eastAsia="宋体" w:cs="宋体"/>
          <w:b/>
          <w:color w:val="auto"/>
          <w:sz w:val="24"/>
          <w:highlight w:val="none"/>
        </w:rPr>
      </w:pPr>
      <w:bookmarkStart w:id="40" w:name="_Toc11823"/>
      <w:bookmarkStart w:id="41" w:name="_Toc1246"/>
      <w:r>
        <w:rPr>
          <w:rFonts w:hint="eastAsia" w:ascii="宋体" w:hAnsi="宋体" w:eastAsia="宋体" w:cs="宋体"/>
          <w:b/>
          <w:color w:val="auto"/>
          <w:sz w:val="24"/>
          <w:highlight w:val="none"/>
        </w:rPr>
        <w:t>一、总则</w:t>
      </w:r>
      <w:bookmarkEnd w:id="40"/>
      <w:bookmarkEnd w:id="41"/>
    </w:p>
    <w:p w14:paraId="41027210">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本项目将按照招标文件第二章 投标人须知的相关要求及本章的规定评标。</w:t>
      </w:r>
    </w:p>
    <w:p w14:paraId="45ACED52">
      <w:pPr>
        <w:spacing w:line="360" w:lineRule="auto"/>
        <w:ind w:firstLine="437"/>
        <w:outlineLvl w:val="1"/>
        <w:rPr>
          <w:rFonts w:hint="eastAsia" w:ascii="宋体" w:hAnsi="宋体" w:eastAsia="宋体" w:cs="宋体"/>
          <w:b/>
          <w:color w:val="auto"/>
          <w:sz w:val="24"/>
          <w:highlight w:val="none"/>
        </w:rPr>
      </w:pPr>
      <w:bookmarkStart w:id="42" w:name="_Toc13117"/>
      <w:bookmarkStart w:id="43" w:name="_Toc31871"/>
      <w:r>
        <w:rPr>
          <w:rFonts w:hint="eastAsia" w:ascii="宋体" w:hAnsi="宋体" w:eastAsia="宋体" w:cs="宋体"/>
          <w:b/>
          <w:color w:val="auto"/>
          <w:sz w:val="24"/>
          <w:highlight w:val="none"/>
        </w:rPr>
        <w:t>二、评标方法</w:t>
      </w:r>
      <w:bookmarkEnd w:id="42"/>
      <w:bookmarkEnd w:id="43"/>
    </w:p>
    <w:tbl>
      <w:tblPr>
        <w:tblStyle w:val="28"/>
        <w:tblpPr w:leftFromText="180" w:rightFromText="180" w:vertAnchor="text" w:horzAnchor="page" w:tblpX="1698" w:tblpY="468"/>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1495"/>
        <w:gridCol w:w="4430"/>
        <w:gridCol w:w="1851"/>
      </w:tblGrid>
      <w:tr w14:paraId="473B3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000" w:type="pct"/>
            <w:gridSpan w:val="4"/>
            <w:tcBorders>
              <w:bottom w:val="single" w:color="auto" w:sz="4" w:space="0"/>
            </w:tcBorders>
            <w:vAlign w:val="center"/>
          </w:tcPr>
          <w:p w14:paraId="65D0E923">
            <w:pPr>
              <w:keepNext w:val="0"/>
              <w:keepLines w:val="0"/>
              <w:pageBreakBefore w:val="0"/>
              <w:widowControl w:val="0"/>
              <w:kinsoku/>
              <w:wordWrap/>
              <w:overflowPunct/>
              <w:topLinePunct w:val="0"/>
              <w:autoSpaceDE/>
              <w:autoSpaceDN/>
              <w:bidi w:val="0"/>
              <w:adjustRightInd/>
              <w:snapToGrid/>
              <w:spacing w:line="440" w:lineRule="atLeast"/>
              <w:ind w:right="0"/>
              <w:jc w:val="center"/>
              <w:textAlignment w:val="auto"/>
              <w:rPr>
                <w:rFonts w:hint="eastAsia" w:ascii="宋体" w:hAnsi="宋体" w:eastAsia="宋体" w:cs="宋体"/>
                <w:color w:val="auto"/>
                <w:sz w:val="24"/>
                <w:highlight w:val="none"/>
              </w:rPr>
            </w:pPr>
            <w:r>
              <w:rPr>
                <w:rFonts w:hint="eastAsia" w:ascii="宋体" w:hAnsi="宋体" w:eastAsia="宋体" w:cs="宋体"/>
                <w:b/>
                <w:color w:val="auto"/>
                <w:sz w:val="24"/>
                <w:szCs w:val="22"/>
                <w:highlight w:val="none"/>
              </w:rPr>
              <w:t>资格审查表</w:t>
            </w:r>
          </w:p>
        </w:tc>
      </w:tr>
      <w:tr w14:paraId="00F3B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pct"/>
            <w:tcBorders>
              <w:bottom w:val="single" w:color="auto" w:sz="4" w:space="0"/>
            </w:tcBorders>
            <w:vAlign w:val="center"/>
          </w:tcPr>
          <w:p w14:paraId="7AAF5808">
            <w:pPr>
              <w:keepNext w:val="0"/>
              <w:keepLines w:val="0"/>
              <w:pageBreakBefore w:val="0"/>
              <w:widowControl w:val="0"/>
              <w:kinsoku/>
              <w:wordWrap/>
              <w:overflowPunct/>
              <w:topLinePunct w:val="0"/>
              <w:autoSpaceDE/>
              <w:autoSpaceDN/>
              <w:bidi w:val="0"/>
              <w:adjustRightInd/>
              <w:snapToGrid/>
              <w:spacing w:line="440" w:lineRule="atLeast"/>
              <w:ind w:right="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877" w:type="pct"/>
            <w:tcBorders>
              <w:bottom w:val="single" w:color="auto" w:sz="4" w:space="0"/>
            </w:tcBorders>
            <w:vAlign w:val="center"/>
          </w:tcPr>
          <w:p w14:paraId="6DEFBE21">
            <w:pPr>
              <w:pStyle w:val="37"/>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440" w:lineRule="atLeast"/>
              <w:ind w:right="0"/>
              <w:textAlignment w:val="auto"/>
              <w:rPr>
                <w:rFonts w:hint="eastAsia" w:ascii="宋体" w:hAnsi="宋体" w:eastAsia="宋体" w:cs="宋体"/>
                <w:color w:val="auto"/>
                <w:kern w:val="2"/>
                <w:szCs w:val="24"/>
                <w:highlight w:val="none"/>
                <w:lang w:val="en-US"/>
              </w:rPr>
            </w:pPr>
            <w:r>
              <w:rPr>
                <w:rFonts w:hint="eastAsia" w:ascii="宋体" w:hAnsi="宋体" w:eastAsia="宋体" w:cs="宋体"/>
                <w:color w:val="auto"/>
                <w:kern w:val="2"/>
                <w:szCs w:val="24"/>
                <w:highlight w:val="none"/>
                <w:lang w:val="en-US" w:eastAsia="zh-CN"/>
              </w:rPr>
              <w:t>审查因素</w:t>
            </w:r>
          </w:p>
        </w:tc>
        <w:tc>
          <w:tcPr>
            <w:tcW w:w="2599" w:type="pct"/>
            <w:tcBorders>
              <w:bottom w:val="single" w:color="auto" w:sz="4" w:space="0"/>
            </w:tcBorders>
            <w:vAlign w:val="center"/>
          </w:tcPr>
          <w:p w14:paraId="74FDEF05">
            <w:pPr>
              <w:keepNext w:val="0"/>
              <w:keepLines w:val="0"/>
              <w:pageBreakBefore w:val="0"/>
              <w:widowControl w:val="0"/>
              <w:kinsoku/>
              <w:wordWrap/>
              <w:overflowPunct/>
              <w:topLinePunct w:val="0"/>
              <w:autoSpaceDE/>
              <w:autoSpaceDN/>
              <w:bidi w:val="0"/>
              <w:adjustRightInd/>
              <w:snapToGrid/>
              <w:spacing w:line="440" w:lineRule="atLeast"/>
              <w:ind w:right="0"/>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审查内容</w:t>
            </w:r>
          </w:p>
        </w:tc>
        <w:tc>
          <w:tcPr>
            <w:tcW w:w="1084" w:type="pct"/>
            <w:tcBorders>
              <w:bottom w:val="single" w:color="auto" w:sz="4" w:space="0"/>
            </w:tcBorders>
            <w:vAlign w:val="center"/>
          </w:tcPr>
          <w:p w14:paraId="308F18EC">
            <w:pPr>
              <w:keepNext w:val="0"/>
              <w:keepLines w:val="0"/>
              <w:pageBreakBefore w:val="0"/>
              <w:widowControl w:val="0"/>
              <w:kinsoku/>
              <w:wordWrap/>
              <w:overflowPunct/>
              <w:topLinePunct w:val="0"/>
              <w:autoSpaceDE/>
              <w:autoSpaceDN/>
              <w:bidi w:val="0"/>
              <w:adjustRightInd/>
              <w:snapToGrid/>
              <w:spacing w:line="440" w:lineRule="atLeast"/>
              <w:ind w:right="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格式要求</w:t>
            </w:r>
          </w:p>
        </w:tc>
      </w:tr>
      <w:tr w14:paraId="6533C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trPr>
        <w:tc>
          <w:tcPr>
            <w:tcW w:w="438" w:type="pct"/>
            <w:tcBorders>
              <w:bottom w:val="single" w:color="auto" w:sz="4" w:space="0"/>
            </w:tcBorders>
            <w:vAlign w:val="center"/>
          </w:tcPr>
          <w:p w14:paraId="0004DA94">
            <w:pPr>
              <w:keepNext w:val="0"/>
              <w:keepLines w:val="0"/>
              <w:pageBreakBefore w:val="0"/>
              <w:widowControl w:val="0"/>
              <w:kinsoku/>
              <w:wordWrap/>
              <w:overflowPunct/>
              <w:topLinePunct w:val="0"/>
              <w:autoSpaceDE/>
              <w:autoSpaceDN/>
              <w:bidi w:val="0"/>
              <w:adjustRightInd/>
              <w:snapToGrid/>
              <w:spacing w:line="440" w:lineRule="atLeast"/>
              <w:ind w:right="0" w:rightChars="0"/>
              <w:jc w:val="center"/>
              <w:textAlignment w:val="auto"/>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highlight w:val="none"/>
              </w:rPr>
              <w:t>1</w:t>
            </w:r>
          </w:p>
        </w:tc>
        <w:tc>
          <w:tcPr>
            <w:tcW w:w="877" w:type="pct"/>
            <w:tcBorders>
              <w:bottom w:val="single" w:color="auto" w:sz="4" w:space="0"/>
            </w:tcBorders>
            <w:vAlign w:val="center"/>
          </w:tcPr>
          <w:p w14:paraId="3B901742">
            <w:pPr>
              <w:keepNext w:val="0"/>
              <w:keepLines w:val="0"/>
              <w:pageBreakBefore w:val="0"/>
              <w:widowControl w:val="0"/>
              <w:kinsoku/>
              <w:wordWrap/>
              <w:overflowPunct/>
              <w:topLinePunct w:val="0"/>
              <w:autoSpaceDE/>
              <w:autoSpaceDN/>
              <w:bidi w:val="0"/>
              <w:adjustRightInd/>
              <w:snapToGrid/>
              <w:spacing w:line="440" w:lineRule="atLeast"/>
              <w:ind w:right="0" w:rightChars="0"/>
              <w:jc w:val="center"/>
              <w:textAlignment w:val="auto"/>
              <w:rPr>
                <w:rFonts w:hint="eastAsia" w:ascii="宋体" w:hAnsi="宋体" w:eastAsia="宋体" w:cs="宋体"/>
                <w:color w:val="auto"/>
                <w:kern w:val="2"/>
                <w:sz w:val="24"/>
                <w:szCs w:val="28"/>
                <w:highlight w:val="none"/>
                <w:lang w:val="en-US" w:eastAsia="zh-CN" w:bidi="ar-SA"/>
              </w:rPr>
            </w:pPr>
            <w:r>
              <w:rPr>
                <w:rFonts w:hint="eastAsia" w:ascii="宋体" w:hAnsi="宋体" w:eastAsia="宋体" w:cs="宋体"/>
                <w:spacing w:val="9"/>
                <w:sz w:val="24"/>
                <w:szCs w:val="24"/>
                <w:highlight w:val="none"/>
              </w:rPr>
              <w:t>营业执照等证明</w:t>
            </w:r>
            <w:r>
              <w:rPr>
                <w:rFonts w:hint="eastAsia" w:ascii="宋体" w:hAnsi="宋体" w:eastAsia="宋体" w:cs="宋体"/>
                <w:spacing w:val="-3"/>
                <w:sz w:val="24"/>
                <w:szCs w:val="24"/>
                <w:highlight w:val="none"/>
              </w:rPr>
              <w:t>文件</w:t>
            </w:r>
          </w:p>
        </w:tc>
        <w:tc>
          <w:tcPr>
            <w:tcW w:w="2599" w:type="pct"/>
            <w:tcBorders>
              <w:bottom w:val="single" w:color="auto" w:sz="4" w:space="0"/>
            </w:tcBorders>
            <w:vAlign w:val="center"/>
          </w:tcPr>
          <w:p w14:paraId="4F123A4E">
            <w:pPr>
              <w:keepNext w:val="0"/>
              <w:keepLines w:val="0"/>
              <w:pageBreakBefore w:val="0"/>
              <w:widowControl w:val="0"/>
              <w:kinsoku/>
              <w:wordWrap/>
              <w:overflowPunct/>
              <w:topLinePunct w:val="0"/>
              <w:autoSpaceDE/>
              <w:autoSpaceDN/>
              <w:bidi w:val="0"/>
              <w:adjustRightInd/>
              <w:snapToGrid/>
              <w:spacing w:line="440" w:lineRule="atLeast"/>
              <w:ind w:right="0" w:right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投标人为企业（包括合伙企业）的，应</w:t>
            </w:r>
            <w:r>
              <w:rPr>
                <w:rFonts w:hint="eastAsia" w:ascii="宋体" w:hAnsi="宋体" w:eastAsia="宋体" w:cs="宋体"/>
                <w:sz w:val="24"/>
                <w:szCs w:val="24"/>
                <w:highlight w:val="none"/>
                <w:lang w:val="en-US" w:eastAsia="zh-CN"/>
              </w:rPr>
              <w:t>提</w:t>
            </w:r>
            <w:r>
              <w:rPr>
                <w:rFonts w:hint="eastAsia" w:ascii="宋体" w:hAnsi="宋体" w:eastAsia="宋体" w:cs="宋体"/>
                <w:sz w:val="24"/>
                <w:szCs w:val="24"/>
                <w:highlight w:val="none"/>
              </w:rPr>
              <w:t>供有效的营业执照；</w:t>
            </w:r>
          </w:p>
          <w:p w14:paraId="2D01F844">
            <w:pPr>
              <w:keepNext w:val="0"/>
              <w:keepLines w:val="0"/>
              <w:pageBreakBefore w:val="0"/>
              <w:widowControl w:val="0"/>
              <w:kinsoku/>
              <w:wordWrap/>
              <w:overflowPunct/>
              <w:topLinePunct w:val="0"/>
              <w:autoSpaceDE/>
              <w:autoSpaceDN/>
              <w:bidi w:val="0"/>
              <w:adjustRightInd/>
              <w:snapToGrid/>
              <w:spacing w:line="440" w:lineRule="atLeast"/>
              <w:ind w:right="0" w:right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投标人为事业单位的，应</w:t>
            </w:r>
            <w:r>
              <w:rPr>
                <w:rFonts w:hint="eastAsia" w:ascii="宋体" w:hAnsi="宋体" w:eastAsia="宋体" w:cs="宋体"/>
                <w:sz w:val="24"/>
                <w:szCs w:val="24"/>
                <w:highlight w:val="none"/>
                <w:lang w:val="en-US" w:eastAsia="zh-CN"/>
              </w:rPr>
              <w:t>提</w:t>
            </w:r>
            <w:r>
              <w:rPr>
                <w:rFonts w:hint="eastAsia" w:ascii="宋体" w:hAnsi="宋体" w:eastAsia="宋体" w:cs="宋体"/>
                <w:sz w:val="24"/>
                <w:szCs w:val="24"/>
                <w:highlight w:val="none"/>
              </w:rPr>
              <w:t>供有效的事业单位法人证书；</w:t>
            </w:r>
          </w:p>
          <w:p w14:paraId="2341B721">
            <w:pPr>
              <w:keepNext w:val="0"/>
              <w:keepLines w:val="0"/>
              <w:pageBreakBefore w:val="0"/>
              <w:widowControl w:val="0"/>
              <w:kinsoku/>
              <w:wordWrap/>
              <w:overflowPunct/>
              <w:topLinePunct w:val="0"/>
              <w:autoSpaceDE/>
              <w:autoSpaceDN/>
              <w:bidi w:val="0"/>
              <w:adjustRightInd/>
              <w:snapToGrid/>
              <w:spacing w:line="440" w:lineRule="atLeast"/>
              <w:ind w:right="0" w:right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投标人是非企业机构的，应</w:t>
            </w:r>
            <w:r>
              <w:rPr>
                <w:rFonts w:hint="eastAsia" w:ascii="宋体" w:hAnsi="宋体" w:eastAsia="宋体" w:cs="宋体"/>
                <w:sz w:val="24"/>
                <w:szCs w:val="24"/>
                <w:highlight w:val="none"/>
                <w:lang w:val="en-US" w:eastAsia="zh-CN"/>
              </w:rPr>
              <w:t>提</w:t>
            </w:r>
            <w:r>
              <w:rPr>
                <w:rFonts w:hint="eastAsia" w:ascii="宋体" w:hAnsi="宋体" w:eastAsia="宋体" w:cs="宋体"/>
                <w:sz w:val="24"/>
                <w:szCs w:val="24"/>
                <w:highlight w:val="none"/>
              </w:rPr>
              <w:t>供有效的执业许可证</w:t>
            </w:r>
            <w:r>
              <w:rPr>
                <w:rFonts w:hint="eastAsia" w:ascii="宋体" w:hAnsi="宋体" w:eastAsia="宋体" w:cs="宋体"/>
                <w:sz w:val="24"/>
                <w:szCs w:val="24"/>
                <w:highlight w:val="none"/>
                <w:lang w:val="en-US" w:eastAsia="zh-CN"/>
              </w:rPr>
              <w:t>或</w:t>
            </w:r>
            <w:r>
              <w:rPr>
                <w:rFonts w:hint="eastAsia" w:ascii="宋体" w:hAnsi="宋体" w:eastAsia="宋体" w:cs="宋体"/>
                <w:sz w:val="24"/>
                <w:szCs w:val="24"/>
                <w:highlight w:val="none"/>
              </w:rPr>
              <w:t>登记证书等证明文件；</w:t>
            </w:r>
          </w:p>
          <w:p w14:paraId="076D5228">
            <w:pPr>
              <w:keepNext w:val="0"/>
              <w:keepLines w:val="0"/>
              <w:pageBreakBefore w:val="0"/>
              <w:widowControl w:val="0"/>
              <w:kinsoku/>
              <w:wordWrap/>
              <w:overflowPunct/>
              <w:topLinePunct w:val="0"/>
              <w:autoSpaceDE/>
              <w:autoSpaceDN/>
              <w:bidi w:val="0"/>
              <w:adjustRightInd/>
              <w:snapToGrid/>
              <w:spacing w:line="440" w:lineRule="atLeast"/>
              <w:ind w:right="0" w:right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投标人是个体工商户的，应</w:t>
            </w:r>
            <w:r>
              <w:rPr>
                <w:rFonts w:hint="eastAsia" w:ascii="宋体" w:hAnsi="宋体" w:eastAsia="宋体" w:cs="宋体"/>
                <w:sz w:val="24"/>
                <w:szCs w:val="24"/>
                <w:highlight w:val="none"/>
                <w:lang w:val="en-US" w:eastAsia="zh-CN"/>
              </w:rPr>
              <w:t>提</w:t>
            </w:r>
            <w:r>
              <w:rPr>
                <w:rFonts w:hint="eastAsia" w:ascii="宋体" w:hAnsi="宋体" w:eastAsia="宋体" w:cs="宋体"/>
                <w:sz w:val="24"/>
                <w:szCs w:val="24"/>
                <w:highlight w:val="none"/>
              </w:rPr>
              <w:t>供有效的个体工商户营业执照；</w:t>
            </w:r>
          </w:p>
          <w:p w14:paraId="62F59B75">
            <w:pPr>
              <w:keepNext w:val="0"/>
              <w:keepLines w:val="0"/>
              <w:pageBreakBefore w:val="0"/>
              <w:widowControl w:val="0"/>
              <w:kinsoku/>
              <w:wordWrap/>
              <w:overflowPunct/>
              <w:topLinePunct w:val="0"/>
              <w:autoSpaceDE/>
              <w:autoSpaceDN/>
              <w:bidi w:val="0"/>
              <w:adjustRightInd/>
              <w:snapToGrid/>
              <w:spacing w:line="440" w:lineRule="atLeast"/>
              <w:ind w:right="0" w:rightChars="0"/>
              <w:jc w:val="left"/>
              <w:textAlignment w:val="auto"/>
              <w:rPr>
                <w:rFonts w:hint="eastAsia" w:ascii="宋体" w:hAnsi="宋体" w:eastAsia="宋体" w:cs="宋体"/>
                <w:color w:val="auto"/>
                <w:kern w:val="2"/>
                <w:sz w:val="24"/>
                <w:szCs w:val="28"/>
                <w:highlight w:val="none"/>
                <w:lang w:val="en-US" w:eastAsia="zh-CN" w:bidi="ar-SA"/>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投标人是自然人的，应</w:t>
            </w:r>
            <w:r>
              <w:rPr>
                <w:rFonts w:hint="eastAsia" w:ascii="宋体" w:hAnsi="宋体" w:eastAsia="宋体" w:cs="宋体"/>
                <w:sz w:val="24"/>
                <w:szCs w:val="24"/>
                <w:highlight w:val="none"/>
                <w:lang w:val="en-US" w:eastAsia="zh-CN"/>
              </w:rPr>
              <w:t>提</w:t>
            </w:r>
            <w:r>
              <w:rPr>
                <w:rFonts w:hint="eastAsia" w:ascii="宋体" w:hAnsi="宋体" w:eastAsia="宋体" w:cs="宋体"/>
                <w:sz w:val="24"/>
                <w:szCs w:val="24"/>
                <w:highlight w:val="none"/>
              </w:rPr>
              <w:t>供有效的自然人身份证明。</w:t>
            </w:r>
          </w:p>
        </w:tc>
        <w:tc>
          <w:tcPr>
            <w:tcW w:w="1084" w:type="pct"/>
            <w:vAlign w:val="center"/>
          </w:tcPr>
          <w:p w14:paraId="4C6C5244">
            <w:pPr>
              <w:keepNext w:val="0"/>
              <w:keepLines w:val="0"/>
              <w:pageBreakBefore w:val="0"/>
              <w:widowControl w:val="0"/>
              <w:kinsoku/>
              <w:wordWrap/>
              <w:overflowPunct/>
              <w:topLinePunct w:val="0"/>
              <w:autoSpaceDE/>
              <w:autoSpaceDN/>
              <w:bidi w:val="0"/>
              <w:adjustRightInd/>
              <w:snapToGrid/>
              <w:spacing w:line="440" w:lineRule="atLeast"/>
              <w:ind w:right="0"/>
              <w:jc w:val="left"/>
              <w:textAlignment w:val="auto"/>
              <w:rPr>
                <w:rFonts w:hint="eastAsia" w:ascii="宋体" w:hAnsi="宋体" w:eastAsia="宋体" w:cs="宋体"/>
                <w:color w:val="auto"/>
                <w:kern w:val="2"/>
                <w:sz w:val="24"/>
                <w:highlight w:val="none"/>
                <w:lang w:val="en-US" w:eastAsia="zh-CN" w:bidi="ar-SA"/>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全部内容。联合体投标的联合体各方均须提供。</w:t>
            </w:r>
          </w:p>
        </w:tc>
      </w:tr>
      <w:tr w14:paraId="21563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438" w:type="pct"/>
            <w:tcBorders>
              <w:bottom w:val="single" w:color="auto" w:sz="4" w:space="0"/>
            </w:tcBorders>
            <w:vAlign w:val="center"/>
          </w:tcPr>
          <w:p w14:paraId="121565DA">
            <w:pPr>
              <w:keepNext w:val="0"/>
              <w:keepLines w:val="0"/>
              <w:pageBreakBefore w:val="0"/>
              <w:widowControl w:val="0"/>
              <w:kinsoku/>
              <w:wordWrap/>
              <w:overflowPunct/>
              <w:topLinePunct w:val="0"/>
              <w:autoSpaceDE/>
              <w:autoSpaceDN/>
              <w:bidi w:val="0"/>
              <w:adjustRightInd/>
              <w:snapToGrid/>
              <w:spacing w:line="440" w:lineRule="atLeast"/>
              <w:ind w:right="0" w:rightChars="0"/>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877" w:type="pct"/>
            <w:tcBorders>
              <w:bottom w:val="single" w:color="auto" w:sz="4" w:space="0"/>
            </w:tcBorders>
            <w:vAlign w:val="center"/>
          </w:tcPr>
          <w:p w14:paraId="7432CC8E">
            <w:pPr>
              <w:keepNext w:val="0"/>
              <w:keepLines w:val="0"/>
              <w:pageBreakBefore w:val="0"/>
              <w:widowControl w:val="0"/>
              <w:kinsoku/>
              <w:wordWrap/>
              <w:overflowPunct/>
              <w:topLinePunct w:val="0"/>
              <w:autoSpaceDE/>
              <w:autoSpaceDN/>
              <w:bidi w:val="0"/>
              <w:adjustRightInd/>
              <w:snapToGrid/>
              <w:spacing w:line="440" w:lineRule="atLeast"/>
              <w:ind w:right="0" w:rightChars="0"/>
              <w:jc w:val="center"/>
              <w:textAlignment w:val="auto"/>
              <w:rPr>
                <w:rFonts w:hint="eastAsia" w:ascii="宋体" w:hAnsi="宋体" w:eastAsia="宋体" w:cs="宋体"/>
                <w:color w:val="auto"/>
                <w:sz w:val="24"/>
                <w:szCs w:val="28"/>
                <w:highlight w:val="none"/>
                <w:lang w:val="en-US"/>
              </w:rPr>
            </w:pPr>
            <w:r>
              <w:rPr>
                <w:rFonts w:hint="eastAsia" w:ascii="宋体" w:hAnsi="宋体" w:eastAsia="宋体" w:cs="宋体"/>
                <w:color w:val="auto"/>
                <w:sz w:val="24"/>
                <w:szCs w:val="18"/>
                <w:highlight w:val="none"/>
                <w:lang w:val="en-US" w:eastAsia="zh-CN"/>
              </w:rPr>
              <w:t>投标人资格声明书</w:t>
            </w:r>
          </w:p>
        </w:tc>
        <w:tc>
          <w:tcPr>
            <w:tcW w:w="2599" w:type="pct"/>
            <w:tcBorders>
              <w:bottom w:val="single" w:color="auto" w:sz="4" w:space="0"/>
            </w:tcBorders>
            <w:vAlign w:val="center"/>
          </w:tcPr>
          <w:p w14:paraId="75AD905E">
            <w:pPr>
              <w:keepNext w:val="0"/>
              <w:keepLines w:val="0"/>
              <w:pageBreakBefore w:val="0"/>
              <w:widowControl w:val="0"/>
              <w:kinsoku/>
              <w:wordWrap/>
              <w:overflowPunct/>
              <w:topLinePunct w:val="0"/>
              <w:autoSpaceDE/>
              <w:autoSpaceDN/>
              <w:bidi w:val="0"/>
              <w:adjustRightInd/>
              <w:snapToGrid/>
              <w:spacing w:line="440" w:lineRule="atLeast"/>
              <w:ind w:right="0" w:rightChars="0"/>
              <w:jc w:val="left"/>
              <w:textAlignment w:val="auto"/>
              <w:rPr>
                <w:rFonts w:hint="eastAsia" w:ascii="宋体" w:hAnsi="宋体" w:eastAsia="宋体" w:cs="宋体"/>
                <w:color w:val="auto"/>
                <w:sz w:val="24"/>
                <w:szCs w:val="28"/>
                <w:highlight w:val="none"/>
              </w:rPr>
            </w:pPr>
            <w:r>
              <w:rPr>
                <w:rFonts w:hint="eastAsia" w:ascii="宋体" w:hAnsi="宋体" w:eastAsia="宋体" w:cs="宋体"/>
                <w:sz w:val="24"/>
                <w:szCs w:val="24"/>
                <w:highlight w:val="none"/>
                <w:lang w:val="en-US" w:eastAsia="zh-CN"/>
              </w:rPr>
              <w:t>提</w:t>
            </w:r>
            <w:r>
              <w:rPr>
                <w:rFonts w:hint="eastAsia" w:ascii="宋体" w:hAnsi="宋体" w:eastAsia="宋体" w:cs="宋体"/>
                <w:sz w:val="24"/>
                <w:szCs w:val="24"/>
                <w:highlight w:val="none"/>
              </w:rPr>
              <w:t>供符合招标文件要求的《投标人资格声明书》</w:t>
            </w:r>
            <w:r>
              <w:rPr>
                <w:rFonts w:hint="eastAsia" w:ascii="宋体" w:hAnsi="宋体" w:eastAsia="宋体" w:cs="宋体"/>
                <w:sz w:val="24"/>
                <w:szCs w:val="24"/>
                <w:highlight w:val="none"/>
                <w:lang w:eastAsia="zh-CN"/>
              </w:rPr>
              <w:t>。</w:t>
            </w:r>
          </w:p>
        </w:tc>
        <w:tc>
          <w:tcPr>
            <w:tcW w:w="1084" w:type="pct"/>
            <w:vAlign w:val="center"/>
          </w:tcPr>
          <w:p w14:paraId="68AF2C6F">
            <w:pPr>
              <w:keepNext w:val="0"/>
              <w:keepLines w:val="0"/>
              <w:pageBreakBefore w:val="0"/>
              <w:widowControl w:val="0"/>
              <w:kinsoku/>
              <w:wordWrap/>
              <w:overflowPunct/>
              <w:topLinePunct w:val="0"/>
              <w:autoSpaceDE/>
              <w:autoSpaceDN/>
              <w:bidi w:val="0"/>
              <w:adjustRightInd/>
              <w:snapToGrid/>
              <w:spacing w:line="440" w:lineRule="atLeast"/>
              <w:ind w:right="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highlight w:val="none"/>
              </w:rPr>
              <w:t>详见第六章投标文件格式</w:t>
            </w:r>
            <w:r>
              <w:rPr>
                <w:rFonts w:hint="eastAsia" w:ascii="宋体" w:hAnsi="宋体" w:eastAsia="宋体" w:cs="宋体"/>
                <w:color w:val="auto"/>
                <w:sz w:val="24"/>
                <w:highlight w:val="none"/>
                <w:lang w:eastAsia="zh-CN"/>
              </w:rPr>
              <w:t>。</w:t>
            </w:r>
          </w:p>
        </w:tc>
      </w:tr>
      <w:tr w14:paraId="5628F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pct"/>
            <w:tcBorders>
              <w:bottom w:val="single" w:color="auto" w:sz="4" w:space="0"/>
            </w:tcBorders>
            <w:vAlign w:val="center"/>
          </w:tcPr>
          <w:p w14:paraId="1A98F260">
            <w:pPr>
              <w:keepNext w:val="0"/>
              <w:keepLines w:val="0"/>
              <w:pageBreakBefore w:val="0"/>
              <w:widowControl w:val="0"/>
              <w:kinsoku/>
              <w:wordWrap/>
              <w:overflowPunct/>
              <w:topLinePunct w:val="0"/>
              <w:autoSpaceDE/>
              <w:autoSpaceDN/>
              <w:bidi w:val="0"/>
              <w:adjustRightInd/>
              <w:snapToGrid/>
              <w:spacing w:line="440" w:lineRule="atLeast"/>
              <w:ind w:right="0"/>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877" w:type="pct"/>
            <w:tcBorders>
              <w:bottom w:val="single" w:color="auto" w:sz="4" w:space="0"/>
            </w:tcBorders>
            <w:vAlign w:val="center"/>
          </w:tcPr>
          <w:p w14:paraId="015E35BD">
            <w:pPr>
              <w:keepNext w:val="0"/>
              <w:keepLines w:val="0"/>
              <w:pageBreakBefore w:val="0"/>
              <w:widowControl w:val="0"/>
              <w:kinsoku/>
              <w:wordWrap/>
              <w:overflowPunct/>
              <w:topLinePunct w:val="0"/>
              <w:autoSpaceDE/>
              <w:autoSpaceDN/>
              <w:bidi w:val="0"/>
              <w:adjustRightInd/>
              <w:snapToGrid/>
              <w:spacing w:line="440" w:lineRule="atLeast"/>
              <w:ind w:right="0"/>
              <w:jc w:val="center"/>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4"/>
                <w:highlight w:val="none"/>
              </w:rPr>
              <w:t>投标人信用记录</w:t>
            </w:r>
          </w:p>
        </w:tc>
        <w:tc>
          <w:tcPr>
            <w:tcW w:w="2599" w:type="pct"/>
            <w:tcBorders>
              <w:bottom w:val="single" w:color="auto" w:sz="4" w:space="0"/>
            </w:tcBorders>
            <w:vAlign w:val="center"/>
          </w:tcPr>
          <w:p w14:paraId="5C404E15">
            <w:pPr>
              <w:keepNext w:val="0"/>
              <w:keepLines w:val="0"/>
              <w:pageBreakBefore w:val="0"/>
              <w:widowControl w:val="0"/>
              <w:kinsoku/>
              <w:wordWrap/>
              <w:overflowPunct/>
              <w:topLinePunct w:val="0"/>
              <w:autoSpaceDE/>
              <w:autoSpaceDN/>
              <w:bidi w:val="0"/>
              <w:adjustRightInd/>
              <w:snapToGrid/>
              <w:spacing w:line="440" w:lineRule="atLeast"/>
              <w:ind w:right="0" w:rightChars="0"/>
              <w:jc w:val="left"/>
              <w:textAlignment w:val="auto"/>
              <w:rPr>
                <w:rFonts w:hint="eastAsia" w:ascii="宋体" w:hAnsi="宋体" w:eastAsia="宋体" w:cs="宋体"/>
                <w:highlight w:val="none"/>
              </w:rPr>
            </w:pPr>
            <w:r>
              <w:rPr>
                <w:rFonts w:hint="eastAsia" w:ascii="宋体" w:hAnsi="宋体" w:eastAsia="宋体" w:cs="宋体"/>
                <w:sz w:val="24"/>
                <w:szCs w:val="24"/>
                <w:highlight w:val="none"/>
                <w:lang w:val="zh-CN" w:eastAsia="zh-CN"/>
              </w:rPr>
              <w:t>投标人不得存在投标人须知正文第1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val="zh-CN" w:eastAsia="zh-CN"/>
              </w:rPr>
              <w:t>.2</w:t>
            </w:r>
            <w:r>
              <w:rPr>
                <w:rFonts w:hint="eastAsia" w:ascii="宋体" w:hAnsi="宋体" w:eastAsia="宋体" w:cs="宋体"/>
                <w:sz w:val="24"/>
                <w:szCs w:val="24"/>
                <w:highlight w:val="none"/>
                <w:lang w:val="en-US" w:eastAsia="zh-CN"/>
              </w:rPr>
              <w:t>条中</w:t>
            </w:r>
            <w:r>
              <w:rPr>
                <w:rFonts w:hint="eastAsia" w:ascii="宋体" w:hAnsi="宋体" w:eastAsia="宋体" w:cs="宋体"/>
                <w:color w:val="auto"/>
                <w:sz w:val="24"/>
                <w:szCs w:val="28"/>
                <w:highlight w:val="none"/>
              </w:rPr>
              <w:t>的</w:t>
            </w:r>
            <w:r>
              <w:rPr>
                <w:rFonts w:hint="eastAsia" w:ascii="宋体" w:hAnsi="宋体" w:eastAsia="宋体" w:cs="宋体"/>
                <w:color w:val="auto"/>
                <w:sz w:val="24"/>
                <w:szCs w:val="18"/>
                <w:highlight w:val="none"/>
              </w:rPr>
              <w:t>不良信用记录情形</w:t>
            </w:r>
          </w:p>
        </w:tc>
        <w:tc>
          <w:tcPr>
            <w:tcW w:w="1084" w:type="pct"/>
            <w:tcBorders>
              <w:bottom w:val="single" w:color="auto" w:sz="4" w:space="0"/>
            </w:tcBorders>
            <w:vAlign w:val="center"/>
          </w:tcPr>
          <w:p w14:paraId="73E932BF">
            <w:pPr>
              <w:keepNext w:val="0"/>
              <w:keepLines w:val="0"/>
              <w:pageBreakBefore w:val="0"/>
              <w:widowControl w:val="0"/>
              <w:kinsoku/>
              <w:wordWrap/>
              <w:overflowPunct/>
              <w:topLinePunct w:val="0"/>
              <w:autoSpaceDE/>
              <w:autoSpaceDN/>
              <w:bidi w:val="0"/>
              <w:adjustRightInd/>
              <w:snapToGrid/>
              <w:spacing w:line="440" w:lineRule="atLeast"/>
              <w:ind w:right="0"/>
              <w:jc w:val="left"/>
              <w:textAlignment w:val="auto"/>
              <w:rPr>
                <w:rFonts w:hint="eastAsia" w:ascii="宋体" w:hAnsi="宋体" w:eastAsia="宋体" w:cs="宋体"/>
                <w:color w:val="auto"/>
                <w:kern w:val="2"/>
                <w:sz w:val="21"/>
                <w:highlight w:val="none"/>
                <w:lang w:val="en-US" w:eastAsia="zh-CN" w:bidi="ar-SA"/>
              </w:rPr>
            </w:pPr>
            <w:r>
              <w:rPr>
                <w:rFonts w:hint="eastAsia" w:ascii="宋体" w:hAnsi="宋体" w:eastAsia="宋体" w:cs="宋体"/>
                <w:sz w:val="24"/>
                <w:szCs w:val="24"/>
                <w:highlight w:val="none"/>
              </w:rPr>
              <w:t>无须投标人</w:t>
            </w:r>
            <w:r>
              <w:rPr>
                <w:rFonts w:hint="eastAsia" w:ascii="宋体" w:hAnsi="宋体" w:eastAsia="宋体" w:cs="宋体"/>
                <w:sz w:val="24"/>
                <w:szCs w:val="24"/>
                <w:highlight w:val="none"/>
                <w:lang w:val="en-US" w:eastAsia="zh-CN"/>
              </w:rPr>
              <w:t>提</w:t>
            </w:r>
            <w:r>
              <w:rPr>
                <w:rFonts w:hint="eastAsia" w:ascii="宋体" w:hAnsi="宋体" w:eastAsia="宋体" w:cs="宋体"/>
                <w:sz w:val="24"/>
                <w:szCs w:val="24"/>
                <w:highlight w:val="none"/>
              </w:rPr>
              <w:t>供，由采购人或采购代理机构查询。</w:t>
            </w:r>
          </w:p>
        </w:tc>
      </w:tr>
      <w:tr w14:paraId="37ED1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pct"/>
            <w:vAlign w:val="center"/>
          </w:tcPr>
          <w:p w14:paraId="551BE918">
            <w:pPr>
              <w:keepNext w:val="0"/>
              <w:keepLines w:val="0"/>
              <w:pageBreakBefore w:val="0"/>
              <w:widowControl w:val="0"/>
              <w:kinsoku/>
              <w:wordWrap/>
              <w:overflowPunct/>
              <w:topLinePunct w:val="0"/>
              <w:autoSpaceDE/>
              <w:autoSpaceDN/>
              <w:bidi w:val="0"/>
              <w:adjustRightInd/>
              <w:snapToGrid/>
              <w:spacing w:line="440" w:lineRule="atLeast"/>
              <w:ind w:right="0" w:rightChars="0"/>
              <w:jc w:val="center"/>
              <w:textAlignment w:val="auto"/>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highlight w:val="none"/>
                <w:lang w:val="en-US" w:eastAsia="zh-CN"/>
              </w:rPr>
              <w:t>4</w:t>
            </w:r>
          </w:p>
        </w:tc>
        <w:tc>
          <w:tcPr>
            <w:tcW w:w="877" w:type="pct"/>
            <w:vAlign w:val="center"/>
          </w:tcPr>
          <w:p w14:paraId="782A6744">
            <w:pPr>
              <w:keepNext w:val="0"/>
              <w:keepLines w:val="0"/>
              <w:pageBreakBefore w:val="0"/>
              <w:widowControl w:val="0"/>
              <w:kinsoku/>
              <w:wordWrap/>
              <w:overflowPunct/>
              <w:topLinePunct w:val="0"/>
              <w:autoSpaceDE/>
              <w:autoSpaceDN/>
              <w:bidi w:val="0"/>
              <w:adjustRightInd/>
              <w:snapToGrid/>
              <w:spacing w:line="440" w:lineRule="atLeast"/>
              <w:ind w:right="0"/>
              <w:jc w:val="center"/>
              <w:textAlignment w:val="auto"/>
              <w:rPr>
                <w:rFonts w:hint="eastAsia" w:ascii="宋体" w:hAnsi="宋体" w:eastAsia="宋体" w:cs="宋体"/>
                <w:spacing w:val="10"/>
                <w:sz w:val="24"/>
                <w:szCs w:val="24"/>
                <w:highlight w:val="none"/>
                <w:lang w:val="en-US" w:eastAsia="zh-CN"/>
              </w:rPr>
            </w:pPr>
            <w:r>
              <w:rPr>
                <w:rFonts w:hint="eastAsia" w:ascii="宋体" w:hAnsi="宋体" w:eastAsia="宋体" w:cs="宋体"/>
                <w:spacing w:val="10"/>
                <w:sz w:val="24"/>
                <w:szCs w:val="24"/>
                <w:highlight w:val="none"/>
              </w:rPr>
              <w:t>其他特定资格要求</w:t>
            </w:r>
          </w:p>
        </w:tc>
        <w:tc>
          <w:tcPr>
            <w:tcW w:w="2599" w:type="pct"/>
            <w:vAlign w:val="center"/>
          </w:tcPr>
          <w:p w14:paraId="7ED5B180">
            <w:pPr>
              <w:keepNext w:val="0"/>
              <w:keepLines w:val="0"/>
              <w:pageBreakBefore w:val="0"/>
              <w:widowControl w:val="0"/>
              <w:kinsoku/>
              <w:wordWrap/>
              <w:overflowPunct/>
              <w:topLinePunct w:val="0"/>
              <w:autoSpaceDE/>
              <w:autoSpaceDN/>
              <w:bidi w:val="0"/>
              <w:adjustRightInd/>
              <w:snapToGrid/>
              <w:spacing w:line="440" w:lineRule="atLeast"/>
              <w:ind w:right="0"/>
              <w:jc w:val="both"/>
              <w:textAlignment w:val="auto"/>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rPr>
              <w:t>如有，见第一章《投标邀请》</w:t>
            </w:r>
          </w:p>
        </w:tc>
        <w:tc>
          <w:tcPr>
            <w:tcW w:w="1084" w:type="pct"/>
            <w:vAlign w:val="center"/>
          </w:tcPr>
          <w:p w14:paraId="71A8DDF3">
            <w:pPr>
              <w:keepNext w:val="0"/>
              <w:keepLines w:val="0"/>
              <w:pageBreakBefore w:val="0"/>
              <w:widowControl w:val="0"/>
              <w:kinsoku/>
              <w:wordWrap/>
              <w:overflowPunct/>
              <w:topLinePunct w:val="0"/>
              <w:autoSpaceDE/>
              <w:autoSpaceDN/>
              <w:bidi w:val="0"/>
              <w:adjustRightInd/>
              <w:snapToGrid/>
              <w:spacing w:line="440" w:lineRule="atLeast"/>
              <w:ind w:right="0"/>
              <w:jc w:val="left"/>
              <w:textAlignment w:val="auto"/>
              <w:rPr>
                <w:rFonts w:hint="eastAsia" w:ascii="宋体" w:hAnsi="宋体" w:eastAsia="宋体" w:cs="宋体"/>
                <w:spacing w:val="10"/>
                <w:sz w:val="24"/>
                <w:szCs w:val="24"/>
                <w:highlight w:val="none"/>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w:t>
            </w:r>
          </w:p>
        </w:tc>
      </w:tr>
    </w:tbl>
    <w:p w14:paraId="10191E0F">
      <w:pPr>
        <w:spacing w:line="360" w:lineRule="auto"/>
        <w:ind w:firstLine="437"/>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2.1资格审查</w:t>
      </w:r>
    </w:p>
    <w:p w14:paraId="2B7A8D14">
      <w:pPr>
        <w:spacing w:line="360" w:lineRule="auto"/>
        <w:ind w:firstLine="435"/>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资格审查指标通过标准：</w:t>
      </w:r>
      <w:r>
        <w:rPr>
          <w:rFonts w:hint="eastAsia" w:ascii="宋体" w:hAnsi="宋体" w:eastAsia="宋体" w:cs="宋体"/>
          <w:color w:val="auto"/>
          <w:sz w:val="24"/>
          <w:highlight w:val="none"/>
        </w:rPr>
        <w:t>投标人必须通过资格审查表中的全部评审指标。</w:t>
      </w:r>
    </w:p>
    <w:p w14:paraId="2F3FA392">
      <w:pPr>
        <w:pStyle w:val="27"/>
        <w:rPr>
          <w:rFonts w:hint="eastAsia" w:ascii="宋体" w:hAnsi="宋体" w:eastAsia="宋体" w:cs="宋体"/>
          <w:highlight w:val="none"/>
        </w:rPr>
      </w:pPr>
    </w:p>
    <w:p w14:paraId="580DE918">
      <w:pPr>
        <w:spacing w:line="360" w:lineRule="auto"/>
        <w:ind w:firstLine="437"/>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2.2符合性审查</w:t>
      </w:r>
    </w:p>
    <w:p w14:paraId="4DFDDF1C">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评标委员会对通过资格审查的投标人的投标文件进行符合性审查，以确定其是否满足招标文件的实质性要求。符合性审查表如下：</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2113"/>
        <w:gridCol w:w="3128"/>
        <w:gridCol w:w="2517"/>
      </w:tblGrid>
      <w:tr w14:paraId="54FDD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4"/>
            <w:tcBorders>
              <w:bottom w:val="single" w:color="auto" w:sz="4" w:space="0"/>
            </w:tcBorders>
            <w:vAlign w:val="center"/>
          </w:tcPr>
          <w:p w14:paraId="46680489">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符合性审查表</w:t>
            </w:r>
          </w:p>
        </w:tc>
      </w:tr>
      <w:tr w14:paraId="78867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48" w:type="pct"/>
            <w:tcBorders>
              <w:bottom w:val="single" w:color="auto" w:sz="4" w:space="0"/>
            </w:tcBorders>
            <w:vAlign w:val="center"/>
          </w:tcPr>
          <w:p w14:paraId="0EDFBBBB">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240" w:type="pct"/>
            <w:tcBorders>
              <w:bottom w:val="single" w:color="auto" w:sz="4" w:space="0"/>
            </w:tcBorders>
            <w:vAlign w:val="center"/>
          </w:tcPr>
          <w:p w14:paraId="72BE1686">
            <w:pPr>
              <w:pStyle w:val="37"/>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440" w:lineRule="exact"/>
              <w:ind w:right="0"/>
              <w:textAlignment w:val="auto"/>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审查指标</w:t>
            </w:r>
          </w:p>
        </w:tc>
        <w:tc>
          <w:tcPr>
            <w:tcW w:w="1835" w:type="pct"/>
            <w:tcBorders>
              <w:bottom w:val="single" w:color="auto" w:sz="4" w:space="0"/>
            </w:tcBorders>
            <w:vAlign w:val="center"/>
          </w:tcPr>
          <w:p w14:paraId="5A99AE37">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审查标准</w:t>
            </w:r>
          </w:p>
        </w:tc>
        <w:tc>
          <w:tcPr>
            <w:tcW w:w="1475" w:type="pct"/>
            <w:tcBorders>
              <w:bottom w:val="single" w:color="auto" w:sz="4" w:space="0"/>
            </w:tcBorders>
            <w:vAlign w:val="center"/>
          </w:tcPr>
          <w:p w14:paraId="1D1E707A">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格式要求</w:t>
            </w:r>
          </w:p>
        </w:tc>
      </w:tr>
      <w:tr w14:paraId="181FC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448" w:type="pct"/>
            <w:vAlign w:val="center"/>
          </w:tcPr>
          <w:p w14:paraId="64BC0AF8">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240" w:type="pct"/>
            <w:vAlign w:val="center"/>
          </w:tcPr>
          <w:p w14:paraId="0F27C8F6">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highlight w:val="none"/>
              </w:rPr>
              <w:t>开标一览表</w:t>
            </w:r>
          </w:p>
        </w:tc>
        <w:tc>
          <w:tcPr>
            <w:tcW w:w="1835" w:type="pct"/>
            <w:vAlign w:val="center"/>
          </w:tcPr>
          <w:p w14:paraId="5FE7BD0B">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格式、填写要求符合招标文件规定并加盖投标人电子签章</w:t>
            </w:r>
          </w:p>
        </w:tc>
        <w:tc>
          <w:tcPr>
            <w:tcW w:w="1475" w:type="pct"/>
            <w:vAlign w:val="center"/>
          </w:tcPr>
          <w:p w14:paraId="18A9EA7F">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详见第六章投标文件格式</w:t>
            </w:r>
            <w:r>
              <w:rPr>
                <w:rFonts w:hint="eastAsia" w:ascii="宋体" w:hAnsi="宋体" w:eastAsia="宋体" w:cs="宋体"/>
                <w:color w:val="auto"/>
                <w:sz w:val="24"/>
                <w:highlight w:val="none"/>
                <w:lang w:eastAsia="zh-CN"/>
              </w:rPr>
              <w:t>。</w:t>
            </w:r>
          </w:p>
        </w:tc>
      </w:tr>
      <w:tr w14:paraId="72DEA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pct"/>
            <w:vAlign w:val="center"/>
          </w:tcPr>
          <w:p w14:paraId="428B603D">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240" w:type="pct"/>
            <w:vAlign w:val="center"/>
          </w:tcPr>
          <w:p w14:paraId="5C1A882E">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投标函</w:t>
            </w:r>
          </w:p>
        </w:tc>
        <w:tc>
          <w:tcPr>
            <w:tcW w:w="1835" w:type="pct"/>
            <w:vAlign w:val="center"/>
          </w:tcPr>
          <w:p w14:paraId="2F40C04A">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格式、填写要求符合招标文件规定并加盖投标人电子签章</w:t>
            </w:r>
          </w:p>
        </w:tc>
        <w:tc>
          <w:tcPr>
            <w:tcW w:w="1475" w:type="pct"/>
            <w:vAlign w:val="center"/>
          </w:tcPr>
          <w:p w14:paraId="2E40D57C">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详见第六章投标文件格式</w:t>
            </w:r>
            <w:r>
              <w:rPr>
                <w:rFonts w:hint="eastAsia" w:ascii="宋体" w:hAnsi="宋体" w:eastAsia="宋体" w:cs="宋体"/>
                <w:color w:val="auto"/>
                <w:sz w:val="24"/>
                <w:highlight w:val="none"/>
                <w:lang w:eastAsia="zh-CN"/>
              </w:rPr>
              <w:t>。</w:t>
            </w:r>
          </w:p>
        </w:tc>
      </w:tr>
      <w:tr w14:paraId="126B7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pct"/>
            <w:vAlign w:val="center"/>
          </w:tcPr>
          <w:p w14:paraId="1DAEC815">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240" w:type="pct"/>
            <w:vAlign w:val="center"/>
          </w:tcPr>
          <w:p w14:paraId="78F3D2F2">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授权书</w:t>
            </w:r>
          </w:p>
        </w:tc>
        <w:tc>
          <w:tcPr>
            <w:tcW w:w="1835" w:type="pct"/>
            <w:vAlign w:val="center"/>
          </w:tcPr>
          <w:p w14:paraId="3E20B76A">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格式、填写要求符合招标文件规定并加盖投标人电子签章</w:t>
            </w:r>
          </w:p>
        </w:tc>
        <w:tc>
          <w:tcPr>
            <w:tcW w:w="1475" w:type="pct"/>
            <w:vAlign w:val="center"/>
          </w:tcPr>
          <w:p w14:paraId="16869A5B">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法定代表人参加投标的无需此件，提供身份证明即可。详见第六章投标文件格式</w:t>
            </w:r>
            <w:r>
              <w:rPr>
                <w:rFonts w:hint="eastAsia" w:ascii="宋体" w:hAnsi="宋体" w:eastAsia="宋体" w:cs="宋体"/>
                <w:color w:val="auto"/>
                <w:sz w:val="24"/>
                <w:highlight w:val="none"/>
                <w:lang w:eastAsia="zh-CN"/>
              </w:rPr>
              <w:t>。</w:t>
            </w:r>
          </w:p>
        </w:tc>
      </w:tr>
      <w:tr w14:paraId="09DA3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pct"/>
            <w:vAlign w:val="center"/>
          </w:tcPr>
          <w:p w14:paraId="25577D23">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240" w:type="pct"/>
            <w:vAlign w:val="center"/>
          </w:tcPr>
          <w:p w14:paraId="39D2EDEB">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投标报价</w:t>
            </w:r>
          </w:p>
        </w:tc>
        <w:tc>
          <w:tcPr>
            <w:tcW w:w="1835" w:type="pct"/>
            <w:vAlign w:val="center"/>
          </w:tcPr>
          <w:p w14:paraId="4C4471A2">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符合</w:t>
            </w:r>
            <w:r>
              <w:rPr>
                <w:rFonts w:hint="eastAsia" w:ascii="宋体" w:hAnsi="宋体" w:eastAsia="宋体" w:cs="宋体"/>
                <w:color w:val="auto"/>
                <w:sz w:val="24"/>
                <w:highlight w:val="none"/>
              </w:rPr>
              <w:t>招标文件投标人须知正文第</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条要求</w:t>
            </w:r>
          </w:p>
        </w:tc>
        <w:tc>
          <w:tcPr>
            <w:tcW w:w="1475" w:type="pct"/>
            <w:vAlign w:val="center"/>
          </w:tcPr>
          <w:p w14:paraId="4FD82E45">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详见第六章投标文件格式</w:t>
            </w:r>
            <w:r>
              <w:rPr>
                <w:rFonts w:hint="eastAsia" w:ascii="宋体" w:hAnsi="宋体" w:eastAsia="宋体" w:cs="宋体"/>
                <w:color w:val="auto"/>
                <w:sz w:val="24"/>
                <w:highlight w:val="none"/>
                <w:lang w:eastAsia="zh-CN"/>
              </w:rPr>
              <w:t>。</w:t>
            </w:r>
          </w:p>
        </w:tc>
      </w:tr>
      <w:tr w14:paraId="70872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pct"/>
            <w:vAlign w:val="center"/>
          </w:tcPr>
          <w:p w14:paraId="04E89583">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5</w:t>
            </w:r>
          </w:p>
        </w:tc>
        <w:tc>
          <w:tcPr>
            <w:tcW w:w="1240" w:type="pct"/>
            <w:vAlign w:val="center"/>
          </w:tcPr>
          <w:p w14:paraId="594DEC13">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商务响应情况</w:t>
            </w:r>
          </w:p>
        </w:tc>
        <w:tc>
          <w:tcPr>
            <w:tcW w:w="1835" w:type="pct"/>
            <w:vAlign w:val="center"/>
          </w:tcPr>
          <w:p w14:paraId="586965DF">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符合招标文件采购需求中对付款方式、供货及安装期限、供货及安装地点、免费质保期</w:t>
            </w:r>
            <w:r>
              <w:rPr>
                <w:rFonts w:hint="eastAsia" w:ascii="宋体" w:hAnsi="宋体" w:eastAsia="宋体" w:cs="宋体"/>
                <w:color w:val="auto"/>
                <w:sz w:val="24"/>
                <w:szCs w:val="28"/>
                <w:highlight w:val="none"/>
                <w:lang w:val="en-US" w:eastAsia="zh-CN"/>
              </w:rPr>
              <w:t>等实质性</w:t>
            </w:r>
            <w:r>
              <w:rPr>
                <w:rFonts w:hint="eastAsia" w:ascii="宋体" w:hAnsi="宋体" w:eastAsia="宋体" w:cs="宋体"/>
                <w:color w:val="auto"/>
                <w:sz w:val="24"/>
                <w:szCs w:val="28"/>
                <w:highlight w:val="none"/>
              </w:rPr>
              <w:t>要求</w:t>
            </w:r>
          </w:p>
        </w:tc>
        <w:tc>
          <w:tcPr>
            <w:tcW w:w="1475" w:type="pct"/>
            <w:vAlign w:val="center"/>
          </w:tcPr>
          <w:p w14:paraId="0DC0A110">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详见第六章投标文件格式</w:t>
            </w:r>
            <w:r>
              <w:rPr>
                <w:rFonts w:hint="eastAsia" w:ascii="宋体" w:hAnsi="宋体" w:eastAsia="宋体" w:cs="宋体"/>
                <w:color w:val="auto"/>
                <w:sz w:val="24"/>
                <w:highlight w:val="none"/>
                <w:lang w:eastAsia="zh-CN"/>
              </w:rPr>
              <w:t>。</w:t>
            </w:r>
          </w:p>
        </w:tc>
      </w:tr>
      <w:tr w14:paraId="7BDB7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pct"/>
            <w:vAlign w:val="center"/>
          </w:tcPr>
          <w:p w14:paraId="0CF1CF9A">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6</w:t>
            </w:r>
          </w:p>
        </w:tc>
        <w:tc>
          <w:tcPr>
            <w:tcW w:w="1240" w:type="pct"/>
            <w:vAlign w:val="center"/>
          </w:tcPr>
          <w:p w14:paraId="3BD27939">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技术响应情况</w:t>
            </w:r>
          </w:p>
        </w:tc>
        <w:tc>
          <w:tcPr>
            <w:tcW w:w="1835" w:type="pct"/>
            <w:vAlign w:val="center"/>
          </w:tcPr>
          <w:p w14:paraId="03A93DBA">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符合招标文件采购需求中货物技术参数</w:t>
            </w:r>
            <w:r>
              <w:rPr>
                <w:rFonts w:hint="eastAsia" w:ascii="宋体" w:hAnsi="宋体" w:eastAsia="宋体" w:cs="宋体"/>
                <w:color w:val="auto"/>
                <w:sz w:val="24"/>
                <w:szCs w:val="28"/>
                <w:highlight w:val="none"/>
                <w:lang w:val="en-US" w:eastAsia="zh-CN"/>
              </w:rPr>
              <w:t>等实质性要求</w:t>
            </w:r>
          </w:p>
        </w:tc>
        <w:tc>
          <w:tcPr>
            <w:tcW w:w="1475" w:type="pct"/>
            <w:vAlign w:val="center"/>
          </w:tcPr>
          <w:p w14:paraId="6666EBC9">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详见第六章投标文件格式</w:t>
            </w:r>
            <w:r>
              <w:rPr>
                <w:rFonts w:hint="eastAsia" w:ascii="宋体" w:hAnsi="宋体" w:eastAsia="宋体" w:cs="宋体"/>
                <w:color w:val="auto"/>
                <w:sz w:val="24"/>
                <w:highlight w:val="none"/>
                <w:lang w:eastAsia="zh-CN"/>
              </w:rPr>
              <w:t>。</w:t>
            </w:r>
          </w:p>
        </w:tc>
      </w:tr>
      <w:tr w14:paraId="7EC99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pct"/>
            <w:vAlign w:val="center"/>
          </w:tcPr>
          <w:p w14:paraId="7FF53262">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7</w:t>
            </w:r>
          </w:p>
        </w:tc>
        <w:tc>
          <w:tcPr>
            <w:tcW w:w="1240" w:type="pct"/>
            <w:vAlign w:val="center"/>
          </w:tcPr>
          <w:p w14:paraId="684FECCB">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其他要求</w:t>
            </w:r>
          </w:p>
        </w:tc>
        <w:tc>
          <w:tcPr>
            <w:tcW w:w="1835" w:type="pct"/>
            <w:vAlign w:val="center"/>
          </w:tcPr>
          <w:p w14:paraId="6A23E52C">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符合法律、行政法规规定的其他条件或招标文件列明的其他</w:t>
            </w:r>
            <w:r>
              <w:rPr>
                <w:rFonts w:hint="eastAsia" w:ascii="宋体" w:hAnsi="宋体" w:eastAsia="宋体" w:cs="宋体"/>
                <w:color w:val="auto"/>
                <w:sz w:val="24"/>
                <w:szCs w:val="28"/>
                <w:highlight w:val="none"/>
                <w:lang w:val="en-US" w:eastAsia="zh-CN"/>
              </w:rPr>
              <w:t>实质性要求</w:t>
            </w:r>
          </w:p>
        </w:tc>
        <w:tc>
          <w:tcPr>
            <w:tcW w:w="1475" w:type="pct"/>
            <w:vAlign w:val="center"/>
          </w:tcPr>
          <w:p w14:paraId="0077942B">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highlight w:val="none"/>
              </w:rPr>
            </w:pPr>
          </w:p>
        </w:tc>
      </w:tr>
    </w:tbl>
    <w:p w14:paraId="615098FF">
      <w:pPr>
        <w:spacing w:line="360" w:lineRule="auto"/>
        <w:ind w:firstLine="435"/>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符合性审查指标通过标准：</w:t>
      </w:r>
      <w:r>
        <w:rPr>
          <w:rFonts w:hint="eastAsia" w:ascii="宋体" w:hAnsi="宋体" w:eastAsia="宋体" w:cs="宋体"/>
          <w:color w:val="auto"/>
          <w:sz w:val="24"/>
          <w:highlight w:val="none"/>
        </w:rPr>
        <w:t>投标人必须通过符合性审查表中的全部评审指标。</w:t>
      </w:r>
    </w:p>
    <w:p w14:paraId="39994145">
      <w:pPr>
        <w:pStyle w:val="27"/>
        <w:ind w:left="0" w:leftChars="0" w:firstLine="0" w:firstLineChars="0"/>
        <w:rPr>
          <w:rFonts w:hint="eastAsia" w:ascii="宋体" w:hAnsi="宋体" w:eastAsia="宋体" w:cs="宋体"/>
          <w:highlight w:val="none"/>
        </w:rPr>
      </w:pPr>
    </w:p>
    <w:p w14:paraId="6E6FBA44">
      <w:pPr>
        <w:spacing w:line="360" w:lineRule="auto"/>
        <w:ind w:firstLine="437"/>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2.3详细审查</w:t>
      </w:r>
    </w:p>
    <w:p w14:paraId="17F6EBF6">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2.3.1评标委员会按照下表对投标文件进行详细审查和评分。</w:t>
      </w:r>
    </w:p>
    <w:p w14:paraId="6464CEC1">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2.3.2本项目综合评分满分为100分，其中：技术资信分值占总分值的权重为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70</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%，价格分值占总分值的权重为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30</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%。具体评分细则如下：</w:t>
      </w:r>
    </w:p>
    <w:tbl>
      <w:tblPr>
        <w:tblStyle w:val="28"/>
        <w:tblW w:w="102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
        <w:gridCol w:w="1262"/>
        <w:gridCol w:w="590"/>
        <w:gridCol w:w="735"/>
        <w:gridCol w:w="6308"/>
        <w:gridCol w:w="953"/>
      </w:tblGrid>
      <w:tr w14:paraId="72E45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3" w:type="dxa"/>
            <w:vAlign w:val="center"/>
          </w:tcPr>
          <w:p w14:paraId="53DD50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262" w:type="dxa"/>
            <w:vAlign w:val="center"/>
          </w:tcPr>
          <w:p w14:paraId="196C60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评审因素</w:t>
            </w:r>
          </w:p>
        </w:tc>
        <w:tc>
          <w:tcPr>
            <w:tcW w:w="590" w:type="dxa"/>
            <w:vAlign w:val="center"/>
          </w:tcPr>
          <w:p w14:paraId="1DEC7C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满分</w:t>
            </w:r>
          </w:p>
        </w:tc>
        <w:tc>
          <w:tcPr>
            <w:tcW w:w="735" w:type="dxa"/>
            <w:vAlign w:val="center"/>
          </w:tcPr>
          <w:p w14:paraId="688535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分项满分</w:t>
            </w:r>
          </w:p>
        </w:tc>
        <w:tc>
          <w:tcPr>
            <w:tcW w:w="6308" w:type="dxa"/>
            <w:vAlign w:val="center"/>
          </w:tcPr>
          <w:p w14:paraId="1F4D3B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评分标准</w:t>
            </w:r>
          </w:p>
        </w:tc>
        <w:tc>
          <w:tcPr>
            <w:tcW w:w="953" w:type="dxa"/>
            <w:vAlign w:val="center"/>
          </w:tcPr>
          <w:p w14:paraId="61F575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评审依据</w:t>
            </w:r>
          </w:p>
        </w:tc>
      </w:tr>
      <w:tr w14:paraId="77EB0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3" w:type="dxa"/>
            <w:vAlign w:val="center"/>
          </w:tcPr>
          <w:p w14:paraId="73B89D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1262" w:type="dxa"/>
            <w:vAlign w:val="center"/>
          </w:tcPr>
          <w:p w14:paraId="744BE2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价格部分</w:t>
            </w:r>
          </w:p>
        </w:tc>
        <w:tc>
          <w:tcPr>
            <w:tcW w:w="590" w:type="dxa"/>
            <w:vAlign w:val="center"/>
          </w:tcPr>
          <w:p w14:paraId="1C9DF4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w:t>
            </w:r>
          </w:p>
        </w:tc>
        <w:tc>
          <w:tcPr>
            <w:tcW w:w="735" w:type="dxa"/>
            <w:vAlign w:val="center"/>
          </w:tcPr>
          <w:p w14:paraId="2D4A8C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w:t>
            </w:r>
          </w:p>
        </w:tc>
        <w:tc>
          <w:tcPr>
            <w:tcW w:w="6308" w:type="dxa"/>
            <w:vAlign w:val="center"/>
          </w:tcPr>
          <w:p w14:paraId="775391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采用低价优先法计算，有效最低报价的作为基准报  价，基准报价分为满分，其他满足招标文件要求的投标人的价格分统一按照下列公式计算（打分保留两位小数）： 投标报价得分=(评标基准价／投标报价)×满分分值）</w:t>
            </w:r>
          </w:p>
          <w:p w14:paraId="65CBE2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注：根据《政府采购促进中小企业发展暂行办法》的相关规定，用扣除后的价格参与评审，产品需要提供小型或微型企业证明材料，以“中小企业声明函”为准。</w:t>
            </w:r>
          </w:p>
        </w:tc>
        <w:tc>
          <w:tcPr>
            <w:tcW w:w="953" w:type="dxa"/>
            <w:vAlign w:val="center"/>
          </w:tcPr>
          <w:p w14:paraId="1C9548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w:t>
            </w:r>
          </w:p>
        </w:tc>
      </w:tr>
      <w:tr w14:paraId="1FE07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3" w:type="dxa"/>
            <w:vAlign w:val="center"/>
          </w:tcPr>
          <w:p w14:paraId="13EFE4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1262" w:type="dxa"/>
            <w:vAlign w:val="center"/>
          </w:tcPr>
          <w:p w14:paraId="58567C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技术资信商务部分</w:t>
            </w:r>
          </w:p>
        </w:tc>
        <w:tc>
          <w:tcPr>
            <w:tcW w:w="590" w:type="dxa"/>
            <w:vAlign w:val="center"/>
          </w:tcPr>
          <w:p w14:paraId="32B1D4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70</w:t>
            </w:r>
          </w:p>
        </w:tc>
        <w:tc>
          <w:tcPr>
            <w:tcW w:w="735" w:type="dxa"/>
            <w:vAlign w:val="center"/>
          </w:tcPr>
          <w:p w14:paraId="07C378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p>
        </w:tc>
        <w:tc>
          <w:tcPr>
            <w:tcW w:w="6308" w:type="dxa"/>
            <w:vAlign w:val="center"/>
          </w:tcPr>
          <w:p w14:paraId="698512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如下：</w:t>
            </w:r>
          </w:p>
        </w:tc>
        <w:tc>
          <w:tcPr>
            <w:tcW w:w="953" w:type="dxa"/>
            <w:vAlign w:val="center"/>
          </w:tcPr>
          <w:p w14:paraId="7AB817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p>
        </w:tc>
      </w:tr>
      <w:tr w14:paraId="436C2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3" w:type="dxa"/>
            <w:vAlign w:val="center"/>
          </w:tcPr>
          <w:p w14:paraId="411E46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62" w:type="dxa"/>
            <w:vAlign w:val="center"/>
          </w:tcPr>
          <w:p w14:paraId="1FB8C1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技术性能指标</w:t>
            </w:r>
          </w:p>
        </w:tc>
        <w:tc>
          <w:tcPr>
            <w:tcW w:w="590" w:type="dxa"/>
            <w:vAlign w:val="center"/>
          </w:tcPr>
          <w:p w14:paraId="40C8C3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w:t>
            </w:r>
          </w:p>
        </w:tc>
        <w:tc>
          <w:tcPr>
            <w:tcW w:w="735" w:type="dxa"/>
            <w:vAlign w:val="center"/>
          </w:tcPr>
          <w:p w14:paraId="3CB43C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w:t>
            </w:r>
          </w:p>
        </w:tc>
        <w:tc>
          <w:tcPr>
            <w:tcW w:w="6308" w:type="dxa"/>
            <w:vAlign w:val="center"/>
          </w:tcPr>
          <w:p w14:paraId="6065C6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评委会根据投标人所投产品技术参数及要求的响应情况进行评分：</w:t>
            </w:r>
          </w:p>
          <w:p w14:paraId="535AF6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1.标注★号的条款，每满足一项得</w:t>
            </w:r>
            <w:r>
              <w:rPr>
                <w:rFonts w:hint="eastAsia" w:ascii="宋体" w:hAnsi="宋体" w:eastAsia="宋体" w:cs="宋体"/>
                <w:color w:val="auto"/>
                <w:sz w:val="24"/>
                <w:szCs w:val="24"/>
                <w:highlight w:val="none"/>
                <w:lang w:val="en-US" w:eastAsia="zh-CN"/>
              </w:rPr>
              <w:t>1</w:t>
            </w:r>
            <w:r>
              <w:rPr>
                <w:rFonts w:hint="default" w:ascii="宋体" w:hAnsi="宋体" w:eastAsia="宋体" w:cs="宋体"/>
                <w:color w:val="auto"/>
                <w:sz w:val="24"/>
                <w:szCs w:val="24"/>
                <w:highlight w:val="none"/>
                <w:lang w:val="en-US" w:eastAsia="zh-CN"/>
              </w:rPr>
              <w:t>分，共</w:t>
            </w:r>
            <w:r>
              <w:rPr>
                <w:rFonts w:hint="eastAsia" w:ascii="宋体" w:hAnsi="宋体" w:eastAsia="宋体" w:cs="宋体"/>
                <w:color w:val="auto"/>
                <w:sz w:val="24"/>
                <w:szCs w:val="24"/>
                <w:highlight w:val="none"/>
                <w:lang w:val="en-US" w:eastAsia="zh-CN"/>
              </w:rPr>
              <w:t>37</w:t>
            </w:r>
            <w:r>
              <w:rPr>
                <w:rFonts w:hint="default" w:ascii="宋体" w:hAnsi="宋体" w:eastAsia="宋体" w:cs="宋体"/>
                <w:color w:val="auto"/>
                <w:sz w:val="24"/>
                <w:szCs w:val="24"/>
                <w:highlight w:val="none"/>
                <w:lang w:val="en-US" w:eastAsia="zh-CN"/>
              </w:rPr>
              <w:t>项，满分</w:t>
            </w:r>
            <w:r>
              <w:rPr>
                <w:rFonts w:hint="eastAsia" w:ascii="宋体" w:hAnsi="宋体" w:eastAsia="宋体" w:cs="宋体"/>
                <w:color w:val="auto"/>
                <w:sz w:val="24"/>
                <w:szCs w:val="24"/>
                <w:highlight w:val="none"/>
                <w:lang w:val="en-US" w:eastAsia="zh-CN"/>
              </w:rPr>
              <w:t>35</w:t>
            </w:r>
            <w:r>
              <w:rPr>
                <w:rFonts w:hint="default" w:ascii="宋体" w:hAnsi="宋体" w:eastAsia="宋体" w:cs="宋体"/>
                <w:color w:val="auto"/>
                <w:sz w:val="24"/>
                <w:szCs w:val="24"/>
                <w:highlight w:val="none"/>
                <w:lang w:val="en-US" w:eastAsia="zh-CN"/>
              </w:rPr>
              <w:t>分；</w:t>
            </w:r>
          </w:p>
          <w:p w14:paraId="465850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2.作为基础指标，全部满足得</w:t>
            </w:r>
            <w:r>
              <w:rPr>
                <w:rFonts w:hint="eastAsia" w:ascii="宋体" w:hAnsi="宋体" w:eastAsia="宋体" w:cs="宋体"/>
                <w:color w:val="auto"/>
                <w:sz w:val="24"/>
                <w:szCs w:val="24"/>
                <w:highlight w:val="none"/>
                <w:lang w:val="en-US" w:eastAsia="zh-CN"/>
              </w:rPr>
              <w:t>3</w:t>
            </w:r>
            <w:r>
              <w:rPr>
                <w:rFonts w:hint="default" w:ascii="宋体" w:hAnsi="宋体" w:eastAsia="宋体" w:cs="宋体"/>
                <w:color w:val="auto"/>
                <w:sz w:val="24"/>
                <w:szCs w:val="24"/>
                <w:highlight w:val="none"/>
                <w:lang w:val="en-US" w:eastAsia="zh-CN"/>
              </w:rPr>
              <w:t>分，有1条未响应（或负偏离）的得</w:t>
            </w:r>
            <w:r>
              <w:rPr>
                <w:rFonts w:hint="eastAsia" w:ascii="宋体" w:hAnsi="宋体" w:eastAsia="宋体" w:cs="宋体"/>
                <w:color w:val="auto"/>
                <w:sz w:val="24"/>
                <w:szCs w:val="24"/>
                <w:highlight w:val="none"/>
                <w:lang w:val="en-US" w:eastAsia="zh-CN"/>
              </w:rPr>
              <w:t>2</w:t>
            </w:r>
            <w:r>
              <w:rPr>
                <w:rFonts w:hint="default" w:ascii="宋体" w:hAnsi="宋体" w:eastAsia="宋体" w:cs="宋体"/>
                <w:color w:val="auto"/>
                <w:sz w:val="24"/>
                <w:szCs w:val="24"/>
                <w:highlight w:val="none"/>
                <w:lang w:val="en-US" w:eastAsia="zh-CN"/>
              </w:rPr>
              <w:t>分，有2条未响应（或负偏离）的得</w:t>
            </w:r>
            <w:r>
              <w:rPr>
                <w:rFonts w:hint="eastAsia" w:ascii="宋体" w:hAnsi="宋体" w:eastAsia="宋体" w:cs="宋体"/>
                <w:color w:val="auto"/>
                <w:sz w:val="24"/>
                <w:szCs w:val="24"/>
                <w:highlight w:val="none"/>
                <w:lang w:val="en-US" w:eastAsia="zh-CN"/>
              </w:rPr>
              <w:t>1</w:t>
            </w:r>
            <w:r>
              <w:rPr>
                <w:rFonts w:hint="default" w:ascii="宋体" w:hAnsi="宋体" w:eastAsia="宋体" w:cs="宋体"/>
                <w:color w:val="auto"/>
                <w:sz w:val="24"/>
                <w:szCs w:val="24"/>
                <w:highlight w:val="none"/>
                <w:lang w:val="en-US" w:eastAsia="zh-CN"/>
              </w:rPr>
              <w:t>分，超过2条未响应（或负偏离）的不得分。</w:t>
            </w:r>
          </w:p>
          <w:p w14:paraId="006EBC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textAlignment w:val="auto"/>
              <w:rPr>
                <w:rFonts w:hint="default" w:ascii="宋体" w:hAnsi="宋体" w:eastAsia="宋体" w:cs="宋体"/>
                <w:b/>
                <w:bCs/>
                <w:color w:val="auto"/>
                <w:sz w:val="24"/>
                <w:szCs w:val="24"/>
                <w:highlight w:val="none"/>
                <w:lang w:val="en-US" w:eastAsia="zh-CN"/>
              </w:rPr>
            </w:pPr>
            <w:r>
              <w:rPr>
                <w:rFonts w:hint="default" w:ascii="宋体" w:hAnsi="宋体" w:eastAsia="宋体" w:cs="宋体"/>
                <w:b/>
                <w:bCs/>
                <w:color w:val="auto"/>
                <w:sz w:val="24"/>
                <w:szCs w:val="24"/>
                <w:highlight w:val="none"/>
                <w:lang w:val="en-US" w:eastAsia="zh-CN"/>
              </w:rPr>
              <w:t>注：</w:t>
            </w:r>
          </w:p>
          <w:p w14:paraId="738E11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en-US" w:eastAsia="zh-CN"/>
              </w:rPr>
              <w:t xml:space="preserve">(1)如某项标识中包含多条技术参数或要求，则该项标识所含内容均需满足或优于招标文件要求，否则不予认可。 </w:t>
            </w:r>
          </w:p>
          <w:p w14:paraId="44CBE9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(2)采购需求中</w:t>
            </w:r>
            <w:r>
              <w:rPr>
                <w:rFonts w:hint="eastAsia" w:ascii="宋体" w:hAnsi="宋体" w:eastAsia="宋体" w:cs="宋体"/>
                <w:b/>
                <w:bCs/>
                <w:color w:val="auto"/>
                <w:sz w:val="24"/>
                <w:szCs w:val="24"/>
                <w:highlight w:val="none"/>
                <w:lang w:val="zh-CN"/>
              </w:rPr>
              <w:t>明确要求提供材料</w:t>
            </w:r>
            <w:r>
              <w:rPr>
                <w:rFonts w:hint="eastAsia" w:ascii="宋体" w:hAnsi="宋体" w:eastAsia="宋体" w:cs="宋体"/>
                <w:b/>
                <w:bCs/>
                <w:color w:val="auto"/>
                <w:sz w:val="24"/>
                <w:szCs w:val="24"/>
                <w:highlight w:val="none"/>
                <w:lang w:val="en-US" w:eastAsia="zh-CN"/>
              </w:rPr>
              <w:t>的</w:t>
            </w:r>
            <w:r>
              <w:rPr>
                <w:rFonts w:hint="eastAsia" w:ascii="宋体" w:hAnsi="宋体" w:eastAsia="宋体" w:cs="宋体"/>
                <w:b/>
                <w:bCs/>
                <w:color w:val="auto"/>
                <w:sz w:val="24"/>
                <w:szCs w:val="24"/>
                <w:highlight w:val="none"/>
                <w:lang w:val="zh-CN"/>
              </w:rPr>
              <w:t>按采购需求要求提供以证明参数</w:t>
            </w:r>
            <w:r>
              <w:rPr>
                <w:rFonts w:hint="eastAsia" w:ascii="宋体" w:hAnsi="宋体" w:eastAsia="宋体" w:cs="宋体"/>
                <w:b/>
                <w:bCs/>
                <w:color w:val="auto"/>
                <w:sz w:val="24"/>
                <w:szCs w:val="24"/>
                <w:highlight w:val="none"/>
                <w:lang w:val="en-US" w:eastAsia="zh-CN"/>
              </w:rPr>
              <w:t>响应</w:t>
            </w:r>
            <w:r>
              <w:rPr>
                <w:rFonts w:hint="eastAsia" w:ascii="宋体" w:hAnsi="宋体" w:eastAsia="宋体" w:cs="宋体"/>
                <w:b/>
                <w:bCs/>
                <w:color w:val="auto"/>
                <w:sz w:val="24"/>
                <w:szCs w:val="24"/>
                <w:highlight w:val="none"/>
                <w:lang w:val="zh-CN"/>
              </w:rPr>
              <w:t>性，不提供相关资料</w:t>
            </w:r>
            <w:r>
              <w:rPr>
                <w:rFonts w:hint="eastAsia" w:ascii="宋体" w:hAnsi="宋体" w:eastAsia="宋体" w:cs="宋体"/>
                <w:b/>
                <w:bCs/>
                <w:color w:val="auto"/>
                <w:sz w:val="24"/>
                <w:szCs w:val="24"/>
                <w:highlight w:val="none"/>
                <w:lang w:val="en-US" w:eastAsia="zh-CN"/>
              </w:rPr>
              <w:t>的不得分。</w:t>
            </w:r>
          </w:p>
          <w:p w14:paraId="55CD8D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(3)采购需求中标</w:t>
            </w:r>
            <w:r>
              <w:rPr>
                <w:rFonts w:hint="default"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的未明确要求提供证明材料，</w:t>
            </w:r>
            <w:r>
              <w:rPr>
                <w:rFonts w:hint="default" w:ascii="宋体" w:hAnsi="宋体" w:eastAsia="宋体" w:cs="宋体"/>
                <w:b/>
                <w:bCs/>
                <w:color w:val="auto"/>
                <w:sz w:val="24"/>
                <w:szCs w:val="24"/>
                <w:highlight w:val="none"/>
                <w:lang w:val="en-US" w:eastAsia="zh-CN"/>
              </w:rPr>
              <w:t>投标人须自行提供证明材料，包括产品技术白皮书、产品技术说明书、产品彩页（产品功能截图）、厂家（制造商）官网截图、第三方机构出具的带有CMA标识的检测报告，提供其中之一即可。未按以上要求提供证明材料的视为负偏离或未响应（为便于评审，建议投标人对</w:t>
            </w:r>
            <w:r>
              <w:rPr>
                <w:rFonts w:hint="eastAsia" w:ascii="宋体" w:hAnsi="宋体" w:eastAsia="宋体" w:cs="宋体"/>
                <w:b/>
                <w:bCs/>
                <w:color w:val="auto"/>
                <w:sz w:val="24"/>
                <w:szCs w:val="24"/>
                <w:highlight w:val="none"/>
                <w:lang w:val="en-US" w:eastAsia="zh-CN"/>
              </w:rPr>
              <w:t>以上</w:t>
            </w:r>
            <w:r>
              <w:rPr>
                <w:rFonts w:hint="default" w:ascii="宋体" w:hAnsi="宋体" w:eastAsia="宋体" w:cs="宋体"/>
                <w:b/>
                <w:bCs/>
                <w:color w:val="auto"/>
                <w:sz w:val="24"/>
                <w:szCs w:val="24"/>
                <w:highlight w:val="none"/>
                <w:lang w:val="en-US" w:eastAsia="zh-CN"/>
              </w:rPr>
              <w:t>证明材料中的关键参数进行标注）</w:t>
            </w:r>
          </w:p>
          <w:p w14:paraId="5E8AB7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(4)采购需求中非标</w:t>
            </w:r>
            <w:r>
              <w:rPr>
                <w:rFonts w:hint="default"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的以投标响应表中的响应情况及采购需求中要求提供的证明材料作为评审依据。</w:t>
            </w:r>
          </w:p>
        </w:tc>
        <w:tc>
          <w:tcPr>
            <w:tcW w:w="953" w:type="dxa"/>
            <w:vAlign w:val="center"/>
          </w:tcPr>
          <w:p w14:paraId="47950A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招投标文件</w:t>
            </w:r>
          </w:p>
        </w:tc>
      </w:tr>
      <w:tr w14:paraId="54C00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3" w:type="dxa"/>
            <w:vAlign w:val="center"/>
          </w:tcPr>
          <w:p w14:paraId="2DCE91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62" w:type="dxa"/>
            <w:vAlign w:val="center"/>
          </w:tcPr>
          <w:p w14:paraId="0787CD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类似业绩</w:t>
            </w:r>
          </w:p>
        </w:tc>
        <w:tc>
          <w:tcPr>
            <w:tcW w:w="590" w:type="dxa"/>
            <w:vAlign w:val="center"/>
          </w:tcPr>
          <w:p w14:paraId="5320CD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735" w:type="dxa"/>
            <w:vAlign w:val="center"/>
          </w:tcPr>
          <w:p w14:paraId="2B7507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6308" w:type="dxa"/>
            <w:vAlign w:val="center"/>
          </w:tcPr>
          <w:p w14:paraId="23311F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投标人或制造商自2021年1月1日至今（以合同签订时间为准）每提供一项采购需求中▲产品供货及安装业绩的，每个得5分，满分10分。</w:t>
            </w:r>
          </w:p>
          <w:p w14:paraId="61841D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注：1. 项目业绩中供货产品的品牌须与本项目所投标注▲的产品一致，否则该业绩不予认可；</w:t>
            </w:r>
          </w:p>
          <w:p w14:paraId="4C8735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2.投标文件中须提供业绩合同及验收报告的扫描件或复印件，如合同或验收合格证明材料中无法体现时间或项目内容的，须另附业主盖章的相关证明文件。</w:t>
            </w:r>
          </w:p>
        </w:tc>
        <w:tc>
          <w:tcPr>
            <w:tcW w:w="953" w:type="dxa"/>
            <w:vAlign w:val="center"/>
          </w:tcPr>
          <w:p w14:paraId="464D4D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提供原件扫描件放置于投标文件中      </w:t>
            </w:r>
          </w:p>
        </w:tc>
      </w:tr>
      <w:tr w14:paraId="747CC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3" w:type="dxa"/>
            <w:vAlign w:val="center"/>
          </w:tcPr>
          <w:p w14:paraId="13FF76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1262" w:type="dxa"/>
            <w:vAlign w:val="center"/>
          </w:tcPr>
          <w:p w14:paraId="2AE75F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质保期</w:t>
            </w:r>
          </w:p>
        </w:tc>
        <w:tc>
          <w:tcPr>
            <w:tcW w:w="590" w:type="dxa"/>
            <w:vAlign w:val="center"/>
          </w:tcPr>
          <w:p w14:paraId="359A2C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735" w:type="dxa"/>
            <w:vAlign w:val="center"/>
          </w:tcPr>
          <w:p w14:paraId="7BC106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6308" w:type="dxa"/>
            <w:vAlign w:val="center"/>
          </w:tcPr>
          <w:p w14:paraId="0C06FD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投标人承诺在采购需求中要求的质保期的基础上，全部产品每增加</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年质保期的得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分，满分</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分，增加不足1年的部分或仅对部分产品增加的不得分。</w:t>
            </w:r>
          </w:p>
          <w:p w14:paraId="3B92C2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注：以投标报价汇总表中投标人承诺的质保期在满足招标文件的基础上延长的年限为准。</w:t>
            </w:r>
          </w:p>
        </w:tc>
        <w:tc>
          <w:tcPr>
            <w:tcW w:w="953" w:type="dxa"/>
            <w:vAlign w:val="center"/>
          </w:tcPr>
          <w:p w14:paraId="482746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招投标文件</w:t>
            </w:r>
          </w:p>
        </w:tc>
      </w:tr>
      <w:tr w14:paraId="5F51A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3" w:type="dxa"/>
            <w:vAlign w:val="center"/>
          </w:tcPr>
          <w:p w14:paraId="7D64A5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1262" w:type="dxa"/>
            <w:vAlign w:val="center"/>
          </w:tcPr>
          <w:p w14:paraId="0DF152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产品选型</w:t>
            </w:r>
          </w:p>
        </w:tc>
        <w:tc>
          <w:tcPr>
            <w:tcW w:w="590" w:type="dxa"/>
            <w:vAlign w:val="center"/>
          </w:tcPr>
          <w:p w14:paraId="75B853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735" w:type="dxa"/>
            <w:vAlign w:val="center"/>
          </w:tcPr>
          <w:p w14:paraId="6A9490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308" w:type="dxa"/>
            <w:vAlign w:val="center"/>
          </w:tcPr>
          <w:p w14:paraId="73A9F9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根据所供产品选型、配置、技术先进性及性能价格比等进行评分等进行评分：</w:t>
            </w:r>
          </w:p>
          <w:p w14:paraId="084B93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1.产品选型、配置与项目匹配度高，技术先进（产品使用行业最新技术或自身技术优势明显），性能好价格低得3分；</w:t>
            </w:r>
          </w:p>
          <w:p w14:paraId="735527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2.产品选型、配置与项目匹配，无明显技术优势，性价比一般得2分；</w:t>
            </w:r>
          </w:p>
          <w:p w14:paraId="5C3B4D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3.产品选型、配置与项目匹配度低，无技术优势，价格偏高得1分。</w:t>
            </w:r>
          </w:p>
        </w:tc>
        <w:tc>
          <w:tcPr>
            <w:tcW w:w="953" w:type="dxa"/>
            <w:vAlign w:val="center"/>
          </w:tcPr>
          <w:p w14:paraId="6353F0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招投标文件</w:t>
            </w:r>
          </w:p>
        </w:tc>
      </w:tr>
      <w:tr w14:paraId="26124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3" w:type="dxa"/>
            <w:vAlign w:val="center"/>
          </w:tcPr>
          <w:p w14:paraId="693C50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262" w:type="dxa"/>
            <w:vAlign w:val="center"/>
          </w:tcPr>
          <w:p w14:paraId="733E45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供货安装调试及技术方案</w:t>
            </w:r>
          </w:p>
        </w:tc>
        <w:tc>
          <w:tcPr>
            <w:tcW w:w="590" w:type="dxa"/>
            <w:vAlign w:val="center"/>
          </w:tcPr>
          <w:p w14:paraId="4E4C86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735" w:type="dxa"/>
            <w:vAlign w:val="center"/>
          </w:tcPr>
          <w:p w14:paraId="7C56A1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6308" w:type="dxa"/>
            <w:vAlign w:val="center"/>
          </w:tcPr>
          <w:p w14:paraId="542E6F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w:t>
            </w:r>
            <w:r>
              <w:rPr>
                <w:rFonts w:hint="eastAsia" w:ascii="宋体" w:hAnsi="宋体" w:eastAsia="宋体" w:cs="宋体"/>
                <w:color w:val="auto"/>
                <w:kern w:val="0"/>
                <w:sz w:val="24"/>
                <w:szCs w:val="24"/>
                <w:highlight w:val="none"/>
                <w:lang w:val="en-US" w:eastAsia="zh-CN"/>
              </w:rPr>
              <w:t>投标人</w:t>
            </w:r>
            <w:r>
              <w:rPr>
                <w:rFonts w:hint="eastAsia" w:ascii="宋体" w:hAnsi="宋体" w:eastAsia="宋体" w:cs="宋体"/>
                <w:color w:val="auto"/>
                <w:kern w:val="0"/>
                <w:sz w:val="24"/>
                <w:szCs w:val="24"/>
                <w:highlight w:val="none"/>
              </w:rPr>
              <w:t>针对本项目的配送措施、安装实施方案、技术方案等进行综合评审。</w:t>
            </w:r>
          </w:p>
          <w:p w14:paraId="067B06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配送方案：安排技术能力强且经验丰富的人员进行配送，配送时间及时，配送物流有保障，有具体详细的配送实施计划得3分；安排人员配送，承诺配送时间满足要求，有配送实施计划得2分；有人员配送，但承诺配送时间、实施计划简陋有待完善得1分；否则不得分。</w:t>
            </w:r>
          </w:p>
          <w:p w14:paraId="0D626F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安装实施方案：安排技术能力强且经验丰富的人员进行安装实施，承诺按要求安装完整，有具体详实的安装计划得3分；安排人员安装，承诺按要求安装完整，有安装实施计划得2分；有人员安装，但安装实施计划不完善有待加强得1分；否则不得分。</w:t>
            </w:r>
          </w:p>
          <w:p w14:paraId="72A509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技术方案：所供产品有自己的技术优势，有具体详实的技术方案（包含对自己产品的介绍，相对于其他产品在硬件、软件、设计原理、系统功能等方面的优势等）得3分；所供产品无技术优势，能够基本满足采购需求，有技术方案得2分；所供产品无技术优势，技术方案简陋有待完善得1分；否则不得分。</w:t>
            </w:r>
          </w:p>
        </w:tc>
        <w:tc>
          <w:tcPr>
            <w:tcW w:w="953" w:type="dxa"/>
            <w:vAlign w:val="center"/>
          </w:tcPr>
          <w:p w14:paraId="50612A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w:t>
            </w:r>
          </w:p>
        </w:tc>
      </w:tr>
      <w:tr w14:paraId="44AC7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3" w:type="dxa"/>
            <w:vAlign w:val="center"/>
          </w:tcPr>
          <w:p w14:paraId="39C135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1262" w:type="dxa"/>
            <w:vAlign w:val="center"/>
          </w:tcPr>
          <w:p w14:paraId="70AEE8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售后服务及培训方案</w:t>
            </w:r>
          </w:p>
        </w:tc>
        <w:tc>
          <w:tcPr>
            <w:tcW w:w="590" w:type="dxa"/>
            <w:vAlign w:val="center"/>
          </w:tcPr>
          <w:p w14:paraId="2FCEF4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735" w:type="dxa"/>
            <w:vAlign w:val="center"/>
          </w:tcPr>
          <w:p w14:paraId="022F5B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6308" w:type="dxa"/>
            <w:vAlign w:val="center"/>
          </w:tcPr>
          <w:p w14:paraId="5E2D61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根据售后服务承诺、培训方案情况进行打分。</w:t>
            </w:r>
          </w:p>
          <w:p w14:paraId="29DB68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售后服务承诺：有持续的备品备件，产品故障维修响应时间短（在满足采购需求的基础上），配备经验丰富的专业维修人员等得3分；有备品备件，产品故障维修响应时间能够满足采购需求，配备维修人员等得2分；无备品备件，产品故障维修响应时间、配备维修人员有待完善加强得1分，否则不得分。</w:t>
            </w:r>
          </w:p>
          <w:p w14:paraId="10914E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培训方案：培训方案具体详细可行，满足采购需求得3分（承诺免费提供培训，直至采购人掌握基本操作原则，能够定期安排培训，及时为采购人解决操作过程中的问题，并随时提供技术支持等）；有培训方案，能够满足采购需求得2分；培训方案简陋，有待完善得1分，否则不得分。</w:t>
            </w:r>
          </w:p>
        </w:tc>
        <w:tc>
          <w:tcPr>
            <w:tcW w:w="953" w:type="dxa"/>
            <w:vAlign w:val="center"/>
          </w:tcPr>
          <w:p w14:paraId="03EE7F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w:t>
            </w:r>
          </w:p>
        </w:tc>
      </w:tr>
      <w:tr w14:paraId="3303B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95" w:type="dxa"/>
            <w:gridSpan w:val="2"/>
            <w:vAlign w:val="center"/>
          </w:tcPr>
          <w:p w14:paraId="78FDF7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590" w:type="dxa"/>
            <w:vAlign w:val="center"/>
          </w:tcPr>
          <w:p w14:paraId="742749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w:t>
            </w:r>
          </w:p>
        </w:tc>
        <w:tc>
          <w:tcPr>
            <w:tcW w:w="735" w:type="dxa"/>
            <w:vAlign w:val="center"/>
          </w:tcPr>
          <w:p w14:paraId="374139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p>
        </w:tc>
        <w:tc>
          <w:tcPr>
            <w:tcW w:w="6308" w:type="dxa"/>
            <w:vAlign w:val="center"/>
          </w:tcPr>
          <w:p w14:paraId="39EE16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rPr>
            </w:pPr>
          </w:p>
        </w:tc>
        <w:tc>
          <w:tcPr>
            <w:tcW w:w="953" w:type="dxa"/>
            <w:vAlign w:val="center"/>
          </w:tcPr>
          <w:p w14:paraId="3A810E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p>
        </w:tc>
      </w:tr>
    </w:tbl>
    <w:p w14:paraId="5C73F352">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2.3.3分值汇总</w:t>
      </w:r>
    </w:p>
    <w:p w14:paraId="04FF99F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（1）评标委员会各成员应当独立对每个有效投标人的投标文件进行评分，并汇总每个投标人的得分。取各位评委评分之平均值，四舍五入保留至小数点后两位数，得到该投标人的技术资信分。</w:t>
      </w:r>
    </w:p>
    <w:p w14:paraId="77B5813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（2）将投标人的技术资信分加上根据上述标准计算出的价格分，即为该投标人的综合总得分。</w:t>
      </w:r>
    </w:p>
    <w:p w14:paraId="48293485">
      <w:pPr>
        <w:rPr>
          <w:rFonts w:hint="eastAsia" w:ascii="宋体" w:hAnsi="宋体" w:eastAsia="宋体" w:cs="宋体"/>
          <w:b/>
          <w:color w:val="auto"/>
          <w:sz w:val="24"/>
          <w:szCs w:val="18"/>
          <w:highlight w:val="none"/>
          <w:lang w:val="en-US" w:eastAsia="zh-CN"/>
        </w:rPr>
      </w:pPr>
    </w:p>
    <w:p w14:paraId="7E14651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13AA33EB">
      <w:pPr>
        <w:spacing w:line="360" w:lineRule="auto"/>
        <w:jc w:val="center"/>
        <w:outlineLvl w:val="0"/>
        <w:rPr>
          <w:rFonts w:hint="eastAsia" w:ascii="宋体" w:hAnsi="宋体" w:eastAsia="宋体" w:cs="宋体"/>
          <w:b/>
          <w:color w:val="auto"/>
          <w:sz w:val="28"/>
          <w:highlight w:val="none"/>
          <w:lang w:eastAsia="zh-CN"/>
        </w:rPr>
      </w:pPr>
      <w:bookmarkStart w:id="44" w:name="_Toc4682"/>
      <w:r>
        <w:rPr>
          <w:rFonts w:hint="eastAsia" w:ascii="宋体" w:hAnsi="宋体" w:eastAsia="宋体" w:cs="宋体"/>
          <w:b/>
          <w:color w:val="auto"/>
          <w:sz w:val="28"/>
          <w:highlight w:val="none"/>
        </w:rPr>
        <w:t>第五章  政府采购合同</w:t>
      </w:r>
      <w:bookmarkEnd w:id="44"/>
    </w:p>
    <w:p w14:paraId="0DAA19D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rPr>
      </w:pPr>
      <w:bookmarkStart w:id="45" w:name="_Toc22492"/>
    </w:p>
    <w:p w14:paraId="42F374E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采购人（甲方）：</w:t>
      </w:r>
      <w:r>
        <w:rPr>
          <w:rFonts w:hint="eastAsia" w:ascii="宋体" w:hAnsi="宋体" w:eastAsia="宋体" w:cs="宋体"/>
          <w:color w:val="auto"/>
          <w:sz w:val="24"/>
          <w:highlight w:val="none"/>
          <w:u w:val="single"/>
        </w:rPr>
        <w:t>安徽理工大学</w:t>
      </w:r>
      <w:r>
        <w:rPr>
          <w:rFonts w:hint="eastAsia" w:ascii="宋体" w:hAnsi="宋体" w:eastAsia="宋体" w:cs="宋体"/>
          <w:color w:val="auto"/>
          <w:sz w:val="24"/>
          <w:highlight w:val="none"/>
        </w:rPr>
        <w:t xml:space="preserve">     </w:t>
      </w:r>
    </w:p>
    <w:p w14:paraId="035BA44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供货人（乙方）：</w:t>
      </w:r>
      <w:r>
        <w:rPr>
          <w:rFonts w:hint="eastAsia" w:ascii="宋体" w:hAnsi="宋体" w:eastAsia="宋体" w:cs="宋体"/>
          <w:color w:val="auto"/>
          <w:sz w:val="24"/>
          <w:highlight w:val="none"/>
          <w:u w:val="single"/>
        </w:rPr>
        <w:t xml:space="preserve">            </w:t>
      </w:r>
    </w:p>
    <w:p w14:paraId="79C7945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签订地点：</w:t>
      </w:r>
      <w:r>
        <w:rPr>
          <w:rFonts w:hint="eastAsia" w:ascii="宋体" w:hAnsi="宋体" w:eastAsia="宋体" w:cs="宋体"/>
          <w:color w:val="auto"/>
          <w:sz w:val="24"/>
          <w:highlight w:val="none"/>
          <w:lang w:val="en-US" w:eastAsia="zh-CN"/>
        </w:rPr>
        <w:t>安徽理工大学</w:t>
      </w:r>
      <w:r>
        <w:rPr>
          <w:rFonts w:hint="eastAsia" w:ascii="宋体" w:hAnsi="宋体" w:eastAsia="宋体" w:cs="宋体"/>
          <w:color w:val="auto"/>
          <w:sz w:val="24"/>
          <w:highlight w:val="none"/>
        </w:rPr>
        <w:t xml:space="preserve">                   </w:t>
      </w:r>
    </w:p>
    <w:p w14:paraId="5D4503F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项目名称：</w:t>
      </w:r>
      <w:r>
        <w:rPr>
          <w:rFonts w:hint="eastAsia" w:ascii="宋体" w:hAnsi="宋体" w:eastAsia="宋体" w:cs="宋体"/>
          <w:sz w:val="24"/>
          <w:szCs w:val="24"/>
          <w:highlight w:val="none"/>
          <w:lang w:eastAsia="zh-CN"/>
        </w:rPr>
        <w:t>安徽理工大学2025年教学仪器设备购置项目（三）</w:t>
      </w:r>
    </w:p>
    <w:p w14:paraId="3C868AF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分包号及名称：</w:t>
      </w:r>
    </w:p>
    <w:p w14:paraId="3FB2A84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"https://pay.anhui.zcygov.cn/purchaseplan_front/" \l "/plan/list/view?id=1000000000005229873&amp;_app_=zcy.procurement" \t "https://www.anhui.zcygov.cn/project-center/_procurement_/purchasePlans/_blank"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FSSD34000120255986</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lang w:eastAsia="zh-CN"/>
        </w:rPr>
        <w:t>号</w:t>
      </w:r>
    </w:p>
    <w:p w14:paraId="6FCA881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财政</w:t>
      </w:r>
      <w:r>
        <w:rPr>
          <w:rFonts w:hint="eastAsia" w:ascii="宋体" w:hAnsi="宋体" w:eastAsia="宋体" w:cs="宋体"/>
          <w:color w:val="auto"/>
          <w:sz w:val="24"/>
          <w:highlight w:val="none"/>
          <w:lang w:eastAsia="zh-CN"/>
        </w:rPr>
        <w:t>任务书</w:t>
      </w:r>
      <w:r>
        <w:rPr>
          <w:rFonts w:hint="eastAsia" w:ascii="宋体" w:hAnsi="宋体" w:eastAsia="宋体" w:cs="宋体"/>
          <w:color w:val="auto"/>
          <w:sz w:val="24"/>
          <w:highlight w:val="none"/>
          <w:lang w:val="en-US" w:eastAsia="zh-CN"/>
        </w:rPr>
        <w:t>编号</w:t>
      </w:r>
      <w:r>
        <w:rPr>
          <w:rFonts w:hint="eastAsia" w:ascii="宋体" w:hAnsi="宋体" w:eastAsia="宋体" w:cs="宋体"/>
          <w:color w:val="auto"/>
          <w:sz w:val="24"/>
          <w:highlight w:val="none"/>
        </w:rPr>
        <w:t>：</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"https://pay.anhui.zcygov.cn/purchaseplan_front/" \l "/plan/list/view?id=1000000000005229873&amp;_app_=zcy.procurement" \t "https://www.anhui.zcygov.cn/project-center/_procurement_/purchasePlans/_blank"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FSSD34000120255986</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号</w:t>
      </w:r>
    </w:p>
    <w:p w14:paraId="1F87D62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本项目经批准采用公开招标采购方式，经本项目评审委员会认真评审，决定将本项目采购合同授予乙方。为进一步明确双方的责任，确保合同的顺利履行， 根据《中华人民共和国</w:t>
      </w:r>
      <w:r>
        <w:rPr>
          <w:rFonts w:hint="eastAsia" w:ascii="宋体" w:hAnsi="宋体" w:eastAsia="宋体" w:cs="宋体"/>
          <w:color w:val="auto"/>
          <w:sz w:val="24"/>
          <w:highlight w:val="none"/>
          <w:lang w:val="en-US" w:eastAsia="zh-CN"/>
        </w:rPr>
        <w:t>民法典</w:t>
      </w:r>
      <w:r>
        <w:rPr>
          <w:rFonts w:hint="eastAsia" w:ascii="宋体" w:hAnsi="宋体" w:eastAsia="宋体" w:cs="宋体"/>
          <w:color w:val="auto"/>
          <w:sz w:val="24"/>
          <w:highlight w:val="none"/>
        </w:rPr>
        <w:t>》之规定，经甲乙双方充分协商，特订立本合同，以便共同遵守。</w:t>
      </w:r>
    </w:p>
    <w:p w14:paraId="298C0EFF">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第一条</w:t>
      </w:r>
      <w:r>
        <w:rPr>
          <w:rFonts w:hint="eastAsia" w:ascii="宋体" w:hAnsi="宋体" w:eastAsia="宋体" w:cs="宋体"/>
          <w:color w:val="auto"/>
          <w:sz w:val="24"/>
          <w:highlight w:val="none"/>
        </w:rPr>
        <w:t xml:space="preserve"> 产品的名称、品种、规格、数量和价格：（若产品过多则见附表，如有附表则必须加盖印章）</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0"/>
        <w:gridCol w:w="2909"/>
        <w:gridCol w:w="1064"/>
        <w:gridCol w:w="719"/>
        <w:gridCol w:w="839"/>
        <w:gridCol w:w="900"/>
        <w:gridCol w:w="711"/>
      </w:tblGrid>
      <w:tr w14:paraId="4008E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pct"/>
            <w:noWrap w:val="0"/>
            <w:vAlign w:val="center"/>
          </w:tcPr>
          <w:p w14:paraId="40C5C4B9">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产品名称</w:t>
            </w:r>
          </w:p>
        </w:tc>
        <w:tc>
          <w:tcPr>
            <w:tcW w:w="1707" w:type="pct"/>
            <w:noWrap w:val="0"/>
            <w:vAlign w:val="center"/>
          </w:tcPr>
          <w:p w14:paraId="441C3352">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生产厂家/品牌/规格型号</w:t>
            </w:r>
          </w:p>
        </w:tc>
        <w:tc>
          <w:tcPr>
            <w:tcW w:w="624" w:type="pct"/>
            <w:noWrap w:val="0"/>
            <w:vAlign w:val="center"/>
          </w:tcPr>
          <w:p w14:paraId="4824093C">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单位</w:t>
            </w:r>
          </w:p>
        </w:tc>
        <w:tc>
          <w:tcPr>
            <w:tcW w:w="422" w:type="pct"/>
            <w:noWrap w:val="0"/>
            <w:vAlign w:val="center"/>
          </w:tcPr>
          <w:p w14:paraId="229DFC25">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数量</w:t>
            </w:r>
          </w:p>
        </w:tc>
        <w:tc>
          <w:tcPr>
            <w:tcW w:w="492" w:type="pct"/>
            <w:noWrap w:val="0"/>
            <w:vAlign w:val="center"/>
          </w:tcPr>
          <w:p w14:paraId="0BBE8CFF">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单价</w:t>
            </w:r>
          </w:p>
        </w:tc>
        <w:tc>
          <w:tcPr>
            <w:tcW w:w="528" w:type="pct"/>
            <w:noWrap w:val="0"/>
            <w:vAlign w:val="center"/>
          </w:tcPr>
          <w:p w14:paraId="44913602">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小计</w:t>
            </w:r>
          </w:p>
        </w:tc>
        <w:tc>
          <w:tcPr>
            <w:tcW w:w="414" w:type="pct"/>
            <w:noWrap w:val="0"/>
            <w:vAlign w:val="center"/>
          </w:tcPr>
          <w:p w14:paraId="3A7D6B97">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备注</w:t>
            </w:r>
          </w:p>
        </w:tc>
      </w:tr>
      <w:tr w14:paraId="2F5E9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pct"/>
            <w:noWrap w:val="0"/>
            <w:vAlign w:val="center"/>
          </w:tcPr>
          <w:p w14:paraId="0B271FB9">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0"/>
                <w:highlight w:val="none"/>
              </w:rPr>
            </w:pPr>
          </w:p>
        </w:tc>
        <w:tc>
          <w:tcPr>
            <w:tcW w:w="1707" w:type="pct"/>
            <w:noWrap w:val="0"/>
            <w:vAlign w:val="center"/>
          </w:tcPr>
          <w:p w14:paraId="28EF1D9C">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0"/>
                <w:highlight w:val="none"/>
              </w:rPr>
            </w:pPr>
          </w:p>
        </w:tc>
        <w:tc>
          <w:tcPr>
            <w:tcW w:w="624" w:type="pct"/>
            <w:noWrap w:val="0"/>
            <w:vAlign w:val="center"/>
          </w:tcPr>
          <w:p w14:paraId="142EEA6C">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0"/>
                <w:highlight w:val="none"/>
              </w:rPr>
            </w:pPr>
          </w:p>
        </w:tc>
        <w:tc>
          <w:tcPr>
            <w:tcW w:w="422" w:type="pct"/>
            <w:noWrap w:val="0"/>
            <w:vAlign w:val="center"/>
          </w:tcPr>
          <w:p w14:paraId="59C9ABE8">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0"/>
                <w:highlight w:val="none"/>
              </w:rPr>
            </w:pPr>
          </w:p>
        </w:tc>
        <w:tc>
          <w:tcPr>
            <w:tcW w:w="492" w:type="pct"/>
            <w:noWrap w:val="0"/>
            <w:vAlign w:val="center"/>
          </w:tcPr>
          <w:p w14:paraId="79AD59B1">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0"/>
                <w:highlight w:val="none"/>
              </w:rPr>
            </w:pPr>
          </w:p>
        </w:tc>
        <w:tc>
          <w:tcPr>
            <w:tcW w:w="528" w:type="pct"/>
            <w:noWrap w:val="0"/>
            <w:vAlign w:val="center"/>
          </w:tcPr>
          <w:p w14:paraId="2D1799AF">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0"/>
                <w:highlight w:val="none"/>
              </w:rPr>
            </w:pPr>
          </w:p>
        </w:tc>
        <w:tc>
          <w:tcPr>
            <w:tcW w:w="414" w:type="pct"/>
            <w:noWrap w:val="0"/>
            <w:vAlign w:val="center"/>
          </w:tcPr>
          <w:p w14:paraId="7E37CDCE">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0"/>
                <w:highlight w:val="none"/>
              </w:rPr>
            </w:pPr>
          </w:p>
        </w:tc>
      </w:tr>
      <w:tr w14:paraId="34D22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pct"/>
            <w:noWrap w:val="0"/>
            <w:vAlign w:val="center"/>
          </w:tcPr>
          <w:p w14:paraId="77C520B8">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0"/>
                <w:highlight w:val="none"/>
              </w:rPr>
            </w:pPr>
          </w:p>
        </w:tc>
        <w:tc>
          <w:tcPr>
            <w:tcW w:w="1707" w:type="pct"/>
            <w:noWrap w:val="0"/>
            <w:vAlign w:val="center"/>
          </w:tcPr>
          <w:p w14:paraId="25A64EF2">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0"/>
                <w:highlight w:val="none"/>
              </w:rPr>
            </w:pPr>
          </w:p>
        </w:tc>
        <w:tc>
          <w:tcPr>
            <w:tcW w:w="624" w:type="pct"/>
            <w:noWrap w:val="0"/>
            <w:vAlign w:val="center"/>
          </w:tcPr>
          <w:p w14:paraId="79F759D7">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0"/>
                <w:highlight w:val="none"/>
              </w:rPr>
            </w:pPr>
          </w:p>
        </w:tc>
        <w:tc>
          <w:tcPr>
            <w:tcW w:w="422" w:type="pct"/>
            <w:noWrap w:val="0"/>
            <w:vAlign w:val="center"/>
          </w:tcPr>
          <w:p w14:paraId="1D572D9E">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0"/>
                <w:highlight w:val="none"/>
              </w:rPr>
            </w:pPr>
          </w:p>
        </w:tc>
        <w:tc>
          <w:tcPr>
            <w:tcW w:w="492" w:type="pct"/>
            <w:noWrap w:val="0"/>
            <w:vAlign w:val="center"/>
          </w:tcPr>
          <w:p w14:paraId="47BD4BFA">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0"/>
                <w:highlight w:val="none"/>
              </w:rPr>
            </w:pPr>
          </w:p>
        </w:tc>
        <w:tc>
          <w:tcPr>
            <w:tcW w:w="528" w:type="pct"/>
            <w:noWrap w:val="0"/>
            <w:vAlign w:val="center"/>
          </w:tcPr>
          <w:p w14:paraId="65291641">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0"/>
                <w:highlight w:val="none"/>
              </w:rPr>
            </w:pPr>
          </w:p>
        </w:tc>
        <w:tc>
          <w:tcPr>
            <w:tcW w:w="414" w:type="pct"/>
            <w:noWrap w:val="0"/>
            <w:vAlign w:val="center"/>
          </w:tcPr>
          <w:p w14:paraId="459D8A73">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0"/>
                <w:highlight w:val="none"/>
              </w:rPr>
            </w:pPr>
          </w:p>
        </w:tc>
      </w:tr>
      <w:tr w14:paraId="1C5FE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jc w:val="center"/>
        </w:trPr>
        <w:tc>
          <w:tcPr>
            <w:tcW w:w="5000" w:type="pct"/>
            <w:gridSpan w:val="7"/>
            <w:noWrap w:val="0"/>
            <w:vAlign w:val="center"/>
          </w:tcPr>
          <w:p w14:paraId="572DDEDE">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0"/>
                <w:highlight w:val="none"/>
              </w:rPr>
            </w:pPr>
          </w:p>
          <w:p w14:paraId="187A22F1">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pacing w:val="-10"/>
                <w:sz w:val="24"/>
                <w:szCs w:val="20"/>
                <w:highlight w:val="none"/>
                <w:u w:val="single"/>
                <w:lang w:val="en-US" w:eastAsia="zh-CN"/>
              </w:rPr>
            </w:pPr>
            <w:r>
              <w:rPr>
                <w:rFonts w:hint="eastAsia" w:ascii="宋体" w:hAnsi="宋体" w:eastAsia="宋体" w:cs="宋体"/>
                <w:color w:val="auto"/>
                <w:sz w:val="24"/>
                <w:szCs w:val="20"/>
                <w:highlight w:val="none"/>
              </w:rPr>
              <w:t>合同总价款（大小写）：</w:t>
            </w:r>
            <w:r>
              <w:rPr>
                <w:rFonts w:hint="eastAsia" w:ascii="宋体" w:hAnsi="宋体" w:eastAsia="宋体" w:cs="宋体"/>
                <w:color w:val="auto"/>
                <w:sz w:val="24"/>
                <w:szCs w:val="20"/>
                <w:highlight w:val="none"/>
                <w:u w:val="single"/>
                <w:lang w:val="en-US" w:eastAsia="zh-CN"/>
              </w:rPr>
              <w:t xml:space="preserve">                    </w:t>
            </w:r>
          </w:p>
          <w:p w14:paraId="195FDA9D">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备注：投标人的报价应包含采购设备价款、运输、装卸、保险、安装调试费、税费（含进口从属税费等）、技术服务费、售后服务、人员培训及其他等一切相费用。</w:t>
            </w:r>
          </w:p>
        </w:tc>
      </w:tr>
    </w:tbl>
    <w:p w14:paraId="3C6541B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sz w:val="24"/>
          <w:highlight w:val="none"/>
        </w:rPr>
      </w:pPr>
    </w:p>
    <w:p w14:paraId="3E878030">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第二条</w:t>
      </w:r>
      <w:r>
        <w:rPr>
          <w:rFonts w:hint="eastAsia" w:ascii="宋体" w:hAnsi="宋体" w:eastAsia="宋体" w:cs="宋体"/>
          <w:color w:val="auto"/>
          <w:sz w:val="24"/>
          <w:highlight w:val="none"/>
        </w:rPr>
        <w:t xml:space="preserve"> 产品的技术标准（包括质量要求），按下列第（</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）项执行：</w:t>
      </w:r>
    </w:p>
    <w:p w14:paraId="51BC2FE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①按国家标准执行；②按部颁标准执行；③若无以上标准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则应不低于同行业质量标准；④有特殊要求的，按甲乙双方在合同中商定的技术条件、样品或补充的技术要求执行；</w:t>
      </w:r>
    </w:p>
    <w:p w14:paraId="746DF58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乙方提供和交付的货物技术标准应与招标文件规定的技术标准相一致。若技术标准中无相应规定，所投货物应符合相应的国际标准或原产地国家有关部门最新颁布的相应的正式标准。</w:t>
      </w:r>
    </w:p>
    <w:p w14:paraId="6599D21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进口产品的质量标准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43DDD2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乙方所提供的货物应是全新、未使用过的，是完全符合以上质量标准的正品；相关的施工安装是由持有有权部门核发上岗证书的安装调试人员按照国际或国家现行安装验收规范来实施的；乙方所提供的货物在正确安装、正常使用和保养条件下，在其使用寿命内应具有满意的性能。</w:t>
      </w:r>
    </w:p>
    <w:p w14:paraId="3E2E499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第三条</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color w:val="auto"/>
          <w:sz w:val="24"/>
          <w:highlight w:val="none"/>
        </w:rPr>
        <w:t>产品的包装标准和包装物的供应与回收</w:t>
      </w:r>
    </w:p>
    <w:p w14:paraId="24EC549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国家或业务主管部门有技术规定的，按技术规定执行；国家与业务主管部门无技术规定的，由甲乙双方商定。</w:t>
      </w:r>
    </w:p>
    <w:p w14:paraId="58E7753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【注：合同中约定的包装标准应与乙方在投标文件中承诺的一致，且投标文件应作为合同附件与合同具有同等法律效力。】</w:t>
      </w:r>
    </w:p>
    <w:p w14:paraId="420D8E00">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第四条</w:t>
      </w:r>
      <w:r>
        <w:rPr>
          <w:rFonts w:hint="eastAsia" w:ascii="宋体" w:hAnsi="宋体" w:eastAsia="宋体" w:cs="宋体"/>
          <w:color w:val="auto"/>
          <w:sz w:val="24"/>
          <w:highlight w:val="none"/>
        </w:rPr>
        <w:t xml:space="preserve"> 产品的交货方法、到货地点和交货期限</w:t>
      </w:r>
    </w:p>
    <w:p w14:paraId="4DCB687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1.交货方法，按下列第（①）项执行：</w:t>
      </w:r>
    </w:p>
    <w:p w14:paraId="011348B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①乙方送货上门；</w:t>
      </w:r>
    </w:p>
    <w:p w14:paraId="1E8AA8E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②乙方代运；</w:t>
      </w:r>
    </w:p>
    <w:p w14:paraId="5371694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③甲方自提自运。</w:t>
      </w:r>
    </w:p>
    <w:p w14:paraId="65C6AC0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2.到货地点：</w:t>
      </w:r>
      <w:r>
        <w:rPr>
          <w:rFonts w:hint="eastAsia" w:ascii="宋体" w:hAnsi="宋体" w:eastAsia="宋体" w:cs="宋体"/>
          <w:color w:val="auto"/>
          <w:sz w:val="24"/>
          <w:highlight w:val="none"/>
          <w:u w:val="single"/>
        </w:rPr>
        <w:t>安徽理工大学校园内，</w:t>
      </w:r>
      <w:r>
        <w:rPr>
          <w:rFonts w:hint="eastAsia" w:ascii="宋体" w:hAnsi="宋体" w:eastAsia="宋体" w:cs="宋体"/>
          <w:color w:val="auto"/>
          <w:sz w:val="24"/>
          <w:highlight w:val="none"/>
          <w:u w:val="single"/>
          <w:lang w:val="en-US" w:eastAsia="zh-CN"/>
        </w:rPr>
        <w:t>甲方</w:t>
      </w:r>
      <w:r>
        <w:rPr>
          <w:rFonts w:hint="eastAsia" w:ascii="宋体" w:hAnsi="宋体" w:eastAsia="宋体" w:cs="宋体"/>
          <w:color w:val="auto"/>
          <w:sz w:val="24"/>
          <w:highlight w:val="none"/>
          <w:u w:val="single"/>
        </w:rPr>
        <w:t>指定地点。</w:t>
      </w:r>
    </w:p>
    <w:p w14:paraId="4A64D42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3.产品的交货期限</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single"/>
        </w:rPr>
        <w:t>合同签订后30日内，</w:t>
      </w:r>
      <w:r>
        <w:rPr>
          <w:rFonts w:hint="eastAsia" w:ascii="宋体" w:hAnsi="宋体" w:eastAsia="宋体" w:cs="宋体"/>
          <w:color w:val="auto"/>
          <w:sz w:val="24"/>
          <w:highlight w:val="none"/>
          <w:u w:val="single"/>
          <w:lang w:val="en-US" w:eastAsia="zh-CN"/>
        </w:rPr>
        <w:t>乙方</w:t>
      </w:r>
      <w:r>
        <w:rPr>
          <w:rFonts w:hint="eastAsia" w:ascii="宋体" w:hAnsi="宋体" w:eastAsia="宋体" w:cs="宋体"/>
          <w:color w:val="auto"/>
          <w:sz w:val="24"/>
          <w:highlight w:val="none"/>
          <w:u w:val="single"/>
        </w:rPr>
        <w:t>应完成全部货物的供货、安装、调试和培训工作。</w:t>
      </w:r>
    </w:p>
    <w:p w14:paraId="6F83E3F5">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第五条</w:t>
      </w:r>
      <w:r>
        <w:rPr>
          <w:rFonts w:hint="eastAsia" w:ascii="宋体" w:hAnsi="宋体" w:eastAsia="宋体" w:cs="宋体"/>
          <w:color w:val="auto"/>
          <w:sz w:val="24"/>
          <w:highlight w:val="none"/>
        </w:rPr>
        <w:t xml:space="preserve"> 合同总价款</w:t>
      </w:r>
    </w:p>
    <w:p w14:paraId="2991BA9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合同总价款（大小写）：</w:t>
      </w:r>
      <w:r>
        <w:rPr>
          <w:rFonts w:hint="eastAsia" w:ascii="宋体" w:hAnsi="宋体" w:eastAsia="宋体" w:cs="宋体"/>
          <w:color w:val="auto"/>
          <w:sz w:val="24"/>
          <w:highlight w:val="none"/>
          <w:u w:val="single"/>
          <w:lang w:val="en-US" w:eastAsia="zh-CN"/>
        </w:rPr>
        <w:t>人民币 xxxxxxx 元整（¥xxxxx.00 元）</w:t>
      </w:r>
    </w:p>
    <w:p w14:paraId="535782E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注：合同总价款包括了含采购设备价款、运输、装卸、保险、安装调试费、税费（含进口从属税费等）、技术服务费、售后服务、人员培训及其他等一切</w:t>
      </w:r>
      <w:r>
        <w:rPr>
          <w:rFonts w:hint="eastAsia" w:ascii="宋体" w:hAnsi="宋体" w:eastAsia="宋体" w:cs="宋体"/>
          <w:color w:val="auto"/>
          <w:sz w:val="24"/>
          <w:highlight w:val="none"/>
          <w:lang w:val="en-US" w:eastAsia="zh-CN"/>
        </w:rPr>
        <w:t>相关</w:t>
      </w:r>
      <w:r>
        <w:rPr>
          <w:rFonts w:hint="eastAsia" w:ascii="宋体" w:hAnsi="宋体" w:eastAsia="宋体" w:cs="宋体"/>
          <w:color w:val="auto"/>
          <w:sz w:val="24"/>
          <w:highlight w:val="none"/>
        </w:rPr>
        <w:t xml:space="preserve">费用。 </w:t>
      </w:r>
    </w:p>
    <w:p w14:paraId="5F270B84">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第六条</w:t>
      </w:r>
      <w:r>
        <w:rPr>
          <w:rFonts w:hint="eastAsia" w:ascii="宋体" w:hAnsi="宋体" w:eastAsia="宋体" w:cs="宋体"/>
          <w:color w:val="auto"/>
          <w:sz w:val="24"/>
          <w:highlight w:val="none"/>
        </w:rPr>
        <w:t xml:space="preserve"> 付款条件 执行招投标文件</w:t>
      </w:r>
    </w:p>
    <w:p w14:paraId="5EBDAA3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本合同以人民币付款。</w:t>
      </w:r>
    </w:p>
    <w:p w14:paraId="0A0FDEA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具体付款方式：合同签订生效并具备实施条件后</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根据项目实际情况于5个工作日内支付合同价款的70%作为预付款（</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须提交银行、保险公司、担保公司等金融机构出具的预付款保函或其他担保措施，以上各类机构出具的以担保函、保证保险承担责任的方式均须满足无条件见索即付条件），验收合格后支付剩余合同价款。（</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若须提供发票，必须开具增值税专用发票，除法律法规约定情形外）</w:t>
      </w:r>
      <w:r>
        <w:rPr>
          <w:rFonts w:hint="eastAsia" w:ascii="宋体" w:hAnsi="宋体" w:eastAsia="宋体" w:cs="宋体"/>
          <w:color w:val="auto"/>
          <w:sz w:val="24"/>
          <w:highlight w:val="none"/>
          <w:lang w:eastAsia="zh-CN"/>
        </w:rPr>
        <w:t>。</w:t>
      </w:r>
    </w:p>
    <w:p w14:paraId="484E02F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highlight w:val="none"/>
          <w:lang w:eastAsia="zh-CN"/>
        </w:rPr>
      </w:pPr>
      <w:r>
        <w:rPr>
          <w:rFonts w:hint="eastAsia" w:ascii="宋体" w:hAnsi="宋体" w:eastAsia="宋体" w:cs="宋体"/>
          <w:color w:val="auto"/>
          <w:sz w:val="24"/>
          <w:highlight w:val="none"/>
          <w:lang w:val="en-US" w:eastAsia="zh-CN"/>
        </w:rPr>
        <w:t>3.发票开具</w:t>
      </w:r>
      <w:r>
        <w:rPr>
          <w:rFonts w:hint="eastAsia" w:ascii="宋体" w:hAnsi="宋体" w:eastAsia="宋体" w:cs="宋体"/>
          <w:color w:val="auto"/>
          <w:sz w:val="24"/>
          <w:highlight w:val="none"/>
        </w:rPr>
        <w:t>方式：开具增值税专用发票（除法律法规约定情形外）</w:t>
      </w:r>
      <w:r>
        <w:rPr>
          <w:rFonts w:hint="eastAsia" w:ascii="宋体" w:hAnsi="宋体" w:eastAsia="宋体" w:cs="宋体"/>
          <w:color w:val="auto"/>
          <w:sz w:val="24"/>
          <w:highlight w:val="none"/>
          <w:lang w:eastAsia="zh-CN"/>
        </w:rPr>
        <w:t>。</w:t>
      </w:r>
    </w:p>
    <w:p w14:paraId="34B78845">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第七条</w:t>
      </w:r>
      <w:r>
        <w:rPr>
          <w:rFonts w:hint="eastAsia" w:ascii="宋体" w:hAnsi="宋体" w:eastAsia="宋体" w:cs="宋体"/>
          <w:color w:val="auto"/>
          <w:sz w:val="24"/>
          <w:highlight w:val="none"/>
        </w:rPr>
        <w:t xml:space="preserve"> 验收方法</w:t>
      </w:r>
    </w:p>
    <w:p w14:paraId="1DFFD08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1.乙方安装调试后，在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天内通知甲方组织验收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验收</w:t>
      </w:r>
      <w:r>
        <w:rPr>
          <w:rFonts w:hint="eastAsia" w:ascii="宋体" w:hAnsi="宋体" w:eastAsia="宋体" w:cs="宋体"/>
          <w:color w:val="auto"/>
          <w:sz w:val="24"/>
          <w:highlight w:val="none"/>
        </w:rPr>
        <w:t>不合格的，乙方应负责重新提供达到本合同约定的质量要求的产品。</w:t>
      </w:r>
    </w:p>
    <w:p w14:paraId="3F0858F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2.甲、乙双方应严格履行合同有关条款，如果验收过程中发现乙方在没有征得</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同意的情况下擅自变更合同标的物，将拒绝通过验收，由此引起的一切后果及损失由乙方承担。</w:t>
      </w:r>
    </w:p>
    <w:p w14:paraId="243A825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3.甲方验收时，应成立验收小组，明确责任，严格依照采购文件、中标（成交）通知书、政府采购合同及相关验收规范</w:t>
      </w:r>
      <w:r>
        <w:rPr>
          <w:rFonts w:hint="eastAsia" w:ascii="宋体" w:hAnsi="宋体" w:eastAsia="宋体" w:cs="宋体"/>
          <w:color w:val="auto"/>
          <w:sz w:val="24"/>
          <w:highlight w:val="none"/>
          <w:lang w:val="en-US" w:eastAsia="zh-CN"/>
        </w:rPr>
        <w:t>等</w:t>
      </w:r>
      <w:r>
        <w:rPr>
          <w:rFonts w:hint="eastAsia" w:ascii="宋体" w:hAnsi="宋体" w:eastAsia="宋体" w:cs="宋体"/>
          <w:color w:val="auto"/>
          <w:sz w:val="24"/>
          <w:highlight w:val="none"/>
        </w:rPr>
        <w:t>进行核对、验收，形成验收结论，并出具书面验收报告。</w:t>
      </w:r>
    </w:p>
    <w:p w14:paraId="3D3CFBE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涉及安全、消防、环保等其他需要由质检或行业主管部门进行验收的项目，必须邀请相关部门或相关专家参与验收。</w:t>
      </w:r>
    </w:p>
    <w:p w14:paraId="055609B5">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第八条</w:t>
      </w:r>
      <w:r>
        <w:rPr>
          <w:rFonts w:hint="eastAsia" w:ascii="宋体" w:hAnsi="宋体" w:eastAsia="宋体" w:cs="宋体"/>
          <w:color w:val="auto"/>
          <w:sz w:val="24"/>
          <w:highlight w:val="none"/>
        </w:rPr>
        <w:t xml:space="preserve"> 对产品提出异议的时间和办法</w:t>
      </w:r>
    </w:p>
    <w:p w14:paraId="76EFD40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1.甲方在验收中，如果发现产品不符合合同约定的，应一面妥为保管，一面在工作日内向乙方书面提出异议。具体说明产品不符合规定的内容并附相关验收材料，同时提出不符合规定产品的处理意见。</w:t>
      </w:r>
    </w:p>
    <w:p w14:paraId="0D77DD2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2.甲方因使用、保管、保养不善等造成产品质量下降的，不得提出异议。</w:t>
      </w:r>
    </w:p>
    <w:p w14:paraId="2FAFD5F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3.乙方在接到甲方异议后，应在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工作日内负责处理，否则，即视为默认甲方提出的异议和处理意见。</w:t>
      </w:r>
    </w:p>
    <w:p w14:paraId="1D23FA94">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第九条</w:t>
      </w:r>
      <w:r>
        <w:rPr>
          <w:rFonts w:hint="eastAsia" w:ascii="宋体" w:hAnsi="宋体" w:eastAsia="宋体" w:cs="宋体"/>
          <w:color w:val="auto"/>
          <w:sz w:val="24"/>
          <w:highlight w:val="none"/>
        </w:rPr>
        <w:t xml:space="preserve"> 乙方应提供完善周到的技术支持和售后服务，否则甲方在进行事实调查的基础上，视情节轻重从乙方的履约保证金中扣除部分或全部补偿甲方。</w:t>
      </w:r>
    </w:p>
    <w:p w14:paraId="5CF7B2E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对应招标质保要求（若乙方投标文件中承诺的优于招标文件要求，按照乙方投标文件中的承诺执行）。</w:t>
      </w:r>
    </w:p>
    <w:p w14:paraId="13166D3A">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第十条</w:t>
      </w:r>
      <w:r>
        <w:rPr>
          <w:rFonts w:hint="eastAsia" w:ascii="宋体" w:hAnsi="宋体" w:eastAsia="宋体" w:cs="宋体"/>
          <w:color w:val="auto"/>
          <w:sz w:val="24"/>
          <w:highlight w:val="none"/>
        </w:rPr>
        <w:t xml:space="preserve"> 乙方的违约责任</w:t>
      </w:r>
    </w:p>
    <w:p w14:paraId="11582CA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1.乙方不能交货的，甲方有权解除合同。</w:t>
      </w:r>
    </w:p>
    <w:p w14:paraId="6ABAB4A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2.乙方所交产品不符合合同规定的，如果甲方同意利用，应当按质论价；如果甲方不能利用的，应根据产品的具体情况，由乙方负责包换或包修，并承担修理、调换或退货而支付的实际费用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同时，乙方应按规定，对更换件相应延长质量保证期，并赔偿甲方相应的损失。乙方不能修理或者不能调换的，按不能交货处理。</w:t>
      </w:r>
    </w:p>
    <w:p w14:paraId="3CF08B0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乙方因产品包装不符合合同规定，必须返修或重新包装的，乙方应负责返修或重包装，并承担支付的费用。甲方不要求返修或重新包装而要求赔偿损失的，乙方应当偿付甲方该不合格包装物低于合格包装物的价值部分。因包装不符合规定造成货物损坏或灭失的，乙方应当负责赔偿。每件货物包装箱内应附一份详细装箱单和质量证书。为进口件的，应出具报关手续和原产地、原产工厂证明、报关手续和商检证明等。</w:t>
      </w:r>
    </w:p>
    <w:p w14:paraId="7B3CAA9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4.如果乙方没有按照规定的时间交货、完成货物安装和提供服务，应向甲方支付违约金。</w:t>
      </w:r>
      <w:r>
        <w:rPr>
          <w:rFonts w:hint="eastAsia" w:ascii="宋体" w:hAnsi="宋体" w:eastAsia="宋体" w:cs="宋体"/>
          <w:b/>
          <w:bCs/>
          <w:color w:val="auto"/>
          <w:sz w:val="24"/>
          <w:highlight w:val="none"/>
          <w:lang w:val="en-US" w:eastAsia="zh-CN"/>
        </w:rPr>
        <w:t>因乙方原因</w:t>
      </w:r>
      <w:r>
        <w:rPr>
          <w:rFonts w:hint="eastAsia" w:ascii="宋体" w:hAnsi="宋体" w:eastAsia="宋体" w:cs="宋体"/>
          <w:b/>
          <w:bCs/>
          <w:color w:val="auto"/>
          <w:sz w:val="24"/>
          <w:highlight w:val="none"/>
        </w:rPr>
        <w:t>迟供货一天（含双休）</w:t>
      </w:r>
      <w:r>
        <w:rPr>
          <w:rFonts w:hint="eastAsia" w:ascii="宋体" w:hAnsi="宋体" w:eastAsia="宋体" w:cs="宋体"/>
          <w:b/>
          <w:bCs/>
          <w:color w:val="auto"/>
          <w:sz w:val="24"/>
          <w:highlight w:val="none"/>
          <w:lang w:val="en-US" w:eastAsia="zh-CN"/>
        </w:rPr>
        <w:t>甲方</w:t>
      </w:r>
      <w:r>
        <w:rPr>
          <w:rFonts w:hint="eastAsia" w:ascii="宋体" w:hAnsi="宋体" w:eastAsia="宋体" w:cs="宋体"/>
          <w:b/>
          <w:bCs/>
          <w:color w:val="auto"/>
          <w:sz w:val="24"/>
          <w:highlight w:val="none"/>
        </w:rPr>
        <w:t>将</w:t>
      </w:r>
      <w:r>
        <w:rPr>
          <w:rFonts w:hint="eastAsia" w:ascii="宋体" w:hAnsi="宋体" w:eastAsia="宋体" w:cs="宋体"/>
          <w:b/>
          <w:bCs/>
          <w:color w:val="auto"/>
          <w:sz w:val="24"/>
          <w:highlight w:val="none"/>
          <w:lang w:val="en-US" w:eastAsia="zh-CN"/>
        </w:rPr>
        <w:t>乙方</w:t>
      </w:r>
      <w:r>
        <w:rPr>
          <w:rFonts w:hint="eastAsia" w:ascii="宋体" w:hAnsi="宋体" w:eastAsia="宋体" w:cs="宋体"/>
          <w:b/>
          <w:bCs/>
          <w:color w:val="auto"/>
          <w:sz w:val="24"/>
          <w:highlight w:val="none"/>
        </w:rPr>
        <w:t>扣除履约保证金金额的5%</w:t>
      </w:r>
      <w:r>
        <w:rPr>
          <w:rFonts w:hint="eastAsia" w:ascii="宋体" w:hAnsi="宋体" w:eastAsia="宋体" w:cs="宋体"/>
          <w:color w:val="auto"/>
          <w:sz w:val="24"/>
          <w:highlight w:val="none"/>
        </w:rPr>
        <w:t>。如果</w:t>
      </w:r>
      <w:r>
        <w:rPr>
          <w:rFonts w:hint="eastAsia" w:ascii="宋体" w:hAnsi="宋体" w:eastAsia="宋体" w:cs="宋体"/>
          <w:b/>
          <w:bCs/>
          <w:color w:val="auto"/>
          <w:sz w:val="24"/>
          <w:highlight w:val="none"/>
        </w:rPr>
        <w:t>履约保证金全部扣除</w:t>
      </w:r>
      <w:r>
        <w:rPr>
          <w:rFonts w:hint="eastAsia" w:ascii="宋体" w:hAnsi="宋体" w:eastAsia="宋体" w:cs="宋体"/>
          <w:color w:val="auto"/>
          <w:sz w:val="24"/>
          <w:highlight w:val="none"/>
        </w:rPr>
        <w:t>，甲方应考虑终止合同，由此给甲方造成的损失由乙方承担</w:t>
      </w:r>
      <w:r>
        <w:rPr>
          <w:rFonts w:hint="eastAsia" w:ascii="宋体" w:hAnsi="宋体" w:eastAsia="宋体" w:cs="宋体"/>
          <w:b/>
          <w:color w:val="auto"/>
          <w:sz w:val="24"/>
          <w:highlight w:val="none"/>
        </w:rPr>
        <w:t>。因迟交货给甲方造成经济损失的，乙方负全部责任并赔偿甲方的经济损失及承担法律责任。乙方在安装施工过程中出现任何安全事故，责任由乙方自负。</w:t>
      </w:r>
    </w:p>
    <w:p w14:paraId="301BE2B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5.乙方提前交货的产品、多交的产品和不符合合同规定的产品，甲方在代保管期内实际支付的保管、保养等费用以及非因甲方保管不善而发生的损失，应当由乙方承担。</w:t>
      </w:r>
    </w:p>
    <w:p w14:paraId="6B0F9D8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6.乙方应对其所提供的货物承担所有权担保责任，并应保证甲方在中华人民共和国内使用该货物时不侵犯第三人的知识产权。否则乙方应承担由此引起的一切法律责任及费用。</w:t>
      </w:r>
    </w:p>
    <w:p w14:paraId="697FFB7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7.任何一方未经对方同意而单方面终止合同的，应向对方赔偿相当于本合同总价款</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%违约金。</w:t>
      </w:r>
    </w:p>
    <w:p w14:paraId="65E895E6">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第十一条</w:t>
      </w:r>
      <w:r>
        <w:rPr>
          <w:rFonts w:hint="eastAsia" w:ascii="宋体" w:hAnsi="宋体" w:eastAsia="宋体" w:cs="宋体"/>
          <w:color w:val="auto"/>
          <w:sz w:val="24"/>
          <w:highlight w:val="none"/>
        </w:rPr>
        <w:t xml:space="preserve"> 甲方的违约责任</w:t>
      </w:r>
    </w:p>
    <w:p w14:paraId="4235457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1.甲方无故退货，应向乙方偿付退货部分货款</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%（通用产品的幅度为 1%-5%，专用产品的幅度为 15%-30%）的违约金。</w:t>
      </w:r>
    </w:p>
    <w:p w14:paraId="69AC4F4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2.甲方违反合同规定拒绝接货的，应当承担由此造成的损失。</w:t>
      </w:r>
    </w:p>
    <w:p w14:paraId="4FE98F87">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第十二条</w:t>
      </w:r>
      <w:r>
        <w:rPr>
          <w:rFonts w:hint="eastAsia" w:ascii="宋体" w:hAnsi="宋体" w:eastAsia="宋体" w:cs="宋体"/>
          <w:color w:val="auto"/>
          <w:sz w:val="24"/>
          <w:highlight w:val="none"/>
        </w:rPr>
        <w:t xml:space="preserve"> 不可抗力</w:t>
      </w:r>
    </w:p>
    <w:p w14:paraId="0C12DC5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14:paraId="05D2772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14:paraId="7CDDC2CB">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第十三条</w:t>
      </w:r>
      <w:r>
        <w:rPr>
          <w:rFonts w:hint="eastAsia" w:ascii="宋体" w:hAnsi="宋体" w:eastAsia="宋体" w:cs="宋体"/>
          <w:color w:val="auto"/>
          <w:sz w:val="24"/>
          <w:highlight w:val="none"/>
        </w:rPr>
        <w:t xml:space="preserve"> 履约保证金</w:t>
      </w:r>
    </w:p>
    <w:p w14:paraId="672A571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1.本项目履约保证金为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(人民币)</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收受人为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安徽理工大学</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期限：</w:t>
      </w:r>
      <w:r>
        <w:rPr>
          <w:rFonts w:hint="eastAsia" w:ascii="宋体" w:hAnsi="宋体" w:eastAsia="宋体" w:cs="宋体"/>
          <w:b w:val="0"/>
          <w:color w:val="auto"/>
          <w:sz w:val="24"/>
          <w:highlight w:val="none"/>
        </w:rPr>
        <w:t>货物供货安装完成及后续服务经验收合格后</w:t>
      </w:r>
      <w:r>
        <w:rPr>
          <w:rFonts w:hint="eastAsia" w:ascii="宋体" w:hAnsi="宋体" w:eastAsia="宋体" w:cs="宋体"/>
          <w:b w:val="0"/>
          <w:color w:val="auto"/>
          <w:sz w:val="24"/>
          <w:highlight w:val="none"/>
          <w:lang w:eastAsia="zh-CN"/>
        </w:rPr>
        <w:t>，</w:t>
      </w:r>
      <w:r>
        <w:rPr>
          <w:rFonts w:hint="eastAsia" w:ascii="宋体" w:hAnsi="宋体" w:eastAsia="宋体" w:cs="宋体"/>
          <w:b w:val="0"/>
          <w:color w:val="auto"/>
          <w:sz w:val="24"/>
          <w:highlight w:val="none"/>
        </w:rPr>
        <w:t>由</w:t>
      </w:r>
      <w:r>
        <w:rPr>
          <w:rFonts w:hint="eastAsia" w:ascii="宋体" w:hAnsi="宋体" w:eastAsia="宋体" w:cs="宋体"/>
          <w:b w:val="0"/>
          <w:color w:val="auto"/>
          <w:sz w:val="24"/>
          <w:highlight w:val="none"/>
          <w:lang w:val="en-US" w:eastAsia="zh-CN"/>
        </w:rPr>
        <w:t>乙方</w:t>
      </w:r>
      <w:r>
        <w:rPr>
          <w:rFonts w:hint="eastAsia" w:ascii="宋体" w:hAnsi="宋体" w:eastAsia="宋体" w:cs="宋体"/>
          <w:b w:val="0"/>
          <w:color w:val="auto"/>
          <w:sz w:val="24"/>
          <w:highlight w:val="none"/>
        </w:rPr>
        <w:t>提请申请</w:t>
      </w:r>
      <w:r>
        <w:rPr>
          <w:rFonts w:hint="eastAsia" w:ascii="宋体" w:hAnsi="宋体" w:eastAsia="宋体" w:cs="宋体"/>
          <w:b w:val="0"/>
          <w:color w:val="auto"/>
          <w:sz w:val="24"/>
          <w:highlight w:val="none"/>
          <w:lang w:eastAsia="zh-CN"/>
        </w:rPr>
        <w:t>，</w:t>
      </w:r>
      <w:r>
        <w:rPr>
          <w:rFonts w:hint="eastAsia" w:ascii="宋体" w:hAnsi="宋体" w:eastAsia="宋体" w:cs="宋体"/>
          <w:b w:val="0"/>
          <w:color w:val="auto"/>
          <w:sz w:val="24"/>
          <w:highlight w:val="none"/>
        </w:rPr>
        <w:t>30日历天内</w:t>
      </w:r>
      <w:r>
        <w:rPr>
          <w:rFonts w:hint="eastAsia" w:ascii="宋体" w:hAnsi="宋体" w:eastAsia="宋体" w:cs="宋体"/>
          <w:b w:val="0"/>
          <w:color w:val="auto"/>
          <w:sz w:val="24"/>
          <w:highlight w:val="none"/>
          <w:lang w:val="en-US" w:eastAsia="zh-CN"/>
        </w:rPr>
        <w:t>一次性</w:t>
      </w:r>
      <w:r>
        <w:rPr>
          <w:rFonts w:hint="eastAsia" w:ascii="宋体" w:hAnsi="宋体" w:eastAsia="宋体" w:cs="宋体"/>
          <w:b w:val="0"/>
          <w:color w:val="auto"/>
          <w:sz w:val="24"/>
          <w:highlight w:val="none"/>
        </w:rPr>
        <w:t>退还。</w:t>
      </w:r>
    </w:p>
    <w:p w14:paraId="3BE4B09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2.乙方提供的履约保证金按规定格式以银行保函形式提供的，与此有关的费用由</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承担。</w:t>
      </w:r>
    </w:p>
    <w:p w14:paraId="262C847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3.如乙方未能履行其合同规定的任何义务，甲方有权从履约保证金中取得补偿。</w:t>
      </w:r>
    </w:p>
    <w:p w14:paraId="4924C60B">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第十四条</w:t>
      </w:r>
      <w:r>
        <w:rPr>
          <w:rFonts w:hint="eastAsia" w:ascii="宋体" w:hAnsi="宋体" w:eastAsia="宋体" w:cs="宋体"/>
          <w:color w:val="auto"/>
          <w:sz w:val="24"/>
          <w:highlight w:val="none"/>
        </w:rPr>
        <w:t xml:space="preserve"> 转让与分包</w:t>
      </w:r>
    </w:p>
    <w:p w14:paraId="4C1CA28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1.除甲方事先书面同意外，乙方不得部分转让或全部转让其应履行的合同义务。</w:t>
      </w:r>
    </w:p>
    <w:p w14:paraId="713997E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2.乙方应在投标文件中或以其他书面形式对甲方确认本合同项下所授予的所有分包合同。但该确认不解除乙方承担的本合同下的任何责任或义务。意即在本合同项下，乙方对甲方负总责。</w:t>
      </w:r>
    </w:p>
    <w:p w14:paraId="5FC31A77">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第十五条</w:t>
      </w:r>
      <w:r>
        <w:rPr>
          <w:rFonts w:hint="eastAsia" w:ascii="宋体" w:hAnsi="宋体" w:eastAsia="宋体" w:cs="宋体"/>
          <w:color w:val="auto"/>
          <w:sz w:val="24"/>
          <w:highlight w:val="none"/>
        </w:rPr>
        <w:t xml:space="preserve"> 合同文件及资料的使用</w:t>
      </w:r>
    </w:p>
    <w:p w14:paraId="3229AEF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1.乙方在未经甲方同意的情况下，不得将合同、合同中的规定、有关计划、图纸、样本或甲方为上述内容向乙方提供的资料透露给任何人。</w:t>
      </w:r>
    </w:p>
    <w:p w14:paraId="7816257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2.除非执行合同需要，在事先未得到甲方同意的情况下，乙方不得使用前款所列的任何文件和资料。</w:t>
      </w:r>
    </w:p>
    <w:p w14:paraId="475648FD">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第十六条</w:t>
      </w:r>
      <w:r>
        <w:rPr>
          <w:rFonts w:hint="eastAsia" w:ascii="宋体" w:hAnsi="宋体" w:eastAsia="宋体" w:cs="宋体"/>
          <w:color w:val="auto"/>
          <w:sz w:val="24"/>
          <w:highlight w:val="none"/>
        </w:rPr>
        <w:t xml:space="preserve"> 其他</w:t>
      </w:r>
    </w:p>
    <w:p w14:paraId="0DE1477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1.按本合同规定应该偿付的违约金、赔偿金、保管保养费和各种经济损失，应当在明确责任后10天内，按银行规定的结算办法付清，否则按逾期付款处理。但任何一方不得自行扣发货物或扣付货款来充抵。</w:t>
      </w:r>
    </w:p>
    <w:p w14:paraId="552E2E4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2.本合同如发生纠纷，当事人双方应当及时协商解决，协商不成时，任何一方均可请采购管理机关调解，调解不成，按以下第（①）项方式处理： </w:t>
      </w:r>
    </w:p>
    <w:p w14:paraId="4E6956B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①根据《中华人民共和国仲裁法》的规定向淮南仲裁委员会申请仲裁。</w:t>
      </w:r>
    </w:p>
    <w:p w14:paraId="3DE15D7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②向合同签订地有级别管辖权的人民法院起诉。</w:t>
      </w:r>
    </w:p>
    <w:p w14:paraId="398B79DF">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第十七条</w:t>
      </w:r>
      <w:r>
        <w:rPr>
          <w:rFonts w:hint="eastAsia" w:ascii="宋体" w:hAnsi="宋体" w:eastAsia="宋体" w:cs="宋体"/>
          <w:color w:val="auto"/>
          <w:sz w:val="24"/>
          <w:highlight w:val="none"/>
        </w:rPr>
        <w:t xml:space="preserve"> 下列关于</w:t>
      </w:r>
      <w:r>
        <w:rPr>
          <w:rFonts w:hint="eastAsia" w:ascii="宋体" w:hAnsi="宋体" w:eastAsia="宋体" w:cs="宋体"/>
          <w:color w:val="auto"/>
          <w:sz w:val="24"/>
          <w:highlight w:val="none"/>
          <w:u w:val="single"/>
        </w:rPr>
        <w:t xml:space="preserve"> </w:t>
      </w:r>
      <w:r>
        <w:rPr>
          <w:rFonts w:hint="eastAsia" w:ascii="宋体" w:hAnsi="宋体" w:eastAsia="宋体" w:cs="宋体"/>
          <w:sz w:val="24"/>
          <w:szCs w:val="24"/>
          <w:highlight w:val="none"/>
          <w:u w:val="single"/>
          <w:lang w:eastAsia="zh-CN"/>
        </w:rPr>
        <w:t>安徽理工大学2025年教学仪器设备购置项目（三）</w:t>
      </w:r>
      <w:r>
        <w:rPr>
          <w:rFonts w:hint="eastAsia" w:ascii="宋体" w:hAnsi="宋体" w:eastAsia="宋体" w:cs="宋体"/>
          <w:color w:val="auto"/>
          <w:sz w:val="24"/>
          <w:highlight w:val="none"/>
        </w:rPr>
        <w:t>（项目编号：</w:t>
      </w:r>
      <w:r>
        <w:rPr>
          <w:rFonts w:hint="eastAsia" w:ascii="宋体" w:hAnsi="宋体" w:eastAsia="宋体" w:cs="宋体"/>
          <w:color w:val="FF0000"/>
          <w:sz w:val="24"/>
          <w:highlight w:val="none"/>
          <w:u w:val="single"/>
          <w:lang w:val="en-US" w:eastAsia="zh-CN"/>
        </w:rPr>
        <w:t>XXXXXXX</w:t>
      </w:r>
      <w:r>
        <w:rPr>
          <w:rFonts w:hint="eastAsia" w:ascii="宋体" w:hAnsi="宋体" w:eastAsia="宋体" w:cs="宋体"/>
          <w:color w:val="auto"/>
          <w:sz w:val="24"/>
          <w:highlight w:val="none"/>
          <w:u w:val="single"/>
          <w:lang w:val="en-US" w:eastAsia="zh-CN"/>
        </w:rPr>
        <w:t>号</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val="en-US" w:eastAsia="zh-CN"/>
        </w:rPr>
        <w:t>第</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包</w:t>
      </w:r>
      <w:r>
        <w:rPr>
          <w:rFonts w:hint="eastAsia" w:ascii="宋体" w:hAnsi="宋体" w:eastAsia="宋体" w:cs="宋体"/>
          <w:color w:val="auto"/>
          <w:sz w:val="24"/>
          <w:highlight w:val="none"/>
        </w:rPr>
        <w:t>采购文件及有关附件是本合同不可分割的组成部分，与本合同具有同等法律效力，这些文件包括但不限于：①招标文件；②乙方提供的投标文件；③服务承诺；④甲乙双方商定的其他文件。</w:t>
      </w:r>
    </w:p>
    <w:p w14:paraId="546D9DF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本合同一式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8</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份，甲乙双方各执</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3</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份，交</w:t>
      </w:r>
      <w:r>
        <w:rPr>
          <w:rFonts w:hint="eastAsia" w:ascii="宋体" w:hAnsi="宋体" w:eastAsia="宋体" w:cs="宋体"/>
          <w:color w:val="auto"/>
          <w:sz w:val="24"/>
          <w:highlight w:val="none"/>
          <w:lang w:val="en-US" w:eastAsia="zh-CN"/>
        </w:rPr>
        <w:t>招标代理机构</w:t>
      </w:r>
      <w:r>
        <w:rPr>
          <w:rFonts w:hint="eastAsia" w:ascii="宋体" w:hAnsi="宋体" w:eastAsia="宋体" w:cs="宋体"/>
          <w:color w:val="auto"/>
          <w:sz w:val="24"/>
          <w:highlight w:val="none"/>
        </w:rPr>
        <w:t>留存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2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w:t>
      </w:r>
      <w:r>
        <w:rPr>
          <w:rFonts w:hint="eastAsia" w:ascii="宋体" w:hAnsi="宋体" w:eastAsia="宋体" w:cs="宋体"/>
          <w:color w:val="auto"/>
          <w:sz w:val="24"/>
          <w:highlight w:val="none"/>
          <w:lang w:val="en-US" w:eastAsia="zh-CN"/>
        </w:rPr>
        <w:t>用于档案资料归档</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自双方当事人签字盖章之日起生效。</w:t>
      </w:r>
    </w:p>
    <w:p w14:paraId="19978CB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rPr>
      </w:pPr>
    </w:p>
    <w:p w14:paraId="1B4BC54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安徽理工大学(</w:t>
      </w:r>
      <w:r>
        <w:rPr>
          <w:rFonts w:hint="eastAsia" w:ascii="宋体" w:hAnsi="宋体" w:eastAsia="宋体" w:cs="宋体"/>
          <w:color w:val="auto"/>
          <w:sz w:val="24"/>
          <w:highlight w:val="none"/>
        </w:rPr>
        <w:t>公章</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供货人</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 xml:space="preserve">：（公章） </w:t>
      </w:r>
    </w:p>
    <w:p w14:paraId="2B89C30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地址：淮南市泰丰大街168号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地址：</w:t>
      </w:r>
    </w:p>
    <w:p w14:paraId="24B80E6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                         法定代表人：</w:t>
      </w:r>
    </w:p>
    <w:p w14:paraId="5A87EB1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                         委托代理人：</w:t>
      </w:r>
    </w:p>
    <w:p w14:paraId="13B7D18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电话：                               电话：</w:t>
      </w:r>
    </w:p>
    <w:p w14:paraId="4B0536D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开户银行：工商银行淮南市洞山支行     开户银行：</w:t>
      </w:r>
    </w:p>
    <w:p w14:paraId="717B07E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账号：1304002709024950996            账号：</w:t>
      </w:r>
    </w:p>
    <w:p w14:paraId="2785637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统一社会信用代码：12340000485319959Y 统一社会信用代码：</w:t>
      </w:r>
    </w:p>
    <w:p w14:paraId="175500F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年 月 日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年 月 日</w:t>
      </w:r>
    </w:p>
    <w:p w14:paraId="51D2D20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rPr>
      </w:pPr>
    </w:p>
    <w:p w14:paraId="08B7B0F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见证方：</w:t>
      </w:r>
      <w:r>
        <w:rPr>
          <w:rFonts w:hint="eastAsia" w:ascii="宋体" w:hAnsi="宋体" w:eastAsia="宋体" w:cs="宋体"/>
          <w:color w:val="auto"/>
          <w:sz w:val="24"/>
          <w:highlight w:val="none"/>
          <w:lang w:val="en-US" w:eastAsia="zh-CN"/>
        </w:rPr>
        <w:t>上海容基工程项目管理有限公司</w:t>
      </w:r>
      <w:r>
        <w:rPr>
          <w:rFonts w:hint="eastAsia" w:ascii="宋体" w:hAnsi="宋体" w:eastAsia="宋体" w:cs="宋体"/>
          <w:color w:val="auto"/>
          <w:sz w:val="24"/>
          <w:highlight w:val="none"/>
        </w:rPr>
        <w:t>(盖章)</w:t>
      </w:r>
    </w:p>
    <w:p w14:paraId="19AE37AA">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kern w:val="0"/>
          <w:sz w:val="24"/>
          <w:szCs w:val="24"/>
          <w:highlight w:val="none"/>
          <w:u w:val="single"/>
          <w:lang w:val="en-US" w:eastAsia="zh-CN"/>
        </w:rPr>
      </w:pPr>
      <w:r>
        <w:rPr>
          <w:rFonts w:hint="eastAsia" w:ascii="宋体" w:hAnsi="宋体" w:eastAsia="宋体" w:cs="宋体"/>
          <w:color w:val="auto"/>
          <w:sz w:val="24"/>
          <w:highlight w:val="none"/>
        </w:rPr>
        <w:t>年 月 日</w:t>
      </w:r>
    </w:p>
    <w:p w14:paraId="3C6A2D3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8"/>
          <w:highlight w:val="none"/>
        </w:rPr>
      </w:pPr>
      <w:r>
        <w:rPr>
          <w:rFonts w:hint="eastAsia" w:ascii="宋体" w:hAnsi="宋体" w:eastAsia="宋体" w:cs="宋体"/>
          <w:color w:val="auto"/>
          <w:sz w:val="24"/>
          <w:highlight w:val="none"/>
        </w:rPr>
        <w:br w:type="page"/>
      </w:r>
    </w:p>
    <w:p w14:paraId="34795E16">
      <w:pPr>
        <w:spacing w:line="360" w:lineRule="auto"/>
        <w:jc w:val="both"/>
        <w:outlineLvl w:val="9"/>
        <w:rPr>
          <w:rFonts w:hint="eastAsia" w:ascii="宋体" w:hAnsi="宋体" w:eastAsia="宋体" w:cs="宋体"/>
          <w:b/>
          <w:color w:val="auto"/>
          <w:sz w:val="28"/>
          <w:highlight w:val="none"/>
        </w:rPr>
      </w:pPr>
    </w:p>
    <w:p w14:paraId="67808A0C">
      <w:pPr>
        <w:spacing w:line="360" w:lineRule="auto"/>
        <w:jc w:val="center"/>
        <w:outlineLvl w:val="0"/>
        <w:rPr>
          <w:rFonts w:hint="eastAsia" w:ascii="宋体" w:hAnsi="宋体" w:eastAsia="宋体" w:cs="宋体"/>
          <w:b/>
          <w:color w:val="auto"/>
          <w:sz w:val="28"/>
          <w:highlight w:val="none"/>
        </w:rPr>
      </w:pPr>
      <w:r>
        <w:rPr>
          <w:rFonts w:hint="eastAsia" w:ascii="宋体" w:hAnsi="宋体" w:eastAsia="宋体" w:cs="宋体"/>
          <w:b/>
          <w:color w:val="auto"/>
          <w:sz w:val="28"/>
          <w:highlight w:val="none"/>
        </w:rPr>
        <w:t>第六章  投标文件格式</w:t>
      </w:r>
      <w:bookmarkEnd w:id="45"/>
    </w:p>
    <w:p w14:paraId="33481C62">
      <w:pPr>
        <w:spacing w:line="900" w:lineRule="exact"/>
        <w:jc w:val="center"/>
        <w:rPr>
          <w:rFonts w:hint="eastAsia" w:ascii="宋体" w:hAnsi="宋体" w:eastAsia="宋体" w:cs="宋体"/>
          <w:b/>
          <w:color w:val="auto"/>
          <w:sz w:val="72"/>
          <w:highlight w:val="none"/>
        </w:rPr>
      </w:pPr>
    </w:p>
    <w:p w14:paraId="392A09CE">
      <w:pPr>
        <w:spacing w:line="900" w:lineRule="exact"/>
        <w:jc w:val="center"/>
        <w:outlineLvl w:val="9"/>
        <w:rPr>
          <w:rFonts w:hint="eastAsia" w:ascii="宋体" w:hAnsi="宋体" w:eastAsia="宋体" w:cs="宋体"/>
          <w:b/>
          <w:color w:val="auto"/>
          <w:sz w:val="72"/>
          <w:highlight w:val="none"/>
        </w:rPr>
      </w:pPr>
      <w:bookmarkStart w:id="46" w:name="_Toc651"/>
      <w:r>
        <w:rPr>
          <w:rFonts w:hint="eastAsia" w:ascii="宋体" w:hAnsi="宋体" w:eastAsia="宋体" w:cs="宋体"/>
          <w:b/>
          <w:color w:val="auto"/>
          <w:sz w:val="72"/>
          <w:highlight w:val="none"/>
        </w:rPr>
        <w:t>投</w:t>
      </w:r>
      <w:bookmarkEnd w:id="46"/>
    </w:p>
    <w:p w14:paraId="0328F339">
      <w:pPr>
        <w:spacing w:line="900" w:lineRule="exact"/>
        <w:jc w:val="center"/>
        <w:rPr>
          <w:rFonts w:hint="eastAsia" w:ascii="宋体" w:hAnsi="宋体" w:eastAsia="宋体" w:cs="宋体"/>
          <w:b/>
          <w:color w:val="auto"/>
          <w:sz w:val="72"/>
          <w:highlight w:val="none"/>
        </w:rPr>
      </w:pPr>
    </w:p>
    <w:p w14:paraId="4317EBBF">
      <w:pPr>
        <w:spacing w:line="900" w:lineRule="exact"/>
        <w:jc w:val="center"/>
        <w:outlineLvl w:val="9"/>
        <w:rPr>
          <w:rFonts w:hint="eastAsia" w:ascii="宋体" w:hAnsi="宋体" w:eastAsia="宋体" w:cs="宋体"/>
          <w:b/>
          <w:color w:val="auto"/>
          <w:sz w:val="72"/>
          <w:highlight w:val="none"/>
        </w:rPr>
      </w:pPr>
      <w:bookmarkStart w:id="47" w:name="_Toc6148"/>
      <w:r>
        <w:rPr>
          <w:rFonts w:hint="eastAsia" w:ascii="宋体" w:hAnsi="宋体" w:eastAsia="宋体" w:cs="宋体"/>
          <w:b/>
          <w:color w:val="auto"/>
          <w:sz w:val="72"/>
          <w:highlight w:val="none"/>
        </w:rPr>
        <w:t>标</w:t>
      </w:r>
      <w:bookmarkEnd w:id="47"/>
    </w:p>
    <w:p w14:paraId="4B6C45FE">
      <w:pPr>
        <w:spacing w:line="900" w:lineRule="exact"/>
        <w:jc w:val="center"/>
        <w:rPr>
          <w:rFonts w:hint="eastAsia" w:ascii="宋体" w:hAnsi="宋体" w:eastAsia="宋体" w:cs="宋体"/>
          <w:b/>
          <w:color w:val="auto"/>
          <w:sz w:val="72"/>
          <w:highlight w:val="none"/>
        </w:rPr>
      </w:pPr>
    </w:p>
    <w:p w14:paraId="1F0A8370">
      <w:pPr>
        <w:spacing w:line="900" w:lineRule="exact"/>
        <w:jc w:val="center"/>
        <w:outlineLvl w:val="9"/>
        <w:rPr>
          <w:rFonts w:hint="eastAsia" w:ascii="宋体" w:hAnsi="宋体" w:eastAsia="宋体" w:cs="宋体"/>
          <w:b/>
          <w:color w:val="auto"/>
          <w:sz w:val="72"/>
          <w:highlight w:val="none"/>
        </w:rPr>
      </w:pPr>
      <w:bookmarkStart w:id="48" w:name="_Toc1338"/>
      <w:r>
        <w:rPr>
          <w:rFonts w:hint="eastAsia" w:ascii="宋体" w:hAnsi="宋体" w:eastAsia="宋体" w:cs="宋体"/>
          <w:b/>
          <w:color w:val="auto"/>
          <w:sz w:val="72"/>
          <w:highlight w:val="none"/>
        </w:rPr>
        <w:t>文</w:t>
      </w:r>
      <w:bookmarkEnd w:id="48"/>
    </w:p>
    <w:p w14:paraId="54C4F2F6">
      <w:pPr>
        <w:spacing w:line="900" w:lineRule="exact"/>
        <w:jc w:val="center"/>
        <w:rPr>
          <w:rFonts w:hint="eastAsia" w:ascii="宋体" w:hAnsi="宋体" w:eastAsia="宋体" w:cs="宋体"/>
          <w:b/>
          <w:color w:val="auto"/>
          <w:sz w:val="72"/>
          <w:highlight w:val="none"/>
        </w:rPr>
      </w:pPr>
    </w:p>
    <w:p w14:paraId="03119BCE">
      <w:pPr>
        <w:jc w:val="center"/>
        <w:outlineLvl w:val="9"/>
        <w:rPr>
          <w:rFonts w:hint="eastAsia" w:ascii="宋体" w:hAnsi="宋体" w:eastAsia="宋体" w:cs="宋体"/>
          <w:b/>
          <w:color w:val="auto"/>
          <w:sz w:val="72"/>
          <w:highlight w:val="none"/>
        </w:rPr>
      </w:pPr>
      <w:bookmarkStart w:id="49" w:name="_Toc10796"/>
      <w:r>
        <w:rPr>
          <w:rFonts w:hint="eastAsia" w:ascii="宋体" w:hAnsi="宋体" w:eastAsia="宋体" w:cs="宋体"/>
          <w:b/>
          <w:color w:val="auto"/>
          <w:sz w:val="72"/>
          <w:highlight w:val="none"/>
        </w:rPr>
        <w:t>件</w:t>
      </w:r>
      <w:bookmarkEnd w:id="49"/>
    </w:p>
    <w:p w14:paraId="7C500797">
      <w:pPr>
        <w:tabs>
          <w:tab w:val="left" w:pos="1948"/>
        </w:tabs>
        <w:spacing w:after="156" w:afterLines="50" w:line="240" w:lineRule="auto"/>
        <w:jc w:val="center"/>
        <w:rPr>
          <w:rFonts w:hint="eastAsia" w:ascii="宋体" w:hAnsi="宋体" w:eastAsia="宋体" w:cs="宋体"/>
          <w:b/>
          <w:color w:val="auto"/>
          <w:sz w:val="28"/>
          <w:szCs w:val="28"/>
          <w:highlight w:val="none"/>
          <w:lang w:val="en-US" w:eastAsia="zh-CN"/>
        </w:rPr>
      </w:pPr>
    </w:p>
    <w:p w14:paraId="50B7EC8F">
      <w:pPr>
        <w:tabs>
          <w:tab w:val="left" w:pos="2410"/>
        </w:tabs>
        <w:autoSpaceDE w:val="0"/>
        <w:autoSpaceDN w:val="0"/>
        <w:adjustRightInd w:val="0"/>
        <w:snapToGrid w:val="0"/>
        <w:spacing w:line="360" w:lineRule="auto"/>
        <w:ind w:firstLine="643" w:firstLineChars="200"/>
        <w:jc w:val="left"/>
        <w:outlineLvl w:val="9"/>
        <w:rPr>
          <w:rFonts w:hint="eastAsia" w:ascii="宋体" w:hAnsi="宋体" w:eastAsia="宋体" w:cs="宋体"/>
          <w:b/>
          <w:color w:val="auto"/>
          <w:sz w:val="32"/>
          <w:highlight w:val="none"/>
        </w:rPr>
      </w:pPr>
    </w:p>
    <w:p w14:paraId="0F6836AA">
      <w:pPr>
        <w:tabs>
          <w:tab w:val="left" w:pos="2410"/>
        </w:tabs>
        <w:autoSpaceDE w:val="0"/>
        <w:autoSpaceDN w:val="0"/>
        <w:adjustRightInd w:val="0"/>
        <w:snapToGrid w:val="0"/>
        <w:spacing w:line="360" w:lineRule="auto"/>
        <w:ind w:firstLine="643" w:firstLineChars="200"/>
        <w:jc w:val="left"/>
        <w:outlineLvl w:val="9"/>
        <w:rPr>
          <w:rFonts w:hint="eastAsia" w:ascii="宋体" w:hAnsi="宋体" w:eastAsia="宋体" w:cs="宋体"/>
          <w:b/>
          <w:color w:val="auto"/>
          <w:spacing w:val="20"/>
          <w:kern w:val="0"/>
          <w:sz w:val="32"/>
          <w:szCs w:val="32"/>
          <w:highlight w:val="none"/>
          <w:lang w:val="en-US" w:eastAsia="zh-CN"/>
        </w:rPr>
      </w:pPr>
      <w:r>
        <w:rPr>
          <w:rFonts w:hint="eastAsia" w:ascii="宋体" w:hAnsi="宋体" w:eastAsia="宋体" w:cs="宋体"/>
          <w:b/>
          <w:color w:val="auto"/>
          <w:sz w:val="32"/>
          <w:highlight w:val="none"/>
        </w:rPr>
        <w:t>项目名称：</w:t>
      </w: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u w:val="single"/>
          <w:lang w:val="en-US" w:eastAsia="zh-CN"/>
        </w:rPr>
        <w:t xml:space="preserve">   </w:t>
      </w:r>
      <w:r>
        <w:rPr>
          <w:rFonts w:hint="eastAsia" w:ascii="宋体" w:hAnsi="宋体" w:eastAsia="宋体" w:cs="宋体"/>
          <w:b/>
          <w:color w:val="auto"/>
          <w:sz w:val="32"/>
          <w:highlight w:val="none"/>
          <w:u w:val="single"/>
        </w:rPr>
        <w:t xml:space="preserve">    </w:t>
      </w:r>
    </w:p>
    <w:p w14:paraId="5D260009">
      <w:pPr>
        <w:tabs>
          <w:tab w:val="left" w:pos="2410"/>
        </w:tabs>
        <w:autoSpaceDE w:val="0"/>
        <w:autoSpaceDN w:val="0"/>
        <w:adjustRightInd w:val="0"/>
        <w:snapToGrid w:val="0"/>
        <w:spacing w:line="360" w:lineRule="auto"/>
        <w:ind w:firstLine="643" w:firstLineChars="200"/>
        <w:jc w:val="left"/>
        <w:outlineLvl w:val="9"/>
        <w:rPr>
          <w:rFonts w:hint="eastAsia" w:ascii="宋体" w:hAnsi="宋体" w:eastAsia="宋体" w:cs="宋体"/>
          <w:b/>
          <w:color w:val="auto"/>
          <w:sz w:val="32"/>
          <w:highlight w:val="none"/>
          <w:u w:val="single"/>
        </w:rPr>
      </w:pPr>
      <w:r>
        <w:rPr>
          <w:rFonts w:hint="eastAsia" w:ascii="宋体" w:hAnsi="宋体" w:eastAsia="宋体" w:cs="宋体"/>
          <w:b/>
          <w:color w:val="auto"/>
          <w:sz w:val="32"/>
          <w:highlight w:val="none"/>
        </w:rPr>
        <w:t>项目编号：</w:t>
      </w: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u w:val="single"/>
          <w:lang w:val="en-US" w:eastAsia="zh-CN"/>
        </w:rPr>
        <w:t xml:space="preserve">   </w:t>
      </w:r>
      <w:r>
        <w:rPr>
          <w:rFonts w:hint="eastAsia" w:ascii="宋体" w:hAnsi="宋体" w:eastAsia="宋体" w:cs="宋体"/>
          <w:b/>
          <w:color w:val="auto"/>
          <w:sz w:val="32"/>
          <w:highlight w:val="none"/>
          <w:u w:val="single"/>
        </w:rPr>
        <w:t xml:space="preserve">  </w:t>
      </w:r>
    </w:p>
    <w:p w14:paraId="78D31464">
      <w:pPr>
        <w:tabs>
          <w:tab w:val="left" w:pos="2410"/>
        </w:tabs>
        <w:autoSpaceDE w:val="0"/>
        <w:autoSpaceDN w:val="0"/>
        <w:adjustRightInd w:val="0"/>
        <w:snapToGrid w:val="0"/>
        <w:spacing w:line="360" w:lineRule="auto"/>
        <w:ind w:firstLine="643" w:firstLineChars="200"/>
        <w:jc w:val="left"/>
        <w:outlineLvl w:val="9"/>
        <w:rPr>
          <w:rFonts w:hint="eastAsia" w:ascii="宋体" w:hAnsi="宋体" w:eastAsia="宋体" w:cs="宋体"/>
          <w:b/>
          <w:color w:val="auto"/>
          <w:sz w:val="32"/>
          <w:highlight w:val="none"/>
          <w:u w:val="single"/>
        </w:rPr>
      </w:pPr>
      <w:r>
        <w:rPr>
          <w:rFonts w:hint="eastAsia" w:ascii="宋体" w:hAnsi="宋体" w:eastAsia="宋体" w:cs="宋体"/>
          <w:b/>
          <w:color w:val="auto"/>
          <w:sz w:val="32"/>
          <w:highlight w:val="none"/>
          <w:lang w:val="en-US" w:eastAsia="zh-CN"/>
        </w:rPr>
        <w:t xml:space="preserve">投 </w:t>
      </w:r>
      <w:r>
        <w:rPr>
          <w:rFonts w:hint="eastAsia" w:ascii="宋体" w:hAnsi="宋体" w:eastAsia="宋体" w:cs="宋体"/>
          <w:b/>
          <w:color w:val="auto"/>
          <w:sz w:val="32"/>
          <w:highlight w:val="none"/>
        </w:rPr>
        <w:t>标</w:t>
      </w:r>
      <w:r>
        <w:rPr>
          <w:rFonts w:hint="eastAsia" w:ascii="宋体" w:hAnsi="宋体" w:eastAsia="宋体" w:cs="宋体"/>
          <w:b/>
          <w:color w:val="auto"/>
          <w:sz w:val="32"/>
          <w:highlight w:val="none"/>
          <w:lang w:val="en-US" w:eastAsia="zh-CN"/>
        </w:rPr>
        <w:t xml:space="preserve"> </w:t>
      </w:r>
      <w:r>
        <w:rPr>
          <w:rFonts w:hint="eastAsia" w:ascii="宋体" w:hAnsi="宋体" w:eastAsia="宋体" w:cs="宋体"/>
          <w:b/>
          <w:color w:val="auto"/>
          <w:sz w:val="32"/>
          <w:highlight w:val="none"/>
        </w:rPr>
        <w:t>人：</w:t>
      </w: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u w:val="single"/>
          <w:lang w:val="en-US" w:eastAsia="zh-CN"/>
        </w:rPr>
        <w:t xml:space="preserve">   </w:t>
      </w: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rPr>
        <w:t>（加盖投标人公章）</w:t>
      </w:r>
    </w:p>
    <w:p w14:paraId="5B9E5FED">
      <w:pPr>
        <w:spacing w:after="156" w:afterLines="50" w:line="500" w:lineRule="exact"/>
        <w:jc w:val="center"/>
        <w:outlineLvl w:val="9"/>
        <w:rPr>
          <w:rFonts w:hint="eastAsia" w:ascii="宋体" w:hAnsi="宋体" w:eastAsia="宋体" w:cs="宋体"/>
          <w:b/>
          <w:color w:val="auto"/>
          <w:sz w:val="32"/>
          <w:highlight w:val="none"/>
        </w:rPr>
      </w:pPr>
      <w:r>
        <w:rPr>
          <w:rFonts w:hint="eastAsia" w:ascii="宋体" w:hAnsi="宋体" w:eastAsia="宋体" w:cs="宋体"/>
          <w:b/>
          <w:color w:val="auto"/>
          <w:sz w:val="32"/>
          <w:highlight w:val="none"/>
          <w:u w:val="single"/>
        </w:rPr>
        <w:t xml:space="preserve">  </w:t>
      </w:r>
      <w:bookmarkStart w:id="50" w:name="_Toc8037"/>
      <w:bookmarkStart w:id="51" w:name="_Toc9994"/>
      <w:r>
        <w:rPr>
          <w:rFonts w:hint="eastAsia" w:ascii="宋体" w:hAnsi="宋体" w:eastAsia="宋体" w:cs="宋体"/>
          <w:b/>
          <w:color w:val="auto"/>
          <w:sz w:val="32"/>
          <w:highlight w:val="none"/>
        </w:rPr>
        <w:t>年</w:t>
      </w: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rPr>
        <w:t>月</w:t>
      </w: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rPr>
        <w:t>日</w:t>
      </w:r>
      <w:bookmarkEnd w:id="50"/>
      <w:bookmarkEnd w:id="51"/>
    </w:p>
    <w:p w14:paraId="73F3FAE4">
      <w:pPr>
        <w:widowControl/>
        <w:jc w:val="left"/>
        <w:rPr>
          <w:rFonts w:hint="eastAsia" w:ascii="宋体" w:hAnsi="宋体" w:eastAsia="宋体" w:cs="宋体"/>
          <w:color w:val="auto"/>
          <w:highlight w:val="none"/>
        </w:rPr>
      </w:pPr>
      <w:bookmarkStart w:id="52" w:name="_Toc28960"/>
      <w:bookmarkStart w:id="53" w:name="_Toc5555"/>
      <w:r>
        <w:rPr>
          <w:rFonts w:hint="eastAsia" w:ascii="宋体" w:hAnsi="宋体" w:eastAsia="宋体" w:cs="宋体"/>
          <w:b/>
          <w:color w:val="auto"/>
          <w:sz w:val="24"/>
          <w:highlight w:val="none"/>
        </w:rPr>
        <w:br w:type="page"/>
      </w:r>
      <w:r>
        <w:rPr>
          <w:rFonts w:hint="eastAsia" w:ascii="宋体" w:hAnsi="宋体" w:eastAsia="宋体" w:cs="宋体"/>
          <w:color w:val="auto"/>
          <w:highlight w:val="none"/>
        </w:rPr>
        <w:t>投标文件资料清单</w:t>
      </w:r>
    </w:p>
    <w:tbl>
      <w:tblPr>
        <w:tblStyle w:val="28"/>
        <w:tblW w:w="9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7052"/>
        <w:gridCol w:w="1342"/>
      </w:tblGrid>
      <w:tr w14:paraId="764C4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5" w:type="dxa"/>
            <w:noWrap w:val="0"/>
            <w:vAlign w:val="center"/>
          </w:tcPr>
          <w:p w14:paraId="23560EDA">
            <w:pPr>
              <w:keepNext w:val="0"/>
              <w:keepLines w:val="0"/>
              <w:suppressLineNumbers w:val="0"/>
              <w:spacing w:before="0" w:beforeAutospacing="0" w:after="0" w:afterAutospacing="0" w:line="240" w:lineRule="atLeast"/>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序号</w:t>
            </w:r>
          </w:p>
        </w:tc>
        <w:tc>
          <w:tcPr>
            <w:tcW w:w="7052" w:type="dxa"/>
            <w:noWrap w:val="0"/>
            <w:vAlign w:val="center"/>
          </w:tcPr>
          <w:p w14:paraId="32D89281">
            <w:pPr>
              <w:keepNext w:val="0"/>
              <w:keepLines w:val="0"/>
              <w:suppressLineNumbers w:val="0"/>
              <w:spacing w:before="0" w:beforeAutospacing="0" w:after="0" w:afterAutospacing="0" w:line="240" w:lineRule="atLeast"/>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资料名称</w:t>
            </w:r>
          </w:p>
        </w:tc>
        <w:tc>
          <w:tcPr>
            <w:tcW w:w="1342" w:type="dxa"/>
            <w:noWrap w:val="0"/>
            <w:vAlign w:val="center"/>
          </w:tcPr>
          <w:p w14:paraId="469313CB">
            <w:pPr>
              <w:keepNext w:val="0"/>
              <w:keepLines w:val="0"/>
              <w:suppressLineNumbers w:val="0"/>
              <w:spacing w:before="0" w:beforeAutospacing="0" w:after="0" w:afterAutospacing="0" w:line="240" w:lineRule="atLeast"/>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页码范围</w:t>
            </w:r>
          </w:p>
        </w:tc>
      </w:tr>
      <w:tr w14:paraId="37D2F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5" w:type="dxa"/>
            <w:noWrap w:val="0"/>
            <w:vAlign w:val="center"/>
          </w:tcPr>
          <w:p w14:paraId="097CBB18">
            <w:pPr>
              <w:keepNext w:val="0"/>
              <w:keepLines w:val="0"/>
              <w:numPr>
                <w:ilvl w:val="0"/>
                <w:numId w:val="12"/>
              </w:numPr>
              <w:suppressLineNumbers w:val="0"/>
              <w:spacing w:before="0" w:beforeAutospacing="0" w:after="0" w:afterAutospacing="0" w:line="240" w:lineRule="atLeast"/>
              <w:ind w:right="0"/>
              <w:jc w:val="center"/>
              <w:rPr>
                <w:rFonts w:hint="eastAsia" w:ascii="宋体" w:hAnsi="宋体" w:eastAsia="宋体" w:cs="宋体"/>
                <w:color w:val="auto"/>
                <w:sz w:val="24"/>
                <w:szCs w:val="24"/>
                <w:highlight w:val="none"/>
              </w:rPr>
            </w:pPr>
          </w:p>
        </w:tc>
        <w:tc>
          <w:tcPr>
            <w:tcW w:w="7052" w:type="dxa"/>
            <w:noWrap w:val="0"/>
            <w:vAlign w:val="center"/>
          </w:tcPr>
          <w:p w14:paraId="4AC6FBEE">
            <w:pPr>
              <w:keepNext w:val="0"/>
              <w:keepLines w:val="0"/>
              <w:suppressLineNumbers w:val="0"/>
              <w:spacing w:before="0" w:beforeAutospacing="0" w:after="0" w:afterAutospacing="0" w:line="240" w:lineRule="atLeast"/>
              <w:ind w:left="0" w:right="0"/>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开标一览表</w:t>
            </w:r>
          </w:p>
        </w:tc>
        <w:tc>
          <w:tcPr>
            <w:tcW w:w="1342" w:type="dxa"/>
            <w:noWrap w:val="0"/>
            <w:vAlign w:val="center"/>
          </w:tcPr>
          <w:p w14:paraId="48D9735D">
            <w:pPr>
              <w:keepNext w:val="0"/>
              <w:keepLines w:val="0"/>
              <w:suppressLineNumbers w:val="0"/>
              <w:spacing w:before="0" w:beforeAutospacing="0" w:after="0" w:afterAutospacing="0" w:line="240" w:lineRule="atLeast"/>
              <w:ind w:left="0" w:right="0"/>
              <w:jc w:val="center"/>
              <w:rPr>
                <w:rFonts w:hint="eastAsia" w:ascii="宋体" w:hAnsi="宋体" w:eastAsia="宋体" w:cs="宋体"/>
                <w:color w:val="auto"/>
                <w:sz w:val="24"/>
                <w:szCs w:val="20"/>
                <w:highlight w:val="none"/>
              </w:rPr>
            </w:pPr>
          </w:p>
        </w:tc>
      </w:tr>
      <w:tr w14:paraId="48758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5" w:type="dxa"/>
            <w:noWrap w:val="0"/>
            <w:vAlign w:val="center"/>
          </w:tcPr>
          <w:p w14:paraId="3D06946E">
            <w:pPr>
              <w:keepNext w:val="0"/>
              <w:keepLines w:val="0"/>
              <w:numPr>
                <w:ilvl w:val="0"/>
                <w:numId w:val="12"/>
              </w:numPr>
              <w:suppressLineNumbers w:val="0"/>
              <w:spacing w:before="0" w:beforeAutospacing="0" w:after="0" w:afterAutospacing="0" w:line="240" w:lineRule="atLeast"/>
              <w:ind w:right="0"/>
              <w:jc w:val="center"/>
              <w:rPr>
                <w:rFonts w:hint="eastAsia" w:ascii="宋体" w:hAnsi="宋体" w:eastAsia="宋体" w:cs="宋体"/>
                <w:color w:val="auto"/>
                <w:sz w:val="24"/>
                <w:szCs w:val="24"/>
                <w:highlight w:val="none"/>
              </w:rPr>
            </w:pPr>
          </w:p>
        </w:tc>
        <w:tc>
          <w:tcPr>
            <w:tcW w:w="7052" w:type="dxa"/>
            <w:noWrap w:val="0"/>
            <w:vAlign w:val="center"/>
          </w:tcPr>
          <w:p w14:paraId="4EFB68B8">
            <w:pPr>
              <w:keepNext w:val="0"/>
              <w:keepLines w:val="0"/>
              <w:suppressLineNumbers w:val="0"/>
              <w:spacing w:before="0" w:beforeAutospacing="0" w:after="0" w:afterAutospacing="0" w:line="240" w:lineRule="atLeast"/>
              <w:ind w:left="0" w:right="0"/>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投标函</w:t>
            </w:r>
          </w:p>
        </w:tc>
        <w:tc>
          <w:tcPr>
            <w:tcW w:w="1342" w:type="dxa"/>
            <w:noWrap w:val="0"/>
            <w:vAlign w:val="center"/>
          </w:tcPr>
          <w:p w14:paraId="17113C48">
            <w:pPr>
              <w:keepNext w:val="0"/>
              <w:keepLines w:val="0"/>
              <w:suppressLineNumbers w:val="0"/>
              <w:spacing w:before="0" w:beforeAutospacing="0" w:after="0" w:afterAutospacing="0" w:line="240" w:lineRule="atLeast"/>
              <w:ind w:left="0" w:right="0"/>
              <w:jc w:val="center"/>
              <w:rPr>
                <w:rFonts w:hint="eastAsia" w:ascii="宋体" w:hAnsi="宋体" w:eastAsia="宋体" w:cs="宋体"/>
                <w:color w:val="auto"/>
                <w:sz w:val="24"/>
                <w:szCs w:val="20"/>
                <w:highlight w:val="none"/>
              </w:rPr>
            </w:pPr>
          </w:p>
        </w:tc>
      </w:tr>
      <w:tr w14:paraId="46587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5" w:type="dxa"/>
            <w:noWrap w:val="0"/>
            <w:vAlign w:val="center"/>
          </w:tcPr>
          <w:p w14:paraId="273EF781">
            <w:pPr>
              <w:keepNext w:val="0"/>
              <w:keepLines w:val="0"/>
              <w:numPr>
                <w:ilvl w:val="0"/>
                <w:numId w:val="12"/>
              </w:numPr>
              <w:suppressLineNumbers w:val="0"/>
              <w:spacing w:before="0" w:beforeAutospacing="0" w:after="0" w:afterAutospacing="0" w:line="240" w:lineRule="atLeast"/>
              <w:ind w:right="0"/>
              <w:jc w:val="center"/>
              <w:rPr>
                <w:rFonts w:hint="eastAsia" w:ascii="宋体" w:hAnsi="宋体" w:eastAsia="宋体" w:cs="宋体"/>
                <w:color w:val="auto"/>
                <w:sz w:val="24"/>
                <w:szCs w:val="24"/>
                <w:highlight w:val="none"/>
              </w:rPr>
            </w:pPr>
          </w:p>
        </w:tc>
        <w:tc>
          <w:tcPr>
            <w:tcW w:w="7052" w:type="dxa"/>
            <w:noWrap w:val="0"/>
            <w:vAlign w:val="center"/>
          </w:tcPr>
          <w:p w14:paraId="5A6CE630">
            <w:pPr>
              <w:keepNext w:val="0"/>
              <w:keepLines w:val="0"/>
              <w:suppressLineNumbers w:val="0"/>
              <w:spacing w:before="0" w:beforeAutospacing="0" w:after="0" w:afterAutospacing="0" w:line="240" w:lineRule="atLeast"/>
              <w:ind w:left="0" w:right="0"/>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lang w:val="en-US" w:eastAsia="zh-CN"/>
              </w:rPr>
              <w:t>投标人资格声明书</w:t>
            </w:r>
          </w:p>
        </w:tc>
        <w:tc>
          <w:tcPr>
            <w:tcW w:w="1342" w:type="dxa"/>
            <w:noWrap w:val="0"/>
            <w:vAlign w:val="center"/>
          </w:tcPr>
          <w:p w14:paraId="12C0E401">
            <w:pPr>
              <w:keepNext w:val="0"/>
              <w:keepLines w:val="0"/>
              <w:suppressLineNumbers w:val="0"/>
              <w:spacing w:before="0" w:beforeAutospacing="0" w:after="0" w:afterAutospacing="0" w:line="240" w:lineRule="atLeast"/>
              <w:ind w:left="0" w:right="0"/>
              <w:jc w:val="center"/>
              <w:rPr>
                <w:rFonts w:hint="eastAsia" w:ascii="宋体" w:hAnsi="宋体" w:eastAsia="宋体" w:cs="宋体"/>
                <w:color w:val="auto"/>
                <w:sz w:val="24"/>
                <w:szCs w:val="20"/>
                <w:highlight w:val="none"/>
              </w:rPr>
            </w:pPr>
          </w:p>
        </w:tc>
      </w:tr>
      <w:tr w14:paraId="2409C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5" w:type="dxa"/>
            <w:noWrap w:val="0"/>
            <w:vAlign w:val="center"/>
          </w:tcPr>
          <w:p w14:paraId="138B590F">
            <w:pPr>
              <w:keepNext w:val="0"/>
              <w:keepLines w:val="0"/>
              <w:numPr>
                <w:ilvl w:val="0"/>
                <w:numId w:val="12"/>
              </w:numPr>
              <w:suppressLineNumbers w:val="0"/>
              <w:spacing w:before="0" w:beforeAutospacing="0" w:after="0" w:afterAutospacing="0" w:line="240" w:lineRule="atLeast"/>
              <w:ind w:right="0"/>
              <w:jc w:val="center"/>
              <w:rPr>
                <w:rFonts w:hint="eastAsia" w:ascii="宋体" w:hAnsi="宋体" w:eastAsia="宋体" w:cs="宋体"/>
                <w:bCs/>
                <w:color w:val="auto"/>
                <w:sz w:val="24"/>
                <w:szCs w:val="24"/>
                <w:highlight w:val="none"/>
              </w:rPr>
            </w:pPr>
          </w:p>
        </w:tc>
        <w:tc>
          <w:tcPr>
            <w:tcW w:w="7052" w:type="dxa"/>
            <w:noWrap w:val="0"/>
            <w:vAlign w:val="center"/>
          </w:tcPr>
          <w:p w14:paraId="7E10EEE2">
            <w:pPr>
              <w:keepNext w:val="0"/>
              <w:keepLines w:val="0"/>
              <w:suppressLineNumbers w:val="0"/>
              <w:spacing w:before="0" w:beforeAutospacing="0" w:after="0" w:afterAutospacing="0" w:line="240" w:lineRule="atLeast"/>
              <w:ind w:left="0" w:right="0"/>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授权书</w:t>
            </w:r>
          </w:p>
        </w:tc>
        <w:tc>
          <w:tcPr>
            <w:tcW w:w="1342" w:type="dxa"/>
            <w:noWrap w:val="0"/>
            <w:vAlign w:val="center"/>
          </w:tcPr>
          <w:p w14:paraId="4B8B79CD">
            <w:pPr>
              <w:keepNext w:val="0"/>
              <w:keepLines w:val="0"/>
              <w:suppressLineNumbers w:val="0"/>
              <w:spacing w:before="0" w:beforeAutospacing="0" w:after="0" w:afterAutospacing="0" w:line="240" w:lineRule="atLeast"/>
              <w:ind w:left="0" w:right="0"/>
              <w:jc w:val="center"/>
              <w:rPr>
                <w:rFonts w:hint="eastAsia" w:ascii="宋体" w:hAnsi="宋体" w:eastAsia="宋体" w:cs="宋体"/>
                <w:color w:val="auto"/>
                <w:sz w:val="24"/>
                <w:szCs w:val="20"/>
                <w:highlight w:val="none"/>
              </w:rPr>
            </w:pPr>
          </w:p>
        </w:tc>
      </w:tr>
      <w:tr w14:paraId="30835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5" w:type="dxa"/>
            <w:noWrap w:val="0"/>
            <w:vAlign w:val="center"/>
          </w:tcPr>
          <w:p w14:paraId="05CD5807">
            <w:pPr>
              <w:keepNext w:val="0"/>
              <w:keepLines w:val="0"/>
              <w:numPr>
                <w:ilvl w:val="0"/>
                <w:numId w:val="12"/>
              </w:numPr>
              <w:suppressLineNumbers w:val="0"/>
              <w:spacing w:before="0" w:beforeAutospacing="0" w:after="0" w:afterAutospacing="0" w:line="240" w:lineRule="atLeast"/>
              <w:ind w:right="0"/>
              <w:jc w:val="center"/>
              <w:rPr>
                <w:rFonts w:hint="eastAsia" w:ascii="宋体" w:hAnsi="宋体" w:eastAsia="宋体" w:cs="宋体"/>
                <w:color w:val="auto"/>
                <w:sz w:val="24"/>
                <w:szCs w:val="24"/>
                <w:highlight w:val="none"/>
              </w:rPr>
            </w:pPr>
          </w:p>
        </w:tc>
        <w:tc>
          <w:tcPr>
            <w:tcW w:w="7052" w:type="dxa"/>
            <w:noWrap w:val="0"/>
            <w:vAlign w:val="center"/>
          </w:tcPr>
          <w:p w14:paraId="6D7B111E">
            <w:pPr>
              <w:keepNext w:val="0"/>
              <w:keepLines w:val="0"/>
              <w:suppressLineNumbers w:val="0"/>
              <w:spacing w:before="0" w:beforeAutospacing="0" w:after="0" w:afterAutospacing="0" w:line="240" w:lineRule="atLeast"/>
              <w:ind w:left="0" w:right="0"/>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投标报价汇总表</w:t>
            </w:r>
          </w:p>
        </w:tc>
        <w:tc>
          <w:tcPr>
            <w:tcW w:w="1342" w:type="dxa"/>
            <w:noWrap w:val="0"/>
            <w:vAlign w:val="center"/>
          </w:tcPr>
          <w:p w14:paraId="7B2D1D3A">
            <w:pPr>
              <w:keepNext w:val="0"/>
              <w:keepLines w:val="0"/>
              <w:suppressLineNumbers w:val="0"/>
              <w:spacing w:before="0" w:beforeAutospacing="0" w:after="0" w:afterAutospacing="0" w:line="240" w:lineRule="atLeast"/>
              <w:ind w:left="0" w:right="0"/>
              <w:jc w:val="center"/>
              <w:rPr>
                <w:rFonts w:hint="eastAsia" w:ascii="宋体" w:hAnsi="宋体" w:eastAsia="宋体" w:cs="宋体"/>
                <w:color w:val="auto"/>
                <w:sz w:val="24"/>
                <w:szCs w:val="20"/>
                <w:highlight w:val="none"/>
              </w:rPr>
            </w:pPr>
          </w:p>
        </w:tc>
      </w:tr>
      <w:tr w14:paraId="309D9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5" w:type="dxa"/>
            <w:noWrap w:val="0"/>
            <w:vAlign w:val="center"/>
          </w:tcPr>
          <w:p w14:paraId="33DDB35D">
            <w:pPr>
              <w:keepNext w:val="0"/>
              <w:keepLines w:val="0"/>
              <w:numPr>
                <w:ilvl w:val="0"/>
                <w:numId w:val="12"/>
              </w:numPr>
              <w:suppressLineNumbers w:val="0"/>
              <w:spacing w:before="0" w:beforeAutospacing="0" w:after="0" w:afterAutospacing="0" w:line="240" w:lineRule="atLeast"/>
              <w:ind w:right="0"/>
              <w:jc w:val="center"/>
              <w:rPr>
                <w:rFonts w:hint="eastAsia" w:ascii="宋体" w:hAnsi="宋体" w:eastAsia="宋体" w:cs="宋体"/>
                <w:color w:val="auto"/>
                <w:sz w:val="24"/>
                <w:szCs w:val="24"/>
                <w:highlight w:val="none"/>
              </w:rPr>
            </w:pPr>
          </w:p>
        </w:tc>
        <w:tc>
          <w:tcPr>
            <w:tcW w:w="7052" w:type="dxa"/>
            <w:noWrap w:val="0"/>
            <w:vAlign w:val="center"/>
          </w:tcPr>
          <w:p w14:paraId="682F044E">
            <w:pPr>
              <w:keepNext w:val="0"/>
              <w:keepLines w:val="0"/>
              <w:suppressLineNumbers w:val="0"/>
              <w:spacing w:before="0" w:beforeAutospacing="0" w:after="0" w:afterAutospacing="0" w:line="240" w:lineRule="atLeast"/>
              <w:ind w:left="0" w:right="0"/>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投标响应表</w:t>
            </w:r>
          </w:p>
        </w:tc>
        <w:tc>
          <w:tcPr>
            <w:tcW w:w="1342" w:type="dxa"/>
            <w:noWrap w:val="0"/>
            <w:vAlign w:val="center"/>
          </w:tcPr>
          <w:p w14:paraId="1ABE50ED">
            <w:pPr>
              <w:keepNext w:val="0"/>
              <w:keepLines w:val="0"/>
              <w:suppressLineNumbers w:val="0"/>
              <w:spacing w:before="0" w:beforeAutospacing="0" w:after="0" w:afterAutospacing="0" w:line="240" w:lineRule="atLeast"/>
              <w:ind w:left="0" w:right="0"/>
              <w:jc w:val="center"/>
              <w:rPr>
                <w:rFonts w:hint="eastAsia" w:ascii="宋体" w:hAnsi="宋体" w:eastAsia="宋体" w:cs="宋体"/>
                <w:color w:val="auto"/>
                <w:sz w:val="24"/>
                <w:szCs w:val="20"/>
                <w:highlight w:val="none"/>
              </w:rPr>
            </w:pPr>
          </w:p>
        </w:tc>
      </w:tr>
      <w:tr w14:paraId="13915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5" w:type="dxa"/>
            <w:noWrap w:val="0"/>
            <w:vAlign w:val="center"/>
          </w:tcPr>
          <w:p w14:paraId="38668169">
            <w:pPr>
              <w:keepNext w:val="0"/>
              <w:keepLines w:val="0"/>
              <w:numPr>
                <w:ilvl w:val="0"/>
                <w:numId w:val="12"/>
              </w:numPr>
              <w:suppressLineNumbers w:val="0"/>
              <w:spacing w:before="0" w:beforeAutospacing="0" w:after="0" w:afterAutospacing="0" w:line="240" w:lineRule="atLeast"/>
              <w:ind w:right="0"/>
              <w:jc w:val="center"/>
              <w:rPr>
                <w:rFonts w:hint="eastAsia" w:ascii="宋体" w:hAnsi="宋体" w:eastAsia="宋体" w:cs="宋体"/>
                <w:color w:val="auto"/>
                <w:sz w:val="24"/>
                <w:szCs w:val="24"/>
                <w:highlight w:val="none"/>
              </w:rPr>
            </w:pPr>
          </w:p>
        </w:tc>
        <w:tc>
          <w:tcPr>
            <w:tcW w:w="7052" w:type="dxa"/>
            <w:noWrap w:val="0"/>
            <w:vAlign w:val="center"/>
          </w:tcPr>
          <w:p w14:paraId="396335F6">
            <w:pPr>
              <w:keepNext w:val="0"/>
              <w:keepLines w:val="0"/>
              <w:suppressLineNumbers w:val="0"/>
              <w:spacing w:before="0" w:beforeAutospacing="0" w:after="0" w:afterAutospacing="0" w:line="240" w:lineRule="atLeast"/>
              <w:ind w:left="0" w:right="0"/>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中小企业声明函</w:t>
            </w:r>
          </w:p>
        </w:tc>
        <w:tc>
          <w:tcPr>
            <w:tcW w:w="1342" w:type="dxa"/>
            <w:noWrap w:val="0"/>
            <w:vAlign w:val="center"/>
          </w:tcPr>
          <w:p w14:paraId="518CBA2B">
            <w:pPr>
              <w:keepNext w:val="0"/>
              <w:keepLines w:val="0"/>
              <w:suppressLineNumbers w:val="0"/>
              <w:spacing w:before="0" w:beforeAutospacing="0" w:after="0" w:afterAutospacing="0" w:line="240" w:lineRule="atLeast"/>
              <w:ind w:left="0" w:right="0"/>
              <w:jc w:val="center"/>
              <w:rPr>
                <w:rFonts w:hint="eastAsia" w:ascii="宋体" w:hAnsi="宋体" w:eastAsia="宋体" w:cs="宋体"/>
                <w:color w:val="auto"/>
                <w:sz w:val="24"/>
                <w:szCs w:val="20"/>
                <w:highlight w:val="none"/>
              </w:rPr>
            </w:pPr>
          </w:p>
        </w:tc>
      </w:tr>
      <w:tr w14:paraId="48FFC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5" w:type="dxa"/>
            <w:noWrap w:val="0"/>
            <w:vAlign w:val="center"/>
          </w:tcPr>
          <w:p w14:paraId="764926A6">
            <w:pPr>
              <w:keepNext w:val="0"/>
              <w:keepLines w:val="0"/>
              <w:numPr>
                <w:ilvl w:val="0"/>
                <w:numId w:val="12"/>
              </w:numPr>
              <w:suppressLineNumbers w:val="0"/>
              <w:spacing w:before="0" w:beforeAutospacing="0" w:after="0" w:afterAutospacing="0" w:line="240" w:lineRule="atLeast"/>
              <w:ind w:right="0"/>
              <w:jc w:val="center"/>
              <w:rPr>
                <w:rFonts w:hint="eastAsia" w:ascii="宋体" w:hAnsi="宋体" w:eastAsia="宋体" w:cs="宋体"/>
                <w:color w:val="auto"/>
                <w:sz w:val="24"/>
                <w:szCs w:val="24"/>
                <w:highlight w:val="none"/>
              </w:rPr>
            </w:pPr>
          </w:p>
        </w:tc>
        <w:tc>
          <w:tcPr>
            <w:tcW w:w="7052" w:type="dxa"/>
            <w:noWrap w:val="0"/>
            <w:vAlign w:val="center"/>
          </w:tcPr>
          <w:p w14:paraId="26FFCE95">
            <w:pPr>
              <w:keepNext w:val="0"/>
              <w:keepLines w:val="0"/>
              <w:suppressLineNumbers w:val="0"/>
              <w:spacing w:before="0" w:beforeAutospacing="0" w:after="0" w:afterAutospacing="0" w:line="240" w:lineRule="atLeast"/>
              <w:ind w:left="0" w:right="0"/>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残疾人福利性单位声明函</w:t>
            </w:r>
          </w:p>
        </w:tc>
        <w:tc>
          <w:tcPr>
            <w:tcW w:w="1342" w:type="dxa"/>
            <w:noWrap w:val="0"/>
            <w:vAlign w:val="center"/>
          </w:tcPr>
          <w:p w14:paraId="1314BB58">
            <w:pPr>
              <w:keepNext w:val="0"/>
              <w:keepLines w:val="0"/>
              <w:suppressLineNumbers w:val="0"/>
              <w:spacing w:before="0" w:beforeAutospacing="0" w:after="0" w:afterAutospacing="0" w:line="240" w:lineRule="atLeast"/>
              <w:ind w:left="0" w:right="0"/>
              <w:jc w:val="center"/>
              <w:rPr>
                <w:rFonts w:hint="eastAsia" w:ascii="宋体" w:hAnsi="宋体" w:eastAsia="宋体" w:cs="宋体"/>
                <w:color w:val="auto"/>
                <w:sz w:val="24"/>
                <w:szCs w:val="20"/>
                <w:highlight w:val="none"/>
              </w:rPr>
            </w:pPr>
          </w:p>
        </w:tc>
      </w:tr>
      <w:tr w14:paraId="75115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5" w:type="dxa"/>
            <w:noWrap w:val="0"/>
            <w:vAlign w:val="center"/>
          </w:tcPr>
          <w:p w14:paraId="6CB7A1EF">
            <w:pPr>
              <w:keepNext w:val="0"/>
              <w:keepLines w:val="0"/>
              <w:numPr>
                <w:ilvl w:val="0"/>
                <w:numId w:val="12"/>
              </w:numPr>
              <w:suppressLineNumbers w:val="0"/>
              <w:spacing w:before="0" w:beforeAutospacing="0" w:after="0" w:afterAutospacing="0" w:line="240" w:lineRule="atLeast"/>
              <w:ind w:right="0"/>
              <w:jc w:val="center"/>
              <w:rPr>
                <w:rFonts w:hint="eastAsia" w:ascii="宋体" w:hAnsi="宋体" w:eastAsia="宋体" w:cs="宋体"/>
                <w:color w:val="auto"/>
                <w:sz w:val="24"/>
                <w:szCs w:val="24"/>
                <w:highlight w:val="none"/>
              </w:rPr>
            </w:pPr>
          </w:p>
        </w:tc>
        <w:tc>
          <w:tcPr>
            <w:tcW w:w="7052" w:type="dxa"/>
            <w:noWrap w:val="0"/>
            <w:vAlign w:val="center"/>
          </w:tcPr>
          <w:p w14:paraId="7280ACB6">
            <w:pPr>
              <w:keepNext w:val="0"/>
              <w:keepLines w:val="0"/>
              <w:suppressLineNumbers w:val="0"/>
              <w:spacing w:before="0" w:beforeAutospacing="0" w:after="0" w:afterAutospacing="0" w:line="240" w:lineRule="atLeast"/>
              <w:ind w:left="0" w:right="0"/>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诚信履约承诺函</w:t>
            </w:r>
          </w:p>
        </w:tc>
        <w:tc>
          <w:tcPr>
            <w:tcW w:w="1342" w:type="dxa"/>
            <w:noWrap w:val="0"/>
            <w:vAlign w:val="center"/>
          </w:tcPr>
          <w:p w14:paraId="7524737E">
            <w:pPr>
              <w:keepNext w:val="0"/>
              <w:keepLines w:val="0"/>
              <w:suppressLineNumbers w:val="0"/>
              <w:spacing w:before="0" w:beforeAutospacing="0" w:after="0" w:afterAutospacing="0" w:line="240" w:lineRule="atLeast"/>
              <w:ind w:left="0" w:right="0"/>
              <w:jc w:val="center"/>
              <w:rPr>
                <w:rFonts w:hint="eastAsia" w:ascii="宋体" w:hAnsi="宋体" w:eastAsia="宋体" w:cs="宋体"/>
                <w:color w:val="auto"/>
                <w:sz w:val="24"/>
                <w:szCs w:val="20"/>
                <w:highlight w:val="none"/>
              </w:rPr>
            </w:pPr>
          </w:p>
        </w:tc>
      </w:tr>
      <w:tr w14:paraId="0A201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5" w:type="dxa"/>
            <w:noWrap w:val="0"/>
            <w:vAlign w:val="center"/>
          </w:tcPr>
          <w:p w14:paraId="263058A4">
            <w:pPr>
              <w:keepNext w:val="0"/>
              <w:keepLines w:val="0"/>
              <w:numPr>
                <w:ilvl w:val="0"/>
                <w:numId w:val="12"/>
              </w:numPr>
              <w:suppressLineNumbers w:val="0"/>
              <w:spacing w:before="0" w:beforeAutospacing="0" w:after="0" w:afterAutospacing="0" w:line="240" w:lineRule="atLeast"/>
              <w:ind w:right="0"/>
              <w:jc w:val="center"/>
              <w:rPr>
                <w:rFonts w:hint="eastAsia" w:ascii="宋体" w:hAnsi="宋体" w:eastAsia="宋体" w:cs="宋体"/>
                <w:color w:val="auto"/>
                <w:sz w:val="24"/>
                <w:szCs w:val="24"/>
                <w:highlight w:val="none"/>
              </w:rPr>
            </w:pPr>
          </w:p>
        </w:tc>
        <w:tc>
          <w:tcPr>
            <w:tcW w:w="7052" w:type="dxa"/>
            <w:noWrap w:val="0"/>
            <w:vAlign w:val="center"/>
          </w:tcPr>
          <w:p w14:paraId="715B0E8F">
            <w:pPr>
              <w:keepNext w:val="0"/>
              <w:keepLines w:val="0"/>
              <w:suppressLineNumbers w:val="0"/>
              <w:spacing w:before="0" w:beforeAutospacing="0" w:after="0" w:afterAutospacing="0" w:line="240" w:lineRule="atLeast"/>
              <w:ind w:left="0" w:right="0"/>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供货安装调试及技术方案</w:t>
            </w:r>
          </w:p>
        </w:tc>
        <w:tc>
          <w:tcPr>
            <w:tcW w:w="1342" w:type="dxa"/>
            <w:noWrap w:val="0"/>
            <w:vAlign w:val="center"/>
          </w:tcPr>
          <w:p w14:paraId="49A00B2D">
            <w:pPr>
              <w:keepNext w:val="0"/>
              <w:keepLines w:val="0"/>
              <w:suppressLineNumbers w:val="0"/>
              <w:spacing w:before="0" w:beforeAutospacing="0" w:after="0" w:afterAutospacing="0" w:line="240" w:lineRule="atLeast"/>
              <w:ind w:left="0" w:right="0"/>
              <w:jc w:val="center"/>
              <w:rPr>
                <w:rFonts w:hint="eastAsia" w:ascii="宋体" w:hAnsi="宋体" w:eastAsia="宋体" w:cs="宋体"/>
                <w:color w:val="auto"/>
                <w:sz w:val="24"/>
                <w:szCs w:val="20"/>
                <w:highlight w:val="none"/>
              </w:rPr>
            </w:pPr>
          </w:p>
        </w:tc>
      </w:tr>
      <w:tr w14:paraId="414C5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5" w:type="dxa"/>
            <w:noWrap w:val="0"/>
            <w:vAlign w:val="center"/>
          </w:tcPr>
          <w:p w14:paraId="02F4D470">
            <w:pPr>
              <w:keepNext w:val="0"/>
              <w:keepLines w:val="0"/>
              <w:numPr>
                <w:ilvl w:val="0"/>
                <w:numId w:val="12"/>
              </w:numPr>
              <w:suppressLineNumbers w:val="0"/>
              <w:spacing w:before="0" w:beforeAutospacing="0" w:after="0" w:afterAutospacing="0" w:line="240" w:lineRule="atLeast"/>
              <w:ind w:right="0"/>
              <w:jc w:val="center"/>
              <w:rPr>
                <w:rFonts w:hint="eastAsia" w:ascii="宋体" w:hAnsi="宋体" w:eastAsia="宋体" w:cs="宋体"/>
                <w:color w:val="auto"/>
                <w:sz w:val="24"/>
                <w:szCs w:val="24"/>
                <w:highlight w:val="none"/>
              </w:rPr>
            </w:pPr>
          </w:p>
        </w:tc>
        <w:tc>
          <w:tcPr>
            <w:tcW w:w="7052" w:type="dxa"/>
            <w:noWrap w:val="0"/>
            <w:vAlign w:val="center"/>
          </w:tcPr>
          <w:p w14:paraId="39F22417">
            <w:pPr>
              <w:keepNext w:val="0"/>
              <w:keepLines w:val="0"/>
              <w:suppressLineNumbers w:val="0"/>
              <w:spacing w:before="0" w:beforeAutospacing="0" w:after="0" w:afterAutospacing="0" w:line="240" w:lineRule="atLeast"/>
              <w:ind w:left="0" w:right="0"/>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售后服务及培训方案</w:t>
            </w:r>
          </w:p>
        </w:tc>
        <w:tc>
          <w:tcPr>
            <w:tcW w:w="1342" w:type="dxa"/>
            <w:noWrap w:val="0"/>
            <w:vAlign w:val="center"/>
          </w:tcPr>
          <w:p w14:paraId="6D940C3C">
            <w:pPr>
              <w:keepNext w:val="0"/>
              <w:keepLines w:val="0"/>
              <w:suppressLineNumbers w:val="0"/>
              <w:spacing w:before="0" w:beforeAutospacing="0" w:after="0" w:afterAutospacing="0" w:line="240" w:lineRule="atLeast"/>
              <w:ind w:left="0" w:right="0"/>
              <w:jc w:val="center"/>
              <w:rPr>
                <w:rFonts w:hint="eastAsia" w:ascii="宋体" w:hAnsi="宋体" w:eastAsia="宋体" w:cs="宋体"/>
                <w:color w:val="auto"/>
                <w:sz w:val="24"/>
                <w:szCs w:val="20"/>
                <w:highlight w:val="none"/>
              </w:rPr>
            </w:pPr>
          </w:p>
        </w:tc>
      </w:tr>
      <w:tr w14:paraId="08758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5" w:type="dxa"/>
            <w:noWrap w:val="0"/>
            <w:vAlign w:val="center"/>
          </w:tcPr>
          <w:p w14:paraId="0BAEE8D0">
            <w:pPr>
              <w:keepNext w:val="0"/>
              <w:keepLines w:val="0"/>
              <w:numPr>
                <w:ilvl w:val="0"/>
                <w:numId w:val="12"/>
              </w:numPr>
              <w:suppressLineNumbers w:val="0"/>
              <w:spacing w:before="0" w:beforeAutospacing="0" w:after="0" w:afterAutospacing="0" w:line="240" w:lineRule="atLeast"/>
              <w:ind w:right="0"/>
              <w:jc w:val="center"/>
              <w:rPr>
                <w:rFonts w:hint="eastAsia" w:ascii="宋体" w:hAnsi="宋体" w:eastAsia="宋体" w:cs="宋体"/>
                <w:color w:val="auto"/>
                <w:sz w:val="24"/>
                <w:szCs w:val="24"/>
                <w:highlight w:val="none"/>
              </w:rPr>
            </w:pPr>
          </w:p>
        </w:tc>
        <w:tc>
          <w:tcPr>
            <w:tcW w:w="7052" w:type="dxa"/>
            <w:noWrap w:val="0"/>
            <w:vAlign w:val="center"/>
          </w:tcPr>
          <w:p w14:paraId="332A2A8A">
            <w:pPr>
              <w:keepNext w:val="0"/>
              <w:keepLines w:val="0"/>
              <w:suppressLineNumbers w:val="0"/>
              <w:spacing w:before="0" w:beforeAutospacing="0" w:after="0" w:afterAutospacing="0" w:line="240" w:lineRule="atLeast"/>
              <w:ind w:left="0" w:right="0"/>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其他相关证明材料</w:t>
            </w:r>
          </w:p>
        </w:tc>
        <w:tc>
          <w:tcPr>
            <w:tcW w:w="1342" w:type="dxa"/>
            <w:noWrap w:val="0"/>
            <w:vAlign w:val="center"/>
          </w:tcPr>
          <w:p w14:paraId="0ED0716F">
            <w:pPr>
              <w:keepNext w:val="0"/>
              <w:keepLines w:val="0"/>
              <w:suppressLineNumbers w:val="0"/>
              <w:spacing w:before="0" w:beforeAutospacing="0" w:after="0" w:afterAutospacing="0" w:line="240" w:lineRule="atLeast"/>
              <w:ind w:left="0" w:right="0"/>
              <w:jc w:val="center"/>
              <w:rPr>
                <w:rFonts w:hint="eastAsia" w:ascii="宋体" w:hAnsi="宋体" w:eastAsia="宋体" w:cs="宋体"/>
                <w:color w:val="auto"/>
                <w:sz w:val="24"/>
                <w:szCs w:val="20"/>
                <w:highlight w:val="none"/>
              </w:rPr>
            </w:pPr>
          </w:p>
        </w:tc>
      </w:tr>
    </w:tbl>
    <w:p w14:paraId="515F44AE">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445F55C9">
      <w:pPr>
        <w:rPr>
          <w:rFonts w:hint="eastAsia" w:ascii="宋体" w:hAnsi="宋体" w:eastAsia="宋体" w:cs="宋体"/>
          <w:b/>
          <w:color w:val="auto"/>
          <w:sz w:val="24"/>
          <w:highlight w:val="none"/>
        </w:rPr>
      </w:pPr>
    </w:p>
    <w:p w14:paraId="6AACA606">
      <w:pPr>
        <w:spacing w:line="360" w:lineRule="auto"/>
        <w:jc w:val="center"/>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一、开标一览表</w:t>
      </w:r>
      <w:bookmarkEnd w:id="52"/>
      <w:bookmarkEnd w:id="53"/>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4"/>
        <w:gridCol w:w="6218"/>
      </w:tblGrid>
      <w:tr w14:paraId="410D2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04" w:type="dxa"/>
            <w:noWrap w:val="0"/>
            <w:vAlign w:val="center"/>
          </w:tcPr>
          <w:p w14:paraId="1243A839">
            <w:pPr>
              <w:keepNext w:val="0"/>
              <w:keepLines w:val="0"/>
              <w:suppressLineNumbers w:val="0"/>
              <w:spacing w:before="0" w:beforeAutospacing="0" w:after="0" w:afterAutospacing="0" w:line="360" w:lineRule="exact"/>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项目名称</w:t>
            </w:r>
          </w:p>
        </w:tc>
        <w:tc>
          <w:tcPr>
            <w:tcW w:w="6218" w:type="dxa"/>
            <w:noWrap w:val="0"/>
            <w:vAlign w:val="center"/>
          </w:tcPr>
          <w:p w14:paraId="2A340C8F">
            <w:pPr>
              <w:keepNext w:val="0"/>
              <w:keepLines w:val="0"/>
              <w:suppressLineNumbers w:val="0"/>
              <w:spacing w:before="0" w:beforeAutospacing="0" w:after="0" w:afterAutospacing="0" w:line="360" w:lineRule="exact"/>
              <w:ind w:left="0" w:right="0"/>
              <w:jc w:val="left"/>
              <w:rPr>
                <w:rFonts w:hint="eastAsia" w:ascii="宋体" w:hAnsi="宋体" w:eastAsia="宋体" w:cs="宋体"/>
                <w:bCs/>
                <w:color w:val="auto"/>
                <w:sz w:val="24"/>
                <w:szCs w:val="20"/>
                <w:highlight w:val="none"/>
                <w:u w:val="single"/>
                <w:lang w:eastAsia="zh-CN"/>
              </w:rPr>
            </w:pPr>
          </w:p>
        </w:tc>
      </w:tr>
      <w:tr w14:paraId="0D273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304" w:type="dxa"/>
            <w:tcBorders>
              <w:top w:val="nil"/>
            </w:tcBorders>
            <w:noWrap w:val="0"/>
            <w:vAlign w:val="center"/>
          </w:tcPr>
          <w:p w14:paraId="4850C93A">
            <w:pPr>
              <w:keepNext w:val="0"/>
              <w:keepLines w:val="0"/>
              <w:suppressLineNumbers w:val="0"/>
              <w:spacing w:before="0" w:beforeAutospacing="0" w:after="0" w:afterAutospacing="0" w:line="360" w:lineRule="exact"/>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投标人全称</w:t>
            </w:r>
          </w:p>
        </w:tc>
        <w:tc>
          <w:tcPr>
            <w:tcW w:w="6218" w:type="dxa"/>
            <w:tcBorders>
              <w:top w:val="nil"/>
            </w:tcBorders>
            <w:noWrap w:val="0"/>
            <w:vAlign w:val="center"/>
          </w:tcPr>
          <w:p w14:paraId="020638BA">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0"/>
                <w:highlight w:val="none"/>
              </w:rPr>
            </w:pPr>
          </w:p>
        </w:tc>
      </w:tr>
      <w:tr w14:paraId="07BCF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304" w:type="dxa"/>
            <w:tcBorders>
              <w:top w:val="nil"/>
            </w:tcBorders>
            <w:noWrap w:val="0"/>
            <w:vAlign w:val="center"/>
          </w:tcPr>
          <w:p w14:paraId="41801EA0">
            <w:pPr>
              <w:keepNext w:val="0"/>
              <w:keepLines w:val="0"/>
              <w:suppressLineNumbers w:val="0"/>
              <w:spacing w:before="0" w:beforeAutospacing="0" w:after="0" w:afterAutospacing="0" w:line="360" w:lineRule="exact"/>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投标范围</w:t>
            </w:r>
          </w:p>
        </w:tc>
        <w:tc>
          <w:tcPr>
            <w:tcW w:w="6218" w:type="dxa"/>
            <w:tcBorders>
              <w:top w:val="nil"/>
            </w:tcBorders>
            <w:noWrap w:val="0"/>
            <w:vAlign w:val="center"/>
          </w:tcPr>
          <w:p w14:paraId="777987A2">
            <w:pPr>
              <w:keepNext w:val="0"/>
              <w:keepLines w:val="0"/>
              <w:widowControl/>
              <w:suppressLineNumbers w:val="0"/>
              <w:spacing w:before="0" w:beforeAutospacing="0" w:after="0" w:afterAutospacing="0" w:line="360" w:lineRule="exact"/>
              <w:ind w:left="0" w:right="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全部</w:t>
            </w:r>
          </w:p>
        </w:tc>
      </w:tr>
      <w:tr w14:paraId="06A0C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8" w:hRule="atLeast"/>
          <w:jc w:val="center"/>
        </w:trPr>
        <w:tc>
          <w:tcPr>
            <w:tcW w:w="2304" w:type="dxa"/>
            <w:tcBorders>
              <w:top w:val="nil"/>
            </w:tcBorders>
            <w:noWrap w:val="0"/>
            <w:vAlign w:val="center"/>
          </w:tcPr>
          <w:p w14:paraId="3525E47F">
            <w:pPr>
              <w:keepNext w:val="0"/>
              <w:keepLines w:val="0"/>
              <w:suppressLineNumbers w:val="0"/>
              <w:spacing w:before="0" w:beforeAutospacing="0" w:after="0" w:afterAutospacing="0" w:line="360" w:lineRule="exact"/>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投标报价</w:t>
            </w:r>
          </w:p>
          <w:p w14:paraId="3123D4D7">
            <w:pPr>
              <w:keepNext w:val="0"/>
              <w:keepLines w:val="0"/>
              <w:suppressLineNumbers w:val="0"/>
              <w:spacing w:before="0" w:beforeAutospacing="0" w:after="0" w:afterAutospacing="0" w:line="360" w:lineRule="exact"/>
              <w:ind w:left="0" w:right="0"/>
              <w:jc w:val="center"/>
              <w:rPr>
                <w:rFonts w:hint="eastAsia" w:ascii="宋体" w:hAnsi="宋体" w:eastAsia="宋体" w:cs="宋体"/>
                <w:b/>
                <w:color w:val="auto"/>
                <w:sz w:val="24"/>
                <w:szCs w:val="20"/>
                <w:highlight w:val="none"/>
                <w:lang w:eastAsia="zh-CN"/>
              </w:rPr>
            </w:pPr>
            <w:r>
              <w:rPr>
                <w:rFonts w:hint="eastAsia" w:ascii="宋体" w:hAnsi="宋体" w:eastAsia="宋体" w:cs="宋体"/>
                <w:b w:val="0"/>
                <w:bCs/>
                <w:color w:val="auto"/>
                <w:sz w:val="24"/>
                <w:szCs w:val="20"/>
                <w:highlight w:val="none"/>
                <w:lang w:eastAsia="zh-CN"/>
              </w:rPr>
              <w:t>（</w:t>
            </w:r>
            <w:r>
              <w:rPr>
                <w:rFonts w:hint="eastAsia" w:ascii="宋体" w:hAnsi="宋体" w:eastAsia="宋体" w:cs="宋体"/>
                <w:b w:val="0"/>
                <w:bCs/>
                <w:color w:val="auto"/>
                <w:sz w:val="24"/>
                <w:highlight w:val="none"/>
              </w:rPr>
              <w:t>人民币元</w:t>
            </w:r>
            <w:r>
              <w:rPr>
                <w:rFonts w:hint="eastAsia" w:ascii="宋体" w:hAnsi="宋体" w:eastAsia="宋体" w:cs="宋体"/>
                <w:b w:val="0"/>
                <w:bCs/>
                <w:color w:val="auto"/>
                <w:sz w:val="24"/>
                <w:szCs w:val="20"/>
                <w:highlight w:val="none"/>
                <w:lang w:eastAsia="zh-CN"/>
              </w:rPr>
              <w:t>）</w:t>
            </w:r>
          </w:p>
        </w:tc>
        <w:tc>
          <w:tcPr>
            <w:tcW w:w="6218" w:type="dxa"/>
            <w:tcBorders>
              <w:top w:val="nil"/>
            </w:tcBorders>
            <w:noWrap w:val="0"/>
            <w:vAlign w:val="center"/>
          </w:tcPr>
          <w:p w14:paraId="26BFE26C">
            <w:pPr>
              <w:keepNext w:val="0"/>
              <w:keepLines w:val="0"/>
              <w:suppressLineNumbers w:val="0"/>
              <w:spacing w:before="0" w:beforeAutospacing="0" w:after="0" w:afterAutospacing="0" w:line="360" w:lineRule="exact"/>
              <w:ind w:left="0" w:right="0"/>
              <w:rPr>
                <w:rFonts w:hint="eastAsia" w:ascii="宋体" w:hAnsi="宋体" w:eastAsia="宋体" w:cs="宋体"/>
                <w:b/>
                <w:color w:val="auto"/>
                <w:sz w:val="24"/>
                <w:szCs w:val="20"/>
                <w:highlight w:val="none"/>
              </w:rPr>
            </w:pPr>
          </w:p>
          <w:p w14:paraId="67C7F9D0">
            <w:pPr>
              <w:keepNext w:val="0"/>
              <w:keepLines w:val="0"/>
              <w:suppressLineNumbers w:val="0"/>
              <w:spacing w:before="0" w:beforeAutospacing="0" w:after="0" w:afterAutospacing="0" w:line="360" w:lineRule="exact"/>
              <w:ind w:left="0" w:right="0"/>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大写：</w:t>
            </w:r>
            <w:r>
              <w:rPr>
                <w:rFonts w:hint="eastAsia" w:ascii="宋体" w:hAnsi="宋体" w:eastAsia="宋体" w:cs="宋体"/>
                <w:bCs/>
                <w:color w:val="auto"/>
                <w:sz w:val="24"/>
                <w:szCs w:val="20"/>
                <w:highlight w:val="none"/>
                <w:u w:val="single"/>
              </w:rPr>
              <w:t xml:space="preserve">                     </w:t>
            </w:r>
          </w:p>
          <w:p w14:paraId="1CF46FA0">
            <w:pPr>
              <w:keepNext w:val="0"/>
              <w:keepLines w:val="0"/>
              <w:suppressLineNumbers w:val="0"/>
              <w:spacing w:before="0" w:beforeAutospacing="0" w:after="0" w:afterAutospacing="0" w:line="360" w:lineRule="exact"/>
              <w:ind w:left="0" w:right="0"/>
              <w:rPr>
                <w:rFonts w:hint="eastAsia" w:ascii="宋体" w:hAnsi="宋体" w:eastAsia="宋体" w:cs="宋体"/>
                <w:bCs/>
                <w:color w:val="auto"/>
                <w:sz w:val="24"/>
                <w:szCs w:val="20"/>
                <w:highlight w:val="none"/>
              </w:rPr>
            </w:pPr>
          </w:p>
          <w:p w14:paraId="03E8C33A">
            <w:pPr>
              <w:keepNext w:val="0"/>
              <w:keepLines w:val="0"/>
              <w:suppressLineNumbers w:val="0"/>
              <w:spacing w:before="0" w:beforeAutospacing="0" w:after="0" w:afterAutospacing="0" w:line="360" w:lineRule="exact"/>
              <w:ind w:left="0" w:right="0"/>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小写：</w:t>
            </w:r>
            <w:r>
              <w:rPr>
                <w:rFonts w:hint="eastAsia" w:ascii="宋体" w:hAnsi="宋体" w:eastAsia="宋体" w:cs="宋体"/>
                <w:bCs/>
                <w:color w:val="auto"/>
                <w:sz w:val="24"/>
                <w:szCs w:val="20"/>
                <w:highlight w:val="none"/>
                <w:u w:val="single"/>
              </w:rPr>
              <w:t xml:space="preserve">                     </w:t>
            </w:r>
          </w:p>
          <w:p w14:paraId="19D5408C">
            <w:pPr>
              <w:keepNext w:val="0"/>
              <w:keepLines w:val="0"/>
              <w:suppressLineNumbers w:val="0"/>
              <w:spacing w:before="0" w:beforeAutospacing="0" w:after="0" w:afterAutospacing="0" w:line="360" w:lineRule="auto"/>
              <w:ind w:left="0" w:right="-670"/>
              <w:rPr>
                <w:rFonts w:hint="eastAsia" w:ascii="宋体" w:hAnsi="宋体" w:eastAsia="宋体" w:cs="宋体"/>
                <w:color w:val="auto"/>
                <w:sz w:val="24"/>
                <w:szCs w:val="20"/>
                <w:highlight w:val="none"/>
              </w:rPr>
            </w:pPr>
          </w:p>
        </w:tc>
      </w:tr>
      <w:tr w14:paraId="66A59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8" w:hRule="atLeast"/>
          <w:jc w:val="center"/>
        </w:trPr>
        <w:tc>
          <w:tcPr>
            <w:tcW w:w="2304" w:type="dxa"/>
            <w:tcBorders>
              <w:top w:val="nil"/>
            </w:tcBorders>
            <w:noWrap w:val="0"/>
            <w:vAlign w:val="center"/>
          </w:tcPr>
          <w:p w14:paraId="15FD07DA">
            <w:pPr>
              <w:keepNext w:val="0"/>
              <w:keepLines w:val="0"/>
              <w:suppressLineNumbers w:val="0"/>
              <w:spacing w:before="0" w:beforeAutospacing="0" w:after="0" w:afterAutospacing="0" w:line="360" w:lineRule="exact"/>
              <w:ind w:left="0" w:right="0"/>
              <w:jc w:val="center"/>
              <w:rPr>
                <w:rFonts w:hint="eastAsia" w:ascii="宋体" w:hAnsi="宋体" w:eastAsia="宋体" w:cs="宋体"/>
                <w:b/>
                <w:color w:val="auto"/>
                <w:sz w:val="24"/>
                <w:szCs w:val="20"/>
                <w:highlight w:val="none"/>
                <w:lang w:val="en-US" w:eastAsia="zh-CN"/>
              </w:rPr>
            </w:pPr>
            <w:r>
              <w:rPr>
                <w:rFonts w:hint="eastAsia" w:ascii="宋体" w:hAnsi="宋体" w:eastAsia="宋体" w:cs="宋体"/>
                <w:b/>
                <w:color w:val="auto"/>
                <w:sz w:val="24"/>
                <w:szCs w:val="20"/>
                <w:highlight w:val="none"/>
                <w:lang w:val="en-US" w:eastAsia="zh-CN"/>
              </w:rPr>
              <w:t>合同履行期限</w:t>
            </w:r>
          </w:p>
        </w:tc>
        <w:tc>
          <w:tcPr>
            <w:tcW w:w="6218" w:type="dxa"/>
            <w:tcBorders>
              <w:top w:val="nil"/>
            </w:tcBorders>
            <w:noWrap w:val="0"/>
            <w:vAlign w:val="center"/>
          </w:tcPr>
          <w:p w14:paraId="1B68B5FE">
            <w:pPr>
              <w:keepNext w:val="0"/>
              <w:keepLines w:val="0"/>
              <w:suppressLineNumbers w:val="0"/>
              <w:spacing w:before="0" w:beforeAutospacing="0" w:after="0" w:afterAutospacing="0" w:line="360" w:lineRule="auto"/>
              <w:ind w:left="0" w:right="-67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响应招标文件规定</w:t>
            </w:r>
          </w:p>
        </w:tc>
      </w:tr>
      <w:tr w14:paraId="2B4BA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0" w:hRule="atLeast"/>
          <w:jc w:val="center"/>
        </w:trPr>
        <w:tc>
          <w:tcPr>
            <w:tcW w:w="2304" w:type="dxa"/>
            <w:tcBorders>
              <w:top w:val="nil"/>
            </w:tcBorders>
            <w:noWrap w:val="0"/>
            <w:vAlign w:val="center"/>
          </w:tcPr>
          <w:p w14:paraId="71FF4B3A">
            <w:pPr>
              <w:keepNext w:val="0"/>
              <w:keepLines w:val="0"/>
              <w:suppressLineNumbers w:val="0"/>
              <w:spacing w:before="0" w:beforeAutospacing="0" w:after="0" w:afterAutospacing="0" w:line="360" w:lineRule="exact"/>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其他</w:t>
            </w:r>
          </w:p>
        </w:tc>
        <w:tc>
          <w:tcPr>
            <w:tcW w:w="6218" w:type="dxa"/>
            <w:tcBorders>
              <w:top w:val="nil"/>
            </w:tcBorders>
            <w:noWrap w:val="0"/>
            <w:vAlign w:val="center"/>
          </w:tcPr>
          <w:p w14:paraId="3B7D27DD">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8"/>
                <w:highlight w:val="none"/>
              </w:rPr>
            </w:pPr>
          </w:p>
        </w:tc>
      </w:tr>
    </w:tbl>
    <w:p w14:paraId="7806660E">
      <w:pPr>
        <w:spacing w:line="360" w:lineRule="auto"/>
        <w:ind w:firstLine="4320" w:firstLineChars="1800"/>
        <w:jc w:val="center"/>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lang w:val="en-US" w:eastAsia="zh-CN"/>
        </w:rPr>
        <w:t>投标人</w:t>
      </w:r>
      <w:r>
        <w:rPr>
          <w:rFonts w:hint="eastAsia" w:ascii="宋体" w:hAnsi="宋体" w:eastAsia="宋体" w:cs="宋体"/>
          <w:bCs/>
          <w:color w:val="auto"/>
          <w:sz w:val="24"/>
          <w:highlight w:val="none"/>
        </w:rPr>
        <w:t>电子签章：</w:t>
      </w:r>
      <w:r>
        <w:rPr>
          <w:rFonts w:hint="eastAsia" w:ascii="宋体" w:hAnsi="宋体" w:eastAsia="宋体" w:cs="宋体"/>
          <w:bCs/>
          <w:color w:val="auto"/>
          <w:sz w:val="24"/>
          <w:highlight w:val="none"/>
          <w:u w:val="single"/>
        </w:rPr>
        <w:t xml:space="preserve">             </w:t>
      </w:r>
    </w:p>
    <w:p w14:paraId="64531D23">
      <w:pPr>
        <w:spacing w:line="360" w:lineRule="auto"/>
        <w:ind w:firstLine="4320" w:firstLineChars="180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日          期：</w:t>
      </w:r>
      <w:r>
        <w:rPr>
          <w:rFonts w:hint="eastAsia" w:ascii="宋体" w:hAnsi="宋体" w:eastAsia="宋体" w:cs="宋体"/>
          <w:bCs/>
          <w:color w:val="auto"/>
          <w:sz w:val="24"/>
          <w:highlight w:val="none"/>
          <w:u w:val="single"/>
        </w:rPr>
        <w:t xml:space="preserve">             </w:t>
      </w:r>
    </w:p>
    <w:p w14:paraId="6BAC20E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26E5E990">
      <w:pPr>
        <w:spacing w:line="360" w:lineRule="auto"/>
        <w:ind w:firstLine="360" w:firstLineChars="150"/>
        <w:rPr>
          <w:rFonts w:hint="eastAsia" w:ascii="宋体" w:hAnsi="宋体" w:eastAsia="宋体" w:cs="宋体"/>
          <w:color w:val="auto"/>
          <w:sz w:val="24"/>
          <w:highlight w:val="none"/>
        </w:rPr>
      </w:pPr>
    </w:p>
    <w:p w14:paraId="6045390A">
      <w:pPr>
        <w:spacing w:line="360" w:lineRule="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注：</w:t>
      </w:r>
    </w:p>
    <w:p w14:paraId="776DEF7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1.此表用于开标唱标之用。</w:t>
      </w:r>
    </w:p>
    <w:p w14:paraId="2F3D362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2.表中投标报价即为优惠后报价，并作为评审及定标依据。任何有选择或有条件的投标报价，或者表中某一包别填写多个报价，均为无效报价。</w:t>
      </w:r>
    </w:p>
    <w:p w14:paraId="12201975">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.表中大写金额与小写金额不一致的，以大写金额为准。</w:t>
      </w:r>
      <w:r>
        <w:rPr>
          <w:rFonts w:hint="eastAsia" w:ascii="宋体" w:hAnsi="宋体" w:eastAsia="宋体" w:cs="宋体"/>
          <w:color w:val="auto"/>
          <w:sz w:val="24"/>
          <w:highlight w:val="none"/>
        </w:rPr>
        <w:br w:type="page"/>
      </w:r>
    </w:p>
    <w:p w14:paraId="51EE9A04">
      <w:pPr>
        <w:spacing w:line="360" w:lineRule="auto"/>
        <w:jc w:val="center"/>
        <w:outlineLvl w:val="1"/>
        <w:rPr>
          <w:rFonts w:hint="eastAsia" w:ascii="宋体" w:hAnsi="宋体" w:eastAsia="宋体" w:cs="宋体"/>
          <w:b/>
          <w:color w:val="auto"/>
          <w:sz w:val="24"/>
          <w:highlight w:val="none"/>
        </w:rPr>
      </w:pPr>
      <w:bookmarkStart w:id="54" w:name="_Toc18010"/>
      <w:bookmarkStart w:id="55" w:name="_Toc6441"/>
      <w:r>
        <w:rPr>
          <w:rFonts w:hint="eastAsia" w:ascii="宋体" w:hAnsi="宋体" w:eastAsia="宋体" w:cs="宋体"/>
          <w:b/>
          <w:color w:val="auto"/>
          <w:sz w:val="24"/>
          <w:highlight w:val="none"/>
        </w:rPr>
        <w:t>二、投标函</w:t>
      </w:r>
      <w:bookmarkEnd w:id="54"/>
      <w:bookmarkEnd w:id="55"/>
    </w:p>
    <w:p w14:paraId="1B5EF574">
      <w:pPr>
        <w:pStyle w:val="15"/>
        <w:spacing w:line="360" w:lineRule="auto"/>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lang w:eastAsia="zh-CN"/>
        </w:rPr>
        <w:t>采购人</w:t>
      </w:r>
    </w:p>
    <w:p w14:paraId="696FDF30">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根据贵方的招标公告和投标邀请，我方兹宣布同意如下：</w:t>
      </w:r>
    </w:p>
    <w:p w14:paraId="3B88613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我方根据招标文件的规定，严格履行合同的责任和义务,并保证于买方要求的日期内完成，并通过买方验收。</w:t>
      </w:r>
    </w:p>
    <w:p w14:paraId="5CCC6B6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.我方已详细审核全部招标文件，包括招标文件</w:t>
      </w:r>
      <w:r>
        <w:rPr>
          <w:rFonts w:hint="eastAsia" w:ascii="宋体" w:hAnsi="宋体" w:eastAsia="宋体" w:cs="宋体"/>
          <w:color w:val="auto"/>
          <w:sz w:val="24"/>
          <w:highlight w:val="none"/>
          <w:lang w:val="en-US" w:eastAsia="zh-CN"/>
        </w:rPr>
        <w:t>附件及更正公告（如有）</w:t>
      </w:r>
      <w:r>
        <w:rPr>
          <w:rFonts w:hint="eastAsia" w:ascii="宋体" w:hAnsi="宋体" w:eastAsia="宋体" w:cs="宋体"/>
          <w:color w:val="auto"/>
          <w:sz w:val="24"/>
          <w:highlight w:val="none"/>
        </w:rPr>
        <w:t>，我方正式认可并遵守本次招标文件，并对招标文件各项条款、规定及要求均无异议。</w:t>
      </w:r>
    </w:p>
    <w:p w14:paraId="55A155E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.我方同意从招标文件规定的开标日期起遵循本招标文件，并在招标文件规定的投标有效期之前均具有约束力。</w:t>
      </w:r>
    </w:p>
    <w:p w14:paraId="6214A7F1">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我方声明投标文件所提供的一切资料均真实无误、及时、有效，企业运营正常。由于我方提供资料不实而造成的责任和后果由我方承担。我方同意按照贵方提出的要求，提供与投标有关的任何证据、数据或资料。</w:t>
      </w:r>
    </w:p>
    <w:p w14:paraId="4C832FE0">
      <w:pPr>
        <w:spacing w:line="360" w:lineRule="auto"/>
        <w:ind w:firstLine="4800" w:firstLineChars="2000"/>
        <w:rPr>
          <w:rFonts w:hint="eastAsia" w:ascii="宋体" w:hAnsi="宋体" w:eastAsia="宋体" w:cs="宋体"/>
          <w:color w:val="auto"/>
          <w:sz w:val="24"/>
          <w:highlight w:val="none"/>
        </w:rPr>
      </w:pPr>
    </w:p>
    <w:p w14:paraId="7833B218">
      <w:pPr>
        <w:spacing w:line="360" w:lineRule="auto"/>
        <w:ind w:firstLine="4800" w:firstLineChars="20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投标人电子签章：</w:t>
      </w:r>
      <w:r>
        <w:rPr>
          <w:rFonts w:hint="eastAsia" w:ascii="宋体" w:hAnsi="宋体" w:eastAsia="宋体" w:cs="宋体"/>
          <w:color w:val="auto"/>
          <w:sz w:val="24"/>
          <w:highlight w:val="none"/>
          <w:u w:val="single"/>
        </w:rPr>
        <w:t xml:space="preserve">             </w:t>
      </w:r>
    </w:p>
    <w:p w14:paraId="3CF3E66E">
      <w:pPr>
        <w:spacing w:line="360" w:lineRule="auto"/>
        <w:ind w:firstLine="4800" w:firstLineChars="20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14:paraId="5C5A9548">
      <w:pPr>
        <w:widowControl/>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br w:type="page"/>
      </w:r>
    </w:p>
    <w:p w14:paraId="7F57E0BB">
      <w:pPr>
        <w:spacing w:line="360" w:lineRule="auto"/>
        <w:jc w:val="center"/>
        <w:outlineLvl w:val="1"/>
        <w:rPr>
          <w:rFonts w:hint="eastAsia" w:ascii="宋体" w:hAnsi="宋体" w:eastAsia="宋体" w:cs="宋体"/>
          <w:b/>
          <w:color w:val="auto"/>
          <w:sz w:val="24"/>
          <w:highlight w:val="none"/>
        </w:rPr>
      </w:pPr>
      <w:bookmarkStart w:id="56" w:name="_Toc1328"/>
      <w:r>
        <w:rPr>
          <w:rFonts w:hint="eastAsia" w:ascii="宋体" w:hAnsi="宋体" w:eastAsia="宋体" w:cs="宋体"/>
          <w:b/>
          <w:color w:val="auto"/>
          <w:sz w:val="24"/>
          <w:highlight w:val="none"/>
          <w:lang w:val="en-US" w:eastAsia="zh-CN"/>
        </w:rPr>
        <w:t>三．投标人资格声明书</w:t>
      </w:r>
      <w:bookmarkEnd w:id="56"/>
      <w:r>
        <w:rPr>
          <w:rFonts w:hint="eastAsia" w:ascii="宋体" w:hAnsi="宋体" w:eastAsia="宋体" w:cs="宋体"/>
          <w:b/>
          <w:color w:val="auto"/>
          <w:sz w:val="24"/>
          <w:highlight w:val="none"/>
          <w:lang w:val="en-US" w:eastAsia="zh-CN"/>
        </w:rPr>
        <w:t xml:space="preserve"> </w:t>
      </w:r>
    </w:p>
    <w:p w14:paraId="3103C3ED">
      <w:pPr>
        <w:pStyle w:val="15"/>
        <w:spacing w:line="360" w:lineRule="auto"/>
        <w:rPr>
          <w:rFonts w:hint="eastAsia" w:ascii="宋体" w:hAnsi="宋体" w:eastAsia="宋体" w:cs="宋体"/>
          <w:sz w:val="24"/>
          <w:szCs w:val="24"/>
          <w:highlight w:val="none"/>
          <w:lang w:eastAsia="zh-CN"/>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lang w:eastAsia="zh-CN"/>
        </w:rPr>
        <w:t>采购人</w:t>
      </w:r>
    </w:p>
    <w:p w14:paraId="23140E8D">
      <w:pPr>
        <w:spacing w:line="24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我单位参加本项目投标活动，郑重声明如下：</w:t>
      </w:r>
    </w:p>
    <w:p w14:paraId="3278B710">
      <w:pPr>
        <w:spacing w:line="24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1.我单位符合</w:t>
      </w:r>
      <w:r>
        <w:rPr>
          <w:rFonts w:hint="eastAsia" w:ascii="宋体" w:hAnsi="宋体" w:eastAsia="宋体" w:cs="宋体"/>
          <w:color w:val="auto"/>
          <w:sz w:val="24"/>
          <w:szCs w:val="24"/>
          <w:highlight w:val="none"/>
        </w:rPr>
        <w:t>《中</w:t>
      </w:r>
      <w:r>
        <w:rPr>
          <w:rFonts w:hint="eastAsia" w:ascii="宋体" w:hAnsi="宋体" w:eastAsia="宋体" w:cs="宋体"/>
          <w:color w:val="auto"/>
          <w:sz w:val="24"/>
          <w:highlight w:val="none"/>
        </w:rPr>
        <w:t>华人民共和国政府采购法》第二十二条规定：</w:t>
      </w:r>
    </w:p>
    <w:p w14:paraId="5F3F437E">
      <w:pPr>
        <w:spacing w:line="24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2B606C9C">
      <w:pPr>
        <w:spacing w:line="24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14:paraId="0F85B950">
      <w:pPr>
        <w:spacing w:line="24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6AC40FC7">
      <w:pPr>
        <w:spacing w:line="24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595DE680">
      <w:pPr>
        <w:spacing w:line="24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1CA515F1">
      <w:pPr>
        <w:spacing w:line="24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（6）法律、行政法规规定的其他条件。</w:t>
      </w:r>
    </w:p>
    <w:p w14:paraId="0CD2264A">
      <w:pPr>
        <w:spacing w:line="24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2.我单位不是为本项目提供过整体设计、规范编制或者项目管理、监理、检测等服务的供应商。</w:t>
      </w:r>
    </w:p>
    <w:p w14:paraId="7F93CB60">
      <w:pPr>
        <w:spacing w:line="240" w:lineRule="auto"/>
        <w:ind w:firstLine="435"/>
        <w:rPr>
          <w:rFonts w:hint="eastAsia" w:ascii="宋体" w:hAnsi="宋体" w:eastAsia="宋体" w:cs="宋体"/>
          <w:color w:val="auto"/>
          <w:sz w:val="24"/>
          <w:highlight w:val="none"/>
        </w:rPr>
      </w:pPr>
      <w:bookmarkStart w:id="57" w:name="_Hlk60605374"/>
      <w:r>
        <w:rPr>
          <w:rFonts w:hint="eastAsia" w:ascii="宋体" w:hAnsi="宋体" w:eastAsia="宋体" w:cs="宋体"/>
          <w:color w:val="auto"/>
          <w:sz w:val="24"/>
          <w:highlight w:val="none"/>
        </w:rPr>
        <w:t>3.我单位直接控股及管理关系如下表：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5"/>
        <w:gridCol w:w="1549"/>
        <w:gridCol w:w="4698"/>
      </w:tblGrid>
      <w:tr w14:paraId="6CE93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05" w:type="dxa"/>
            <w:noWrap w:val="0"/>
            <w:vAlign w:val="center"/>
          </w:tcPr>
          <w:p w14:paraId="33335C6F">
            <w:pPr>
              <w:keepNext w:val="0"/>
              <w:keepLines w:val="0"/>
              <w:suppressLineNumbers w:val="0"/>
              <w:adjustRightInd w:val="0"/>
              <w:snapToGrid w:val="0"/>
              <w:spacing w:before="31" w:beforeLines="10" w:beforeAutospacing="0" w:after="31" w:afterLines="10" w:afterAutospacing="0" w:line="0" w:lineRule="atLeas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单位名称（全称）</w:t>
            </w:r>
          </w:p>
        </w:tc>
        <w:tc>
          <w:tcPr>
            <w:tcW w:w="6247" w:type="dxa"/>
            <w:gridSpan w:val="2"/>
            <w:noWrap w:val="0"/>
            <w:vAlign w:val="center"/>
          </w:tcPr>
          <w:p w14:paraId="0952242A">
            <w:pPr>
              <w:keepNext w:val="0"/>
              <w:keepLines w:val="0"/>
              <w:suppressLineNumbers w:val="0"/>
              <w:adjustRightInd w:val="0"/>
              <w:snapToGrid w:val="0"/>
              <w:spacing w:before="31" w:beforeLines="10" w:beforeAutospacing="0" w:after="31" w:afterLines="10" w:afterAutospacing="0" w:line="0" w:lineRule="atLeast"/>
              <w:ind w:left="0" w:right="0"/>
              <w:rPr>
                <w:rFonts w:hint="eastAsia" w:ascii="宋体" w:hAnsi="宋体" w:eastAsia="宋体" w:cs="宋体"/>
                <w:color w:val="auto"/>
                <w:sz w:val="24"/>
                <w:szCs w:val="24"/>
                <w:highlight w:val="none"/>
              </w:rPr>
            </w:pPr>
          </w:p>
        </w:tc>
      </w:tr>
      <w:tr w14:paraId="441BC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05" w:type="dxa"/>
            <w:vMerge w:val="restart"/>
            <w:noWrap w:val="0"/>
            <w:vAlign w:val="center"/>
          </w:tcPr>
          <w:p w14:paraId="6A843471">
            <w:pPr>
              <w:keepNext w:val="0"/>
              <w:keepLines w:val="0"/>
              <w:suppressLineNumbers w:val="0"/>
              <w:adjustRightInd w:val="0"/>
              <w:snapToGrid w:val="0"/>
              <w:spacing w:before="31" w:beforeLines="10" w:beforeAutospacing="0" w:after="31" w:afterLines="10" w:afterAutospacing="0" w:line="0" w:lineRule="atLeas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w:t>
            </w:r>
          </w:p>
        </w:tc>
        <w:tc>
          <w:tcPr>
            <w:tcW w:w="1549" w:type="dxa"/>
            <w:noWrap w:val="0"/>
            <w:vAlign w:val="center"/>
          </w:tcPr>
          <w:p w14:paraId="781DCBF6">
            <w:pPr>
              <w:keepNext w:val="0"/>
              <w:keepLines w:val="0"/>
              <w:suppressLineNumbers w:val="0"/>
              <w:adjustRightInd w:val="0"/>
              <w:snapToGrid w:val="0"/>
              <w:spacing w:before="31" w:beforeLines="10" w:beforeAutospacing="0" w:after="31" w:afterLines="10" w:afterAutospacing="0" w:line="0" w:lineRule="atLeas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p>
        </w:tc>
        <w:tc>
          <w:tcPr>
            <w:tcW w:w="4698" w:type="dxa"/>
            <w:noWrap w:val="0"/>
            <w:vAlign w:val="center"/>
          </w:tcPr>
          <w:p w14:paraId="511CCE16">
            <w:pPr>
              <w:keepNext w:val="0"/>
              <w:keepLines w:val="0"/>
              <w:suppressLineNumbers w:val="0"/>
              <w:adjustRightInd w:val="0"/>
              <w:snapToGrid w:val="0"/>
              <w:spacing w:before="31" w:beforeLines="10" w:beforeAutospacing="0" w:after="31" w:afterLines="10" w:afterAutospacing="0" w:line="0" w:lineRule="atLeast"/>
              <w:ind w:left="0" w:right="0"/>
              <w:rPr>
                <w:rFonts w:hint="eastAsia" w:ascii="宋体" w:hAnsi="宋体" w:eastAsia="宋体" w:cs="宋体"/>
                <w:color w:val="auto"/>
                <w:sz w:val="24"/>
                <w:szCs w:val="24"/>
                <w:highlight w:val="none"/>
              </w:rPr>
            </w:pPr>
          </w:p>
        </w:tc>
      </w:tr>
      <w:tr w14:paraId="3F73A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05" w:type="dxa"/>
            <w:vMerge w:val="continue"/>
            <w:noWrap w:val="0"/>
            <w:vAlign w:val="center"/>
          </w:tcPr>
          <w:p w14:paraId="27A2479D">
            <w:pPr>
              <w:keepNext w:val="0"/>
              <w:keepLines w:val="0"/>
              <w:suppressLineNumbers w:val="0"/>
              <w:adjustRightInd w:val="0"/>
              <w:snapToGrid w:val="0"/>
              <w:spacing w:before="31" w:beforeLines="10" w:beforeAutospacing="0" w:after="31" w:afterLines="10" w:afterAutospacing="0" w:line="0" w:lineRule="atLeast"/>
              <w:ind w:left="0" w:right="0"/>
              <w:rPr>
                <w:rFonts w:hint="eastAsia" w:ascii="宋体" w:hAnsi="宋体" w:eastAsia="宋体" w:cs="宋体"/>
                <w:color w:val="auto"/>
                <w:sz w:val="24"/>
                <w:szCs w:val="24"/>
                <w:highlight w:val="none"/>
              </w:rPr>
            </w:pPr>
          </w:p>
        </w:tc>
        <w:tc>
          <w:tcPr>
            <w:tcW w:w="1549" w:type="dxa"/>
            <w:noWrap w:val="0"/>
            <w:vAlign w:val="center"/>
          </w:tcPr>
          <w:p w14:paraId="0477D405">
            <w:pPr>
              <w:keepNext w:val="0"/>
              <w:keepLines w:val="0"/>
              <w:suppressLineNumbers w:val="0"/>
              <w:adjustRightInd w:val="0"/>
              <w:snapToGrid w:val="0"/>
              <w:spacing w:before="31" w:beforeLines="10" w:beforeAutospacing="0" w:after="31" w:afterLines="10" w:afterAutospacing="0" w:line="0" w:lineRule="atLeas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p>
        </w:tc>
        <w:tc>
          <w:tcPr>
            <w:tcW w:w="4698" w:type="dxa"/>
            <w:noWrap w:val="0"/>
            <w:vAlign w:val="center"/>
          </w:tcPr>
          <w:p w14:paraId="60D5C000">
            <w:pPr>
              <w:keepNext w:val="0"/>
              <w:keepLines w:val="0"/>
              <w:suppressLineNumbers w:val="0"/>
              <w:adjustRightInd w:val="0"/>
              <w:snapToGrid w:val="0"/>
              <w:spacing w:before="31" w:beforeLines="10" w:beforeAutospacing="0" w:after="31" w:afterLines="10" w:afterAutospacing="0" w:line="0" w:lineRule="atLeast"/>
              <w:ind w:left="0" w:right="0"/>
              <w:rPr>
                <w:rFonts w:hint="eastAsia" w:ascii="宋体" w:hAnsi="宋体" w:eastAsia="宋体" w:cs="宋体"/>
                <w:color w:val="auto"/>
                <w:sz w:val="24"/>
                <w:szCs w:val="24"/>
                <w:highlight w:val="none"/>
              </w:rPr>
            </w:pPr>
          </w:p>
        </w:tc>
      </w:tr>
      <w:tr w14:paraId="4DC44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05" w:type="dxa"/>
            <w:noWrap w:val="0"/>
            <w:vAlign w:val="center"/>
          </w:tcPr>
          <w:p w14:paraId="1198EB45">
            <w:pPr>
              <w:keepNext w:val="0"/>
              <w:keepLines w:val="0"/>
              <w:suppressLineNumbers w:val="0"/>
              <w:adjustRightInd w:val="0"/>
              <w:snapToGrid w:val="0"/>
              <w:spacing w:before="31" w:beforeLines="10" w:beforeAutospacing="0" w:after="31" w:afterLines="10" w:afterAutospacing="0" w:line="0" w:lineRule="atLeas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股东/投资关系（按出资比例从高到低列明所有股东及投资人）</w:t>
            </w:r>
          </w:p>
        </w:tc>
        <w:tc>
          <w:tcPr>
            <w:tcW w:w="6247" w:type="dxa"/>
            <w:gridSpan w:val="2"/>
            <w:noWrap w:val="0"/>
            <w:vAlign w:val="center"/>
          </w:tcPr>
          <w:p w14:paraId="38F3BFDB">
            <w:pPr>
              <w:keepNext w:val="0"/>
              <w:keepLines w:val="0"/>
              <w:suppressLineNumbers w:val="0"/>
              <w:adjustRightInd w:val="0"/>
              <w:snapToGrid w:val="0"/>
              <w:spacing w:before="31" w:beforeLines="10" w:beforeAutospacing="0" w:after="31" w:afterLines="10" w:afterAutospacing="0" w:line="0" w:lineRule="atLeast"/>
              <w:ind w:left="0" w:right="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股东（投资人）全称：</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出资比例：</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w:t>
            </w:r>
          </w:p>
          <w:p w14:paraId="3EB9E259">
            <w:pPr>
              <w:keepNext w:val="0"/>
              <w:keepLines w:val="0"/>
              <w:suppressLineNumbers w:val="0"/>
              <w:adjustRightInd w:val="0"/>
              <w:snapToGrid w:val="0"/>
              <w:spacing w:before="31" w:beforeLines="10" w:beforeAutospacing="0" w:after="31" w:afterLines="10" w:afterAutospacing="0" w:line="0" w:lineRule="atLeast"/>
              <w:ind w:left="0" w:right="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股东（投资人）全称：</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出资比例：</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w:t>
            </w:r>
          </w:p>
          <w:p w14:paraId="45ECB43B">
            <w:pPr>
              <w:pStyle w:val="26"/>
              <w:keepNext w:val="0"/>
              <w:keepLines w:val="0"/>
              <w:suppressLineNumbers w:val="0"/>
              <w:spacing w:before="0" w:beforeAutospacing="0" w:after="0" w:afterAutospacing="0"/>
              <w:ind w:left="0" w:right="0" w:firstLine="0" w:firstLineChars="0"/>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lang w:val="en-US"/>
              </w:rPr>
              <w:t>股东（投资人）全称：</w:t>
            </w:r>
            <w:r>
              <w:rPr>
                <w:rFonts w:hint="eastAsia" w:ascii="宋体" w:hAnsi="宋体" w:eastAsia="宋体" w:cs="宋体"/>
                <w:bCs/>
                <w:color w:val="auto"/>
                <w:sz w:val="24"/>
                <w:szCs w:val="20"/>
                <w:highlight w:val="none"/>
                <w:u w:val="single"/>
                <w:lang w:val="en-US"/>
              </w:rPr>
              <w:t xml:space="preserve">         </w:t>
            </w:r>
            <w:r>
              <w:rPr>
                <w:rFonts w:hint="eastAsia" w:ascii="宋体" w:hAnsi="宋体" w:eastAsia="宋体" w:cs="宋体"/>
                <w:bCs/>
                <w:color w:val="auto"/>
                <w:sz w:val="24"/>
                <w:szCs w:val="20"/>
                <w:highlight w:val="none"/>
                <w:u w:val="single"/>
              </w:rPr>
              <w:t>，</w:t>
            </w:r>
            <w:r>
              <w:rPr>
                <w:rFonts w:hint="eastAsia" w:ascii="宋体" w:hAnsi="宋体" w:eastAsia="宋体" w:cs="宋体"/>
                <w:bCs/>
                <w:color w:val="auto"/>
                <w:sz w:val="24"/>
                <w:szCs w:val="20"/>
                <w:highlight w:val="none"/>
              </w:rPr>
              <w:t>出资比例：</w:t>
            </w:r>
            <w:r>
              <w:rPr>
                <w:rFonts w:hint="eastAsia" w:ascii="宋体" w:hAnsi="宋体" w:eastAsia="宋体" w:cs="宋体"/>
                <w:bCs/>
                <w:color w:val="auto"/>
                <w:sz w:val="24"/>
                <w:szCs w:val="20"/>
                <w:highlight w:val="none"/>
                <w:u w:val="single"/>
                <w:lang w:val="en-US"/>
              </w:rPr>
              <w:t xml:space="preserve">     %</w:t>
            </w:r>
            <w:r>
              <w:rPr>
                <w:rFonts w:hint="eastAsia" w:ascii="宋体" w:hAnsi="宋体" w:eastAsia="宋体" w:cs="宋体"/>
                <w:bCs/>
                <w:color w:val="auto"/>
                <w:sz w:val="24"/>
                <w:szCs w:val="20"/>
                <w:highlight w:val="none"/>
              </w:rPr>
              <w:t>，</w:t>
            </w:r>
          </w:p>
          <w:p w14:paraId="707211F6">
            <w:pPr>
              <w:pStyle w:val="26"/>
              <w:keepNext w:val="0"/>
              <w:keepLines w:val="0"/>
              <w:suppressLineNumbers w:val="0"/>
              <w:spacing w:before="0" w:beforeAutospacing="0" w:after="0" w:afterAutospacing="0"/>
              <w:ind w:left="0" w:right="0" w:firstLine="0" w:firstLineChars="0"/>
              <w:rPr>
                <w:rFonts w:hint="eastAsia" w:ascii="宋体" w:hAnsi="宋体" w:eastAsia="宋体" w:cs="宋体"/>
                <w:bCs/>
                <w:color w:val="auto"/>
                <w:sz w:val="24"/>
                <w:szCs w:val="20"/>
                <w:highlight w:val="none"/>
                <w:u w:val="single"/>
              </w:rPr>
            </w:pPr>
            <w:r>
              <w:rPr>
                <w:rFonts w:hint="eastAsia" w:ascii="宋体" w:hAnsi="宋体" w:eastAsia="宋体" w:cs="宋体"/>
                <w:bCs/>
                <w:color w:val="auto"/>
                <w:sz w:val="24"/>
                <w:szCs w:val="20"/>
                <w:highlight w:val="none"/>
              </w:rPr>
              <w:t>···</w:t>
            </w:r>
          </w:p>
        </w:tc>
      </w:tr>
      <w:tr w14:paraId="46CBD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05" w:type="dxa"/>
            <w:vMerge w:val="restart"/>
            <w:noWrap w:val="0"/>
            <w:vAlign w:val="center"/>
          </w:tcPr>
          <w:p w14:paraId="7A6AF56D">
            <w:pPr>
              <w:keepNext w:val="0"/>
              <w:keepLines w:val="0"/>
              <w:suppressLineNumbers w:val="0"/>
              <w:adjustRightInd w:val="0"/>
              <w:snapToGrid w:val="0"/>
              <w:spacing w:before="31" w:beforeLines="10" w:beforeAutospacing="0" w:after="31" w:afterLines="10" w:afterAutospacing="0" w:line="0" w:lineRule="atLeas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直接管理关系</w:t>
            </w:r>
          </w:p>
        </w:tc>
        <w:tc>
          <w:tcPr>
            <w:tcW w:w="1549" w:type="dxa"/>
            <w:noWrap w:val="0"/>
            <w:vAlign w:val="center"/>
          </w:tcPr>
          <w:p w14:paraId="3D41AB44">
            <w:pPr>
              <w:keepNext w:val="0"/>
              <w:keepLines w:val="0"/>
              <w:suppressLineNumbers w:val="0"/>
              <w:adjustRightInd w:val="0"/>
              <w:snapToGrid w:val="0"/>
              <w:spacing w:before="31" w:beforeLines="10" w:beforeAutospacing="0" w:after="31" w:afterLines="10" w:afterAutospacing="0" w:line="0" w:lineRule="atLeas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管理关系单位</w:t>
            </w:r>
          </w:p>
        </w:tc>
        <w:tc>
          <w:tcPr>
            <w:tcW w:w="4698" w:type="dxa"/>
            <w:noWrap w:val="0"/>
            <w:vAlign w:val="center"/>
          </w:tcPr>
          <w:p w14:paraId="697AC15D">
            <w:pPr>
              <w:keepNext w:val="0"/>
              <w:keepLines w:val="0"/>
              <w:suppressLineNumbers w:val="0"/>
              <w:adjustRightInd w:val="0"/>
              <w:snapToGrid w:val="0"/>
              <w:spacing w:before="31" w:beforeLines="10" w:beforeAutospacing="0" w:after="31" w:afterLines="10" w:afterAutospacing="0" w:line="0" w:lineRule="atLeas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管理单位全称：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04C658F">
            <w:pPr>
              <w:keepNext w:val="0"/>
              <w:keepLines w:val="0"/>
              <w:suppressLineNumbers w:val="0"/>
              <w:adjustRightInd w:val="0"/>
              <w:snapToGrid w:val="0"/>
              <w:spacing w:before="31" w:beforeLines="10" w:beforeAutospacing="0" w:after="31" w:afterLines="10" w:afterAutospacing="0" w:line="0" w:lineRule="atLeas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管理单位全称：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B969BC3">
            <w:pPr>
              <w:pStyle w:val="26"/>
              <w:keepNext w:val="0"/>
              <w:keepLines w:val="0"/>
              <w:suppressLineNumbers w:val="0"/>
              <w:spacing w:before="0" w:beforeAutospacing="0" w:after="0" w:afterAutospacing="0"/>
              <w:ind w:left="0" w:right="0" w:firstLine="0" w:firstLineChars="0"/>
              <w:rPr>
                <w:rFonts w:hint="eastAsia" w:ascii="宋体" w:hAnsi="宋体" w:eastAsia="宋体" w:cs="宋体"/>
                <w:color w:val="auto"/>
                <w:szCs w:val="20"/>
                <w:highlight w:val="none"/>
                <w:lang w:val="en-US"/>
              </w:rPr>
            </w:pPr>
            <w:r>
              <w:rPr>
                <w:rFonts w:hint="eastAsia" w:ascii="宋体" w:hAnsi="宋体" w:eastAsia="宋体" w:cs="宋体"/>
                <w:bCs/>
                <w:color w:val="auto"/>
                <w:sz w:val="24"/>
                <w:szCs w:val="20"/>
                <w:highlight w:val="none"/>
              </w:rPr>
              <w:t>···</w:t>
            </w:r>
          </w:p>
        </w:tc>
      </w:tr>
      <w:tr w14:paraId="579EC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05" w:type="dxa"/>
            <w:vMerge w:val="continue"/>
            <w:noWrap w:val="0"/>
            <w:vAlign w:val="center"/>
          </w:tcPr>
          <w:p w14:paraId="6B942B2E">
            <w:pPr>
              <w:keepNext w:val="0"/>
              <w:keepLines w:val="0"/>
              <w:suppressLineNumbers w:val="0"/>
              <w:adjustRightInd w:val="0"/>
              <w:snapToGrid w:val="0"/>
              <w:spacing w:before="31" w:beforeLines="10" w:beforeAutospacing="0" w:after="31" w:afterLines="10" w:afterAutospacing="0" w:line="0" w:lineRule="atLeast"/>
              <w:ind w:left="0" w:right="0"/>
              <w:rPr>
                <w:rFonts w:hint="eastAsia" w:ascii="宋体" w:hAnsi="宋体" w:eastAsia="宋体" w:cs="宋体"/>
                <w:color w:val="auto"/>
                <w:sz w:val="24"/>
                <w:szCs w:val="24"/>
                <w:highlight w:val="none"/>
              </w:rPr>
            </w:pPr>
          </w:p>
        </w:tc>
        <w:tc>
          <w:tcPr>
            <w:tcW w:w="1549" w:type="dxa"/>
            <w:noWrap w:val="0"/>
            <w:vAlign w:val="center"/>
          </w:tcPr>
          <w:p w14:paraId="6DBE3DCA">
            <w:pPr>
              <w:keepNext w:val="0"/>
              <w:keepLines w:val="0"/>
              <w:suppressLineNumbers w:val="0"/>
              <w:adjustRightInd w:val="0"/>
              <w:snapToGrid w:val="0"/>
              <w:spacing w:before="31" w:beforeLines="10" w:beforeAutospacing="0" w:after="31" w:afterLines="10" w:afterAutospacing="0" w:line="0" w:lineRule="atLeas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被管理关系单位</w:t>
            </w:r>
          </w:p>
        </w:tc>
        <w:tc>
          <w:tcPr>
            <w:tcW w:w="4698" w:type="dxa"/>
            <w:noWrap w:val="0"/>
            <w:vAlign w:val="center"/>
          </w:tcPr>
          <w:p w14:paraId="5B5687BC">
            <w:pPr>
              <w:keepNext w:val="0"/>
              <w:keepLines w:val="0"/>
              <w:suppressLineNumbers w:val="0"/>
              <w:adjustRightInd w:val="0"/>
              <w:snapToGrid w:val="0"/>
              <w:spacing w:before="31" w:beforeLines="10" w:beforeAutospacing="0" w:after="31" w:afterLines="10" w:afterAutospacing="0" w:line="0" w:lineRule="atLeas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被管理单位全称：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503B921">
            <w:pPr>
              <w:keepNext w:val="0"/>
              <w:keepLines w:val="0"/>
              <w:suppressLineNumbers w:val="0"/>
              <w:adjustRightInd w:val="0"/>
              <w:snapToGrid w:val="0"/>
              <w:spacing w:before="31" w:beforeLines="10" w:beforeAutospacing="0" w:after="31" w:afterLines="10" w:afterAutospacing="0" w:line="0" w:lineRule="atLeas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被管理单位全称：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7C5E302">
            <w:pPr>
              <w:keepNext w:val="0"/>
              <w:keepLines w:val="0"/>
              <w:suppressLineNumbers w:val="0"/>
              <w:adjustRightInd w:val="0"/>
              <w:snapToGrid w:val="0"/>
              <w:spacing w:before="31" w:beforeLines="10" w:beforeAutospacing="0" w:after="31" w:afterLines="10" w:afterAutospacing="0" w:line="0" w:lineRule="atLeast"/>
              <w:ind w:left="0" w:right="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w:t>
            </w:r>
          </w:p>
        </w:tc>
      </w:tr>
      <w:tr w14:paraId="2FB37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52" w:type="dxa"/>
            <w:gridSpan w:val="3"/>
            <w:noWrap w:val="0"/>
            <w:vAlign w:val="center"/>
          </w:tcPr>
          <w:p w14:paraId="6DF31A76">
            <w:pPr>
              <w:keepNext w:val="0"/>
              <w:keepLines w:val="0"/>
              <w:suppressLineNumbers w:val="0"/>
              <w:adjustRightInd w:val="0"/>
              <w:snapToGrid w:val="0"/>
              <w:spacing w:before="31" w:beforeLines="10" w:beforeAutospacing="0" w:after="31" w:afterLines="10" w:afterAutospacing="0" w:line="0" w:lineRule="atLeas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bl>
    <w:p w14:paraId="382ABC91">
      <w:pPr>
        <w:spacing w:line="24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注：（1）控股股东/投资人是指出资比例在50%以上，或者出资比例不足50%，但享有公司股东会/董事会控制权的投资方（含单位或者个人）。</w:t>
      </w:r>
    </w:p>
    <w:p w14:paraId="493B4CA1">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（2）管理关系单位是指与不具有出资持股关系的其他单位之间存在管理与被管理关系的单位。</w:t>
      </w:r>
    </w:p>
    <w:p w14:paraId="571DB44D">
      <w:pPr>
        <w:spacing w:line="240" w:lineRule="auto"/>
        <w:ind w:firstLine="420" w:firstLineChars="200"/>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（3）</w:t>
      </w:r>
      <w:r>
        <w:rPr>
          <w:rFonts w:hint="eastAsia" w:ascii="宋体" w:hAnsi="宋体" w:eastAsia="宋体" w:cs="宋体"/>
          <w:color w:val="auto"/>
          <w:szCs w:val="21"/>
          <w:highlight w:val="none"/>
        </w:rPr>
        <w:t>如未有相关情况，请在相应栏填写“无”。</w:t>
      </w:r>
    </w:p>
    <w:bookmarkEnd w:id="57"/>
    <w:p w14:paraId="57C9B152">
      <w:pPr>
        <w:spacing w:line="24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629D3F88">
      <w:pPr>
        <w:spacing w:line="360" w:lineRule="auto"/>
        <w:ind w:firstLine="4800" w:firstLineChars="20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投标人电子签章：</w:t>
      </w:r>
      <w:r>
        <w:rPr>
          <w:rFonts w:hint="eastAsia" w:ascii="宋体" w:hAnsi="宋体" w:eastAsia="宋体" w:cs="宋体"/>
          <w:color w:val="auto"/>
          <w:sz w:val="24"/>
          <w:highlight w:val="none"/>
          <w:u w:val="single"/>
        </w:rPr>
        <w:t xml:space="preserve">             </w:t>
      </w:r>
    </w:p>
    <w:p w14:paraId="3B652F48">
      <w:pPr>
        <w:tabs>
          <w:tab w:val="left" w:pos="630"/>
        </w:tabs>
        <w:spacing w:line="360" w:lineRule="auto"/>
        <w:ind w:firstLine="4800" w:firstLineChars="20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14:paraId="742A16FE">
      <w:pPr>
        <w:pStyle w:val="10"/>
        <w:rPr>
          <w:rFonts w:hint="eastAsia" w:ascii="宋体" w:hAnsi="宋体" w:eastAsia="宋体" w:cs="宋体"/>
          <w:color w:val="000000"/>
          <w:kern w:val="0"/>
          <w:sz w:val="24"/>
          <w:szCs w:val="24"/>
          <w:highlight w:val="none"/>
          <w:lang w:val="en-US" w:eastAsia="zh-CN" w:bidi="ar"/>
        </w:rPr>
      </w:pPr>
    </w:p>
    <w:p w14:paraId="2F0D2370">
      <w:pPr>
        <w:pStyle w:val="10"/>
        <w:rPr>
          <w:rFonts w:hint="eastAsia" w:ascii="宋体" w:hAnsi="宋体" w:eastAsia="宋体" w:cs="宋体"/>
          <w:color w:val="000000"/>
          <w:kern w:val="0"/>
          <w:sz w:val="24"/>
          <w:szCs w:val="24"/>
          <w:highlight w:val="none"/>
          <w:lang w:val="en-US" w:eastAsia="zh-CN" w:bidi="ar"/>
        </w:rPr>
      </w:pPr>
    </w:p>
    <w:p w14:paraId="1B385E1B">
      <w:pPr>
        <w:pStyle w:val="10"/>
        <w:rPr>
          <w:rFonts w:hint="eastAsia" w:ascii="宋体" w:hAnsi="宋体" w:eastAsia="宋体" w:cs="宋体"/>
          <w:color w:val="000000"/>
          <w:kern w:val="0"/>
          <w:sz w:val="24"/>
          <w:szCs w:val="24"/>
          <w:highlight w:val="none"/>
          <w:lang w:val="en-US" w:eastAsia="zh-CN" w:bidi="ar"/>
        </w:rPr>
      </w:pPr>
    </w:p>
    <w:p w14:paraId="00D4D8B0">
      <w:pPr>
        <w:rPr>
          <w:rFonts w:hint="eastAsia" w:ascii="宋体" w:hAnsi="宋体" w:eastAsia="宋体" w:cs="宋体"/>
          <w:b/>
          <w:color w:val="auto"/>
          <w:sz w:val="24"/>
          <w:highlight w:val="none"/>
        </w:rPr>
      </w:pPr>
      <w:bookmarkStart w:id="58" w:name="_Toc11607"/>
      <w:r>
        <w:rPr>
          <w:rFonts w:hint="eastAsia" w:ascii="宋体" w:hAnsi="宋体" w:eastAsia="宋体" w:cs="宋体"/>
          <w:b/>
          <w:color w:val="auto"/>
          <w:sz w:val="24"/>
          <w:highlight w:val="none"/>
        </w:rPr>
        <w:br w:type="page"/>
      </w:r>
    </w:p>
    <w:p w14:paraId="6D6EB002">
      <w:pPr>
        <w:spacing w:line="360" w:lineRule="auto"/>
        <w:jc w:val="center"/>
        <w:outlineLvl w:val="1"/>
        <w:rPr>
          <w:rFonts w:hint="eastAsia" w:ascii="宋体" w:hAnsi="宋体" w:eastAsia="宋体" w:cs="宋体"/>
          <w:b/>
          <w:color w:val="auto"/>
          <w:sz w:val="24"/>
          <w:highlight w:val="none"/>
        </w:rPr>
      </w:pPr>
      <w:bookmarkStart w:id="59" w:name="_Toc16960"/>
      <w:r>
        <w:rPr>
          <w:rFonts w:hint="eastAsia" w:ascii="宋体" w:hAnsi="宋体" w:eastAsia="宋体" w:cs="宋体"/>
          <w:b/>
          <w:color w:val="auto"/>
          <w:sz w:val="24"/>
          <w:highlight w:val="none"/>
        </w:rPr>
        <w:t>四、授权书</w:t>
      </w:r>
      <w:bookmarkEnd w:id="58"/>
      <w:bookmarkEnd w:id="59"/>
    </w:p>
    <w:p w14:paraId="13799F67">
      <w:pPr>
        <w:pStyle w:val="14"/>
        <w:snapToGrid w:val="0"/>
        <w:spacing w:line="360" w:lineRule="auto"/>
        <w:ind w:firstLine="480" w:firstLineChars="200"/>
        <w:jc w:val="left"/>
        <w:rPr>
          <w:rFonts w:hint="eastAsia" w:ascii="宋体" w:hAnsi="宋体" w:eastAsia="宋体" w:cs="宋体"/>
          <w:color w:val="auto"/>
          <w:sz w:val="24"/>
          <w:szCs w:val="28"/>
          <w:highlight w:val="none"/>
        </w:rPr>
      </w:pPr>
    </w:p>
    <w:p w14:paraId="00704CA3">
      <w:pPr>
        <w:spacing w:line="360" w:lineRule="auto"/>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本</w:t>
      </w:r>
      <w:r>
        <w:rPr>
          <w:rFonts w:hint="eastAsia" w:ascii="宋体" w:hAnsi="宋体" w:eastAsia="宋体" w:cs="宋体"/>
          <w:color w:val="auto"/>
          <w:sz w:val="24"/>
          <w:highlight w:val="none"/>
        </w:rPr>
        <w:t>授权</w:t>
      </w:r>
      <w:r>
        <w:rPr>
          <w:rFonts w:hint="eastAsia" w:ascii="宋体" w:hAnsi="宋体" w:eastAsia="宋体" w:cs="宋体"/>
          <w:color w:val="auto"/>
          <w:sz w:val="24"/>
          <w:szCs w:val="28"/>
          <w:highlight w:val="none"/>
        </w:rPr>
        <w:t>书声明：</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（投标人名称）授权</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（投标人授权代表姓名）代表我方参加本项目</w:t>
      </w:r>
      <w:r>
        <w:rPr>
          <w:rFonts w:hint="eastAsia" w:ascii="宋体" w:hAnsi="宋体" w:eastAsia="宋体" w:cs="宋体"/>
          <w:bCs/>
          <w:color w:val="auto"/>
          <w:sz w:val="24"/>
          <w:szCs w:val="28"/>
          <w:highlight w:val="none"/>
        </w:rPr>
        <w:t>采购活动</w:t>
      </w:r>
      <w:r>
        <w:rPr>
          <w:rFonts w:hint="eastAsia" w:ascii="宋体" w:hAnsi="宋体" w:eastAsia="宋体" w:cs="宋体"/>
          <w:color w:val="auto"/>
          <w:sz w:val="24"/>
          <w:szCs w:val="28"/>
          <w:highlight w:val="none"/>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1331C0DC">
      <w:pPr>
        <w:spacing w:line="360" w:lineRule="auto"/>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本授权书自出具之日起生效。</w:t>
      </w:r>
    </w:p>
    <w:p w14:paraId="25ED9A1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授权</w:t>
      </w:r>
      <w:r>
        <w:rPr>
          <w:rFonts w:hint="eastAsia" w:ascii="宋体" w:hAnsi="宋体" w:eastAsia="宋体" w:cs="宋体"/>
          <w:color w:val="auto"/>
          <w:sz w:val="24"/>
          <w:highlight w:val="none"/>
        </w:rPr>
        <w:t>代表身份证明扫描件：</w:t>
      </w:r>
    </w:p>
    <w:p w14:paraId="30BB3476">
      <w:pPr>
        <w:spacing w:line="360" w:lineRule="auto"/>
        <w:ind w:firstLine="435"/>
        <w:rPr>
          <w:rFonts w:hint="eastAsia" w:ascii="宋体" w:hAnsi="宋体" w:eastAsia="宋体" w:cs="宋体"/>
          <w:color w:val="auto"/>
          <w:sz w:val="24"/>
          <w:highlight w:val="none"/>
        </w:rPr>
      </w:pPr>
    </w:p>
    <w:p w14:paraId="706308D4">
      <w:pPr>
        <w:spacing w:line="360" w:lineRule="auto"/>
        <w:ind w:firstLine="435"/>
        <w:rPr>
          <w:rFonts w:hint="eastAsia" w:ascii="宋体" w:hAnsi="宋体" w:eastAsia="宋体" w:cs="宋体"/>
          <w:color w:val="auto"/>
          <w:sz w:val="24"/>
          <w:highlight w:val="none"/>
        </w:rPr>
      </w:pPr>
    </w:p>
    <w:p w14:paraId="40881EB9">
      <w:pPr>
        <w:spacing w:line="360" w:lineRule="auto"/>
        <w:ind w:firstLine="435"/>
        <w:rPr>
          <w:rFonts w:hint="eastAsia" w:ascii="宋体" w:hAnsi="宋体" w:eastAsia="宋体" w:cs="宋体"/>
          <w:color w:val="auto"/>
          <w:sz w:val="24"/>
          <w:highlight w:val="none"/>
        </w:rPr>
      </w:pPr>
    </w:p>
    <w:p w14:paraId="4F2E7E5C">
      <w:pPr>
        <w:spacing w:line="360" w:lineRule="auto"/>
        <w:ind w:firstLine="435"/>
        <w:rPr>
          <w:rFonts w:hint="eastAsia" w:ascii="宋体" w:hAnsi="宋体" w:eastAsia="宋体" w:cs="宋体"/>
          <w:color w:val="auto"/>
          <w:sz w:val="24"/>
          <w:szCs w:val="28"/>
          <w:highlight w:val="none"/>
          <w:u w:val="single"/>
          <w:lang w:val="zh-CN"/>
        </w:rPr>
      </w:pPr>
      <w:r>
        <w:rPr>
          <w:rFonts w:hint="eastAsia" w:ascii="宋体" w:hAnsi="宋体" w:eastAsia="宋体" w:cs="宋体"/>
          <w:color w:val="auto"/>
          <w:sz w:val="24"/>
          <w:szCs w:val="28"/>
          <w:highlight w:val="none"/>
        </w:rPr>
        <w:t>授权代表联系方式：</w:t>
      </w:r>
      <w:r>
        <w:rPr>
          <w:rFonts w:hint="eastAsia" w:ascii="宋体" w:hAnsi="宋体" w:eastAsia="宋体" w:cs="宋体"/>
          <w:color w:val="auto"/>
          <w:sz w:val="24"/>
          <w:szCs w:val="28"/>
          <w:highlight w:val="none"/>
          <w:u w:val="single"/>
        </w:rPr>
        <w:t xml:space="preserve">          （请填写手机号码）</w:t>
      </w:r>
    </w:p>
    <w:p w14:paraId="0293688F">
      <w:pPr>
        <w:spacing w:line="360" w:lineRule="auto"/>
        <w:ind w:firstLine="435"/>
        <w:rPr>
          <w:rFonts w:hint="eastAsia" w:ascii="宋体" w:hAnsi="宋体" w:eastAsia="宋体" w:cs="宋体"/>
          <w:color w:val="auto"/>
          <w:sz w:val="24"/>
          <w:szCs w:val="28"/>
          <w:highlight w:val="none"/>
          <w:lang w:val="zh-CN"/>
        </w:rPr>
      </w:pPr>
    </w:p>
    <w:p w14:paraId="47BF5AFC">
      <w:pPr>
        <w:spacing w:line="360" w:lineRule="auto"/>
        <w:ind w:firstLine="435"/>
        <w:rPr>
          <w:rFonts w:hint="eastAsia" w:ascii="宋体" w:hAnsi="宋体" w:eastAsia="宋体" w:cs="宋体"/>
          <w:color w:val="auto"/>
          <w:sz w:val="24"/>
          <w:szCs w:val="28"/>
          <w:highlight w:val="none"/>
        </w:rPr>
      </w:pPr>
      <w:r>
        <w:rPr>
          <w:rFonts w:hint="eastAsia" w:ascii="宋体" w:hAnsi="宋体" w:eastAsia="宋体" w:cs="宋体"/>
          <w:color w:val="auto"/>
          <w:sz w:val="24"/>
          <w:highlight w:val="none"/>
        </w:rPr>
        <w:t>特此</w:t>
      </w:r>
      <w:r>
        <w:rPr>
          <w:rFonts w:hint="eastAsia" w:ascii="宋体" w:hAnsi="宋体" w:eastAsia="宋体" w:cs="宋体"/>
          <w:color w:val="auto"/>
          <w:sz w:val="24"/>
          <w:szCs w:val="28"/>
          <w:highlight w:val="none"/>
        </w:rPr>
        <w:t>声明。</w:t>
      </w:r>
    </w:p>
    <w:p w14:paraId="2D0134E6">
      <w:pPr>
        <w:spacing w:line="360" w:lineRule="auto"/>
        <w:rPr>
          <w:rFonts w:hint="eastAsia" w:ascii="宋体" w:hAnsi="宋体" w:eastAsia="宋体" w:cs="宋体"/>
          <w:color w:val="auto"/>
          <w:sz w:val="24"/>
          <w:szCs w:val="28"/>
          <w:highlight w:val="none"/>
        </w:rPr>
      </w:pPr>
    </w:p>
    <w:p w14:paraId="11728D68">
      <w:pPr>
        <w:spacing w:line="360" w:lineRule="auto"/>
        <w:ind w:firstLine="435"/>
        <w:jc w:val="center"/>
        <w:rPr>
          <w:rFonts w:hint="eastAsia" w:ascii="宋体" w:hAnsi="宋体" w:eastAsia="宋体" w:cs="宋体"/>
          <w:bCs/>
          <w:color w:val="auto"/>
          <w:sz w:val="24"/>
          <w:szCs w:val="28"/>
          <w:highlight w:val="none"/>
        </w:rPr>
      </w:pPr>
      <w:r>
        <w:rPr>
          <w:rFonts w:hint="eastAsia" w:ascii="宋体" w:hAnsi="宋体" w:eastAsia="宋体" w:cs="宋体"/>
          <w:bCs/>
          <w:color w:val="auto"/>
          <w:sz w:val="24"/>
          <w:szCs w:val="28"/>
          <w:highlight w:val="none"/>
          <w:lang w:val="en-US" w:eastAsia="zh-CN"/>
        </w:rPr>
        <w:t xml:space="preserve">                            </w:t>
      </w:r>
      <w:r>
        <w:rPr>
          <w:rFonts w:hint="eastAsia" w:ascii="宋体" w:hAnsi="宋体" w:eastAsia="宋体" w:cs="宋体"/>
          <w:bCs/>
          <w:color w:val="auto"/>
          <w:sz w:val="24"/>
          <w:szCs w:val="28"/>
          <w:highlight w:val="none"/>
        </w:rPr>
        <w:t>投标人电子签章：</w:t>
      </w:r>
      <w:r>
        <w:rPr>
          <w:rFonts w:hint="eastAsia" w:ascii="宋体" w:hAnsi="宋体" w:eastAsia="宋体" w:cs="宋体"/>
          <w:bCs/>
          <w:color w:val="auto"/>
          <w:sz w:val="24"/>
          <w:szCs w:val="28"/>
          <w:highlight w:val="none"/>
          <w:u w:val="single"/>
        </w:rPr>
        <w:t xml:space="preserve">                    </w:t>
      </w:r>
    </w:p>
    <w:p w14:paraId="384C727C">
      <w:pPr>
        <w:spacing w:line="360" w:lineRule="auto"/>
        <w:ind w:firstLine="435"/>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 xml:space="preserve">                            </w:t>
      </w:r>
      <w:r>
        <w:rPr>
          <w:rFonts w:hint="eastAsia" w:ascii="宋体" w:hAnsi="宋体" w:eastAsia="宋体" w:cs="宋体"/>
          <w:color w:val="auto"/>
          <w:sz w:val="24"/>
          <w:szCs w:val="28"/>
          <w:highlight w:val="none"/>
        </w:rPr>
        <w:t>日          期：</w:t>
      </w:r>
      <w:r>
        <w:rPr>
          <w:rFonts w:hint="eastAsia" w:ascii="宋体" w:hAnsi="宋体" w:eastAsia="宋体" w:cs="宋体"/>
          <w:b/>
          <w:bCs/>
          <w:color w:val="auto"/>
          <w:sz w:val="24"/>
          <w:szCs w:val="28"/>
          <w:highlight w:val="none"/>
          <w:u w:val="single"/>
        </w:rPr>
        <w:t xml:space="preserve">                    </w:t>
      </w:r>
    </w:p>
    <w:p w14:paraId="19B46113">
      <w:pPr>
        <w:spacing w:line="360" w:lineRule="auto"/>
        <w:ind w:firstLine="435"/>
        <w:rPr>
          <w:rFonts w:hint="eastAsia" w:ascii="宋体" w:hAnsi="宋体" w:eastAsia="宋体" w:cs="宋体"/>
          <w:color w:val="auto"/>
          <w:sz w:val="24"/>
          <w:highlight w:val="none"/>
        </w:rPr>
      </w:pPr>
    </w:p>
    <w:p w14:paraId="38EFA27C">
      <w:pPr>
        <w:spacing w:line="360" w:lineRule="auto"/>
        <w:ind w:firstLine="435"/>
        <w:rPr>
          <w:rFonts w:hint="eastAsia" w:ascii="宋体" w:hAnsi="宋体" w:eastAsia="宋体" w:cs="宋体"/>
          <w:color w:val="auto"/>
          <w:sz w:val="24"/>
          <w:highlight w:val="none"/>
        </w:rPr>
      </w:pPr>
    </w:p>
    <w:p w14:paraId="7E8A9AB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1390E36A">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1.本项目只允许有唯一的投标人授权代表，提供身份证明扫描件；</w:t>
      </w:r>
    </w:p>
    <w:p w14:paraId="39AF3F18">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2.法定代表人参加投标的无需提供授权书，提供身份证明扫描件。</w:t>
      </w:r>
    </w:p>
    <w:p w14:paraId="30BE4CF5">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4051D08D">
      <w:pPr>
        <w:spacing w:line="360" w:lineRule="exact"/>
        <w:ind w:firstLine="723" w:firstLineChars="300"/>
        <w:jc w:val="center"/>
        <w:rPr>
          <w:rFonts w:hint="eastAsia" w:ascii="宋体" w:hAnsi="宋体" w:eastAsia="宋体" w:cs="宋体"/>
          <w:b/>
          <w:color w:val="auto"/>
          <w:sz w:val="24"/>
          <w:highlight w:val="none"/>
        </w:rPr>
      </w:pPr>
      <w:bookmarkStart w:id="60" w:name="_Toc6796"/>
      <w:bookmarkStart w:id="61" w:name="_Toc31991"/>
      <w:r>
        <w:rPr>
          <w:rFonts w:hint="eastAsia" w:ascii="宋体" w:hAnsi="宋体" w:eastAsia="宋体" w:cs="宋体"/>
          <w:b/>
          <w:color w:val="auto"/>
          <w:sz w:val="24"/>
          <w:highlight w:val="none"/>
        </w:rPr>
        <w:t>五、</w:t>
      </w:r>
      <w:bookmarkEnd w:id="60"/>
      <w:bookmarkEnd w:id="61"/>
      <w:r>
        <w:rPr>
          <w:rFonts w:hint="eastAsia" w:ascii="宋体" w:hAnsi="宋体" w:eastAsia="宋体" w:cs="宋体"/>
          <w:b/>
          <w:color w:val="auto"/>
          <w:sz w:val="24"/>
          <w:highlight w:val="none"/>
        </w:rPr>
        <w:t>投标报价汇总表</w:t>
      </w:r>
    </w:p>
    <w:p w14:paraId="4AEA70BA">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标包：</w:t>
      </w:r>
      <w:r>
        <w:rPr>
          <w:rFonts w:hint="eastAsia" w:ascii="宋体" w:hAnsi="宋体" w:eastAsia="宋体" w:cs="宋体"/>
          <w:color w:val="auto"/>
          <w:sz w:val="24"/>
          <w:highlight w:val="none"/>
          <w:lang w:eastAsia="zh-CN"/>
        </w:rPr>
        <w:t>第</w:t>
      </w:r>
      <w:r>
        <w:rPr>
          <w:rFonts w:hint="eastAsia" w:ascii="宋体" w:hAnsi="宋体" w:eastAsia="宋体" w:cs="宋体"/>
          <w:color w:val="auto"/>
          <w:sz w:val="24"/>
          <w:highlight w:val="none"/>
          <w:u w:val="single"/>
          <w:lang w:val="en-US" w:eastAsia="zh-CN"/>
        </w:rPr>
        <w:t xml:space="preserve"> 1  </w:t>
      </w:r>
      <w:r>
        <w:rPr>
          <w:rFonts w:hint="eastAsia" w:ascii="宋体" w:hAnsi="宋体" w:eastAsia="宋体" w:cs="宋体"/>
          <w:color w:val="auto"/>
          <w:sz w:val="24"/>
          <w:highlight w:val="none"/>
          <w:lang w:val="en-US" w:eastAsia="zh-CN"/>
        </w:rPr>
        <w:t>包</w:t>
      </w:r>
      <w:r>
        <w:rPr>
          <w:rFonts w:hint="eastAsia" w:ascii="宋体" w:hAnsi="宋体" w:eastAsia="宋体" w:cs="宋体"/>
          <w:color w:val="auto"/>
          <w:sz w:val="24"/>
          <w:highlight w:val="none"/>
        </w:rPr>
        <w:t xml:space="preserve">        项目编号：                  货币单位：人民币元</w:t>
      </w:r>
    </w:p>
    <w:tbl>
      <w:tblPr>
        <w:tblStyle w:val="28"/>
        <w:tblW w:w="10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264"/>
        <w:gridCol w:w="705"/>
        <w:gridCol w:w="705"/>
        <w:gridCol w:w="1095"/>
        <w:gridCol w:w="736"/>
        <w:gridCol w:w="1424"/>
        <w:gridCol w:w="795"/>
        <w:gridCol w:w="1032"/>
        <w:gridCol w:w="1032"/>
      </w:tblGrid>
      <w:tr w14:paraId="62665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noWrap w:val="0"/>
            <w:vAlign w:val="center"/>
          </w:tcPr>
          <w:p w14:paraId="3A9031DF">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序号</w:t>
            </w:r>
          </w:p>
        </w:tc>
        <w:tc>
          <w:tcPr>
            <w:tcW w:w="2264" w:type="dxa"/>
            <w:noWrap w:val="0"/>
            <w:vAlign w:val="center"/>
          </w:tcPr>
          <w:p w14:paraId="30038B4F">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名称</w:t>
            </w:r>
          </w:p>
        </w:tc>
        <w:tc>
          <w:tcPr>
            <w:tcW w:w="705" w:type="dxa"/>
            <w:noWrap w:val="0"/>
            <w:vAlign w:val="center"/>
          </w:tcPr>
          <w:p w14:paraId="6468BCB9">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数量</w:t>
            </w:r>
          </w:p>
        </w:tc>
        <w:tc>
          <w:tcPr>
            <w:tcW w:w="705" w:type="dxa"/>
            <w:noWrap w:val="0"/>
            <w:vAlign w:val="center"/>
          </w:tcPr>
          <w:p w14:paraId="1527F1B5">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单位</w:t>
            </w:r>
          </w:p>
        </w:tc>
        <w:tc>
          <w:tcPr>
            <w:tcW w:w="1095" w:type="dxa"/>
            <w:noWrap w:val="0"/>
            <w:vAlign w:val="center"/>
          </w:tcPr>
          <w:p w14:paraId="485B5EED">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品牌</w:t>
            </w:r>
          </w:p>
        </w:tc>
        <w:tc>
          <w:tcPr>
            <w:tcW w:w="736" w:type="dxa"/>
            <w:noWrap w:val="0"/>
            <w:vAlign w:val="center"/>
          </w:tcPr>
          <w:p w14:paraId="7B32AD33">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规格型号</w:t>
            </w:r>
          </w:p>
        </w:tc>
        <w:tc>
          <w:tcPr>
            <w:tcW w:w="1424" w:type="dxa"/>
            <w:noWrap w:val="0"/>
            <w:vAlign w:val="center"/>
          </w:tcPr>
          <w:p w14:paraId="1B7DA69F">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原厂地</w:t>
            </w:r>
          </w:p>
          <w:p w14:paraId="3190B6F5">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生产厂商</w:t>
            </w:r>
          </w:p>
        </w:tc>
        <w:tc>
          <w:tcPr>
            <w:tcW w:w="795" w:type="dxa"/>
            <w:noWrap w:val="0"/>
            <w:vAlign w:val="center"/>
          </w:tcPr>
          <w:p w14:paraId="51348230">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单价</w:t>
            </w:r>
          </w:p>
        </w:tc>
        <w:tc>
          <w:tcPr>
            <w:tcW w:w="1032" w:type="dxa"/>
            <w:noWrap w:val="0"/>
            <w:vAlign w:val="center"/>
          </w:tcPr>
          <w:p w14:paraId="0F058E05">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总价</w:t>
            </w:r>
          </w:p>
        </w:tc>
        <w:tc>
          <w:tcPr>
            <w:tcW w:w="1032" w:type="dxa"/>
            <w:noWrap w:val="0"/>
            <w:vAlign w:val="center"/>
          </w:tcPr>
          <w:p w14:paraId="09ECE564">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是否为小微企业产品</w:t>
            </w:r>
          </w:p>
        </w:tc>
      </w:tr>
      <w:tr w14:paraId="0BECC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noWrap w:val="0"/>
            <w:vAlign w:val="center"/>
          </w:tcPr>
          <w:p w14:paraId="0763081B">
            <w:pPr>
              <w:keepNext w:val="0"/>
              <w:keepLines w:val="0"/>
              <w:suppressLineNumbers w:val="0"/>
              <w:adjustRightInd w:val="0"/>
              <w:snapToGrid w:val="0"/>
              <w:spacing w:before="0" w:beforeAutospacing="0" w:after="0" w:afterAutospacing="0" w:line="360" w:lineRule="exact"/>
              <w:ind w:left="0" w:right="0"/>
              <w:jc w:val="center"/>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1</w:t>
            </w:r>
          </w:p>
        </w:tc>
        <w:tc>
          <w:tcPr>
            <w:tcW w:w="2264" w:type="dxa"/>
            <w:noWrap w:val="0"/>
            <w:vAlign w:val="center"/>
          </w:tcPr>
          <w:p w14:paraId="2070D688">
            <w:pPr>
              <w:keepNext w:val="0"/>
              <w:keepLines w:val="0"/>
              <w:suppressLineNumbers w:val="0"/>
              <w:spacing w:before="0" w:beforeAutospacing="0" w:after="0" w:afterAutospacing="0" w:line="360" w:lineRule="exact"/>
              <w:ind w:left="0" w:right="0"/>
              <w:rPr>
                <w:rFonts w:hint="eastAsia" w:ascii="宋体" w:hAnsi="宋体" w:eastAsia="宋体" w:cs="宋体"/>
                <w:color w:val="auto"/>
                <w:sz w:val="24"/>
                <w:szCs w:val="20"/>
                <w:highlight w:val="none"/>
              </w:rPr>
            </w:pPr>
          </w:p>
        </w:tc>
        <w:tc>
          <w:tcPr>
            <w:tcW w:w="705" w:type="dxa"/>
            <w:noWrap w:val="0"/>
            <w:vAlign w:val="center"/>
          </w:tcPr>
          <w:p w14:paraId="791C6D26">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auto"/>
                <w:sz w:val="24"/>
                <w:szCs w:val="20"/>
                <w:highlight w:val="none"/>
              </w:rPr>
            </w:pPr>
          </w:p>
        </w:tc>
        <w:tc>
          <w:tcPr>
            <w:tcW w:w="705" w:type="dxa"/>
            <w:noWrap w:val="0"/>
            <w:vAlign w:val="center"/>
          </w:tcPr>
          <w:p w14:paraId="742459ED">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auto"/>
                <w:sz w:val="24"/>
                <w:szCs w:val="20"/>
                <w:highlight w:val="none"/>
              </w:rPr>
            </w:pPr>
          </w:p>
        </w:tc>
        <w:tc>
          <w:tcPr>
            <w:tcW w:w="1095" w:type="dxa"/>
            <w:noWrap w:val="0"/>
            <w:vAlign w:val="top"/>
          </w:tcPr>
          <w:p w14:paraId="7BCF34DF">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736" w:type="dxa"/>
            <w:noWrap w:val="0"/>
            <w:vAlign w:val="top"/>
          </w:tcPr>
          <w:p w14:paraId="73A85FC5">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1424" w:type="dxa"/>
            <w:noWrap w:val="0"/>
            <w:vAlign w:val="top"/>
          </w:tcPr>
          <w:p w14:paraId="5805977B">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795" w:type="dxa"/>
            <w:noWrap w:val="0"/>
            <w:vAlign w:val="top"/>
          </w:tcPr>
          <w:p w14:paraId="794A4B14">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1032" w:type="dxa"/>
            <w:noWrap w:val="0"/>
            <w:vAlign w:val="top"/>
          </w:tcPr>
          <w:p w14:paraId="6A169D34">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1032" w:type="dxa"/>
            <w:noWrap w:val="0"/>
            <w:vAlign w:val="top"/>
          </w:tcPr>
          <w:p w14:paraId="36BBC680">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r>
      <w:tr w14:paraId="15C10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noWrap w:val="0"/>
            <w:vAlign w:val="center"/>
          </w:tcPr>
          <w:p w14:paraId="6F05292F">
            <w:pPr>
              <w:keepNext w:val="0"/>
              <w:keepLines w:val="0"/>
              <w:suppressLineNumbers w:val="0"/>
              <w:adjustRightInd w:val="0"/>
              <w:snapToGrid w:val="0"/>
              <w:spacing w:before="0" w:beforeAutospacing="0" w:after="0" w:afterAutospacing="0" w:line="360" w:lineRule="exact"/>
              <w:ind w:left="0" w:right="0"/>
              <w:jc w:val="center"/>
              <w:rPr>
                <w:rFonts w:hint="default"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2</w:t>
            </w:r>
          </w:p>
        </w:tc>
        <w:tc>
          <w:tcPr>
            <w:tcW w:w="2264" w:type="dxa"/>
            <w:noWrap w:val="0"/>
            <w:vAlign w:val="center"/>
          </w:tcPr>
          <w:p w14:paraId="355D456F">
            <w:pPr>
              <w:keepNext w:val="0"/>
              <w:keepLines w:val="0"/>
              <w:suppressLineNumbers w:val="0"/>
              <w:spacing w:before="0" w:beforeAutospacing="0" w:after="0" w:afterAutospacing="0" w:line="360" w:lineRule="exact"/>
              <w:ind w:left="0" w:right="0"/>
              <w:rPr>
                <w:rFonts w:hint="eastAsia" w:ascii="宋体" w:hAnsi="宋体" w:eastAsia="宋体" w:cs="宋体"/>
                <w:color w:val="auto"/>
                <w:sz w:val="24"/>
                <w:szCs w:val="20"/>
                <w:highlight w:val="none"/>
              </w:rPr>
            </w:pPr>
          </w:p>
        </w:tc>
        <w:tc>
          <w:tcPr>
            <w:tcW w:w="705" w:type="dxa"/>
            <w:noWrap w:val="0"/>
            <w:vAlign w:val="center"/>
          </w:tcPr>
          <w:p w14:paraId="5A57BB56">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auto"/>
                <w:sz w:val="24"/>
                <w:szCs w:val="20"/>
                <w:highlight w:val="none"/>
              </w:rPr>
            </w:pPr>
          </w:p>
        </w:tc>
        <w:tc>
          <w:tcPr>
            <w:tcW w:w="705" w:type="dxa"/>
            <w:noWrap w:val="0"/>
            <w:vAlign w:val="center"/>
          </w:tcPr>
          <w:p w14:paraId="36D10F69">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auto"/>
                <w:sz w:val="24"/>
                <w:szCs w:val="20"/>
                <w:highlight w:val="none"/>
              </w:rPr>
            </w:pPr>
          </w:p>
        </w:tc>
        <w:tc>
          <w:tcPr>
            <w:tcW w:w="1095" w:type="dxa"/>
            <w:noWrap w:val="0"/>
            <w:vAlign w:val="top"/>
          </w:tcPr>
          <w:p w14:paraId="12B99B4A">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736" w:type="dxa"/>
            <w:noWrap w:val="0"/>
            <w:vAlign w:val="top"/>
          </w:tcPr>
          <w:p w14:paraId="0CD67DD7">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1424" w:type="dxa"/>
            <w:noWrap w:val="0"/>
            <w:vAlign w:val="top"/>
          </w:tcPr>
          <w:p w14:paraId="26DEBEDA">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795" w:type="dxa"/>
            <w:noWrap w:val="0"/>
            <w:vAlign w:val="top"/>
          </w:tcPr>
          <w:p w14:paraId="242BFFCC">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1032" w:type="dxa"/>
            <w:noWrap w:val="0"/>
            <w:vAlign w:val="top"/>
          </w:tcPr>
          <w:p w14:paraId="29D2BAFA">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1032" w:type="dxa"/>
            <w:noWrap w:val="0"/>
            <w:vAlign w:val="top"/>
          </w:tcPr>
          <w:p w14:paraId="766AF137">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r>
      <w:tr w14:paraId="3DBD0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noWrap w:val="0"/>
            <w:vAlign w:val="center"/>
          </w:tcPr>
          <w:p w14:paraId="0208CBD5">
            <w:pPr>
              <w:keepNext w:val="0"/>
              <w:keepLines w:val="0"/>
              <w:suppressLineNumbers w:val="0"/>
              <w:adjustRightInd w:val="0"/>
              <w:snapToGrid w:val="0"/>
              <w:spacing w:before="0" w:beforeAutospacing="0" w:after="0" w:afterAutospacing="0" w:line="360" w:lineRule="exact"/>
              <w:ind w:left="0" w:right="0"/>
              <w:jc w:val="center"/>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3</w:t>
            </w:r>
          </w:p>
        </w:tc>
        <w:tc>
          <w:tcPr>
            <w:tcW w:w="2264" w:type="dxa"/>
            <w:noWrap w:val="0"/>
            <w:vAlign w:val="center"/>
          </w:tcPr>
          <w:p w14:paraId="5D3A450A">
            <w:pPr>
              <w:keepNext w:val="0"/>
              <w:keepLines w:val="0"/>
              <w:suppressLineNumbers w:val="0"/>
              <w:spacing w:before="0" w:beforeAutospacing="0" w:after="0" w:afterAutospacing="0" w:line="360" w:lineRule="exact"/>
              <w:ind w:left="0" w:right="0"/>
              <w:rPr>
                <w:rFonts w:hint="eastAsia" w:ascii="宋体" w:hAnsi="宋体" w:eastAsia="宋体" w:cs="宋体"/>
                <w:color w:val="auto"/>
                <w:sz w:val="24"/>
                <w:szCs w:val="20"/>
                <w:highlight w:val="none"/>
              </w:rPr>
            </w:pPr>
          </w:p>
        </w:tc>
        <w:tc>
          <w:tcPr>
            <w:tcW w:w="705" w:type="dxa"/>
            <w:noWrap w:val="0"/>
            <w:vAlign w:val="center"/>
          </w:tcPr>
          <w:p w14:paraId="151571B0">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auto"/>
                <w:sz w:val="24"/>
                <w:szCs w:val="20"/>
                <w:highlight w:val="none"/>
              </w:rPr>
            </w:pPr>
          </w:p>
        </w:tc>
        <w:tc>
          <w:tcPr>
            <w:tcW w:w="705" w:type="dxa"/>
            <w:noWrap w:val="0"/>
            <w:vAlign w:val="center"/>
          </w:tcPr>
          <w:p w14:paraId="7D3D9EF9">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auto"/>
                <w:sz w:val="24"/>
                <w:szCs w:val="20"/>
                <w:highlight w:val="none"/>
              </w:rPr>
            </w:pPr>
          </w:p>
        </w:tc>
        <w:tc>
          <w:tcPr>
            <w:tcW w:w="1095" w:type="dxa"/>
            <w:noWrap w:val="0"/>
            <w:vAlign w:val="top"/>
          </w:tcPr>
          <w:p w14:paraId="0BA3AA4E">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736" w:type="dxa"/>
            <w:noWrap w:val="0"/>
            <w:vAlign w:val="top"/>
          </w:tcPr>
          <w:p w14:paraId="0DFDDFFA">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1424" w:type="dxa"/>
            <w:noWrap w:val="0"/>
            <w:vAlign w:val="top"/>
          </w:tcPr>
          <w:p w14:paraId="232722FD">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795" w:type="dxa"/>
            <w:noWrap w:val="0"/>
            <w:vAlign w:val="top"/>
          </w:tcPr>
          <w:p w14:paraId="54D0DC6B">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1032" w:type="dxa"/>
            <w:noWrap w:val="0"/>
            <w:vAlign w:val="top"/>
          </w:tcPr>
          <w:p w14:paraId="5B1E49BF">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1032" w:type="dxa"/>
            <w:noWrap w:val="0"/>
            <w:vAlign w:val="top"/>
          </w:tcPr>
          <w:p w14:paraId="5BE26AD8">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r>
      <w:tr w14:paraId="0D400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noWrap w:val="0"/>
            <w:vAlign w:val="center"/>
          </w:tcPr>
          <w:p w14:paraId="3F268E60">
            <w:pPr>
              <w:keepNext w:val="0"/>
              <w:keepLines w:val="0"/>
              <w:suppressLineNumbers w:val="0"/>
              <w:adjustRightInd w:val="0"/>
              <w:snapToGrid w:val="0"/>
              <w:spacing w:before="0" w:beforeAutospacing="0" w:after="0" w:afterAutospacing="0" w:line="360" w:lineRule="exact"/>
              <w:ind w:left="0" w:right="0"/>
              <w:jc w:val="center"/>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eastAsia="zh-CN"/>
              </w:rPr>
              <w:t>……</w:t>
            </w:r>
          </w:p>
        </w:tc>
        <w:tc>
          <w:tcPr>
            <w:tcW w:w="2264" w:type="dxa"/>
            <w:noWrap w:val="0"/>
            <w:vAlign w:val="center"/>
          </w:tcPr>
          <w:p w14:paraId="11225B39">
            <w:pPr>
              <w:keepNext w:val="0"/>
              <w:keepLines w:val="0"/>
              <w:suppressLineNumbers w:val="0"/>
              <w:spacing w:before="0" w:beforeAutospacing="0" w:after="0" w:afterAutospacing="0" w:line="360" w:lineRule="exact"/>
              <w:ind w:left="0" w:right="0"/>
              <w:rPr>
                <w:rFonts w:hint="eastAsia" w:ascii="宋体" w:hAnsi="宋体" w:eastAsia="宋体" w:cs="宋体"/>
                <w:color w:val="auto"/>
                <w:sz w:val="24"/>
                <w:szCs w:val="20"/>
                <w:highlight w:val="none"/>
                <w:lang w:eastAsia="zh-CN"/>
              </w:rPr>
            </w:pPr>
          </w:p>
        </w:tc>
        <w:tc>
          <w:tcPr>
            <w:tcW w:w="705" w:type="dxa"/>
            <w:noWrap w:val="0"/>
            <w:vAlign w:val="center"/>
          </w:tcPr>
          <w:p w14:paraId="3C36787E">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auto"/>
                <w:sz w:val="24"/>
                <w:szCs w:val="20"/>
                <w:highlight w:val="none"/>
              </w:rPr>
            </w:pPr>
          </w:p>
        </w:tc>
        <w:tc>
          <w:tcPr>
            <w:tcW w:w="705" w:type="dxa"/>
            <w:noWrap w:val="0"/>
            <w:vAlign w:val="center"/>
          </w:tcPr>
          <w:p w14:paraId="04286ACA">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auto"/>
                <w:sz w:val="24"/>
                <w:szCs w:val="20"/>
                <w:highlight w:val="none"/>
              </w:rPr>
            </w:pPr>
          </w:p>
        </w:tc>
        <w:tc>
          <w:tcPr>
            <w:tcW w:w="1095" w:type="dxa"/>
            <w:noWrap w:val="0"/>
            <w:vAlign w:val="top"/>
          </w:tcPr>
          <w:p w14:paraId="52A76EE3">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736" w:type="dxa"/>
            <w:noWrap w:val="0"/>
            <w:vAlign w:val="top"/>
          </w:tcPr>
          <w:p w14:paraId="6A38872D">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1424" w:type="dxa"/>
            <w:noWrap w:val="0"/>
            <w:vAlign w:val="top"/>
          </w:tcPr>
          <w:p w14:paraId="1728B415">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795" w:type="dxa"/>
            <w:noWrap w:val="0"/>
            <w:vAlign w:val="top"/>
          </w:tcPr>
          <w:p w14:paraId="754A0682">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1032" w:type="dxa"/>
            <w:noWrap w:val="0"/>
            <w:vAlign w:val="top"/>
          </w:tcPr>
          <w:p w14:paraId="07E8E554">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1032" w:type="dxa"/>
            <w:noWrap w:val="0"/>
            <w:vAlign w:val="top"/>
          </w:tcPr>
          <w:p w14:paraId="74B4A808">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r>
      <w:tr w14:paraId="2D7AC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2" w:type="dxa"/>
            <w:gridSpan w:val="8"/>
            <w:noWrap w:val="0"/>
            <w:vAlign w:val="top"/>
          </w:tcPr>
          <w:p w14:paraId="45027CF8">
            <w:pPr>
              <w:keepNext w:val="0"/>
              <w:keepLines w:val="0"/>
              <w:suppressLineNumbers w:val="0"/>
              <w:spacing w:before="0" w:beforeAutospacing="0" w:after="0" w:afterAutospacing="0" w:line="360" w:lineRule="exact"/>
              <w:ind w:left="0" w:right="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投标总价大写：</w:t>
            </w:r>
          </w:p>
        </w:tc>
        <w:tc>
          <w:tcPr>
            <w:tcW w:w="1032" w:type="dxa"/>
            <w:noWrap w:val="0"/>
            <w:vAlign w:val="top"/>
          </w:tcPr>
          <w:p w14:paraId="1B3350CE">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1032" w:type="dxa"/>
            <w:noWrap w:val="0"/>
            <w:vAlign w:val="top"/>
          </w:tcPr>
          <w:p w14:paraId="740BEFC2">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r>
    </w:tbl>
    <w:p w14:paraId="152A7F54">
      <w:pPr>
        <w:spacing w:line="360" w:lineRule="exact"/>
        <w:jc w:val="center"/>
        <w:rPr>
          <w:rFonts w:hint="eastAsia" w:ascii="宋体" w:hAnsi="宋体" w:eastAsia="宋体" w:cs="宋体"/>
          <w:color w:val="auto"/>
          <w:sz w:val="24"/>
          <w:highlight w:val="none"/>
        </w:rPr>
      </w:pPr>
    </w:p>
    <w:p w14:paraId="41A59FB3">
      <w:pPr>
        <w:spacing w:line="360" w:lineRule="exact"/>
        <w:ind w:firstLine="220" w:firstLineChars="100"/>
        <w:rPr>
          <w:rStyle w:val="54"/>
          <w:rFonts w:hint="eastAsia" w:ascii="宋体" w:hAnsi="宋体" w:eastAsia="宋体" w:cs="宋体"/>
          <w:color w:val="auto"/>
          <w:highlight w:val="none"/>
        </w:rPr>
      </w:pPr>
      <w:r>
        <w:rPr>
          <w:rStyle w:val="54"/>
          <w:rFonts w:hint="eastAsia" w:ascii="宋体" w:hAnsi="宋体" w:eastAsia="宋体" w:cs="宋体"/>
          <w:color w:val="auto"/>
          <w:highlight w:val="none"/>
        </w:rPr>
        <w:t>投标人承诺：</w:t>
      </w:r>
    </w:p>
    <w:p w14:paraId="2677248B">
      <w:pPr>
        <w:spacing w:line="360" w:lineRule="exact"/>
        <w:ind w:firstLine="220" w:firstLineChars="100"/>
        <w:rPr>
          <w:rStyle w:val="54"/>
          <w:rFonts w:hint="eastAsia" w:ascii="宋体" w:hAnsi="宋体" w:eastAsia="宋体" w:cs="宋体"/>
          <w:color w:val="auto"/>
          <w:highlight w:val="none"/>
        </w:rPr>
      </w:pPr>
      <w:r>
        <w:rPr>
          <w:rStyle w:val="54"/>
          <w:rFonts w:hint="eastAsia" w:ascii="宋体" w:hAnsi="宋体" w:eastAsia="宋体" w:cs="宋体"/>
          <w:color w:val="auto"/>
          <w:highlight w:val="none"/>
        </w:rPr>
        <w:t>1.售后服务、免费质保期响应招标文件规定；</w:t>
      </w:r>
    </w:p>
    <w:p w14:paraId="6DD84326">
      <w:pPr>
        <w:spacing w:line="360" w:lineRule="exact"/>
        <w:ind w:firstLine="220" w:firstLineChars="100"/>
        <w:rPr>
          <w:rStyle w:val="54"/>
          <w:rFonts w:hint="eastAsia" w:ascii="宋体" w:hAnsi="宋体" w:eastAsia="宋体" w:cs="宋体"/>
          <w:color w:val="auto"/>
          <w:highlight w:val="none"/>
        </w:rPr>
      </w:pPr>
      <w:r>
        <w:rPr>
          <w:rStyle w:val="54"/>
          <w:rFonts w:hint="eastAsia" w:ascii="宋体" w:hAnsi="宋体" w:eastAsia="宋体" w:cs="宋体"/>
          <w:color w:val="auto"/>
          <w:highlight w:val="none"/>
        </w:rPr>
        <w:t xml:space="preserve">免费质保期在满足招标文件的基础上延长 </w:t>
      </w:r>
      <w:r>
        <w:rPr>
          <w:rStyle w:val="54"/>
          <w:rFonts w:hint="eastAsia" w:ascii="宋体" w:hAnsi="宋体" w:eastAsia="宋体" w:cs="宋体"/>
          <w:color w:val="auto"/>
          <w:highlight w:val="none"/>
          <w:u w:val="single"/>
        </w:rPr>
        <w:t xml:space="preserve">   </w:t>
      </w:r>
      <w:r>
        <w:rPr>
          <w:rStyle w:val="54"/>
          <w:rFonts w:hint="eastAsia" w:ascii="宋体" w:hAnsi="宋体" w:eastAsia="宋体" w:cs="宋体"/>
          <w:color w:val="auto"/>
          <w:highlight w:val="none"/>
        </w:rPr>
        <w:t>年（0、 1、 2 年，选择填列）</w:t>
      </w:r>
      <w:r>
        <w:rPr>
          <w:rFonts w:hint="eastAsia" w:ascii="宋体" w:hAnsi="宋体" w:eastAsia="宋体" w:cs="宋体"/>
          <w:color w:val="auto"/>
          <w:sz w:val="24"/>
          <w:highlight w:val="none"/>
        </w:rPr>
        <w:t xml:space="preserve"> </w:t>
      </w:r>
    </w:p>
    <w:p w14:paraId="00C7E1CD">
      <w:pPr>
        <w:spacing w:line="360" w:lineRule="exact"/>
        <w:ind w:firstLine="220" w:firstLineChars="100"/>
        <w:rPr>
          <w:rStyle w:val="54"/>
          <w:rFonts w:hint="eastAsia" w:ascii="宋体" w:hAnsi="宋体" w:eastAsia="宋体" w:cs="宋体"/>
          <w:color w:val="auto"/>
          <w:highlight w:val="none"/>
        </w:rPr>
      </w:pPr>
      <w:r>
        <w:rPr>
          <w:rStyle w:val="54"/>
          <w:rFonts w:hint="eastAsia" w:ascii="宋体" w:hAnsi="宋体" w:eastAsia="宋体" w:cs="宋体"/>
          <w:color w:val="auto"/>
          <w:highlight w:val="none"/>
        </w:rPr>
        <w:t>2.交货期响应招标文件规定；</w:t>
      </w:r>
    </w:p>
    <w:p w14:paraId="0C489547">
      <w:pPr>
        <w:spacing w:line="360" w:lineRule="exact"/>
        <w:ind w:firstLine="220" w:firstLineChars="100"/>
        <w:rPr>
          <w:rStyle w:val="54"/>
          <w:rFonts w:hint="eastAsia" w:ascii="宋体" w:hAnsi="宋体" w:eastAsia="宋体" w:cs="宋体"/>
          <w:color w:val="auto"/>
          <w:highlight w:val="none"/>
        </w:rPr>
      </w:pPr>
      <w:r>
        <w:rPr>
          <w:rStyle w:val="54"/>
          <w:rFonts w:hint="eastAsia" w:ascii="宋体" w:hAnsi="宋体" w:eastAsia="宋体" w:cs="宋体"/>
          <w:color w:val="auto"/>
          <w:highlight w:val="none"/>
        </w:rPr>
        <w:t>3.付款条件、履约保证金响应招标文件规定。</w:t>
      </w:r>
    </w:p>
    <w:p w14:paraId="5FA633D8">
      <w:pPr>
        <w:spacing w:line="360" w:lineRule="exact"/>
        <w:ind w:firstLine="220" w:firstLineChars="100"/>
        <w:rPr>
          <w:rFonts w:hint="eastAsia" w:ascii="宋体" w:hAnsi="宋体" w:eastAsia="宋体" w:cs="宋体"/>
          <w:color w:val="auto"/>
          <w:highlight w:val="none"/>
        </w:rPr>
      </w:pPr>
      <w:r>
        <w:rPr>
          <w:rStyle w:val="54"/>
          <w:rFonts w:hint="eastAsia" w:ascii="宋体" w:hAnsi="宋体" w:eastAsia="宋体" w:cs="宋体"/>
          <w:color w:val="auto"/>
          <w:highlight w:val="none"/>
        </w:rPr>
        <w:t>4.投标人承诺按签订的采购合同供货时间节点按时或提前完成供货、安装及服务等工作。我方完全响应</w:t>
      </w:r>
      <w:r>
        <w:rPr>
          <w:rStyle w:val="54"/>
          <w:rFonts w:hint="eastAsia" w:ascii="宋体" w:hAnsi="宋体" w:eastAsia="宋体" w:cs="宋体"/>
          <w:color w:val="auto"/>
          <w:highlight w:val="none"/>
          <w:lang w:val="en-US" w:eastAsia="zh-CN"/>
        </w:rPr>
        <w:t>因我方原因</w:t>
      </w:r>
      <w:r>
        <w:rPr>
          <w:rStyle w:val="54"/>
          <w:rFonts w:hint="eastAsia" w:ascii="宋体" w:hAnsi="宋体" w:eastAsia="宋体" w:cs="宋体"/>
          <w:color w:val="auto"/>
          <w:highlight w:val="none"/>
        </w:rPr>
        <w:t>每迟供货一天（含双休）将扣除履约保证金金额的5%，如果履约保证金全部扣除，采购人可考虑终止合同，给采购人造成的损失由我方承担。</w:t>
      </w:r>
    </w:p>
    <w:p w14:paraId="58A4A81E">
      <w:pPr>
        <w:spacing w:line="360" w:lineRule="exact"/>
        <w:ind w:firstLine="220" w:firstLineChars="100"/>
        <w:rPr>
          <w:rStyle w:val="54"/>
          <w:rFonts w:hint="eastAsia" w:ascii="宋体" w:hAnsi="宋体" w:eastAsia="宋体" w:cs="宋体"/>
          <w:color w:val="auto"/>
          <w:highlight w:val="none"/>
        </w:rPr>
      </w:pPr>
      <w:r>
        <w:rPr>
          <w:rStyle w:val="54"/>
          <w:rFonts w:hint="eastAsia" w:ascii="宋体" w:hAnsi="宋体" w:eastAsia="宋体" w:cs="宋体"/>
          <w:color w:val="auto"/>
          <w:highlight w:val="none"/>
        </w:rPr>
        <w:t>注：1.报价均包括了含采购设备价款、运输、装卸、保险、安装调试费、税费（含进口从属税费等）、技术服务费、售后服务、人员培训及其他等一切相费用。</w:t>
      </w:r>
    </w:p>
    <w:p w14:paraId="1A8FD44E">
      <w:pPr>
        <w:spacing w:line="360" w:lineRule="exact"/>
        <w:ind w:firstLine="220" w:firstLineChars="100"/>
        <w:rPr>
          <w:rStyle w:val="54"/>
          <w:rFonts w:hint="eastAsia" w:ascii="宋体" w:hAnsi="宋体" w:eastAsia="宋体" w:cs="宋体"/>
          <w:color w:val="auto"/>
          <w:highlight w:val="none"/>
        </w:rPr>
      </w:pPr>
      <w:r>
        <w:rPr>
          <w:rStyle w:val="54"/>
          <w:rFonts w:hint="eastAsia" w:ascii="宋体" w:hAnsi="宋体" w:eastAsia="宋体" w:cs="宋体"/>
          <w:color w:val="auto"/>
          <w:highlight w:val="none"/>
        </w:rPr>
        <w:t xml:space="preserve">2.上表单价必须填列；如果采购数量发生变化，按实际数量结算，单价不变。 </w:t>
      </w:r>
    </w:p>
    <w:p w14:paraId="44186261">
      <w:pPr>
        <w:spacing w:line="360" w:lineRule="exact"/>
        <w:ind w:firstLine="660" w:firstLineChars="300"/>
        <w:rPr>
          <w:rStyle w:val="54"/>
          <w:rFonts w:hint="eastAsia" w:ascii="宋体" w:hAnsi="宋体" w:eastAsia="宋体" w:cs="宋体"/>
          <w:color w:val="auto"/>
          <w:highlight w:val="none"/>
        </w:rPr>
      </w:pPr>
    </w:p>
    <w:p w14:paraId="7EAC35AA">
      <w:pPr>
        <w:spacing w:line="360" w:lineRule="auto"/>
        <w:ind w:firstLine="4228" w:firstLineChars="1762"/>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投标人电子签章：</w:t>
      </w:r>
      <w:r>
        <w:rPr>
          <w:rFonts w:hint="eastAsia" w:ascii="宋体" w:hAnsi="宋体" w:eastAsia="宋体" w:cs="宋体"/>
          <w:color w:val="auto"/>
          <w:sz w:val="24"/>
          <w:szCs w:val="24"/>
          <w:highlight w:val="none"/>
          <w:u w:val="single"/>
        </w:rPr>
        <w:t xml:space="preserve">             </w:t>
      </w:r>
    </w:p>
    <w:p w14:paraId="3FD74A97">
      <w:pPr>
        <w:tabs>
          <w:tab w:val="left" w:pos="4620"/>
        </w:tabs>
        <w:spacing w:line="360" w:lineRule="auto"/>
        <w:ind w:firstLine="4252" w:firstLineChars="177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14:paraId="369F2E85">
      <w:pPr>
        <w:spacing w:line="360" w:lineRule="exact"/>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427A1462">
      <w:pPr>
        <w:spacing w:line="360" w:lineRule="auto"/>
        <w:ind w:firstLine="435"/>
        <w:rPr>
          <w:rFonts w:hint="eastAsia" w:ascii="宋体" w:hAnsi="宋体" w:eastAsia="宋体" w:cs="宋体"/>
          <w:highlight w:val="none"/>
        </w:rPr>
      </w:pPr>
    </w:p>
    <w:p w14:paraId="317F7496">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621F8097">
      <w:pPr>
        <w:spacing w:line="360" w:lineRule="auto"/>
        <w:jc w:val="center"/>
        <w:outlineLvl w:val="1"/>
        <w:rPr>
          <w:rFonts w:hint="eastAsia" w:ascii="宋体" w:hAnsi="宋体" w:eastAsia="宋体" w:cs="宋体"/>
          <w:b/>
          <w:color w:val="auto"/>
          <w:sz w:val="24"/>
          <w:highlight w:val="none"/>
          <w:lang w:val="en-US" w:eastAsia="zh-CN"/>
        </w:rPr>
      </w:pPr>
      <w:bookmarkStart w:id="62" w:name="_Toc20329"/>
      <w:bookmarkStart w:id="63" w:name="_Toc11940"/>
      <w:r>
        <w:rPr>
          <w:rFonts w:hint="eastAsia" w:ascii="宋体" w:hAnsi="宋体" w:eastAsia="宋体" w:cs="宋体"/>
          <w:b/>
          <w:color w:val="auto"/>
          <w:sz w:val="24"/>
          <w:highlight w:val="none"/>
        </w:rPr>
        <w:t>六、投标响应表</w:t>
      </w:r>
      <w:bookmarkEnd w:id="62"/>
      <w:bookmarkEnd w:id="63"/>
    </w:p>
    <w:p w14:paraId="5C8AF92B">
      <w:pPr>
        <w:spacing w:line="360" w:lineRule="auto"/>
        <w:ind w:firstLine="43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6.1商务响应表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916"/>
        <w:gridCol w:w="2497"/>
        <w:gridCol w:w="2575"/>
        <w:gridCol w:w="810"/>
      </w:tblGrid>
      <w:tr w14:paraId="76F7F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24" w:type="dxa"/>
            <w:noWrap w:val="0"/>
            <w:vAlign w:val="center"/>
          </w:tcPr>
          <w:p w14:paraId="3C02FEBF">
            <w:pPr>
              <w:pStyle w:val="14"/>
              <w:keepNext w:val="0"/>
              <w:keepLines w:val="0"/>
              <w:suppressLineNumbers w:val="0"/>
              <w:spacing w:before="0" w:beforeAutospacing="0" w:after="0" w:afterAutospacing="0"/>
              <w:ind w:left="0" w:right="0"/>
              <w:jc w:val="center"/>
              <w:rPr>
                <w:rFonts w:hint="eastAsia" w:ascii="宋体" w:hAnsi="宋体" w:eastAsia="宋体" w:cs="宋体"/>
                <w:b/>
                <w:color w:val="auto"/>
                <w:kern w:val="2"/>
                <w:sz w:val="24"/>
                <w:szCs w:val="22"/>
                <w:highlight w:val="none"/>
              </w:rPr>
            </w:pPr>
            <w:r>
              <w:rPr>
                <w:rFonts w:hint="eastAsia" w:ascii="宋体" w:hAnsi="宋体" w:eastAsia="宋体" w:cs="宋体"/>
                <w:b/>
                <w:color w:val="auto"/>
                <w:kern w:val="2"/>
                <w:sz w:val="24"/>
                <w:szCs w:val="22"/>
                <w:highlight w:val="none"/>
              </w:rPr>
              <w:t>序号</w:t>
            </w:r>
          </w:p>
        </w:tc>
        <w:tc>
          <w:tcPr>
            <w:tcW w:w="1916" w:type="dxa"/>
            <w:noWrap w:val="0"/>
            <w:vAlign w:val="center"/>
          </w:tcPr>
          <w:p w14:paraId="2A1F416B">
            <w:pPr>
              <w:pStyle w:val="14"/>
              <w:keepNext w:val="0"/>
              <w:keepLines w:val="0"/>
              <w:suppressLineNumbers w:val="0"/>
              <w:spacing w:before="0" w:beforeAutospacing="0" w:after="0" w:afterAutospacing="0"/>
              <w:ind w:left="0" w:right="0"/>
              <w:jc w:val="center"/>
              <w:rPr>
                <w:rFonts w:hint="eastAsia" w:ascii="宋体" w:hAnsi="宋体" w:eastAsia="宋体" w:cs="宋体"/>
                <w:b/>
                <w:color w:val="auto"/>
                <w:kern w:val="2"/>
                <w:sz w:val="24"/>
                <w:szCs w:val="22"/>
                <w:highlight w:val="none"/>
              </w:rPr>
            </w:pPr>
            <w:r>
              <w:rPr>
                <w:rFonts w:hint="eastAsia" w:ascii="宋体" w:hAnsi="宋体" w:eastAsia="宋体" w:cs="宋体"/>
                <w:b/>
                <w:bCs/>
                <w:color w:val="auto"/>
                <w:kern w:val="2"/>
                <w:sz w:val="24"/>
                <w:szCs w:val="24"/>
                <w:highlight w:val="none"/>
              </w:rPr>
              <w:t>商务条款</w:t>
            </w:r>
          </w:p>
        </w:tc>
        <w:tc>
          <w:tcPr>
            <w:tcW w:w="2497" w:type="dxa"/>
            <w:noWrap w:val="0"/>
            <w:vAlign w:val="center"/>
          </w:tcPr>
          <w:p w14:paraId="0521DEE0">
            <w:pPr>
              <w:pStyle w:val="14"/>
              <w:keepNext w:val="0"/>
              <w:keepLines w:val="0"/>
              <w:suppressLineNumbers w:val="0"/>
              <w:spacing w:before="0" w:beforeAutospacing="0" w:after="0" w:afterAutospacing="0"/>
              <w:ind w:left="0" w:right="0"/>
              <w:jc w:val="center"/>
              <w:rPr>
                <w:rFonts w:hint="eastAsia" w:ascii="宋体" w:hAnsi="宋体" w:eastAsia="宋体" w:cs="宋体"/>
                <w:b/>
                <w:color w:val="auto"/>
                <w:kern w:val="2"/>
                <w:sz w:val="24"/>
                <w:szCs w:val="22"/>
                <w:highlight w:val="none"/>
              </w:rPr>
            </w:pPr>
            <w:r>
              <w:rPr>
                <w:rFonts w:hint="eastAsia" w:ascii="宋体" w:hAnsi="宋体" w:eastAsia="宋体" w:cs="宋体"/>
                <w:b/>
                <w:color w:val="auto"/>
                <w:kern w:val="2"/>
                <w:sz w:val="24"/>
                <w:szCs w:val="22"/>
                <w:highlight w:val="none"/>
              </w:rPr>
              <w:t>招标文件要求</w:t>
            </w:r>
          </w:p>
        </w:tc>
        <w:tc>
          <w:tcPr>
            <w:tcW w:w="2575" w:type="dxa"/>
            <w:noWrap w:val="0"/>
            <w:vAlign w:val="center"/>
          </w:tcPr>
          <w:p w14:paraId="0DC192F3">
            <w:pPr>
              <w:pStyle w:val="14"/>
              <w:keepNext w:val="0"/>
              <w:keepLines w:val="0"/>
              <w:suppressLineNumbers w:val="0"/>
              <w:spacing w:before="0" w:beforeAutospacing="0" w:after="0" w:afterAutospacing="0"/>
              <w:ind w:left="0" w:right="0"/>
              <w:jc w:val="center"/>
              <w:rPr>
                <w:rFonts w:hint="eastAsia" w:ascii="宋体" w:hAnsi="宋体" w:eastAsia="宋体" w:cs="宋体"/>
                <w:b/>
                <w:color w:val="auto"/>
                <w:kern w:val="2"/>
                <w:sz w:val="24"/>
                <w:szCs w:val="22"/>
                <w:highlight w:val="none"/>
              </w:rPr>
            </w:pPr>
            <w:r>
              <w:rPr>
                <w:rFonts w:hint="eastAsia" w:ascii="宋体" w:hAnsi="宋体" w:eastAsia="宋体" w:cs="宋体"/>
                <w:b/>
                <w:color w:val="auto"/>
                <w:kern w:val="2"/>
                <w:sz w:val="24"/>
                <w:szCs w:val="22"/>
                <w:highlight w:val="none"/>
              </w:rPr>
              <w:t>投标人承诺</w:t>
            </w:r>
          </w:p>
        </w:tc>
        <w:tc>
          <w:tcPr>
            <w:tcW w:w="810" w:type="dxa"/>
            <w:noWrap w:val="0"/>
            <w:vAlign w:val="center"/>
          </w:tcPr>
          <w:p w14:paraId="7F608019">
            <w:pPr>
              <w:pStyle w:val="14"/>
              <w:keepNext w:val="0"/>
              <w:keepLines w:val="0"/>
              <w:suppressLineNumbers w:val="0"/>
              <w:spacing w:before="0" w:beforeAutospacing="0" w:after="0" w:afterAutospacing="0"/>
              <w:ind w:left="0" w:right="0"/>
              <w:jc w:val="center"/>
              <w:rPr>
                <w:rFonts w:hint="eastAsia" w:ascii="宋体" w:hAnsi="宋体" w:eastAsia="宋体" w:cs="宋体"/>
                <w:b/>
                <w:color w:val="auto"/>
                <w:kern w:val="2"/>
                <w:sz w:val="24"/>
                <w:szCs w:val="22"/>
                <w:highlight w:val="none"/>
              </w:rPr>
            </w:pPr>
            <w:r>
              <w:rPr>
                <w:rFonts w:hint="eastAsia" w:ascii="宋体" w:hAnsi="宋体" w:eastAsia="宋体" w:cs="宋体"/>
                <w:b/>
                <w:color w:val="auto"/>
                <w:kern w:val="2"/>
                <w:sz w:val="24"/>
                <w:szCs w:val="22"/>
                <w:highlight w:val="none"/>
              </w:rPr>
              <w:t>偏离说明</w:t>
            </w:r>
          </w:p>
        </w:tc>
      </w:tr>
      <w:tr w14:paraId="1AA10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noWrap w:val="0"/>
            <w:vAlign w:val="center"/>
          </w:tcPr>
          <w:p w14:paraId="04312C25">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w:t>
            </w:r>
          </w:p>
        </w:tc>
        <w:tc>
          <w:tcPr>
            <w:tcW w:w="1916" w:type="dxa"/>
            <w:noWrap w:val="0"/>
            <w:vAlign w:val="center"/>
          </w:tcPr>
          <w:p w14:paraId="19012320">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付款方式</w:t>
            </w:r>
          </w:p>
        </w:tc>
        <w:tc>
          <w:tcPr>
            <w:tcW w:w="2497" w:type="dxa"/>
            <w:noWrap w:val="0"/>
            <w:vAlign w:val="center"/>
          </w:tcPr>
          <w:p w14:paraId="09412853">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c>
          <w:tcPr>
            <w:tcW w:w="2575" w:type="dxa"/>
            <w:noWrap w:val="0"/>
            <w:vAlign w:val="center"/>
          </w:tcPr>
          <w:p w14:paraId="79130022">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c>
          <w:tcPr>
            <w:tcW w:w="810" w:type="dxa"/>
            <w:noWrap w:val="0"/>
            <w:vAlign w:val="center"/>
          </w:tcPr>
          <w:p w14:paraId="0AFA4EE0">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r>
      <w:tr w14:paraId="0E469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noWrap w:val="0"/>
            <w:vAlign w:val="center"/>
          </w:tcPr>
          <w:p w14:paraId="0AFFD9CB">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w:t>
            </w:r>
          </w:p>
        </w:tc>
        <w:tc>
          <w:tcPr>
            <w:tcW w:w="1916" w:type="dxa"/>
            <w:noWrap w:val="0"/>
            <w:vAlign w:val="center"/>
          </w:tcPr>
          <w:p w14:paraId="43697F92">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供货及安装地点</w:t>
            </w:r>
          </w:p>
        </w:tc>
        <w:tc>
          <w:tcPr>
            <w:tcW w:w="2497" w:type="dxa"/>
            <w:noWrap w:val="0"/>
            <w:vAlign w:val="center"/>
          </w:tcPr>
          <w:p w14:paraId="285C8B7E">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c>
          <w:tcPr>
            <w:tcW w:w="2575" w:type="dxa"/>
            <w:noWrap w:val="0"/>
            <w:vAlign w:val="center"/>
          </w:tcPr>
          <w:p w14:paraId="7AEF461A">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c>
          <w:tcPr>
            <w:tcW w:w="810" w:type="dxa"/>
            <w:noWrap w:val="0"/>
            <w:vAlign w:val="center"/>
          </w:tcPr>
          <w:p w14:paraId="77920597">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r>
      <w:tr w14:paraId="0D352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noWrap w:val="0"/>
            <w:vAlign w:val="center"/>
          </w:tcPr>
          <w:p w14:paraId="30DB28FA">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3</w:t>
            </w:r>
          </w:p>
        </w:tc>
        <w:tc>
          <w:tcPr>
            <w:tcW w:w="1916" w:type="dxa"/>
            <w:noWrap w:val="0"/>
            <w:vAlign w:val="center"/>
          </w:tcPr>
          <w:p w14:paraId="7A75A2F2">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供货及安装期限</w:t>
            </w:r>
          </w:p>
        </w:tc>
        <w:tc>
          <w:tcPr>
            <w:tcW w:w="2497" w:type="dxa"/>
            <w:noWrap w:val="0"/>
            <w:vAlign w:val="center"/>
          </w:tcPr>
          <w:p w14:paraId="7FA8E88E">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c>
          <w:tcPr>
            <w:tcW w:w="2575" w:type="dxa"/>
            <w:noWrap w:val="0"/>
            <w:vAlign w:val="center"/>
          </w:tcPr>
          <w:p w14:paraId="5DFD4479">
            <w:pPr>
              <w:pStyle w:val="44"/>
              <w:keepNext w:val="0"/>
              <w:keepLines w:val="0"/>
              <w:suppressLineNumbers w:val="0"/>
              <w:spacing w:before="0" w:beforeAutospacing="0" w:after="0" w:afterAutospacing="0"/>
              <w:ind w:left="0" w:right="0"/>
              <w:jc w:val="center"/>
              <w:rPr>
                <w:rFonts w:hint="eastAsia" w:ascii="宋体" w:hAnsi="宋体" w:eastAsia="宋体" w:cs="宋体"/>
                <w:color w:val="auto"/>
                <w:szCs w:val="20"/>
                <w:highlight w:val="none"/>
              </w:rPr>
            </w:pPr>
          </w:p>
        </w:tc>
        <w:tc>
          <w:tcPr>
            <w:tcW w:w="810" w:type="dxa"/>
            <w:noWrap w:val="0"/>
            <w:vAlign w:val="center"/>
          </w:tcPr>
          <w:p w14:paraId="0116DBFB">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r>
      <w:tr w14:paraId="5AC85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noWrap w:val="0"/>
            <w:vAlign w:val="center"/>
          </w:tcPr>
          <w:p w14:paraId="09FE86D4">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4</w:t>
            </w:r>
          </w:p>
        </w:tc>
        <w:tc>
          <w:tcPr>
            <w:tcW w:w="1916" w:type="dxa"/>
            <w:noWrap w:val="0"/>
            <w:vAlign w:val="center"/>
          </w:tcPr>
          <w:p w14:paraId="3E800004">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免费质保期</w:t>
            </w:r>
          </w:p>
        </w:tc>
        <w:tc>
          <w:tcPr>
            <w:tcW w:w="2497" w:type="dxa"/>
            <w:noWrap w:val="0"/>
            <w:vAlign w:val="center"/>
          </w:tcPr>
          <w:p w14:paraId="6C6FCBE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c>
          <w:tcPr>
            <w:tcW w:w="2575" w:type="dxa"/>
            <w:noWrap w:val="0"/>
            <w:vAlign w:val="center"/>
          </w:tcPr>
          <w:p w14:paraId="75F8B4ED">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c>
          <w:tcPr>
            <w:tcW w:w="810" w:type="dxa"/>
            <w:noWrap w:val="0"/>
            <w:vAlign w:val="center"/>
          </w:tcPr>
          <w:p w14:paraId="79178B94">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r>
      <w:tr w14:paraId="14DB1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noWrap w:val="0"/>
            <w:vAlign w:val="center"/>
          </w:tcPr>
          <w:p w14:paraId="3BF6B6E3">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5</w:t>
            </w:r>
          </w:p>
        </w:tc>
        <w:tc>
          <w:tcPr>
            <w:tcW w:w="1916" w:type="dxa"/>
            <w:noWrap w:val="0"/>
            <w:vAlign w:val="center"/>
          </w:tcPr>
          <w:p w14:paraId="14919095">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投标有效期</w:t>
            </w:r>
          </w:p>
        </w:tc>
        <w:tc>
          <w:tcPr>
            <w:tcW w:w="2497" w:type="dxa"/>
            <w:noWrap w:val="0"/>
            <w:vAlign w:val="center"/>
          </w:tcPr>
          <w:p w14:paraId="66A94284">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c>
          <w:tcPr>
            <w:tcW w:w="2575" w:type="dxa"/>
            <w:noWrap w:val="0"/>
            <w:vAlign w:val="center"/>
          </w:tcPr>
          <w:p w14:paraId="0AF9EA4D">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c>
          <w:tcPr>
            <w:tcW w:w="810" w:type="dxa"/>
            <w:noWrap w:val="0"/>
            <w:vAlign w:val="center"/>
          </w:tcPr>
          <w:p w14:paraId="3E3B04BE">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r>
      <w:tr w14:paraId="0587D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noWrap w:val="0"/>
            <w:vAlign w:val="center"/>
          </w:tcPr>
          <w:p w14:paraId="6F2287C8">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w:t>
            </w:r>
          </w:p>
        </w:tc>
        <w:tc>
          <w:tcPr>
            <w:tcW w:w="1916" w:type="dxa"/>
            <w:noWrap w:val="0"/>
            <w:vAlign w:val="center"/>
          </w:tcPr>
          <w:p w14:paraId="23D93C3B">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lang w:eastAsia="zh-CN"/>
              </w:rPr>
            </w:pPr>
          </w:p>
        </w:tc>
        <w:tc>
          <w:tcPr>
            <w:tcW w:w="2497" w:type="dxa"/>
            <w:noWrap w:val="0"/>
            <w:vAlign w:val="center"/>
          </w:tcPr>
          <w:p w14:paraId="46F84041">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c>
          <w:tcPr>
            <w:tcW w:w="2575" w:type="dxa"/>
            <w:noWrap w:val="0"/>
            <w:vAlign w:val="center"/>
          </w:tcPr>
          <w:p w14:paraId="1151ACDB">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c>
          <w:tcPr>
            <w:tcW w:w="810" w:type="dxa"/>
            <w:noWrap w:val="0"/>
            <w:vAlign w:val="center"/>
          </w:tcPr>
          <w:p w14:paraId="0B6CC6CC">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r>
    </w:tbl>
    <w:p w14:paraId="527DAE8F">
      <w:pPr>
        <w:spacing w:line="360" w:lineRule="auto"/>
        <w:ind w:firstLine="43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6.2技术响应表</w:t>
      </w:r>
    </w:p>
    <w:tbl>
      <w:tblPr>
        <w:tblStyle w:val="28"/>
        <w:tblW w:w="9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560"/>
        <w:gridCol w:w="2863"/>
        <w:gridCol w:w="2482"/>
        <w:gridCol w:w="856"/>
        <w:gridCol w:w="1150"/>
      </w:tblGrid>
      <w:tr w14:paraId="3D00F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61" w:type="dxa"/>
            <w:noWrap w:val="0"/>
            <w:vAlign w:val="center"/>
          </w:tcPr>
          <w:p w14:paraId="04ABD9C3">
            <w:pPr>
              <w:pStyle w:val="14"/>
              <w:keepNext w:val="0"/>
              <w:keepLines w:val="0"/>
              <w:suppressLineNumbers w:val="0"/>
              <w:spacing w:before="0" w:beforeAutospacing="0" w:after="0" w:afterAutospacing="0"/>
              <w:ind w:left="0" w:right="0"/>
              <w:jc w:val="center"/>
              <w:rPr>
                <w:rFonts w:hint="eastAsia" w:ascii="宋体" w:hAnsi="宋体" w:eastAsia="宋体" w:cs="宋体"/>
                <w:b/>
                <w:color w:val="auto"/>
                <w:kern w:val="2"/>
                <w:sz w:val="24"/>
                <w:szCs w:val="22"/>
                <w:highlight w:val="none"/>
              </w:rPr>
            </w:pPr>
            <w:r>
              <w:rPr>
                <w:rFonts w:hint="eastAsia" w:ascii="宋体" w:hAnsi="宋体" w:eastAsia="宋体" w:cs="宋体"/>
                <w:b/>
                <w:color w:val="auto"/>
                <w:kern w:val="2"/>
                <w:sz w:val="24"/>
                <w:szCs w:val="22"/>
                <w:highlight w:val="none"/>
              </w:rPr>
              <w:t>序号</w:t>
            </w:r>
          </w:p>
        </w:tc>
        <w:tc>
          <w:tcPr>
            <w:tcW w:w="1560" w:type="dxa"/>
            <w:noWrap w:val="0"/>
            <w:vAlign w:val="center"/>
          </w:tcPr>
          <w:p w14:paraId="0E7A7C7B">
            <w:pPr>
              <w:pStyle w:val="14"/>
              <w:keepNext w:val="0"/>
              <w:keepLines w:val="0"/>
              <w:suppressLineNumbers w:val="0"/>
              <w:spacing w:before="0" w:beforeAutospacing="0" w:after="0" w:afterAutospacing="0"/>
              <w:ind w:left="0" w:right="0"/>
              <w:jc w:val="center"/>
              <w:rPr>
                <w:rFonts w:hint="eastAsia" w:ascii="宋体" w:hAnsi="宋体" w:eastAsia="宋体" w:cs="宋体"/>
                <w:b/>
                <w:color w:val="auto"/>
                <w:kern w:val="2"/>
                <w:sz w:val="24"/>
                <w:szCs w:val="22"/>
                <w:highlight w:val="none"/>
              </w:rPr>
            </w:pPr>
            <w:r>
              <w:rPr>
                <w:rFonts w:hint="eastAsia" w:ascii="宋体" w:hAnsi="宋体" w:eastAsia="宋体" w:cs="宋体"/>
                <w:b/>
                <w:bCs/>
                <w:color w:val="auto"/>
                <w:kern w:val="2"/>
                <w:sz w:val="24"/>
                <w:szCs w:val="24"/>
                <w:highlight w:val="none"/>
              </w:rPr>
              <w:t>货物名称</w:t>
            </w:r>
          </w:p>
        </w:tc>
        <w:tc>
          <w:tcPr>
            <w:tcW w:w="2863" w:type="dxa"/>
            <w:noWrap w:val="0"/>
            <w:vAlign w:val="center"/>
          </w:tcPr>
          <w:p w14:paraId="5F90161B">
            <w:pPr>
              <w:pStyle w:val="14"/>
              <w:keepNext w:val="0"/>
              <w:keepLines w:val="0"/>
              <w:suppressLineNumbers w:val="0"/>
              <w:spacing w:before="0" w:beforeAutospacing="0" w:after="0" w:afterAutospacing="0"/>
              <w:ind w:left="0" w:right="0"/>
              <w:jc w:val="center"/>
              <w:rPr>
                <w:rFonts w:hint="eastAsia" w:ascii="宋体" w:hAnsi="宋体" w:eastAsia="宋体" w:cs="宋体"/>
                <w:b/>
                <w:color w:val="auto"/>
                <w:kern w:val="2"/>
                <w:sz w:val="24"/>
                <w:szCs w:val="22"/>
                <w:highlight w:val="none"/>
              </w:rPr>
            </w:pPr>
            <w:r>
              <w:rPr>
                <w:rFonts w:hint="eastAsia" w:ascii="宋体" w:hAnsi="宋体" w:eastAsia="宋体" w:cs="宋体"/>
                <w:b/>
                <w:color w:val="auto"/>
                <w:kern w:val="2"/>
                <w:sz w:val="24"/>
                <w:szCs w:val="22"/>
                <w:highlight w:val="none"/>
              </w:rPr>
              <w:t>招标文件规定的技术参数要求</w:t>
            </w:r>
          </w:p>
        </w:tc>
        <w:tc>
          <w:tcPr>
            <w:tcW w:w="2482" w:type="dxa"/>
            <w:noWrap w:val="0"/>
            <w:vAlign w:val="center"/>
          </w:tcPr>
          <w:p w14:paraId="3C534D05">
            <w:pPr>
              <w:pStyle w:val="14"/>
              <w:keepNext w:val="0"/>
              <w:keepLines w:val="0"/>
              <w:suppressLineNumbers w:val="0"/>
              <w:spacing w:before="0" w:beforeAutospacing="0" w:after="0" w:afterAutospacing="0"/>
              <w:ind w:left="0" w:right="0"/>
              <w:jc w:val="center"/>
              <w:rPr>
                <w:rFonts w:hint="eastAsia" w:ascii="宋体" w:hAnsi="宋体" w:eastAsia="宋体" w:cs="宋体"/>
                <w:b/>
                <w:color w:val="auto"/>
                <w:kern w:val="2"/>
                <w:sz w:val="24"/>
                <w:szCs w:val="22"/>
                <w:highlight w:val="none"/>
              </w:rPr>
            </w:pPr>
            <w:r>
              <w:rPr>
                <w:rFonts w:hint="eastAsia" w:ascii="宋体" w:hAnsi="宋体" w:eastAsia="宋体" w:cs="宋体"/>
                <w:b/>
                <w:color w:val="auto"/>
                <w:kern w:val="2"/>
                <w:sz w:val="24"/>
                <w:szCs w:val="22"/>
                <w:highlight w:val="none"/>
              </w:rPr>
              <w:t>所投产品的品牌、型号及技术参数</w:t>
            </w:r>
          </w:p>
        </w:tc>
        <w:tc>
          <w:tcPr>
            <w:tcW w:w="856" w:type="dxa"/>
            <w:noWrap w:val="0"/>
            <w:vAlign w:val="center"/>
          </w:tcPr>
          <w:p w14:paraId="575A5666">
            <w:pPr>
              <w:pStyle w:val="14"/>
              <w:keepNext w:val="0"/>
              <w:keepLines w:val="0"/>
              <w:suppressLineNumbers w:val="0"/>
              <w:spacing w:before="0" w:beforeAutospacing="0" w:after="0" w:afterAutospacing="0"/>
              <w:ind w:left="0" w:right="0"/>
              <w:jc w:val="center"/>
              <w:rPr>
                <w:rFonts w:hint="eastAsia" w:ascii="宋体" w:hAnsi="宋体" w:eastAsia="宋体" w:cs="宋体"/>
                <w:b/>
                <w:color w:val="auto"/>
                <w:kern w:val="2"/>
                <w:sz w:val="24"/>
                <w:szCs w:val="22"/>
                <w:highlight w:val="none"/>
              </w:rPr>
            </w:pPr>
            <w:r>
              <w:rPr>
                <w:rFonts w:hint="eastAsia" w:ascii="宋体" w:hAnsi="宋体" w:eastAsia="宋体" w:cs="宋体"/>
                <w:b/>
                <w:color w:val="auto"/>
                <w:kern w:val="2"/>
                <w:sz w:val="24"/>
                <w:szCs w:val="22"/>
                <w:highlight w:val="none"/>
              </w:rPr>
              <w:t>偏离说明</w:t>
            </w:r>
          </w:p>
        </w:tc>
        <w:tc>
          <w:tcPr>
            <w:tcW w:w="1150" w:type="dxa"/>
            <w:noWrap w:val="0"/>
            <w:vAlign w:val="center"/>
          </w:tcPr>
          <w:p w14:paraId="78BD14D5">
            <w:pPr>
              <w:pStyle w:val="14"/>
              <w:keepNext w:val="0"/>
              <w:keepLines w:val="0"/>
              <w:suppressLineNumbers w:val="0"/>
              <w:spacing w:before="0" w:beforeAutospacing="0" w:after="0" w:afterAutospacing="0"/>
              <w:ind w:left="0" w:right="0"/>
              <w:jc w:val="center"/>
              <w:rPr>
                <w:rFonts w:hint="eastAsia" w:ascii="宋体" w:hAnsi="宋体" w:eastAsia="宋体" w:cs="宋体"/>
                <w:b/>
                <w:color w:val="auto"/>
                <w:kern w:val="2"/>
                <w:sz w:val="24"/>
                <w:szCs w:val="22"/>
                <w:highlight w:val="none"/>
              </w:rPr>
            </w:pPr>
            <w:r>
              <w:rPr>
                <w:rFonts w:hint="eastAsia" w:ascii="宋体" w:hAnsi="宋体" w:eastAsia="宋体" w:cs="宋体"/>
                <w:b/>
                <w:color w:val="auto"/>
                <w:sz w:val="24"/>
                <w:szCs w:val="22"/>
                <w:highlight w:val="none"/>
              </w:rPr>
              <w:t>证明材料所在页码</w:t>
            </w:r>
          </w:p>
        </w:tc>
      </w:tr>
      <w:tr w14:paraId="0EB21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noWrap w:val="0"/>
            <w:vAlign w:val="center"/>
          </w:tcPr>
          <w:p w14:paraId="2A8EC318">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w:t>
            </w:r>
          </w:p>
        </w:tc>
        <w:tc>
          <w:tcPr>
            <w:tcW w:w="1560" w:type="dxa"/>
            <w:noWrap w:val="0"/>
            <w:vAlign w:val="center"/>
          </w:tcPr>
          <w:p w14:paraId="32C5B49A">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c>
          <w:tcPr>
            <w:tcW w:w="2863" w:type="dxa"/>
            <w:noWrap w:val="0"/>
            <w:vAlign w:val="center"/>
          </w:tcPr>
          <w:p w14:paraId="14157008">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c>
          <w:tcPr>
            <w:tcW w:w="2482" w:type="dxa"/>
            <w:noWrap w:val="0"/>
            <w:vAlign w:val="center"/>
          </w:tcPr>
          <w:p w14:paraId="2401C89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c>
          <w:tcPr>
            <w:tcW w:w="856" w:type="dxa"/>
            <w:noWrap w:val="0"/>
            <w:vAlign w:val="center"/>
          </w:tcPr>
          <w:p w14:paraId="223754BE">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c>
          <w:tcPr>
            <w:tcW w:w="1150" w:type="dxa"/>
            <w:noWrap w:val="0"/>
            <w:vAlign w:val="center"/>
          </w:tcPr>
          <w:p w14:paraId="7BA3622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r>
      <w:tr w14:paraId="5AFE1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noWrap w:val="0"/>
            <w:vAlign w:val="center"/>
          </w:tcPr>
          <w:p w14:paraId="61677780">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w:t>
            </w:r>
          </w:p>
        </w:tc>
        <w:tc>
          <w:tcPr>
            <w:tcW w:w="1560" w:type="dxa"/>
            <w:noWrap w:val="0"/>
            <w:vAlign w:val="center"/>
          </w:tcPr>
          <w:p w14:paraId="27FD1D92">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c>
          <w:tcPr>
            <w:tcW w:w="2863" w:type="dxa"/>
            <w:noWrap w:val="0"/>
            <w:vAlign w:val="center"/>
          </w:tcPr>
          <w:p w14:paraId="35F9FD3E">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c>
          <w:tcPr>
            <w:tcW w:w="2482" w:type="dxa"/>
            <w:noWrap w:val="0"/>
            <w:vAlign w:val="center"/>
          </w:tcPr>
          <w:p w14:paraId="0A901ACC">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c>
          <w:tcPr>
            <w:tcW w:w="856" w:type="dxa"/>
            <w:noWrap w:val="0"/>
            <w:vAlign w:val="center"/>
          </w:tcPr>
          <w:p w14:paraId="24B44C4A">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c>
          <w:tcPr>
            <w:tcW w:w="1150" w:type="dxa"/>
            <w:noWrap w:val="0"/>
            <w:vAlign w:val="center"/>
          </w:tcPr>
          <w:p w14:paraId="51A699D1">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r>
      <w:tr w14:paraId="26076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noWrap w:val="0"/>
            <w:vAlign w:val="center"/>
          </w:tcPr>
          <w:p w14:paraId="02C62F5B">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lang w:eastAsia="zh-CN"/>
              </w:rPr>
            </w:pPr>
            <w:r>
              <w:rPr>
                <w:rFonts w:hint="eastAsia" w:ascii="宋体" w:hAnsi="宋体" w:eastAsia="宋体" w:cs="宋体"/>
                <w:color w:val="auto"/>
                <w:sz w:val="24"/>
                <w:szCs w:val="20"/>
                <w:highlight w:val="none"/>
                <w:lang w:eastAsia="zh-CN"/>
              </w:rPr>
              <w:t>……</w:t>
            </w:r>
          </w:p>
        </w:tc>
        <w:tc>
          <w:tcPr>
            <w:tcW w:w="1560" w:type="dxa"/>
            <w:noWrap w:val="0"/>
            <w:vAlign w:val="center"/>
          </w:tcPr>
          <w:p w14:paraId="1179CE6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c>
          <w:tcPr>
            <w:tcW w:w="2863" w:type="dxa"/>
            <w:noWrap w:val="0"/>
            <w:vAlign w:val="center"/>
          </w:tcPr>
          <w:p w14:paraId="6F1223C0">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c>
          <w:tcPr>
            <w:tcW w:w="2482" w:type="dxa"/>
            <w:noWrap w:val="0"/>
            <w:vAlign w:val="center"/>
          </w:tcPr>
          <w:p w14:paraId="177C6647">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c>
          <w:tcPr>
            <w:tcW w:w="856" w:type="dxa"/>
            <w:noWrap w:val="0"/>
            <w:vAlign w:val="center"/>
          </w:tcPr>
          <w:p w14:paraId="28CBB938">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c>
          <w:tcPr>
            <w:tcW w:w="1150" w:type="dxa"/>
            <w:noWrap w:val="0"/>
            <w:vAlign w:val="center"/>
          </w:tcPr>
          <w:p w14:paraId="073A8E97">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r>
    </w:tbl>
    <w:p w14:paraId="01A3FADE">
      <w:pPr>
        <w:spacing w:line="360" w:lineRule="auto"/>
        <w:ind w:firstLine="43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6.3货物说明一览表</w:t>
      </w:r>
    </w:p>
    <w:tbl>
      <w:tblPr>
        <w:tblStyle w:val="28"/>
        <w:tblW w:w="10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9"/>
        <w:gridCol w:w="1420"/>
        <w:gridCol w:w="1421"/>
        <w:gridCol w:w="5243"/>
      </w:tblGrid>
      <w:tr w14:paraId="68B57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649" w:type="dxa"/>
            <w:noWrap w:val="0"/>
            <w:vAlign w:val="center"/>
          </w:tcPr>
          <w:p w14:paraId="7CBBA2C7">
            <w:pPr>
              <w:pStyle w:val="14"/>
              <w:keepNext w:val="0"/>
              <w:keepLines w:val="0"/>
              <w:suppressLineNumbers w:val="0"/>
              <w:spacing w:before="0" w:beforeAutospacing="0" w:after="0" w:afterAutospacing="0"/>
              <w:ind w:left="0" w:right="0"/>
              <w:jc w:val="center"/>
              <w:rPr>
                <w:rFonts w:hint="eastAsia" w:ascii="宋体" w:hAnsi="宋体" w:eastAsia="宋体" w:cs="宋体"/>
                <w:b/>
                <w:color w:val="auto"/>
                <w:kern w:val="2"/>
                <w:sz w:val="24"/>
                <w:szCs w:val="22"/>
                <w:highlight w:val="none"/>
              </w:rPr>
            </w:pPr>
            <w:r>
              <w:rPr>
                <w:rFonts w:hint="eastAsia" w:ascii="宋体" w:hAnsi="宋体" w:eastAsia="宋体" w:cs="宋体"/>
                <w:b/>
                <w:bCs/>
                <w:color w:val="auto"/>
                <w:kern w:val="2"/>
                <w:sz w:val="24"/>
                <w:szCs w:val="24"/>
                <w:highlight w:val="none"/>
              </w:rPr>
              <w:t>货物名称</w:t>
            </w:r>
          </w:p>
        </w:tc>
        <w:tc>
          <w:tcPr>
            <w:tcW w:w="1420" w:type="dxa"/>
            <w:noWrap w:val="0"/>
            <w:vAlign w:val="center"/>
          </w:tcPr>
          <w:p w14:paraId="39E504BC">
            <w:pPr>
              <w:pStyle w:val="14"/>
              <w:keepNext w:val="0"/>
              <w:keepLines w:val="0"/>
              <w:suppressLineNumbers w:val="0"/>
              <w:spacing w:before="0" w:beforeAutospacing="0" w:after="0" w:afterAutospacing="0"/>
              <w:ind w:left="0" w:right="0"/>
              <w:jc w:val="center"/>
              <w:rPr>
                <w:rFonts w:hint="eastAsia" w:ascii="宋体" w:hAnsi="宋体" w:eastAsia="宋体" w:cs="宋体"/>
                <w:b/>
                <w:color w:val="auto"/>
                <w:kern w:val="2"/>
                <w:sz w:val="24"/>
                <w:szCs w:val="22"/>
                <w:highlight w:val="none"/>
              </w:rPr>
            </w:pPr>
          </w:p>
        </w:tc>
        <w:tc>
          <w:tcPr>
            <w:tcW w:w="1421" w:type="dxa"/>
            <w:noWrap w:val="0"/>
            <w:vAlign w:val="center"/>
          </w:tcPr>
          <w:p w14:paraId="491D14FE">
            <w:pPr>
              <w:pStyle w:val="14"/>
              <w:keepNext w:val="0"/>
              <w:keepLines w:val="0"/>
              <w:suppressLineNumbers w:val="0"/>
              <w:spacing w:before="0" w:beforeAutospacing="0" w:after="0" w:afterAutospacing="0"/>
              <w:ind w:left="0" w:right="0"/>
              <w:jc w:val="center"/>
              <w:rPr>
                <w:rFonts w:hint="eastAsia" w:ascii="宋体" w:hAnsi="宋体" w:eastAsia="宋体" w:cs="宋体"/>
                <w:b/>
                <w:color w:val="auto"/>
                <w:kern w:val="2"/>
                <w:sz w:val="24"/>
                <w:szCs w:val="22"/>
                <w:highlight w:val="none"/>
              </w:rPr>
            </w:pPr>
            <w:r>
              <w:rPr>
                <w:rFonts w:hint="eastAsia" w:ascii="宋体" w:hAnsi="宋体" w:eastAsia="宋体" w:cs="宋体"/>
                <w:b/>
                <w:bCs/>
                <w:color w:val="auto"/>
                <w:kern w:val="2"/>
                <w:sz w:val="24"/>
                <w:szCs w:val="24"/>
                <w:highlight w:val="none"/>
              </w:rPr>
              <w:t>品牌型号</w:t>
            </w:r>
          </w:p>
        </w:tc>
        <w:tc>
          <w:tcPr>
            <w:tcW w:w="5243" w:type="dxa"/>
            <w:noWrap w:val="0"/>
            <w:vAlign w:val="center"/>
          </w:tcPr>
          <w:p w14:paraId="5E971207">
            <w:pPr>
              <w:pStyle w:val="14"/>
              <w:keepNext w:val="0"/>
              <w:keepLines w:val="0"/>
              <w:suppressLineNumbers w:val="0"/>
              <w:spacing w:before="0" w:beforeAutospacing="0" w:after="0" w:afterAutospacing="0"/>
              <w:ind w:left="0" w:right="0"/>
              <w:jc w:val="center"/>
              <w:rPr>
                <w:rFonts w:hint="eastAsia" w:ascii="宋体" w:hAnsi="宋体" w:eastAsia="宋体" w:cs="宋体"/>
                <w:b/>
                <w:color w:val="auto"/>
                <w:kern w:val="2"/>
                <w:sz w:val="24"/>
                <w:szCs w:val="22"/>
                <w:highlight w:val="none"/>
              </w:rPr>
            </w:pPr>
          </w:p>
        </w:tc>
      </w:tr>
      <w:tr w14:paraId="22E7A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jc w:val="center"/>
        </w:trPr>
        <w:tc>
          <w:tcPr>
            <w:tcW w:w="10733" w:type="dxa"/>
            <w:gridSpan w:val="4"/>
            <w:noWrap w:val="0"/>
            <w:vAlign w:val="top"/>
          </w:tcPr>
          <w:p w14:paraId="72948612">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0"/>
                <w:highlight w:val="none"/>
              </w:rPr>
            </w:pPr>
            <w:r>
              <w:rPr>
                <w:rFonts w:hint="eastAsia" w:ascii="宋体" w:hAnsi="宋体" w:eastAsia="宋体" w:cs="宋体"/>
                <w:color w:val="auto"/>
                <w:sz w:val="22"/>
                <w:szCs w:val="20"/>
                <w:highlight w:val="none"/>
              </w:rPr>
              <mc:AlternateContent>
                <mc:Choice Requires="wps">
                  <w:drawing>
                    <wp:anchor distT="0" distB="0" distL="114300" distR="114300" simplePos="0" relativeHeight="251661312" behindDoc="0" locked="0" layoutInCell="1" allowOverlap="1">
                      <wp:simplePos x="0" y="0"/>
                      <wp:positionH relativeFrom="column">
                        <wp:posOffset>5465445</wp:posOffset>
                      </wp:positionH>
                      <wp:positionV relativeFrom="paragraph">
                        <wp:posOffset>46990</wp:posOffset>
                      </wp:positionV>
                      <wp:extent cx="862965" cy="204470"/>
                      <wp:effectExtent l="13970" t="13970" r="18415" b="29210"/>
                      <wp:wrapNone/>
                      <wp:docPr id="4" name="矩形 27"/>
                      <wp:cNvGraphicFramePr/>
                      <a:graphic xmlns:a="http://schemas.openxmlformats.org/drawingml/2006/main">
                        <a:graphicData uri="http://schemas.microsoft.com/office/word/2010/wordprocessingShape">
                          <wps:wsp>
                            <wps:cNvSpPr/>
                            <wps:spPr>
                              <a:xfrm>
                                <a:off x="0" y="0"/>
                                <a:ext cx="862965" cy="204470"/>
                              </a:xfrm>
                              <a:prstGeom prst="rect">
                                <a:avLst/>
                              </a:prstGeom>
                              <a:solidFill>
                                <a:srgbClr val="FFFFFF">
                                  <a:alpha val="0"/>
                                </a:srgbClr>
                              </a:solidFill>
                              <a:ln w="28575" cap="flat" cmpd="sng">
                                <a:solidFill>
                                  <a:srgbClr val="FF0000"/>
                                </a:solidFill>
                                <a:prstDash val="solid"/>
                                <a:miter/>
                                <a:headEnd type="none" w="med" len="med"/>
                                <a:tailEnd type="none" w="med" len="med"/>
                              </a:ln>
                            </wps:spPr>
                            <wps:bodyPr vert="horz" wrap="square" anchor="t" anchorCtr="0" upright="1"/>
                          </wps:wsp>
                        </a:graphicData>
                      </a:graphic>
                    </wp:anchor>
                  </w:drawing>
                </mc:Choice>
                <mc:Fallback>
                  <w:pict>
                    <v:rect id="矩形 27" o:spid="_x0000_s1026" o:spt="1" style="position:absolute;left:0pt;margin-left:430.35pt;margin-top:3.7pt;height:16.1pt;width:67.95pt;z-index:251661312;mso-width-relative:page;mso-height-relative:page;" fillcolor="#FFFFFF" filled="t" stroked="t" coordsize="21600,21600" o:gfxdata="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rKi+fYAAAACAEAAA8AAAAAAAAAAQAgAAAAIgAAAGRycy9kb3ducmV2LnhtbFBLAQIUABQA&#10;AAAIAIdO4kAa14XTKQIAAG8EAAAOAAAAAAAAAAEAIAAAACcBAABkcnMvZTJvRG9jLnhtbFBLBQYA&#10;AAAABgAGAFkBAADCBQAAAAA=&#10;">
                      <v:fill on="t" opacity="0f" focussize="0,0"/>
                      <v:stroke weight="2.25pt" color="#FF0000" joinstyle="miter"/>
                      <v:imagedata o:title=""/>
                      <o:lock v:ext="edit" aspectratio="f"/>
                    </v:rect>
                  </w:pict>
                </mc:Fallback>
              </mc:AlternateContent>
            </w:r>
            <w:r>
              <w:rPr>
                <w:rFonts w:hint="eastAsia" w:ascii="宋体" w:hAnsi="宋体" w:eastAsia="宋体" w:cs="宋体"/>
                <w:color w:val="auto"/>
                <w:sz w:val="22"/>
                <w:szCs w:val="20"/>
                <w:highlight w:val="none"/>
              </w:rPr>
              <mc:AlternateContent>
                <mc:Choice Requires="wps">
                  <w:drawing>
                    <wp:anchor distT="0" distB="0" distL="114300" distR="114300" simplePos="0" relativeHeight="251660288" behindDoc="0" locked="0" layoutInCell="1" allowOverlap="1">
                      <wp:simplePos x="0" y="0"/>
                      <wp:positionH relativeFrom="column">
                        <wp:posOffset>4474845</wp:posOffset>
                      </wp:positionH>
                      <wp:positionV relativeFrom="paragraph">
                        <wp:posOffset>37465</wp:posOffset>
                      </wp:positionV>
                      <wp:extent cx="481965" cy="213360"/>
                      <wp:effectExtent l="13970" t="14605" r="18415" b="19685"/>
                      <wp:wrapNone/>
                      <wp:docPr id="2" name="矩形 26"/>
                      <wp:cNvGraphicFramePr/>
                      <a:graphic xmlns:a="http://schemas.openxmlformats.org/drawingml/2006/main">
                        <a:graphicData uri="http://schemas.microsoft.com/office/word/2010/wordprocessingShape">
                          <wps:wsp>
                            <wps:cNvSpPr/>
                            <wps:spPr>
                              <a:xfrm>
                                <a:off x="0" y="0"/>
                                <a:ext cx="481965" cy="213360"/>
                              </a:xfrm>
                              <a:prstGeom prst="rect">
                                <a:avLst/>
                              </a:prstGeom>
                              <a:solidFill>
                                <a:srgbClr val="FFFFFF">
                                  <a:alpha val="0"/>
                                </a:srgbClr>
                              </a:solidFill>
                              <a:ln w="28575" cap="flat" cmpd="sng">
                                <a:solidFill>
                                  <a:srgbClr val="FF0000"/>
                                </a:solidFill>
                                <a:prstDash val="solid"/>
                                <a:miter/>
                                <a:headEnd type="none" w="med" len="med"/>
                                <a:tailEnd type="none" w="med" len="med"/>
                              </a:ln>
                            </wps:spPr>
                            <wps:bodyPr vert="horz" wrap="square" anchor="t" anchorCtr="0" upright="1"/>
                          </wps:wsp>
                        </a:graphicData>
                      </a:graphic>
                    </wp:anchor>
                  </w:drawing>
                </mc:Choice>
                <mc:Fallback>
                  <w:pict>
                    <v:rect id="矩形 26" o:spid="_x0000_s1026" o:spt="1" style="position:absolute;left:0pt;margin-left:352.35pt;margin-top:2.95pt;height:16.8pt;width:37.95pt;z-index:251660288;mso-width-relative:page;mso-height-relative:page;" fillcolor="#FFFFFF" filled="t" stroked="t" coordsize="21600,21600" o:gfxdata="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r0tav2QAAAAgBAAAPAAAAAAAAAAEAIAAAACIAAABkcnMvZG93bnJldi54bWxQSwECFAAU&#10;AAAACACHTuJAyjiCJSkCAABvBAAADgAAAAAAAAABACAAAAAoAQAAZHJzL2Uyb0RvYy54bWxQSwUG&#10;AAAAAAYABgBZAQAAwwUAAAAA&#10;">
                      <v:fill on="t" opacity="0f" focussize="0,0"/>
                      <v:stroke weight="2.25pt" color="#FF0000" joinstyle="miter"/>
                      <v:imagedata o:title=""/>
                      <o:lock v:ext="edit" aspectratio="f"/>
                    </v:rect>
                  </w:pict>
                </mc:Fallback>
              </mc:AlternateContent>
            </w:r>
            <w:r>
              <w:rPr>
                <w:rFonts w:hint="eastAsia" w:ascii="宋体" w:hAnsi="宋体" w:eastAsia="宋体" w:cs="宋体"/>
                <w:color w:val="auto"/>
                <w:sz w:val="22"/>
                <w:szCs w:val="21"/>
                <w:highlight w:val="none"/>
              </w:rPr>
              <w:t>所投产品的技术参数、性能说明及相关证明材料（具体证明内容请标注“</w:t>
            </w:r>
            <w:r>
              <w:rPr>
                <w:rFonts w:hint="eastAsia" w:ascii="宋体" w:hAnsi="宋体" w:eastAsia="宋体" w:cs="宋体"/>
                <w:color w:val="auto"/>
                <w:sz w:val="22"/>
                <w:szCs w:val="21"/>
                <w:highlight w:val="none"/>
                <w:lang w:val="en-US" w:eastAsia="zh-CN"/>
              </w:rPr>
              <w:t xml:space="preserve">       </w:t>
            </w:r>
            <w:r>
              <w:rPr>
                <w:rFonts w:hint="eastAsia" w:ascii="宋体" w:hAnsi="宋体" w:eastAsia="宋体" w:cs="宋体"/>
                <w:color w:val="auto"/>
                <w:sz w:val="22"/>
                <w:szCs w:val="21"/>
                <w:highlight w:val="none"/>
              </w:rPr>
              <w:t>”</w:t>
            </w:r>
            <w:r>
              <w:rPr>
                <w:rFonts w:hint="eastAsia" w:ascii="宋体" w:hAnsi="宋体" w:eastAsia="宋体" w:cs="宋体"/>
                <w:color w:val="auto"/>
                <w:sz w:val="22"/>
                <w:szCs w:val="21"/>
                <w:highlight w:val="none"/>
                <w:lang w:eastAsia="zh-CN"/>
              </w:rPr>
              <w:t>，</w:t>
            </w:r>
            <w:r>
              <w:rPr>
                <w:rFonts w:hint="eastAsia" w:ascii="宋体" w:hAnsi="宋体" w:eastAsia="宋体" w:cs="宋体"/>
                <w:color w:val="auto"/>
                <w:sz w:val="22"/>
                <w:szCs w:val="21"/>
                <w:highlight w:val="none"/>
                <w:lang w:val="en-US" w:eastAsia="zh-CN"/>
              </w:rPr>
              <w:t xml:space="preserve">例：XX证明材料 </w:t>
            </w:r>
            <w:r>
              <w:rPr>
                <w:rFonts w:hint="eastAsia" w:ascii="宋体" w:hAnsi="宋体" w:eastAsia="宋体" w:cs="宋体"/>
                <w:color w:val="auto"/>
                <w:sz w:val="22"/>
                <w:szCs w:val="21"/>
                <w:highlight w:val="none"/>
              </w:rPr>
              <w:t>）：</w:t>
            </w:r>
          </w:p>
        </w:tc>
      </w:tr>
    </w:tbl>
    <w:p w14:paraId="486D63E1">
      <w:pPr>
        <w:spacing w:line="360" w:lineRule="auto"/>
        <w:ind w:firstLine="4228" w:firstLineChars="1762"/>
        <w:rPr>
          <w:rFonts w:hint="eastAsia" w:ascii="宋体" w:hAnsi="宋体" w:eastAsia="宋体" w:cs="宋体"/>
          <w:color w:val="auto"/>
          <w:sz w:val="24"/>
          <w:szCs w:val="24"/>
          <w:highlight w:val="none"/>
          <w:u w:val="single"/>
        </w:rPr>
      </w:pPr>
      <w:bookmarkStart w:id="64" w:name="_Toc31244"/>
      <w:bookmarkStart w:id="65" w:name="_Toc9573"/>
      <w:bookmarkStart w:id="66" w:name="OLE_LINK13"/>
      <w:bookmarkStart w:id="67" w:name="OLE_LINK14"/>
      <w:r>
        <w:rPr>
          <w:rFonts w:hint="eastAsia" w:ascii="宋体" w:hAnsi="宋体" w:eastAsia="宋体" w:cs="宋体"/>
          <w:color w:val="auto"/>
          <w:sz w:val="24"/>
          <w:szCs w:val="24"/>
          <w:highlight w:val="none"/>
        </w:rPr>
        <w:t>投标人电子签章：</w:t>
      </w:r>
      <w:r>
        <w:rPr>
          <w:rFonts w:hint="eastAsia" w:ascii="宋体" w:hAnsi="宋体" w:eastAsia="宋体" w:cs="宋体"/>
          <w:color w:val="auto"/>
          <w:sz w:val="24"/>
          <w:szCs w:val="24"/>
          <w:highlight w:val="none"/>
          <w:u w:val="single"/>
        </w:rPr>
        <w:t xml:space="preserve">             </w:t>
      </w:r>
    </w:p>
    <w:p w14:paraId="14DD165D">
      <w:pPr>
        <w:tabs>
          <w:tab w:val="left" w:pos="4620"/>
        </w:tabs>
        <w:spacing w:line="360" w:lineRule="auto"/>
        <w:ind w:firstLine="4252" w:firstLineChars="177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14:paraId="162F1529">
      <w:pP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br w:type="page"/>
      </w:r>
    </w:p>
    <w:p w14:paraId="49B5BBC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七、中小企业声明函</w:t>
      </w:r>
      <w:bookmarkEnd w:id="64"/>
      <w:bookmarkEnd w:id="65"/>
    </w:p>
    <w:p w14:paraId="42C3B10C">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i/>
          <w:color w:val="FF0000"/>
          <w:sz w:val="24"/>
          <w:highlight w:val="none"/>
          <w:lang w:val="en-US" w:eastAsia="zh-CN"/>
        </w:rPr>
      </w:pPr>
      <w:r>
        <w:rPr>
          <w:rFonts w:hint="eastAsia" w:ascii="宋体" w:hAnsi="宋体" w:eastAsia="宋体" w:cs="宋体"/>
          <w:b w:val="0"/>
          <w:i/>
          <w:color w:val="FF0000"/>
          <w:sz w:val="24"/>
          <w:highlight w:val="none"/>
          <w:lang w:val="en-US" w:eastAsia="zh-CN"/>
        </w:rPr>
        <w:t>（</w:t>
      </w:r>
      <w:r>
        <w:rPr>
          <w:rFonts w:hint="eastAsia" w:ascii="宋体" w:hAnsi="宋体" w:eastAsia="宋体" w:cs="宋体"/>
          <w:b w:val="0"/>
          <w:i/>
          <w:color w:val="FF0000"/>
          <w:sz w:val="24"/>
          <w:highlight w:val="none"/>
          <w:lang w:val="zh-CN" w:eastAsia="zh-CN"/>
        </w:rPr>
        <w:t>非中小企业投标</w:t>
      </w:r>
      <w:r>
        <w:rPr>
          <w:rFonts w:hint="eastAsia" w:ascii="宋体" w:hAnsi="宋体" w:eastAsia="宋体" w:cs="宋体"/>
          <w:b w:val="0"/>
          <w:i/>
          <w:color w:val="FF0000"/>
          <w:sz w:val="24"/>
          <w:highlight w:val="none"/>
          <w:lang w:val="en-US" w:eastAsia="zh-CN"/>
        </w:rPr>
        <w:t>，不需此件，请删去“中小企业声明函”）</w:t>
      </w:r>
    </w:p>
    <w:p w14:paraId="5975FA65">
      <w:pPr>
        <w:rPr>
          <w:rFonts w:hint="eastAsia" w:ascii="宋体" w:hAnsi="宋体" w:eastAsia="宋体" w:cs="宋体"/>
          <w:color w:val="auto"/>
          <w:sz w:val="24"/>
          <w:szCs w:val="24"/>
          <w:highlight w:val="none"/>
        </w:rPr>
      </w:pPr>
    </w:p>
    <w:p w14:paraId="581A3CC3">
      <w:pPr>
        <w:spacing w:line="360" w:lineRule="auto"/>
        <w:ind w:firstLine="435"/>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本公司（联合体）郑重声明，根据《政府采购促进中小企业发展管理办法》（财库﹝2020﹞46号）的规定，本公司（联合体）参加（</w:t>
      </w:r>
      <w:r>
        <w:rPr>
          <w:rFonts w:hint="eastAsia" w:ascii="宋体" w:hAnsi="宋体" w:eastAsia="宋体" w:cs="宋体"/>
          <w:color w:val="auto"/>
          <w:sz w:val="24"/>
          <w:szCs w:val="24"/>
          <w:highlight w:val="none"/>
          <w:u w:val="single"/>
          <w:lang w:val="zh-CN"/>
        </w:rPr>
        <w:t>单位</w:t>
      </w:r>
      <w:r>
        <w:rPr>
          <w:rFonts w:hint="eastAsia" w:ascii="宋体" w:hAnsi="宋体" w:eastAsia="宋体" w:cs="宋体"/>
          <w:color w:val="auto"/>
          <w:sz w:val="24"/>
          <w:szCs w:val="24"/>
          <w:highlight w:val="none"/>
          <w:u w:val="single"/>
          <w:lang w:val="en-US" w:eastAsia="zh-CN"/>
        </w:rPr>
        <w:t>名称</w:t>
      </w:r>
      <w:r>
        <w:rPr>
          <w:rFonts w:hint="eastAsia" w:ascii="宋体" w:hAnsi="宋体" w:eastAsia="宋体" w:cs="宋体"/>
          <w:color w:val="auto"/>
          <w:sz w:val="24"/>
          <w:szCs w:val="24"/>
          <w:highlight w:val="none"/>
          <w:lang w:val="zh-CN"/>
        </w:rPr>
        <w:t>）的（</w:t>
      </w:r>
      <w:r>
        <w:rPr>
          <w:rFonts w:hint="eastAsia" w:ascii="宋体" w:hAnsi="宋体" w:eastAsia="宋体" w:cs="宋体"/>
          <w:color w:val="auto"/>
          <w:sz w:val="24"/>
          <w:szCs w:val="24"/>
          <w:highlight w:val="none"/>
          <w:u w:val="single"/>
          <w:lang w:val="zh-CN"/>
        </w:rPr>
        <w:t>项目</w:t>
      </w:r>
      <w:r>
        <w:rPr>
          <w:rFonts w:hint="eastAsia" w:ascii="宋体" w:hAnsi="宋体" w:eastAsia="宋体" w:cs="宋体"/>
          <w:color w:val="auto"/>
          <w:sz w:val="24"/>
          <w:szCs w:val="24"/>
          <w:highlight w:val="none"/>
          <w:u w:val="single"/>
          <w:lang w:val="en-US" w:eastAsia="zh-CN"/>
        </w:rPr>
        <w:t>名称</w:t>
      </w:r>
      <w:r>
        <w:rPr>
          <w:rFonts w:hint="eastAsia" w:ascii="宋体" w:hAnsi="宋体" w:eastAsia="宋体" w:cs="宋体"/>
          <w:color w:val="auto"/>
          <w:sz w:val="24"/>
          <w:szCs w:val="24"/>
          <w:highlight w:val="none"/>
          <w:lang w:val="zh-CN"/>
        </w:rPr>
        <w:t xml:space="preserve">）采购活动，提供的货物全部由符合政策要求的中小企业制造。相关企业（含联合体中的中小企业、签订分包意向协议的中小企业）的具体情况如下： </w:t>
      </w:r>
    </w:p>
    <w:p w14:paraId="3A0CBFFA">
      <w:pPr>
        <w:spacing w:line="360" w:lineRule="auto"/>
        <w:ind w:firstLine="435"/>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u w:val="single"/>
          <w:lang w:val="zh-CN"/>
        </w:rPr>
        <w:t xml:space="preserve"> （标的名称） </w:t>
      </w:r>
      <w:r>
        <w:rPr>
          <w:rFonts w:hint="eastAsia" w:ascii="宋体" w:hAnsi="宋体" w:eastAsia="宋体" w:cs="宋体"/>
          <w:color w:val="auto"/>
          <w:sz w:val="24"/>
          <w:szCs w:val="24"/>
          <w:highlight w:val="none"/>
          <w:lang w:val="zh-CN"/>
        </w:rPr>
        <w:t>，属于</w:t>
      </w:r>
      <w:r>
        <w:rPr>
          <w:rFonts w:hint="eastAsia" w:ascii="宋体" w:hAnsi="宋体" w:eastAsia="宋体" w:cs="宋体"/>
          <w:color w:val="auto"/>
          <w:sz w:val="24"/>
          <w:szCs w:val="24"/>
          <w:highlight w:val="none"/>
          <w:u w:val="single"/>
          <w:lang w:val="zh-CN"/>
        </w:rPr>
        <w:t>（采购文件中明确的所属行业）</w:t>
      </w:r>
      <w:r>
        <w:rPr>
          <w:rFonts w:hint="eastAsia" w:ascii="宋体" w:hAnsi="宋体" w:eastAsia="宋体" w:cs="宋体"/>
          <w:color w:val="auto"/>
          <w:sz w:val="24"/>
          <w:szCs w:val="24"/>
          <w:highlight w:val="none"/>
          <w:lang w:val="zh-CN"/>
        </w:rPr>
        <w:t>行业；制造商为</w:t>
      </w:r>
      <w:r>
        <w:rPr>
          <w:rFonts w:hint="eastAsia" w:ascii="宋体" w:hAnsi="宋体" w:eastAsia="宋体" w:cs="宋体"/>
          <w:color w:val="auto"/>
          <w:sz w:val="24"/>
          <w:szCs w:val="24"/>
          <w:highlight w:val="none"/>
          <w:u w:val="single"/>
          <w:lang w:val="zh-CN"/>
        </w:rPr>
        <w:t>（企业名称）</w:t>
      </w:r>
      <w:r>
        <w:rPr>
          <w:rFonts w:hint="eastAsia" w:ascii="宋体" w:hAnsi="宋体" w:eastAsia="宋体" w:cs="宋体"/>
          <w:color w:val="auto"/>
          <w:sz w:val="24"/>
          <w:szCs w:val="24"/>
          <w:highlight w:val="none"/>
          <w:lang w:val="zh-CN"/>
        </w:rPr>
        <w:t>，从业人员</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人，营业收入为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万元，资产总额为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万元，属于</w:t>
      </w:r>
      <w:r>
        <w:rPr>
          <w:rFonts w:hint="eastAsia" w:ascii="宋体" w:hAnsi="宋体" w:eastAsia="宋体" w:cs="宋体"/>
          <w:color w:val="auto"/>
          <w:sz w:val="24"/>
          <w:szCs w:val="24"/>
          <w:highlight w:val="none"/>
          <w:u w:val="single"/>
          <w:lang w:val="zh-CN"/>
        </w:rPr>
        <w:t>（中型企业、小型企业、微型企业）</w:t>
      </w:r>
      <w:r>
        <w:rPr>
          <w:rFonts w:hint="eastAsia" w:ascii="宋体" w:hAnsi="宋体" w:eastAsia="宋体" w:cs="宋体"/>
          <w:color w:val="auto"/>
          <w:sz w:val="24"/>
          <w:szCs w:val="24"/>
          <w:highlight w:val="none"/>
          <w:lang w:val="zh-CN"/>
        </w:rPr>
        <w:t xml:space="preserve">； </w:t>
      </w:r>
    </w:p>
    <w:p w14:paraId="14EBE191">
      <w:pPr>
        <w:spacing w:line="360" w:lineRule="auto"/>
        <w:ind w:firstLine="435"/>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u w:val="single"/>
          <w:lang w:val="zh-CN"/>
        </w:rPr>
        <w:t xml:space="preserve"> （标的名称） </w:t>
      </w:r>
      <w:r>
        <w:rPr>
          <w:rFonts w:hint="eastAsia" w:ascii="宋体" w:hAnsi="宋体" w:eastAsia="宋体" w:cs="宋体"/>
          <w:color w:val="auto"/>
          <w:sz w:val="24"/>
          <w:szCs w:val="24"/>
          <w:highlight w:val="none"/>
          <w:lang w:val="zh-CN"/>
        </w:rPr>
        <w:t>，属于</w:t>
      </w:r>
      <w:r>
        <w:rPr>
          <w:rFonts w:hint="eastAsia" w:ascii="宋体" w:hAnsi="宋体" w:eastAsia="宋体" w:cs="宋体"/>
          <w:color w:val="auto"/>
          <w:sz w:val="24"/>
          <w:szCs w:val="24"/>
          <w:highlight w:val="none"/>
          <w:u w:val="single"/>
          <w:lang w:val="zh-CN"/>
        </w:rPr>
        <w:t>（采购文件中明确的所属行业）</w:t>
      </w:r>
      <w:r>
        <w:rPr>
          <w:rFonts w:hint="eastAsia" w:ascii="宋体" w:hAnsi="宋体" w:eastAsia="宋体" w:cs="宋体"/>
          <w:color w:val="auto"/>
          <w:sz w:val="24"/>
          <w:szCs w:val="24"/>
          <w:highlight w:val="none"/>
          <w:lang w:val="zh-CN"/>
        </w:rPr>
        <w:t>行业；制造商为</w:t>
      </w:r>
      <w:r>
        <w:rPr>
          <w:rFonts w:hint="eastAsia" w:ascii="宋体" w:hAnsi="宋体" w:eastAsia="宋体" w:cs="宋体"/>
          <w:color w:val="auto"/>
          <w:sz w:val="24"/>
          <w:szCs w:val="24"/>
          <w:highlight w:val="none"/>
          <w:u w:val="single"/>
          <w:lang w:val="zh-CN"/>
        </w:rPr>
        <w:t>（企业名称）</w:t>
      </w:r>
      <w:r>
        <w:rPr>
          <w:rFonts w:hint="eastAsia" w:ascii="宋体" w:hAnsi="宋体" w:eastAsia="宋体" w:cs="宋体"/>
          <w:color w:val="auto"/>
          <w:sz w:val="24"/>
          <w:szCs w:val="24"/>
          <w:highlight w:val="none"/>
          <w:lang w:val="zh-CN"/>
        </w:rPr>
        <w:t>，从业人员</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人，营业收入为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万元，资产总额为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万元，属于</w:t>
      </w:r>
      <w:r>
        <w:rPr>
          <w:rFonts w:hint="eastAsia" w:ascii="宋体" w:hAnsi="宋体" w:eastAsia="宋体" w:cs="宋体"/>
          <w:color w:val="auto"/>
          <w:sz w:val="24"/>
          <w:szCs w:val="24"/>
          <w:highlight w:val="none"/>
          <w:u w:val="single"/>
          <w:lang w:val="zh-CN"/>
        </w:rPr>
        <w:t>（中型企业、小型企业、微型企业）</w:t>
      </w:r>
      <w:r>
        <w:rPr>
          <w:rFonts w:hint="eastAsia" w:ascii="宋体" w:hAnsi="宋体" w:eastAsia="宋体" w:cs="宋体"/>
          <w:color w:val="auto"/>
          <w:sz w:val="24"/>
          <w:szCs w:val="24"/>
          <w:highlight w:val="none"/>
          <w:lang w:val="zh-CN"/>
        </w:rPr>
        <w:t xml:space="preserve">； </w:t>
      </w:r>
    </w:p>
    <w:p w14:paraId="3A965F30">
      <w:pPr>
        <w:spacing w:line="360" w:lineRule="auto"/>
        <w:ind w:firstLine="435"/>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p>
    <w:p w14:paraId="39777C15">
      <w:pPr>
        <w:spacing w:line="360" w:lineRule="auto"/>
        <w:ind w:firstLine="435"/>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以上企业，不属于大企业的分支机构，不存在控股股东为大企业的情形，也不存在与大企业的负责人为同一人的情形。</w:t>
      </w:r>
    </w:p>
    <w:p w14:paraId="3C6AEF13">
      <w:pPr>
        <w:spacing w:line="360" w:lineRule="auto"/>
        <w:ind w:firstLine="435"/>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本企业对上述声明内容的真实性负责。如有虚假，将依法承担相应责任。 </w:t>
      </w:r>
    </w:p>
    <w:p w14:paraId="2227540F">
      <w:pPr>
        <w:spacing w:line="360" w:lineRule="auto"/>
        <w:ind w:firstLine="435"/>
        <w:rPr>
          <w:rFonts w:hint="eastAsia" w:ascii="宋体" w:hAnsi="宋体" w:eastAsia="宋体" w:cs="宋体"/>
          <w:color w:val="auto"/>
          <w:sz w:val="24"/>
          <w:szCs w:val="24"/>
          <w:highlight w:val="none"/>
        </w:rPr>
      </w:pPr>
    </w:p>
    <w:p w14:paraId="640F44F5">
      <w:pPr>
        <w:spacing w:line="360" w:lineRule="auto"/>
        <w:ind w:firstLine="435"/>
        <w:rPr>
          <w:rFonts w:hint="eastAsia" w:ascii="宋体" w:hAnsi="宋体" w:eastAsia="宋体" w:cs="宋体"/>
          <w:color w:val="auto"/>
          <w:sz w:val="24"/>
          <w:szCs w:val="24"/>
          <w:highlight w:val="none"/>
        </w:rPr>
      </w:pPr>
    </w:p>
    <w:p w14:paraId="637883C6">
      <w:pPr>
        <w:spacing w:line="360" w:lineRule="auto"/>
        <w:ind w:firstLine="4228" w:firstLineChars="1762"/>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投标人电子签章：</w:t>
      </w:r>
      <w:r>
        <w:rPr>
          <w:rFonts w:hint="eastAsia" w:ascii="宋体" w:hAnsi="宋体" w:eastAsia="宋体" w:cs="宋体"/>
          <w:color w:val="auto"/>
          <w:sz w:val="24"/>
          <w:szCs w:val="24"/>
          <w:highlight w:val="none"/>
          <w:u w:val="single"/>
        </w:rPr>
        <w:t xml:space="preserve">             </w:t>
      </w:r>
    </w:p>
    <w:p w14:paraId="5DC8474C">
      <w:pPr>
        <w:tabs>
          <w:tab w:val="left" w:pos="4620"/>
        </w:tabs>
        <w:spacing w:line="360" w:lineRule="auto"/>
        <w:ind w:firstLine="4252" w:firstLineChars="177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14:paraId="750F5E6C">
      <w:pPr>
        <w:tabs>
          <w:tab w:val="left" w:pos="4620"/>
        </w:tabs>
        <w:spacing w:line="360" w:lineRule="auto"/>
        <w:jc w:val="left"/>
        <w:rPr>
          <w:rFonts w:hint="eastAsia" w:ascii="宋体" w:hAnsi="宋体" w:eastAsia="宋体" w:cs="宋体"/>
          <w:color w:val="auto"/>
          <w:sz w:val="24"/>
          <w:szCs w:val="24"/>
          <w:highlight w:val="none"/>
        </w:rPr>
      </w:pPr>
    </w:p>
    <w:p w14:paraId="0897B923">
      <w:pPr>
        <w:tabs>
          <w:tab w:val="left" w:pos="4620"/>
        </w:tabs>
        <w:spacing w:line="360" w:lineRule="auto"/>
        <w:jc w:val="left"/>
        <w:outlineLvl w:val="9"/>
        <w:rPr>
          <w:rFonts w:hint="eastAsia" w:ascii="宋体" w:hAnsi="宋体" w:eastAsia="宋体" w:cs="宋体"/>
          <w:b/>
          <w:color w:val="auto"/>
          <w:szCs w:val="24"/>
          <w:highlight w:val="none"/>
          <w:lang w:eastAsia="zh-CN"/>
        </w:rPr>
      </w:pPr>
      <w:r>
        <w:rPr>
          <w:rFonts w:hint="eastAsia" w:ascii="宋体" w:hAnsi="宋体" w:eastAsia="宋体" w:cs="宋体"/>
          <w:b/>
          <w:color w:val="auto"/>
          <w:szCs w:val="24"/>
          <w:highlight w:val="none"/>
          <w:lang w:eastAsia="zh-CN"/>
        </w:rPr>
        <w:t>注：</w:t>
      </w:r>
    </w:p>
    <w:p w14:paraId="5960357D">
      <w:pPr>
        <w:tabs>
          <w:tab w:val="left" w:pos="4620"/>
        </w:tabs>
        <w:spacing w:line="360" w:lineRule="auto"/>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1.从业人员、营业收入、资产总额填报上一年数据，无上一年数据的新成立企业可不填报。</w:t>
      </w:r>
    </w:p>
    <w:p w14:paraId="35D50229">
      <w:pPr>
        <w:tabs>
          <w:tab w:val="left" w:pos="4620"/>
        </w:tabs>
        <w:spacing w:line="360"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2.投标人应根据《政府采购促进中小企业发展管理办法》（财库﹝2020﹞46号）和《关于印发中小企业划型标准规定的通知》(工信部联企业〔2011〕300号)相关规定，如实填写中小企业声明函。</w:t>
      </w:r>
      <w:r>
        <w:rPr>
          <w:rFonts w:hint="eastAsia" w:ascii="宋体" w:hAnsi="宋体" w:eastAsia="宋体" w:cs="宋体"/>
          <w:b/>
          <w:bCs/>
          <w:color w:val="auto"/>
          <w:szCs w:val="21"/>
          <w:highlight w:val="none"/>
          <w:lang w:val="zh-CN"/>
        </w:rPr>
        <w:t>如有虚假，将依法承担相应责任。</w:t>
      </w:r>
      <w:r>
        <w:rPr>
          <w:rFonts w:hint="eastAsia" w:ascii="宋体" w:hAnsi="宋体" w:eastAsia="宋体" w:cs="宋体"/>
          <w:b/>
          <w:bCs/>
          <w:color w:val="auto"/>
          <w:szCs w:val="21"/>
          <w:highlight w:val="none"/>
        </w:rPr>
        <w:t>投标人自行登录工业和信息化部官网进行中小企业规模类型自测（查询网址https://www.miit.gov.cn/）。</w:t>
      </w:r>
    </w:p>
    <w:p w14:paraId="29076276">
      <w:pPr>
        <w:tabs>
          <w:tab w:val="left" w:pos="4620"/>
        </w:tabs>
        <w:spacing w:line="360"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3.上述“</w:t>
      </w:r>
      <w:r>
        <w:rPr>
          <w:rFonts w:hint="eastAsia" w:ascii="宋体" w:hAnsi="宋体" w:eastAsia="宋体" w:cs="宋体"/>
          <w:b/>
          <w:bCs/>
          <w:color w:val="auto"/>
          <w:szCs w:val="21"/>
          <w:highlight w:val="none"/>
          <w:u w:val="single"/>
          <w:lang w:val="zh-CN"/>
        </w:rPr>
        <w:t>标的名称</w:t>
      </w:r>
      <w:r>
        <w:rPr>
          <w:rFonts w:hint="eastAsia" w:ascii="宋体" w:hAnsi="宋体" w:eastAsia="宋体" w:cs="宋体"/>
          <w:b/>
          <w:bCs/>
          <w:color w:val="auto"/>
          <w:szCs w:val="21"/>
          <w:highlight w:val="none"/>
        </w:rPr>
        <w:t>”，详见第三章采购需求中明确的“货物名称”。</w:t>
      </w:r>
    </w:p>
    <w:p w14:paraId="0B285774">
      <w:pPr>
        <w:tabs>
          <w:tab w:val="left" w:pos="4620"/>
        </w:tabs>
        <w:spacing w:line="360"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4.上述“</w:t>
      </w:r>
      <w:r>
        <w:rPr>
          <w:rFonts w:hint="eastAsia" w:ascii="宋体" w:hAnsi="宋体" w:eastAsia="宋体" w:cs="宋体"/>
          <w:b/>
          <w:bCs/>
          <w:color w:val="auto"/>
          <w:szCs w:val="21"/>
          <w:highlight w:val="none"/>
          <w:u w:val="single"/>
        </w:rPr>
        <w:t>采购文件中明确的所属行业</w:t>
      </w:r>
      <w:r>
        <w:rPr>
          <w:rFonts w:hint="eastAsia" w:ascii="宋体" w:hAnsi="宋体" w:eastAsia="宋体" w:cs="宋体"/>
          <w:b/>
          <w:bCs/>
          <w:color w:val="auto"/>
          <w:szCs w:val="21"/>
          <w:highlight w:val="none"/>
        </w:rPr>
        <w:t>”，详见第三章采购需求中明确的“所属行业”。</w:t>
      </w:r>
    </w:p>
    <w:p w14:paraId="3B22B083">
      <w:pPr>
        <w:tabs>
          <w:tab w:val="left" w:pos="4620"/>
        </w:tabs>
        <w:spacing w:line="360"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填写示例：</w:t>
      </w:r>
      <w:r>
        <w:rPr>
          <w:rFonts w:hint="eastAsia" w:ascii="宋体" w:hAnsi="宋体" w:eastAsia="宋体" w:cs="宋体"/>
          <w:b/>
          <w:bCs/>
          <w:color w:val="auto"/>
          <w:szCs w:val="21"/>
          <w:highlight w:val="none"/>
          <w:u w:val="single"/>
          <w:lang w:val="zh-CN"/>
        </w:rPr>
        <w:t>某设备</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属于</w:t>
      </w:r>
      <w:r>
        <w:rPr>
          <w:rFonts w:hint="eastAsia" w:ascii="宋体" w:hAnsi="宋体" w:eastAsia="宋体" w:cs="宋体"/>
          <w:b/>
          <w:bCs/>
          <w:color w:val="auto"/>
          <w:szCs w:val="21"/>
          <w:highlight w:val="none"/>
          <w:u w:val="single"/>
        </w:rPr>
        <w:t>（填写第三章采购需求中对应货物的“所属行业”，如工业）</w:t>
      </w:r>
      <w:r>
        <w:rPr>
          <w:rFonts w:hint="eastAsia" w:ascii="宋体" w:hAnsi="宋体" w:eastAsia="宋体" w:cs="宋体"/>
          <w:b/>
          <w:bCs/>
          <w:color w:val="auto"/>
          <w:szCs w:val="21"/>
          <w:highlight w:val="none"/>
          <w:lang w:val="zh-CN"/>
        </w:rPr>
        <w:t>行业</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承接企业为</w:t>
      </w:r>
      <w:r>
        <w:rPr>
          <w:rFonts w:hint="eastAsia" w:ascii="宋体" w:hAnsi="宋体" w:eastAsia="宋体" w:cs="宋体"/>
          <w:b/>
          <w:bCs/>
          <w:color w:val="auto"/>
          <w:szCs w:val="21"/>
          <w:highlight w:val="none"/>
          <w:u w:val="single"/>
          <w:lang w:val="zh-CN"/>
        </w:rPr>
        <w:t>某</w:t>
      </w:r>
      <w:r>
        <w:rPr>
          <w:rFonts w:hint="eastAsia" w:ascii="宋体" w:hAnsi="宋体" w:eastAsia="宋体" w:cs="宋体"/>
          <w:b/>
          <w:bCs/>
          <w:color w:val="auto"/>
          <w:szCs w:val="21"/>
          <w:highlight w:val="none"/>
          <w:u w:val="single"/>
        </w:rPr>
        <w:t>企业</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从业人员</w:t>
      </w:r>
      <w:r>
        <w:rPr>
          <w:rFonts w:hint="eastAsia" w:ascii="宋体" w:hAnsi="宋体" w:eastAsia="宋体" w:cs="宋体"/>
          <w:b/>
          <w:bCs/>
          <w:color w:val="auto"/>
          <w:szCs w:val="21"/>
          <w:highlight w:val="none"/>
          <w:u w:val="single"/>
        </w:rPr>
        <w:t>100</w:t>
      </w:r>
      <w:r>
        <w:rPr>
          <w:rFonts w:hint="eastAsia" w:ascii="宋体" w:hAnsi="宋体" w:eastAsia="宋体" w:cs="宋体"/>
          <w:b/>
          <w:bCs/>
          <w:color w:val="auto"/>
          <w:szCs w:val="21"/>
          <w:highlight w:val="none"/>
          <w:lang w:val="zh-CN"/>
        </w:rPr>
        <w:t>人</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营业收入为</w:t>
      </w:r>
      <w:r>
        <w:rPr>
          <w:rFonts w:hint="eastAsia" w:ascii="宋体" w:hAnsi="宋体" w:eastAsia="宋体" w:cs="宋体"/>
          <w:b/>
          <w:bCs/>
          <w:color w:val="auto"/>
          <w:szCs w:val="21"/>
          <w:highlight w:val="none"/>
          <w:u w:val="single"/>
        </w:rPr>
        <w:t>10000</w:t>
      </w:r>
      <w:r>
        <w:rPr>
          <w:rFonts w:hint="eastAsia" w:ascii="宋体" w:hAnsi="宋体" w:eastAsia="宋体" w:cs="宋体"/>
          <w:b/>
          <w:bCs/>
          <w:color w:val="auto"/>
          <w:szCs w:val="21"/>
          <w:highlight w:val="none"/>
          <w:lang w:val="zh-CN"/>
        </w:rPr>
        <w:t>万元</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资产总额为</w:t>
      </w:r>
      <w:r>
        <w:rPr>
          <w:rFonts w:hint="eastAsia" w:ascii="宋体" w:hAnsi="宋体" w:eastAsia="宋体" w:cs="宋体"/>
          <w:b/>
          <w:bCs/>
          <w:color w:val="auto"/>
          <w:szCs w:val="21"/>
          <w:highlight w:val="none"/>
          <w:u w:val="single"/>
        </w:rPr>
        <w:t>5000</w:t>
      </w:r>
      <w:r>
        <w:rPr>
          <w:rFonts w:hint="eastAsia" w:ascii="宋体" w:hAnsi="宋体" w:eastAsia="宋体" w:cs="宋体"/>
          <w:b/>
          <w:bCs/>
          <w:color w:val="auto"/>
          <w:szCs w:val="21"/>
          <w:highlight w:val="none"/>
          <w:lang w:val="zh-CN"/>
        </w:rPr>
        <w:t>万元</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属于</w:t>
      </w:r>
      <w:r>
        <w:rPr>
          <w:rFonts w:hint="eastAsia" w:ascii="宋体" w:hAnsi="宋体" w:eastAsia="宋体" w:cs="宋体"/>
          <w:b/>
          <w:bCs/>
          <w:color w:val="auto"/>
          <w:szCs w:val="21"/>
          <w:highlight w:val="none"/>
          <w:u w:val="single"/>
          <w:lang w:val="zh-CN"/>
        </w:rPr>
        <w:t>小型</w:t>
      </w:r>
      <w:r>
        <w:rPr>
          <w:rFonts w:hint="eastAsia" w:ascii="宋体" w:hAnsi="宋体" w:eastAsia="宋体" w:cs="宋体"/>
          <w:b/>
          <w:bCs/>
          <w:color w:val="auto"/>
          <w:szCs w:val="21"/>
          <w:highlight w:val="none"/>
          <w:lang w:val="zh-CN"/>
        </w:rPr>
        <w:t>企业</w:t>
      </w:r>
      <w:r>
        <w:rPr>
          <w:rFonts w:hint="eastAsia" w:ascii="宋体" w:hAnsi="宋体" w:eastAsia="宋体" w:cs="宋体"/>
          <w:b/>
          <w:bCs/>
          <w:color w:val="auto"/>
          <w:szCs w:val="21"/>
          <w:highlight w:val="none"/>
        </w:rPr>
        <w:t>[投标人自行登录工业和信息化部官网进行中小企业规模类型自测（查询网址https://www.miit.gov.cn/）]</w:t>
      </w:r>
      <w:r>
        <w:rPr>
          <w:rFonts w:hint="eastAsia" w:ascii="宋体" w:hAnsi="宋体" w:eastAsia="宋体" w:cs="宋体"/>
          <w:b/>
          <w:bCs/>
          <w:color w:val="auto"/>
          <w:szCs w:val="21"/>
          <w:highlight w:val="none"/>
          <w:lang w:val="zh-CN"/>
        </w:rPr>
        <w:t>。</w:t>
      </w:r>
    </w:p>
    <w:p w14:paraId="636B1694">
      <w:pP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br w:type="page"/>
      </w:r>
      <w:bookmarkEnd w:id="66"/>
      <w:bookmarkEnd w:id="67"/>
    </w:p>
    <w:p w14:paraId="3D6D995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
          <w:color w:val="auto"/>
          <w:sz w:val="24"/>
          <w:highlight w:val="none"/>
          <w:lang w:val="en-US" w:eastAsia="zh-CN"/>
        </w:rPr>
      </w:pPr>
      <w:bookmarkStart w:id="68" w:name="_Toc24563"/>
      <w:bookmarkStart w:id="69" w:name="_Toc16713"/>
      <w:r>
        <w:rPr>
          <w:rFonts w:hint="eastAsia" w:ascii="宋体" w:hAnsi="宋体" w:eastAsia="宋体" w:cs="宋体"/>
          <w:b/>
          <w:color w:val="auto"/>
          <w:sz w:val="24"/>
          <w:highlight w:val="none"/>
          <w:lang w:val="en-US" w:eastAsia="zh-CN"/>
        </w:rPr>
        <w:t>八、残疾人福利性单位声明函</w:t>
      </w:r>
      <w:bookmarkEnd w:id="68"/>
      <w:bookmarkEnd w:id="69"/>
    </w:p>
    <w:p w14:paraId="00817766">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i/>
          <w:color w:val="auto"/>
          <w:sz w:val="24"/>
          <w:highlight w:val="none"/>
          <w:lang w:val="en-US" w:eastAsia="zh-CN"/>
        </w:rPr>
      </w:pPr>
      <w:r>
        <w:rPr>
          <w:rFonts w:hint="eastAsia" w:ascii="宋体" w:hAnsi="宋体" w:eastAsia="宋体" w:cs="宋体"/>
          <w:b w:val="0"/>
          <w:i/>
          <w:color w:val="FF0000"/>
          <w:sz w:val="24"/>
          <w:highlight w:val="none"/>
          <w:lang w:val="en-US" w:eastAsia="zh-CN"/>
        </w:rPr>
        <w:t>（非残疾人福利性单位投标，请删去“残疾人福利性单位声明函”）</w:t>
      </w:r>
    </w:p>
    <w:p w14:paraId="2D39B976">
      <w:pPr>
        <w:spacing w:line="360" w:lineRule="auto"/>
        <w:ind w:firstLine="435"/>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w:t>
      </w:r>
      <w:r>
        <w:rPr>
          <w:rFonts w:hint="eastAsia" w:ascii="宋体" w:hAnsi="宋体" w:eastAsia="宋体" w:cs="宋体"/>
          <w:color w:val="auto"/>
          <w:sz w:val="24"/>
          <w:highlight w:val="none"/>
        </w:rPr>
        <w:t>郑重</w:t>
      </w:r>
      <w:r>
        <w:rPr>
          <w:rFonts w:hint="eastAsia" w:ascii="宋体" w:hAnsi="宋体" w:eastAsia="宋体" w:cs="宋体"/>
          <w:color w:val="auto"/>
          <w:spacing w:val="6"/>
          <w:sz w:val="24"/>
          <w:szCs w:val="24"/>
          <w:highlight w:val="none"/>
        </w:rPr>
        <w:t>声明，根据《财政部 民政部 中国残疾人联合会关于促进残疾人就业政府采购政策的通知》（财库</w:t>
      </w:r>
      <w:r>
        <w:rPr>
          <w:rFonts w:hint="eastAsia" w:ascii="宋体" w:hAnsi="宋体" w:eastAsia="宋体" w:cs="宋体"/>
          <w:color w:val="auto"/>
          <w:sz w:val="24"/>
          <w:szCs w:val="24"/>
          <w:highlight w:val="none"/>
        </w:rPr>
        <w:t>〔2017〕141</w:t>
      </w:r>
      <w:r>
        <w:rPr>
          <w:rFonts w:hint="eastAsia" w:ascii="宋体" w:hAnsi="宋体" w:eastAsia="宋体" w:cs="宋体"/>
          <w:color w:val="auto"/>
          <w:spacing w:val="6"/>
          <w:sz w:val="24"/>
          <w:szCs w:val="24"/>
          <w:highlight w:val="none"/>
        </w:rPr>
        <w:t>号）的规定，本单位为</w:t>
      </w:r>
      <w:r>
        <w:rPr>
          <w:rFonts w:hint="eastAsia" w:ascii="宋体" w:hAnsi="宋体" w:eastAsia="宋体" w:cs="宋体"/>
          <w:bCs/>
          <w:color w:val="auto"/>
          <w:sz w:val="24"/>
          <w:szCs w:val="24"/>
          <w:highlight w:val="none"/>
        </w:rPr>
        <w:t>符合</w:t>
      </w:r>
      <w:r>
        <w:rPr>
          <w:rFonts w:hint="eastAsia" w:ascii="宋体" w:hAnsi="宋体" w:eastAsia="宋体" w:cs="宋体"/>
          <w:color w:val="auto"/>
          <w:spacing w:val="6"/>
          <w:sz w:val="24"/>
          <w:szCs w:val="24"/>
          <w:highlight w:val="none"/>
        </w:rPr>
        <w:t>条件的残疾人福利性单位，且本单位参加</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单位的</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项目采购活动提供本单位制造的货物</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lang w:val="en-US" w:eastAsia="zh-CN"/>
        </w:rPr>
        <w:t>由本单位承担工程/提供服务</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rPr>
        <w:t>，或者提供其他残疾人福利性单位制造的货物（不包括使用非残疾人福利性单位注册商标的货物）。</w:t>
      </w:r>
    </w:p>
    <w:p w14:paraId="4D062213">
      <w:pPr>
        <w:spacing w:line="360" w:lineRule="auto"/>
        <w:ind w:firstLine="435"/>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本单位对上述声明的真实性负责。如有虚假，将依法承担相应责任。</w:t>
      </w:r>
    </w:p>
    <w:p w14:paraId="52C5957C">
      <w:pPr>
        <w:spacing w:line="360" w:lineRule="auto"/>
        <w:ind w:firstLine="4228" w:firstLineChars="1762"/>
        <w:rPr>
          <w:rFonts w:hint="eastAsia" w:ascii="宋体" w:hAnsi="宋体" w:eastAsia="宋体" w:cs="宋体"/>
          <w:color w:val="auto"/>
          <w:sz w:val="24"/>
          <w:szCs w:val="24"/>
          <w:highlight w:val="none"/>
        </w:rPr>
      </w:pPr>
    </w:p>
    <w:p w14:paraId="1FA97DE8">
      <w:pPr>
        <w:spacing w:line="360" w:lineRule="auto"/>
        <w:ind w:firstLine="4228" w:firstLineChars="1762"/>
        <w:rPr>
          <w:rFonts w:hint="eastAsia" w:ascii="宋体" w:hAnsi="宋体" w:eastAsia="宋体" w:cs="宋体"/>
          <w:color w:val="auto"/>
          <w:sz w:val="24"/>
          <w:szCs w:val="24"/>
          <w:highlight w:val="none"/>
        </w:rPr>
      </w:pPr>
    </w:p>
    <w:p w14:paraId="7529E4FA">
      <w:pPr>
        <w:spacing w:line="360" w:lineRule="auto"/>
        <w:ind w:firstLine="4228" w:firstLineChars="1762"/>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投标人电子签章：</w:t>
      </w:r>
      <w:r>
        <w:rPr>
          <w:rFonts w:hint="eastAsia" w:ascii="宋体" w:hAnsi="宋体" w:eastAsia="宋体" w:cs="宋体"/>
          <w:color w:val="auto"/>
          <w:sz w:val="24"/>
          <w:szCs w:val="24"/>
          <w:highlight w:val="none"/>
          <w:u w:val="single"/>
        </w:rPr>
        <w:t xml:space="preserve">             </w:t>
      </w:r>
    </w:p>
    <w:p w14:paraId="7ABDD510">
      <w:pPr>
        <w:tabs>
          <w:tab w:val="left" w:pos="4620"/>
        </w:tabs>
        <w:spacing w:line="360" w:lineRule="auto"/>
        <w:ind w:firstLine="4252" w:firstLineChars="1772"/>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14:paraId="757AFF6E">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63C223B8">
      <w:pPr>
        <w:spacing w:line="360" w:lineRule="auto"/>
        <w:jc w:val="center"/>
        <w:outlineLvl w:val="1"/>
        <w:rPr>
          <w:rFonts w:hint="eastAsia" w:ascii="宋体" w:hAnsi="宋体" w:eastAsia="宋体" w:cs="宋体"/>
          <w:b/>
          <w:color w:val="auto"/>
          <w:sz w:val="24"/>
          <w:highlight w:val="none"/>
          <w:lang w:val="en-US" w:eastAsia="zh-CN"/>
        </w:rPr>
      </w:pPr>
      <w:bookmarkStart w:id="70" w:name="_Toc457768004"/>
      <w:bookmarkStart w:id="71" w:name="_Toc520299348"/>
      <w:bookmarkStart w:id="72" w:name="_Toc300210382"/>
      <w:bookmarkStart w:id="73" w:name="_Toc26536"/>
      <w:bookmarkStart w:id="74" w:name="_Toc25813"/>
      <w:bookmarkStart w:id="75" w:name="_Hlk11701496"/>
      <w:r>
        <w:rPr>
          <w:rFonts w:hint="eastAsia" w:ascii="宋体" w:hAnsi="宋体" w:eastAsia="宋体" w:cs="宋体"/>
          <w:b/>
          <w:color w:val="auto"/>
          <w:sz w:val="24"/>
          <w:highlight w:val="none"/>
          <w:lang w:val="en-US" w:eastAsia="zh-CN"/>
        </w:rPr>
        <w:t>九、</w:t>
      </w:r>
      <w:bookmarkEnd w:id="70"/>
      <w:bookmarkEnd w:id="71"/>
      <w:bookmarkEnd w:id="72"/>
      <w:r>
        <w:rPr>
          <w:rFonts w:hint="eastAsia" w:ascii="宋体" w:hAnsi="宋体" w:eastAsia="宋体" w:cs="宋体"/>
          <w:b/>
          <w:color w:val="auto"/>
          <w:sz w:val="24"/>
          <w:highlight w:val="none"/>
          <w:lang w:val="en-US" w:eastAsia="zh-CN"/>
        </w:rPr>
        <w:t>诚信履约承诺函</w:t>
      </w:r>
      <w:bookmarkEnd w:id="73"/>
      <w:bookmarkEnd w:id="74"/>
    </w:p>
    <w:p w14:paraId="4D106C01">
      <w:pPr>
        <w:spacing w:line="360" w:lineRule="auto"/>
        <w:rPr>
          <w:rFonts w:hint="eastAsia" w:ascii="宋体" w:hAnsi="宋体" w:eastAsia="宋体" w:cs="宋体"/>
          <w:b/>
          <w:bCs/>
          <w:color w:val="auto"/>
          <w:sz w:val="24"/>
          <w:highlight w:val="none"/>
        </w:rPr>
      </w:pPr>
    </w:p>
    <w:p w14:paraId="6128A7A3">
      <w:pPr>
        <w:spacing w:line="360" w:lineRule="auto"/>
        <w:rPr>
          <w:rFonts w:hint="eastAsia" w:ascii="宋体" w:hAnsi="宋体" w:eastAsia="宋体" w:cs="宋体"/>
          <w:b/>
          <w:bCs/>
          <w:color w:val="auto"/>
          <w:sz w:val="24"/>
          <w:highlight w:val="none"/>
          <w:u w:val="single"/>
          <w:lang w:eastAsia="zh-CN"/>
        </w:rPr>
      </w:pPr>
      <w:r>
        <w:rPr>
          <w:rFonts w:hint="eastAsia" w:ascii="宋体" w:hAnsi="宋体" w:eastAsia="宋体" w:cs="宋体"/>
          <w:b/>
          <w:bCs/>
          <w:color w:val="auto"/>
          <w:sz w:val="24"/>
          <w:highlight w:val="none"/>
        </w:rPr>
        <w:t>致：</w:t>
      </w:r>
      <w:r>
        <w:rPr>
          <w:rFonts w:hint="eastAsia" w:ascii="宋体" w:hAnsi="宋体" w:eastAsia="宋体" w:cs="宋体"/>
          <w:b/>
          <w:bCs/>
          <w:color w:val="auto"/>
          <w:sz w:val="24"/>
          <w:highlight w:val="none"/>
          <w:u w:val="none"/>
          <w:lang w:eastAsia="zh-CN"/>
        </w:rPr>
        <w:t>采购人</w:t>
      </w:r>
    </w:p>
    <w:p w14:paraId="469D1387">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如我单位被确定为本项目中标人，我单位承诺在合同签订及履约过程中将严格执行《中华人民共和国政府采购法》、《中华人民共和国政府采购法实施条例》及本项目采购文件中关于合同签订及履约的相关规定，不出现以下情形：</w:t>
      </w:r>
    </w:p>
    <w:p w14:paraId="7FF3FCBC">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（1）中标或者成交后无正当理由拒不与采购人签订政府采购合同；</w:t>
      </w:r>
    </w:p>
    <w:p w14:paraId="67D10005">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（2）未按照采购文件确定的事项签订政府采购合同；</w:t>
      </w:r>
    </w:p>
    <w:p w14:paraId="2349A7AC">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（3）将政府采购合同转包；</w:t>
      </w:r>
    </w:p>
    <w:p w14:paraId="62635AAD">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（4）提供假冒伪劣产品；</w:t>
      </w:r>
    </w:p>
    <w:p w14:paraId="1B2794DB">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（5）擅自变更、中止或者终止政府采购合同。</w:t>
      </w:r>
    </w:p>
    <w:p w14:paraId="5B196B74">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32F27DE">
      <w:pPr>
        <w:spacing w:line="360" w:lineRule="auto"/>
        <w:rPr>
          <w:rFonts w:hint="eastAsia" w:ascii="宋体" w:hAnsi="宋体" w:eastAsia="宋体" w:cs="宋体"/>
          <w:bCs/>
          <w:color w:val="auto"/>
          <w:sz w:val="24"/>
          <w:highlight w:val="none"/>
        </w:rPr>
      </w:pPr>
    </w:p>
    <w:p w14:paraId="76076C85">
      <w:pPr>
        <w:spacing w:line="360" w:lineRule="auto"/>
        <w:rPr>
          <w:rFonts w:hint="eastAsia" w:ascii="宋体" w:hAnsi="宋体" w:eastAsia="宋体" w:cs="宋体"/>
          <w:bCs/>
          <w:color w:val="auto"/>
          <w:sz w:val="24"/>
          <w:highlight w:val="none"/>
        </w:rPr>
      </w:pPr>
    </w:p>
    <w:p w14:paraId="3EF55379">
      <w:pPr>
        <w:spacing w:line="360" w:lineRule="auto"/>
        <w:ind w:firstLine="4320" w:firstLineChars="1800"/>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投标人电子签章：</w:t>
      </w:r>
      <w:r>
        <w:rPr>
          <w:rFonts w:hint="eastAsia" w:ascii="宋体" w:hAnsi="宋体" w:eastAsia="宋体" w:cs="宋体"/>
          <w:bCs/>
          <w:color w:val="auto"/>
          <w:sz w:val="24"/>
          <w:highlight w:val="none"/>
          <w:u w:val="single"/>
        </w:rPr>
        <w:t xml:space="preserve">             </w:t>
      </w:r>
    </w:p>
    <w:p w14:paraId="0C98C6AF">
      <w:pPr>
        <w:spacing w:line="360" w:lineRule="auto"/>
        <w:ind w:firstLine="4320" w:firstLineChars="18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日          期：</w:t>
      </w:r>
      <w:r>
        <w:rPr>
          <w:rFonts w:hint="eastAsia" w:ascii="宋体" w:hAnsi="宋体" w:eastAsia="宋体" w:cs="宋体"/>
          <w:bCs/>
          <w:color w:val="auto"/>
          <w:sz w:val="24"/>
          <w:highlight w:val="none"/>
          <w:u w:val="single"/>
        </w:rPr>
        <w:t xml:space="preserve">             </w:t>
      </w:r>
    </w:p>
    <w:p w14:paraId="6631AF68">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bookmarkEnd w:id="75"/>
    <w:p w14:paraId="588B6E37">
      <w:pPr>
        <w:spacing w:line="360" w:lineRule="auto"/>
        <w:jc w:val="center"/>
        <w:outlineLvl w:val="2"/>
        <w:rPr>
          <w:rFonts w:hint="eastAsia" w:ascii="宋体" w:hAnsi="宋体" w:eastAsia="宋体" w:cs="宋体"/>
          <w:b/>
          <w:color w:val="auto"/>
          <w:sz w:val="24"/>
          <w:highlight w:val="none"/>
        </w:rPr>
      </w:pPr>
      <w:bookmarkStart w:id="76" w:name="_Toc2683"/>
      <w:bookmarkStart w:id="77" w:name="_Toc32633"/>
      <w:r>
        <w:rPr>
          <w:rFonts w:hint="eastAsia" w:ascii="宋体" w:hAnsi="宋体" w:eastAsia="宋体" w:cs="宋体"/>
          <w:b/>
          <w:color w:val="auto"/>
          <w:sz w:val="24"/>
          <w:highlight w:val="none"/>
          <w:lang w:val="en-US" w:eastAsia="zh-CN"/>
        </w:rPr>
        <w:t>十</w:t>
      </w:r>
      <w:r>
        <w:rPr>
          <w:rFonts w:hint="eastAsia" w:ascii="宋体" w:hAnsi="宋体" w:eastAsia="宋体" w:cs="宋体"/>
          <w:b/>
          <w:color w:val="auto"/>
          <w:sz w:val="24"/>
          <w:highlight w:val="none"/>
        </w:rPr>
        <w:t>、供货安装调试及技术方案</w:t>
      </w:r>
    </w:p>
    <w:p w14:paraId="5230EBAE">
      <w:pPr>
        <w:spacing w:line="360" w:lineRule="auto"/>
        <w:jc w:val="center"/>
        <w:rPr>
          <w:rFonts w:hint="eastAsia" w:ascii="宋体" w:hAnsi="宋体" w:eastAsia="宋体" w:cs="宋体"/>
          <w:i/>
          <w:color w:val="auto"/>
          <w:sz w:val="24"/>
          <w:highlight w:val="none"/>
        </w:rPr>
      </w:pPr>
      <w:r>
        <w:rPr>
          <w:rFonts w:hint="eastAsia" w:ascii="宋体" w:hAnsi="宋体" w:eastAsia="宋体" w:cs="宋体"/>
          <w:i/>
          <w:color w:val="auto"/>
          <w:sz w:val="24"/>
          <w:highlight w:val="none"/>
        </w:rPr>
        <w:t>(投标人可自行制作格式</w:t>
      </w:r>
      <w:r>
        <w:rPr>
          <w:rFonts w:hint="eastAsia" w:ascii="宋体" w:hAnsi="宋体" w:eastAsia="宋体" w:cs="宋体"/>
          <w:i/>
          <w:color w:val="auto"/>
          <w:sz w:val="24"/>
          <w:highlight w:val="none"/>
          <w:lang w:eastAsia="zh-CN"/>
        </w:rPr>
        <w:t>，</w:t>
      </w:r>
      <w:r>
        <w:rPr>
          <w:rFonts w:hint="eastAsia" w:ascii="宋体" w:hAnsi="宋体" w:eastAsia="宋体" w:cs="宋体"/>
          <w:i/>
          <w:color w:val="auto"/>
          <w:sz w:val="24"/>
          <w:highlight w:val="none"/>
          <w:lang w:val="en-US" w:eastAsia="zh-CN"/>
        </w:rPr>
        <w:t>编制目录</w:t>
      </w:r>
      <w:r>
        <w:rPr>
          <w:rFonts w:hint="eastAsia" w:ascii="宋体" w:hAnsi="宋体" w:eastAsia="宋体" w:cs="宋体"/>
          <w:i/>
          <w:color w:val="auto"/>
          <w:sz w:val="24"/>
          <w:highlight w:val="none"/>
        </w:rPr>
        <w:t>)</w:t>
      </w:r>
    </w:p>
    <w:p w14:paraId="06BA273C">
      <w:pPr>
        <w:widowControl/>
        <w:jc w:val="left"/>
        <w:rPr>
          <w:rFonts w:hint="eastAsia" w:ascii="宋体" w:hAnsi="宋体" w:eastAsia="宋体" w:cs="宋体"/>
          <w:color w:val="auto"/>
          <w:sz w:val="24"/>
          <w:highlight w:val="none"/>
        </w:rPr>
      </w:pPr>
    </w:p>
    <w:p w14:paraId="02070679">
      <w:pPr>
        <w:widowControl/>
        <w:jc w:val="left"/>
        <w:rPr>
          <w:rFonts w:hint="eastAsia" w:ascii="宋体" w:hAnsi="宋体" w:eastAsia="宋体" w:cs="宋体"/>
          <w:color w:val="auto"/>
          <w:sz w:val="24"/>
          <w:highlight w:val="none"/>
        </w:rPr>
      </w:pPr>
    </w:p>
    <w:p w14:paraId="21A7850D">
      <w:pPr>
        <w:spacing w:line="360" w:lineRule="auto"/>
        <w:jc w:val="center"/>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十一</w:t>
      </w:r>
      <w:r>
        <w:rPr>
          <w:rFonts w:hint="eastAsia" w:ascii="宋体" w:hAnsi="宋体" w:eastAsia="宋体" w:cs="宋体"/>
          <w:b/>
          <w:color w:val="auto"/>
          <w:sz w:val="24"/>
          <w:highlight w:val="none"/>
        </w:rPr>
        <w:t>、售后服务及培训方案</w:t>
      </w:r>
    </w:p>
    <w:p w14:paraId="16F89998">
      <w:pPr>
        <w:spacing w:line="360" w:lineRule="auto"/>
        <w:jc w:val="center"/>
        <w:rPr>
          <w:rFonts w:hint="eastAsia" w:ascii="宋体" w:hAnsi="宋体" w:eastAsia="宋体" w:cs="宋体"/>
          <w:i/>
          <w:color w:val="auto"/>
          <w:sz w:val="24"/>
          <w:highlight w:val="none"/>
        </w:rPr>
      </w:pPr>
      <w:r>
        <w:rPr>
          <w:rFonts w:hint="eastAsia" w:ascii="宋体" w:hAnsi="宋体" w:eastAsia="宋体" w:cs="宋体"/>
          <w:i/>
          <w:color w:val="auto"/>
          <w:sz w:val="24"/>
          <w:highlight w:val="none"/>
        </w:rPr>
        <w:t>(投标人可自行制作格式</w:t>
      </w:r>
      <w:r>
        <w:rPr>
          <w:rFonts w:hint="eastAsia" w:ascii="宋体" w:hAnsi="宋体" w:eastAsia="宋体" w:cs="宋体"/>
          <w:i/>
          <w:color w:val="auto"/>
          <w:sz w:val="24"/>
          <w:highlight w:val="none"/>
          <w:lang w:eastAsia="zh-CN"/>
        </w:rPr>
        <w:t>，</w:t>
      </w:r>
      <w:r>
        <w:rPr>
          <w:rFonts w:hint="eastAsia" w:ascii="宋体" w:hAnsi="宋体" w:eastAsia="宋体" w:cs="宋体"/>
          <w:i/>
          <w:color w:val="auto"/>
          <w:sz w:val="24"/>
          <w:highlight w:val="none"/>
          <w:lang w:val="en-US" w:eastAsia="zh-CN"/>
        </w:rPr>
        <w:t>编制目录</w:t>
      </w:r>
      <w:r>
        <w:rPr>
          <w:rFonts w:hint="eastAsia" w:ascii="宋体" w:hAnsi="宋体" w:eastAsia="宋体" w:cs="宋体"/>
          <w:i/>
          <w:color w:val="auto"/>
          <w:sz w:val="24"/>
          <w:highlight w:val="none"/>
        </w:rPr>
        <w:t>)</w:t>
      </w:r>
    </w:p>
    <w:p w14:paraId="27659823">
      <w:pPr>
        <w:rPr>
          <w:rFonts w:hint="eastAsia" w:ascii="宋体" w:hAnsi="宋体" w:eastAsia="宋体" w:cs="宋体"/>
          <w:b/>
          <w:color w:val="auto"/>
          <w:sz w:val="24"/>
          <w:highlight w:val="none"/>
          <w:lang w:val="en-US" w:eastAsia="zh-CN"/>
        </w:rPr>
      </w:pPr>
    </w:p>
    <w:p w14:paraId="3DFA9B16">
      <w:pPr>
        <w:spacing w:line="360" w:lineRule="auto"/>
        <w:jc w:val="center"/>
        <w:outlineLvl w:val="1"/>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十二、其他相关证明材料</w:t>
      </w:r>
      <w:bookmarkEnd w:id="76"/>
      <w:bookmarkEnd w:id="77"/>
    </w:p>
    <w:p w14:paraId="070A859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提供符合投标邀请、采购需求及评标方法和标准规定的相关证明文件。</w:t>
      </w:r>
    </w:p>
    <w:p w14:paraId="70E15B8C">
      <w:pPr>
        <w:spacing w:line="360" w:lineRule="auto"/>
        <w:ind w:firstLine="480" w:firstLineChars="200"/>
        <w:rPr>
          <w:rFonts w:hint="eastAsia" w:ascii="宋体" w:hAnsi="宋体" w:eastAsia="宋体" w:cs="宋体"/>
          <w:color w:val="auto"/>
          <w:sz w:val="24"/>
          <w:highlight w:val="none"/>
        </w:rPr>
      </w:pPr>
    </w:p>
    <w:p w14:paraId="21EDB811">
      <w:pPr>
        <w:spacing w:line="360" w:lineRule="auto"/>
        <w:ind w:firstLine="43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特别提示：</w:t>
      </w:r>
    </w:p>
    <w:p w14:paraId="1CC4FAC1">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投标人在投标文件制作时可在此栏内上传招标文件要求上传的证明资料，如营业执照、证书等，应将上述证明材料制作成扫描件上传。</w:t>
      </w:r>
    </w:p>
    <w:p w14:paraId="11F30811">
      <w:pPr>
        <w:widowControl/>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br w:type="page"/>
      </w:r>
    </w:p>
    <w:p w14:paraId="46339A59">
      <w:pPr>
        <w:spacing w:line="360" w:lineRule="auto"/>
        <w:jc w:val="center"/>
        <w:outlineLvl w:val="0"/>
        <w:rPr>
          <w:rFonts w:hint="eastAsia" w:ascii="宋体" w:hAnsi="宋体" w:eastAsia="宋体" w:cs="宋体"/>
          <w:b/>
          <w:bCs/>
          <w:color w:val="auto"/>
          <w:sz w:val="28"/>
          <w:highlight w:val="none"/>
        </w:rPr>
      </w:pPr>
      <w:bookmarkStart w:id="78" w:name="_Toc6435"/>
      <w:bookmarkStart w:id="79" w:name="_Toc18131"/>
      <w:r>
        <w:rPr>
          <w:rFonts w:hint="eastAsia" w:ascii="宋体" w:hAnsi="宋体" w:eastAsia="宋体" w:cs="宋体"/>
          <w:b/>
          <w:color w:val="auto"/>
          <w:sz w:val="28"/>
          <w:highlight w:val="none"/>
        </w:rPr>
        <w:t>第</w:t>
      </w:r>
      <w:r>
        <w:rPr>
          <w:rFonts w:hint="eastAsia" w:ascii="宋体" w:hAnsi="宋体" w:eastAsia="宋体" w:cs="宋体"/>
          <w:b/>
          <w:color w:val="auto"/>
          <w:sz w:val="28"/>
          <w:highlight w:val="none"/>
          <w:lang w:val="en-US" w:eastAsia="zh-CN"/>
        </w:rPr>
        <w:t>七</w:t>
      </w:r>
      <w:r>
        <w:rPr>
          <w:rFonts w:hint="eastAsia" w:ascii="宋体" w:hAnsi="宋体" w:eastAsia="宋体" w:cs="宋体"/>
          <w:b/>
          <w:color w:val="auto"/>
          <w:sz w:val="28"/>
          <w:highlight w:val="none"/>
        </w:rPr>
        <w:t>章</w:t>
      </w:r>
      <w:r>
        <w:rPr>
          <w:rFonts w:hint="eastAsia" w:ascii="宋体" w:hAnsi="宋体" w:eastAsia="宋体" w:cs="宋体"/>
          <w:b/>
          <w:bCs/>
          <w:color w:val="auto"/>
          <w:sz w:val="28"/>
          <w:highlight w:val="none"/>
        </w:rPr>
        <w:t xml:space="preserve">  政府采购</w:t>
      </w:r>
      <w:r>
        <w:rPr>
          <w:rFonts w:hint="eastAsia" w:ascii="宋体" w:hAnsi="宋体" w:eastAsia="宋体" w:cs="宋体"/>
          <w:b/>
          <w:color w:val="auto"/>
          <w:sz w:val="28"/>
          <w:highlight w:val="none"/>
        </w:rPr>
        <w:t>供应</w:t>
      </w:r>
      <w:r>
        <w:rPr>
          <w:rFonts w:hint="eastAsia" w:ascii="宋体" w:hAnsi="宋体" w:eastAsia="宋体" w:cs="宋体"/>
          <w:b/>
          <w:bCs/>
          <w:color w:val="auto"/>
          <w:sz w:val="28"/>
          <w:highlight w:val="none"/>
        </w:rPr>
        <w:t>商询问函和质疑函范本</w:t>
      </w:r>
      <w:bookmarkEnd w:id="78"/>
      <w:bookmarkEnd w:id="79"/>
    </w:p>
    <w:p w14:paraId="3AE4FA0A">
      <w:pPr>
        <w:spacing w:line="360" w:lineRule="auto"/>
        <w:jc w:val="center"/>
        <w:outlineLvl w:val="1"/>
        <w:rPr>
          <w:rFonts w:hint="eastAsia" w:ascii="宋体" w:hAnsi="宋体" w:eastAsia="宋体" w:cs="宋体"/>
          <w:b/>
          <w:bCs/>
          <w:color w:val="auto"/>
          <w:sz w:val="32"/>
          <w:szCs w:val="44"/>
          <w:highlight w:val="none"/>
        </w:rPr>
      </w:pPr>
      <w:bookmarkStart w:id="80" w:name="_Toc27159"/>
      <w:bookmarkStart w:id="81" w:name="_Toc27489"/>
      <w:r>
        <w:rPr>
          <w:rFonts w:hint="eastAsia" w:ascii="宋体" w:hAnsi="宋体" w:eastAsia="宋体" w:cs="宋体"/>
          <w:b/>
          <w:bCs/>
          <w:color w:val="auto"/>
          <w:sz w:val="32"/>
          <w:szCs w:val="44"/>
          <w:highlight w:val="none"/>
        </w:rPr>
        <w:t>询问函范本</w:t>
      </w:r>
      <w:bookmarkEnd w:id="80"/>
      <w:bookmarkEnd w:id="81"/>
    </w:p>
    <w:p w14:paraId="496CAFF6">
      <w:pPr>
        <w:adjustRightInd w:val="0"/>
        <w:snapToGrid w:val="0"/>
        <w:spacing w:line="360" w:lineRule="auto"/>
        <w:ind w:firstLine="480" w:firstLineChars="200"/>
        <w:jc w:val="center"/>
        <w:rPr>
          <w:rFonts w:hint="eastAsia" w:ascii="宋体" w:hAnsi="宋体" w:eastAsia="宋体" w:cs="宋体"/>
          <w:b/>
          <w:bCs/>
          <w:color w:val="auto"/>
          <w:sz w:val="32"/>
          <w:szCs w:val="44"/>
          <w:highlight w:val="none"/>
        </w:rPr>
      </w:pPr>
      <w:r>
        <w:rPr>
          <w:rFonts w:hint="eastAsia" w:ascii="宋体" w:hAnsi="宋体" w:eastAsia="宋体" w:cs="宋体"/>
          <w:i/>
          <w:iCs/>
          <w:color w:val="auto"/>
          <w:sz w:val="24"/>
          <w:szCs w:val="24"/>
          <w:highlight w:val="none"/>
        </w:rPr>
        <w:t>（如为对采购文件或采购程序的询问或疑问，请按询问函范本或电子交易系统中网上询问格式附件进行提交）</w:t>
      </w:r>
    </w:p>
    <w:p w14:paraId="19882E22">
      <w:pPr>
        <w:adjustRightInd w:val="0"/>
        <w:snapToGrid w:val="0"/>
        <w:spacing w:line="360" w:lineRule="auto"/>
        <w:rPr>
          <w:rFonts w:hint="eastAsia" w:ascii="宋体" w:hAnsi="宋体" w:eastAsia="宋体" w:cs="宋体"/>
          <w:b/>
          <w:bCs/>
          <w:color w:val="auto"/>
          <w:sz w:val="24"/>
          <w:szCs w:val="24"/>
          <w:highlight w:val="none"/>
          <w:u w:val="single"/>
          <w:lang w:eastAsia="zh-CN"/>
        </w:rPr>
      </w:pPr>
      <w:r>
        <w:rPr>
          <w:rFonts w:hint="eastAsia" w:ascii="宋体" w:hAnsi="宋体" w:eastAsia="宋体" w:cs="宋体"/>
          <w:b/>
          <w:bCs/>
          <w:color w:val="auto"/>
          <w:sz w:val="24"/>
          <w:szCs w:val="24"/>
          <w:highlight w:val="none"/>
          <w:lang w:val="en-US" w:eastAsia="zh-CN"/>
        </w:rPr>
        <w:t>致：</w:t>
      </w:r>
      <w:r>
        <w:rPr>
          <w:rFonts w:hint="eastAsia" w:ascii="宋体" w:hAnsi="宋体" w:eastAsia="宋体" w:cs="宋体"/>
          <w:b/>
          <w:bCs/>
          <w:color w:val="auto"/>
          <w:sz w:val="24"/>
          <w:szCs w:val="24"/>
          <w:highlight w:val="none"/>
          <w:u w:val="none"/>
          <w:lang w:eastAsia="zh-CN"/>
        </w:rPr>
        <w:t>采购人</w:t>
      </w:r>
    </w:p>
    <w:p w14:paraId="67C35E30">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我单位拟参与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i/>
          <w:iCs/>
          <w:color w:val="auto"/>
          <w:sz w:val="24"/>
          <w:szCs w:val="24"/>
          <w:highlight w:val="none"/>
          <w:u w:val="none"/>
          <w:lang w:val="en-US" w:eastAsia="zh-CN"/>
        </w:rPr>
        <w:t>项目名称、编号</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rPr>
        <w:t>的采购活动，现有以下内容(或条款)存在疑问(或无法理解)，特提出询问。</w:t>
      </w:r>
    </w:p>
    <w:p w14:paraId="2DB15F9C">
      <w:pPr>
        <w:adjustRightInd w:val="0"/>
        <w:snapToGrid w:val="0"/>
        <w:spacing w:line="360" w:lineRule="auto"/>
        <w:ind w:firstLine="480" w:firstLineChars="200"/>
        <w:outlineLvl w:val="9"/>
        <w:rPr>
          <w:rFonts w:hint="eastAsia" w:ascii="宋体" w:hAnsi="宋体" w:eastAsia="宋体" w:cs="宋体"/>
          <w:color w:val="auto"/>
          <w:sz w:val="24"/>
          <w:szCs w:val="24"/>
          <w:highlight w:val="none"/>
        </w:rPr>
      </w:pPr>
      <w:bookmarkStart w:id="82" w:name="_Toc13899"/>
      <w:r>
        <w:rPr>
          <w:rFonts w:hint="eastAsia" w:ascii="宋体" w:hAnsi="宋体" w:eastAsia="宋体" w:cs="宋体"/>
          <w:color w:val="auto"/>
          <w:sz w:val="24"/>
          <w:szCs w:val="24"/>
          <w:highlight w:val="none"/>
        </w:rPr>
        <w:t>一、(事项一)</w:t>
      </w:r>
      <w:bookmarkEnd w:id="82"/>
    </w:p>
    <w:p w14:paraId="78582457">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1、(内容或条款)</w:t>
      </w:r>
    </w:p>
    <w:p w14:paraId="624CB868">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2、(说明疑问或无法理解原因)</w:t>
      </w:r>
    </w:p>
    <w:p w14:paraId="2B19B313">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3、(建议)</w:t>
      </w:r>
    </w:p>
    <w:p w14:paraId="7B837358">
      <w:pPr>
        <w:adjustRightInd w:val="0"/>
        <w:snapToGrid w:val="0"/>
        <w:spacing w:line="360" w:lineRule="auto"/>
        <w:ind w:firstLine="480" w:firstLineChars="200"/>
        <w:outlineLvl w:val="9"/>
        <w:rPr>
          <w:rFonts w:hint="eastAsia" w:ascii="宋体" w:hAnsi="宋体" w:eastAsia="宋体" w:cs="宋体"/>
          <w:color w:val="auto"/>
          <w:sz w:val="24"/>
          <w:szCs w:val="24"/>
          <w:highlight w:val="none"/>
        </w:rPr>
      </w:pPr>
      <w:bookmarkStart w:id="83" w:name="_Toc3352"/>
      <w:r>
        <w:rPr>
          <w:rFonts w:hint="eastAsia" w:ascii="宋体" w:hAnsi="宋体" w:eastAsia="宋体" w:cs="宋体"/>
          <w:color w:val="auto"/>
          <w:sz w:val="24"/>
          <w:szCs w:val="24"/>
          <w:highlight w:val="none"/>
        </w:rPr>
        <w:t>二、(事项二)</w:t>
      </w:r>
      <w:bookmarkEnd w:id="83"/>
    </w:p>
    <w:p w14:paraId="3B7B525B">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18F5162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随附相关证明材料如下： </w:t>
      </w:r>
    </w:p>
    <w:p w14:paraId="76A4EFE0">
      <w:pPr>
        <w:spacing w:line="360" w:lineRule="auto"/>
        <w:ind w:firstLine="4228" w:firstLineChars="1762"/>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 系 人：</w:t>
      </w:r>
      <w:r>
        <w:rPr>
          <w:rFonts w:hint="eastAsia" w:ascii="宋体" w:hAnsi="宋体" w:eastAsia="宋体" w:cs="宋体"/>
          <w:color w:val="auto"/>
          <w:sz w:val="24"/>
          <w:highlight w:val="none"/>
          <w:u w:val="single"/>
        </w:rPr>
        <w:t xml:space="preserve">              </w:t>
      </w:r>
    </w:p>
    <w:p w14:paraId="2ECD0077">
      <w:pPr>
        <w:spacing w:line="360" w:lineRule="auto"/>
        <w:ind w:firstLine="4228" w:firstLineChars="1762"/>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single"/>
        </w:rPr>
        <w:t xml:space="preserve">              </w:t>
      </w:r>
    </w:p>
    <w:p w14:paraId="365C436A">
      <w:pPr>
        <w:tabs>
          <w:tab w:val="left" w:pos="630"/>
        </w:tabs>
        <w:spacing w:line="360" w:lineRule="auto"/>
        <w:ind w:firstLine="4228" w:firstLineChars="1762"/>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14:paraId="51DE2632">
      <w:pPr>
        <w:rPr>
          <w:rFonts w:hint="eastAsia" w:ascii="宋体" w:hAnsi="宋体" w:eastAsia="宋体" w:cs="宋体"/>
          <w:b/>
          <w:bCs/>
          <w:color w:val="auto"/>
          <w:sz w:val="32"/>
          <w:szCs w:val="44"/>
          <w:highlight w:val="none"/>
        </w:rPr>
      </w:pPr>
      <w:r>
        <w:rPr>
          <w:rFonts w:hint="eastAsia" w:ascii="宋体" w:hAnsi="宋体" w:eastAsia="宋体" w:cs="宋体"/>
          <w:b/>
          <w:bCs/>
          <w:color w:val="auto"/>
          <w:sz w:val="32"/>
          <w:szCs w:val="44"/>
          <w:highlight w:val="none"/>
        </w:rPr>
        <w:br w:type="page"/>
      </w:r>
    </w:p>
    <w:p w14:paraId="73F1FD57">
      <w:pPr>
        <w:jc w:val="center"/>
        <w:outlineLvl w:val="1"/>
        <w:rPr>
          <w:rFonts w:hint="eastAsia" w:ascii="宋体" w:hAnsi="宋体" w:eastAsia="宋体" w:cs="宋体"/>
          <w:b/>
          <w:bCs/>
          <w:color w:val="auto"/>
          <w:sz w:val="32"/>
          <w:szCs w:val="44"/>
          <w:highlight w:val="none"/>
        </w:rPr>
      </w:pPr>
      <w:bookmarkStart w:id="84" w:name="_Toc1575"/>
      <w:bookmarkStart w:id="85" w:name="_Toc3245"/>
      <w:r>
        <w:rPr>
          <w:rFonts w:hint="eastAsia" w:ascii="宋体" w:hAnsi="宋体" w:eastAsia="宋体" w:cs="宋体"/>
          <w:b/>
          <w:bCs/>
          <w:color w:val="auto"/>
          <w:sz w:val="32"/>
          <w:szCs w:val="44"/>
          <w:highlight w:val="none"/>
        </w:rPr>
        <w:t>质疑函范本</w:t>
      </w:r>
      <w:bookmarkEnd w:id="84"/>
      <w:bookmarkEnd w:id="85"/>
    </w:p>
    <w:p w14:paraId="44E8832D">
      <w:pPr>
        <w:adjustRightInd w:val="0"/>
        <w:snapToGrid w:val="0"/>
        <w:spacing w:before="312" w:beforeLines="100" w:line="360" w:lineRule="auto"/>
        <w:outlineLvl w:val="9"/>
        <w:rPr>
          <w:rFonts w:hint="eastAsia" w:ascii="宋体" w:hAnsi="宋体" w:eastAsia="宋体" w:cs="宋体"/>
          <w:b/>
          <w:bCs/>
          <w:color w:val="auto"/>
          <w:sz w:val="24"/>
          <w:szCs w:val="24"/>
          <w:highlight w:val="none"/>
        </w:rPr>
      </w:pPr>
      <w:bookmarkStart w:id="86" w:name="_Toc21381"/>
      <w:r>
        <w:rPr>
          <w:rFonts w:hint="eastAsia" w:ascii="宋体" w:hAnsi="宋体" w:eastAsia="宋体" w:cs="宋体"/>
          <w:b/>
          <w:bCs/>
          <w:color w:val="auto"/>
          <w:sz w:val="24"/>
          <w:szCs w:val="24"/>
          <w:highlight w:val="none"/>
        </w:rPr>
        <w:t>一、质疑供应商基本信息</w:t>
      </w:r>
      <w:bookmarkEnd w:id="86"/>
    </w:p>
    <w:p w14:paraId="0CD3FF8D">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质疑供应商：</w:t>
      </w:r>
      <w:r>
        <w:rPr>
          <w:rFonts w:hint="eastAsia" w:ascii="宋体" w:hAnsi="宋体" w:eastAsia="宋体" w:cs="宋体"/>
          <w:color w:val="auto"/>
          <w:sz w:val="24"/>
          <w:szCs w:val="24"/>
          <w:highlight w:val="none"/>
          <w:u w:val="dotted"/>
        </w:rPr>
        <w:t xml:space="preserve">                                        </w:t>
      </w:r>
    </w:p>
    <w:p w14:paraId="413D7B9F">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70A3D137">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209D9069">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p>
    <w:p w14:paraId="2AB8BB0B">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4C6C7381">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190A5833">
      <w:pPr>
        <w:adjustRightInd w:val="0"/>
        <w:snapToGrid w:val="0"/>
        <w:spacing w:line="360" w:lineRule="auto"/>
        <w:outlineLvl w:val="9"/>
        <w:rPr>
          <w:rFonts w:hint="eastAsia" w:ascii="宋体" w:hAnsi="宋体" w:eastAsia="宋体" w:cs="宋体"/>
          <w:b/>
          <w:bCs/>
          <w:color w:val="auto"/>
          <w:sz w:val="24"/>
          <w:szCs w:val="24"/>
          <w:highlight w:val="none"/>
        </w:rPr>
      </w:pPr>
      <w:bookmarkStart w:id="87" w:name="_Toc28415"/>
      <w:r>
        <w:rPr>
          <w:rFonts w:hint="eastAsia" w:ascii="宋体" w:hAnsi="宋体" w:eastAsia="宋体" w:cs="宋体"/>
          <w:b/>
          <w:bCs/>
          <w:color w:val="auto"/>
          <w:sz w:val="24"/>
          <w:szCs w:val="24"/>
          <w:highlight w:val="none"/>
        </w:rPr>
        <w:t>二、质疑项目基本情况</w:t>
      </w:r>
      <w:bookmarkEnd w:id="87"/>
    </w:p>
    <w:p w14:paraId="5BCFCFC7">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w:t>
      </w:r>
      <w:r>
        <w:rPr>
          <w:rFonts w:hint="eastAsia" w:ascii="宋体" w:hAnsi="宋体" w:eastAsia="宋体" w:cs="宋体"/>
          <w:color w:val="auto"/>
          <w:sz w:val="24"/>
          <w:szCs w:val="24"/>
          <w:highlight w:val="none"/>
          <w:u w:val="dotted"/>
        </w:rPr>
        <w:t xml:space="preserve">                                      </w:t>
      </w:r>
    </w:p>
    <w:p w14:paraId="18F412F0">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质疑项目的编号：</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14:paraId="098826E4">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p>
    <w:p w14:paraId="22A6DED7">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采购文件获取日期：</w:t>
      </w:r>
      <w:r>
        <w:rPr>
          <w:rFonts w:hint="eastAsia" w:ascii="宋体" w:hAnsi="宋体" w:eastAsia="宋体" w:cs="宋体"/>
          <w:color w:val="auto"/>
          <w:sz w:val="24"/>
          <w:szCs w:val="24"/>
          <w:highlight w:val="none"/>
          <w:u w:val="dotted"/>
        </w:rPr>
        <w:t xml:space="preserve">                                           </w:t>
      </w:r>
    </w:p>
    <w:p w14:paraId="59EE2CF1">
      <w:pPr>
        <w:adjustRightInd w:val="0"/>
        <w:snapToGrid w:val="0"/>
        <w:spacing w:line="360" w:lineRule="auto"/>
        <w:outlineLvl w:val="9"/>
        <w:rPr>
          <w:rFonts w:hint="eastAsia" w:ascii="宋体" w:hAnsi="宋体" w:eastAsia="宋体" w:cs="宋体"/>
          <w:b/>
          <w:bCs/>
          <w:color w:val="auto"/>
          <w:sz w:val="24"/>
          <w:szCs w:val="24"/>
          <w:highlight w:val="none"/>
        </w:rPr>
      </w:pPr>
      <w:bookmarkStart w:id="88" w:name="_Toc19014"/>
      <w:r>
        <w:rPr>
          <w:rFonts w:hint="eastAsia" w:ascii="宋体" w:hAnsi="宋体" w:eastAsia="宋体" w:cs="宋体"/>
          <w:b/>
          <w:bCs/>
          <w:color w:val="auto"/>
          <w:sz w:val="24"/>
          <w:szCs w:val="24"/>
          <w:highlight w:val="none"/>
        </w:rPr>
        <w:t>三、质疑事项具体内容</w:t>
      </w:r>
      <w:bookmarkEnd w:id="88"/>
    </w:p>
    <w:p w14:paraId="3396F270">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质疑事项1：</w:t>
      </w:r>
      <w:r>
        <w:rPr>
          <w:rFonts w:hint="eastAsia" w:ascii="宋体" w:hAnsi="宋体" w:eastAsia="宋体" w:cs="宋体"/>
          <w:color w:val="auto"/>
          <w:sz w:val="24"/>
          <w:szCs w:val="24"/>
          <w:highlight w:val="none"/>
          <w:u w:val="dotted"/>
        </w:rPr>
        <w:t xml:space="preserve">                                         </w:t>
      </w:r>
    </w:p>
    <w:p w14:paraId="08FB0D34">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14:paraId="492EEA30">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 xml:space="preserve">                                                       </w:t>
      </w:r>
    </w:p>
    <w:p w14:paraId="71F69314">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14:paraId="33768EEA">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52BDD044">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质疑事项2</w:t>
      </w:r>
    </w:p>
    <w:p w14:paraId="1585093D">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4311E0B7">
      <w:pPr>
        <w:adjustRightInd w:val="0"/>
        <w:snapToGrid w:val="0"/>
        <w:spacing w:line="360" w:lineRule="auto"/>
        <w:outlineLvl w:val="9"/>
        <w:rPr>
          <w:rFonts w:hint="eastAsia" w:ascii="宋体" w:hAnsi="宋体" w:eastAsia="宋体" w:cs="宋体"/>
          <w:b/>
          <w:bCs/>
          <w:color w:val="auto"/>
          <w:sz w:val="24"/>
          <w:szCs w:val="24"/>
          <w:highlight w:val="none"/>
        </w:rPr>
      </w:pPr>
      <w:bookmarkStart w:id="89" w:name="_Toc17919"/>
      <w:r>
        <w:rPr>
          <w:rFonts w:hint="eastAsia" w:ascii="宋体" w:hAnsi="宋体" w:eastAsia="宋体" w:cs="宋体"/>
          <w:b/>
          <w:bCs/>
          <w:color w:val="auto"/>
          <w:sz w:val="24"/>
          <w:szCs w:val="24"/>
          <w:highlight w:val="none"/>
        </w:rPr>
        <w:t>四、与质疑事项相关的质疑请求</w:t>
      </w:r>
      <w:bookmarkEnd w:id="89"/>
    </w:p>
    <w:p w14:paraId="16EF9021">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p>
    <w:p w14:paraId="4DF917D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14:paraId="2DDF73E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0B19622A">
      <w:pPr>
        <w:widowControl/>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4972DA67">
      <w:pPr>
        <w:outlineLvl w:val="0"/>
        <w:rPr>
          <w:rFonts w:hint="eastAsia" w:ascii="宋体" w:hAnsi="宋体" w:eastAsia="宋体" w:cs="宋体"/>
          <w:b/>
          <w:color w:val="auto"/>
          <w:sz w:val="28"/>
          <w:szCs w:val="32"/>
          <w:highlight w:val="none"/>
        </w:rPr>
      </w:pPr>
      <w:bookmarkStart w:id="90" w:name="_Toc26836"/>
      <w:bookmarkStart w:id="91" w:name="_Toc9754"/>
      <w:r>
        <w:rPr>
          <w:rFonts w:hint="eastAsia" w:ascii="宋体" w:hAnsi="宋体" w:eastAsia="宋体" w:cs="宋体"/>
          <w:b/>
          <w:color w:val="auto"/>
          <w:sz w:val="28"/>
          <w:szCs w:val="32"/>
          <w:highlight w:val="none"/>
        </w:rPr>
        <w:t>质疑函制作说明：</w:t>
      </w:r>
      <w:bookmarkEnd w:id="90"/>
      <w:bookmarkEnd w:id="91"/>
    </w:p>
    <w:p w14:paraId="277BE88A">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3268371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7516521">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4E07947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6ED9A6EB">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2249698C">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bookmarkEnd w:id="92"/>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2020503050405090304"/>
    <w:charset w:val="00"/>
    <w:family w:val="roman"/>
    <w:pitch w:val="default"/>
    <w:sig w:usb0="00000000" w:usb1="00000000" w:usb2="00000001" w:usb3="00000000" w:csb0="400001BF" w:csb1="DFF70000"/>
  </w:font>
  <w:font w:name="Sylfaen">
    <w:panose1 w:val="010A0502050306030303"/>
    <w:charset w:val="00"/>
    <w:family w:val="roman"/>
    <w:pitch w:val="default"/>
    <w:sig w:usb0="04000687" w:usb1="00000000" w:usb2="00000000" w:usb3="00000000" w:csb0="2000009F" w:csb1="00000000"/>
  </w:font>
  <w:font w:name="MingLiU">
    <w:panose1 w:val="02020509000000000000"/>
    <w:charset w:val="88"/>
    <w:family w:val="modern"/>
    <w:pitch w:val="default"/>
    <w:sig w:usb0="A00002FF" w:usb1="28CFFCFA" w:usb2="00000016" w:usb3="00000000" w:csb0="00100001"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DE6C9">
    <w:pPr>
      <w:pStyle w:val="18"/>
      <w:jc w:val="center"/>
      <w:rPr>
        <w:rFonts w:asciiTheme="minorEastAsia" w:hAnsiTheme="minorEastAsia" w:eastAsiaTheme="minor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B6ED5">
    <w:pPr>
      <w:pStyle w:val="1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BE1500">
                          <w:pPr>
                            <w:pStyle w:val="18"/>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58</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71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9BE1500">
                    <w:pPr>
                      <w:pStyle w:val="18"/>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58</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71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2F992">
    <w:pPr>
      <w:pStyle w:val="19"/>
      <w:jc w:val="left"/>
      <w:rPr>
        <w:rFonts w:asciiTheme="minorEastAsia" w:hAnsiTheme="minorEastAsia" w:eastAsiaTheme="minorEastAsia"/>
      </w:rPr>
    </w:pPr>
    <w:r>
      <w:rPr>
        <w:rFonts w:hint="eastAsia" w:asciiTheme="minorEastAsia" w:hAnsiTheme="minorEastAsia" w:eastAsiaTheme="minorEastAsia"/>
        <w:lang w:val="en-US" w:eastAsia="zh-CN"/>
      </w:rPr>
      <w:t>安徽省</w:t>
    </w:r>
    <w:r>
      <w:rPr>
        <w:rFonts w:hint="eastAsia" w:asciiTheme="minorEastAsia" w:hAnsiTheme="minorEastAsia" w:eastAsiaTheme="minorEastAsia"/>
      </w:rPr>
      <w:t>政府采购</w:t>
    </w:r>
    <w:r>
      <w:rPr>
        <w:rFonts w:hint="eastAsia" w:asciiTheme="minorEastAsia" w:hAnsiTheme="minorEastAsia" w:eastAsiaTheme="minorEastAsia"/>
        <w:lang w:eastAsia="zh-CN"/>
      </w:rPr>
      <w:t>项目公开</w:t>
    </w:r>
    <w:r>
      <w:rPr>
        <w:rFonts w:hint="eastAsia" w:asciiTheme="minorEastAsia" w:hAnsiTheme="minorEastAsia" w:eastAsiaTheme="minorEastAsia"/>
      </w:rPr>
      <w:t>招标文件</w:t>
    </w:r>
    <w:r>
      <w:rPr>
        <w:rFonts w:hint="eastAsia" w:asciiTheme="minorEastAsia" w:hAnsiTheme="minorEastAsia" w:eastAsiaTheme="minorEastAsia"/>
        <w:lang w:eastAsia="zh-CN"/>
      </w:rPr>
      <w:t>示范文本（</w:t>
    </w:r>
    <w:r>
      <w:rPr>
        <w:rFonts w:hint="eastAsia" w:asciiTheme="minorEastAsia" w:hAnsiTheme="minorEastAsia" w:eastAsiaTheme="minorEastAsia"/>
        <w:lang w:val="en-US" w:eastAsia="zh-CN"/>
      </w:rPr>
      <w:t>货物类</w:t>
    </w:r>
    <w:r>
      <w:rPr>
        <w:rFonts w:hint="eastAsia" w:asciiTheme="minorEastAsia" w:hAnsiTheme="minorEastAsia" w:eastAsiaTheme="minorEastAsia"/>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8094F">
    <w:pPr>
      <w:pStyle w:val="19"/>
      <w:jc w:val="left"/>
      <w:rPr>
        <w:rFonts w:hint="eastAsia"/>
      </w:rPr>
    </w:pPr>
    <w:r>
      <w:rPr>
        <w:rFonts w:hint="eastAsia" w:asciiTheme="minorEastAsia" w:hAnsiTheme="minorEastAsia" w:eastAsiaTheme="minorEastAsia"/>
        <w:lang w:val="en-US" w:eastAsia="zh-CN"/>
      </w:rPr>
      <w:t>安徽省</w:t>
    </w:r>
    <w:r>
      <w:rPr>
        <w:rFonts w:hint="eastAsia" w:asciiTheme="minorEastAsia" w:hAnsiTheme="minorEastAsia" w:eastAsiaTheme="minorEastAsia"/>
      </w:rPr>
      <w:t>政府采购</w:t>
    </w:r>
    <w:r>
      <w:rPr>
        <w:rFonts w:hint="eastAsia" w:asciiTheme="minorEastAsia" w:hAnsiTheme="minorEastAsia" w:eastAsiaTheme="minorEastAsia"/>
        <w:lang w:eastAsia="zh-CN"/>
      </w:rPr>
      <w:t>项目公开</w:t>
    </w:r>
    <w:r>
      <w:rPr>
        <w:rFonts w:hint="eastAsia" w:asciiTheme="minorEastAsia" w:hAnsiTheme="minorEastAsia" w:eastAsiaTheme="minorEastAsia"/>
      </w:rPr>
      <w:t>招标文件</w:t>
    </w:r>
    <w:r>
      <w:rPr>
        <w:rFonts w:hint="eastAsia" w:asciiTheme="minorEastAsia" w:hAnsiTheme="minorEastAsia" w:eastAsiaTheme="minorEastAsia"/>
        <w:lang w:eastAsia="zh-CN"/>
      </w:rPr>
      <w:t>示范文本（</w:t>
    </w:r>
    <w:r>
      <w:rPr>
        <w:rFonts w:hint="eastAsia" w:asciiTheme="minorEastAsia" w:hAnsiTheme="minorEastAsia" w:eastAsiaTheme="minorEastAsia"/>
        <w:lang w:val="en-US" w:eastAsia="zh-CN"/>
      </w:rPr>
      <w:t>货物类</w:t>
    </w:r>
    <w:r>
      <w:rPr>
        <w:rFonts w:hint="eastAsia" w:asciiTheme="minorEastAsia" w:hAnsiTheme="minorEastAsia" w:eastAsiaTheme="minorEastAsia"/>
        <w:lang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E624F6"/>
    <w:multiLevelType w:val="multilevel"/>
    <w:tmpl w:val="1DE624F6"/>
    <w:lvl w:ilvl="0" w:tentative="0">
      <w:start w:val="1"/>
      <w:numFmt w:val="chineseCountingThousand"/>
      <w:suff w:val="nothing"/>
      <w:lvlText w:val="%1"/>
      <w:lvlJc w:val="left"/>
      <w:pPr>
        <w:ind w:left="420" w:hanging="420"/>
      </w:pPr>
      <w:rPr>
        <w:rFonts w:hint="eastAsia" w:cs="Times New Roman"/>
        <w:b w:val="0"/>
      </w:rPr>
    </w:lvl>
    <w:lvl w:ilvl="1" w:tentative="0">
      <w:start w:val="1"/>
      <w:numFmt w:val="lowerLetter"/>
      <w:lvlText w:val="%2)"/>
      <w:lvlJc w:val="left"/>
      <w:pPr>
        <w:ind w:left="840" w:hanging="420"/>
      </w:pPr>
      <w:rPr>
        <w:rFonts w:hint="eastAsia" w:cs="Times New Roman"/>
      </w:rPr>
    </w:lvl>
    <w:lvl w:ilvl="2" w:tentative="0">
      <w:start w:val="1"/>
      <w:numFmt w:val="lowerRoman"/>
      <w:lvlText w:val="%3."/>
      <w:lvlJc w:val="right"/>
      <w:pPr>
        <w:ind w:left="1260" w:hanging="420"/>
      </w:pPr>
      <w:rPr>
        <w:rFonts w:hint="eastAsia" w:cs="Times New Roman"/>
      </w:rPr>
    </w:lvl>
    <w:lvl w:ilvl="3" w:tentative="0">
      <w:start w:val="1"/>
      <w:numFmt w:val="decimal"/>
      <w:lvlText w:val="%4."/>
      <w:lvlJc w:val="left"/>
      <w:pPr>
        <w:ind w:left="1680" w:hanging="420"/>
      </w:pPr>
      <w:rPr>
        <w:rFonts w:hint="eastAsia" w:cs="Times New Roman"/>
      </w:rPr>
    </w:lvl>
    <w:lvl w:ilvl="4" w:tentative="0">
      <w:start w:val="1"/>
      <w:numFmt w:val="lowerLetter"/>
      <w:lvlText w:val="%5)"/>
      <w:lvlJc w:val="left"/>
      <w:pPr>
        <w:ind w:left="2100" w:hanging="420"/>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1">
    <w:nsid w:val="21FF5C0A"/>
    <w:multiLevelType w:val="multilevel"/>
    <w:tmpl w:val="21FF5C0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3A76B4E"/>
    <w:multiLevelType w:val="multilevel"/>
    <w:tmpl w:val="23A76B4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2A52277"/>
    <w:multiLevelType w:val="multilevel"/>
    <w:tmpl w:val="32A5227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B1E38B5"/>
    <w:multiLevelType w:val="multilevel"/>
    <w:tmpl w:val="3B1E38B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B589E45"/>
    <w:multiLevelType w:val="singleLevel"/>
    <w:tmpl w:val="3B589E45"/>
    <w:lvl w:ilvl="0" w:tentative="0">
      <w:start w:val="1"/>
      <w:numFmt w:val="decimal"/>
      <w:suff w:val="nothing"/>
      <w:lvlText w:val="%1）"/>
      <w:lvlJc w:val="left"/>
    </w:lvl>
  </w:abstractNum>
  <w:abstractNum w:abstractNumId="6">
    <w:nsid w:val="3BF026B5"/>
    <w:multiLevelType w:val="multilevel"/>
    <w:tmpl w:val="3BF026B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20036F5"/>
    <w:multiLevelType w:val="multilevel"/>
    <w:tmpl w:val="420036F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8506BE3"/>
    <w:multiLevelType w:val="multilevel"/>
    <w:tmpl w:val="48506BE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B536E9F"/>
    <w:multiLevelType w:val="multilevel"/>
    <w:tmpl w:val="4B536E9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FB10EAA"/>
    <w:multiLevelType w:val="multilevel"/>
    <w:tmpl w:val="4FB10EA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2E1769B"/>
    <w:multiLevelType w:val="multilevel"/>
    <w:tmpl w:val="72E1769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3"/>
  </w:num>
  <w:num w:numId="3">
    <w:abstractNumId w:val="1"/>
  </w:num>
  <w:num w:numId="4">
    <w:abstractNumId w:val="6"/>
  </w:num>
  <w:num w:numId="5">
    <w:abstractNumId w:val="4"/>
  </w:num>
  <w:num w:numId="6">
    <w:abstractNumId w:val="11"/>
  </w:num>
  <w:num w:numId="7">
    <w:abstractNumId w:val="7"/>
  </w:num>
  <w:num w:numId="8">
    <w:abstractNumId w:val="2"/>
  </w:num>
  <w:num w:numId="9">
    <w:abstractNumId w:val="10"/>
  </w:num>
  <w:num w:numId="10">
    <w:abstractNumId w:val="8"/>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yMjk4YWE4MDVjMjBkZDFmMDBjZTNkMzdjZGUzNWYifQ=="/>
    <w:docVar w:name="KSO_WPS_MARK_KEY" w:val="d53d9748-dbdb-4ce9-acf1-25dc8006efb2"/>
  </w:docVars>
  <w:rsids>
    <w:rsidRoot w:val="00276BA1"/>
    <w:rsid w:val="0000043F"/>
    <w:rsid w:val="00003F56"/>
    <w:rsid w:val="000049DA"/>
    <w:rsid w:val="00004F40"/>
    <w:rsid w:val="000056B7"/>
    <w:rsid w:val="00012A13"/>
    <w:rsid w:val="000131F7"/>
    <w:rsid w:val="00016B6C"/>
    <w:rsid w:val="00017EC7"/>
    <w:rsid w:val="00020B57"/>
    <w:rsid w:val="00033B5B"/>
    <w:rsid w:val="00037DBE"/>
    <w:rsid w:val="00042139"/>
    <w:rsid w:val="00042B14"/>
    <w:rsid w:val="00044347"/>
    <w:rsid w:val="00044F49"/>
    <w:rsid w:val="000450C3"/>
    <w:rsid w:val="00046AFF"/>
    <w:rsid w:val="00050A3F"/>
    <w:rsid w:val="000530EC"/>
    <w:rsid w:val="000544DE"/>
    <w:rsid w:val="000648D2"/>
    <w:rsid w:val="00070E0E"/>
    <w:rsid w:val="00076DB7"/>
    <w:rsid w:val="00080B7B"/>
    <w:rsid w:val="00080FEB"/>
    <w:rsid w:val="00081B81"/>
    <w:rsid w:val="000868D6"/>
    <w:rsid w:val="000942BA"/>
    <w:rsid w:val="00094D41"/>
    <w:rsid w:val="00097CB9"/>
    <w:rsid w:val="000A3569"/>
    <w:rsid w:val="000A4640"/>
    <w:rsid w:val="000A6345"/>
    <w:rsid w:val="000A6693"/>
    <w:rsid w:val="000A6B73"/>
    <w:rsid w:val="000A7D94"/>
    <w:rsid w:val="000B1511"/>
    <w:rsid w:val="000B54F4"/>
    <w:rsid w:val="000C1DB1"/>
    <w:rsid w:val="000D3F37"/>
    <w:rsid w:val="000D431F"/>
    <w:rsid w:val="000E2208"/>
    <w:rsid w:val="000E3C74"/>
    <w:rsid w:val="000E3F9B"/>
    <w:rsid w:val="000E6689"/>
    <w:rsid w:val="000F00A3"/>
    <w:rsid w:val="000F014C"/>
    <w:rsid w:val="000F172B"/>
    <w:rsid w:val="000F1C24"/>
    <w:rsid w:val="000F2198"/>
    <w:rsid w:val="000F39B6"/>
    <w:rsid w:val="000F6B7B"/>
    <w:rsid w:val="00100B0F"/>
    <w:rsid w:val="0010187C"/>
    <w:rsid w:val="001037E3"/>
    <w:rsid w:val="00110911"/>
    <w:rsid w:val="00116A70"/>
    <w:rsid w:val="0012143A"/>
    <w:rsid w:val="001222C6"/>
    <w:rsid w:val="00136D80"/>
    <w:rsid w:val="00137C7C"/>
    <w:rsid w:val="00140687"/>
    <w:rsid w:val="00141707"/>
    <w:rsid w:val="00142AAF"/>
    <w:rsid w:val="00146421"/>
    <w:rsid w:val="001467FF"/>
    <w:rsid w:val="001479CF"/>
    <w:rsid w:val="00150567"/>
    <w:rsid w:val="00155F64"/>
    <w:rsid w:val="00157148"/>
    <w:rsid w:val="00157856"/>
    <w:rsid w:val="00160729"/>
    <w:rsid w:val="00160D83"/>
    <w:rsid w:val="001644D1"/>
    <w:rsid w:val="00164D27"/>
    <w:rsid w:val="00166ED8"/>
    <w:rsid w:val="001714C9"/>
    <w:rsid w:val="001754E2"/>
    <w:rsid w:val="00177DAF"/>
    <w:rsid w:val="0018119B"/>
    <w:rsid w:val="001812B3"/>
    <w:rsid w:val="00181D07"/>
    <w:rsid w:val="001826D0"/>
    <w:rsid w:val="00183344"/>
    <w:rsid w:val="00183897"/>
    <w:rsid w:val="001844AB"/>
    <w:rsid w:val="00190F1F"/>
    <w:rsid w:val="001944B8"/>
    <w:rsid w:val="00195399"/>
    <w:rsid w:val="00196DA3"/>
    <w:rsid w:val="00197AC4"/>
    <w:rsid w:val="001A0DCD"/>
    <w:rsid w:val="001A5D34"/>
    <w:rsid w:val="001A68E5"/>
    <w:rsid w:val="001B21DF"/>
    <w:rsid w:val="001B2A54"/>
    <w:rsid w:val="001B5014"/>
    <w:rsid w:val="001B7327"/>
    <w:rsid w:val="001C1409"/>
    <w:rsid w:val="001C67F2"/>
    <w:rsid w:val="001D53B4"/>
    <w:rsid w:val="001E744D"/>
    <w:rsid w:val="001F28D2"/>
    <w:rsid w:val="001F2F45"/>
    <w:rsid w:val="001F3023"/>
    <w:rsid w:val="001F35F6"/>
    <w:rsid w:val="001F74CA"/>
    <w:rsid w:val="002003B6"/>
    <w:rsid w:val="002020CB"/>
    <w:rsid w:val="002049B4"/>
    <w:rsid w:val="0020520B"/>
    <w:rsid w:val="00213C55"/>
    <w:rsid w:val="002163CF"/>
    <w:rsid w:val="002168C4"/>
    <w:rsid w:val="002178B1"/>
    <w:rsid w:val="00223CF4"/>
    <w:rsid w:val="00224C4A"/>
    <w:rsid w:val="002338E2"/>
    <w:rsid w:val="0023407E"/>
    <w:rsid w:val="00240B40"/>
    <w:rsid w:val="002440D8"/>
    <w:rsid w:val="00244182"/>
    <w:rsid w:val="00245F65"/>
    <w:rsid w:val="00246810"/>
    <w:rsid w:val="00260860"/>
    <w:rsid w:val="00260B94"/>
    <w:rsid w:val="00264F2E"/>
    <w:rsid w:val="00271245"/>
    <w:rsid w:val="00272E6E"/>
    <w:rsid w:val="00274A9E"/>
    <w:rsid w:val="00276292"/>
    <w:rsid w:val="00276BA1"/>
    <w:rsid w:val="00277094"/>
    <w:rsid w:val="00286BB6"/>
    <w:rsid w:val="002A1A1D"/>
    <w:rsid w:val="002A28AD"/>
    <w:rsid w:val="002A3AEE"/>
    <w:rsid w:val="002A400A"/>
    <w:rsid w:val="002B08E7"/>
    <w:rsid w:val="002B0C18"/>
    <w:rsid w:val="002B5318"/>
    <w:rsid w:val="002B5373"/>
    <w:rsid w:val="002B6D27"/>
    <w:rsid w:val="002C3776"/>
    <w:rsid w:val="002C4BA9"/>
    <w:rsid w:val="002D1258"/>
    <w:rsid w:val="002D128A"/>
    <w:rsid w:val="002D2965"/>
    <w:rsid w:val="002D3D02"/>
    <w:rsid w:val="002D4CB5"/>
    <w:rsid w:val="002D684B"/>
    <w:rsid w:val="002E3B26"/>
    <w:rsid w:val="002E4AB8"/>
    <w:rsid w:val="002F092B"/>
    <w:rsid w:val="002F5981"/>
    <w:rsid w:val="002F72EE"/>
    <w:rsid w:val="00310070"/>
    <w:rsid w:val="003110EC"/>
    <w:rsid w:val="00313029"/>
    <w:rsid w:val="00324D38"/>
    <w:rsid w:val="00327C92"/>
    <w:rsid w:val="0033245B"/>
    <w:rsid w:val="00333292"/>
    <w:rsid w:val="003344E7"/>
    <w:rsid w:val="0033580B"/>
    <w:rsid w:val="0033628B"/>
    <w:rsid w:val="003365E7"/>
    <w:rsid w:val="003378D5"/>
    <w:rsid w:val="003419E9"/>
    <w:rsid w:val="003447AE"/>
    <w:rsid w:val="003473D7"/>
    <w:rsid w:val="00351AC8"/>
    <w:rsid w:val="00353075"/>
    <w:rsid w:val="00363E02"/>
    <w:rsid w:val="00373A96"/>
    <w:rsid w:val="003826C2"/>
    <w:rsid w:val="00383728"/>
    <w:rsid w:val="00383B8D"/>
    <w:rsid w:val="00391586"/>
    <w:rsid w:val="00394128"/>
    <w:rsid w:val="003947A4"/>
    <w:rsid w:val="00395235"/>
    <w:rsid w:val="0039561A"/>
    <w:rsid w:val="00397C7D"/>
    <w:rsid w:val="003A004F"/>
    <w:rsid w:val="003B4130"/>
    <w:rsid w:val="003B67D3"/>
    <w:rsid w:val="003B6C76"/>
    <w:rsid w:val="003B715B"/>
    <w:rsid w:val="003C4630"/>
    <w:rsid w:val="003D1D14"/>
    <w:rsid w:val="003D6C7C"/>
    <w:rsid w:val="003D6EFB"/>
    <w:rsid w:val="003D7E52"/>
    <w:rsid w:val="003E25C6"/>
    <w:rsid w:val="003E6BEB"/>
    <w:rsid w:val="003F145B"/>
    <w:rsid w:val="003F2122"/>
    <w:rsid w:val="003F326A"/>
    <w:rsid w:val="004011AA"/>
    <w:rsid w:val="0040202C"/>
    <w:rsid w:val="00406508"/>
    <w:rsid w:val="0041456E"/>
    <w:rsid w:val="00414F7E"/>
    <w:rsid w:val="004164F8"/>
    <w:rsid w:val="00417FD0"/>
    <w:rsid w:val="00420B7F"/>
    <w:rsid w:val="004234BA"/>
    <w:rsid w:val="0042488B"/>
    <w:rsid w:val="004427B7"/>
    <w:rsid w:val="0044349F"/>
    <w:rsid w:val="00445F1F"/>
    <w:rsid w:val="00451F60"/>
    <w:rsid w:val="00452BB2"/>
    <w:rsid w:val="00455467"/>
    <w:rsid w:val="0045656D"/>
    <w:rsid w:val="00462D98"/>
    <w:rsid w:val="00472A44"/>
    <w:rsid w:val="00473A89"/>
    <w:rsid w:val="00474D3B"/>
    <w:rsid w:val="00475899"/>
    <w:rsid w:val="004802A8"/>
    <w:rsid w:val="00482C78"/>
    <w:rsid w:val="004874AE"/>
    <w:rsid w:val="00492E2B"/>
    <w:rsid w:val="00494D24"/>
    <w:rsid w:val="004951D1"/>
    <w:rsid w:val="004A27D0"/>
    <w:rsid w:val="004A4D67"/>
    <w:rsid w:val="004A6FD2"/>
    <w:rsid w:val="004B2D4C"/>
    <w:rsid w:val="004C7378"/>
    <w:rsid w:val="004D1030"/>
    <w:rsid w:val="004D3D4B"/>
    <w:rsid w:val="004D5498"/>
    <w:rsid w:val="004D66A5"/>
    <w:rsid w:val="004D6B00"/>
    <w:rsid w:val="004D7951"/>
    <w:rsid w:val="004E0AE0"/>
    <w:rsid w:val="004E1D50"/>
    <w:rsid w:val="004E502F"/>
    <w:rsid w:val="004F0396"/>
    <w:rsid w:val="00501382"/>
    <w:rsid w:val="00503E2F"/>
    <w:rsid w:val="005054B9"/>
    <w:rsid w:val="00506E4F"/>
    <w:rsid w:val="00510798"/>
    <w:rsid w:val="00514ED8"/>
    <w:rsid w:val="00515F12"/>
    <w:rsid w:val="00522B2E"/>
    <w:rsid w:val="00524A11"/>
    <w:rsid w:val="00527768"/>
    <w:rsid w:val="005327FB"/>
    <w:rsid w:val="00533FCA"/>
    <w:rsid w:val="00541C0B"/>
    <w:rsid w:val="0054317E"/>
    <w:rsid w:val="00544C2A"/>
    <w:rsid w:val="00546D49"/>
    <w:rsid w:val="00556D4C"/>
    <w:rsid w:val="005614B4"/>
    <w:rsid w:val="005616B5"/>
    <w:rsid w:val="00571315"/>
    <w:rsid w:val="00582075"/>
    <w:rsid w:val="00584A63"/>
    <w:rsid w:val="00585EB3"/>
    <w:rsid w:val="00591688"/>
    <w:rsid w:val="00592509"/>
    <w:rsid w:val="00594986"/>
    <w:rsid w:val="00597B15"/>
    <w:rsid w:val="005A044C"/>
    <w:rsid w:val="005B5C95"/>
    <w:rsid w:val="005B6740"/>
    <w:rsid w:val="005D0200"/>
    <w:rsid w:val="005D44EF"/>
    <w:rsid w:val="005D4814"/>
    <w:rsid w:val="005D5112"/>
    <w:rsid w:val="005F03E3"/>
    <w:rsid w:val="005F3914"/>
    <w:rsid w:val="005F3B5A"/>
    <w:rsid w:val="005F6AB4"/>
    <w:rsid w:val="00610A66"/>
    <w:rsid w:val="00613177"/>
    <w:rsid w:val="00613F7C"/>
    <w:rsid w:val="00614BF2"/>
    <w:rsid w:val="0061618E"/>
    <w:rsid w:val="00620560"/>
    <w:rsid w:val="006208CB"/>
    <w:rsid w:val="00623DE2"/>
    <w:rsid w:val="00627601"/>
    <w:rsid w:val="006300D0"/>
    <w:rsid w:val="00632012"/>
    <w:rsid w:val="00634694"/>
    <w:rsid w:val="00635F9D"/>
    <w:rsid w:val="00636517"/>
    <w:rsid w:val="00637690"/>
    <w:rsid w:val="00640E1E"/>
    <w:rsid w:val="0064389A"/>
    <w:rsid w:val="00645442"/>
    <w:rsid w:val="006525CD"/>
    <w:rsid w:val="00653353"/>
    <w:rsid w:val="00653F7F"/>
    <w:rsid w:val="00662EE8"/>
    <w:rsid w:val="00663813"/>
    <w:rsid w:val="00663C3B"/>
    <w:rsid w:val="00664AFD"/>
    <w:rsid w:val="00667567"/>
    <w:rsid w:val="0067391A"/>
    <w:rsid w:val="00674173"/>
    <w:rsid w:val="00674602"/>
    <w:rsid w:val="0067535A"/>
    <w:rsid w:val="00683CA0"/>
    <w:rsid w:val="00690DB1"/>
    <w:rsid w:val="00693404"/>
    <w:rsid w:val="006953D9"/>
    <w:rsid w:val="00697FE9"/>
    <w:rsid w:val="006A5FEE"/>
    <w:rsid w:val="006B1242"/>
    <w:rsid w:val="006B1DBC"/>
    <w:rsid w:val="006B63B7"/>
    <w:rsid w:val="006B7D9A"/>
    <w:rsid w:val="006C06D9"/>
    <w:rsid w:val="006C464F"/>
    <w:rsid w:val="006C5716"/>
    <w:rsid w:val="006C74A9"/>
    <w:rsid w:val="006D07DE"/>
    <w:rsid w:val="006D394E"/>
    <w:rsid w:val="006E06D9"/>
    <w:rsid w:val="006E1D40"/>
    <w:rsid w:val="006E2E1F"/>
    <w:rsid w:val="006E4BE8"/>
    <w:rsid w:val="006F5FFF"/>
    <w:rsid w:val="006F6E33"/>
    <w:rsid w:val="006F7AF3"/>
    <w:rsid w:val="00702CF1"/>
    <w:rsid w:val="00703635"/>
    <w:rsid w:val="007054AA"/>
    <w:rsid w:val="00706D4B"/>
    <w:rsid w:val="00707B8C"/>
    <w:rsid w:val="00710804"/>
    <w:rsid w:val="00711FC6"/>
    <w:rsid w:val="007130B1"/>
    <w:rsid w:val="00715071"/>
    <w:rsid w:val="0072140F"/>
    <w:rsid w:val="007231E9"/>
    <w:rsid w:val="00727C59"/>
    <w:rsid w:val="00734E5D"/>
    <w:rsid w:val="00735AF1"/>
    <w:rsid w:val="00736013"/>
    <w:rsid w:val="00737661"/>
    <w:rsid w:val="00755D75"/>
    <w:rsid w:val="00756245"/>
    <w:rsid w:val="0076130F"/>
    <w:rsid w:val="00761662"/>
    <w:rsid w:val="00764043"/>
    <w:rsid w:val="007757CF"/>
    <w:rsid w:val="00776FFC"/>
    <w:rsid w:val="0078128F"/>
    <w:rsid w:val="0078683C"/>
    <w:rsid w:val="00790EDB"/>
    <w:rsid w:val="00791538"/>
    <w:rsid w:val="007918F0"/>
    <w:rsid w:val="0079326E"/>
    <w:rsid w:val="00796EDE"/>
    <w:rsid w:val="00797A02"/>
    <w:rsid w:val="007A27A9"/>
    <w:rsid w:val="007A5A58"/>
    <w:rsid w:val="007A6740"/>
    <w:rsid w:val="007B1C56"/>
    <w:rsid w:val="007B4996"/>
    <w:rsid w:val="007C3CD5"/>
    <w:rsid w:val="007C61EF"/>
    <w:rsid w:val="007D1C0D"/>
    <w:rsid w:val="007D2D23"/>
    <w:rsid w:val="007D7644"/>
    <w:rsid w:val="007E27D6"/>
    <w:rsid w:val="007E3921"/>
    <w:rsid w:val="007E5DDE"/>
    <w:rsid w:val="00801028"/>
    <w:rsid w:val="00802CE2"/>
    <w:rsid w:val="00803793"/>
    <w:rsid w:val="0080643F"/>
    <w:rsid w:val="00814052"/>
    <w:rsid w:val="008149FD"/>
    <w:rsid w:val="00817A01"/>
    <w:rsid w:val="00824F21"/>
    <w:rsid w:val="0082500C"/>
    <w:rsid w:val="00825E35"/>
    <w:rsid w:val="008334F8"/>
    <w:rsid w:val="008341AA"/>
    <w:rsid w:val="00835D8E"/>
    <w:rsid w:val="008372F6"/>
    <w:rsid w:val="008377CA"/>
    <w:rsid w:val="00844D03"/>
    <w:rsid w:val="00847B0F"/>
    <w:rsid w:val="00852994"/>
    <w:rsid w:val="00873D89"/>
    <w:rsid w:val="00876659"/>
    <w:rsid w:val="00876677"/>
    <w:rsid w:val="0087734C"/>
    <w:rsid w:val="00882141"/>
    <w:rsid w:val="00887E3B"/>
    <w:rsid w:val="008922A8"/>
    <w:rsid w:val="00895728"/>
    <w:rsid w:val="00895BD5"/>
    <w:rsid w:val="0089742B"/>
    <w:rsid w:val="008A16C4"/>
    <w:rsid w:val="008A6FED"/>
    <w:rsid w:val="008B39C5"/>
    <w:rsid w:val="008B51AA"/>
    <w:rsid w:val="008B7932"/>
    <w:rsid w:val="008C4704"/>
    <w:rsid w:val="008C67F2"/>
    <w:rsid w:val="008D064A"/>
    <w:rsid w:val="008D0FDB"/>
    <w:rsid w:val="008D2B0F"/>
    <w:rsid w:val="008D30BC"/>
    <w:rsid w:val="008D4BC4"/>
    <w:rsid w:val="008E449E"/>
    <w:rsid w:val="008E7062"/>
    <w:rsid w:val="008F187F"/>
    <w:rsid w:val="008F402F"/>
    <w:rsid w:val="008F55FA"/>
    <w:rsid w:val="008F76E8"/>
    <w:rsid w:val="008F7CD0"/>
    <w:rsid w:val="00902902"/>
    <w:rsid w:val="00902A4B"/>
    <w:rsid w:val="009078A1"/>
    <w:rsid w:val="00911E9C"/>
    <w:rsid w:val="00915083"/>
    <w:rsid w:val="00917405"/>
    <w:rsid w:val="00920035"/>
    <w:rsid w:val="00920F7C"/>
    <w:rsid w:val="00934CAE"/>
    <w:rsid w:val="0094257D"/>
    <w:rsid w:val="00942F60"/>
    <w:rsid w:val="0095211B"/>
    <w:rsid w:val="0095467C"/>
    <w:rsid w:val="00954A61"/>
    <w:rsid w:val="00955C6F"/>
    <w:rsid w:val="00966C7B"/>
    <w:rsid w:val="009701DC"/>
    <w:rsid w:val="009715D8"/>
    <w:rsid w:val="00980D0D"/>
    <w:rsid w:val="00985C4B"/>
    <w:rsid w:val="00995BF9"/>
    <w:rsid w:val="00997C3C"/>
    <w:rsid w:val="009A0CAF"/>
    <w:rsid w:val="009A1474"/>
    <w:rsid w:val="009A2207"/>
    <w:rsid w:val="009A5147"/>
    <w:rsid w:val="009A74C4"/>
    <w:rsid w:val="009B02D2"/>
    <w:rsid w:val="009B6C42"/>
    <w:rsid w:val="009D31F7"/>
    <w:rsid w:val="009D32C2"/>
    <w:rsid w:val="009D50DB"/>
    <w:rsid w:val="009E3A0A"/>
    <w:rsid w:val="009F26D4"/>
    <w:rsid w:val="009F3E91"/>
    <w:rsid w:val="009F6CE7"/>
    <w:rsid w:val="009F7D7D"/>
    <w:rsid w:val="00A01670"/>
    <w:rsid w:val="00A1499B"/>
    <w:rsid w:val="00A20879"/>
    <w:rsid w:val="00A20AFC"/>
    <w:rsid w:val="00A23E47"/>
    <w:rsid w:val="00A314C2"/>
    <w:rsid w:val="00A43B9C"/>
    <w:rsid w:val="00A53155"/>
    <w:rsid w:val="00A56FFA"/>
    <w:rsid w:val="00A63E86"/>
    <w:rsid w:val="00A65A1C"/>
    <w:rsid w:val="00A757C3"/>
    <w:rsid w:val="00A75E5B"/>
    <w:rsid w:val="00A7684A"/>
    <w:rsid w:val="00A82AED"/>
    <w:rsid w:val="00A83B69"/>
    <w:rsid w:val="00A86533"/>
    <w:rsid w:val="00A91176"/>
    <w:rsid w:val="00A9176A"/>
    <w:rsid w:val="00A91CA2"/>
    <w:rsid w:val="00A92FB8"/>
    <w:rsid w:val="00A948F1"/>
    <w:rsid w:val="00AA1D7D"/>
    <w:rsid w:val="00AA7525"/>
    <w:rsid w:val="00AB0EA9"/>
    <w:rsid w:val="00AB139D"/>
    <w:rsid w:val="00AB2C46"/>
    <w:rsid w:val="00AB3EFB"/>
    <w:rsid w:val="00AB5EF7"/>
    <w:rsid w:val="00AC0B05"/>
    <w:rsid w:val="00AC763F"/>
    <w:rsid w:val="00AD079A"/>
    <w:rsid w:val="00AD1890"/>
    <w:rsid w:val="00AE2149"/>
    <w:rsid w:val="00AE33AE"/>
    <w:rsid w:val="00AE3785"/>
    <w:rsid w:val="00AE3F91"/>
    <w:rsid w:val="00AE452F"/>
    <w:rsid w:val="00AE76E6"/>
    <w:rsid w:val="00B00ACC"/>
    <w:rsid w:val="00B039E3"/>
    <w:rsid w:val="00B043C1"/>
    <w:rsid w:val="00B22838"/>
    <w:rsid w:val="00B27D52"/>
    <w:rsid w:val="00B32BC1"/>
    <w:rsid w:val="00B33E95"/>
    <w:rsid w:val="00B34EE1"/>
    <w:rsid w:val="00B35B5E"/>
    <w:rsid w:val="00B3720B"/>
    <w:rsid w:val="00B40EE3"/>
    <w:rsid w:val="00B4535A"/>
    <w:rsid w:val="00B55271"/>
    <w:rsid w:val="00B5558A"/>
    <w:rsid w:val="00B56513"/>
    <w:rsid w:val="00B56B2E"/>
    <w:rsid w:val="00B64376"/>
    <w:rsid w:val="00B71533"/>
    <w:rsid w:val="00B7401F"/>
    <w:rsid w:val="00B806C3"/>
    <w:rsid w:val="00B838F5"/>
    <w:rsid w:val="00B84FCA"/>
    <w:rsid w:val="00B9089F"/>
    <w:rsid w:val="00B91AEE"/>
    <w:rsid w:val="00B94F71"/>
    <w:rsid w:val="00B95F5A"/>
    <w:rsid w:val="00B96EAD"/>
    <w:rsid w:val="00BA22AF"/>
    <w:rsid w:val="00BA4B42"/>
    <w:rsid w:val="00BA79F5"/>
    <w:rsid w:val="00BB02E8"/>
    <w:rsid w:val="00BB3AB6"/>
    <w:rsid w:val="00BB766D"/>
    <w:rsid w:val="00BC007B"/>
    <w:rsid w:val="00BC15E7"/>
    <w:rsid w:val="00BC26BA"/>
    <w:rsid w:val="00BC35F8"/>
    <w:rsid w:val="00BC49BF"/>
    <w:rsid w:val="00BC5043"/>
    <w:rsid w:val="00BC7140"/>
    <w:rsid w:val="00BD1B89"/>
    <w:rsid w:val="00BD3944"/>
    <w:rsid w:val="00BF376F"/>
    <w:rsid w:val="00BF46A6"/>
    <w:rsid w:val="00BF62CF"/>
    <w:rsid w:val="00BF6B98"/>
    <w:rsid w:val="00BF73D6"/>
    <w:rsid w:val="00C06545"/>
    <w:rsid w:val="00C1161C"/>
    <w:rsid w:val="00C17F66"/>
    <w:rsid w:val="00C220FC"/>
    <w:rsid w:val="00C23C86"/>
    <w:rsid w:val="00C24DFA"/>
    <w:rsid w:val="00C35561"/>
    <w:rsid w:val="00C4202A"/>
    <w:rsid w:val="00C4211F"/>
    <w:rsid w:val="00C46A36"/>
    <w:rsid w:val="00C47037"/>
    <w:rsid w:val="00C53625"/>
    <w:rsid w:val="00C602C1"/>
    <w:rsid w:val="00C61C98"/>
    <w:rsid w:val="00C63FC0"/>
    <w:rsid w:val="00C66392"/>
    <w:rsid w:val="00C74C5E"/>
    <w:rsid w:val="00C77487"/>
    <w:rsid w:val="00C827A2"/>
    <w:rsid w:val="00C82B69"/>
    <w:rsid w:val="00C85394"/>
    <w:rsid w:val="00C8657D"/>
    <w:rsid w:val="00C91B28"/>
    <w:rsid w:val="00C91F3A"/>
    <w:rsid w:val="00C94A6F"/>
    <w:rsid w:val="00CA06E3"/>
    <w:rsid w:val="00CB328B"/>
    <w:rsid w:val="00CB5797"/>
    <w:rsid w:val="00CB6050"/>
    <w:rsid w:val="00CC1202"/>
    <w:rsid w:val="00CC4099"/>
    <w:rsid w:val="00CC45C1"/>
    <w:rsid w:val="00CD09E1"/>
    <w:rsid w:val="00CD5078"/>
    <w:rsid w:val="00CD6202"/>
    <w:rsid w:val="00CE2486"/>
    <w:rsid w:val="00CE4913"/>
    <w:rsid w:val="00CE66BD"/>
    <w:rsid w:val="00CF0671"/>
    <w:rsid w:val="00CF44AD"/>
    <w:rsid w:val="00CF4FC0"/>
    <w:rsid w:val="00CF7642"/>
    <w:rsid w:val="00D03909"/>
    <w:rsid w:val="00D1072F"/>
    <w:rsid w:val="00D108A5"/>
    <w:rsid w:val="00D14585"/>
    <w:rsid w:val="00D20EFF"/>
    <w:rsid w:val="00D30F1B"/>
    <w:rsid w:val="00D30FC0"/>
    <w:rsid w:val="00D34F0D"/>
    <w:rsid w:val="00D3516E"/>
    <w:rsid w:val="00D4064C"/>
    <w:rsid w:val="00D47F9F"/>
    <w:rsid w:val="00D53ED8"/>
    <w:rsid w:val="00D56380"/>
    <w:rsid w:val="00D56A47"/>
    <w:rsid w:val="00D64857"/>
    <w:rsid w:val="00D6493A"/>
    <w:rsid w:val="00D64EE2"/>
    <w:rsid w:val="00D67875"/>
    <w:rsid w:val="00D71CBD"/>
    <w:rsid w:val="00D71E86"/>
    <w:rsid w:val="00D731C6"/>
    <w:rsid w:val="00D745C5"/>
    <w:rsid w:val="00D75327"/>
    <w:rsid w:val="00D76473"/>
    <w:rsid w:val="00D80C36"/>
    <w:rsid w:val="00D86779"/>
    <w:rsid w:val="00D86EE1"/>
    <w:rsid w:val="00D9120E"/>
    <w:rsid w:val="00D913B1"/>
    <w:rsid w:val="00D93793"/>
    <w:rsid w:val="00D96126"/>
    <w:rsid w:val="00DB4B1C"/>
    <w:rsid w:val="00DB5085"/>
    <w:rsid w:val="00DB7706"/>
    <w:rsid w:val="00DC1062"/>
    <w:rsid w:val="00DC132C"/>
    <w:rsid w:val="00DC774B"/>
    <w:rsid w:val="00DD43F0"/>
    <w:rsid w:val="00DD44DE"/>
    <w:rsid w:val="00DE09AB"/>
    <w:rsid w:val="00DE4A3F"/>
    <w:rsid w:val="00DE4E53"/>
    <w:rsid w:val="00DE7AE9"/>
    <w:rsid w:val="00DF4367"/>
    <w:rsid w:val="00E0574A"/>
    <w:rsid w:val="00E1243D"/>
    <w:rsid w:val="00E12742"/>
    <w:rsid w:val="00E12E4A"/>
    <w:rsid w:val="00E146D4"/>
    <w:rsid w:val="00E20976"/>
    <w:rsid w:val="00E22079"/>
    <w:rsid w:val="00E22B44"/>
    <w:rsid w:val="00E236D8"/>
    <w:rsid w:val="00E30ACD"/>
    <w:rsid w:val="00E3184B"/>
    <w:rsid w:val="00E32735"/>
    <w:rsid w:val="00E5391D"/>
    <w:rsid w:val="00E544E5"/>
    <w:rsid w:val="00E66E36"/>
    <w:rsid w:val="00E6781E"/>
    <w:rsid w:val="00E702ED"/>
    <w:rsid w:val="00E705CC"/>
    <w:rsid w:val="00E709A4"/>
    <w:rsid w:val="00E73822"/>
    <w:rsid w:val="00E772DB"/>
    <w:rsid w:val="00E86012"/>
    <w:rsid w:val="00E86BAB"/>
    <w:rsid w:val="00E901A1"/>
    <w:rsid w:val="00E94E10"/>
    <w:rsid w:val="00E954BD"/>
    <w:rsid w:val="00E96743"/>
    <w:rsid w:val="00E96A42"/>
    <w:rsid w:val="00EA0A36"/>
    <w:rsid w:val="00EA49C5"/>
    <w:rsid w:val="00EB1C1C"/>
    <w:rsid w:val="00EB5027"/>
    <w:rsid w:val="00EC1836"/>
    <w:rsid w:val="00EC3990"/>
    <w:rsid w:val="00EC484B"/>
    <w:rsid w:val="00ED15FA"/>
    <w:rsid w:val="00ED1E00"/>
    <w:rsid w:val="00EE228F"/>
    <w:rsid w:val="00EE238D"/>
    <w:rsid w:val="00EE6E9A"/>
    <w:rsid w:val="00EF0BF1"/>
    <w:rsid w:val="00EF27DA"/>
    <w:rsid w:val="00EF2AC4"/>
    <w:rsid w:val="00EF397E"/>
    <w:rsid w:val="00F06F68"/>
    <w:rsid w:val="00F1332D"/>
    <w:rsid w:val="00F1534B"/>
    <w:rsid w:val="00F1713B"/>
    <w:rsid w:val="00F212CB"/>
    <w:rsid w:val="00F23C7D"/>
    <w:rsid w:val="00F243DB"/>
    <w:rsid w:val="00F24C2D"/>
    <w:rsid w:val="00F24F1B"/>
    <w:rsid w:val="00F27356"/>
    <w:rsid w:val="00F32A81"/>
    <w:rsid w:val="00F46998"/>
    <w:rsid w:val="00F47100"/>
    <w:rsid w:val="00F5382D"/>
    <w:rsid w:val="00F53D9C"/>
    <w:rsid w:val="00F5462B"/>
    <w:rsid w:val="00F634AD"/>
    <w:rsid w:val="00F63677"/>
    <w:rsid w:val="00F63ABE"/>
    <w:rsid w:val="00F75B81"/>
    <w:rsid w:val="00F804C4"/>
    <w:rsid w:val="00F82F83"/>
    <w:rsid w:val="00F832E5"/>
    <w:rsid w:val="00F90F40"/>
    <w:rsid w:val="00F92B30"/>
    <w:rsid w:val="00F933B9"/>
    <w:rsid w:val="00F94674"/>
    <w:rsid w:val="00F94919"/>
    <w:rsid w:val="00F94A59"/>
    <w:rsid w:val="00FA25B6"/>
    <w:rsid w:val="00FA2FAF"/>
    <w:rsid w:val="00FA5CCF"/>
    <w:rsid w:val="00FA64B1"/>
    <w:rsid w:val="00FA70F3"/>
    <w:rsid w:val="00FA71CD"/>
    <w:rsid w:val="00FB0453"/>
    <w:rsid w:val="00FB0C07"/>
    <w:rsid w:val="00FB298D"/>
    <w:rsid w:val="00FC1439"/>
    <w:rsid w:val="00FC58BE"/>
    <w:rsid w:val="00FC7225"/>
    <w:rsid w:val="00FC724B"/>
    <w:rsid w:val="00FC767C"/>
    <w:rsid w:val="00FC7910"/>
    <w:rsid w:val="00FD0834"/>
    <w:rsid w:val="00FD6EA4"/>
    <w:rsid w:val="00FE13AD"/>
    <w:rsid w:val="00FE348D"/>
    <w:rsid w:val="00FE51C8"/>
    <w:rsid w:val="00FE53B6"/>
    <w:rsid w:val="00FE72A6"/>
    <w:rsid w:val="00FF0ABF"/>
    <w:rsid w:val="00FF0DA7"/>
    <w:rsid w:val="00FF44E0"/>
    <w:rsid w:val="00FF4CB6"/>
    <w:rsid w:val="00FF5834"/>
    <w:rsid w:val="00FF6C72"/>
    <w:rsid w:val="01764D60"/>
    <w:rsid w:val="017B1BF9"/>
    <w:rsid w:val="01E93A1B"/>
    <w:rsid w:val="0214602E"/>
    <w:rsid w:val="03486B27"/>
    <w:rsid w:val="03526200"/>
    <w:rsid w:val="040A094E"/>
    <w:rsid w:val="055728DD"/>
    <w:rsid w:val="056F201D"/>
    <w:rsid w:val="05B664D4"/>
    <w:rsid w:val="05EE5EAB"/>
    <w:rsid w:val="064B485A"/>
    <w:rsid w:val="068C65C4"/>
    <w:rsid w:val="07076C01"/>
    <w:rsid w:val="070E3A3F"/>
    <w:rsid w:val="071C12AC"/>
    <w:rsid w:val="07A934B3"/>
    <w:rsid w:val="07EB6287"/>
    <w:rsid w:val="0806421B"/>
    <w:rsid w:val="0980799C"/>
    <w:rsid w:val="09944B8E"/>
    <w:rsid w:val="0A6A18DB"/>
    <w:rsid w:val="0A975B48"/>
    <w:rsid w:val="0AEF3828"/>
    <w:rsid w:val="0B016BFE"/>
    <w:rsid w:val="0B406381"/>
    <w:rsid w:val="0BB452AA"/>
    <w:rsid w:val="0BBB665B"/>
    <w:rsid w:val="0D604782"/>
    <w:rsid w:val="0EEA6FC1"/>
    <w:rsid w:val="0F790928"/>
    <w:rsid w:val="10CD72BB"/>
    <w:rsid w:val="10D0715D"/>
    <w:rsid w:val="11FE4C4C"/>
    <w:rsid w:val="12197477"/>
    <w:rsid w:val="12573F25"/>
    <w:rsid w:val="125D38B0"/>
    <w:rsid w:val="131B5CD3"/>
    <w:rsid w:val="132F62D4"/>
    <w:rsid w:val="13776448"/>
    <w:rsid w:val="13AC4857"/>
    <w:rsid w:val="1466407E"/>
    <w:rsid w:val="14834E28"/>
    <w:rsid w:val="148E7D65"/>
    <w:rsid w:val="15231BF9"/>
    <w:rsid w:val="15C4546D"/>
    <w:rsid w:val="17517B60"/>
    <w:rsid w:val="182C0B38"/>
    <w:rsid w:val="183436FA"/>
    <w:rsid w:val="1A064976"/>
    <w:rsid w:val="1A3B68AA"/>
    <w:rsid w:val="1A3E1C1E"/>
    <w:rsid w:val="1B642761"/>
    <w:rsid w:val="1B6F4F40"/>
    <w:rsid w:val="1C141836"/>
    <w:rsid w:val="1C30736B"/>
    <w:rsid w:val="1C76537D"/>
    <w:rsid w:val="1CE13FEE"/>
    <w:rsid w:val="1E6B6A14"/>
    <w:rsid w:val="1EAC455F"/>
    <w:rsid w:val="1F2B06EE"/>
    <w:rsid w:val="20550D9A"/>
    <w:rsid w:val="213A47C0"/>
    <w:rsid w:val="218E2416"/>
    <w:rsid w:val="226915FE"/>
    <w:rsid w:val="22C1106C"/>
    <w:rsid w:val="236F58B6"/>
    <w:rsid w:val="241804A5"/>
    <w:rsid w:val="24B97929"/>
    <w:rsid w:val="24D632D7"/>
    <w:rsid w:val="271172A5"/>
    <w:rsid w:val="27D65DBA"/>
    <w:rsid w:val="285F40CA"/>
    <w:rsid w:val="289E1AF0"/>
    <w:rsid w:val="28C01ECB"/>
    <w:rsid w:val="29BF71E3"/>
    <w:rsid w:val="29D6387F"/>
    <w:rsid w:val="2A127B63"/>
    <w:rsid w:val="2A2F292E"/>
    <w:rsid w:val="2A451A6C"/>
    <w:rsid w:val="2AAA4765"/>
    <w:rsid w:val="2AC21606"/>
    <w:rsid w:val="2B5C5632"/>
    <w:rsid w:val="2B7E7608"/>
    <w:rsid w:val="2B7F04E9"/>
    <w:rsid w:val="2B7F2735"/>
    <w:rsid w:val="2B8B554A"/>
    <w:rsid w:val="2C9653C4"/>
    <w:rsid w:val="2D4241CE"/>
    <w:rsid w:val="2D496D68"/>
    <w:rsid w:val="2E7A48DE"/>
    <w:rsid w:val="2EBA5177"/>
    <w:rsid w:val="2EBD6E7A"/>
    <w:rsid w:val="2EC25EE7"/>
    <w:rsid w:val="2EDC3ED8"/>
    <w:rsid w:val="2EF20CF0"/>
    <w:rsid w:val="2F104B00"/>
    <w:rsid w:val="2F6351B4"/>
    <w:rsid w:val="2FC86126"/>
    <w:rsid w:val="2FCF199E"/>
    <w:rsid w:val="2FF235FC"/>
    <w:rsid w:val="2FF99800"/>
    <w:rsid w:val="300A53BB"/>
    <w:rsid w:val="30483E83"/>
    <w:rsid w:val="30BF3991"/>
    <w:rsid w:val="3111619A"/>
    <w:rsid w:val="31B139DC"/>
    <w:rsid w:val="323B1196"/>
    <w:rsid w:val="32497AF3"/>
    <w:rsid w:val="32690A61"/>
    <w:rsid w:val="32A328C3"/>
    <w:rsid w:val="32C01A1A"/>
    <w:rsid w:val="343C0775"/>
    <w:rsid w:val="34805571"/>
    <w:rsid w:val="356C50EC"/>
    <w:rsid w:val="35BD4F0E"/>
    <w:rsid w:val="36137E45"/>
    <w:rsid w:val="36376E0A"/>
    <w:rsid w:val="367E0853"/>
    <w:rsid w:val="3700166C"/>
    <w:rsid w:val="379A1012"/>
    <w:rsid w:val="38694EE9"/>
    <w:rsid w:val="39485BBC"/>
    <w:rsid w:val="3A6818FA"/>
    <w:rsid w:val="3B365CC9"/>
    <w:rsid w:val="3B9A7B88"/>
    <w:rsid w:val="3BEFC2AA"/>
    <w:rsid w:val="3C85168C"/>
    <w:rsid w:val="3CBC3757"/>
    <w:rsid w:val="3D2C7AC8"/>
    <w:rsid w:val="3D5440BC"/>
    <w:rsid w:val="3D855D12"/>
    <w:rsid w:val="3D8B42FF"/>
    <w:rsid w:val="3DE86C4C"/>
    <w:rsid w:val="3DF36A6E"/>
    <w:rsid w:val="3E1C65F6"/>
    <w:rsid w:val="3E1E5F84"/>
    <w:rsid w:val="3EBA1EE9"/>
    <w:rsid w:val="3F792F1E"/>
    <w:rsid w:val="3FACA5A5"/>
    <w:rsid w:val="3FAEB640"/>
    <w:rsid w:val="3FEBDD61"/>
    <w:rsid w:val="40824826"/>
    <w:rsid w:val="40E63923"/>
    <w:rsid w:val="416E0BA3"/>
    <w:rsid w:val="42D27AD5"/>
    <w:rsid w:val="43A91E5B"/>
    <w:rsid w:val="442B6FD9"/>
    <w:rsid w:val="449E0D39"/>
    <w:rsid w:val="45BA21D7"/>
    <w:rsid w:val="45E32B26"/>
    <w:rsid w:val="463A3650"/>
    <w:rsid w:val="46461627"/>
    <w:rsid w:val="469F0116"/>
    <w:rsid w:val="475259B7"/>
    <w:rsid w:val="48066B36"/>
    <w:rsid w:val="482316F0"/>
    <w:rsid w:val="488302AE"/>
    <w:rsid w:val="48831CF9"/>
    <w:rsid w:val="48D01A82"/>
    <w:rsid w:val="49024C9C"/>
    <w:rsid w:val="49B1408D"/>
    <w:rsid w:val="4A43564D"/>
    <w:rsid w:val="4A525E27"/>
    <w:rsid w:val="4A7D4FD2"/>
    <w:rsid w:val="4A913C9A"/>
    <w:rsid w:val="4B1F70AC"/>
    <w:rsid w:val="4B240F94"/>
    <w:rsid w:val="4B2B7AA3"/>
    <w:rsid w:val="4B8A76FC"/>
    <w:rsid w:val="4B97208F"/>
    <w:rsid w:val="4C0832E5"/>
    <w:rsid w:val="4C3C565C"/>
    <w:rsid w:val="4CCC79C7"/>
    <w:rsid w:val="4CFFC47A"/>
    <w:rsid w:val="4D7555C7"/>
    <w:rsid w:val="4EAE6DA0"/>
    <w:rsid w:val="4ED7895D"/>
    <w:rsid w:val="4F1C30B7"/>
    <w:rsid w:val="4FE617D9"/>
    <w:rsid w:val="5016514B"/>
    <w:rsid w:val="50BD4DF3"/>
    <w:rsid w:val="50FC1A26"/>
    <w:rsid w:val="5162582E"/>
    <w:rsid w:val="51723664"/>
    <w:rsid w:val="517D2C54"/>
    <w:rsid w:val="51AB5688"/>
    <w:rsid w:val="51CB1C78"/>
    <w:rsid w:val="51FD6A51"/>
    <w:rsid w:val="526B680A"/>
    <w:rsid w:val="52836F71"/>
    <w:rsid w:val="52D26B02"/>
    <w:rsid w:val="541170FC"/>
    <w:rsid w:val="541A5D30"/>
    <w:rsid w:val="547143A9"/>
    <w:rsid w:val="55142A9B"/>
    <w:rsid w:val="55C1559C"/>
    <w:rsid w:val="55F068CD"/>
    <w:rsid w:val="566C3136"/>
    <w:rsid w:val="568D04F2"/>
    <w:rsid w:val="5696457B"/>
    <w:rsid w:val="56E06E66"/>
    <w:rsid w:val="57914645"/>
    <w:rsid w:val="57F14ED1"/>
    <w:rsid w:val="585E4B59"/>
    <w:rsid w:val="5861253F"/>
    <w:rsid w:val="5A526582"/>
    <w:rsid w:val="5A5F5C77"/>
    <w:rsid w:val="5A711A0D"/>
    <w:rsid w:val="5A8C6B46"/>
    <w:rsid w:val="5B1613E4"/>
    <w:rsid w:val="5B78003B"/>
    <w:rsid w:val="5BC11A60"/>
    <w:rsid w:val="5BFCB184"/>
    <w:rsid w:val="5C202E7B"/>
    <w:rsid w:val="5C7A4D54"/>
    <w:rsid w:val="5C7B7915"/>
    <w:rsid w:val="5CD23B73"/>
    <w:rsid w:val="5D7F05E6"/>
    <w:rsid w:val="5F0F94D4"/>
    <w:rsid w:val="5F127819"/>
    <w:rsid w:val="5F3758C0"/>
    <w:rsid w:val="5F7C13B7"/>
    <w:rsid w:val="5FBF42A8"/>
    <w:rsid w:val="5FBFD30A"/>
    <w:rsid w:val="60350ED3"/>
    <w:rsid w:val="60B72AEE"/>
    <w:rsid w:val="61025188"/>
    <w:rsid w:val="61057D5F"/>
    <w:rsid w:val="6141071D"/>
    <w:rsid w:val="614D4977"/>
    <w:rsid w:val="625B613A"/>
    <w:rsid w:val="62A51328"/>
    <w:rsid w:val="63C60FC0"/>
    <w:rsid w:val="64BA3D7A"/>
    <w:rsid w:val="64F179BC"/>
    <w:rsid w:val="64F2731B"/>
    <w:rsid w:val="665704D3"/>
    <w:rsid w:val="66766ADB"/>
    <w:rsid w:val="67C065A4"/>
    <w:rsid w:val="67D359C9"/>
    <w:rsid w:val="68042537"/>
    <w:rsid w:val="683B441F"/>
    <w:rsid w:val="68FE36DD"/>
    <w:rsid w:val="694E60FC"/>
    <w:rsid w:val="69C63668"/>
    <w:rsid w:val="6A1C7B83"/>
    <w:rsid w:val="6A256904"/>
    <w:rsid w:val="6B656832"/>
    <w:rsid w:val="6B731753"/>
    <w:rsid w:val="6C4935C3"/>
    <w:rsid w:val="6C675CE6"/>
    <w:rsid w:val="6D4F4321"/>
    <w:rsid w:val="6D5749E0"/>
    <w:rsid w:val="6DBB83E5"/>
    <w:rsid w:val="6DF41B82"/>
    <w:rsid w:val="6DFE6126"/>
    <w:rsid w:val="6DFF7360"/>
    <w:rsid w:val="6E6FEA8D"/>
    <w:rsid w:val="6E7A5F73"/>
    <w:rsid w:val="6E7D39B9"/>
    <w:rsid w:val="6EE90F9D"/>
    <w:rsid w:val="6EEECC52"/>
    <w:rsid w:val="6F143BD5"/>
    <w:rsid w:val="6F4831D1"/>
    <w:rsid w:val="6F75DEF7"/>
    <w:rsid w:val="6FD74228"/>
    <w:rsid w:val="6FEFE485"/>
    <w:rsid w:val="6FF642AC"/>
    <w:rsid w:val="7021106F"/>
    <w:rsid w:val="70C0030A"/>
    <w:rsid w:val="71633091"/>
    <w:rsid w:val="72BF7C4E"/>
    <w:rsid w:val="73081CA5"/>
    <w:rsid w:val="731016AD"/>
    <w:rsid w:val="73447AB4"/>
    <w:rsid w:val="74201F7D"/>
    <w:rsid w:val="7487762D"/>
    <w:rsid w:val="74C33AA4"/>
    <w:rsid w:val="75035AFA"/>
    <w:rsid w:val="75210D7A"/>
    <w:rsid w:val="75385498"/>
    <w:rsid w:val="75E91479"/>
    <w:rsid w:val="75EF6B6A"/>
    <w:rsid w:val="75F37776"/>
    <w:rsid w:val="764C1BC6"/>
    <w:rsid w:val="76BC207F"/>
    <w:rsid w:val="76EB4904"/>
    <w:rsid w:val="77645DCD"/>
    <w:rsid w:val="777378F5"/>
    <w:rsid w:val="777A2D3C"/>
    <w:rsid w:val="77904242"/>
    <w:rsid w:val="77AA1545"/>
    <w:rsid w:val="77BAFF9C"/>
    <w:rsid w:val="78B90C9C"/>
    <w:rsid w:val="79074B81"/>
    <w:rsid w:val="793440E8"/>
    <w:rsid w:val="794F0939"/>
    <w:rsid w:val="79AF0FCA"/>
    <w:rsid w:val="7A4778AC"/>
    <w:rsid w:val="7AF9279C"/>
    <w:rsid w:val="7BA7A55C"/>
    <w:rsid w:val="7BFD516E"/>
    <w:rsid w:val="7C252DB1"/>
    <w:rsid w:val="7C8313D5"/>
    <w:rsid w:val="7CC51958"/>
    <w:rsid w:val="7CD53DF9"/>
    <w:rsid w:val="7D097C86"/>
    <w:rsid w:val="7D675ABB"/>
    <w:rsid w:val="7D763267"/>
    <w:rsid w:val="7D7F8E34"/>
    <w:rsid w:val="7DF115AC"/>
    <w:rsid w:val="7DFFE1C0"/>
    <w:rsid w:val="7E273515"/>
    <w:rsid w:val="7E2936C3"/>
    <w:rsid w:val="7E356269"/>
    <w:rsid w:val="7E4B718E"/>
    <w:rsid w:val="7E6411B9"/>
    <w:rsid w:val="7E7BD85B"/>
    <w:rsid w:val="7F37CD41"/>
    <w:rsid w:val="7F5411F3"/>
    <w:rsid w:val="7F73D3E9"/>
    <w:rsid w:val="7F790420"/>
    <w:rsid w:val="7F7E845E"/>
    <w:rsid w:val="7FAFFDBF"/>
    <w:rsid w:val="7FEBF313"/>
    <w:rsid w:val="7FFB7330"/>
    <w:rsid w:val="A17FF3AC"/>
    <w:rsid w:val="AB7F7528"/>
    <w:rsid w:val="AE5F12CA"/>
    <w:rsid w:val="B97FD094"/>
    <w:rsid w:val="BF3F5321"/>
    <w:rsid w:val="CF75F57C"/>
    <w:rsid w:val="CFDE425C"/>
    <w:rsid w:val="DFC9B7CB"/>
    <w:rsid w:val="E3F33B5A"/>
    <w:rsid w:val="E7B5E18C"/>
    <w:rsid w:val="E9FC6362"/>
    <w:rsid w:val="EBC76E5C"/>
    <w:rsid w:val="ED4B83FD"/>
    <w:rsid w:val="EFDB1222"/>
    <w:rsid w:val="F6CF3BF7"/>
    <w:rsid w:val="F79D8E3D"/>
    <w:rsid w:val="F97D5F60"/>
    <w:rsid w:val="FBCF4322"/>
    <w:rsid w:val="FDFF4A28"/>
    <w:rsid w:val="FE677F3D"/>
    <w:rsid w:val="FEB3DA06"/>
    <w:rsid w:val="FF5AB0D7"/>
    <w:rsid w:val="FF7ED6C0"/>
    <w:rsid w:val="FFD2741B"/>
    <w:rsid w:val="FFDF14E8"/>
    <w:rsid w:val="FFDFABB1"/>
    <w:rsid w:val="FFF934F4"/>
    <w:rsid w:val="FFF94EBF"/>
    <w:rsid w:val="FFFBF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paragraph" w:styleId="3">
    <w:name w:val="heading 1"/>
    <w:basedOn w:val="1"/>
    <w:next w:val="1"/>
    <w:link w:val="5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link w:val="53"/>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58"/>
    <w:qFormat/>
    <w:uiPriority w:val="0"/>
    <w:pPr>
      <w:keepNext/>
      <w:keepLines/>
      <w:spacing w:before="280" w:after="290" w:line="376" w:lineRule="auto"/>
      <w:outlineLvl w:val="3"/>
    </w:pPr>
    <w:rPr>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jc w:val="left"/>
    </w:pPr>
    <w:rPr>
      <w:rFonts w:ascii="宋体" w:hAnsi="宋体"/>
      <w:sz w:val="24"/>
    </w:rPr>
  </w:style>
  <w:style w:type="paragraph" w:styleId="7">
    <w:name w:val="toc 7"/>
    <w:basedOn w:val="1"/>
    <w:next w:val="1"/>
    <w:qFormat/>
    <w:uiPriority w:val="0"/>
    <w:pPr>
      <w:ind w:left="1260"/>
      <w:jc w:val="left"/>
    </w:pPr>
    <w:rPr>
      <w:rFonts w:ascii="Calibri" w:hAnsi="Calibri" w:cs="Calibri"/>
      <w:sz w:val="20"/>
    </w:rPr>
  </w:style>
  <w:style w:type="paragraph" w:styleId="8">
    <w:name w:val="Normal Indent"/>
    <w:basedOn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9">
    <w:name w:val="annotation text"/>
    <w:basedOn w:val="1"/>
    <w:link w:val="50"/>
    <w:qFormat/>
    <w:uiPriority w:val="0"/>
    <w:pPr>
      <w:jc w:val="left"/>
    </w:pPr>
    <w:rPr>
      <w:rFonts w:ascii="Arial" w:hAnsi="Arial" w:eastAsia="黑体" w:cs="Arial"/>
    </w:rPr>
  </w:style>
  <w:style w:type="paragraph" w:styleId="10">
    <w:name w:val="Body Text"/>
    <w:basedOn w:val="1"/>
    <w:qFormat/>
    <w:uiPriority w:val="0"/>
    <w:pPr>
      <w:spacing w:after="120"/>
    </w:pPr>
    <w:rPr>
      <w:rFonts w:ascii="@微软简标宋" w:hAnsi="@微软简标宋" w:eastAsia="@微软简标宋" w:cs="@微软简标宋"/>
      <w:szCs w:val="24"/>
      <w:lang w:val="zh-CN"/>
    </w:rPr>
  </w:style>
  <w:style w:type="paragraph" w:styleId="11">
    <w:name w:val="Body Text Indent"/>
    <w:basedOn w:val="1"/>
    <w:next w:val="12"/>
    <w:qFormat/>
    <w:uiPriority w:val="0"/>
    <w:pPr>
      <w:spacing w:after="120"/>
      <w:ind w:left="420" w:leftChars="200"/>
    </w:pPr>
  </w:style>
  <w:style w:type="paragraph" w:styleId="12">
    <w:name w:val="envelope return"/>
    <w:basedOn w:val="1"/>
    <w:qFormat/>
    <w:uiPriority w:val="0"/>
    <w:pPr>
      <w:snapToGrid w:val="0"/>
    </w:pPr>
    <w:rPr>
      <w:rFonts w:ascii="Arial" w:hAnsi="Arial"/>
    </w:rPr>
  </w:style>
  <w:style w:type="paragraph" w:styleId="13">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4">
    <w:name w:val="Plain Text"/>
    <w:basedOn w:val="1"/>
    <w:link w:val="40"/>
    <w:qFormat/>
    <w:uiPriority w:val="99"/>
    <w:rPr>
      <w:rFonts w:ascii="宋体" w:hAnsi="Courier New" w:eastAsiaTheme="minorEastAsia" w:cstheme="minorBidi"/>
      <w:szCs w:val="22"/>
    </w:rPr>
  </w:style>
  <w:style w:type="paragraph" w:styleId="15">
    <w:name w:val="Date"/>
    <w:basedOn w:val="1"/>
    <w:next w:val="1"/>
    <w:link w:val="47"/>
    <w:qFormat/>
    <w:uiPriority w:val="0"/>
    <w:rPr>
      <w:rFonts w:ascii="Arial" w:hAnsi="Arial" w:eastAsia="宋体" w:cs="Arial"/>
      <w:b/>
      <w:sz w:val="28"/>
    </w:rPr>
  </w:style>
  <w:style w:type="paragraph" w:styleId="16">
    <w:name w:val="Body Text Indent 2"/>
    <w:basedOn w:val="1"/>
    <w:unhideWhenUsed/>
    <w:qFormat/>
    <w:uiPriority w:val="0"/>
    <w:pPr>
      <w:spacing w:before="156" w:beforeLines="50" w:after="156" w:afterLines="50" w:line="460" w:lineRule="exact"/>
      <w:ind w:firstLine="538" w:firstLineChars="192"/>
    </w:pPr>
    <w:rPr>
      <w:rFonts w:ascii="仿宋_GB2312" w:eastAsia="仿宋_GB2312"/>
      <w:sz w:val="28"/>
      <w:szCs w:val="27"/>
    </w:rPr>
  </w:style>
  <w:style w:type="paragraph" w:styleId="17">
    <w:name w:val="Balloon Text"/>
    <w:basedOn w:val="1"/>
    <w:link w:val="34"/>
    <w:semiHidden/>
    <w:unhideWhenUsed/>
    <w:qFormat/>
    <w:uiPriority w:val="99"/>
    <w:rPr>
      <w:sz w:val="18"/>
      <w:szCs w:val="18"/>
    </w:rPr>
  </w:style>
  <w:style w:type="paragraph" w:styleId="18">
    <w:name w:val="footer"/>
    <w:basedOn w:val="1"/>
    <w:link w:val="39"/>
    <w:unhideWhenUsed/>
    <w:qFormat/>
    <w:uiPriority w:val="99"/>
    <w:pPr>
      <w:tabs>
        <w:tab w:val="center" w:pos="4153"/>
        <w:tab w:val="right" w:pos="8306"/>
      </w:tabs>
      <w:snapToGrid w:val="0"/>
      <w:jc w:val="left"/>
    </w:pPr>
    <w:rPr>
      <w:sz w:val="18"/>
      <w:szCs w:val="18"/>
    </w:rPr>
  </w:style>
  <w:style w:type="paragraph" w:styleId="19">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21">
    <w:name w:val="List"/>
    <w:basedOn w:val="1"/>
    <w:qFormat/>
    <w:uiPriority w:val="99"/>
    <w:pPr>
      <w:ind w:left="420" w:hanging="420"/>
    </w:pPr>
    <w:rPr>
      <w:rFonts w:ascii="Arial" w:hAnsi="Arial" w:eastAsia="楷体_GB2312" w:cs="Arial"/>
      <w:sz w:val="28"/>
      <w:szCs w:val="28"/>
    </w:rPr>
  </w:style>
  <w:style w:type="paragraph" w:styleId="22">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3">
    <w:name w:val="Normal (Web)"/>
    <w:basedOn w:val="1"/>
    <w:qFormat/>
    <w:uiPriority w:val="0"/>
    <w:pPr>
      <w:spacing w:before="100" w:beforeAutospacing="1" w:after="100" w:afterAutospacing="1"/>
      <w:jc w:val="left"/>
    </w:pPr>
    <w:rPr>
      <w:rFonts w:cs="Times New Roman"/>
      <w:kern w:val="0"/>
      <w:sz w:val="24"/>
    </w:rPr>
  </w:style>
  <w:style w:type="paragraph" w:styleId="24">
    <w:name w:val="index 1"/>
    <w:basedOn w:val="1"/>
    <w:next w:val="1"/>
    <w:qFormat/>
    <w:uiPriority w:val="0"/>
    <w:pPr>
      <w:jc w:val="center"/>
    </w:pPr>
    <w:rPr>
      <w:rFonts w:ascii="Arial" w:hAnsi="Arial" w:eastAsia="Arial" w:cs="Arial"/>
      <w:b/>
      <w:bCs/>
      <w:sz w:val="28"/>
    </w:rPr>
  </w:style>
  <w:style w:type="paragraph" w:styleId="25">
    <w:name w:val="annotation subject"/>
    <w:basedOn w:val="9"/>
    <w:next w:val="9"/>
    <w:link w:val="61"/>
    <w:semiHidden/>
    <w:unhideWhenUsed/>
    <w:qFormat/>
    <w:uiPriority w:val="99"/>
    <w:rPr>
      <w:rFonts w:ascii="@仿宋_GB2312" w:hAnsi="@仿宋_GB2312" w:eastAsia="@仿宋_GB2312" w:cs="@仿宋_GB2312"/>
      <w:b/>
      <w:bCs/>
    </w:rPr>
  </w:style>
  <w:style w:type="paragraph" w:styleId="26">
    <w:name w:val="Body Text First Indent"/>
    <w:basedOn w:val="10"/>
    <w:unhideWhenUsed/>
    <w:qFormat/>
    <w:uiPriority w:val="99"/>
    <w:pPr>
      <w:ind w:firstLine="420" w:firstLineChars="100"/>
    </w:pPr>
  </w:style>
  <w:style w:type="paragraph" w:styleId="27">
    <w:name w:val="Body Text First Indent 2"/>
    <w:basedOn w:val="11"/>
    <w:next w:val="21"/>
    <w:unhideWhenUsed/>
    <w:qFormat/>
    <w:uiPriority w:val="99"/>
    <w:pPr>
      <w:ind w:left="420" w:firstLine="420" w:firstLineChars="200"/>
    </w:pPr>
    <w:rPr>
      <w:rFonts w:ascii="Times New Roman" w:cs="Times New Roman"/>
    </w:rPr>
  </w:style>
  <w:style w:type="table" w:styleId="29">
    <w:name w:val="Table Grid"/>
    <w:basedOn w:val="28"/>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0"/>
    <w:rPr>
      <w:b/>
      <w:bCs/>
    </w:rPr>
  </w:style>
  <w:style w:type="character" w:styleId="32">
    <w:name w:val="Hyperlink"/>
    <w:basedOn w:val="30"/>
    <w:unhideWhenUsed/>
    <w:qFormat/>
    <w:uiPriority w:val="99"/>
    <w:rPr>
      <w:color w:val="0000FF" w:themeColor="hyperlink"/>
      <w:u w:val="single"/>
      <w14:textFill>
        <w14:solidFill>
          <w14:schemeClr w14:val="hlink"/>
        </w14:solidFill>
      </w14:textFill>
    </w:rPr>
  </w:style>
  <w:style w:type="character" w:styleId="33">
    <w:name w:val="annotation reference"/>
    <w:basedOn w:val="30"/>
    <w:semiHidden/>
    <w:unhideWhenUsed/>
    <w:qFormat/>
    <w:uiPriority w:val="99"/>
    <w:rPr>
      <w:sz w:val="21"/>
      <w:szCs w:val="21"/>
    </w:rPr>
  </w:style>
  <w:style w:type="character" w:customStyle="1" w:styleId="34">
    <w:name w:val="批注框文本 Char"/>
    <w:basedOn w:val="30"/>
    <w:link w:val="17"/>
    <w:semiHidden/>
    <w:qFormat/>
    <w:uiPriority w:val="99"/>
    <w:rPr>
      <w:rFonts w:ascii="@仿宋_GB2312" w:hAnsi="@仿宋_GB2312" w:eastAsia="@仿宋_GB2312" w:cs="@仿宋_GB2312"/>
      <w:sz w:val="18"/>
      <w:szCs w:val="18"/>
    </w:rPr>
  </w:style>
  <w:style w:type="paragraph" w:customStyle="1" w:styleId="35">
    <w:name w:val="正文（缩进）"/>
    <w:basedOn w:val="1"/>
    <w:qFormat/>
    <w:uiPriority w:val="0"/>
    <w:pPr>
      <w:widowControl/>
      <w:spacing w:before="156" w:after="156"/>
      <w:ind w:firstLine="480" w:firstLineChars="200"/>
      <w:jc w:val="left"/>
    </w:pPr>
    <w:rPr>
      <w:kern w:val="0"/>
      <w:sz w:val="24"/>
      <w:szCs w:val="24"/>
    </w:rPr>
  </w:style>
  <w:style w:type="paragraph" w:customStyle="1" w:styleId="36">
    <w:name w:val="xl31"/>
    <w:basedOn w:val="1"/>
    <w:qFormat/>
    <w:uiPriority w:val="0"/>
    <w:pPr>
      <w:widowControl/>
      <w:spacing w:before="100" w:beforeAutospacing="1" w:after="100" w:afterAutospacing="1"/>
      <w:jc w:val="center"/>
    </w:pPr>
    <w:rPr>
      <w:b/>
      <w:bCs/>
      <w:kern w:val="0"/>
      <w:sz w:val="28"/>
      <w:szCs w:val="28"/>
    </w:rPr>
  </w:style>
  <w:style w:type="paragraph" w:customStyle="1" w:styleId="37">
    <w:name w:val="D&amp;L"/>
    <w:basedOn w:val="19"/>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8">
    <w:name w:val="页眉 Char"/>
    <w:basedOn w:val="30"/>
    <w:link w:val="19"/>
    <w:qFormat/>
    <w:uiPriority w:val="99"/>
    <w:rPr>
      <w:rFonts w:ascii="@仿宋_GB2312" w:hAnsi="@仿宋_GB2312" w:eastAsia="@仿宋_GB2312" w:cs="@仿宋_GB2312"/>
      <w:sz w:val="18"/>
      <w:szCs w:val="18"/>
    </w:rPr>
  </w:style>
  <w:style w:type="character" w:customStyle="1" w:styleId="39">
    <w:name w:val="页脚 Char"/>
    <w:basedOn w:val="30"/>
    <w:link w:val="18"/>
    <w:qFormat/>
    <w:uiPriority w:val="99"/>
    <w:rPr>
      <w:rFonts w:ascii="@仿宋_GB2312" w:hAnsi="@仿宋_GB2312" w:eastAsia="@仿宋_GB2312" w:cs="@仿宋_GB2312"/>
      <w:sz w:val="18"/>
      <w:szCs w:val="18"/>
    </w:rPr>
  </w:style>
  <w:style w:type="character" w:customStyle="1" w:styleId="40">
    <w:name w:val="纯文本 Char"/>
    <w:link w:val="14"/>
    <w:qFormat/>
    <w:uiPriority w:val="0"/>
    <w:rPr>
      <w:rFonts w:ascii="宋体" w:hAnsi="Courier New"/>
    </w:rPr>
  </w:style>
  <w:style w:type="character" w:customStyle="1" w:styleId="41">
    <w:name w:val="纯文本 字符1"/>
    <w:basedOn w:val="30"/>
    <w:semiHidden/>
    <w:qFormat/>
    <w:uiPriority w:val="99"/>
    <w:rPr>
      <w:rFonts w:hAnsi="Courier New" w:cs="Courier New" w:asciiTheme="minorEastAsia"/>
      <w:szCs w:val="20"/>
    </w:rPr>
  </w:style>
  <w:style w:type="character" w:customStyle="1" w:styleId="42">
    <w:name w:val="未处理的提及1"/>
    <w:basedOn w:val="30"/>
    <w:semiHidden/>
    <w:unhideWhenUsed/>
    <w:qFormat/>
    <w:uiPriority w:val="99"/>
    <w:rPr>
      <w:color w:val="605E5C"/>
      <w:shd w:val="clear" w:color="auto" w:fill="E1DFDD"/>
    </w:rPr>
  </w:style>
  <w:style w:type="paragraph" w:styleId="43">
    <w:name w:val="List Paragraph"/>
    <w:basedOn w:val="1"/>
    <w:qFormat/>
    <w:uiPriority w:val="34"/>
    <w:pPr>
      <w:ind w:firstLine="420" w:firstLineChars="200"/>
    </w:pPr>
  </w:style>
  <w:style w:type="paragraph" w:customStyle="1" w:styleId="44">
    <w:name w:val="Char Char Char Char Char Char Char1 Char"/>
    <w:basedOn w:val="1"/>
    <w:qFormat/>
    <w:uiPriority w:val="0"/>
    <w:rPr>
      <w:rFonts w:ascii="Arial" w:hAnsi="Arial" w:eastAsia="宋体" w:cs="Arial"/>
      <w:sz w:val="24"/>
    </w:rPr>
  </w:style>
  <w:style w:type="table" w:customStyle="1" w:styleId="45">
    <w:name w:val="网格表 1 浅色1"/>
    <w:basedOn w:val="28"/>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46">
    <w:name w:val="日期 字符"/>
    <w:basedOn w:val="30"/>
    <w:semiHidden/>
    <w:qFormat/>
    <w:uiPriority w:val="99"/>
    <w:rPr>
      <w:rFonts w:ascii="@仿宋_GB2312" w:hAnsi="@仿宋_GB2312" w:eastAsia="@仿宋_GB2312" w:cs="@仿宋_GB2312"/>
      <w:szCs w:val="20"/>
    </w:rPr>
  </w:style>
  <w:style w:type="character" w:customStyle="1" w:styleId="47">
    <w:name w:val="日期 Char"/>
    <w:link w:val="15"/>
    <w:qFormat/>
    <w:uiPriority w:val="0"/>
    <w:rPr>
      <w:rFonts w:ascii="Arial" w:hAnsi="Arial" w:eastAsia="宋体" w:cs="Arial"/>
      <w:b/>
      <w:sz w:val="28"/>
      <w:szCs w:val="20"/>
    </w:rPr>
  </w:style>
  <w:style w:type="character" w:customStyle="1" w:styleId="48">
    <w:name w:val="纯文本 Char1"/>
    <w:qFormat/>
    <w:locked/>
    <w:uiPriority w:val="99"/>
    <w:rPr>
      <w:rFonts w:ascii="Arial" w:hAnsi="Arial" w:eastAsia="Arial"/>
      <w:kern w:val="2"/>
      <w:sz w:val="21"/>
      <w:lang w:val="en-US" w:eastAsia="zh-CN" w:bidi="ar-SA"/>
    </w:rPr>
  </w:style>
  <w:style w:type="character" w:customStyle="1" w:styleId="49">
    <w:name w:val="批注文字 Char"/>
    <w:basedOn w:val="30"/>
    <w:semiHidden/>
    <w:qFormat/>
    <w:uiPriority w:val="99"/>
    <w:rPr>
      <w:rFonts w:ascii="@仿宋_GB2312" w:hAnsi="@仿宋_GB2312" w:eastAsia="@仿宋_GB2312" w:cs="@仿宋_GB2312"/>
      <w:szCs w:val="20"/>
    </w:rPr>
  </w:style>
  <w:style w:type="character" w:customStyle="1" w:styleId="50">
    <w:name w:val="批注文字 Char1"/>
    <w:link w:val="9"/>
    <w:qFormat/>
    <w:uiPriority w:val="0"/>
    <w:rPr>
      <w:rFonts w:ascii="Arial" w:hAnsi="Arial" w:eastAsia="黑体" w:cs="Arial"/>
      <w:szCs w:val="20"/>
    </w:rPr>
  </w:style>
  <w:style w:type="character" w:customStyle="1" w:styleId="51">
    <w:name w:val="标题 1 Char"/>
    <w:basedOn w:val="30"/>
    <w:link w:val="3"/>
    <w:qFormat/>
    <w:uiPriority w:val="9"/>
    <w:rPr>
      <w:rFonts w:ascii="@仿宋_GB2312" w:hAnsi="@仿宋_GB2312" w:eastAsia="@仿宋_GB2312" w:cs="@仿宋_GB2312"/>
      <w:b/>
      <w:bCs/>
      <w:kern w:val="44"/>
      <w:sz w:val="44"/>
      <w:szCs w:val="44"/>
    </w:rPr>
  </w:style>
  <w:style w:type="paragraph" w:customStyle="1" w:styleId="52">
    <w:name w:val="TOC 标题1"/>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3">
    <w:name w:val="标题 3 Char"/>
    <w:basedOn w:val="30"/>
    <w:link w:val="5"/>
    <w:semiHidden/>
    <w:qFormat/>
    <w:uiPriority w:val="9"/>
    <w:rPr>
      <w:rFonts w:ascii="@仿宋_GB2312" w:hAnsi="@仿宋_GB2312" w:eastAsia="@仿宋_GB2312" w:cs="@仿宋_GB2312"/>
      <w:b/>
      <w:bCs/>
      <w:sz w:val="32"/>
      <w:szCs w:val="32"/>
    </w:rPr>
  </w:style>
  <w:style w:type="character" w:customStyle="1" w:styleId="54">
    <w:name w:val="fontstyle01"/>
    <w:basedOn w:val="30"/>
    <w:qFormat/>
    <w:uiPriority w:val="0"/>
    <w:rPr>
      <w:rFonts w:hint="eastAsia" w:ascii="宋体" w:hAnsi="宋体" w:eastAsia="宋体"/>
      <w:color w:val="000000"/>
      <w:sz w:val="22"/>
      <w:szCs w:val="22"/>
    </w:rPr>
  </w:style>
  <w:style w:type="character" w:customStyle="1" w:styleId="55">
    <w:name w:val="fontstyle21"/>
    <w:basedOn w:val="30"/>
    <w:qFormat/>
    <w:uiPriority w:val="0"/>
    <w:rPr>
      <w:rFonts w:hint="default" w:ascii="TimesNewRomanPSMT" w:hAnsi="TimesNewRomanPSMT"/>
      <w:color w:val="000000"/>
      <w:sz w:val="22"/>
      <w:szCs w:val="22"/>
    </w:rPr>
  </w:style>
  <w:style w:type="character" w:customStyle="1" w:styleId="56">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57">
    <w:name w:val="标题 4 字符"/>
    <w:basedOn w:val="30"/>
    <w:semiHidden/>
    <w:qFormat/>
    <w:uiPriority w:val="9"/>
    <w:rPr>
      <w:rFonts w:asciiTheme="majorHAnsi" w:hAnsiTheme="majorHAnsi" w:eastAsiaTheme="majorEastAsia" w:cstheme="majorBidi"/>
      <w:b/>
      <w:bCs/>
      <w:sz w:val="28"/>
      <w:szCs w:val="28"/>
    </w:rPr>
  </w:style>
  <w:style w:type="character" w:customStyle="1" w:styleId="58">
    <w:name w:val="标题 4 Char1"/>
    <w:link w:val="6"/>
    <w:qFormat/>
    <w:uiPriority w:val="0"/>
    <w:rPr>
      <w:rFonts w:ascii="@仿宋_GB2312" w:hAnsi="@仿宋_GB2312" w:eastAsia="@仿宋_GB2312" w:cs="@仿宋_GB2312"/>
      <w:b/>
      <w:bCs/>
      <w:sz w:val="28"/>
      <w:szCs w:val="28"/>
    </w:rPr>
  </w:style>
  <w:style w:type="character" w:customStyle="1" w:styleId="59">
    <w:name w:val="标题 4 Char"/>
    <w:qFormat/>
    <w:uiPriority w:val="0"/>
    <w:rPr>
      <w:rFonts w:ascii="Arial" w:hAnsi="Arial" w:eastAsia="Arial"/>
      <w:b/>
      <w:bCs/>
      <w:kern w:val="2"/>
      <w:sz w:val="28"/>
      <w:szCs w:val="28"/>
      <w:lang w:val="en-US" w:eastAsia="zh-CN" w:bidi="ar-SA"/>
    </w:rPr>
  </w:style>
  <w:style w:type="table" w:customStyle="1" w:styleId="60">
    <w:name w:val="网格型1"/>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1">
    <w:name w:val="批注主题 Char"/>
    <w:basedOn w:val="50"/>
    <w:link w:val="25"/>
    <w:semiHidden/>
    <w:qFormat/>
    <w:uiPriority w:val="99"/>
    <w:rPr>
      <w:rFonts w:ascii="@仿宋_GB2312" w:hAnsi="@仿宋_GB2312" w:eastAsia="@仿宋_GB2312" w:cs="@仿宋_GB2312"/>
      <w:b/>
      <w:bCs/>
      <w:szCs w:val="20"/>
    </w:rPr>
  </w:style>
  <w:style w:type="table" w:customStyle="1" w:styleId="62">
    <w:name w:val="Table Normal"/>
    <w:semiHidden/>
    <w:unhideWhenUsed/>
    <w:qFormat/>
    <w:uiPriority w:val="0"/>
    <w:tblPr>
      <w:tblCellMar>
        <w:top w:w="0" w:type="dxa"/>
        <w:left w:w="0" w:type="dxa"/>
        <w:bottom w:w="0" w:type="dxa"/>
        <w:right w:w="0" w:type="dxa"/>
      </w:tblCellMar>
    </w:tblPr>
  </w:style>
  <w:style w:type="paragraph" w:customStyle="1" w:styleId="63">
    <w:name w:val="Table Text"/>
    <w:basedOn w:val="1"/>
    <w:semiHidden/>
    <w:qFormat/>
    <w:uiPriority w:val="0"/>
    <w:rPr>
      <w:rFonts w:ascii="Arial" w:hAnsi="Arial" w:eastAsia="Arial" w:cs="Arial"/>
      <w:sz w:val="21"/>
      <w:szCs w:val="21"/>
      <w:lang w:val="en-US" w:eastAsia="en-US" w:bidi="ar-SA"/>
    </w:rPr>
  </w:style>
  <w:style w:type="paragraph" w:customStyle="1" w:styleId="6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65">
    <w:name w:val="列出段落1"/>
    <w:basedOn w:val="1"/>
    <w:qFormat/>
    <w:uiPriority w:val="0"/>
    <w:pPr>
      <w:ind w:firstLine="420" w:firstLineChars="200"/>
    </w:pPr>
    <w:rPr>
      <w:szCs w:val="21"/>
    </w:rPr>
  </w:style>
  <w:style w:type="paragraph" w:customStyle="1" w:styleId="66">
    <w:name w:val="Table Paragraph"/>
    <w:basedOn w:val="1"/>
    <w:qFormat/>
    <w:uiPriority w:val="1"/>
    <w:rPr>
      <w:rFonts w:ascii="宋体" w:hAnsi="宋体" w:cs="宋体"/>
      <w:lang w:val="zh-CN" w:bidi="zh-CN"/>
    </w:rPr>
  </w:style>
  <w:style w:type="paragraph" w:customStyle="1" w:styleId="67">
    <w:name w:val="Default"/>
    <w:qFormat/>
    <w:uiPriority w:val="0"/>
    <w:pPr>
      <w:widowControl w:val="0"/>
      <w:autoSpaceDE w:val="0"/>
      <w:autoSpaceDN w:val="0"/>
      <w:adjustRightInd w:val="0"/>
    </w:pPr>
    <w:rPr>
      <w:rFonts w:ascii="宋体" w:hAnsi="宋体" w:eastAsia="宋体" w:cs="宋体"/>
      <w:color w:val="000000"/>
      <w:kern w:val="0"/>
      <w:sz w:val="24"/>
      <w:szCs w:val="24"/>
      <w:lang w:val="en-US" w:eastAsia="zh-CN" w:bidi="ar-SA"/>
    </w:rPr>
  </w:style>
  <w:style w:type="paragraph" w:customStyle="1" w:styleId="68">
    <w:name w:val="列出段落11"/>
    <w:basedOn w:val="1"/>
    <w:qFormat/>
    <w:uiPriority w:val="99"/>
    <w:pPr>
      <w:adjustRightInd w:val="0"/>
      <w:spacing w:line="360" w:lineRule="atLeast"/>
      <w:ind w:firstLine="420" w:firstLineChars="200"/>
      <w:jc w:val="left"/>
    </w:pPr>
    <w:rPr>
      <w:kern w:val="0"/>
      <w:sz w:val="24"/>
    </w:rPr>
  </w:style>
  <w:style w:type="character" w:customStyle="1" w:styleId="69">
    <w:name w:val="font21"/>
    <w:qFormat/>
    <w:uiPriority w:val="0"/>
    <w:rPr>
      <w:rFonts w:hint="default" w:ascii="Times New Roman" w:hAnsi="Times New Roman" w:cs="Times New Roman"/>
      <w:color w:val="000000"/>
      <w:sz w:val="20"/>
      <w:szCs w:val="20"/>
      <w:u w:val="none"/>
    </w:rPr>
  </w:style>
  <w:style w:type="character" w:customStyle="1" w:styleId="70">
    <w:name w:val="font11"/>
    <w:qFormat/>
    <w:uiPriority w:val="0"/>
    <w:rPr>
      <w:rFonts w:hint="eastAsia" w:ascii="宋体" w:hAnsi="宋体" w:eastAsia="宋体" w:cs="宋体"/>
      <w:color w:val="000000"/>
      <w:sz w:val="20"/>
      <w:szCs w:val="20"/>
      <w:u w:val="none"/>
    </w:rPr>
  </w:style>
  <w:style w:type="character" w:customStyle="1" w:styleId="71">
    <w:name w:val="font31"/>
    <w:qFormat/>
    <w:uiPriority w:val="0"/>
    <w:rPr>
      <w:rFonts w:hint="eastAsia" w:ascii="宋体" w:hAnsi="宋体" w:eastAsia="宋体" w:cs="宋体"/>
      <w:color w:val="000000"/>
      <w:sz w:val="20"/>
      <w:szCs w:val="20"/>
      <w:u w:val="none"/>
    </w:rPr>
  </w:style>
  <w:style w:type="character" w:customStyle="1" w:styleId="72">
    <w:name w:val="font51"/>
    <w:qFormat/>
    <w:uiPriority w:val="0"/>
    <w:rPr>
      <w:rFonts w:ascii="Arial" w:hAnsi="Arial" w:cs="Arial"/>
      <w:color w:val="000000"/>
      <w:sz w:val="20"/>
      <w:szCs w:val="20"/>
      <w:u w:val="none"/>
    </w:rPr>
  </w:style>
  <w:style w:type="paragraph" w:customStyle="1" w:styleId="73">
    <w:name w:val="表格正文"/>
    <w:qFormat/>
    <w:uiPriority w:val="0"/>
    <w:rPr>
      <w:rFonts w:ascii="宋体" w:hAnsi="宋体" w:eastAsia="宋体" w:cs="Times New Roman"/>
      <w:kern w:val="2"/>
      <w:sz w:val="21"/>
      <w:szCs w:val="21"/>
      <w:lang w:val="en-US" w:eastAsia="zh-CN" w:bidi="ar-SA"/>
    </w:rPr>
  </w:style>
  <w:style w:type="paragraph" w:customStyle="1" w:styleId="74">
    <w:name w:val="Other|1"/>
    <w:basedOn w:val="1"/>
    <w:qFormat/>
    <w:uiPriority w:val="0"/>
    <w:pPr>
      <w:widowControl w:val="0"/>
      <w:shd w:val="clear" w:color="auto" w:fill="auto"/>
      <w:spacing w:line="315" w:lineRule="exact"/>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100</Pages>
  <Words>63121</Words>
  <Characters>71103</Characters>
  <Lines>244</Lines>
  <Paragraphs>68</Paragraphs>
  <TotalTime>7</TotalTime>
  <ScaleCrop>false</ScaleCrop>
  <LinksUpToDate>false</LinksUpToDate>
  <CharactersWithSpaces>74269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2019-05-12T14:32:00Z</dcterms:created>
  <dc:creator>Anakin</dc:creator>
  <cp:lastModifiedBy>Nocturne.</cp:lastModifiedBy>
  <cp:lastPrinted>2019-12-13T15:18:00Z</cp:lastPrinted>
  <dcterms:modified xsi:type="dcterms:W3CDTF">2025-09-08T02:22:05Z</dcterms:modified>
  <cp:revision>388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F82DE5EF702A498EA9675EA7C875D2D2_13</vt:lpwstr>
  </property>
  <property fmtid="{D5CDD505-2E9C-101B-9397-08002B2CF9AE}" pid="4" name="KSOTemplateDocerSaveRecord">
    <vt:lpwstr>eyJoZGlkIjoiNGQyMjk4YWE4MDVjMjBkZDFmMDBjZTNkMzdjZGUzNWYiLCJ1c2VySWQiOiI0NzM3Njc0MDQifQ==</vt:lpwstr>
  </property>
</Properties>
</file>