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jc w:val="center"/>
        <w:tblInd w:w="-4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8095"/>
      </w:tblGrid>
      <w:tr w:rsidR="008953A7" w:rsidTr="008953A7">
        <w:trPr>
          <w:trHeight w:val="390"/>
          <w:jc w:val="center"/>
        </w:trPr>
        <w:tc>
          <w:tcPr>
            <w:tcW w:w="6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A7" w:rsidRDefault="008953A7" w:rsidP="00891828">
            <w:pPr>
              <w:jc w:val="center"/>
              <w:rPr>
                <w:rFonts w:ascii="宋体" w:eastAsia="宋体" w:hAnsi="宋体" w:cs="Times New Roman"/>
                <w:b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名 称</w:t>
            </w:r>
          </w:p>
        </w:tc>
        <w:tc>
          <w:tcPr>
            <w:tcW w:w="8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A7" w:rsidRDefault="008953A7" w:rsidP="00891828">
            <w:pPr>
              <w:jc w:val="center"/>
              <w:rPr>
                <w:rFonts w:ascii="宋体" w:eastAsia="宋体" w:hAnsi="宋体" w:cs="Times New Roman"/>
                <w:b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主要技术参数</w:t>
            </w:r>
          </w:p>
        </w:tc>
      </w:tr>
      <w:tr w:rsidR="008953A7" w:rsidTr="008953A7">
        <w:trPr>
          <w:trHeight w:val="39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A7" w:rsidRDefault="008953A7" w:rsidP="0089182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高分辨质谱仪</w:t>
            </w:r>
          </w:p>
        </w:tc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一</w:t>
            </w: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、应用范围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适用于大分子蛋白质组学（蛋白质鉴定、翻译后修饰、生物大分子相互作用、多肽和蛋白质的定量分析），小分子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代谢组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学、脂质组学分析，及中药复方化学成分及代谢物等分析。</w:t>
            </w:r>
            <w:bookmarkStart w:id="0" w:name="_GoBack"/>
            <w:bookmarkEnd w:id="0"/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1.工作条件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1.1电源：2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0V±10%，AC(交流)，50/60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Hz；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1.2环境温度：18-27℃；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1.3相对湿度：≤80%；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2. 质谱部分技术性能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2.1 离子源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2.1.1 独立可加热电喷雾离子源、大气压化学电离源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和纳喷离子源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2.1.2可加热ESI源，离子源加热温度最高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≥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550℃，不分流的情况下采用纯水作为溶剂，流速为1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sym w:font="Symbol" w:char="F06D"/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L-1,000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sym w:font="Symbol" w:char="F06D"/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L/min；APCI流速为50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sym w:font="Symbol" w:char="F06D"/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L-1,000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sym w:font="Symbol" w:char="F06D"/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L/min；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2.2 离子传输系统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2.2.1 离子传输系统配有离子传输管设计，保护分子涡轮泵，减少真空负担；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2.2.2 具有真空隔断阀设计，在移去、清洗离子传输部件时，不需破坏真空, 待机时不需要消耗氮气；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2.3 质量分析器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2.3.1质量分析器采用四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极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杆与静电场轨道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阱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或者飞行时间分析器等串联的组合，最大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m/z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≥6000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m/z；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★2.3.2仪器最大分辨率：≥200,000 FWHM ( m/z≤200)；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2.3.3双曲面四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极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杆，分辨率可到≤0.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4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Da；可选择隔离窗口宽度0.4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Da-1200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Da，MS/MS母离子选择质量范围40-2500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m/z；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谱内动态范围：&gt;5,000；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2.3.5 质谱采集速率：≥40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Hz；分辨率≥60000 FWHM时，采集图谱不少于3张/秒；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highlight w:val="yellow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★2.3.6 正负离子切换速度：分辨率60,000 FWHM条件下，全扫描模式正负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lastRenderedPageBreak/>
              <w:t>切换时间＜700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ms，等效扫描速度＞1.4 HZ；tSIM模式下正负切换时间＜600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ms，等效扫描速度＞1.6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HZ；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2.3.7 质量轴稳定性：设备校正后连续24小时内质量轴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稳定且不需校正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，重复进样100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fg利血平，609质量精确度≤3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ppm；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★2.3.8 灵敏度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2.3.8.1 MS/MS灵敏度：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Full scan模式下检出限利血平上柱量＜2 fg；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2.3.8.2 MS/MS模式下检出限利血平上柱量＜2 fg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2.3.8.3 SIM模式下仪器检出限利血平上柱量＜1 fg；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2.3.9 质量准确度：外标法≤3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ppm RMS；内标法≤1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ppm RMS； 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2.3.10 扫描模式  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2.3.10.1高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分辨全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扫描MS和MS/MS；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2.3.10.2高分辨选择离子扫描；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2.3.10.3高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分辨全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子离子碰撞碎裂扫描；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2.3.10.4高分辨正负离子切换扫描；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2.3.10.5高分辨数据依赖子离子扫描；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2.3.10.6高分辨数据非依赖扫描；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2.3.10.7高分辨平行反应监测子离子扫描；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  <w:highlight w:val="yellow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★2.3.11检测器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：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无损检测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（质谱如果采用微通道板或电子倍增器等消耗型检测器，请额外提供相应备用检测器至少5个）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； 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3. 液相部分技术性能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3.1</w:t>
            </w:r>
            <w:proofErr w:type="gramStart"/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纳流泵</w:t>
            </w:r>
            <w:proofErr w:type="gramEnd"/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3.1.1 泵型：高压二元梯度泵；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  <w:highlight w:val="yellow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★3.1.2 最大压力：≥14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MPa；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★3.1.3 可设定流速范围：1 nL/min–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100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µL/min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，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1 nL增量；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3.1.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泵溶剂通道：2个（每个泵一个）； 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3.1.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泵对系统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梯度的延迟体积：≤25 nL；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3.1.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生物兼容性：兼容；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3.2 二元高压梯度泵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3.2.1 二元高压梯度混合；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lastRenderedPageBreak/>
              <w:t>3.2.2压力范围：≥15.000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psi；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3.2.3压力波动：&lt;1%；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3.2.4流速范围：0.001~ 7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mL/min，步进0.001 mL/min；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★3.2.5流量准确度±0.1%；精度&lt;0.05% RSD；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3.2.6 溶剂脱气：内置式，6通道；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 xml:space="preserve">3.3自动进样器 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3.3.1进样体积范围：0.01–25 μL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3.3.2自动进样器控温：4–40℃；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3.3.3样品盘温度稳定性：±1℃；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★3.3.4 样品盘和容量：1.5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ml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样品瓶可放置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最大样品位数≥200位；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3.4</w:t>
            </w:r>
            <w:proofErr w:type="gramStart"/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纳流柱温</w:t>
            </w:r>
            <w:proofErr w:type="gramEnd"/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箱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3.4.1 温控范围：最低:室温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下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≤5℃；最高:≥60℃；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3.4.2 温度精度：±0.1 K；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3.4.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 温度准确度：±0.5 K （在50℃设定点）；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3.5</w:t>
            </w:r>
            <w:proofErr w:type="gramStart"/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微流柱温</w:t>
            </w:r>
            <w:proofErr w:type="gramEnd"/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 xml:space="preserve">箱 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控温范围：5-1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0℃，增量为0.1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μ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L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温度精确度：±0.1℃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温度准确度：±0.5℃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3.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4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温控稳定性：±0.1℃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4.数据处理系统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品牌主流电脑工作站（质谱分析软件、Windows与Office软件）一台，提供LC和MS/MS的全自动控制；Windows 10英文操作系统（64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>bit），软件能够满足当今分析检测实验室需求，提供能够实现最优化痕量分析的全套系统解决方案。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5. 配置基本要求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5.1 高分辨质谱主机1套；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5.2 电喷雾离子源、大气压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化学源各1套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5.3 蛋白样品离子化装置1套；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5.4 超高效液相色谱仪、纳升液相色谱仪各1套，与质谱同一品牌；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lastRenderedPageBreak/>
              <w:t>5.5 软件及数据处理配置要求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5.5.1 仪器控制和数据采集软件及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数据处理服务器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各1套；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5.5.2 小分子组学（含脂质分析）分析软件及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数据处理服务器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各1套；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5.5.3 大分子组学分析软件及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数据处理服务器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各1套；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5.6 备品备件及常用耗材：蛋白色谱柱2根、常规色谱柱3根、调谐液1套、样品瓶1000只、泵油2瓶；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5.7 配套辅助设备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5.7.1 不间断电源1套（≥10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KVA）；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5.7.2 氮气发生器1套（≥30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L/min）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5.7.3 高纯碰撞气体1套包含（气、瓶、阀）；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5.7.4 隔离变压器（≥10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K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VA）1套；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5.7.5 简易实验室安装条件准备；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</w:rPr>
              <w:t>二、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  <w:t>前处理系统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.1实验型冷冻干燥机：用于实验室生物样品，生物制剂的冷冻干燥保存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.1.1彩色触摸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屏操作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面板≥5.7英寸，清楚显示主要过程参数，如冷阱温度、冻干时间、分段时间和腔体真空度；将冻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干过程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分为预冻，预热泵，主干燥，二次干燥，待机等几个阶段，并能实现连续阶段的自动跳转；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.1.2操作及监视界面信息应包括但不限于：设备工艺流程图、阀门及设备的开启和关闭、各部件的运行状态、报警和警告；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.1.3设备控制器应能够定时提醒泵油更换和维护保养，并且能够记录报错故障，同时显示冻干机各部件实际运行总时间，以便于维修故障判断；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.1.4设备控制器应内置性能测试和泄露率测试程序，用于定期检查设备性能状态；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.1.5设备控制器具备三级密码保护，每个级别具备不同的权限，负责不同的事宜；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.1.6真空度显示范围0.001-1000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M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bar，显示精度为0.001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M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bar，真空传感器为派纳尼真空传感器；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.1.7内置冰水饱和蒸汽压曲线，实现真空度和温度偶联显示；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.1.8冷阱最大凝冰量≥4 kg，冷阱容积≥6.5 L；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lastRenderedPageBreak/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.1.9冷阱凝冰效率：≥3 kg/24 h；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.1.10冷阱温度：≤-85 ℃；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.1.11制冷功率：≥2 x 0.51 kW；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.1.12冷阱大开口设计，直径≥300 mm，便于水蒸汽的快速输送；</w:t>
            </w:r>
            <w:r>
              <w:rPr>
                <w:rFonts w:ascii="宋体" w:eastAsia="宋体" w:hAnsi="宋体" w:cs="Times New Roman"/>
                <w:b/>
                <w:color w:val="000000"/>
                <w:sz w:val="24"/>
              </w:rPr>
              <w:t>（提供冷阱尺寸照片供核对）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.1.13冷阱和冷凝盘管均由316 L不锈钢制成，防腐蚀抗变形，电解抛光处理，易于清洗，冷凝盘管暴露于冷阱内，具有冷阱预冻功能；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.1.14冷阱应具备自动热气除霜功能，可设置除霜时间，缩短冻干批次时间间隔；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.1.15配备真空电磁阀，实现真空度的自动控制；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.16操作语言设置≥10种，其中包括中文选项；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.2单细胞悬液仪温控型 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.2.1温度可调：22℃-56℃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.2.2高通量处理样品：同时处理4个2ML/2个5ML离心管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.2.3操作简单：制备流程全自动，仅需30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min即可获得大量单细胞悬液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.2.4高细胞活性：细胞活性可达85%以上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.2.5重复性稳定：相同制备程序获得相同近似效果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.2.6程序可储存：6组自定义制备程序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.2.7低噪音：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≤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55db，使用无刷电机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.2.8无易损件设计，电磁锁定保护，全铝合金cnc内腔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.2.9样本量：5mg-1000mg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.2.10操作时间：10分钟左右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.2.11速度：0-4000转/分钟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.2.12工作时间：20-300min，用户可自行设定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.2.13组织高利用率、单细胞化过程高效、单细胞高产出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.2.14针对临床穿刺样本，使组织的利用率达到100%，细胞产量可达10万个以上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.2.15针对原细胞培养样本，在15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min内完成组织到单细胞过程，降低细胞逆境时间，提高细胞存活率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lastRenderedPageBreak/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.2.16针对组织单细胞测序，快速完成单细胞化处理，获得高产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且活率在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85%以上的单细胞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.3真空离心浓缩仪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.3.1全自动真空控制系统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.3.2最大转速：100-2000r/min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.3.3转子：132*1.5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ml/132*2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ml/72*5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ml/12*10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ml/12*15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ml/6*50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ml/8*50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ml等多种转子可选择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（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可定制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）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.3.4极限真空值：≤0.3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M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bar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.3.5定时范围：0-99h59min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.3.6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具备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离心成像功能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.3.7温控范围：-10℃~100℃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.3.8供电电源：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交流电压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220V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 xml:space="preserve">50/60Hz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10A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.3.9噪音值：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≤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65dB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.3.10真空泵：（变频隔膜/双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级旋片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可选）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.3.11冷阱：可选（-50℃ -65℃ -70℃）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</w:rPr>
              <w:t>三、其他要求</w:t>
            </w:r>
          </w:p>
          <w:p w:rsidR="008953A7" w:rsidRDefault="008953A7" w:rsidP="00891828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仪器到货后，接用户安装申请（回执单）后，确认用户场地符合安装要求，5～10个工作日，厂家派遣专职液质工程师上门安装、调试，并在现场为用户提供上机操作培训，时间不低于一周；</w:t>
            </w:r>
          </w:p>
          <w:p w:rsidR="008953A7" w:rsidRPr="00BF525D" w:rsidRDefault="008953A7" w:rsidP="00891828">
            <w:pPr>
              <w:spacing w:line="360" w:lineRule="auto"/>
              <w:rPr>
                <w:rFonts w:ascii="宋体" w:eastAsia="宋体" w:hAnsi="宋体" w:cs="Times New Roman" w:hint="eastAsia"/>
                <w:color w:val="000000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.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Times New Roman"/>
                <w:color w:val="000000"/>
                <w:sz w:val="24"/>
              </w:rPr>
              <w:t>在安装半年内或应用</w:t>
            </w:r>
            <w:proofErr w:type="gramStart"/>
            <w:r>
              <w:rPr>
                <w:rFonts w:ascii="宋体" w:eastAsia="宋体" w:hAnsi="宋体" w:cs="Times New Roman"/>
                <w:color w:val="000000"/>
                <w:sz w:val="24"/>
              </w:rPr>
              <w:t>户时间</w:t>
            </w:r>
            <w:proofErr w:type="gramEnd"/>
            <w:r>
              <w:rPr>
                <w:rFonts w:ascii="宋体" w:eastAsia="宋体" w:hAnsi="宋体" w:cs="Times New Roman"/>
                <w:color w:val="000000"/>
                <w:sz w:val="24"/>
              </w:rPr>
              <w:t>要求，派遣专职蛋白组学领域应用工程师，上门进行应用培训，包括相关操作、方法开发、数据分析软件使用等。</w:t>
            </w:r>
          </w:p>
        </w:tc>
      </w:tr>
    </w:tbl>
    <w:p w:rsidR="00FC0B74" w:rsidRPr="008953A7" w:rsidRDefault="00FC0B74"/>
    <w:sectPr w:rsidR="00FC0B74" w:rsidRPr="0089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CC" w:rsidRDefault="005339CC" w:rsidP="008953A7">
      <w:r>
        <w:separator/>
      </w:r>
    </w:p>
  </w:endnote>
  <w:endnote w:type="continuationSeparator" w:id="0">
    <w:p w:rsidR="005339CC" w:rsidRDefault="005339CC" w:rsidP="0089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仿宋_GB2312">
    <w:altName w:val="@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CC" w:rsidRDefault="005339CC" w:rsidP="008953A7">
      <w:r>
        <w:separator/>
      </w:r>
    </w:p>
  </w:footnote>
  <w:footnote w:type="continuationSeparator" w:id="0">
    <w:p w:rsidR="005339CC" w:rsidRDefault="005339CC" w:rsidP="0089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2D"/>
    <w:rsid w:val="005339CC"/>
    <w:rsid w:val="00742A2D"/>
    <w:rsid w:val="008953A7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8953A7"/>
    <w:pPr>
      <w:widowControl w:val="0"/>
      <w:jc w:val="both"/>
    </w:pPr>
    <w:rPr>
      <w:rFonts w:ascii="@仿宋_GB2312" w:eastAsia="@仿宋_GB2312" w:hAnsi="@仿宋_GB2312" w:cs="@仿宋_GB2312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5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3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3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3A7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8953A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8953A7"/>
    <w:pPr>
      <w:widowControl w:val="0"/>
      <w:jc w:val="both"/>
    </w:pPr>
    <w:rPr>
      <w:rFonts w:ascii="@仿宋_GB2312" w:eastAsia="@仿宋_GB2312" w:hAnsi="@仿宋_GB2312" w:cs="@仿宋_GB2312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5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3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3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3A7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8953A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605</Words>
  <Characters>3449</Characters>
  <Application>Microsoft Office Word</Application>
  <DocSecurity>0</DocSecurity>
  <Lines>28</Lines>
  <Paragraphs>8</Paragraphs>
  <ScaleCrop>false</ScaleCrop>
  <Company>China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</dc:creator>
  <cp:keywords/>
  <dc:description/>
  <cp:lastModifiedBy>陈</cp:lastModifiedBy>
  <cp:revision>2</cp:revision>
  <dcterms:created xsi:type="dcterms:W3CDTF">2025-10-27T03:16:00Z</dcterms:created>
  <dcterms:modified xsi:type="dcterms:W3CDTF">2025-10-27T03:18:00Z</dcterms:modified>
</cp:coreProperties>
</file>