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CB216">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p>
    <w:p w14:paraId="084EADB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51EFBDB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007470A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38A729E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（202</w:t>
      </w:r>
      <w:r>
        <w:rPr>
          <w:rFonts w:hint="eastAsia" w:ascii="宋体" w:hAnsi="宋体" w:eastAsia="宋体"/>
          <w:b/>
          <w:bCs/>
          <w:color w:val="auto"/>
          <w:sz w:val="52"/>
          <w:szCs w:val="52"/>
          <w:highlight w:val="none"/>
          <w:lang w:val="en-US" w:eastAsia="zh-CN"/>
        </w:rPr>
        <w:t>6</w:t>
      </w:r>
      <w:r>
        <w:rPr>
          <w:rFonts w:hint="eastAsia" w:ascii="宋体" w:hAnsi="宋体" w:eastAsia="宋体"/>
          <w:b/>
          <w:bCs/>
          <w:color w:val="auto"/>
          <w:sz w:val="52"/>
          <w:szCs w:val="52"/>
          <w:highlight w:val="none"/>
        </w:rPr>
        <w:t>年版）</w:t>
      </w:r>
    </w:p>
    <w:p w14:paraId="693F53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6F692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22CEE9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68EBE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AAA235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191982">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 xml:space="preserve"> </w:t>
      </w:r>
      <w:r>
        <w:rPr>
          <w:rFonts w:hint="eastAsia" w:ascii="宋体" w:hAnsi="宋体" w:eastAsia="宋体"/>
          <w:b/>
          <w:color w:val="auto"/>
          <w:spacing w:val="20"/>
          <w:kern w:val="0"/>
          <w:sz w:val="32"/>
          <w:szCs w:val="32"/>
          <w:highlight w:val="none"/>
          <w:u w:val="single"/>
          <w:lang w:eastAsia="zh-CN"/>
        </w:rPr>
        <w:t>浙江大学医学院附属第二医院安徽医院（肿瘤）项目消化内镜洗消工作站及追溯系统采购项目</w:t>
      </w:r>
      <w:r>
        <w:rPr>
          <w:rFonts w:hint="eastAsia" w:ascii="宋体" w:hAnsi="宋体" w:eastAsia="宋体"/>
          <w:b/>
          <w:color w:val="auto"/>
          <w:spacing w:val="20"/>
          <w:kern w:val="0"/>
          <w:sz w:val="32"/>
          <w:szCs w:val="32"/>
          <w:highlight w:val="none"/>
          <w:u w:val="single"/>
        </w:rPr>
        <w:t xml:space="preserve"> </w:t>
      </w:r>
    </w:p>
    <w:p w14:paraId="5C37B067">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FSSD34000120266052号001</w:t>
      </w:r>
    </w:p>
    <w:p w14:paraId="0BFD0A35">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 xml:space="preserve"> 蚌埠医科大学第一附属医院 </w:t>
      </w:r>
    </w:p>
    <w:p w14:paraId="1EFBC379">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 xml:space="preserve"> 安徽寰亚国际招标有限公司 </w:t>
      </w:r>
    </w:p>
    <w:p w14:paraId="06F1C47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F8A044C">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sectPr>
          <w:headerReference r:id="rId3" w:type="default"/>
          <w:footerReference r:id="rId4" w:type="default"/>
          <w:pgSz w:w="11906" w:h="16838"/>
          <w:pgMar w:top="794" w:right="737" w:bottom="794" w:left="737" w:header="851" w:footer="992" w:gutter="0"/>
          <w:pgNumType w:fmt="decimal"/>
          <w:cols w:space="0" w:num="1"/>
          <w:rtlGutter w:val="0"/>
          <w:docGrid w:type="lines" w:linePitch="312" w:charSpace="0"/>
        </w:sectPr>
      </w:pPr>
      <w:r>
        <w:rPr>
          <w:rFonts w:hint="eastAsia" w:ascii="宋体" w:hAnsi="宋体" w:eastAsia="宋体"/>
          <w:b/>
          <w:color w:val="auto"/>
          <w:sz w:val="36"/>
          <w:highlight w:val="none"/>
          <w:u w:val="single"/>
        </w:rPr>
        <w:t xml:space="preserve"> 202</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7</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p>
    <w:p w14:paraId="31AD24D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8599301">
      <w:pPr>
        <w:pStyle w:val="17"/>
        <w:tabs>
          <w:tab w:val="right" w:leader="dot" w:pos="8306"/>
        </w:tabs>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asciiTheme="minorEastAsia" w:hAnsiTheme="minorEastAsia"/>
          <w:color w:val="auto"/>
          <w:sz w:val="24"/>
          <w:szCs w:val="24"/>
          <w:highlight w:val="none"/>
        </w:rPr>
        <w:t xml:space="preserve">第一章 </w:t>
      </w:r>
      <w:r>
        <w:rPr>
          <w:rFonts w:asciiTheme="minorEastAsia" w:hAnsi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_Toc23443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3380BA1B">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asciiTheme="minorEastAsia" w:hAnsiTheme="minorEastAsia"/>
          <w:color w:val="auto"/>
          <w:sz w:val="24"/>
          <w:szCs w:val="24"/>
          <w:highlight w:val="none"/>
        </w:rPr>
        <w:t>第二章</w:t>
      </w:r>
      <w:r>
        <w:rPr>
          <w:rFonts w:asciiTheme="minorEastAsia" w:hAnsiTheme="minorEastAsia"/>
          <w:color w:val="auto"/>
          <w:sz w:val="24"/>
          <w:szCs w:val="24"/>
          <w:highlight w:val="none"/>
        </w:rPr>
        <w:t xml:space="preserve"> </w:t>
      </w:r>
      <w:r>
        <w:rPr>
          <w:rFonts w:hint="eastAsia" w:asciiTheme="minorEastAsia" w:hAnsiTheme="minorEastAsia"/>
          <w:color w:val="auto"/>
          <w:sz w:val="24"/>
          <w:szCs w:val="24"/>
          <w:highlight w:val="none"/>
        </w:rPr>
        <w:t xml:space="preserve"> </w:t>
      </w:r>
      <w:r>
        <w:rPr>
          <w:rFonts w:asciiTheme="minorEastAsia" w:hAnsi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_Toc31935 \h </w:instrText>
      </w:r>
      <w:r>
        <w:rPr>
          <w:color w:val="auto"/>
          <w:sz w:val="24"/>
          <w:szCs w:val="24"/>
          <w:highlight w:val="none"/>
        </w:rPr>
        <w:fldChar w:fldCharType="separate"/>
      </w:r>
      <w:r>
        <w:rPr>
          <w:color w:val="auto"/>
          <w:sz w:val="24"/>
          <w:szCs w:val="24"/>
          <w:highlight w:val="none"/>
        </w:rPr>
        <w:t>4</w:t>
      </w:r>
      <w:r>
        <w:rPr>
          <w:color w:val="auto"/>
          <w:sz w:val="24"/>
          <w:szCs w:val="24"/>
          <w:highlight w:val="none"/>
        </w:rPr>
        <w:fldChar w:fldCharType="end"/>
      </w:r>
      <w:r>
        <w:rPr>
          <w:color w:val="auto"/>
          <w:sz w:val="24"/>
          <w:szCs w:val="24"/>
          <w:highlight w:val="none"/>
        </w:rPr>
        <w:fldChar w:fldCharType="end"/>
      </w:r>
    </w:p>
    <w:p w14:paraId="38A23A64">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asciiTheme="minorEastAsia" w:hAnsi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_Toc10891 \h </w:instrText>
      </w:r>
      <w:r>
        <w:rPr>
          <w:color w:val="auto"/>
          <w:sz w:val="24"/>
          <w:szCs w:val="24"/>
          <w:highlight w:val="none"/>
        </w:rPr>
        <w:fldChar w:fldCharType="separate"/>
      </w:r>
      <w:r>
        <w:rPr>
          <w:color w:val="auto"/>
          <w:sz w:val="24"/>
          <w:szCs w:val="24"/>
          <w:highlight w:val="none"/>
        </w:rPr>
        <w:t>22</w:t>
      </w:r>
      <w:r>
        <w:rPr>
          <w:color w:val="auto"/>
          <w:sz w:val="24"/>
          <w:szCs w:val="24"/>
          <w:highlight w:val="none"/>
        </w:rPr>
        <w:fldChar w:fldCharType="end"/>
      </w:r>
      <w:r>
        <w:rPr>
          <w:color w:val="auto"/>
          <w:sz w:val="24"/>
          <w:szCs w:val="24"/>
          <w:highlight w:val="none"/>
        </w:rPr>
        <w:fldChar w:fldCharType="end"/>
      </w:r>
    </w:p>
    <w:p w14:paraId="68AD8A0F">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Theme="minorEastAsia" w:hAnsiTheme="minorEastAsia"/>
          <w:color w:val="auto"/>
          <w:sz w:val="24"/>
          <w:szCs w:val="24"/>
          <w:highlight w:val="none"/>
        </w:rPr>
        <w:t>第四章  评标方法和标准（综合评分法）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_Toc16417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color w:val="auto"/>
          <w:sz w:val="24"/>
          <w:szCs w:val="24"/>
          <w:highlight w:val="none"/>
        </w:rPr>
        <w:fldChar w:fldCharType="end"/>
      </w:r>
    </w:p>
    <w:p w14:paraId="0DCEE569">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asciiTheme="minorEastAsia" w:hAnsiTheme="minorEastAsia"/>
          <w:color w:val="auto"/>
          <w:sz w:val="24"/>
          <w:szCs w:val="24"/>
          <w:highlight w:val="none"/>
        </w:rPr>
        <w:t xml:space="preserve">第五章  </w:t>
      </w:r>
      <w:r>
        <w:rPr>
          <w:rFonts w:asciiTheme="minorEastAsia" w:hAnsiTheme="minorEastAsia"/>
          <w:color w:val="auto"/>
          <w:sz w:val="24"/>
          <w:szCs w:val="24"/>
          <w:highlight w:val="none"/>
        </w:rPr>
        <w:t>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_Toc4682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color w:val="auto"/>
          <w:sz w:val="24"/>
          <w:szCs w:val="24"/>
          <w:highlight w:val="none"/>
        </w:rPr>
        <w:fldChar w:fldCharType="end"/>
      </w:r>
    </w:p>
    <w:p w14:paraId="700BFE1A">
      <w:pPr>
        <w:pStyle w:val="17"/>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asciiTheme="minorEastAsia" w:hAnsi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_Toc22492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color w:val="auto"/>
          <w:sz w:val="24"/>
          <w:szCs w:val="24"/>
          <w:highlight w:val="none"/>
        </w:rPr>
        <w:fldChar w:fldCharType="end"/>
      </w:r>
    </w:p>
    <w:p w14:paraId="22E7DC3D">
      <w:pPr>
        <w:pStyle w:val="17"/>
        <w:tabs>
          <w:tab w:val="right" w:leader="dot" w:pos="8306"/>
        </w:tabs>
        <w:rPr>
          <w:color w:val="auto"/>
          <w:highlight w:val="none"/>
        </w:rPr>
      </w:pPr>
      <w:r>
        <w:rPr>
          <w:color w:val="auto"/>
          <w:highlight w:val="none"/>
        </w:rPr>
        <w:fldChar w:fldCharType="begin"/>
      </w:r>
      <w:r>
        <w:rPr>
          <w:color w:val="auto"/>
          <w:highlight w:val="none"/>
        </w:rPr>
        <w:instrText xml:space="preserve"> HYPERLINK \l "_Toc18131" </w:instrText>
      </w:r>
      <w:r>
        <w:rPr>
          <w:color w:val="auto"/>
          <w:highlight w:val="none"/>
        </w:rPr>
        <w:fldChar w:fldCharType="separate"/>
      </w:r>
      <w:r>
        <w:rPr>
          <w:rFonts w:hint="eastAsia" w:asciiTheme="minorEastAsia" w:hAnsi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_Toc18131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color w:val="auto"/>
          <w:sz w:val="24"/>
          <w:szCs w:val="24"/>
          <w:highlight w:val="none"/>
        </w:rPr>
        <w:fldChar w:fldCharType="end"/>
      </w:r>
    </w:p>
    <w:p w14:paraId="7B84140B">
      <w:pPr>
        <w:spacing w:line="360" w:lineRule="auto"/>
        <w:rPr>
          <w:color w:val="auto"/>
          <w:highlight w:val="none"/>
        </w:rPr>
        <w:sectPr>
          <w:footerReference r:id="rId5" w:type="default"/>
          <w:pgSz w:w="11906" w:h="16838"/>
          <w:pgMar w:top="794" w:right="737" w:bottom="794" w:left="737" w:header="851" w:footer="992" w:gutter="0"/>
          <w:pgNumType w:fmt="decimal" w:start="1"/>
          <w:cols w:space="0" w:num="1"/>
          <w:rtlGutter w:val="0"/>
          <w:docGrid w:type="lines" w:linePitch="312" w:charSpace="0"/>
        </w:sectPr>
      </w:pPr>
      <w:r>
        <w:rPr>
          <w:rFonts w:asciiTheme="minorEastAsia" w:hAnsiTheme="minorEastAsia" w:eastAsiaTheme="minorEastAsia"/>
          <w:color w:val="auto"/>
          <w:szCs w:val="24"/>
          <w:highlight w:val="none"/>
        </w:rPr>
        <w:fldChar w:fldCharType="end"/>
      </w:r>
    </w:p>
    <w:p w14:paraId="4D061AB8">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29A0DA02">
      <w:pPr>
        <w:spacing w:line="360" w:lineRule="auto"/>
        <w:ind w:firstLine="437"/>
        <w:outlineLvl w:val="1"/>
        <w:rPr>
          <w:rFonts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65A3B9AD">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1.项目编号：FSSD34000120266052号001</w:t>
      </w:r>
      <w:bookmarkStart w:id="92" w:name="_GoBack"/>
      <w:bookmarkEnd w:id="92"/>
    </w:p>
    <w:p w14:paraId="45E3E645">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lang w:eastAsia="zh-CN"/>
        </w:rPr>
        <w:t>浙江大学医学院附属第二医院安徽医院（肿瘤）项目消化内镜洗消工作站及追溯系统采购项目</w:t>
      </w:r>
    </w:p>
    <w:p w14:paraId="7399CB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lang w:val="en-US" w:eastAsia="zh-CN"/>
        </w:rPr>
        <w:t>192万元</w:t>
      </w:r>
      <w:r>
        <w:rPr>
          <w:rFonts w:hint="eastAsia" w:ascii="宋体" w:hAnsi="宋体" w:eastAsia="宋体"/>
          <w:color w:val="auto"/>
          <w:sz w:val="24"/>
          <w:szCs w:val="18"/>
          <w:highlight w:val="none"/>
        </w:rPr>
        <w:t>；</w:t>
      </w:r>
    </w:p>
    <w:p w14:paraId="1562C1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lang w:val="en-US" w:eastAsia="zh-CN"/>
        </w:rPr>
        <w:t>145万元</w:t>
      </w:r>
      <w:r>
        <w:rPr>
          <w:rFonts w:hint="eastAsia" w:ascii="宋体" w:hAnsi="宋体" w:eastAsia="宋体"/>
          <w:color w:val="auto"/>
          <w:sz w:val="24"/>
          <w:szCs w:val="18"/>
          <w:highlight w:val="none"/>
        </w:rPr>
        <w:t>；</w:t>
      </w:r>
    </w:p>
    <w:p w14:paraId="6B2B24B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Theme="minorEastAsia" w:hAnsiTheme="minorEastAsia" w:eastAsiaTheme="minorEastAsia"/>
          <w:color w:val="auto"/>
          <w:sz w:val="24"/>
          <w:highlight w:val="none"/>
          <w:lang w:val="en-US" w:eastAsia="zh-CN"/>
        </w:rPr>
        <w:t>采购1套消化内镜洗消工作站、1套内镜追溯系统及4套内镜储存柜</w:t>
      </w:r>
      <w:r>
        <w:rPr>
          <w:rFonts w:hint="eastAsia" w:asciiTheme="minorEastAsia" w:hAnsiTheme="minorEastAsia" w:eastAsiaTheme="minorEastAsia"/>
          <w:color w:val="auto"/>
          <w:sz w:val="24"/>
          <w:highlight w:val="none"/>
        </w:rPr>
        <w:t>，详见招标文件采购需求。</w:t>
      </w:r>
    </w:p>
    <w:p w14:paraId="7A388381">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6.合同履行期限：合同签订后，自接到采购人通知之日起30个日历天内完成供货及安装。</w:t>
      </w:r>
    </w:p>
    <w:p w14:paraId="5B99D6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7.本项目不接受联合体投标。</w:t>
      </w:r>
    </w:p>
    <w:p w14:paraId="4A353FFF">
      <w:pPr>
        <w:spacing w:line="360" w:lineRule="auto"/>
        <w:ind w:firstLine="437"/>
        <w:outlineLvl w:val="1"/>
        <w:rPr>
          <w:rFonts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342FB3CD">
      <w:pPr>
        <w:spacing w:line="360" w:lineRule="auto"/>
        <w:ind w:firstLine="435"/>
        <w:rPr>
          <w:rFonts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1.满足《中华人民共和国政府采购法》第二十二条规定；</w:t>
      </w:r>
    </w:p>
    <w:p w14:paraId="78D454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29C0DF3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本项目为非专门面向中小企业采购项目，符合财政部、工业和信息化部制定的《政府采购促进中小企业发展管理办法》第六条第三款规定:按照本办法规定预留采购份额无法确保充分供应、充分竞争，或者存在可能影响政府采购目标实现的情形。如对此项内容有疑问，可通过采购文件约定的方式进行质疑。</w:t>
      </w:r>
    </w:p>
    <w:p w14:paraId="7475DD08">
      <w:pPr>
        <w:spacing w:line="360" w:lineRule="auto"/>
        <w:ind w:firstLine="435"/>
        <w:rPr>
          <w:color w:val="auto"/>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其它落实政府采购政策的资格要求：无。</w:t>
      </w:r>
    </w:p>
    <w:p w14:paraId="4A1414CE">
      <w:pPr>
        <w:spacing w:line="360" w:lineRule="auto"/>
        <w:ind w:firstLine="480" w:firstLineChars="200"/>
        <w:rPr>
          <w:color w:val="auto"/>
          <w:highlight w:val="none"/>
        </w:rPr>
      </w:pPr>
      <w:r>
        <w:rPr>
          <w:rFonts w:hint="eastAsia" w:asciiTheme="minorEastAsia" w:hAnsiTheme="minorEastAsia" w:eastAsiaTheme="minorEastAsia"/>
          <w:color w:val="auto"/>
          <w:sz w:val="24"/>
          <w:highlight w:val="none"/>
        </w:rPr>
        <w:t>3.本项目的特定资格要求：具有医疗器械生产或医疗器械经营资格。</w:t>
      </w:r>
    </w:p>
    <w:p w14:paraId="0331CF46">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42AADCF4">
      <w:pPr>
        <w:spacing w:line="360" w:lineRule="auto"/>
        <w:ind w:firstLine="540"/>
        <w:rPr>
          <w:rFonts w:asciiTheme="minorEastAsia" w:hAnsiTheme="minorEastAsia" w:eastAsiaTheme="minorEastAsia" w:cstheme="minorEastAsia"/>
          <w:i/>
          <w:iCs/>
          <w:color w:val="auto"/>
          <w:sz w:val="24"/>
          <w:szCs w:val="24"/>
          <w:highlight w:val="none"/>
        </w:rPr>
      </w:pPr>
      <w:bookmarkStart w:id="8" w:name="_Toc7957"/>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rPr>
        <w:t xml:space="preserve"> 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16</w:t>
      </w:r>
      <w:r>
        <w:rPr>
          <w:rFonts w:hint="eastAsia" w:asciiTheme="minorEastAsia" w:hAnsiTheme="minorEastAsia" w:eastAsiaTheme="minorEastAsia" w:cstheme="minorEastAsia"/>
          <w:color w:val="auto"/>
          <w:sz w:val="24"/>
          <w:szCs w:val="24"/>
          <w:highlight w:val="none"/>
        </w:rPr>
        <w:t>日，每天上午</w:t>
      </w:r>
      <w:r>
        <w:rPr>
          <w:rFonts w:hint="eastAsia" w:asciiTheme="minorEastAsia" w:hAnsiTheme="minorEastAsia" w:eastAsiaTheme="minorEastAsia" w:cstheme="minorEastAsia"/>
          <w:color w:val="auto"/>
          <w:sz w:val="24"/>
          <w:szCs w:val="24"/>
          <w:highlight w:val="none"/>
          <w:u w:val="single"/>
        </w:rPr>
        <w:t xml:space="preserve"> 00:00 </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12:00 </w:t>
      </w:r>
      <w:r>
        <w:rPr>
          <w:rFonts w:hint="eastAsia" w:asciiTheme="minorEastAsia" w:hAnsiTheme="minorEastAsia" w:eastAsiaTheme="minorEastAsia" w:cstheme="minorEastAsia"/>
          <w:color w:val="auto"/>
          <w:sz w:val="24"/>
          <w:szCs w:val="24"/>
          <w:highlight w:val="none"/>
        </w:rPr>
        <w:t>，下午</w:t>
      </w:r>
      <w:r>
        <w:rPr>
          <w:rFonts w:hint="eastAsia" w:asciiTheme="minorEastAsia" w:hAnsiTheme="minorEastAsia" w:eastAsiaTheme="minorEastAsia" w:cstheme="minorEastAsia"/>
          <w:color w:val="auto"/>
          <w:sz w:val="24"/>
          <w:szCs w:val="24"/>
          <w:highlight w:val="none"/>
          <w:u w:val="single"/>
        </w:rPr>
        <w:t xml:space="preserve"> 12:00 </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23:59 </w:t>
      </w:r>
    </w:p>
    <w:p w14:paraId="3D385CA8">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“徽采云”电子交易系统</w:t>
      </w:r>
      <w:r>
        <w:rPr>
          <w:rFonts w:ascii="宋体" w:hAnsi="宋体" w:eastAsia="宋体"/>
          <w:color w:val="auto"/>
          <w:sz w:val="24"/>
          <w:szCs w:val="18"/>
          <w:highlight w:val="none"/>
          <w:u w:val="single"/>
        </w:rPr>
        <w:t xml:space="preserve">  </w:t>
      </w:r>
    </w:p>
    <w:p w14:paraId="49538A0A">
      <w:pPr>
        <w:spacing w:line="360" w:lineRule="auto"/>
        <w:ind w:firstLine="54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宋体" w:hAnsi="宋体" w:eastAsia="宋体"/>
          <w:color w:val="auto"/>
          <w:sz w:val="24"/>
          <w:szCs w:val="18"/>
          <w:highlight w:val="none"/>
          <w:u w:val="single"/>
        </w:rPr>
        <w:t xml:space="preserve"> 供应商登录“徽采云”电子交易系统在线获取采购文件</w:t>
      </w:r>
      <w:r>
        <w:rPr>
          <w:rFonts w:ascii="宋体" w:hAnsi="宋体" w:eastAsia="宋体"/>
          <w:color w:val="auto"/>
          <w:sz w:val="24"/>
          <w:szCs w:val="18"/>
          <w:highlight w:val="none"/>
          <w:u w:val="single"/>
        </w:rPr>
        <w:t xml:space="preserve"> </w:t>
      </w:r>
    </w:p>
    <w:p w14:paraId="5EAAE882">
      <w:pPr>
        <w:spacing w:line="360" w:lineRule="auto"/>
        <w:ind w:firstLine="437"/>
        <w:outlineLvl w:val="1"/>
        <w:rPr>
          <w:rFonts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44362E47">
      <w:pPr>
        <w:spacing w:line="360" w:lineRule="auto"/>
        <w:ind w:firstLine="480" w:firstLineChars="200"/>
        <w:rPr>
          <w:rFonts w:asciiTheme="minorEastAsia" w:hAnsiTheme="minorEastAsia" w:eastAsiaTheme="minorEastAsia" w:cstheme="minorEastAsia"/>
          <w:bCs/>
          <w:color w:val="auto"/>
          <w:sz w:val="24"/>
          <w:szCs w:val="24"/>
          <w:highlight w:val="none"/>
        </w:rPr>
      </w:pPr>
      <w:bookmarkStart w:id="10" w:name="_Toc5082"/>
      <w:r>
        <w:rPr>
          <w:rFonts w:hint="eastAsia" w:asciiTheme="minorEastAsia" w:hAnsiTheme="minorEastAsia" w:eastAsiaTheme="minorEastAsia" w:cstheme="minorEastAsia"/>
          <w:bCs/>
          <w:color w:val="auto"/>
          <w:sz w:val="24"/>
          <w:szCs w:val="24"/>
          <w:highlight w:val="none"/>
          <w:u w:val="single"/>
        </w:rPr>
        <w:t xml:space="preserve"> 202</w:t>
      </w:r>
      <w:r>
        <w:rPr>
          <w:rFonts w:hint="eastAsia" w:asciiTheme="minorEastAsia" w:hAnsiTheme="minorEastAsia" w:eastAsiaTheme="minorEastAsia" w:cstheme="minorEastAsia"/>
          <w:bCs/>
          <w:color w:val="auto"/>
          <w:sz w:val="24"/>
          <w:szCs w:val="24"/>
          <w:highlight w:val="none"/>
          <w:u w:val="single"/>
          <w:lang w:val="en-US" w:eastAsia="zh-CN"/>
        </w:rPr>
        <w:t>6</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lang w:val="en-US" w:eastAsia="zh-CN"/>
        </w:rPr>
        <w:t>7</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lang w:val="en-US" w:eastAsia="zh-CN"/>
        </w:rPr>
        <w:t>30</w:t>
      </w:r>
      <w:r>
        <w:rPr>
          <w:rFonts w:hint="eastAsia" w:asciiTheme="minorEastAsia" w:hAnsiTheme="minorEastAsia" w:eastAsiaTheme="minorEastAsia" w:cstheme="minorEastAsia"/>
          <w:bCs/>
          <w:color w:val="auto"/>
          <w:sz w:val="24"/>
          <w:szCs w:val="24"/>
          <w:highlight w:val="none"/>
        </w:rPr>
        <w:t>日</w:t>
      </w:r>
      <w:r>
        <w:rPr>
          <w:rFonts w:hint="eastAsia" w:asciiTheme="minorEastAsia" w:hAnsiTheme="minorEastAsia" w:eastAsiaTheme="minorEastAsia" w:cstheme="minorEastAsia"/>
          <w:bCs/>
          <w:color w:val="auto"/>
          <w:sz w:val="24"/>
          <w:szCs w:val="24"/>
          <w:highlight w:val="none"/>
          <w:u w:val="single"/>
          <w:lang w:val="en-US" w:eastAsia="zh-CN"/>
        </w:rPr>
        <w:t>10</w:t>
      </w:r>
      <w:r>
        <w:rPr>
          <w:rFonts w:hint="eastAsia" w:asciiTheme="minorEastAsia" w:hAnsiTheme="minorEastAsia" w:eastAsiaTheme="minorEastAsia" w:cstheme="minorEastAsia"/>
          <w:bCs/>
          <w:color w:val="auto"/>
          <w:sz w:val="24"/>
          <w:szCs w:val="24"/>
          <w:highlight w:val="none"/>
        </w:rPr>
        <w:t>点</w:t>
      </w:r>
      <w:r>
        <w:rPr>
          <w:rFonts w:hint="eastAsia" w:asciiTheme="minorEastAsia" w:hAnsiTheme="minorEastAsia" w:eastAsiaTheme="minorEastAsia" w:cstheme="minorEastAsia"/>
          <w:bCs/>
          <w:color w:val="auto"/>
          <w:sz w:val="24"/>
          <w:szCs w:val="24"/>
          <w:highlight w:val="none"/>
          <w:u w:val="single"/>
        </w:rPr>
        <w:t xml:space="preserve"> 00 </w:t>
      </w:r>
      <w:r>
        <w:rPr>
          <w:rFonts w:hint="eastAsia" w:asciiTheme="minorEastAsia" w:hAnsiTheme="minorEastAsia" w:eastAsiaTheme="minorEastAsia" w:cstheme="minorEastAsia"/>
          <w:bCs/>
          <w:color w:val="auto"/>
          <w:sz w:val="24"/>
          <w:szCs w:val="24"/>
          <w:highlight w:val="none"/>
        </w:rPr>
        <w:t>分（北京时间）</w:t>
      </w:r>
    </w:p>
    <w:p w14:paraId="2B9A0F9F">
      <w:pPr>
        <w:spacing w:line="360" w:lineRule="auto"/>
        <w:ind w:firstLine="480" w:firstLineChars="20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 xml:space="preserve"> “徽采云”电子交易系统</w:t>
      </w:r>
      <w:r>
        <w:rPr>
          <w:rFonts w:ascii="宋体" w:hAnsi="宋体" w:eastAsia="宋体"/>
          <w:color w:val="auto"/>
          <w:sz w:val="24"/>
          <w:szCs w:val="18"/>
          <w:highlight w:val="none"/>
          <w:u w:val="single"/>
        </w:rPr>
        <w:t xml:space="preserve"> </w:t>
      </w:r>
    </w:p>
    <w:p w14:paraId="7AF1DB22">
      <w:pPr>
        <w:spacing w:line="360" w:lineRule="auto"/>
        <w:ind w:firstLine="437"/>
        <w:outlineLvl w:val="1"/>
        <w:rPr>
          <w:rFonts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5E5BF23D">
      <w:pPr>
        <w:spacing w:line="360" w:lineRule="auto"/>
        <w:ind w:firstLine="437"/>
        <w:rPr>
          <w:rFonts w:ascii="宋体" w:hAnsi="宋体" w:eastAsia="宋体"/>
          <w:color w:val="auto"/>
          <w:sz w:val="24"/>
          <w:szCs w:val="18"/>
          <w:highlight w:val="none"/>
        </w:rPr>
      </w:pPr>
      <w:bookmarkStart w:id="12" w:name="_Toc1215"/>
      <w:r>
        <w:rPr>
          <w:rFonts w:hint="eastAsia" w:ascii="宋体" w:hAnsi="宋体" w:eastAsia="宋体"/>
          <w:color w:val="auto"/>
          <w:sz w:val="24"/>
          <w:szCs w:val="18"/>
          <w:highlight w:val="none"/>
        </w:rPr>
        <w:t>自本公告发布之日起5个工作日。</w:t>
      </w:r>
    </w:p>
    <w:p w14:paraId="090661EE">
      <w:pPr>
        <w:spacing w:line="360" w:lineRule="auto"/>
        <w:ind w:firstLine="437"/>
        <w:outlineLvl w:val="1"/>
        <w:rPr>
          <w:rFonts w:ascii="宋体" w:hAnsi="宋体" w:eastAsia="宋体"/>
          <w:b/>
          <w:bCs/>
          <w:color w:val="auto"/>
          <w:sz w:val="24"/>
          <w:szCs w:val="18"/>
          <w:highlight w:val="none"/>
        </w:rPr>
      </w:pPr>
      <w:bookmarkStart w:id="13" w:name="_Toc8807"/>
      <w:bookmarkStart w:id="14" w:name="_Toc35393795"/>
      <w:bookmarkStart w:id="15" w:name="_Toc35393626"/>
      <w:r>
        <w:rPr>
          <w:rFonts w:hint="eastAsia" w:ascii="宋体" w:hAnsi="宋体" w:eastAsia="宋体"/>
          <w:b/>
          <w:bCs/>
          <w:color w:val="auto"/>
          <w:sz w:val="24"/>
          <w:szCs w:val="18"/>
          <w:highlight w:val="none"/>
        </w:rPr>
        <w:t>六、其他补充事宜</w:t>
      </w:r>
      <w:bookmarkEnd w:id="13"/>
      <w:bookmarkEnd w:id="14"/>
      <w:bookmarkEnd w:id="15"/>
    </w:p>
    <w:p w14:paraId="3272F88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olor w:val="auto"/>
          <w:sz w:val="24"/>
          <w:szCs w:val="18"/>
          <w:highlight w:val="none"/>
        </w:rPr>
        <w:t>1.项目采用全流程电子化采购方式，</w:t>
      </w:r>
      <w:r>
        <w:rPr>
          <w:rFonts w:hint="eastAsia" w:ascii="宋体" w:hAnsi="宋体" w:eastAsia="宋体" w:cs="宋体"/>
          <w:color w:val="auto"/>
          <w:sz w:val="24"/>
          <w:szCs w:val="24"/>
          <w:highlight w:val="none"/>
        </w:rPr>
        <w:t>相关操作说明详情参见“安徽省政府采购网-徽采学院-电子交易系统学习专题-供应商-操作手册”</w:t>
      </w:r>
      <w:r>
        <w:rPr>
          <w:rFonts w:hint="eastAsia" w:ascii="宋体" w:hAnsi="宋体" w:eastAsia="宋体" w:cs="宋体"/>
          <w:color w:val="auto"/>
          <w:sz w:val="24"/>
          <w:highlight w:val="none"/>
        </w:rPr>
        <w:t>；</w:t>
      </w:r>
    </w:p>
    <w:p w14:paraId="418915AE">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2.本项目落实节能环保、中小微型企业扶持等相关政府采购政策；</w:t>
      </w:r>
    </w:p>
    <w:p w14:paraId="44F9CC77">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3.本次招标公告在安徽省政府采购网上发布；</w:t>
      </w:r>
    </w:p>
    <w:p w14:paraId="2689A0E9">
      <w:pPr>
        <w:pStyle w:val="8"/>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-65320549-</w:t>
      </w:r>
      <w:r>
        <w:rPr>
          <w:rFonts w:hint="eastAsia" w:ascii="宋体" w:hAnsi="宋体" w:eastAsia="宋体" w:cs="宋体"/>
          <w:color w:val="auto"/>
          <w:sz w:val="24"/>
          <w:highlight w:val="none"/>
          <w:lang w:val="en-US" w:eastAsia="zh-CN"/>
        </w:rPr>
        <w:t>8019</w:t>
      </w:r>
      <w:r>
        <w:rPr>
          <w:rFonts w:hint="eastAsia" w:ascii="宋体" w:hAnsi="宋体" w:eastAsia="宋体" w:cs="宋体"/>
          <w:color w:val="auto"/>
          <w:sz w:val="24"/>
          <w:highlight w:val="none"/>
          <w:lang w:val="en-US"/>
        </w:rPr>
        <w:t>/</w:t>
      </w:r>
      <w:r>
        <w:rPr>
          <w:rFonts w:hint="eastAsia" w:ascii="宋体" w:hAnsi="宋体" w:eastAsia="宋体" w:cs="宋体"/>
          <w:color w:val="auto"/>
          <w:sz w:val="24"/>
          <w:highlight w:val="none"/>
          <w:lang w:val="en-US" w:eastAsia="zh-CN"/>
        </w:rPr>
        <w:t>13721057468</w:t>
      </w:r>
      <w:r>
        <w:rPr>
          <w:rFonts w:hint="eastAsia" w:ascii="宋体" w:hAnsi="宋体" w:eastAsia="宋体" w:cs="宋体"/>
          <w:color w:val="auto"/>
          <w:sz w:val="24"/>
          <w:highlight w:val="none"/>
          <w:lang w:val="en-US"/>
        </w:rPr>
        <w:t>。</w:t>
      </w:r>
    </w:p>
    <w:bookmarkEnd w:id="12"/>
    <w:p w14:paraId="5E090FC8">
      <w:pPr>
        <w:spacing w:line="360" w:lineRule="auto"/>
        <w:ind w:firstLine="437"/>
        <w:outlineLvl w:val="1"/>
        <w:rPr>
          <w:rFonts w:ascii="宋体" w:hAnsi="宋体" w:eastAsia="宋体"/>
          <w:b/>
          <w:bCs/>
          <w:color w:val="auto"/>
          <w:sz w:val="24"/>
          <w:szCs w:val="18"/>
          <w:highlight w:val="none"/>
        </w:rPr>
      </w:pPr>
      <w:bookmarkStart w:id="16" w:name="_Toc7265"/>
      <w:bookmarkStart w:id="17" w:name="_Toc3854"/>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4122DD05">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207C4AD9">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蚌埠医科大学第一附属医院</w:t>
      </w:r>
      <w:r>
        <w:rPr>
          <w:rFonts w:ascii="宋体" w:hAnsi="宋体" w:eastAsia="宋体"/>
          <w:color w:val="auto"/>
          <w:sz w:val="24"/>
          <w:szCs w:val="18"/>
          <w:highlight w:val="none"/>
          <w:u w:val="single"/>
        </w:rPr>
        <w:t xml:space="preserve"> </w:t>
      </w:r>
    </w:p>
    <w:p w14:paraId="69703542">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蚌埠市长淮路287号</w:t>
      </w:r>
      <w:r>
        <w:rPr>
          <w:rFonts w:ascii="宋体" w:hAnsi="宋体" w:eastAsia="宋体"/>
          <w:color w:val="auto"/>
          <w:sz w:val="24"/>
          <w:szCs w:val="18"/>
          <w:highlight w:val="none"/>
          <w:u w:val="single"/>
        </w:rPr>
        <w:t xml:space="preserve"> </w:t>
      </w:r>
    </w:p>
    <w:p w14:paraId="68DDC660">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刘老师 </w:t>
      </w:r>
    </w:p>
    <w:p w14:paraId="6FB7D72A">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0552-308695</w:t>
      </w:r>
      <w:r>
        <w:rPr>
          <w:rFonts w:hint="eastAsia" w:ascii="宋体" w:hAnsi="宋体" w:eastAsia="宋体"/>
          <w:color w:val="auto"/>
          <w:sz w:val="24"/>
          <w:szCs w:val="18"/>
          <w:highlight w:val="none"/>
          <w:u w:val="single"/>
          <w:lang w:val="en-US" w:eastAsia="zh-CN"/>
        </w:rPr>
        <w:t>7</w:t>
      </w:r>
      <w:r>
        <w:rPr>
          <w:rFonts w:ascii="宋体" w:hAnsi="宋体" w:eastAsia="宋体"/>
          <w:color w:val="auto"/>
          <w:sz w:val="24"/>
          <w:szCs w:val="18"/>
          <w:highlight w:val="none"/>
          <w:u w:val="single"/>
        </w:rPr>
        <w:t xml:space="preserve"> </w:t>
      </w:r>
    </w:p>
    <w:p w14:paraId="53373F0B">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52CA352F">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安徽寰亚国际招标有限公司</w:t>
      </w:r>
      <w:r>
        <w:rPr>
          <w:rFonts w:ascii="宋体" w:hAnsi="宋体" w:eastAsia="宋体"/>
          <w:color w:val="auto"/>
          <w:sz w:val="24"/>
          <w:szCs w:val="18"/>
          <w:highlight w:val="none"/>
          <w:u w:val="single"/>
        </w:rPr>
        <w:t xml:space="preserve"> </w:t>
      </w:r>
    </w:p>
    <w:p w14:paraId="1F33ABB8">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 xml:space="preserve"> 合肥市蜀山区湖光路与雪霁路交口蜀山跨境电商大厦B座20F</w:t>
      </w:r>
      <w:r>
        <w:rPr>
          <w:rFonts w:ascii="宋体" w:hAnsi="宋体" w:eastAsia="宋体"/>
          <w:color w:val="auto"/>
          <w:sz w:val="24"/>
          <w:szCs w:val="18"/>
          <w:highlight w:val="none"/>
          <w:u w:val="single"/>
        </w:rPr>
        <w:t xml:space="preserve"> </w:t>
      </w:r>
    </w:p>
    <w:p w14:paraId="06319EF5">
      <w:pPr>
        <w:spacing w:line="360" w:lineRule="auto"/>
        <w:ind w:firstLine="435"/>
        <w:rPr>
          <w:rFonts w:hint="eastAsia" w:eastAsia="宋体"/>
          <w:color w:val="auto"/>
          <w:highlight w:val="non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杨浩</w:t>
      </w:r>
      <w:r>
        <w:rPr>
          <w:rFonts w:hint="eastAsia" w:ascii="宋体" w:hAnsi="宋体" w:eastAsia="宋体"/>
          <w:color w:val="auto"/>
          <w:sz w:val="24"/>
          <w:szCs w:val="18"/>
          <w:highlight w:val="none"/>
          <w:u w:val="single"/>
        </w:rPr>
        <w:t>、胡贝、郏云飞</w:t>
      </w:r>
      <w:r>
        <w:rPr>
          <w:rFonts w:hint="eastAsia" w:ascii="宋体" w:hAnsi="宋体" w:eastAsia="宋体"/>
          <w:color w:val="auto"/>
          <w:sz w:val="24"/>
          <w:szCs w:val="18"/>
          <w:highlight w:val="none"/>
          <w:u w:val="single"/>
          <w:lang w:eastAsia="zh-CN"/>
        </w:rPr>
        <w:t>、赵绍军</w:t>
      </w:r>
    </w:p>
    <w:p w14:paraId="4753DBF9">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0551-65320549-</w:t>
      </w:r>
      <w:r>
        <w:rPr>
          <w:rFonts w:hint="eastAsia" w:ascii="宋体" w:hAnsi="宋体" w:eastAsia="宋体"/>
          <w:color w:val="auto"/>
          <w:sz w:val="24"/>
          <w:szCs w:val="18"/>
          <w:highlight w:val="none"/>
          <w:u w:val="single"/>
          <w:lang w:val="en-US" w:eastAsia="zh-CN"/>
        </w:rPr>
        <w:t>8019</w:t>
      </w:r>
      <w:r>
        <w:rPr>
          <w:rFonts w:hint="eastAsia" w:ascii="宋体" w:hAnsi="宋体" w:eastAsia="宋体"/>
          <w:color w:val="auto"/>
          <w:sz w:val="24"/>
          <w:szCs w:val="18"/>
          <w:highlight w:val="none"/>
          <w:u w:val="single"/>
        </w:rPr>
        <w:t>/</w:t>
      </w:r>
      <w:r>
        <w:rPr>
          <w:rFonts w:hint="eastAsia" w:ascii="宋体" w:hAnsi="宋体" w:eastAsia="宋体"/>
          <w:color w:val="auto"/>
          <w:sz w:val="24"/>
          <w:szCs w:val="18"/>
          <w:highlight w:val="none"/>
          <w:u w:val="single"/>
          <w:lang w:val="en-US" w:eastAsia="zh-CN"/>
        </w:rPr>
        <w:t>13721057468</w:t>
      </w:r>
      <w:r>
        <w:rPr>
          <w:rFonts w:hint="eastAsia" w:ascii="宋体" w:hAnsi="宋体" w:eastAsia="宋体"/>
          <w:color w:val="auto"/>
          <w:sz w:val="24"/>
          <w:szCs w:val="18"/>
          <w:highlight w:val="none"/>
          <w:u w:val="single"/>
        </w:rPr>
        <w:t xml:space="preserve"> </w:t>
      </w:r>
    </w:p>
    <w:p w14:paraId="71C294CC">
      <w:pPr>
        <w:spacing w:line="360" w:lineRule="auto"/>
        <w:ind w:firstLine="437"/>
        <w:outlineLvl w:val="2"/>
        <w:rPr>
          <w:rFonts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050D1A7F">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安徽省财政厅</w:t>
      </w:r>
      <w:r>
        <w:rPr>
          <w:rFonts w:ascii="宋体" w:hAnsi="宋体" w:eastAsia="宋体"/>
          <w:color w:val="auto"/>
          <w:sz w:val="24"/>
          <w:szCs w:val="18"/>
          <w:highlight w:val="none"/>
          <w:u w:val="single"/>
        </w:rPr>
        <w:t xml:space="preserve"> </w:t>
      </w:r>
    </w:p>
    <w:p w14:paraId="7499AB58">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 xml:space="preserve"> 合肥市阜南西路238号</w:t>
      </w:r>
      <w:r>
        <w:rPr>
          <w:rFonts w:ascii="宋体" w:hAnsi="宋体" w:eastAsia="宋体"/>
          <w:color w:val="auto"/>
          <w:sz w:val="24"/>
          <w:szCs w:val="18"/>
          <w:highlight w:val="none"/>
          <w:u w:val="single"/>
        </w:rPr>
        <w:t xml:space="preserve"> </w:t>
      </w:r>
    </w:p>
    <w:p w14:paraId="6763C0C7">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0551-68150413</w:t>
      </w:r>
      <w:r>
        <w:rPr>
          <w:rFonts w:ascii="宋体" w:hAnsi="宋体" w:eastAsia="宋体"/>
          <w:color w:val="auto"/>
          <w:sz w:val="24"/>
          <w:szCs w:val="18"/>
          <w:highlight w:val="none"/>
          <w:u w:val="single"/>
        </w:rPr>
        <w:t xml:space="preserve"> </w:t>
      </w:r>
    </w:p>
    <w:p w14:paraId="655B69FB">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75CDC46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46137F38">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A2ED44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4"/>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3"/>
        <w:gridCol w:w="5918"/>
      </w:tblGrid>
      <w:tr w14:paraId="20D2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760C321">
            <w:pPr>
              <w:pStyle w:val="4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033" w:type="dxa"/>
            <w:vAlign w:val="center"/>
          </w:tcPr>
          <w:p w14:paraId="19E11B5A">
            <w:pPr>
              <w:pStyle w:val="4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918" w:type="dxa"/>
            <w:vAlign w:val="center"/>
          </w:tcPr>
          <w:p w14:paraId="3E30449A">
            <w:pPr>
              <w:pStyle w:val="4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254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399FFB">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2FBBAF33">
            <w:pPr>
              <w:pStyle w:val="4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5918" w:type="dxa"/>
            <w:vAlign w:val="center"/>
          </w:tcPr>
          <w:p w14:paraId="4482422C">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10E7BDB4">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01C03E8C">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4D515F03">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76D53851">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4363C673">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7F7B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34E8652">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2033" w:type="dxa"/>
            <w:vAlign w:val="center"/>
          </w:tcPr>
          <w:p w14:paraId="34180485">
            <w:pPr>
              <w:pStyle w:val="4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918" w:type="dxa"/>
            <w:vAlign w:val="center"/>
          </w:tcPr>
          <w:p w14:paraId="1354185B">
            <w:pPr>
              <w:pStyle w:val="45"/>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202</w:t>
            </w:r>
            <w:r>
              <w:rPr>
                <w:rFonts w:hint="eastAsia" w:ascii="宋体" w:hAnsi="宋体" w:eastAsia="宋体"/>
                <w:b w:val="0"/>
                <w:color w:val="auto"/>
                <w:sz w:val="24"/>
                <w:highlight w:val="none"/>
                <w:u w:val="single"/>
                <w:lang w:val="en-US" w:eastAsia="zh-CN"/>
              </w:rPr>
              <w:t>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7</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22</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30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AA1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F3E3D26">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2033" w:type="dxa"/>
            <w:vAlign w:val="center"/>
          </w:tcPr>
          <w:p w14:paraId="3D133154">
            <w:pPr>
              <w:pStyle w:val="4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918" w:type="dxa"/>
            <w:vAlign w:val="center"/>
          </w:tcPr>
          <w:p w14:paraId="0D3AA84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分为个包</w:t>
            </w:r>
          </w:p>
          <w:p w14:paraId="6E792470">
            <w:pPr>
              <w:pStyle w:val="45"/>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3D53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006" w:type="dxa"/>
            <w:vAlign w:val="center"/>
          </w:tcPr>
          <w:p w14:paraId="02C31BFC">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2033" w:type="dxa"/>
            <w:vAlign w:val="center"/>
          </w:tcPr>
          <w:p w14:paraId="02978E22">
            <w:pPr>
              <w:pStyle w:val="4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918" w:type="dxa"/>
            <w:vAlign w:val="center"/>
          </w:tcPr>
          <w:p w14:paraId="7068793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482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4BD571B">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2033" w:type="dxa"/>
            <w:vAlign w:val="center"/>
          </w:tcPr>
          <w:p w14:paraId="0D5104D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918" w:type="dxa"/>
            <w:vAlign w:val="center"/>
          </w:tcPr>
          <w:p w14:paraId="3006290F">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90  </w:t>
            </w:r>
            <w:r>
              <w:rPr>
                <w:rFonts w:hint="eastAsia" w:ascii="宋体" w:hAnsi="宋体" w:eastAsia="宋体"/>
                <w:b w:val="0"/>
                <w:color w:val="auto"/>
                <w:sz w:val="24"/>
                <w:highlight w:val="none"/>
              </w:rPr>
              <w:t>日历日</w:t>
            </w:r>
          </w:p>
        </w:tc>
      </w:tr>
      <w:tr w14:paraId="5EB7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88B12D8">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13</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DDD407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918" w:type="dxa"/>
            <w:vAlign w:val="center"/>
          </w:tcPr>
          <w:p w14:paraId="360BA323">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4CAF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26E0049">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14.1</w:t>
            </w:r>
          </w:p>
        </w:tc>
        <w:tc>
          <w:tcPr>
            <w:tcW w:w="2033" w:type="dxa"/>
            <w:vAlign w:val="center"/>
          </w:tcPr>
          <w:p w14:paraId="164E7E40">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918" w:type="dxa"/>
            <w:vAlign w:val="center"/>
          </w:tcPr>
          <w:p w14:paraId="168CF461">
            <w:pPr>
              <w:pStyle w:val="45"/>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196EBB4D">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1DD3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11C128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2033" w:type="dxa"/>
            <w:vAlign w:val="center"/>
          </w:tcPr>
          <w:p w14:paraId="3A84467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918" w:type="dxa"/>
            <w:vAlign w:val="center"/>
          </w:tcPr>
          <w:p w14:paraId="1E998F6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0EAC85C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7922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3B84A17">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.3</w:t>
            </w:r>
          </w:p>
        </w:tc>
        <w:tc>
          <w:tcPr>
            <w:tcW w:w="2033" w:type="dxa"/>
            <w:vAlign w:val="center"/>
          </w:tcPr>
          <w:p w14:paraId="4F9E817B">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38B3782C">
            <w:pPr>
              <w:pStyle w:val="4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918" w:type="dxa"/>
            <w:vAlign w:val="center"/>
          </w:tcPr>
          <w:p w14:paraId="490A7DF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10%  </w:t>
            </w:r>
            <w:r>
              <w:rPr>
                <w:rFonts w:hint="eastAsia" w:ascii="宋体" w:hAnsi="宋体" w:eastAsia="宋体"/>
                <w:b w:val="0"/>
                <w:color w:val="auto"/>
                <w:sz w:val="24"/>
                <w:highlight w:val="none"/>
              </w:rPr>
              <w:t>。</w:t>
            </w:r>
          </w:p>
          <w:p w14:paraId="595A7F2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2DF8D54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00B58EDB">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p>
          <w:p w14:paraId="481D525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43D3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AB1292C">
            <w:pPr>
              <w:pStyle w:val="46"/>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66A885C2">
            <w:pPr>
              <w:pStyle w:val="45"/>
              <w:widowControl w:val="0"/>
              <w:spacing w:before="0" w:beforeAutospacing="0" w:after="0" w:afterAutospacing="0" w:line="360" w:lineRule="auto"/>
              <w:jc w:val="both"/>
              <w:rPr>
                <w:rFonts w:hint="eastAsia" w:ascii="宋体" w:hAnsi="宋体" w:eastAsia="宋体"/>
                <w:b w:val="0"/>
                <w:i/>
                <w:color w:val="auto"/>
                <w:sz w:val="24"/>
                <w:highlight w:val="none"/>
              </w:rPr>
            </w:pPr>
            <w:r>
              <w:rPr>
                <w:rFonts w:hint="eastAsia" w:ascii="宋体" w:hAnsi="宋体" w:eastAsia="宋体"/>
                <w:b w:val="0"/>
                <w:color w:val="auto"/>
                <w:sz w:val="24"/>
                <w:highlight w:val="none"/>
              </w:rPr>
              <w:t>本国产品价格扣除</w:t>
            </w:r>
          </w:p>
        </w:tc>
        <w:tc>
          <w:tcPr>
            <w:tcW w:w="5918" w:type="dxa"/>
            <w:vAlign w:val="center"/>
          </w:tcPr>
          <w:p w14:paraId="282574CC">
            <w:pPr>
              <w:pStyle w:val="4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 xml:space="preserve">（1）项目或者采购包中采购内容为单一产品的，既有本国产品又有非本国产品参与竞争的，对本国产品给予价格扣除20%。 </w:t>
            </w:r>
          </w:p>
          <w:p w14:paraId="6C4947E8">
            <w:pPr>
              <w:pStyle w:val="4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（2）项目或者采购包中含有多种产品的，符合本国产品标准的产品成本之和占该投标人提供的全部产品成本之和的比例≥80%，所有产品价格扣除20%</w:t>
            </w:r>
            <w:r>
              <w:rPr>
                <w:rFonts w:hint="eastAsia" w:ascii="宋体" w:hAnsi="宋体" w:eastAsia="宋体"/>
                <w:b w:val="0"/>
                <w:color w:val="auto"/>
                <w:sz w:val="24"/>
                <w:highlight w:val="none"/>
                <w:lang w:eastAsia="zh-CN"/>
              </w:rPr>
              <w:t>。</w:t>
            </w:r>
          </w:p>
        </w:tc>
      </w:tr>
      <w:tr w14:paraId="092E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4C3DCF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6B66A4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918" w:type="dxa"/>
            <w:vAlign w:val="center"/>
          </w:tcPr>
          <w:p w14:paraId="139E83E8">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 xml:space="preserve">   3 家   </w:t>
            </w:r>
          </w:p>
        </w:tc>
      </w:tr>
      <w:tr w14:paraId="2BB2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3B25DE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6116FE1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918" w:type="dxa"/>
            <w:vAlign w:val="center"/>
          </w:tcPr>
          <w:p w14:paraId="3EE61B28">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51E226A2">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342F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542E0B2">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2033" w:type="dxa"/>
            <w:vAlign w:val="center"/>
          </w:tcPr>
          <w:p w14:paraId="7F584056">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5918" w:type="dxa"/>
            <w:vAlign w:val="center"/>
          </w:tcPr>
          <w:p w14:paraId="656FB05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3248E3CF">
            <w:pPr>
              <w:pStyle w:val="4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7210B23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（3）因落实政府采购政策等原因进行价格扣除后中标（成交）供应商的评审报价</w:t>
            </w:r>
            <w:r>
              <w:rPr>
                <w:rFonts w:hint="eastAsia" w:ascii="宋体" w:hAnsi="宋体" w:eastAsia="宋体"/>
                <w:b w:val="0"/>
                <w:i/>
                <w:iCs/>
                <w:color w:val="auto"/>
                <w:sz w:val="24"/>
                <w:highlight w:val="none"/>
              </w:rPr>
              <w:t>（适用最低评标价法）</w:t>
            </w:r>
          </w:p>
          <w:p w14:paraId="1F128D90">
            <w:pPr>
              <w:pStyle w:val="45"/>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（4）中标（成交）供应商的评审总得分</w:t>
            </w:r>
            <w:r>
              <w:rPr>
                <w:rFonts w:hint="eastAsia" w:ascii="宋体" w:hAnsi="宋体" w:eastAsia="宋体"/>
                <w:b w:val="0"/>
                <w:i/>
                <w:iCs/>
                <w:color w:val="auto"/>
                <w:sz w:val="24"/>
                <w:highlight w:val="none"/>
              </w:rPr>
              <w:t>（适用综合评分法）</w:t>
            </w:r>
          </w:p>
          <w:p w14:paraId="5769C111">
            <w:pPr>
              <w:pStyle w:val="45"/>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（5）符合本国产品标准的声明函</w:t>
            </w:r>
            <w:r>
              <w:rPr>
                <w:rFonts w:hint="eastAsia" w:ascii="宋体" w:hAnsi="宋体" w:eastAsia="宋体"/>
                <w:b w:val="0"/>
                <w:i/>
                <w:iCs/>
                <w:color w:val="auto"/>
                <w:sz w:val="24"/>
                <w:highlight w:val="none"/>
              </w:rPr>
              <w:t>（如有）</w:t>
            </w:r>
          </w:p>
        </w:tc>
      </w:tr>
      <w:tr w14:paraId="469E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7BB852E">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2033" w:type="dxa"/>
            <w:vAlign w:val="center"/>
          </w:tcPr>
          <w:p w14:paraId="39E478D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918" w:type="dxa"/>
            <w:vAlign w:val="center"/>
          </w:tcPr>
          <w:p w14:paraId="300B6CC3">
            <w:pPr>
              <w:pStyle w:val="45"/>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B99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7094DEF">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2033" w:type="dxa"/>
            <w:vAlign w:val="center"/>
          </w:tcPr>
          <w:p w14:paraId="7DE25A8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918" w:type="dxa"/>
            <w:vAlign w:val="center"/>
          </w:tcPr>
          <w:p w14:paraId="4A4144D0">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Theme="minorEastAsia" w:hAnsiTheme="minorEastAsia" w:eastAsiaTheme="minorEastAsia"/>
                <w:color w:val="auto"/>
                <w:kern w:val="0"/>
                <w:sz w:val="24"/>
                <w:szCs w:val="24"/>
                <w:highlight w:val="none"/>
              </w:rPr>
              <w:t>系统查看</w:t>
            </w:r>
          </w:p>
          <w:p w14:paraId="6D18CD57">
            <w:pPr>
              <w:pStyle w:val="45"/>
              <w:widowControl w:val="0"/>
              <w:spacing w:before="0" w:beforeAutospacing="0" w:after="0" w:afterAutospacing="0" w:line="360" w:lineRule="auto"/>
              <w:jc w:val="both"/>
              <w:rPr>
                <w:rFonts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tc>
      </w:tr>
      <w:tr w14:paraId="714D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Align w:val="center"/>
          </w:tcPr>
          <w:p w14:paraId="55A88EC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2033" w:type="dxa"/>
            <w:vAlign w:val="center"/>
          </w:tcPr>
          <w:p w14:paraId="062507BF">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918" w:type="dxa"/>
          </w:tcPr>
          <w:p w14:paraId="2E2D91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BA3095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30683A3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 xml:space="preserve">2.5 </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6C3B1B0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4E7895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6F705485">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EF36969">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蚌埠医科大学第一附属医院 </w:t>
            </w:r>
            <w:r>
              <w:rPr>
                <w:rFonts w:hint="eastAsia" w:ascii="宋体" w:hAnsi="宋体" w:eastAsia="宋体"/>
                <w:bCs/>
                <w:color w:val="auto"/>
                <w:kern w:val="0"/>
                <w:sz w:val="24"/>
                <w:szCs w:val="28"/>
                <w:highlight w:val="none"/>
              </w:rPr>
              <w:t xml:space="preserve">              </w:t>
            </w:r>
          </w:p>
          <w:p w14:paraId="6714F60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12093001040011096      </w:t>
            </w:r>
          </w:p>
          <w:p w14:paraId="47A79197">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项目履约完成后退还     </w:t>
            </w:r>
          </w:p>
          <w:p w14:paraId="5181ECC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2E24C13F">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523E26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5BE8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006" w:type="dxa"/>
            <w:vAlign w:val="center"/>
          </w:tcPr>
          <w:p w14:paraId="57D77960">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2033" w:type="dxa"/>
            <w:vAlign w:val="center"/>
          </w:tcPr>
          <w:p w14:paraId="259E7DE8">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5918" w:type="dxa"/>
          </w:tcPr>
          <w:p w14:paraId="3E81295E">
            <w:pPr>
              <w:pStyle w:val="19"/>
              <w:widowControl/>
              <w:spacing w:before="0" w:beforeAutospacing="0" w:after="0" w:afterAutospacing="0"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（1）采购人与中标人应当自发出中标通知书之日起7个工作日内签订合同，采购合同签订之日起2个工作日内完成政府采购合同公开。</w:t>
            </w:r>
          </w:p>
          <w:p w14:paraId="6B428070">
            <w:pPr>
              <w:pStyle w:val="19"/>
              <w:widowControl/>
              <w:spacing w:before="0" w:beforeAutospacing="0" w:after="0" w:afterAutospacing="0" w:line="360" w:lineRule="auto"/>
              <w:rPr>
                <w:rFonts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不得擅自变更合同，依照政府采购法确需变更政府采购合同内容的，采购人应当自合同变更之日起2个工作日内</w:t>
            </w:r>
            <w:r>
              <w:rPr>
                <w:rFonts w:hint="eastAsia" w:ascii="宋体" w:hAnsi="宋体" w:eastAsia="宋体" w:cs="宋体"/>
                <w:color w:val="auto"/>
                <w:szCs w:val="24"/>
                <w:highlight w:val="none"/>
              </w:rPr>
              <w:t>在安徽省政府采购网</w:t>
            </w:r>
            <w:r>
              <w:rPr>
                <w:rFonts w:ascii="宋体" w:hAnsi="宋体" w:eastAsia="宋体" w:cs="宋体"/>
                <w:color w:val="auto"/>
                <w:szCs w:val="24"/>
                <w:highlight w:val="none"/>
              </w:rPr>
              <w:t>发布政府采购合同变更公告</w:t>
            </w:r>
            <w:r>
              <w:rPr>
                <w:rFonts w:hint="eastAsia" w:ascii="宋体" w:hAnsi="宋体" w:eastAsia="宋体" w:cs="宋体"/>
                <w:color w:val="auto"/>
                <w:szCs w:val="24"/>
                <w:highlight w:val="none"/>
              </w:rPr>
              <w:t>，</w:t>
            </w:r>
            <w:r>
              <w:rPr>
                <w:rFonts w:ascii="宋体" w:hAnsi="宋体" w:eastAsia="宋体" w:cs="宋体"/>
                <w:color w:val="auto"/>
                <w:szCs w:val="24"/>
                <w:highlight w:val="none"/>
              </w:rPr>
              <w:t>但涉及国家秘密、商业秘密的信息和其他依法不得公开的信息除外。</w:t>
            </w:r>
          </w:p>
        </w:tc>
      </w:tr>
      <w:tr w14:paraId="3BB4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6D8BC7E">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2033" w:type="dxa"/>
            <w:vAlign w:val="center"/>
          </w:tcPr>
          <w:p w14:paraId="2E4F1375">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5918" w:type="dxa"/>
            <w:vAlign w:val="center"/>
          </w:tcPr>
          <w:p w14:paraId="2A331415">
            <w:pPr>
              <w:spacing w:before="39" w:line="360" w:lineRule="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40637719">
            <w:pPr>
              <w:spacing w:before="24"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转账/电汇</w:t>
            </w:r>
            <w:r>
              <w:rPr>
                <w:rFonts w:ascii="宋体" w:hAnsi="宋体" w:eastAsia="宋体" w:cs="宋体"/>
                <w:color w:val="auto"/>
                <w:sz w:val="24"/>
                <w:szCs w:val="24"/>
                <w:highlight w:val="none"/>
                <w:u w:val="single"/>
              </w:rPr>
              <w:t xml:space="preserve"> </w:t>
            </w:r>
          </w:p>
          <w:p w14:paraId="6FFA7DDE">
            <w:pPr>
              <w:pStyle w:val="45"/>
              <w:widowControl w:val="0"/>
              <w:spacing w:before="0" w:beforeAutospacing="0" w:after="0" w:afterAutospacing="0" w:line="360" w:lineRule="auto"/>
              <w:jc w:val="both"/>
              <w:rPr>
                <w:rFonts w:ascii="宋体" w:hAnsi="宋体" w:eastAsia="宋体" w:cs="宋体"/>
                <w:color w:val="auto"/>
                <w:sz w:val="24"/>
                <w:szCs w:val="24"/>
                <w:highlight w:val="none"/>
                <w:u w:val="singl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中标服务费的收取采用差额定率累进计费方式，具体收费标准为下表的</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rPr>
              <w:t>0%。</w:t>
            </w:r>
          </w:p>
          <w:tbl>
            <w:tblPr>
              <w:tblStyle w:val="25"/>
              <w:tblW w:w="5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1275"/>
              <w:gridCol w:w="1185"/>
              <w:gridCol w:w="1260"/>
            </w:tblGrid>
            <w:tr w14:paraId="11F9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5" w:type="dxa"/>
                  <w:vAlign w:val="center"/>
                </w:tcPr>
                <w:p w14:paraId="7778795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中标金额</w:t>
                  </w:r>
                </w:p>
                <w:p w14:paraId="4FFD1432">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（万元）</w:t>
                  </w:r>
                </w:p>
              </w:tc>
              <w:tc>
                <w:tcPr>
                  <w:tcW w:w="1275" w:type="dxa"/>
                  <w:vAlign w:val="center"/>
                </w:tcPr>
                <w:p w14:paraId="5F59F9CB">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货物招标</w:t>
                  </w:r>
                </w:p>
              </w:tc>
              <w:tc>
                <w:tcPr>
                  <w:tcW w:w="1185" w:type="dxa"/>
                  <w:vAlign w:val="center"/>
                </w:tcPr>
                <w:p w14:paraId="79A8B634">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服务招标</w:t>
                  </w:r>
                </w:p>
              </w:tc>
              <w:tc>
                <w:tcPr>
                  <w:tcW w:w="1260" w:type="dxa"/>
                  <w:vAlign w:val="center"/>
                </w:tcPr>
                <w:p w14:paraId="38CFEB0F">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工程招标</w:t>
                  </w:r>
                </w:p>
              </w:tc>
            </w:tr>
            <w:tr w14:paraId="1006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16A7272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100以下</w:t>
                  </w:r>
                </w:p>
              </w:tc>
              <w:tc>
                <w:tcPr>
                  <w:tcW w:w="1275" w:type="dxa"/>
                </w:tcPr>
                <w:p w14:paraId="3BFF229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185" w:type="dxa"/>
                </w:tcPr>
                <w:p w14:paraId="1576BF5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260" w:type="dxa"/>
                </w:tcPr>
                <w:p w14:paraId="72B00C0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w:t>
                  </w:r>
                </w:p>
              </w:tc>
            </w:tr>
            <w:tr w14:paraId="062E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642123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100—500</w:t>
                  </w:r>
                </w:p>
              </w:tc>
              <w:tc>
                <w:tcPr>
                  <w:tcW w:w="1275" w:type="dxa"/>
                </w:tcPr>
                <w:p w14:paraId="540A8DB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w:t>
                  </w:r>
                </w:p>
              </w:tc>
              <w:tc>
                <w:tcPr>
                  <w:tcW w:w="1185" w:type="dxa"/>
                </w:tcPr>
                <w:p w14:paraId="5218D38A">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260" w:type="dxa"/>
                </w:tcPr>
                <w:p w14:paraId="374D017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0.7％</w:t>
                  </w:r>
                </w:p>
              </w:tc>
            </w:tr>
            <w:tr w14:paraId="4A32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69788B8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500—1000</w:t>
                  </w:r>
                </w:p>
              </w:tc>
              <w:tc>
                <w:tcPr>
                  <w:tcW w:w="1275" w:type="dxa"/>
                </w:tcPr>
                <w:p w14:paraId="268D7A7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185" w:type="dxa"/>
                </w:tcPr>
                <w:p w14:paraId="0E635E9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0.45％</w:t>
                  </w:r>
                </w:p>
              </w:tc>
              <w:tc>
                <w:tcPr>
                  <w:tcW w:w="1260" w:type="dxa"/>
                </w:tcPr>
                <w:p w14:paraId="5FCAD52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0.55％</w:t>
                  </w:r>
                </w:p>
              </w:tc>
            </w:tr>
            <w:tr w14:paraId="313B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DEF3C0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1000—5000</w:t>
                  </w:r>
                </w:p>
              </w:tc>
              <w:tc>
                <w:tcPr>
                  <w:tcW w:w="1275" w:type="dxa"/>
                </w:tcPr>
                <w:p w14:paraId="4740FE6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w:t>
                  </w:r>
                </w:p>
              </w:tc>
              <w:tc>
                <w:tcPr>
                  <w:tcW w:w="1185" w:type="dxa"/>
                </w:tcPr>
                <w:p w14:paraId="4AE7A53B">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260" w:type="dxa"/>
                </w:tcPr>
                <w:p w14:paraId="4C51DAA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0.35％</w:t>
                  </w:r>
                </w:p>
              </w:tc>
            </w:tr>
            <w:tr w14:paraId="5BC6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5C3D145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5000—10000</w:t>
                  </w:r>
                </w:p>
              </w:tc>
              <w:tc>
                <w:tcPr>
                  <w:tcW w:w="1275" w:type="dxa"/>
                </w:tcPr>
                <w:p w14:paraId="18ABD08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185" w:type="dxa"/>
                </w:tcPr>
                <w:p w14:paraId="021A163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0.1％</w:t>
                  </w:r>
                </w:p>
              </w:tc>
              <w:tc>
                <w:tcPr>
                  <w:tcW w:w="1260" w:type="dxa"/>
                </w:tcPr>
                <w:p w14:paraId="00860CC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w:t>
                  </w:r>
                </w:p>
              </w:tc>
            </w:tr>
            <w:tr w14:paraId="0A5F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ABD1AB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10000—100000</w:t>
                  </w:r>
                </w:p>
              </w:tc>
              <w:tc>
                <w:tcPr>
                  <w:tcW w:w="1275" w:type="dxa"/>
                </w:tcPr>
                <w:p w14:paraId="79CB1BC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185" w:type="dxa"/>
                </w:tcPr>
                <w:p w14:paraId="0CD068B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260" w:type="dxa"/>
                </w:tcPr>
                <w:p w14:paraId="4F2F29A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r>
            <w:tr w14:paraId="2F31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E8E80E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1000000以上</w:t>
                  </w:r>
                </w:p>
              </w:tc>
              <w:tc>
                <w:tcPr>
                  <w:tcW w:w="1275" w:type="dxa"/>
                </w:tcPr>
                <w:p w14:paraId="5267838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185" w:type="dxa"/>
                </w:tcPr>
                <w:p w14:paraId="42D0946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260" w:type="dxa"/>
                </w:tcPr>
                <w:p w14:paraId="4CCE43E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r>
          </w:tbl>
          <w:p w14:paraId="2E6CEEF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注：中标服务费按差额定率累进法计算。例如：某货物招标代理业务中标金额为6000万元，计算中标服务费如下： </w:t>
            </w:r>
          </w:p>
          <w:p w14:paraId="74680F4E">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100万元×1.5%×40%＝0.6万元 </w:t>
            </w:r>
          </w:p>
          <w:p w14:paraId="424A1F3B">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（500－100）万元×1.1%×40%＝1.76万元 </w:t>
            </w:r>
          </w:p>
          <w:p w14:paraId="36807391">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（1000－500）万元×0.8%×40%＝1.6万元 </w:t>
            </w:r>
          </w:p>
          <w:p w14:paraId="5BED9EF0">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（5000－1000）万元×0.5%×40%＝8万元 </w:t>
            </w:r>
          </w:p>
          <w:p w14:paraId="1463A41A">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（6000－5000）万元×0.25%×40%＝1万元 </w:t>
            </w:r>
          </w:p>
          <w:p w14:paraId="560D1195">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sz w:val="24"/>
                <w:szCs w:val="24"/>
              </w:rPr>
              <w:t>合计收费＝0.6＋1.76＋1.6＋8＋1＝12.96(万元)</w:t>
            </w:r>
          </w:p>
        </w:tc>
      </w:tr>
      <w:tr w14:paraId="7BD6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5258B33">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2033" w:type="dxa"/>
            <w:vAlign w:val="center"/>
          </w:tcPr>
          <w:p w14:paraId="3CD5EDE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918" w:type="dxa"/>
            <w:vAlign w:val="center"/>
          </w:tcPr>
          <w:p w14:paraId="78DAFE2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bCs w:val="0"/>
                <w:color w:val="auto"/>
                <w:sz w:val="24"/>
                <w:highlight w:val="none"/>
                <w:u w:val="single"/>
                <w:lang w:eastAsia="zh-CN"/>
              </w:rPr>
              <w:t>通过“徽采云”电子交易系统递交</w:t>
            </w:r>
          </w:p>
          <w:p w14:paraId="4598B679">
            <w:pPr>
              <w:pStyle w:val="45"/>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安徽寰亚国际招标有限公司</w:t>
            </w:r>
            <w:r>
              <w:rPr>
                <w:rFonts w:hint="eastAsia" w:ascii="宋体" w:hAnsi="宋体" w:eastAsia="宋体"/>
                <w:color w:val="auto"/>
                <w:sz w:val="24"/>
                <w:highlight w:val="none"/>
                <w:u w:val="single"/>
              </w:rPr>
              <w:t xml:space="preserve">  </w:t>
            </w:r>
          </w:p>
          <w:p w14:paraId="559F5170">
            <w:pPr>
              <w:pStyle w:val="45"/>
              <w:widowControl w:val="0"/>
              <w:spacing w:before="0" w:beforeAutospacing="0" w:after="0" w:afterAutospacing="0" w:line="360" w:lineRule="auto"/>
              <w:jc w:val="both"/>
              <w:rPr>
                <w:rFonts w:hint="default" w:ascii="宋体" w:hAnsi="宋体" w:eastAsia="宋体"/>
                <w:b w:val="0"/>
                <w:bCs w:val="0"/>
                <w:color w:val="auto"/>
                <w:sz w:val="24"/>
                <w:szCs w:val="18"/>
                <w:highlight w:val="none"/>
                <w:lang w:val="en-US" w:eastAsia="zh-CN"/>
              </w:rPr>
            </w:pPr>
            <w:r>
              <w:rPr>
                <w:rFonts w:ascii="宋体" w:hAnsi="宋体" w:eastAsia="宋体"/>
                <w:b w:val="0"/>
                <w:color w:val="auto"/>
                <w:sz w:val="24"/>
                <w:highlight w:val="none"/>
              </w:rPr>
              <w:t>联系电话：</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 xml:space="preserve">0551-65320549 或 65307749 转分机号 </w:t>
            </w:r>
            <w:r>
              <w:rPr>
                <w:rFonts w:hint="eastAsia" w:ascii="宋体" w:hAnsi="宋体" w:eastAsia="宋体"/>
                <w:b w:val="0"/>
                <w:bCs w:val="0"/>
                <w:color w:val="auto"/>
                <w:sz w:val="24"/>
                <w:highlight w:val="none"/>
                <w:u w:val="single"/>
                <w:lang w:val="en-US" w:eastAsia="zh-CN"/>
              </w:rPr>
              <w:t>8019</w:t>
            </w:r>
          </w:p>
          <w:p w14:paraId="18D68DD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bCs w:val="0"/>
                <w:color w:val="auto"/>
                <w:sz w:val="24"/>
                <w:highlight w:val="none"/>
                <w:u w:val="single"/>
              </w:rPr>
              <w:t xml:space="preserve">安徽省合肥市蜀山区湖光路与雪霁路交口蜀山跨境电商大厦B座20F </w:t>
            </w:r>
          </w:p>
        </w:tc>
      </w:tr>
      <w:tr w14:paraId="1D45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763B23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32</w:t>
            </w:r>
          </w:p>
        </w:tc>
        <w:tc>
          <w:tcPr>
            <w:tcW w:w="2033" w:type="dxa"/>
            <w:vAlign w:val="center"/>
          </w:tcPr>
          <w:p w14:paraId="2E5EDD02">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918" w:type="dxa"/>
            <w:vAlign w:val="center"/>
          </w:tcPr>
          <w:p w14:paraId="0A8F7CE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1、解释权：</w:t>
            </w:r>
          </w:p>
          <w:p w14:paraId="2AD1C70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4DE522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63F84F8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FC812A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4A7E4C7">
            <w:pPr>
              <w:pStyle w:val="4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asciiTheme="minorEastAsia" w:hAnsiTheme="minorEastAsia" w:eastAsiaTheme="minorEastAsia"/>
                <w:b w:val="0"/>
                <w:color w:val="auto"/>
                <w:kern w:val="2"/>
                <w:sz w:val="24"/>
                <w:szCs w:val="24"/>
                <w:highlight w:val="none"/>
              </w:rPr>
              <w:t>人负责解释。</w:t>
            </w:r>
          </w:p>
          <w:p w14:paraId="7893558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43A31300">
            <w:pPr>
              <w:pStyle w:val="4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3、电子保函指引：中标人可访问安徽省政府采购网“融资/保函”栏目，申请办理电子保函（包括：履约保函、预付款保函）。</w:t>
            </w:r>
          </w:p>
        </w:tc>
      </w:tr>
    </w:tbl>
    <w:p w14:paraId="64F7FC2B">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3CE1E37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231A0F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6D5081E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1B9A68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143BEE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41445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F3F5F4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79BCE7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2C5826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4ED40A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BE2295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4CD974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05408E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5CB80F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1E7550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CFAF2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2D70CA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E1C89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712278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4047C4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4C1C7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549CB4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3B73C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3988C522">
      <w:pPr>
        <w:spacing w:line="360" w:lineRule="auto"/>
        <w:ind w:firstLine="435"/>
        <w:rPr>
          <w:rFonts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043609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7BE36A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5.1招标文件包括下列内容：</w:t>
      </w:r>
    </w:p>
    <w:p w14:paraId="176B304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680D88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B6B974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B4BFBD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C5D1CE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C515E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F3FBD3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4D428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1B8DB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C25EC1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4B1CDF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3745D38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68496C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32E1A9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5BB4CB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476765FE">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06869B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153CF8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B3CE0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038349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4BEDD2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534E65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49D09F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0D8B3F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4F1252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rPr>
        <w:t>等。</w:t>
      </w:r>
    </w:p>
    <w:bookmarkEnd w:id="24"/>
    <w:p w14:paraId="7DB831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094B8C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6DE11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4D4B7C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03D17D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8748A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530F338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20EF1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6DF8262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143AB4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0356D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E55010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0B9D6BE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11C093F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2.1投标人应当在招标公告规定的投标截止时间前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5A5979C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7FFD30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5CE066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51653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3BC239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13.3采购人或采购代理机构将对开标过程进行记录，由参加开标的各投标人代表和相关工作人员签字确认，并存档备查。</w:t>
      </w:r>
    </w:p>
    <w:p w14:paraId="18B074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45542608">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12FD261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3AA96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43ADEFEC">
      <w:pPr>
        <w:spacing w:line="360" w:lineRule="auto"/>
        <w:ind w:firstLine="435"/>
        <w:rPr>
          <w:rFonts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40CBA86">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D0D1905">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1B20A420">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14.3按照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231254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564763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35F2BF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5752B3E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6E230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72AF1A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中载明核心产品，多家投标人提供的核心产品品牌相同的，按第</w:t>
      </w: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0D595B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409A345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75278C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4490AD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54B1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9B3CB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5投标文件报价出现前后不一致的，按照下列规定修正：</w:t>
      </w:r>
    </w:p>
    <w:p w14:paraId="6FC479F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6AB18EC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4D324D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7D79C43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34F02BF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7A6E10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57B82C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283985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202B3B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34EE48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70D758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79CABD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0FF91D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4A7B3D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14FBCA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483F74E3">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5BE43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31E398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0951C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583E8C6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5FC4924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FE8E9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03A592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4778A91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325125AF">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17.4根据《国务院办公厅关于在政府采购中实施本国产品标准及相关政策的通知》（国办发〔2025〕34 号）和财政部工业和信息化部关于贯彻落实《国务院办公厅关于在政府采购中实施本国产品标准及相关政策的通知》的意见（财库〔2025〕30 号），政府采购活动中既有本国产品又有非本国产品参与竞争的，依法对本国产品给予价格评审优惠，对本国产品的报价给予 20%的价格扣除，用扣除后的价格参与评审。当采购项目或者采购包中含有多种产品，投标人为该采购项目或者采购包提供的符合本国产品标准的产品成本之和占该投标人提供的全部产品成本之和的比例达到 80%以上时，依法对该投标人提供的全部产品给予价格评审优惠，即对该投标人提供的全部产品的总报价给予 20%的价格扣除，用扣除后的价格参与评审。</w:t>
      </w:r>
    </w:p>
    <w:p w14:paraId="5ED6F499">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5103F0F4">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168A01">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17.5 同时符合 17.3 和 17.4 的价格评审优惠时，评标价为投标报价分别扣除促进中小企业发展政策的价格评审优惠和本国产品支持政策的价格评审优惠后的价格。</w:t>
      </w:r>
    </w:p>
    <w:p w14:paraId="26681D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5C2CCB9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11D9D27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73DC943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4DC13C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6A4D7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351533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164541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4EDC41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Theme="minorEastAsia" w:hAnsiTheme="minorEastAsia" w:eastAsiaTheme="minorEastAsia"/>
          <w:color w:val="auto"/>
          <w:sz w:val="24"/>
          <w:highlight w:val="none"/>
        </w:rPr>
        <w:t>批准。</w:t>
      </w:r>
    </w:p>
    <w:p w14:paraId="5ED759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D7D32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2677B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EA05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014EF9D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6B07CA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52FC90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1BD1F77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177E96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29CF8E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FCEB0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50E7FB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0BD6E9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140620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18559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E303563">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27880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65F49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2ED4B9B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614BCDB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53D690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2323C5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B6BC1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05C2F72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09CA7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1BFBD2A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0FB4DE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3D1B51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170DB6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242D5E2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CD307C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27.4依据《政府采购促进中小企业发展管理办法》（财库〔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5AF5FEE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33A4689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240C16D9">
      <w:pPr>
        <w:spacing w:line="360" w:lineRule="auto"/>
        <w:ind w:firstLine="437"/>
        <w:outlineLvl w:val="2"/>
        <w:rPr>
          <w:rFonts w:asciiTheme="minorEastAsia" w:hAnsiTheme="minorEastAsia" w:eastAsiaTheme="minorEastAsia"/>
          <w:b/>
          <w:color w:val="auto"/>
          <w:sz w:val="24"/>
          <w:highlight w:val="none"/>
        </w:rPr>
      </w:pPr>
      <w:bookmarkStart w:id="26" w:name="_Toc518923100"/>
      <w:bookmarkStart w:id="27" w:name="_Toc2583661"/>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26"/>
      <w:bookmarkEnd w:id="27"/>
    </w:p>
    <w:p w14:paraId="4A65AF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14AD591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768A64E">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30.人员回避</w:t>
      </w:r>
      <w:bookmarkEnd w:id="28"/>
      <w:bookmarkEnd w:id="29"/>
    </w:p>
    <w:p w14:paraId="67838038">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B4D7EB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3912C3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2EF6B41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748A404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4A4B775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p>
    <w:p w14:paraId="7CB65AE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19298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8CBBD1F">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21D2E8B">
      <w:pPr>
        <w:spacing w:line="360" w:lineRule="auto"/>
        <w:jc w:val="center"/>
        <w:outlineLvl w:val="0"/>
        <w:rPr>
          <w:rFonts w:asciiTheme="minorEastAsia" w:hAnsiTheme="minorEastAsia" w:eastAsiaTheme="minorEastAsia"/>
          <w:b/>
          <w:color w:val="auto"/>
          <w:sz w:val="28"/>
          <w:highlight w:val="none"/>
        </w:rPr>
      </w:pPr>
      <w:bookmarkStart w:id="30" w:name="_Toc10891"/>
      <w:r>
        <w:rPr>
          <w:rFonts w:hint="eastAsia" w:asciiTheme="minorEastAsia" w:hAnsiTheme="minorEastAsia" w:eastAsiaTheme="minorEastAsia"/>
          <w:b/>
          <w:color w:val="auto"/>
          <w:sz w:val="28"/>
          <w:highlight w:val="none"/>
        </w:rPr>
        <w:t>第三章  采购需求</w:t>
      </w:r>
      <w:bookmarkEnd w:id="30"/>
    </w:p>
    <w:p w14:paraId="666507E0">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3435F47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FE8D872">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4BC105C2">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F776E23">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71B6A73">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3F21F17A">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4</w:t>
      </w:r>
      <w:r>
        <w:rPr>
          <w:rFonts w:hint="eastAsia" w:ascii="宋体" w:hAnsi="宋体" w:eastAsia="宋体"/>
          <w:color w:val="auto"/>
          <w:sz w:val="24"/>
          <w:szCs w:val="18"/>
          <w:highlight w:val="none"/>
        </w:rPr>
        <w:t>.下列采购需求中：标注</w:t>
      </w:r>
      <w:r>
        <w:rPr>
          <w:rFonts w:hint="eastAsia" w:ascii="仿宋" w:hAnsi="仿宋" w:eastAsia="仿宋" w:cs="仿宋"/>
          <w:color w:val="auto"/>
          <w:sz w:val="24"/>
          <w:highlight w:val="none"/>
        </w:rPr>
        <w:t>▲</w:t>
      </w:r>
      <w:r>
        <w:rPr>
          <w:rFonts w:hint="eastAsia" w:ascii="宋体" w:hAnsi="宋体" w:eastAsia="宋体"/>
          <w:color w:val="auto"/>
          <w:sz w:val="24"/>
          <w:szCs w:val="18"/>
          <w:highlight w:val="none"/>
        </w:rPr>
        <w:t>的产品为核心产品。</w:t>
      </w:r>
    </w:p>
    <w:p w14:paraId="5BEB4C08">
      <w:pPr>
        <w:spacing w:line="360" w:lineRule="auto"/>
        <w:ind w:firstLine="437"/>
        <w:outlineLvl w:val="1"/>
        <w:rPr>
          <w:rFonts w:ascii="宋体" w:hAnsi="宋体" w:eastAsia="宋体"/>
          <w:b/>
          <w:color w:val="auto"/>
          <w:sz w:val="24"/>
          <w:szCs w:val="18"/>
          <w:highlight w:val="none"/>
        </w:rPr>
      </w:pPr>
      <w:bookmarkStart w:id="31" w:name="_Toc32151"/>
      <w:bookmarkStart w:id="32" w:name="_Toc2554"/>
      <w:r>
        <w:rPr>
          <w:rFonts w:hint="eastAsia" w:ascii="宋体" w:hAnsi="宋体" w:eastAsia="宋体"/>
          <w:b/>
          <w:color w:val="auto"/>
          <w:sz w:val="24"/>
          <w:szCs w:val="18"/>
          <w:highlight w:val="none"/>
        </w:rPr>
        <w:t>一、采购需求前附表</w:t>
      </w:r>
      <w:bookmarkEnd w:id="31"/>
      <w:bookmarkEnd w:id="32"/>
    </w:p>
    <w:tbl>
      <w:tblPr>
        <w:tblStyle w:val="24"/>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2"/>
        <w:gridCol w:w="6557"/>
      </w:tblGrid>
      <w:tr w14:paraId="3D08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5897DB">
            <w:pPr>
              <w:pStyle w:val="4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032" w:type="dxa"/>
            <w:vAlign w:val="center"/>
          </w:tcPr>
          <w:p w14:paraId="3663BFD7">
            <w:pPr>
              <w:pStyle w:val="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557" w:type="dxa"/>
            <w:vAlign w:val="center"/>
          </w:tcPr>
          <w:p w14:paraId="55A5F3EA">
            <w:pPr>
              <w:pStyle w:val="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6AE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3FA6AC1">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032" w:type="dxa"/>
            <w:vAlign w:val="center"/>
          </w:tcPr>
          <w:p w14:paraId="0EA7A70D">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557" w:type="dxa"/>
            <w:vAlign w:val="center"/>
          </w:tcPr>
          <w:p w14:paraId="4FAA2817">
            <w:pPr>
              <w:pStyle w:val="45"/>
              <w:widowControl w:val="0"/>
              <w:spacing w:before="0" w:beforeAutospacing="0" w:after="0" w:afterAutospacing="0" w:line="360" w:lineRule="auto"/>
              <w:jc w:val="both"/>
              <w:rPr>
                <w:rFonts w:ascii="宋体" w:hAnsi="宋体" w:eastAsia="宋体"/>
                <w:color w:val="auto"/>
                <w:sz w:val="24"/>
                <w:highlight w:val="none"/>
              </w:rPr>
            </w:pPr>
            <w:r>
              <w:rPr>
                <w:rFonts w:hint="eastAsia" w:ascii="宋体" w:hAnsi="宋体" w:eastAsia="宋体" w:cs="宋体"/>
                <w:b w:val="0"/>
                <w:color w:val="auto"/>
                <w:sz w:val="24"/>
                <w:highlight w:val="none"/>
              </w:rPr>
              <w:t xml:space="preserve">设备完成安装并验收合格后开具全额发票后七个工作日内支付至合同总价的100%。 </w:t>
            </w:r>
          </w:p>
        </w:tc>
      </w:tr>
      <w:tr w14:paraId="1C1C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FC1E1D1">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032" w:type="dxa"/>
            <w:vAlign w:val="center"/>
          </w:tcPr>
          <w:p w14:paraId="1AA6ECDC">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557" w:type="dxa"/>
            <w:vAlign w:val="center"/>
          </w:tcPr>
          <w:p w14:paraId="05C86708">
            <w:pPr>
              <w:pStyle w:val="7"/>
              <w:rPr>
                <w:rFonts w:ascii="宋体" w:hAnsi="宋体" w:eastAsia="宋体"/>
                <w:b w:val="0"/>
                <w:color w:val="auto"/>
                <w:sz w:val="24"/>
                <w:highlight w:val="none"/>
              </w:rPr>
            </w:pPr>
            <w:r>
              <w:rPr>
                <w:rFonts w:hint="eastAsia" w:asciiTheme="minorEastAsia" w:hAnsiTheme="minorEastAsia" w:eastAsiaTheme="minorEastAsia"/>
                <w:b/>
                <w:bCs/>
                <w:color w:val="auto"/>
                <w:sz w:val="24"/>
                <w:highlight w:val="none"/>
              </w:rPr>
              <w:t>采购人指定地点，浙江大学医学院附属第二医院安徽医院三楼内镜中心</w:t>
            </w:r>
          </w:p>
        </w:tc>
      </w:tr>
      <w:tr w14:paraId="5975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2463CCC">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032" w:type="dxa"/>
            <w:vAlign w:val="center"/>
          </w:tcPr>
          <w:p w14:paraId="767E6541">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557" w:type="dxa"/>
            <w:vAlign w:val="center"/>
          </w:tcPr>
          <w:p w14:paraId="42D81B00">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合同签订后，自接到采购人通知之日起30个日历天内完成供货及安装。</w:t>
            </w:r>
          </w:p>
        </w:tc>
      </w:tr>
      <w:tr w14:paraId="1350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781F5B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32" w:type="dxa"/>
            <w:vAlign w:val="center"/>
          </w:tcPr>
          <w:p w14:paraId="3A62D73C">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557" w:type="dxa"/>
            <w:vAlign w:val="center"/>
          </w:tcPr>
          <w:p w14:paraId="5BEBD9DF">
            <w:pPr>
              <w:pStyle w:val="7"/>
              <w:rPr>
                <w:rFonts w:ascii="宋体" w:hAnsi="宋体" w:eastAsia="宋体"/>
                <w:color w:val="auto"/>
                <w:sz w:val="24"/>
                <w:highlight w:val="none"/>
              </w:rPr>
            </w:pPr>
            <w:r>
              <w:rPr>
                <w:rFonts w:hint="eastAsia" w:ascii="宋体" w:hAnsi="宋体" w:eastAsia="宋体"/>
                <w:color w:val="auto"/>
                <w:sz w:val="24"/>
                <w:highlight w:val="none"/>
              </w:rPr>
              <w:t>自验收合格之日起</w:t>
            </w:r>
            <w:r>
              <w:rPr>
                <w:rFonts w:hint="eastAsia" w:ascii="宋体" w:hAnsi="宋体" w:eastAsia="宋体"/>
                <w:color w:val="auto"/>
                <w:sz w:val="24"/>
                <w:highlight w:val="none"/>
                <w:lang w:val="en-US" w:eastAsia="zh-CN"/>
              </w:rPr>
              <w:t>24</w:t>
            </w:r>
            <w:r>
              <w:rPr>
                <w:rFonts w:hint="eastAsia" w:ascii="宋体" w:hAnsi="宋体" w:eastAsia="宋体"/>
                <w:color w:val="auto"/>
                <w:sz w:val="24"/>
                <w:highlight w:val="none"/>
              </w:rPr>
              <w:t>个月。</w:t>
            </w:r>
          </w:p>
        </w:tc>
      </w:tr>
      <w:tr w14:paraId="07AC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B3173B8">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p>
        </w:tc>
        <w:tc>
          <w:tcPr>
            <w:tcW w:w="2032" w:type="dxa"/>
            <w:vAlign w:val="center"/>
          </w:tcPr>
          <w:p w14:paraId="437A3C3B">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所属行业</w:t>
            </w:r>
          </w:p>
        </w:tc>
        <w:tc>
          <w:tcPr>
            <w:tcW w:w="6557" w:type="dxa"/>
            <w:vAlign w:val="center"/>
          </w:tcPr>
          <w:p w14:paraId="08E392B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 xml:space="preserve">工业 </w:t>
            </w:r>
          </w:p>
        </w:tc>
      </w:tr>
      <w:tr w14:paraId="7E7F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C1A91A8">
            <w:pPr>
              <w:pStyle w:val="4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rPr>
            </w:pPr>
            <w:bookmarkStart w:id="33" w:name="_Toc5944"/>
            <w:bookmarkStart w:id="34" w:name="_Toc7671"/>
            <w:r>
              <w:rPr>
                <w:rFonts w:hint="eastAsia" w:ascii="宋体" w:hAnsi="宋体" w:eastAsia="宋体"/>
                <w:bCs/>
                <w:color w:val="auto"/>
                <w:kern w:val="2"/>
                <w:highlight w:val="none"/>
                <w:lang w:val="en-US" w:eastAsia="zh-CN"/>
              </w:rPr>
              <w:t>6</w:t>
            </w:r>
          </w:p>
        </w:tc>
        <w:tc>
          <w:tcPr>
            <w:tcW w:w="2032" w:type="dxa"/>
            <w:vAlign w:val="center"/>
          </w:tcPr>
          <w:p w14:paraId="6104BEE3">
            <w:pPr>
              <w:pStyle w:val="45"/>
              <w:widowControl w:val="0"/>
              <w:spacing w:before="0" w:beforeAutospacing="0" w:after="0" w:afterAutospacing="0" w:line="360" w:lineRule="auto"/>
              <w:rPr>
                <w:rFonts w:hint="eastAsia" w:ascii="宋体" w:hAnsi="宋体" w:eastAsia="宋体"/>
                <w:b w:val="0"/>
                <w:color w:val="auto"/>
                <w:sz w:val="24"/>
                <w:highlight w:val="none"/>
              </w:rPr>
            </w:pPr>
            <w:r>
              <w:rPr>
                <w:rFonts w:ascii="宋体" w:hAnsi="宋体" w:eastAsia="宋体" w:cs="宋体"/>
                <w:sz w:val="24"/>
                <w:szCs w:val="24"/>
                <w:highlight w:val="none"/>
              </w:rPr>
              <w:t>医疗器械注册证 或备案材料</w:t>
            </w:r>
          </w:p>
        </w:tc>
        <w:tc>
          <w:tcPr>
            <w:tcW w:w="6557" w:type="dxa"/>
            <w:vAlign w:val="center"/>
          </w:tcPr>
          <w:p w14:paraId="7D674690">
            <w:pPr>
              <w:pStyle w:val="4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Theme="minorEastAsia" w:hAnsiTheme="minorEastAsia" w:eastAsiaTheme="minorEastAsia"/>
                <w:color w:val="auto"/>
                <w:sz w:val="24"/>
                <w:highlight w:val="none"/>
              </w:rPr>
              <w:t>所投产品如为一类医疗器械，须具有有有效的医疗器械备案凭证；如为二类或三类医疗器械，须具有有效的医疗器械注册证</w:t>
            </w:r>
            <w:r>
              <w:rPr>
                <w:rFonts w:hint="eastAsia" w:asciiTheme="minorEastAsia" w:hAnsiTheme="minorEastAsia" w:eastAsiaTheme="minorEastAsia"/>
                <w:color w:val="auto"/>
                <w:sz w:val="24"/>
                <w:highlight w:val="none"/>
                <w:lang w:eastAsia="zh-CN"/>
              </w:rPr>
              <w:t>（其中内镜清洗工作站须提供二类医疗器械注册证）</w:t>
            </w:r>
            <w:r>
              <w:rPr>
                <w:rFonts w:hint="eastAsia" w:asciiTheme="minorEastAsia" w:hAnsiTheme="minorEastAsia" w:eastAsiaTheme="minorEastAsia"/>
                <w:color w:val="auto"/>
                <w:sz w:val="24"/>
                <w:highlight w:val="none"/>
              </w:rPr>
              <w:t>。投标文件中须提供相应的证书（或备案凭证或备案信息表）扫描件，否则投标无效。</w:t>
            </w:r>
          </w:p>
        </w:tc>
      </w:tr>
    </w:tbl>
    <w:p w14:paraId="77FE7986">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p w14:paraId="5136FD83">
      <w:pPr>
        <w:spacing w:line="360" w:lineRule="auto"/>
        <w:ind w:firstLine="241" w:firstLineChars="100"/>
        <w:outlineLvl w:val="1"/>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（一）货物需求说明</w:t>
      </w:r>
    </w:p>
    <w:tbl>
      <w:tblPr>
        <w:tblStyle w:val="25"/>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333"/>
        <w:gridCol w:w="6316"/>
      </w:tblGrid>
      <w:tr w14:paraId="29D2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1B738A00">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标识重要性</w:t>
            </w:r>
          </w:p>
        </w:tc>
        <w:tc>
          <w:tcPr>
            <w:tcW w:w="1333" w:type="dxa"/>
            <w:vAlign w:val="center"/>
          </w:tcPr>
          <w:p w14:paraId="77DE861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标识符号</w:t>
            </w:r>
          </w:p>
        </w:tc>
        <w:tc>
          <w:tcPr>
            <w:tcW w:w="6316" w:type="dxa"/>
            <w:vAlign w:val="center"/>
          </w:tcPr>
          <w:p w14:paraId="0E2DF2DC">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代表意思</w:t>
            </w:r>
          </w:p>
        </w:tc>
      </w:tr>
      <w:tr w14:paraId="14F0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79D5E3D7">
            <w:pPr>
              <w:spacing w:line="360" w:lineRule="auto"/>
              <w:jc w:val="center"/>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核心产品</w:t>
            </w:r>
          </w:p>
        </w:tc>
        <w:tc>
          <w:tcPr>
            <w:tcW w:w="1333" w:type="dxa"/>
            <w:vAlign w:val="center"/>
          </w:tcPr>
          <w:p w14:paraId="6B85F9EE">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highlight w:val="none"/>
              </w:rPr>
              <w:t>▲</w:t>
            </w:r>
          </w:p>
        </w:tc>
        <w:tc>
          <w:tcPr>
            <w:tcW w:w="6316" w:type="dxa"/>
            <w:vAlign w:val="center"/>
          </w:tcPr>
          <w:p w14:paraId="050DA703">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highlight w:val="none"/>
              </w:rPr>
              <w:t>标的属于核心产品</w:t>
            </w:r>
          </w:p>
        </w:tc>
      </w:tr>
      <w:tr w14:paraId="5602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64C43654">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实质性参数</w:t>
            </w:r>
          </w:p>
        </w:tc>
        <w:tc>
          <w:tcPr>
            <w:tcW w:w="1333" w:type="dxa"/>
            <w:vAlign w:val="center"/>
          </w:tcPr>
          <w:p w14:paraId="252FECB5">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5AC4FD73">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负偏离或未响应视为实质性不响应招标文件要求。</w:t>
            </w:r>
          </w:p>
        </w:tc>
      </w:tr>
      <w:tr w14:paraId="2954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79C99E9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重要指标项</w:t>
            </w:r>
          </w:p>
        </w:tc>
        <w:tc>
          <w:tcPr>
            <w:tcW w:w="1333" w:type="dxa"/>
            <w:vAlign w:val="center"/>
          </w:tcPr>
          <w:p w14:paraId="270AD5F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18C44273">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603E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28490B25">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普通指标项</w:t>
            </w:r>
          </w:p>
        </w:tc>
        <w:tc>
          <w:tcPr>
            <w:tcW w:w="1333" w:type="dxa"/>
            <w:vAlign w:val="center"/>
          </w:tcPr>
          <w:p w14:paraId="5202F15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6316" w:type="dxa"/>
            <w:vAlign w:val="center"/>
          </w:tcPr>
          <w:p w14:paraId="2C89DC7F">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49BD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shd w:val="clear" w:color="auto" w:fill="auto"/>
            <w:vAlign w:val="center"/>
          </w:tcPr>
          <w:p w14:paraId="281E8D0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一般技术指标（无标识项）</w:t>
            </w:r>
          </w:p>
        </w:tc>
        <w:tc>
          <w:tcPr>
            <w:tcW w:w="1333" w:type="dxa"/>
            <w:shd w:val="clear" w:color="auto" w:fill="auto"/>
            <w:vAlign w:val="center"/>
          </w:tcPr>
          <w:p w14:paraId="5FCF5D4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无</w:t>
            </w:r>
          </w:p>
        </w:tc>
        <w:tc>
          <w:tcPr>
            <w:tcW w:w="6316" w:type="dxa"/>
            <w:shd w:val="clear" w:color="auto" w:fill="auto"/>
            <w:vAlign w:val="center"/>
          </w:tcPr>
          <w:p w14:paraId="49295E51">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大于5项负偏离或未响应的</w:t>
            </w:r>
            <w:r>
              <w:rPr>
                <w:rFonts w:hint="eastAsia" w:ascii="宋体" w:hAnsi="宋体" w:eastAsia="宋体" w:cs="宋体"/>
                <w:color w:val="auto"/>
                <w:sz w:val="24"/>
                <w:szCs w:val="24"/>
                <w:highlight w:val="none"/>
              </w:rPr>
              <w:t>，投标将被否决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详见“第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章</w:t>
            </w:r>
            <w:r>
              <w:rPr>
                <w:rFonts w:hint="eastAsia" w:ascii="宋体" w:hAnsi="宋体" w:eastAsia="宋体" w:cs="宋体"/>
                <w:color w:val="auto"/>
                <w:sz w:val="24"/>
                <w:szCs w:val="24"/>
                <w:highlight w:val="none"/>
                <w:lang w:val="en-US" w:eastAsia="zh-CN"/>
              </w:rPr>
              <w:t xml:space="preserve"> 采购需求</w:t>
            </w:r>
            <w:r>
              <w:rPr>
                <w:rFonts w:hint="eastAsia" w:ascii="宋体" w:hAnsi="宋体" w:eastAsia="宋体" w:cs="宋体"/>
                <w:color w:val="auto"/>
                <w:sz w:val="24"/>
                <w:szCs w:val="24"/>
                <w:highlight w:val="none"/>
              </w:rPr>
              <w:t>”。</w:t>
            </w:r>
          </w:p>
        </w:tc>
      </w:tr>
    </w:tbl>
    <w:p w14:paraId="17E0A6D3">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注：以投标响应表及采购需求中要求提供的证明材料作为评审依据。</w:t>
      </w:r>
    </w:p>
    <w:p w14:paraId="02B1C1FD">
      <w:pPr>
        <w:spacing w:line="360" w:lineRule="auto"/>
        <w:ind w:firstLine="241" w:firstLineChars="100"/>
        <w:outlineLvl w:val="1"/>
        <w:rPr>
          <w:rFonts w:ascii="宋体" w:hAnsi="宋体" w:eastAsia="宋体"/>
          <w:b/>
          <w:bCs/>
          <w:color w:val="auto"/>
          <w:sz w:val="24"/>
          <w:szCs w:val="18"/>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货物清单表</w:t>
      </w:r>
    </w:p>
    <w:tbl>
      <w:tblPr>
        <w:tblStyle w:val="25"/>
        <w:tblW w:w="9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2840"/>
        <w:gridCol w:w="1438"/>
        <w:gridCol w:w="1013"/>
        <w:gridCol w:w="1487"/>
        <w:gridCol w:w="1227"/>
      </w:tblGrid>
      <w:tr w14:paraId="459C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5826DD65">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序号</w:t>
            </w:r>
          </w:p>
        </w:tc>
        <w:tc>
          <w:tcPr>
            <w:tcW w:w="2840" w:type="dxa"/>
            <w:vAlign w:val="center"/>
          </w:tcPr>
          <w:p w14:paraId="04C37D1F">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设备名称</w:t>
            </w:r>
          </w:p>
        </w:tc>
        <w:tc>
          <w:tcPr>
            <w:tcW w:w="1438" w:type="dxa"/>
            <w:vAlign w:val="center"/>
          </w:tcPr>
          <w:p w14:paraId="648ECD53">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单价（万元）</w:t>
            </w:r>
          </w:p>
        </w:tc>
        <w:tc>
          <w:tcPr>
            <w:tcW w:w="1013" w:type="dxa"/>
            <w:vAlign w:val="center"/>
          </w:tcPr>
          <w:p w14:paraId="54411EB9">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r>
              <w:rPr>
                <w:rFonts w:hint="eastAsia" w:ascii="宋体" w:hAnsi="宋体" w:eastAsia="宋体" w:cs="宋体"/>
                <w:b/>
                <w:bCs/>
                <w:color w:val="auto"/>
                <w:sz w:val="24"/>
                <w:szCs w:val="24"/>
                <w:highlight w:val="none"/>
                <w:lang w:val="en-US" w:eastAsia="zh-CN"/>
              </w:rPr>
              <w:t>套</w:t>
            </w:r>
            <w:r>
              <w:rPr>
                <w:rFonts w:hint="eastAsia" w:ascii="宋体" w:hAnsi="宋体" w:eastAsia="宋体" w:cs="宋体"/>
                <w:b/>
                <w:bCs/>
                <w:color w:val="auto"/>
                <w:sz w:val="24"/>
                <w:szCs w:val="24"/>
                <w:highlight w:val="none"/>
              </w:rPr>
              <w:t>）</w:t>
            </w:r>
          </w:p>
        </w:tc>
        <w:tc>
          <w:tcPr>
            <w:tcW w:w="1487" w:type="dxa"/>
            <w:vAlign w:val="center"/>
          </w:tcPr>
          <w:p w14:paraId="313795F7">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b/>
                <w:bCs/>
                <w:color w:val="auto"/>
                <w:sz w:val="24"/>
                <w:szCs w:val="18"/>
                <w:highlight w:val="none"/>
                <w:lang w:val="en-US" w:eastAsia="zh-CN"/>
              </w:rPr>
              <w:t>是否为核心产品</w:t>
            </w:r>
          </w:p>
        </w:tc>
        <w:tc>
          <w:tcPr>
            <w:tcW w:w="1227" w:type="dxa"/>
            <w:vAlign w:val="center"/>
          </w:tcPr>
          <w:p w14:paraId="20E346A7">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是否接受进口</w:t>
            </w:r>
          </w:p>
        </w:tc>
      </w:tr>
      <w:tr w14:paraId="433B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27E5F9C5">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840" w:type="dxa"/>
            <w:shd w:val="clear" w:color="auto" w:fill="auto"/>
            <w:vAlign w:val="center"/>
          </w:tcPr>
          <w:p w14:paraId="5AF32788">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仿宋" w:hAnsi="仿宋" w:eastAsia="仿宋" w:cs="仿宋"/>
                <w:color w:val="auto"/>
                <w:sz w:val="24"/>
                <w:highlight w:val="none"/>
              </w:rPr>
              <w:t>▲</w:t>
            </w:r>
            <w:r>
              <w:rPr>
                <w:rFonts w:hint="eastAsia" w:ascii="宋体" w:hAnsi="宋体" w:eastAsia="宋体" w:cs="宋体"/>
                <w:color w:val="auto"/>
                <w:kern w:val="2"/>
                <w:sz w:val="24"/>
                <w:szCs w:val="24"/>
                <w:highlight w:val="none"/>
                <w:lang w:val="en-US" w:eastAsia="zh-CN" w:bidi="ar-SA"/>
              </w:rPr>
              <w:t>消化内镜洗消工作站</w:t>
            </w:r>
          </w:p>
        </w:tc>
        <w:tc>
          <w:tcPr>
            <w:tcW w:w="1438" w:type="dxa"/>
            <w:shd w:val="clear" w:color="auto" w:fill="auto"/>
            <w:vAlign w:val="center"/>
          </w:tcPr>
          <w:p w14:paraId="0BCF37BA">
            <w:pPr>
              <w:spacing w:line="360" w:lineRule="auto"/>
              <w:jc w:val="center"/>
              <w:rPr>
                <w:rFonts w:hint="default" w:ascii="宋体" w:hAnsi="宋体" w:eastAsia="宋体" w:cs="@仿宋_GB2312"/>
                <w:color w:val="auto"/>
                <w:kern w:val="2"/>
                <w:sz w:val="24"/>
                <w:szCs w:val="24"/>
                <w:highlight w:val="none"/>
                <w:lang w:val="en-US" w:eastAsia="zh-CN" w:bidi="ar-SA"/>
              </w:rPr>
            </w:pPr>
            <w:r>
              <w:rPr>
                <w:rFonts w:hint="eastAsia" w:ascii="宋体" w:hAnsi="宋体" w:eastAsia="宋体"/>
                <w:color w:val="auto"/>
                <w:sz w:val="24"/>
                <w:szCs w:val="24"/>
                <w:highlight w:val="none"/>
                <w:lang w:val="en-US" w:eastAsia="zh-CN"/>
              </w:rPr>
              <w:t>90</w:t>
            </w:r>
          </w:p>
        </w:tc>
        <w:tc>
          <w:tcPr>
            <w:tcW w:w="1013" w:type="dxa"/>
            <w:shd w:val="clear" w:color="auto" w:fill="auto"/>
            <w:vAlign w:val="center"/>
          </w:tcPr>
          <w:p w14:paraId="54503123">
            <w:pPr>
              <w:spacing w:line="36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p>
        </w:tc>
        <w:tc>
          <w:tcPr>
            <w:tcW w:w="1487" w:type="dxa"/>
            <w:shd w:val="clear" w:color="auto" w:fill="auto"/>
            <w:vAlign w:val="center"/>
          </w:tcPr>
          <w:p w14:paraId="5538FDE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w:t>
            </w:r>
          </w:p>
        </w:tc>
        <w:tc>
          <w:tcPr>
            <w:tcW w:w="1227" w:type="dxa"/>
            <w:shd w:val="clear" w:color="auto" w:fill="auto"/>
            <w:vAlign w:val="center"/>
          </w:tcPr>
          <w:p w14:paraId="2C2ABF33">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否</w:t>
            </w:r>
          </w:p>
        </w:tc>
      </w:tr>
      <w:tr w14:paraId="2118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17BAC0E0">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840" w:type="dxa"/>
            <w:shd w:val="clear" w:color="auto" w:fill="auto"/>
            <w:vAlign w:val="center"/>
          </w:tcPr>
          <w:p w14:paraId="051AB189">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内镜追溯系统</w:t>
            </w:r>
          </w:p>
        </w:tc>
        <w:tc>
          <w:tcPr>
            <w:tcW w:w="1438" w:type="dxa"/>
            <w:shd w:val="clear" w:color="auto" w:fill="auto"/>
            <w:vAlign w:val="center"/>
          </w:tcPr>
          <w:p w14:paraId="27E218F0">
            <w:pPr>
              <w:spacing w:line="360" w:lineRule="auto"/>
              <w:jc w:val="center"/>
              <w:rPr>
                <w:rFonts w:hint="eastAsia" w:ascii="宋体" w:hAnsi="宋体" w:eastAsia="宋体"/>
                <w:color w:val="auto"/>
                <w:sz w:val="24"/>
                <w:szCs w:val="24"/>
                <w:highlight w:val="none"/>
                <w:lang w:val="en-US" w:eastAsia="zh-CN"/>
              </w:rPr>
            </w:pPr>
            <w:r>
              <w:rPr>
                <w:rFonts w:hint="eastAsia" w:ascii="宋体" w:hAnsi="宋体" w:eastAsia="宋体" w:cs="宋体"/>
                <w:color w:val="auto"/>
                <w:sz w:val="24"/>
                <w:szCs w:val="24"/>
                <w:highlight w:val="none"/>
                <w:lang w:eastAsia="zh-CN"/>
              </w:rPr>
              <w:t>15</w:t>
            </w:r>
          </w:p>
        </w:tc>
        <w:tc>
          <w:tcPr>
            <w:tcW w:w="1013" w:type="dxa"/>
            <w:shd w:val="clear" w:color="auto" w:fill="auto"/>
            <w:vAlign w:val="center"/>
          </w:tcPr>
          <w:p w14:paraId="32B93BD3">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487" w:type="dxa"/>
            <w:shd w:val="clear" w:color="auto" w:fill="auto"/>
            <w:vAlign w:val="center"/>
          </w:tcPr>
          <w:p w14:paraId="17BFAA4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c>
          <w:tcPr>
            <w:tcW w:w="1227" w:type="dxa"/>
            <w:shd w:val="clear" w:color="auto" w:fill="auto"/>
            <w:vAlign w:val="center"/>
          </w:tcPr>
          <w:p w14:paraId="3C25964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r>
      <w:tr w14:paraId="0AC0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021C32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840" w:type="dxa"/>
            <w:shd w:val="clear" w:color="auto" w:fill="auto"/>
            <w:vAlign w:val="center"/>
          </w:tcPr>
          <w:p w14:paraId="2EFBA453">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内镜储存柜</w:t>
            </w:r>
          </w:p>
        </w:tc>
        <w:tc>
          <w:tcPr>
            <w:tcW w:w="1438" w:type="dxa"/>
            <w:shd w:val="clear" w:color="auto" w:fill="auto"/>
            <w:vAlign w:val="center"/>
          </w:tcPr>
          <w:p w14:paraId="3A217AB4">
            <w:pPr>
              <w:spacing w:line="360" w:lineRule="auto"/>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10</w:t>
            </w:r>
          </w:p>
        </w:tc>
        <w:tc>
          <w:tcPr>
            <w:tcW w:w="1013" w:type="dxa"/>
            <w:shd w:val="clear" w:color="auto" w:fill="auto"/>
            <w:vAlign w:val="center"/>
          </w:tcPr>
          <w:p w14:paraId="07388FA3">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487" w:type="dxa"/>
            <w:shd w:val="clear" w:color="auto" w:fill="auto"/>
            <w:vAlign w:val="center"/>
          </w:tcPr>
          <w:p w14:paraId="0D9533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c>
          <w:tcPr>
            <w:tcW w:w="1227" w:type="dxa"/>
            <w:shd w:val="clear" w:color="auto" w:fill="auto"/>
            <w:vAlign w:val="center"/>
          </w:tcPr>
          <w:p w14:paraId="3A600B0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r>
    </w:tbl>
    <w:p w14:paraId="3CC7C1FC">
      <w:pPr>
        <w:spacing w:line="360" w:lineRule="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（三）货物需求表</w:t>
      </w:r>
    </w:p>
    <w:tbl>
      <w:tblPr>
        <w:tblStyle w:val="24"/>
        <w:tblW w:w="50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151"/>
        <w:gridCol w:w="6519"/>
        <w:gridCol w:w="1304"/>
        <w:gridCol w:w="1019"/>
      </w:tblGrid>
      <w:tr w14:paraId="345C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335" w:type="pct"/>
            <w:vAlign w:val="center"/>
          </w:tcPr>
          <w:p w14:paraId="6C9F4FDC">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537" w:type="pct"/>
            <w:vAlign w:val="center"/>
          </w:tcPr>
          <w:p w14:paraId="6AF4D516">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3042" w:type="pct"/>
            <w:vAlign w:val="center"/>
          </w:tcPr>
          <w:p w14:paraId="27296253">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608" w:type="pct"/>
            <w:vAlign w:val="center"/>
          </w:tcPr>
          <w:p w14:paraId="623BBAD5">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7747795E">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475" w:type="pct"/>
            <w:vAlign w:val="center"/>
          </w:tcPr>
          <w:p w14:paraId="3A2DC91D">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04C6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8" w:hRule="atLeast"/>
          <w:jc w:val="center"/>
        </w:trPr>
        <w:tc>
          <w:tcPr>
            <w:tcW w:w="335" w:type="pct"/>
            <w:vAlign w:val="center"/>
          </w:tcPr>
          <w:p w14:paraId="68F213F0">
            <w:pPr>
              <w:spacing w:line="360" w:lineRule="auto"/>
              <w:jc w:val="center"/>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537" w:type="pct"/>
            <w:vAlign w:val="center"/>
          </w:tcPr>
          <w:p w14:paraId="6975019D">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消化内镜洗消工作站</w:t>
            </w:r>
          </w:p>
        </w:tc>
        <w:tc>
          <w:tcPr>
            <w:tcW w:w="3042" w:type="pct"/>
            <w:vAlign w:val="center"/>
          </w:tcPr>
          <w:p w14:paraId="0CAA137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*1、台面、清洗槽、功能背板、干燥台材质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采用高分子复合材料（ABS+亚克力PMMA）整体热合吸</w:t>
            </w:r>
            <w:r>
              <w:rPr>
                <w:rFonts w:hint="eastAsia" w:asciiTheme="minorEastAsia" w:hAnsiTheme="minorEastAsia" w:eastAsiaTheme="minorEastAsia" w:cstheme="minorEastAsia"/>
                <w:sz w:val="24"/>
                <w:szCs w:val="24"/>
                <w:highlight w:val="none"/>
              </w:rPr>
              <w:t>塑成型，板材厚度≥5MM，高分子复合材料须根据医药行业标准YY0992-2016的5.2.3要求进行耐腐蚀性测试：在1%NaOH溶液中浸泡72小时无可视变化，在5% H2SO4溶液中浸泡72小时无可视变化</w:t>
            </w:r>
            <w:r>
              <w:rPr>
                <w:rFonts w:hint="eastAsia" w:ascii="宋体" w:hAnsi="宋体" w:eastAsia="宋体"/>
                <w:b/>
                <w:bCs w:val="0"/>
                <w:color w:val="auto"/>
                <w:sz w:val="24"/>
                <w:szCs w:val="18"/>
                <w:highlight w:val="none"/>
                <w:lang w:eastAsia="zh-CN"/>
              </w:rPr>
              <w:t>（</w:t>
            </w:r>
            <w:r>
              <w:rPr>
                <w:rFonts w:hint="eastAsia" w:ascii="宋体" w:hAnsi="宋体" w:eastAsia="宋体"/>
                <w:b/>
                <w:bCs w:val="0"/>
                <w:color w:val="auto"/>
                <w:sz w:val="24"/>
                <w:szCs w:val="18"/>
                <w:highlight w:val="none"/>
              </w:rPr>
              <w:t>提供检测机构</w:t>
            </w:r>
            <w:r>
              <w:rPr>
                <w:rFonts w:hint="eastAsia" w:ascii="宋体" w:hAnsi="宋体" w:eastAsia="宋体"/>
                <w:b/>
                <w:bCs w:val="0"/>
                <w:color w:val="auto"/>
                <w:sz w:val="24"/>
                <w:szCs w:val="18"/>
                <w:highlight w:val="none"/>
                <w:lang w:val="en-US" w:eastAsia="zh-CN"/>
              </w:rPr>
              <w:t>出具</w:t>
            </w:r>
            <w:r>
              <w:rPr>
                <w:rFonts w:hint="eastAsia" w:ascii="宋体" w:hAnsi="宋体" w:eastAsia="宋体"/>
                <w:b/>
                <w:bCs w:val="0"/>
                <w:color w:val="auto"/>
                <w:sz w:val="24"/>
                <w:szCs w:val="18"/>
                <w:highlight w:val="none"/>
              </w:rPr>
              <w:t>的检验报告</w:t>
            </w:r>
            <w:r>
              <w:rPr>
                <w:rFonts w:hint="eastAsia" w:ascii="宋体" w:hAnsi="宋体" w:eastAsia="宋体"/>
                <w:b/>
                <w:bCs w:val="0"/>
                <w:color w:val="auto"/>
                <w:sz w:val="24"/>
                <w:szCs w:val="18"/>
                <w:highlight w:val="none"/>
                <w:lang w:eastAsia="zh-CN"/>
              </w:rPr>
              <w:t>）</w:t>
            </w:r>
            <w:r>
              <w:rPr>
                <w:rFonts w:hint="eastAsia" w:asciiTheme="minorEastAsia" w:hAnsiTheme="minorEastAsia" w:eastAsiaTheme="minorEastAsia" w:cstheme="minorEastAsia"/>
                <w:sz w:val="24"/>
                <w:szCs w:val="24"/>
                <w:highlight w:val="none"/>
              </w:rPr>
              <w:t>；</w:t>
            </w:r>
          </w:p>
          <w:p w14:paraId="635AB9E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■2、浸泡槽盖材质</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采用透明亚克力板材一次成型，并配有电动盖门，板材厚度≥4mm；</w:t>
            </w:r>
          </w:p>
          <w:p w14:paraId="4F432F2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★3、功能背板形状材质要求</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背板采用与清洗槽相同的材质；工作站配置与底柜相同长度的吊柜</w:t>
            </w:r>
            <w:r>
              <w:rPr>
                <w:rFonts w:hint="eastAsia" w:ascii="宋体" w:hAnsi="宋体" w:eastAsia="宋体"/>
                <w:bCs/>
                <w:color w:val="auto"/>
                <w:sz w:val="24"/>
                <w:szCs w:val="18"/>
                <w:highlight w:val="none"/>
              </w:rPr>
              <w:t>（具体尺寸根据医院要求定制，费用包含在投标</w:t>
            </w:r>
            <w:r>
              <w:rPr>
                <w:rFonts w:hint="eastAsia" w:ascii="宋体" w:hAnsi="宋体" w:eastAsia="宋体"/>
                <w:bCs/>
                <w:color w:val="auto"/>
                <w:sz w:val="24"/>
                <w:szCs w:val="18"/>
                <w:highlight w:val="none"/>
                <w:lang w:val="en-US" w:eastAsia="zh-CN"/>
              </w:rPr>
              <w:t>报价</w:t>
            </w:r>
            <w:r>
              <w:rPr>
                <w:rFonts w:hint="eastAsia" w:ascii="宋体" w:hAnsi="宋体" w:eastAsia="宋体"/>
                <w:bCs/>
                <w:color w:val="auto"/>
                <w:sz w:val="24"/>
                <w:szCs w:val="18"/>
                <w:highlight w:val="none"/>
              </w:rPr>
              <w:t>内</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投标文件中提供承诺函，格式自拟。</w:t>
            </w:r>
            <w:r>
              <w:rPr>
                <w:rFonts w:hint="eastAsia" w:ascii="宋体" w:hAnsi="宋体" w:eastAsia="宋体"/>
                <w:bCs/>
                <w:color w:val="auto"/>
                <w:sz w:val="24"/>
                <w:szCs w:val="18"/>
                <w:highlight w:val="none"/>
              </w:rPr>
              <w:t>）</w:t>
            </w:r>
            <w:r>
              <w:rPr>
                <w:rFonts w:hint="eastAsia" w:asciiTheme="minorEastAsia" w:hAnsiTheme="minorEastAsia" w:eastAsiaTheme="minorEastAsia" w:cstheme="minorEastAsia"/>
                <w:sz w:val="24"/>
                <w:szCs w:val="24"/>
                <w:highlight w:val="none"/>
              </w:rPr>
              <w:t>；</w:t>
            </w:r>
          </w:p>
          <w:p w14:paraId="68354E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柜门材质</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采用彩色钢化玻璃或者pet材质等高分子材料</w:t>
            </w:r>
          </w:p>
          <w:p w14:paraId="68CAD02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柜体底板材质</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柜体底板采用P</w:t>
            </w:r>
            <w:r>
              <w:rPr>
                <w:rFonts w:hint="eastAsia" w:asciiTheme="minorEastAsia" w:hAnsiTheme="minorEastAsia" w:eastAsiaTheme="minorEastAsia" w:cstheme="minorEastAsia"/>
                <w:sz w:val="24"/>
                <w:szCs w:val="24"/>
              </w:rPr>
              <w:t>VC塑钢板材质</w:t>
            </w:r>
          </w:p>
          <w:p w14:paraId="3BEA07F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★6、管道自身消毒功能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可对终末漂洗用水管道定期消毒，消毒对象包括0.2μm过滤滤芯、终末漂洗水枪及水枪管道、水龙头及灌流系统管道，保障内镜清洗用水水质符合WS507-2016中菌落数≤10cuf/100mL的要求，保障内镜洗消效果。管道自身消毒结束后可自动冲洗内部管道，防止消毒液残留。</w:t>
            </w:r>
          </w:p>
          <w:p w14:paraId="3C926FB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7、全自动灌注主机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采用隐藏式后置设计，不占用操作空间，一键式操作，方便快捷；注水注气系统采用分离式设计，脉冲注水功能，并且在注水完成后自动实现注气的切换，避免了交叉感染的危险；</w:t>
            </w:r>
          </w:p>
          <w:p w14:paraId="41AC073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8、排水管路</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所有排水管采用优质PVC排水管材和管件，符合GB/T 8804.2-2003要求；</w:t>
            </w:r>
          </w:p>
          <w:p w14:paraId="2FC984A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9、水源控制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自动/手动双控水源控制要求：自动/手动双控水源的开关，不仅可以实现总水源的自动关闭，避免在无人看管使用时发生漏水现象，同时又可以实现在断电</w:t>
            </w:r>
            <w:r>
              <w:rPr>
                <w:rFonts w:hint="eastAsia" w:asciiTheme="minorEastAsia" w:hAnsiTheme="minorEastAsia" w:eastAsiaTheme="minorEastAsia" w:cstheme="minorEastAsia"/>
                <w:sz w:val="24"/>
                <w:szCs w:val="24"/>
                <w:highlight w:val="none"/>
              </w:rPr>
              <w:t>情况下手动打开总水源，保证工作站的正常使用；</w:t>
            </w:r>
          </w:p>
          <w:p w14:paraId="3F83A22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10、终末漂洗水质</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终末漂洗用水水质符合WS507-2016 《软式内镜清洗消毒技术规范》及医药行业标准YY0992-2016《内镜清洗工作站》要求，终末漂洗槽水龙头、水枪、灌流器出水水质细菌总数≤10CFU/100mL的要求。</w:t>
            </w:r>
            <w:r>
              <w:rPr>
                <w:rFonts w:hint="eastAsia" w:ascii="宋体" w:hAnsi="宋体" w:eastAsia="宋体"/>
                <w:b/>
                <w:bCs w:val="0"/>
                <w:color w:val="auto"/>
                <w:sz w:val="24"/>
                <w:szCs w:val="18"/>
                <w:highlight w:val="none"/>
                <w:lang w:eastAsia="zh-CN"/>
              </w:rPr>
              <w:t>（</w:t>
            </w:r>
            <w:r>
              <w:rPr>
                <w:rFonts w:hint="eastAsia" w:ascii="宋体" w:hAnsi="宋体" w:eastAsia="宋体"/>
                <w:b/>
                <w:bCs w:val="0"/>
                <w:color w:val="auto"/>
                <w:sz w:val="24"/>
                <w:szCs w:val="18"/>
                <w:highlight w:val="none"/>
              </w:rPr>
              <w:t>提供检测机构</w:t>
            </w:r>
            <w:r>
              <w:rPr>
                <w:rFonts w:hint="eastAsia" w:ascii="宋体" w:hAnsi="宋体" w:eastAsia="宋体"/>
                <w:b/>
                <w:bCs w:val="0"/>
                <w:color w:val="auto"/>
                <w:sz w:val="24"/>
                <w:szCs w:val="18"/>
                <w:highlight w:val="none"/>
                <w:lang w:val="en-US" w:eastAsia="zh-CN"/>
              </w:rPr>
              <w:t>出具</w:t>
            </w:r>
            <w:r>
              <w:rPr>
                <w:rFonts w:hint="eastAsia" w:ascii="宋体" w:hAnsi="宋体" w:eastAsia="宋体"/>
                <w:b/>
                <w:bCs w:val="0"/>
                <w:color w:val="auto"/>
                <w:sz w:val="24"/>
                <w:szCs w:val="18"/>
                <w:highlight w:val="none"/>
              </w:rPr>
              <w:t>的检验报告</w:t>
            </w:r>
            <w:r>
              <w:rPr>
                <w:rFonts w:hint="eastAsia" w:ascii="宋体" w:hAnsi="宋体" w:eastAsia="宋体"/>
                <w:b/>
                <w:bCs w:val="0"/>
                <w:color w:val="auto"/>
                <w:sz w:val="24"/>
                <w:szCs w:val="18"/>
                <w:highlight w:val="none"/>
                <w:lang w:eastAsia="zh-CN"/>
              </w:rPr>
              <w:t>）</w:t>
            </w:r>
          </w:p>
          <w:p w14:paraId="7273437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■11、医用无油空气压缩机</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采用医用低噪音无油空压机，配置细菌过滤装置；有主动散热、自动排水功能，供气压力：max0.7MPa 供气量：≥120L/min 储气量：≥30L  噪音≦40dB ，为内镜清洗工作提供持续纯净的压力空气；</w:t>
            </w:r>
          </w:p>
          <w:p w14:paraId="093DDE7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■12、高压水枪材质及功能</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枪体采用SUS304不锈钢，配备≥8个清洗喷嘴；耐受压力0-0.7MPa</w:t>
            </w:r>
            <w:r>
              <w:rPr>
                <w:rFonts w:hint="eastAsia" w:asciiTheme="minorEastAsia" w:hAnsiTheme="minorEastAsia" w:eastAsiaTheme="minorEastAsia" w:cstheme="minorEastAsia"/>
                <w:sz w:val="24"/>
                <w:szCs w:val="24"/>
                <w:highlight w:val="none"/>
                <w:lang w:eastAsia="zh-CN"/>
              </w:rPr>
              <w:t>；</w:t>
            </w:r>
          </w:p>
          <w:p w14:paraId="71CF4AD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13、规格尺寸大小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具体尺寸根据现场确定，满足临床需求；投标人自行勘查现场</w:t>
            </w:r>
            <w:r>
              <w:rPr>
                <w:rFonts w:hint="eastAsia" w:ascii="宋体" w:hAnsi="宋体" w:eastAsia="宋体"/>
                <w:bCs/>
                <w:color w:val="auto"/>
                <w:sz w:val="24"/>
                <w:szCs w:val="18"/>
                <w:highlight w:val="none"/>
                <w:lang w:eastAsia="zh-CN"/>
              </w:rPr>
              <w:t>（具体地址：浙江大学医学院附属第二医院安徽医院三楼内镜中心，联系电话：0552-3086957）</w:t>
            </w:r>
            <w:r>
              <w:rPr>
                <w:rFonts w:hint="eastAsia" w:asciiTheme="minorEastAsia" w:hAnsiTheme="minorEastAsia" w:eastAsiaTheme="minorEastAsia" w:cstheme="minorEastAsia"/>
                <w:sz w:val="24"/>
                <w:szCs w:val="24"/>
                <w:highlight w:val="none"/>
              </w:rPr>
              <w:t>，根据医院要求设计，满足使用需求并符合院感要求；中标后，根据现场情况，提供图纸供医院确认；</w:t>
            </w:r>
            <w:r>
              <w:rPr>
                <w:rFonts w:hint="eastAsia" w:ascii="宋体" w:hAnsi="宋体" w:eastAsia="宋体"/>
                <w:b/>
                <w:bCs w:val="0"/>
                <w:color w:val="auto"/>
                <w:sz w:val="24"/>
                <w:szCs w:val="18"/>
                <w:highlight w:val="none"/>
                <w:lang w:eastAsia="zh-CN"/>
              </w:rPr>
              <w:t>（</w:t>
            </w:r>
            <w:r>
              <w:rPr>
                <w:rFonts w:hint="eastAsia" w:ascii="宋体" w:hAnsi="宋体" w:eastAsia="宋体"/>
                <w:b/>
                <w:bCs w:val="0"/>
                <w:color w:val="auto"/>
                <w:sz w:val="24"/>
                <w:szCs w:val="18"/>
                <w:highlight w:val="none"/>
                <w:lang w:val="en-US" w:eastAsia="zh-CN"/>
              </w:rPr>
              <w:t>投标文件</w:t>
            </w:r>
            <w:r>
              <w:rPr>
                <w:rFonts w:hint="eastAsia" w:ascii="宋体" w:hAnsi="宋体" w:eastAsia="宋体"/>
                <w:b/>
                <w:bCs w:val="0"/>
                <w:color w:val="auto"/>
                <w:sz w:val="24"/>
                <w:szCs w:val="18"/>
                <w:highlight w:val="none"/>
              </w:rPr>
              <w:t>提供承诺函</w:t>
            </w:r>
            <w:r>
              <w:rPr>
                <w:rFonts w:hint="eastAsia" w:ascii="宋体" w:hAnsi="宋体" w:eastAsia="宋体"/>
                <w:b/>
                <w:bCs w:val="0"/>
                <w:color w:val="auto"/>
                <w:sz w:val="24"/>
                <w:szCs w:val="18"/>
                <w:highlight w:val="none"/>
                <w:lang w:val="en-US" w:eastAsia="zh-CN"/>
              </w:rPr>
              <w:t>,格式自拟)</w:t>
            </w:r>
            <w:r>
              <w:rPr>
                <w:rFonts w:hint="eastAsia" w:ascii="宋体" w:hAnsi="宋体" w:eastAsia="宋体"/>
                <w:bCs/>
                <w:color w:val="auto"/>
                <w:sz w:val="24"/>
                <w:szCs w:val="18"/>
                <w:highlight w:val="none"/>
                <w:lang w:eastAsia="zh-CN"/>
              </w:rPr>
              <w:t>；</w:t>
            </w:r>
          </w:p>
          <w:p w14:paraId="1A7CC93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14、清洗灌流槽</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配备液晶显示，可</w:t>
            </w:r>
            <w:r>
              <w:rPr>
                <w:rFonts w:hint="eastAsia" w:asciiTheme="minorEastAsia" w:hAnsiTheme="minorEastAsia" w:eastAsiaTheme="minorEastAsia" w:cstheme="minorEastAsia"/>
                <w:sz w:val="24"/>
                <w:szCs w:val="24"/>
              </w:rPr>
              <w:t>显示运行时间，可定时，一键灌流</w:t>
            </w:r>
          </w:p>
          <w:p w14:paraId="1485DFC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、其他配置</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配有热水产生以及控制装置</w:t>
            </w:r>
          </w:p>
          <w:p w14:paraId="3C35133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、隔断式内镜清洗机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ab/>
            </w:r>
          </w:p>
          <w:p w14:paraId="011DAC8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.1适用范围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用于手术器械和软式内镜的清洗、消毒和干燥。柜式单腔穿墙式结构，双门设计可实现内镜污洗区与干燥区之间的实际屏障隔离。</w:t>
            </w:r>
          </w:p>
          <w:p w14:paraId="0FD0CF6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.2洗消方式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采用外部喷淋+管腔内灌流的清洗方式；</w:t>
            </w:r>
          </w:p>
          <w:p w14:paraId="6504D26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.3最大装载量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≥3条软式内镜</w:t>
            </w:r>
          </w:p>
          <w:p w14:paraId="5CFE179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舱体容积</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≥190L</w:t>
            </w:r>
          </w:p>
          <w:p w14:paraId="3E87506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.5洗消检测</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为保证洗消成功及安全性，内灌流需具有各个管道运行正常的检测功能，能够实时显示相关数值。提供显示的相关数值的照片。</w:t>
            </w:r>
          </w:p>
          <w:p w14:paraId="5D8997C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.6篮筐材质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塑料篮筐</w:t>
            </w:r>
          </w:p>
          <w:p w14:paraId="4F38E7F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.7材质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设备整机外部至少采用材质304不锈钢，内舱及喷淋臂至少采用316或316L不锈钢材质</w:t>
            </w:r>
          </w:p>
          <w:p w14:paraId="1C7CF4C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.8设备使用年限</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≥10年（提供设备铭牌或说明书证明）</w:t>
            </w:r>
          </w:p>
          <w:p w14:paraId="64ACE1E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.9状态灯显示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状态灯显示≥3种不同颜色，来区分设备运行状态</w:t>
            </w:r>
          </w:p>
          <w:p w14:paraId="036752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.10运行时间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完成一个标准程序时间（酶洗，漂洗，消毒，终末漂洗，干燥）≤22分钟，具备多对多的快插对接接口，单个快插对接接口能够一次性对接≥6根管腔。</w:t>
            </w:r>
          </w:p>
          <w:p w14:paraId="26DEAEB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.11控制系统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PLC控制清洗消毒全过程，触摸屏显示及操作；预设内镜和器械两种负载程序可选，负载程序预设≥8个内置程序以及多种自定义程序，具有故障自动检测、报警及故障记录</w:t>
            </w:r>
          </w:p>
          <w:p w14:paraId="1057F5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.12显示界面</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≥8寸彩色触摸屏显示，显示屏显示运行过程的程序名称、洗消日期、运行阶段名称和阶段计时</w:t>
            </w:r>
          </w:p>
          <w:p w14:paraId="15DEC4A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.13信息管理及追溯功能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可采集内镜信息、操作人员信息和内镜清洗消毒的过程数据通过网络与用户的计算机系统连接，实现患者信息与内镜清洗消毒信息管理。纸质记录方式含自动打印洗消过程信息、并记录A0值。</w:t>
            </w:r>
          </w:p>
          <w:p w14:paraId="11AFD3A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.14安全保护</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设备具备安全保护装置：超温自动保护、防干烧保护、风压低保护、门障</w:t>
            </w:r>
            <w:r>
              <w:rPr>
                <w:rFonts w:hint="eastAsia" w:asciiTheme="minorEastAsia" w:hAnsiTheme="minorEastAsia" w:eastAsiaTheme="minorEastAsia" w:cstheme="minorEastAsia"/>
                <w:sz w:val="24"/>
                <w:szCs w:val="24"/>
                <w:highlight w:val="none"/>
              </w:rPr>
              <w:t>碍保护、电机过流保护。</w:t>
            </w:r>
          </w:p>
          <w:p w14:paraId="6645D2A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*18、总配置清单及要求：</w:t>
            </w:r>
            <w:r>
              <w:rPr>
                <w:rFonts w:hint="eastAsia" w:ascii="宋体" w:hAnsi="宋体" w:eastAsia="宋体"/>
                <w:b/>
                <w:bCs w:val="0"/>
                <w:color w:val="auto"/>
                <w:sz w:val="24"/>
                <w:szCs w:val="18"/>
                <w:highlight w:val="none"/>
              </w:rPr>
              <w:t>（投标文件中须提供承诺函，格式自拟，承诺中标后按照以下配置进行响应；下列各项配置投标文件中均需在分项报价表中单独报价）</w:t>
            </w:r>
            <w:r>
              <w:rPr>
                <w:rFonts w:hint="eastAsia" w:asciiTheme="minorEastAsia" w:hAnsiTheme="minorEastAsia" w:eastAsiaTheme="minorEastAsia" w:cstheme="minorEastAsia"/>
                <w:sz w:val="24"/>
                <w:szCs w:val="24"/>
                <w:highlight w:val="none"/>
              </w:rPr>
              <w:tab/>
            </w:r>
          </w:p>
          <w:p w14:paraId="4811911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18.1、清洗工作站1批</w:t>
            </w:r>
            <w:r>
              <w:rPr>
                <w:rFonts w:hint="eastAsia" w:asciiTheme="minorEastAsia" w:hAnsiTheme="minorEastAsia" w:eastAsiaTheme="minorEastAsia" w:cstheme="minorEastAsia"/>
                <w:sz w:val="24"/>
                <w:szCs w:val="24"/>
                <w:highlight w:val="none"/>
                <w:lang w:eastAsia="zh-CN"/>
              </w:rPr>
              <w:t>：</w:t>
            </w:r>
          </w:p>
          <w:p w14:paraId="7EEF1B6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清洗工作站至少由超声槽</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个、清洗槽</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个、漂洗槽</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个、浸泡槽(消毒槽)</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个、末洗槽(终末漂洗槽)</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个、</w:t>
            </w:r>
            <w:r>
              <w:rPr>
                <w:rFonts w:hint="eastAsia" w:asciiTheme="minorEastAsia" w:hAnsiTheme="minorEastAsia" w:eastAsiaTheme="minorEastAsia" w:cstheme="minorEastAsia"/>
                <w:sz w:val="24"/>
                <w:szCs w:val="24"/>
              </w:rPr>
              <w:t>干燥台</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套（总长度≥7.5米，具体数量规格按医院需求定制）和管路系统</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套、控制系统</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套组成。</w:t>
            </w:r>
          </w:p>
          <w:p w14:paraId="2D659D1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、隔断式内镜清洗机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2台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包含</w:t>
            </w:r>
            <w:r>
              <w:rPr>
                <w:rFonts w:hint="eastAsia" w:asciiTheme="minorEastAsia" w:hAnsiTheme="minorEastAsia" w:eastAsiaTheme="minorEastAsia" w:cstheme="minorEastAsia"/>
                <w:sz w:val="24"/>
                <w:szCs w:val="24"/>
              </w:rPr>
              <w:t>配套安装及施工</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即</w:t>
            </w:r>
            <w:r>
              <w:rPr>
                <w:rFonts w:hint="eastAsia" w:asciiTheme="minorEastAsia" w:hAnsiTheme="minorEastAsia" w:eastAsiaTheme="minorEastAsia" w:cstheme="minorEastAsia"/>
                <w:sz w:val="24"/>
                <w:szCs w:val="24"/>
              </w:rPr>
              <w:t>配套隔断、该设备前后面的隔断装饰及传递窗；以上费用包含在投标总价中</w:t>
            </w:r>
            <w:r>
              <w:rPr>
                <w:rFonts w:hint="eastAsia" w:asciiTheme="minorEastAsia" w:hAnsiTheme="minorEastAsia" w:eastAsiaTheme="minorEastAsia" w:cstheme="minorEastAsia"/>
                <w:sz w:val="24"/>
                <w:szCs w:val="24"/>
                <w:lang w:eastAsia="zh-CN"/>
              </w:rPr>
              <w:t>）</w:t>
            </w:r>
          </w:p>
          <w:p w14:paraId="29CEBB2E">
            <w:pPr>
              <w:snapToGrid w:val="0"/>
              <w:spacing w:line="360" w:lineRule="auto"/>
              <w:rPr>
                <w:rFonts w:ascii="宋体" w:hAnsi="宋体" w:eastAsia="宋体"/>
                <w:bCs/>
                <w:color w:val="auto"/>
                <w:sz w:val="24"/>
                <w:szCs w:val="18"/>
                <w:highlight w:val="none"/>
              </w:rPr>
            </w:pP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内镜转运车</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5辆</w:t>
            </w:r>
          </w:p>
        </w:tc>
        <w:tc>
          <w:tcPr>
            <w:tcW w:w="608" w:type="pct"/>
            <w:vAlign w:val="center"/>
          </w:tcPr>
          <w:p w14:paraId="42907A60">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工业</w:t>
            </w:r>
          </w:p>
        </w:tc>
        <w:tc>
          <w:tcPr>
            <w:tcW w:w="475" w:type="pct"/>
            <w:vAlign w:val="center"/>
          </w:tcPr>
          <w:p w14:paraId="5ED7E0F2">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w:t>
            </w:r>
          </w:p>
        </w:tc>
      </w:tr>
      <w:tr w14:paraId="2B99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5" w:hRule="atLeast"/>
          <w:jc w:val="center"/>
        </w:trPr>
        <w:tc>
          <w:tcPr>
            <w:tcW w:w="335" w:type="pct"/>
            <w:vAlign w:val="center"/>
          </w:tcPr>
          <w:p w14:paraId="568DCCE3">
            <w:pPr>
              <w:spacing w:line="360" w:lineRule="auto"/>
              <w:jc w:val="center"/>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w:t>
            </w:r>
          </w:p>
        </w:tc>
        <w:tc>
          <w:tcPr>
            <w:tcW w:w="537" w:type="pct"/>
            <w:vAlign w:val="center"/>
          </w:tcPr>
          <w:p w14:paraId="356C88A3">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内镜追溯系统</w:t>
            </w:r>
          </w:p>
        </w:tc>
        <w:tc>
          <w:tcPr>
            <w:tcW w:w="3042" w:type="pct"/>
            <w:vAlign w:val="center"/>
          </w:tcPr>
          <w:p w14:paraId="61AE03A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★1、用途：内镜追溯管理系统利用RFID技术，对内镜的洗消、存储、使用等各个环节进行跟踪监控。</w:t>
            </w:r>
          </w:p>
          <w:p w14:paraId="2DF5A25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内镜洗消模块</w:t>
            </w:r>
          </w:p>
          <w:p w14:paraId="1C87813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2.1、针对内镜清洗工作站，采用RFID技术实现内镜清洗消毒作业数据的动态采集，获取每条内镜清洗、漂洗、消毒、终末漂洗、干燥等各清洗、消毒步骤的实时数据记录</w:t>
            </w:r>
          </w:p>
          <w:p w14:paraId="0721E34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2.2、可接入全自动软式内镜清洗消毒器，自动获取设备洗消数据。</w:t>
            </w:r>
          </w:p>
          <w:p w14:paraId="18D32BE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2.3、洗消阶段采集的数据包括:内镜名称、内镜类型、洗消日期、各个步骤开始时间、洗消总时长、内镜状态等。</w:t>
            </w:r>
          </w:p>
          <w:p w14:paraId="3362786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2.4、语音提醒功能：正常作业及不规范作业行为均提供电脑语音提醒或告警支持，包含RFID刷卡信息语音提示、不规范操作语音告警。</w:t>
            </w:r>
          </w:p>
          <w:p w14:paraId="1D3F2A8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2.5、系统支持洗消流程记录信息完整时自动提交数据库保存，无需用户二次操作软件，有效减少用户操作次数并降低洗消记录漏保存的概率。</w:t>
            </w:r>
          </w:p>
          <w:p w14:paraId="61570EC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2.6、系统提供洗消流程记录灵活处理，解决洗消环节漏刷问题。</w:t>
            </w:r>
          </w:p>
          <w:p w14:paraId="22402AF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2.7、洗消阶段可灵活配置，满足不同的洗消流程。</w:t>
            </w:r>
          </w:p>
          <w:p w14:paraId="41B13E2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2.8、洗消阶段监控：实时显示内镜名称、洗消阶段、时间、操作人，辅助用户完成洗消工作。自动识别二次清洗、特殊清洗、完结清洗，并在洗消监控进行特殊标记及颜色区分。</w:t>
            </w:r>
          </w:p>
          <w:p w14:paraId="16CF0AD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2.9、内镜洗消明细：查询指定日期段的内镜洗消明细，查询条件：日期时间、洗消人、洗消类型。查询结果：内镜种类、内镜型号、内镜编号、洗消人、洗消日期、内镜名称、洗消时长、洗消工序。导出Excel格式文件。</w:t>
            </w:r>
          </w:p>
          <w:p w14:paraId="3852848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2.10、特殊洗消查询：查询特殊感染患者使用后的内镜洗消明细。查询条件：日期、洗消人、内镜类型；查询结果：洗消人、内镜种类、内镜型号、内镜编号、洗消日期、洗消时长、洗消步骤。导出Excel格式文件。</w:t>
            </w:r>
          </w:p>
          <w:p w14:paraId="68A4100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2.11、洗消工作量统计：统计洗消人指定时间段内的洗消内镜数量。查询条件：洗消人、日期。查询结果：洗消内镜数量、洗消人。导出Excel格式文件。</w:t>
            </w:r>
          </w:p>
          <w:p w14:paraId="10B9859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2.12、身份鉴权</w:t>
            </w:r>
          </w:p>
          <w:p w14:paraId="320A8F5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2.12.1、提供用户登录身份鉴权能力，系统管理权限鉴别，防止非授权人员随意访问系统。</w:t>
            </w:r>
          </w:p>
          <w:p w14:paraId="48F63FC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2.12.2、操作员登录模式，用于洗消人员的登录；</w:t>
            </w:r>
          </w:p>
          <w:p w14:paraId="58D8C0B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2.12.3、管理员登录模式，用于护士长等管理者的登录；</w:t>
            </w:r>
          </w:p>
          <w:p w14:paraId="6A5897F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2.13、设备管理</w:t>
            </w:r>
          </w:p>
          <w:p w14:paraId="1C76D20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2.13.1、可维护内镜清洗工作站各个洗消流程的IP地址，常规和特殊洗消时长，洗消流程可根据工作站灵活配置，可维护全自动软式内镜清洗消毒器的设备IP和端口，读卡器的IP等。</w:t>
            </w:r>
          </w:p>
          <w:p w14:paraId="355DB7E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2.13.2、人员管理：可维护科室人员信息，包括：科室、岗位、用户编码、院内工号、用户姓名、性别、年龄、手机号、座机号等。</w:t>
            </w:r>
          </w:p>
          <w:p w14:paraId="08E919F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2.13.3、内镜管理：可维护科室所有内镜的基础信息。包括：内镜编码、内镜名称、内镜钢号、内镜类型、所属科室、厂家、使用次数、内镜状态、科室管理：可以添加多科室管理。</w:t>
            </w:r>
          </w:p>
          <w:p w14:paraId="7079D00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2.14、</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消毒液监测</w:t>
            </w:r>
          </w:p>
          <w:p w14:paraId="3405028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2.14.1、可记录：消毒液种类，消毒液名称，监测设备，消毒槽，监测时间，操作人，监测结果（是否合格），监测结果照片。支持高拍仪、摄像头等拍照上传。</w:t>
            </w:r>
          </w:p>
          <w:p w14:paraId="6D7B7DC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2.15、培训教学管理：支持文件、视频等上传、下载、在线阅读等功能。</w:t>
            </w:r>
          </w:p>
          <w:p w14:paraId="6C1C968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2.16、内镜维修管理：实现对内镜型号、内镜名称、维修部位、维修次数、维修的起止时间、维修费用等信息登记功能。</w:t>
            </w:r>
          </w:p>
          <w:p w14:paraId="753E26C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内镜存储模块</w:t>
            </w:r>
          </w:p>
          <w:p w14:paraId="7CC4439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3.1、采用RFID技术实现内镜储存柜出入库数据的动态采集，获取每条内镜出入库时间、操作人、储存柜号、内镜名称数据记录。</w:t>
            </w:r>
          </w:p>
          <w:p w14:paraId="7E19C47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3.2、系统支持储存流程记录信息完整时自动提交数据库保存，无需用户二次操作软件，有效减少用户操作次数并降低储存记录漏保存的概率。</w:t>
            </w:r>
          </w:p>
          <w:p w14:paraId="5CE077E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3.3、系统提供储存流程记录灵活处理，解决储存环节漏刷问题。</w:t>
            </w:r>
          </w:p>
          <w:p w14:paraId="701CBEE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3.4、储存阶段采集的数据包括：操作人、出入库内镜名称、出入库内镜型号、出入库内镜钢号、内镜出入库时间、内镜状态、内镜储存柜名称、内镜储存柜编号。</w:t>
            </w:r>
          </w:p>
          <w:p w14:paraId="13A4B97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3.5、实时库存信息查询：查询条件包括储存柜名称、储存柜编号、内镜名称、内镜编号；查询结果包括内镜名称、内镜型号、操作人、入库时间、内镜储存柜名称、内镜储存柜编号</w:t>
            </w:r>
          </w:p>
          <w:p w14:paraId="03481EF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3.6、内镜出入库查询：查询条件包括储存柜名称、储存柜编号、内镜名称、内镜编号，日期；查询结果包括内镜名称、内镜型号、操作人、出入库时间、内镜储存柜名称、内镜储存柜编号</w:t>
            </w:r>
          </w:p>
          <w:p w14:paraId="022417F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内镜诊疗模块</w:t>
            </w:r>
          </w:p>
          <w:p w14:paraId="1E59F33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4.1、采用RFID技术实现内镜诊疗数据的动态采集，真实准确地获知内镜、病人等信息。</w:t>
            </w:r>
          </w:p>
          <w:p w14:paraId="0126473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4.2、系统提供诊疗流程记录灵活处理，解决诊疗环节漏刷问题。</w:t>
            </w:r>
          </w:p>
          <w:p w14:paraId="0E92739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4.3、系统支持与PACS或HIS做病人接口，直接获取病人数据，无需用户手动操作。</w:t>
            </w:r>
          </w:p>
          <w:p w14:paraId="41EE4A1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4.4、诊疗阶段采集的数据包括：操作人、内镜名称、检查开始时间、检查结束时间、病人检查号、病人姓名、医生姓名、阳性标识、诊疗房间号。</w:t>
            </w:r>
          </w:p>
          <w:p w14:paraId="53A34F5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4.5、病人使用追溯查询：查询病人使用的内镜使用前和使用后的内镜洗消过程明细；查询条件：病人姓名、检查号、使用日期范围；查询结果：病人姓名、检查号、使用日期、内镜种类、内镜型号、内镜编号、使用前后的洗消人、洗消日期、洗消步骤、洗消时长等</w:t>
            </w:r>
          </w:p>
          <w:p w14:paraId="0AC3EF4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质量控制模块</w:t>
            </w:r>
          </w:p>
          <w:p w14:paraId="1809080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5.1、提供刷卡有效间隔控制，避免读卡器连续性读取重复的数据影响应用效果。</w:t>
            </w:r>
          </w:p>
          <w:p w14:paraId="5E0CED6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5.2、对各个环节操作时间进行监管，对不满足最低清洗消毒时间的操作进行报警提示，且无法进入下一洗消步骤。</w:t>
            </w:r>
          </w:p>
          <w:p w14:paraId="4750503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5.3、对内镜储存进行监管，对未经清洗消毒或清洗消毒不合格的内镜进行报警提示并严禁储存</w:t>
            </w:r>
          </w:p>
          <w:p w14:paraId="46FDF20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5.4、对内镜诊疗进行监管，对未经清洗消毒或清洗消毒不合格的内镜进行报警提示并严禁给病人使用。</w:t>
            </w:r>
          </w:p>
          <w:p w14:paraId="0F64261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5.5、诊疗房间刷卡时刷卡器在出现PACS对接查询错误时蜂鸣提示操作人员。</w:t>
            </w:r>
          </w:p>
          <w:p w14:paraId="77D3F89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5.6、诊疗房间刷卡器网络连接错误时及时显示。</w:t>
            </w:r>
          </w:p>
          <w:p w14:paraId="640B066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5.7、建立阳性内镜的监管记录，将阳性镜与普通内镜区分处理，避免交叉感染。</w:t>
            </w:r>
          </w:p>
          <w:p w14:paraId="210E45F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5.8、对登记损坏的内镜信息及时进行反馈，方便用户及时维修补全，不耽误用户使用。</w:t>
            </w:r>
          </w:p>
          <w:p w14:paraId="4C50024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5.9、统计内镜的使用次数，对于使用达到一定次数的内镜提醒用户及时检修。</w:t>
            </w:r>
          </w:p>
          <w:p w14:paraId="6218626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*6、总配置清单及其他要求（投标文件中提供承诺函）</w:t>
            </w:r>
          </w:p>
          <w:p w14:paraId="3D5F4E3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6.1</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配置服务器、机柜、工作站及其他必备硬件；所有通讯端口永久免费开放并提供通讯协议；</w:t>
            </w:r>
          </w:p>
          <w:p w14:paraId="79C332D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6.2</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内镜追溯系统</w:t>
            </w:r>
            <w:r>
              <w:rPr>
                <w:rFonts w:hint="eastAsia" w:asciiTheme="minorEastAsia" w:hAnsiTheme="minorEastAsia" w:eastAsiaTheme="minorEastAsia" w:cstheme="minorEastAsia"/>
                <w:sz w:val="24"/>
                <w:szCs w:val="24"/>
                <w:highlight w:val="none"/>
                <w:lang w:val="en-US" w:eastAsia="zh-CN"/>
              </w:rPr>
              <w:t xml:space="preserve"> 1套</w:t>
            </w:r>
          </w:p>
        </w:tc>
        <w:tc>
          <w:tcPr>
            <w:tcW w:w="608" w:type="pct"/>
            <w:vAlign w:val="center"/>
          </w:tcPr>
          <w:p w14:paraId="3FE91C94">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工业</w:t>
            </w:r>
          </w:p>
        </w:tc>
        <w:tc>
          <w:tcPr>
            <w:tcW w:w="475" w:type="pct"/>
            <w:vAlign w:val="center"/>
          </w:tcPr>
          <w:p w14:paraId="16968888">
            <w:pPr>
              <w:spacing w:line="360" w:lineRule="auto"/>
              <w:jc w:val="center"/>
              <w:rPr>
                <w:rFonts w:hint="eastAsia" w:ascii="宋体" w:hAnsi="宋体" w:eastAsia="宋体"/>
                <w:bCs/>
                <w:color w:val="auto"/>
                <w:sz w:val="24"/>
                <w:szCs w:val="18"/>
                <w:highlight w:val="none"/>
              </w:rPr>
            </w:pPr>
          </w:p>
        </w:tc>
      </w:tr>
      <w:tr w14:paraId="29DA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2" w:hRule="atLeast"/>
          <w:jc w:val="center"/>
        </w:trPr>
        <w:tc>
          <w:tcPr>
            <w:tcW w:w="335" w:type="pct"/>
            <w:vAlign w:val="center"/>
          </w:tcPr>
          <w:p w14:paraId="2476A3DC">
            <w:pPr>
              <w:spacing w:line="360" w:lineRule="auto"/>
              <w:jc w:val="center"/>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w:t>
            </w:r>
          </w:p>
        </w:tc>
        <w:tc>
          <w:tcPr>
            <w:tcW w:w="537" w:type="pct"/>
            <w:vAlign w:val="center"/>
          </w:tcPr>
          <w:p w14:paraId="319EEDCB">
            <w:pPr>
              <w:spacing w:line="360" w:lineRule="auto"/>
              <w:jc w:val="center"/>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内镜储存柜</w:t>
            </w:r>
          </w:p>
        </w:tc>
        <w:tc>
          <w:tcPr>
            <w:tcW w:w="3042" w:type="pct"/>
            <w:vAlign w:val="center"/>
          </w:tcPr>
          <w:p w14:paraId="5FCD2DC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用途：智能内镜储镜柜主要用于存放内窥镜，实现温度、湿度、风压、时间，全过程阶段的检测和监控。</w:t>
            </w:r>
          </w:p>
          <w:p w14:paraId="7654B88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材质</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内胆、外罩的材质均为铝板材质或者不锈钢。可视门</w:t>
            </w:r>
          </w:p>
          <w:p w14:paraId="0150607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容量</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可储存≥16条内镜</w:t>
            </w:r>
          </w:p>
          <w:p w14:paraId="1D85E62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开门方式</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具备自动开门功能，脚踢开关控制开关门</w:t>
            </w:r>
          </w:p>
          <w:p w14:paraId="113CBD3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储存拿取方式</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托盘水平存放</w:t>
            </w:r>
          </w:p>
          <w:p w14:paraId="79C2393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显示屏≥7英寸；彩色触摸屏。</w:t>
            </w:r>
          </w:p>
          <w:p w14:paraId="7D574C2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■7</w:t>
            </w:r>
            <w:r>
              <w:rPr>
                <w:rFonts w:hint="default"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显示屏显示内容</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温度、湿度、风压、时间，过程阶段和报警信息等。</w:t>
            </w:r>
          </w:p>
          <w:p w14:paraId="4B762EE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功能要求</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控制系统内设标准程序，至少具备储存、干燥功能。其中，储存程序可实现独立设置一周每天的工作时间段和工作时长，保护当日使用的内镜在储存过程中不会被二次污染，智能开启和停止，无需人工操作；干燥程序完成内镜内腔和外壁的干燥过程，防止内镜储存过程中滋生细菌。</w:t>
            </w:r>
          </w:p>
          <w:p w14:paraId="3B8051A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风机要求</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满足设备长期高效的使用环境，并且节能环保；</w:t>
            </w:r>
          </w:p>
          <w:p w14:paraId="0A36DF9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空气过滤器</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采用H13级，效率≥99.99%，过滤精度≤0.2 um</w:t>
            </w:r>
          </w:p>
          <w:p w14:paraId="767AF63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温湿度传感器</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测温范围0~50℃，湿度范围0~100%；</w:t>
            </w:r>
          </w:p>
          <w:p w14:paraId="05B1967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快速接头</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快速接头的底座与插头部分全部采用耐酸碱的高分子塑料</w:t>
            </w:r>
          </w:p>
          <w:p w14:paraId="79162B7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提供压力传感器</w:t>
            </w:r>
          </w:p>
          <w:p w14:paraId="589B19B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气体处理器</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过滤精度≤0.01um</w:t>
            </w:r>
          </w:p>
          <w:p w14:paraId="433D8E8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sz w:val="24"/>
                <w:szCs w:val="24"/>
                <w:lang w:val="en-US" w:eastAsia="zh-CN"/>
              </w:rPr>
              <w:t>★15</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软镜内腔干燥系统功能</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提供洁净压缩机，通过经过过滤的洁净压缩气实现对软镜内腔的干燥功能</w:t>
            </w:r>
          </w:p>
        </w:tc>
        <w:tc>
          <w:tcPr>
            <w:tcW w:w="608" w:type="pct"/>
            <w:vAlign w:val="center"/>
          </w:tcPr>
          <w:p w14:paraId="6C2A6EC1">
            <w:pPr>
              <w:spacing w:line="360" w:lineRule="auto"/>
              <w:jc w:val="center"/>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工业</w:t>
            </w:r>
          </w:p>
        </w:tc>
        <w:tc>
          <w:tcPr>
            <w:tcW w:w="475" w:type="pct"/>
            <w:vAlign w:val="center"/>
          </w:tcPr>
          <w:p w14:paraId="27A25BEF">
            <w:pPr>
              <w:spacing w:line="360" w:lineRule="auto"/>
              <w:jc w:val="center"/>
              <w:rPr>
                <w:rFonts w:hint="eastAsia" w:ascii="宋体" w:hAnsi="宋体" w:eastAsia="宋体"/>
                <w:bCs/>
                <w:color w:val="auto"/>
                <w:sz w:val="24"/>
                <w:szCs w:val="18"/>
                <w:highlight w:val="none"/>
              </w:rPr>
            </w:pPr>
          </w:p>
        </w:tc>
      </w:tr>
    </w:tbl>
    <w:p w14:paraId="1717BB53">
      <w:pPr>
        <w:spacing w:line="360" w:lineRule="auto"/>
        <w:ind w:firstLine="482" w:firstLineChars="200"/>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注：1.根据投标文件与招标文件要求实质性响应参数（标记“*”的技术参数）的偏离情况进行评审。不满足招标文件要求的，投标将被否决；</w:t>
      </w:r>
    </w:p>
    <w:p w14:paraId="04042EBB">
      <w:pPr>
        <w:spacing w:line="360" w:lineRule="auto"/>
        <w:ind w:firstLine="482" w:firstLineChars="200"/>
        <w:rPr>
          <w:rFonts w:ascii="宋体" w:hAnsi="宋体" w:eastAsia="宋体"/>
          <w:b/>
          <w:bCs/>
          <w:color w:val="auto"/>
          <w:sz w:val="24"/>
          <w:szCs w:val="18"/>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其他无标识项</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大于5项负偏离或未响应的</w:t>
      </w:r>
      <w:r>
        <w:rPr>
          <w:rFonts w:hint="eastAsia" w:ascii="宋体" w:hAnsi="宋体" w:eastAsia="宋体" w:cs="宋体"/>
          <w:b/>
          <w:bCs/>
          <w:color w:val="auto"/>
          <w:kern w:val="0"/>
          <w:sz w:val="24"/>
          <w:szCs w:val="24"/>
          <w:highlight w:val="none"/>
        </w:rPr>
        <w:t>投标将被否决</w:t>
      </w:r>
      <w:r>
        <w:rPr>
          <w:rFonts w:hint="eastAsia" w:asciiTheme="minorEastAsia" w:hAnsiTheme="minorEastAsia" w:eastAsiaTheme="minorEastAsia" w:cstheme="minorEastAsia"/>
          <w:b/>
          <w:color w:val="auto"/>
          <w:sz w:val="24"/>
          <w:szCs w:val="24"/>
          <w:highlight w:val="none"/>
          <w:lang w:eastAsia="zh-CN"/>
        </w:rPr>
        <w:t>。</w:t>
      </w:r>
    </w:p>
    <w:p w14:paraId="299E4B93">
      <w:pPr>
        <w:spacing w:line="360" w:lineRule="auto"/>
        <w:outlineLvl w:val="9"/>
        <w:rPr>
          <w:rFonts w:hint="eastAsia" w:ascii="宋体" w:hAnsi="宋体" w:eastAsia="宋体" w:cs="宋体"/>
          <w:b/>
          <w:color w:val="auto"/>
          <w:sz w:val="24"/>
          <w:szCs w:val="24"/>
          <w:highlight w:val="none"/>
        </w:rPr>
      </w:pP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rPr>
        <w:t>以技术规格偏离表和要求提供的证明资料为准。无标识项技术参数响应情况以技术规格偏离表中的响应情况为准；</w:t>
      </w:r>
      <w:r>
        <w:rPr>
          <w:rFonts w:hint="eastAsia" w:asciiTheme="minorEastAsia" w:hAnsiTheme="minorEastAsia" w:eastAsiaTheme="minorEastAsia"/>
          <w:b/>
          <w:bCs w:val="0"/>
          <w:color w:val="auto"/>
          <w:sz w:val="24"/>
          <w:highlight w:val="none"/>
        </w:rPr>
        <w:t>标注</w:t>
      </w:r>
      <w:r>
        <w:rPr>
          <w:rFonts w:hint="eastAsia" w:ascii="宋体" w:hAnsi="宋体" w:eastAsia="宋体" w:cs="宋体"/>
          <w:b/>
          <w:bCs w:val="0"/>
          <w:color w:val="auto"/>
          <w:kern w:val="0"/>
          <w:sz w:val="24"/>
          <w:szCs w:val="24"/>
          <w:highlight w:val="none"/>
          <w:lang w:bidi="ar"/>
        </w:rPr>
        <w:t>“*”</w:t>
      </w:r>
      <w:r>
        <w:rPr>
          <w:rFonts w:hint="eastAsia" w:ascii="宋体" w:hAnsi="宋体" w:eastAsia="宋体" w:cs="宋体"/>
          <w:b/>
          <w:bCs w:val="0"/>
          <w:color w:val="auto"/>
          <w:kern w:val="0"/>
          <w:sz w:val="24"/>
          <w:szCs w:val="24"/>
          <w:highlight w:val="none"/>
          <w:lang w:eastAsia="zh-CN" w:bidi="ar"/>
        </w:rPr>
        <w:t>的</w:t>
      </w:r>
      <w:r>
        <w:rPr>
          <w:rFonts w:hint="eastAsia" w:asciiTheme="minorEastAsia" w:hAnsiTheme="minorEastAsia" w:eastAsiaTheme="minorEastAsia"/>
          <w:b/>
          <w:color w:val="auto"/>
          <w:sz w:val="24"/>
          <w:highlight w:val="none"/>
        </w:rPr>
        <w:t>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若制造商公开发布的资料与检测机构出具的检测报告不一致，以检测机构出具的检测报告为准。为便于评审，</w:t>
      </w:r>
      <w:r>
        <w:rPr>
          <w:rFonts w:hint="eastAsia" w:ascii="宋体" w:hAnsi="宋体" w:eastAsia="宋体" w:cs="宋体"/>
          <w:b/>
          <w:bCs/>
          <w:color w:val="auto"/>
          <w:sz w:val="24"/>
          <w:szCs w:val="24"/>
          <w:highlight w:val="none"/>
          <w:lang w:eastAsia="zh-CN"/>
        </w:rPr>
        <w:t>建议</w:t>
      </w:r>
      <w:r>
        <w:rPr>
          <w:rFonts w:hint="eastAsia" w:ascii="宋体" w:hAnsi="宋体" w:eastAsia="宋体" w:cs="宋体"/>
          <w:b/>
          <w:bCs/>
          <w:color w:val="auto"/>
          <w:sz w:val="24"/>
          <w:szCs w:val="24"/>
          <w:highlight w:val="none"/>
        </w:rPr>
        <w:t>投标</w:t>
      </w:r>
      <w:r>
        <w:rPr>
          <w:rFonts w:hint="eastAsia" w:ascii="宋体" w:hAnsi="宋体" w:eastAsia="宋体" w:cs="宋体"/>
          <w:b/>
          <w:bCs/>
          <w:color w:val="auto"/>
          <w:sz w:val="24"/>
          <w:szCs w:val="24"/>
          <w:highlight w:val="none"/>
          <w:lang w:eastAsia="zh-CN"/>
        </w:rPr>
        <w:t>人</w:t>
      </w:r>
      <w:r>
        <w:rPr>
          <w:rFonts w:hint="eastAsia" w:ascii="宋体" w:hAnsi="宋体" w:eastAsia="宋体" w:cs="宋体"/>
          <w:b/>
          <w:bCs/>
          <w:color w:val="auto"/>
          <w:sz w:val="24"/>
          <w:szCs w:val="24"/>
          <w:highlight w:val="none"/>
        </w:rPr>
        <w:t>对证明材料中的关键参数进行标注。</w:t>
      </w:r>
      <w:r>
        <w:rPr>
          <w:rFonts w:hint="eastAsia" w:asciiTheme="minorEastAsia" w:hAnsiTheme="minorEastAsia" w:eastAsiaTheme="minorEastAsia"/>
          <w:b/>
          <w:color w:val="auto"/>
          <w:sz w:val="24"/>
          <w:highlight w:val="none"/>
          <w:lang w:eastAsia="zh-CN"/>
        </w:rPr>
        <w:t>）</w:t>
      </w:r>
    </w:p>
    <w:p w14:paraId="22C06E44">
      <w:pPr>
        <w:spacing w:line="360" w:lineRule="auto"/>
        <w:ind w:firstLine="437"/>
        <w:outlineLvl w:val="1"/>
        <w:rPr>
          <w:rFonts w:ascii="宋体" w:hAnsi="宋体" w:eastAsia="宋体"/>
          <w:b/>
          <w:bCs/>
          <w:color w:val="auto"/>
          <w:sz w:val="24"/>
          <w:szCs w:val="18"/>
          <w:highlight w:val="none"/>
        </w:rPr>
      </w:pPr>
      <w:bookmarkStart w:id="35" w:name="_Toc4843"/>
      <w:bookmarkStart w:id="36" w:name="_Toc7421"/>
      <w:r>
        <w:rPr>
          <w:rFonts w:hint="eastAsia" w:ascii="宋体" w:hAnsi="宋体" w:eastAsia="宋体"/>
          <w:b/>
          <w:bCs/>
          <w:color w:val="auto"/>
          <w:sz w:val="24"/>
          <w:szCs w:val="18"/>
          <w:highlight w:val="none"/>
        </w:rPr>
        <w:t>三、报价要求</w:t>
      </w:r>
      <w:bookmarkEnd w:id="35"/>
      <w:bookmarkEnd w:id="36"/>
    </w:p>
    <w:p w14:paraId="58353226">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本项目报总价及投标分项报价，报价包含完成本项目所需的全部费用，中标后采购人不再另行追加任何费用，请投标人自行考虑报价风险。</w:t>
      </w:r>
    </w:p>
    <w:p w14:paraId="4815A238">
      <w:pPr>
        <w:spacing w:line="360" w:lineRule="auto"/>
        <w:ind w:firstLine="437"/>
        <w:outlineLvl w:val="1"/>
        <w:rPr>
          <w:rFonts w:ascii="宋体" w:hAnsi="宋体" w:eastAsia="宋体" w:cs="Times New Roman"/>
          <w:b/>
          <w:color w:val="auto"/>
          <w:sz w:val="24"/>
          <w:szCs w:val="24"/>
          <w:highlight w:val="none"/>
        </w:rPr>
      </w:pPr>
      <w:bookmarkStart w:id="37" w:name="_Toc6897"/>
      <w:bookmarkStart w:id="38" w:name="_Toc10710"/>
      <w:r>
        <w:rPr>
          <w:rFonts w:hint="eastAsia" w:ascii="宋体" w:hAnsi="宋体" w:eastAsia="宋体" w:cs="Times New Roman"/>
          <w:b/>
          <w:color w:val="auto"/>
          <w:sz w:val="24"/>
          <w:szCs w:val="24"/>
          <w:highlight w:val="none"/>
        </w:rPr>
        <w:t>四、技术支持和售后服务需求</w:t>
      </w:r>
    </w:p>
    <w:tbl>
      <w:tblPr>
        <w:tblStyle w:val="24"/>
        <w:tblW w:w="8763"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50"/>
        <w:gridCol w:w="8013"/>
      </w:tblGrid>
      <w:tr w14:paraId="524646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48241918">
            <w:pPr>
              <w:rPr>
                <w:rFonts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rPr>
              <w:t>序号</w:t>
            </w:r>
          </w:p>
        </w:tc>
        <w:tc>
          <w:tcPr>
            <w:tcW w:w="8013" w:type="dxa"/>
            <w:tcBorders>
              <w:top w:val="single" w:color="auto" w:sz="4" w:space="0"/>
              <w:left w:val="single" w:color="auto" w:sz="4" w:space="0"/>
              <w:bottom w:val="single" w:color="auto" w:sz="4" w:space="0"/>
              <w:right w:val="single" w:color="auto" w:sz="4" w:space="0"/>
            </w:tcBorders>
            <w:vAlign w:val="center"/>
          </w:tcPr>
          <w:p w14:paraId="7FD30D47">
            <w:pPr>
              <w:pStyle w:val="77"/>
              <w:tabs>
                <w:tab w:val="left" w:pos="1180"/>
              </w:tabs>
              <w:adjustRightInd w:val="0"/>
              <w:snapToGrid w:val="0"/>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说明与要求</w:t>
            </w:r>
          </w:p>
        </w:tc>
      </w:tr>
      <w:tr w14:paraId="5CA86A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7C15D1E">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8013" w:type="dxa"/>
            <w:tcBorders>
              <w:top w:val="single" w:color="auto" w:sz="4" w:space="0"/>
              <w:left w:val="single" w:color="auto" w:sz="4" w:space="0"/>
              <w:bottom w:val="single" w:color="auto" w:sz="4" w:space="0"/>
              <w:right w:val="single" w:color="auto" w:sz="4" w:space="0"/>
            </w:tcBorders>
            <w:vAlign w:val="center"/>
          </w:tcPr>
          <w:p w14:paraId="1FA8FD09">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设备须是到货日前8个月之内生产的全新产品，所有选配功能和部件均须列明清单，并详细说明各选配功能和部件的作用，未列入该清单的均视为标配内容包含在投标价格内。</w:t>
            </w:r>
          </w:p>
        </w:tc>
      </w:tr>
      <w:tr w14:paraId="07BF60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9157BFF">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8013" w:type="dxa"/>
            <w:tcBorders>
              <w:top w:val="single" w:color="auto" w:sz="4" w:space="0"/>
              <w:left w:val="single" w:color="auto" w:sz="4" w:space="0"/>
              <w:bottom w:val="single" w:color="auto" w:sz="4" w:space="0"/>
              <w:right w:val="single" w:color="auto" w:sz="4" w:space="0"/>
            </w:tcBorders>
            <w:vAlign w:val="center"/>
          </w:tcPr>
          <w:p w14:paraId="7F07E1EB">
            <w:pPr>
              <w:pStyle w:val="77"/>
              <w:spacing w:line="360" w:lineRule="exact"/>
              <w:rPr>
                <w:rFonts w:ascii="宋体" w:hAnsi="宋体" w:cs="宋体"/>
                <w:color w:val="auto"/>
                <w:sz w:val="24"/>
                <w:highlight w:val="none"/>
                <w:lang w:val="zh-CN"/>
              </w:rPr>
            </w:pPr>
            <w:r>
              <w:rPr>
                <w:rFonts w:hint="eastAsia" w:ascii="宋体" w:hAnsi="宋体" w:cs="宋体"/>
                <w:color w:val="auto"/>
                <w:sz w:val="24"/>
                <w:highlight w:val="none"/>
              </w:rPr>
              <w:t>进口产品须提供英文和中文对照版data sheet。投标文件中的外文内容，须提供内容相同的中文对照版。</w:t>
            </w:r>
          </w:p>
        </w:tc>
      </w:tr>
      <w:tr w14:paraId="57F419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2"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C8286A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8013" w:type="dxa"/>
            <w:tcBorders>
              <w:top w:val="single" w:color="auto" w:sz="4" w:space="0"/>
              <w:left w:val="single" w:color="auto" w:sz="4" w:space="0"/>
              <w:bottom w:val="single" w:color="auto" w:sz="4" w:space="0"/>
              <w:right w:val="single" w:color="auto" w:sz="4" w:space="0"/>
            </w:tcBorders>
            <w:vAlign w:val="center"/>
          </w:tcPr>
          <w:p w14:paraId="291F7C89">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投标文件中提供产品彩色样本图。</w:t>
            </w:r>
          </w:p>
        </w:tc>
      </w:tr>
      <w:tr w14:paraId="5683F25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8872B8">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8013" w:type="dxa"/>
            <w:tcBorders>
              <w:top w:val="single" w:color="auto" w:sz="4" w:space="0"/>
              <w:left w:val="single" w:color="auto" w:sz="4" w:space="0"/>
              <w:bottom w:val="single" w:color="auto" w:sz="4" w:space="0"/>
              <w:right w:val="single" w:color="auto" w:sz="4" w:space="0"/>
            </w:tcBorders>
            <w:vAlign w:val="center"/>
          </w:tcPr>
          <w:p w14:paraId="24D03F1D">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整机原厂保修期（中标后须提供原厂盖章确认的质保承诺函</w:t>
            </w:r>
            <w:r>
              <w:rPr>
                <w:rFonts w:hint="eastAsia" w:ascii="宋体" w:hAnsi="宋体" w:cs="宋体"/>
                <w:color w:val="auto"/>
                <w:sz w:val="24"/>
                <w:highlight w:val="none"/>
                <w:lang w:eastAsia="zh-CN"/>
              </w:rPr>
              <w:t>。</w:t>
            </w:r>
            <w:r>
              <w:rPr>
                <w:rFonts w:hint="eastAsia" w:ascii="宋体" w:hAnsi="宋体" w:cs="宋体"/>
                <w:color w:val="auto"/>
                <w:sz w:val="24"/>
                <w:highlight w:val="none"/>
              </w:rPr>
              <w:t>免费质保期内，乙方免费提供不低于4次/年的标准化原厂预防性维护保养服务）≧2年，包括投标商提供的所有设备及附属配套部件，含第三方货物；质保期满后年整机维保费用单独报价（不得高于投标总价的</w:t>
            </w:r>
            <w:r>
              <w:rPr>
                <w:rFonts w:hint="eastAsia" w:ascii="宋体" w:hAnsi="宋体" w:cs="宋体"/>
                <w:color w:val="auto"/>
                <w:sz w:val="24"/>
                <w:highlight w:val="none"/>
                <w:lang w:val="en-US" w:eastAsia="zh-CN"/>
              </w:rPr>
              <w:t xml:space="preserve">5 </w:t>
            </w:r>
            <w:r>
              <w:rPr>
                <w:rFonts w:hint="eastAsia" w:ascii="宋体" w:hAnsi="宋体" w:cs="宋体"/>
                <w:color w:val="auto"/>
                <w:sz w:val="24"/>
                <w:highlight w:val="none"/>
              </w:rPr>
              <w:t>%），不计入投标总价。</w:t>
            </w:r>
          </w:p>
        </w:tc>
      </w:tr>
      <w:tr w14:paraId="5F55E8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235116">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8013" w:type="dxa"/>
            <w:tcBorders>
              <w:top w:val="single" w:color="auto" w:sz="4" w:space="0"/>
              <w:left w:val="single" w:color="auto" w:sz="4" w:space="0"/>
              <w:bottom w:val="single" w:color="auto" w:sz="4" w:space="0"/>
              <w:right w:val="single" w:color="auto" w:sz="4" w:space="0"/>
            </w:tcBorders>
            <w:vAlign w:val="center"/>
          </w:tcPr>
          <w:p w14:paraId="325D04B9">
            <w:pPr>
              <w:pStyle w:val="78"/>
              <w:widowControl/>
              <w:snapToGrid w:val="0"/>
              <w:spacing w:line="360" w:lineRule="exact"/>
              <w:rPr>
                <w:b/>
                <w:color w:val="auto"/>
                <w:sz w:val="24"/>
                <w:highlight w:val="none"/>
              </w:rPr>
            </w:pPr>
            <w:r>
              <w:rPr>
                <w:rFonts w:hint="eastAsia" w:ascii="宋体" w:hAnsi="宋体" w:cs="宋体"/>
                <w:color w:val="auto"/>
                <w:sz w:val="24"/>
                <w:highlight w:val="none"/>
              </w:rPr>
              <w:t>投标文件中提供质保期满后的单次维修人工费用报价，该报价不计入投标总价。</w:t>
            </w:r>
          </w:p>
        </w:tc>
      </w:tr>
      <w:tr w14:paraId="6F9BBE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166FF22">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8013" w:type="dxa"/>
            <w:tcBorders>
              <w:top w:val="single" w:color="auto" w:sz="4" w:space="0"/>
              <w:left w:val="single" w:color="auto" w:sz="4" w:space="0"/>
              <w:bottom w:val="single" w:color="auto" w:sz="4" w:space="0"/>
              <w:right w:val="single" w:color="auto" w:sz="4" w:space="0"/>
            </w:tcBorders>
            <w:vAlign w:val="center"/>
          </w:tcPr>
          <w:p w14:paraId="57E9CBE1">
            <w:pPr>
              <w:pStyle w:val="78"/>
              <w:widowControl/>
              <w:snapToGrid w:val="0"/>
              <w:spacing w:line="360" w:lineRule="exact"/>
              <w:rPr>
                <w:color w:val="auto"/>
                <w:sz w:val="24"/>
                <w:highlight w:val="none"/>
              </w:rPr>
            </w:pPr>
            <w:r>
              <w:rPr>
                <w:rFonts w:hint="eastAsia" w:ascii="宋体" w:hAnsi="宋体" w:cs="宋体"/>
                <w:color w:val="auto"/>
                <w:sz w:val="24"/>
                <w:highlight w:val="none"/>
              </w:rPr>
              <w:t>投标文件中提供所有价格超过1万元的维修配件清单，清单未提及的维修零配件视为价格低于1万元。</w:t>
            </w:r>
          </w:p>
        </w:tc>
      </w:tr>
      <w:tr w14:paraId="64C6BE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8"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6E4840D">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8013" w:type="dxa"/>
            <w:tcBorders>
              <w:top w:val="single" w:color="auto" w:sz="4" w:space="0"/>
              <w:left w:val="single" w:color="auto" w:sz="4" w:space="0"/>
              <w:bottom w:val="single" w:color="auto" w:sz="4" w:space="0"/>
              <w:right w:val="single" w:color="auto" w:sz="4" w:space="0"/>
            </w:tcBorders>
            <w:vAlign w:val="center"/>
          </w:tcPr>
          <w:p w14:paraId="7988392B">
            <w:pPr>
              <w:pStyle w:val="78"/>
              <w:widowControl/>
              <w:snapToGrid w:val="0"/>
              <w:spacing w:line="360" w:lineRule="exact"/>
              <w:rPr>
                <w:rFonts w:ascii="宋体" w:hAnsi="宋体" w:cs="宋体"/>
                <w:color w:val="auto"/>
                <w:sz w:val="24"/>
                <w:highlight w:val="none"/>
              </w:rPr>
            </w:pPr>
            <w:r>
              <w:rPr>
                <w:rFonts w:hint="eastAsia" w:ascii="宋体" w:hAnsi="宋体" w:cs="宋体"/>
                <w:color w:val="auto"/>
                <w:sz w:val="24"/>
                <w:highlight w:val="none"/>
              </w:rPr>
              <w:t>提供本设备工作所需的所有消耗品和配套使用的耗材价格清单，价格清单未提及的消耗品和配套使用的耗材视为免费提供。</w:t>
            </w:r>
          </w:p>
        </w:tc>
      </w:tr>
      <w:tr w14:paraId="6FEC83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4"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1741EF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8</w:t>
            </w:r>
          </w:p>
        </w:tc>
        <w:tc>
          <w:tcPr>
            <w:tcW w:w="8013" w:type="dxa"/>
            <w:tcBorders>
              <w:top w:val="single" w:color="auto" w:sz="4" w:space="0"/>
              <w:left w:val="single" w:color="auto" w:sz="4" w:space="0"/>
              <w:bottom w:val="single" w:color="auto" w:sz="4" w:space="0"/>
              <w:right w:val="single" w:color="auto" w:sz="4" w:space="0"/>
            </w:tcBorders>
            <w:vAlign w:val="center"/>
          </w:tcPr>
          <w:p w14:paraId="6D89690F">
            <w:pPr>
              <w:pStyle w:val="77"/>
              <w:spacing w:line="360" w:lineRule="exact"/>
              <w:rPr>
                <w:rFonts w:ascii="宋体" w:hAnsi="宋体" w:cs="宋体"/>
                <w:bCs/>
                <w:color w:val="auto"/>
                <w:sz w:val="24"/>
                <w:highlight w:val="none"/>
                <w:u w:val="single"/>
              </w:rPr>
            </w:pPr>
            <w:r>
              <w:rPr>
                <w:rFonts w:hint="eastAsia" w:ascii="宋体" w:hAnsi="宋体" w:cs="宋体"/>
                <w:color w:val="auto"/>
                <w:sz w:val="24"/>
                <w:highlight w:val="none"/>
              </w:rPr>
              <w:t>免费提供设备操作使用说明书和维修手册。终身开放进入维修模式的密码和其他维修权限。免费提供远程维修支持。</w:t>
            </w:r>
          </w:p>
        </w:tc>
      </w:tr>
      <w:tr w14:paraId="6D0E4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D016DF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8013" w:type="dxa"/>
            <w:tcBorders>
              <w:top w:val="single" w:color="auto" w:sz="4" w:space="0"/>
              <w:left w:val="single" w:color="auto" w:sz="4" w:space="0"/>
              <w:bottom w:val="single" w:color="auto" w:sz="4" w:space="0"/>
              <w:right w:val="single" w:color="auto" w:sz="4" w:space="0"/>
            </w:tcBorders>
            <w:vAlign w:val="center"/>
          </w:tcPr>
          <w:p w14:paraId="78F065C5">
            <w:pPr>
              <w:pStyle w:val="77"/>
              <w:adjustRightInd w:val="0"/>
              <w:snapToGrid w:val="0"/>
              <w:spacing w:line="360" w:lineRule="exact"/>
              <w:rPr>
                <w:rFonts w:ascii="宋体" w:hAnsi="宋体" w:cs="宋体"/>
                <w:color w:val="auto"/>
                <w:kern w:val="10"/>
                <w:sz w:val="24"/>
                <w:highlight w:val="none"/>
              </w:rPr>
            </w:pPr>
            <w:r>
              <w:rPr>
                <w:rFonts w:hint="eastAsia" w:ascii="宋体" w:hAnsi="宋体" w:cs="宋体"/>
                <w:color w:val="auto"/>
                <w:sz w:val="24"/>
                <w:highlight w:val="none"/>
              </w:rPr>
              <w:t>永久免费维护设备所配操作系统和应用软件，5年内免费升级应用软件至最新版本。</w:t>
            </w:r>
          </w:p>
        </w:tc>
      </w:tr>
      <w:tr w14:paraId="78319E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7"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503451FE">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8013" w:type="dxa"/>
            <w:tcBorders>
              <w:top w:val="single" w:color="auto" w:sz="4" w:space="0"/>
              <w:left w:val="single" w:color="auto" w:sz="4" w:space="0"/>
              <w:bottom w:val="single" w:color="auto" w:sz="4" w:space="0"/>
              <w:right w:val="single" w:color="auto" w:sz="4" w:space="0"/>
            </w:tcBorders>
            <w:vAlign w:val="center"/>
          </w:tcPr>
          <w:p w14:paraId="5EE1C7A3">
            <w:pPr>
              <w:pStyle w:val="77"/>
              <w:spacing w:line="360" w:lineRule="exact"/>
              <w:rPr>
                <w:rFonts w:ascii="宋体" w:hAnsi="宋体" w:cs="宋体"/>
                <w:bCs/>
                <w:color w:val="auto"/>
                <w:sz w:val="24"/>
                <w:highlight w:val="none"/>
                <w:u w:val="single"/>
              </w:rPr>
            </w:pPr>
            <w:r>
              <w:rPr>
                <w:rFonts w:hint="eastAsia" w:ascii="宋体" w:hAnsi="宋体" w:cs="宋体"/>
                <w:bCs/>
                <w:color w:val="auto"/>
                <w:sz w:val="24"/>
                <w:highlight w:val="none"/>
              </w:rPr>
              <w:t>在免费质保期内应确保开机率95%以上，即每年故障和维修时间少于18天，如超过，则按照1:5顺延保修时间。</w:t>
            </w:r>
          </w:p>
        </w:tc>
      </w:tr>
      <w:tr w14:paraId="6D462A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BD72913">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8013" w:type="dxa"/>
            <w:tcBorders>
              <w:top w:val="single" w:color="auto" w:sz="4" w:space="0"/>
              <w:left w:val="single" w:color="auto" w:sz="4" w:space="0"/>
              <w:bottom w:val="single" w:color="auto" w:sz="4" w:space="0"/>
              <w:right w:val="single" w:color="auto" w:sz="4" w:space="0"/>
            </w:tcBorders>
            <w:vAlign w:val="center"/>
          </w:tcPr>
          <w:p w14:paraId="39E884FE">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维修费用的支付：免费质保期后的维修费用，先维修后付款；零备件的更换：先更换后付款。</w:t>
            </w:r>
          </w:p>
        </w:tc>
      </w:tr>
      <w:bookmarkEnd w:id="37"/>
      <w:bookmarkEnd w:id="38"/>
    </w:tbl>
    <w:p w14:paraId="0C92D5E3">
      <w:pPr>
        <w:spacing w:line="360" w:lineRule="auto"/>
        <w:ind w:firstLine="482" w:firstLineChars="200"/>
        <w:outlineLvl w:val="1"/>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注：上述表中所列各项，投标人须在投标文件中逐项响应并提供承诺，承诺中标后按照以上要求进行响应（承诺函格式详见投标文件格式）。投标文件中未按照要求响应、未提供相应承诺或承诺的内容不满足要求的，投标无效。</w:t>
      </w:r>
    </w:p>
    <w:p w14:paraId="52E97FDC">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五、其他要求</w:t>
      </w:r>
    </w:p>
    <w:p w14:paraId="60A3F7F8">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（一）应急服务要求</w:t>
      </w:r>
    </w:p>
    <w:p w14:paraId="2B04E59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1.备品备件：中标人提供能够满足质量保证期内的设备维修要求的备品备件，备品备件应是新品。中标人应保证10年以上零部件供应期，并对设备故障等突发状况及时响应。</w:t>
      </w:r>
    </w:p>
    <w:p w14:paraId="184162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2.专用工具：中标人提供设备安装、调试、验收、维修、保养所必要的专用工具、仪器、仪表等工具。</w:t>
      </w:r>
    </w:p>
    <w:p w14:paraId="109ED6B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3.接到报修后应及时响应，若未及时修复设备故障，应提供备用设备供院方使用。</w:t>
      </w:r>
    </w:p>
    <w:p w14:paraId="49CCD156">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（二）安装调试、验收试验及质量保证</w:t>
      </w:r>
    </w:p>
    <w:p w14:paraId="2722656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1.中标人在设备安装地点负责安装、调试。</w:t>
      </w:r>
    </w:p>
    <w:p w14:paraId="09D5A92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2.具体设备验收标准和程序按采购人要求执行，下列验收程序可参照执行：</w:t>
      </w:r>
    </w:p>
    <w:p w14:paraId="7CDFD39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2AB498E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0CE8F07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（3）中标人应根据采购人使用单位的技术要求提供相应的产品。由中标人所提供的设备部件间的连线和插接件均应视为设备内部器件，包含在相应的设备之中。</w:t>
      </w:r>
    </w:p>
    <w:p w14:paraId="2AE7FA3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（4）运行测试及最终验收。在系统安装、调试结束后，采购人对其进行全面的测试，对测试中暴露出来的问题，中标人应及时进行整改，系统最终测试完毕经验收合格后，采购人应向中标人签发最终验收证明。</w:t>
      </w:r>
    </w:p>
    <w:p w14:paraId="57755E5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151E22C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3.如设备在验收时有一个或多个指标未能达到要求而属于中标人责任时，则中标人自费采取有效措施，在规定时间内使之达到保证指标。如在规定的时间内仍达不到合格标准时，则中标人应向采购人赔偿。</w:t>
      </w:r>
    </w:p>
    <w:p w14:paraId="53A598BA">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（三）包装运输</w:t>
      </w:r>
    </w:p>
    <w:p w14:paraId="76AC4B0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1.中标人负责设备包装、办理运输和保险，将设备安全运抵交货地点。</w:t>
      </w:r>
    </w:p>
    <w:p w14:paraId="3578352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2.设备制造完成并通过试验后应及时包装，否则应得到切实的保护，确保其不受污损。</w:t>
      </w:r>
    </w:p>
    <w:p w14:paraId="7580E6B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3.在包装箱外应标明采购人的订货号、发货号。</w:t>
      </w:r>
    </w:p>
    <w:p w14:paraId="081720C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4.各种包装应能确保各零部件在运输过程中不致遭到损坏、丢失、变形、受潮和腐蚀。</w:t>
      </w:r>
    </w:p>
    <w:p w14:paraId="0CC682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5.包装箱上应有明显的包装储运图示标志。</w:t>
      </w:r>
    </w:p>
    <w:p w14:paraId="009C41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6.整体产品或分别运输的部件都要适应运输和装载的要求。</w:t>
      </w:r>
    </w:p>
    <w:p w14:paraId="3949D51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7.随产品提供的技术资料应完整无缺。</w:t>
      </w:r>
    </w:p>
    <w:p w14:paraId="13D4B1E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（四）培训要求</w:t>
      </w:r>
    </w:p>
    <w:p w14:paraId="5F07EAD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技术人员厂方培训：维修维护不少于1人，50万元以上的设备培训时间不低于1周，50万元以下的设备培训时间不低于3天，有详细的技术培训方案和完整规范的培训资料，培训结束获得厂方授权或资质许可，免一切费用(包含交通、食宿、资料、工具材料等所有与培训相关的费用)。</w:t>
      </w:r>
    </w:p>
    <w:p w14:paraId="67629FE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2.设备使用培训：不少于2人，直至完全掌握设备应用技术，并获厂方资质许可；免一切费用(包含交通、食宿、资料、工具材料等所有与培训相关的费用)。</w:t>
      </w:r>
    </w:p>
    <w:p w14:paraId="2BAA7D53">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（五）质保及售后服务</w:t>
      </w:r>
    </w:p>
    <w:p w14:paraId="5355937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1.自双方签订《验收报告》起进入免费质保期。</w:t>
      </w:r>
    </w:p>
    <w:p w14:paraId="1132D9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19A1E3C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（六）产品综合性能</w:t>
      </w:r>
    </w:p>
    <w:p w14:paraId="384F6073">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1.技术先进性:具有自主创新的设计和功能理念。</w:t>
      </w:r>
      <w:r>
        <w:rPr>
          <w:rFonts w:hint="eastAsia" w:ascii="宋体" w:hAnsi="宋体" w:eastAsia="宋体" w:cs="Times New Roman"/>
          <w:color w:val="auto"/>
          <w:sz w:val="24"/>
          <w:szCs w:val="24"/>
          <w:highlight w:val="none"/>
        </w:rPr>
        <w:t>包</w:t>
      </w:r>
      <w:r>
        <w:rPr>
          <w:rFonts w:ascii="宋体" w:hAnsi="宋体" w:eastAsia="宋体" w:cs="Times New Roman"/>
          <w:color w:val="auto"/>
          <w:sz w:val="24"/>
          <w:szCs w:val="24"/>
          <w:highlight w:val="none"/>
        </w:rPr>
        <w:t>含但不限于采用环保新型材料、传感技术、集成度等成果，提升诊疗精准性、安全性和独特性。</w:t>
      </w:r>
    </w:p>
    <w:p w14:paraId="44DC94AA">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2.设备性能与可靠性:具备持续稳定运行能力，符合国家和行业标准，能够在工作中避免故障或失效，具有较高可靠性</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故障率低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具有网络安全和数据隐私保护能力，保障患者生命安全与医疗操作的有效性。</w:t>
      </w:r>
    </w:p>
    <w:p w14:paraId="624E92CE">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3.使用和维护便利性:配备全中文（或指定语言）图形用户界面，操作流程简明，易清洁易保养，零件标准化通用性，</w:t>
      </w:r>
      <w:r>
        <w:rPr>
          <w:rFonts w:hint="eastAsia" w:ascii="宋体" w:hAnsi="宋体" w:eastAsia="宋体" w:cs="Times New Roman"/>
          <w:color w:val="auto"/>
          <w:sz w:val="24"/>
          <w:szCs w:val="24"/>
          <w:highlight w:val="none"/>
        </w:rPr>
        <w:t>并提供操作手册、维修手册、电路图及故障诊断指南。</w:t>
      </w:r>
      <w:r>
        <w:rPr>
          <w:rFonts w:ascii="宋体" w:hAnsi="宋体" w:eastAsia="宋体" w:cs="Times New Roman"/>
          <w:color w:val="auto"/>
          <w:sz w:val="24"/>
          <w:szCs w:val="24"/>
          <w:highlight w:val="none"/>
        </w:rPr>
        <w:t>确保医护人员可独立完成日常操作及基本维护工作。</w:t>
      </w:r>
    </w:p>
    <w:p w14:paraId="5F7D810C">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4.安全性高:通过国家和行业强制性产品认证,具备硬件和软件安全保护系统与警示标识提醒，具备操作手册含安全警告与说明等，确保全生命周期的使用安全。</w:t>
      </w:r>
    </w:p>
    <w:p w14:paraId="50532468">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六、验收</w:t>
      </w:r>
    </w:p>
    <w:p w14:paraId="3B707D93">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1、投标人必须提供设备设计、安装、调试、维修等一系列技术材料，为采购人提供足够的技术资料和技术保障。设备的有关证明，如产地、出厂合格证、质量保证书和测试合格证等，并在交货时必须随装箱。</w:t>
      </w:r>
    </w:p>
    <w:p w14:paraId="06C8788F">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2、若设备验收时有关技术参数不能满足招标文件技术要求，采购人有权要求更换，同时有权解除合同关系并要求经济赔偿，并可以视情决定选择第二中标候选人递补中标或重新招标。</w:t>
      </w:r>
    </w:p>
    <w:p w14:paraId="6AFFDA5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3、设备如需检测的，由采购人随机抽样送检，检测的费用由中标人承担。如涉及安全等其他需要由质检或行业主管部门进行验收的项目，必须邀请相关部门或相关专家参与验收，相关费用由中标人承担。</w:t>
      </w:r>
    </w:p>
    <w:p w14:paraId="78FD0DE8">
      <w:pPr>
        <w:spacing w:line="360" w:lineRule="auto"/>
        <w:ind w:firstLine="480" w:firstLineChars="200"/>
        <w:outlineLvl w:val="1"/>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5FF4728C">
      <w:pPr>
        <w:spacing w:line="360" w:lineRule="auto"/>
        <w:jc w:val="center"/>
        <w:outlineLvl w:val="0"/>
        <w:rPr>
          <w:rFonts w:asciiTheme="minorEastAsia" w:hAnsiTheme="minorEastAsia" w:eastAsiaTheme="minorEastAsia"/>
          <w:b/>
          <w:color w:val="auto"/>
          <w:sz w:val="28"/>
          <w:highlight w:val="none"/>
        </w:rPr>
      </w:pPr>
      <w:bookmarkStart w:id="39" w:name="_Toc16417"/>
      <w:r>
        <w:rPr>
          <w:rFonts w:hint="eastAsia" w:asciiTheme="minorEastAsia" w:hAnsiTheme="minorEastAsia" w:eastAsiaTheme="minorEastAsia"/>
          <w:b/>
          <w:color w:val="auto"/>
          <w:sz w:val="28"/>
          <w:highlight w:val="none"/>
        </w:rPr>
        <w:t>第四章  评标方法和标准（综合评分法）</w:t>
      </w:r>
      <w:bookmarkEnd w:id="39"/>
    </w:p>
    <w:p w14:paraId="60663CE1">
      <w:pPr>
        <w:spacing w:line="360" w:lineRule="auto"/>
        <w:ind w:firstLine="437"/>
        <w:outlineLvl w:val="1"/>
        <w:rPr>
          <w:rFonts w:asciiTheme="minorEastAsia" w:hAnsiTheme="minorEastAsia" w:eastAsiaTheme="minorEastAsia"/>
          <w:b/>
          <w:color w:val="auto"/>
          <w:sz w:val="24"/>
          <w:highlight w:val="none"/>
        </w:rPr>
      </w:pPr>
      <w:bookmarkStart w:id="40" w:name="_Toc11823"/>
      <w:bookmarkStart w:id="41" w:name="_Toc1246"/>
      <w:r>
        <w:rPr>
          <w:rFonts w:hint="eastAsia" w:asciiTheme="minorEastAsia" w:hAnsiTheme="minorEastAsia" w:eastAsiaTheme="minorEastAsia"/>
          <w:b/>
          <w:color w:val="auto"/>
          <w:sz w:val="24"/>
          <w:highlight w:val="none"/>
        </w:rPr>
        <w:t>一、总则</w:t>
      </w:r>
      <w:bookmarkEnd w:id="40"/>
      <w:bookmarkEnd w:id="41"/>
    </w:p>
    <w:p w14:paraId="3EF4C3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239BEC64">
      <w:pPr>
        <w:spacing w:line="360" w:lineRule="auto"/>
        <w:ind w:firstLine="437"/>
        <w:outlineLvl w:val="1"/>
        <w:rPr>
          <w:rFonts w:asciiTheme="minorEastAsia" w:hAnsiTheme="minorEastAsia" w:eastAsiaTheme="minorEastAsia"/>
          <w:b/>
          <w:color w:val="auto"/>
          <w:sz w:val="24"/>
          <w:highlight w:val="none"/>
        </w:rPr>
      </w:pPr>
      <w:bookmarkStart w:id="42" w:name="_Toc31871"/>
      <w:bookmarkStart w:id="43" w:name="_Toc13117"/>
      <w:r>
        <w:rPr>
          <w:rFonts w:hint="eastAsia" w:asciiTheme="minorEastAsia" w:hAnsiTheme="minorEastAsia" w:eastAsiaTheme="minorEastAsia"/>
          <w:b/>
          <w:color w:val="auto"/>
          <w:sz w:val="24"/>
          <w:highlight w:val="none"/>
        </w:rPr>
        <w:t>二、评标方法</w:t>
      </w:r>
      <w:bookmarkEnd w:id="42"/>
      <w:bookmarkEnd w:id="43"/>
    </w:p>
    <w:p w14:paraId="5CB6A8A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4"/>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651"/>
        <w:gridCol w:w="4561"/>
        <w:gridCol w:w="1891"/>
      </w:tblGrid>
      <w:tr w14:paraId="0CDB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61" w:type="dxa"/>
            <w:gridSpan w:val="4"/>
            <w:tcBorders>
              <w:bottom w:val="single" w:color="auto" w:sz="4" w:space="0"/>
            </w:tcBorders>
            <w:vAlign w:val="center"/>
          </w:tcPr>
          <w:p w14:paraId="211C8DB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740D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599F602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51" w:type="dxa"/>
            <w:tcBorders>
              <w:bottom w:val="single" w:color="auto" w:sz="4" w:space="0"/>
            </w:tcBorders>
            <w:vAlign w:val="center"/>
          </w:tcPr>
          <w:p w14:paraId="64798A5B">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审查因素</w:t>
            </w:r>
          </w:p>
        </w:tc>
        <w:tc>
          <w:tcPr>
            <w:tcW w:w="4561" w:type="dxa"/>
            <w:tcBorders>
              <w:bottom w:val="single" w:color="auto" w:sz="4" w:space="0"/>
            </w:tcBorders>
            <w:vAlign w:val="center"/>
          </w:tcPr>
          <w:p w14:paraId="3428BB0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审查内容</w:t>
            </w:r>
          </w:p>
        </w:tc>
        <w:tc>
          <w:tcPr>
            <w:tcW w:w="1891" w:type="dxa"/>
            <w:tcBorders>
              <w:bottom w:val="single" w:color="auto" w:sz="4" w:space="0"/>
            </w:tcBorders>
            <w:vAlign w:val="center"/>
          </w:tcPr>
          <w:p w14:paraId="7D71715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D89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8" w:type="dxa"/>
            <w:tcBorders>
              <w:bottom w:val="single" w:color="auto" w:sz="4" w:space="0"/>
            </w:tcBorders>
            <w:vAlign w:val="center"/>
          </w:tcPr>
          <w:p w14:paraId="6FD2354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1651" w:type="dxa"/>
            <w:tcBorders>
              <w:bottom w:val="single" w:color="auto" w:sz="4" w:space="0"/>
            </w:tcBorders>
            <w:vAlign w:val="center"/>
          </w:tcPr>
          <w:p w14:paraId="5A8C03E7">
            <w:pPr>
              <w:spacing w:after="50" w:line="360" w:lineRule="auto"/>
              <w:ind w:right="-10"/>
              <w:jc w:val="center"/>
              <w:rPr>
                <w:rFonts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61" w:type="dxa"/>
            <w:tcBorders>
              <w:bottom w:val="single" w:color="auto" w:sz="4" w:space="0"/>
            </w:tcBorders>
            <w:vAlign w:val="center"/>
          </w:tcPr>
          <w:p w14:paraId="75ECB258">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67F975E7">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0E43769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69842A4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392D33B7">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p>
        </w:tc>
        <w:tc>
          <w:tcPr>
            <w:tcW w:w="1891" w:type="dxa"/>
            <w:vAlign w:val="center"/>
          </w:tcPr>
          <w:p w14:paraId="32FE7253">
            <w:pPr>
              <w:spacing w:line="360" w:lineRule="auto"/>
              <w:jc w:val="left"/>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498C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8" w:type="dxa"/>
            <w:tcBorders>
              <w:bottom w:val="single" w:color="auto" w:sz="4" w:space="0"/>
            </w:tcBorders>
            <w:vAlign w:val="center"/>
          </w:tcPr>
          <w:p w14:paraId="433C49D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651" w:type="dxa"/>
            <w:tcBorders>
              <w:bottom w:val="single" w:color="auto" w:sz="4" w:space="0"/>
            </w:tcBorders>
            <w:vAlign w:val="center"/>
          </w:tcPr>
          <w:p w14:paraId="418E1341">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4561" w:type="dxa"/>
            <w:tcBorders>
              <w:bottom w:val="single" w:color="auto" w:sz="4" w:space="0"/>
            </w:tcBorders>
            <w:vAlign w:val="center"/>
          </w:tcPr>
          <w:p w14:paraId="132770F5">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891" w:type="dxa"/>
            <w:vAlign w:val="center"/>
          </w:tcPr>
          <w:p w14:paraId="165C0610">
            <w:pPr>
              <w:spacing w:line="360" w:lineRule="auto"/>
              <w:jc w:val="left"/>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534C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015E3E5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651" w:type="dxa"/>
            <w:tcBorders>
              <w:bottom w:val="single" w:color="auto" w:sz="4" w:space="0"/>
            </w:tcBorders>
            <w:vAlign w:val="center"/>
          </w:tcPr>
          <w:p w14:paraId="16FDCBC9">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61" w:type="dxa"/>
            <w:tcBorders>
              <w:bottom w:val="single" w:color="auto" w:sz="4" w:space="0"/>
            </w:tcBorders>
            <w:vAlign w:val="center"/>
          </w:tcPr>
          <w:p w14:paraId="10A7E181">
            <w:pPr>
              <w:spacing w:after="50" w:line="360" w:lineRule="auto"/>
              <w:ind w:right="-10"/>
              <w:jc w:val="left"/>
              <w:rPr>
                <w:color w:val="auto"/>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891" w:type="dxa"/>
            <w:tcBorders>
              <w:bottom w:val="single" w:color="auto" w:sz="4" w:space="0"/>
            </w:tcBorders>
            <w:vAlign w:val="center"/>
          </w:tcPr>
          <w:p w14:paraId="2873DF7B">
            <w:pPr>
              <w:spacing w:line="360" w:lineRule="auto"/>
              <w:jc w:val="left"/>
              <w:rPr>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4B31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14:paraId="1B547638">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lang w:val="en-US" w:eastAsia="zh-CN"/>
              </w:rPr>
              <w:t>4</w:t>
            </w:r>
          </w:p>
        </w:tc>
        <w:tc>
          <w:tcPr>
            <w:tcW w:w="1651" w:type="dxa"/>
            <w:vAlign w:val="center"/>
          </w:tcPr>
          <w:p w14:paraId="00E73904">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其他特定资格要求</w:t>
            </w:r>
          </w:p>
        </w:tc>
        <w:tc>
          <w:tcPr>
            <w:tcW w:w="4561" w:type="dxa"/>
            <w:vAlign w:val="center"/>
          </w:tcPr>
          <w:p w14:paraId="68CA4AEC">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见第一章《投标邀请》</w:t>
            </w:r>
          </w:p>
        </w:tc>
        <w:tc>
          <w:tcPr>
            <w:tcW w:w="1891" w:type="dxa"/>
            <w:vAlign w:val="center"/>
          </w:tcPr>
          <w:p w14:paraId="112A02A4">
            <w:pPr>
              <w:spacing w:after="50" w:line="360" w:lineRule="auto"/>
              <w:ind w:right="-10"/>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bl>
    <w:p w14:paraId="41B195A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5D8A490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633098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817"/>
        <w:gridCol w:w="3428"/>
        <w:gridCol w:w="2511"/>
      </w:tblGrid>
      <w:tr w14:paraId="3853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vAlign w:val="center"/>
          </w:tcPr>
          <w:p w14:paraId="128AC56D">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B11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6" w:type="dxa"/>
            <w:tcBorders>
              <w:bottom w:val="single" w:color="auto" w:sz="4" w:space="0"/>
            </w:tcBorders>
            <w:vAlign w:val="center"/>
          </w:tcPr>
          <w:p w14:paraId="4FB5F8B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817" w:type="dxa"/>
            <w:tcBorders>
              <w:bottom w:val="single" w:color="auto" w:sz="4" w:space="0"/>
            </w:tcBorders>
            <w:vAlign w:val="center"/>
          </w:tcPr>
          <w:p w14:paraId="66152D42">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highlight w:val="none"/>
              </w:rPr>
            </w:pPr>
            <w:r>
              <w:rPr>
                <w:rFonts w:hint="eastAsia" w:ascii="宋体" w:hAnsi="宋体" w:eastAsia="宋体"/>
                <w:color w:val="auto"/>
                <w:kern w:val="2"/>
                <w:highlight w:val="none"/>
              </w:rPr>
              <w:t>审查指标</w:t>
            </w:r>
          </w:p>
        </w:tc>
        <w:tc>
          <w:tcPr>
            <w:tcW w:w="3428" w:type="dxa"/>
            <w:tcBorders>
              <w:bottom w:val="single" w:color="auto" w:sz="4" w:space="0"/>
            </w:tcBorders>
            <w:vAlign w:val="center"/>
          </w:tcPr>
          <w:p w14:paraId="2614DD0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2511" w:type="dxa"/>
            <w:tcBorders>
              <w:bottom w:val="single" w:color="auto" w:sz="4" w:space="0"/>
            </w:tcBorders>
            <w:vAlign w:val="center"/>
          </w:tcPr>
          <w:p w14:paraId="2257743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E61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A7E12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817" w:type="dxa"/>
            <w:vAlign w:val="center"/>
          </w:tcPr>
          <w:p w14:paraId="0AB9A79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3428" w:type="dxa"/>
            <w:vAlign w:val="center"/>
          </w:tcPr>
          <w:p w14:paraId="1ACDDDD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5781A50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0262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814703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817" w:type="dxa"/>
            <w:vAlign w:val="center"/>
          </w:tcPr>
          <w:p w14:paraId="71374C1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3428" w:type="dxa"/>
            <w:vAlign w:val="center"/>
          </w:tcPr>
          <w:p w14:paraId="36A3B3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2A3127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67FC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B6877C2">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817" w:type="dxa"/>
            <w:vAlign w:val="center"/>
          </w:tcPr>
          <w:p w14:paraId="6241DC0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3428" w:type="dxa"/>
            <w:vAlign w:val="center"/>
          </w:tcPr>
          <w:p w14:paraId="4BF0069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B86AA5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5CBB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43C00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817" w:type="dxa"/>
            <w:vAlign w:val="center"/>
          </w:tcPr>
          <w:p w14:paraId="795CC4E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3428" w:type="dxa"/>
            <w:vAlign w:val="center"/>
          </w:tcPr>
          <w:p w14:paraId="1A85886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2511" w:type="dxa"/>
            <w:vAlign w:val="center"/>
          </w:tcPr>
          <w:p w14:paraId="4DAC50C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7934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21EC6D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817" w:type="dxa"/>
            <w:vAlign w:val="center"/>
          </w:tcPr>
          <w:p w14:paraId="6F64DC3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28" w:type="dxa"/>
            <w:vAlign w:val="center"/>
          </w:tcPr>
          <w:p w14:paraId="587E8AF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2511" w:type="dxa"/>
            <w:vAlign w:val="center"/>
          </w:tcPr>
          <w:p w14:paraId="1CB284B7">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209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F40272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817" w:type="dxa"/>
            <w:vAlign w:val="center"/>
          </w:tcPr>
          <w:p w14:paraId="06F7922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28" w:type="dxa"/>
            <w:vAlign w:val="center"/>
          </w:tcPr>
          <w:p w14:paraId="1402F8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2511" w:type="dxa"/>
            <w:vAlign w:val="center"/>
          </w:tcPr>
          <w:p w14:paraId="1A7E14BD">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B4F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C68B10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817" w:type="dxa"/>
            <w:vAlign w:val="center"/>
          </w:tcPr>
          <w:p w14:paraId="3B4D8B1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28" w:type="dxa"/>
            <w:vAlign w:val="center"/>
          </w:tcPr>
          <w:p w14:paraId="0B1DF4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2511" w:type="dxa"/>
            <w:vAlign w:val="center"/>
          </w:tcPr>
          <w:p w14:paraId="230379BB">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1EBB2A4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1812"/>
        <w:gridCol w:w="5546"/>
        <w:gridCol w:w="2824"/>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AF026C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23C179B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0B014BAB">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7B457B8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A071BDD">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1CABF23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2BD3BA67">
      <w:pPr>
        <w:pStyle w:val="22"/>
        <w:spacing w:line="360" w:lineRule="auto"/>
        <w:rPr>
          <w:rFonts w:hint="eastAsia" w:ascii="宋体" w:hAnsi="宋体" w:eastAsia="宋体" w:cs="Arial"/>
          <w:color w:val="auto"/>
          <w:kern w:val="2"/>
          <w:sz w:val="24"/>
          <w:highlight w:val="none"/>
          <w:lang w:val="en-US" w:eastAsia="zh-CN" w:bidi="ar-SA"/>
        </w:rPr>
      </w:pPr>
      <w:r>
        <w:rPr>
          <w:rFonts w:hint="eastAsia" w:ascii="宋体" w:hAnsi="宋体" w:eastAsia="宋体" w:cs="Arial"/>
          <w:color w:val="auto"/>
          <w:kern w:val="2"/>
          <w:sz w:val="24"/>
          <w:highlight w:val="none"/>
          <w:lang w:val="en-US" w:eastAsia="zh-CN" w:bidi="ar-SA"/>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51FEB3E8">
      <w:pPr>
        <w:spacing w:line="360" w:lineRule="auto"/>
        <w:ind w:firstLine="437"/>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0BD59C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0D5EBA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4"/>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718"/>
        <w:gridCol w:w="5342"/>
        <w:gridCol w:w="1206"/>
      </w:tblGrid>
      <w:tr w14:paraId="546E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14:paraId="0C04060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718" w:type="dxa"/>
            <w:tcBorders>
              <w:top w:val="single" w:color="auto" w:sz="4" w:space="0"/>
              <w:left w:val="single" w:color="auto" w:sz="4" w:space="0"/>
              <w:bottom w:val="single" w:color="auto" w:sz="4" w:space="0"/>
              <w:right w:val="single" w:color="auto" w:sz="4" w:space="0"/>
            </w:tcBorders>
            <w:vAlign w:val="center"/>
          </w:tcPr>
          <w:p w14:paraId="1B41C1F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5342" w:type="dxa"/>
            <w:tcBorders>
              <w:top w:val="single" w:color="auto" w:sz="4" w:space="0"/>
              <w:left w:val="single" w:color="auto" w:sz="4" w:space="0"/>
              <w:bottom w:val="single" w:color="auto" w:sz="4" w:space="0"/>
              <w:right w:val="single" w:color="auto" w:sz="4" w:space="0"/>
            </w:tcBorders>
            <w:vAlign w:val="center"/>
          </w:tcPr>
          <w:p w14:paraId="5F8C41C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1206" w:type="dxa"/>
            <w:tcBorders>
              <w:top w:val="single" w:color="auto" w:sz="4" w:space="0"/>
              <w:left w:val="single" w:color="auto" w:sz="4" w:space="0"/>
              <w:bottom w:val="single" w:color="auto" w:sz="4" w:space="0"/>
              <w:right w:val="single" w:color="auto" w:sz="4" w:space="0"/>
            </w:tcBorders>
            <w:vAlign w:val="center"/>
          </w:tcPr>
          <w:p w14:paraId="40AB5F7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375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restart"/>
            <w:tcBorders>
              <w:top w:val="single" w:color="auto" w:sz="4" w:space="0"/>
              <w:left w:val="single" w:color="auto" w:sz="4" w:space="0"/>
              <w:right w:val="single" w:color="auto" w:sz="4" w:space="0"/>
            </w:tcBorders>
            <w:vAlign w:val="center"/>
          </w:tcPr>
          <w:p w14:paraId="4F5C39D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14289C11">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70 </w:t>
            </w:r>
            <w:r>
              <w:rPr>
                <w:rFonts w:hint="eastAsia" w:asciiTheme="minorEastAsia" w:hAnsiTheme="minorEastAsia" w:eastAsiaTheme="minorEastAsia"/>
                <w:color w:val="auto"/>
                <w:sz w:val="24"/>
                <w:highlight w:val="none"/>
              </w:rPr>
              <w:t>分）</w:t>
            </w:r>
          </w:p>
        </w:tc>
        <w:tc>
          <w:tcPr>
            <w:tcW w:w="1718" w:type="dxa"/>
            <w:tcBorders>
              <w:top w:val="single" w:color="auto" w:sz="4" w:space="0"/>
              <w:left w:val="single" w:color="auto" w:sz="4" w:space="0"/>
              <w:bottom w:val="single" w:color="auto" w:sz="4" w:space="0"/>
              <w:right w:val="single" w:color="auto" w:sz="4" w:space="0"/>
            </w:tcBorders>
            <w:vAlign w:val="center"/>
          </w:tcPr>
          <w:p w14:paraId="6F3DA8E3">
            <w:pPr>
              <w:snapToGrid w:val="0"/>
              <w:jc w:val="center"/>
              <w:rPr>
                <w:rFonts w:asciiTheme="minorEastAsia" w:hAnsiTheme="minorEastAsia" w:eastAsiaTheme="minorEastAsia"/>
                <w:bCs/>
                <w:color w:val="auto"/>
                <w:sz w:val="24"/>
                <w:highlight w:val="none"/>
              </w:rPr>
            </w:pPr>
            <w:r>
              <w:rPr>
                <w:rFonts w:hint="eastAsia" w:ascii="宋体" w:hAnsi="宋体" w:eastAsia="宋体" w:cs="宋体"/>
                <w:bCs/>
                <w:color w:val="auto"/>
                <w:sz w:val="24"/>
                <w:szCs w:val="24"/>
                <w:highlight w:val="none"/>
              </w:rPr>
              <w:t>产品的技术参数</w:t>
            </w:r>
          </w:p>
        </w:tc>
        <w:tc>
          <w:tcPr>
            <w:tcW w:w="5342" w:type="dxa"/>
            <w:tcBorders>
              <w:top w:val="single" w:color="auto" w:sz="4" w:space="0"/>
              <w:left w:val="single" w:color="auto" w:sz="4" w:space="0"/>
              <w:bottom w:val="single" w:color="auto" w:sz="4" w:space="0"/>
              <w:right w:val="single" w:color="auto" w:sz="4" w:space="0"/>
            </w:tcBorders>
            <w:vAlign w:val="center"/>
          </w:tcPr>
          <w:p w14:paraId="0865FB23">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.根据投标文件与招标文件要求重要参数（标记“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分。</w:t>
            </w:r>
          </w:p>
          <w:p w14:paraId="65FD6B59">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.根据投标文件与招标文件要求的普通参数（标记“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14</w:t>
            </w:r>
            <w:r>
              <w:rPr>
                <w:rFonts w:hint="eastAsia" w:ascii="宋体" w:hAnsi="宋体" w:eastAsia="宋体" w:cs="宋体"/>
                <w:bCs/>
                <w:color w:val="auto"/>
                <w:sz w:val="24"/>
                <w:szCs w:val="24"/>
                <w:highlight w:val="none"/>
              </w:rPr>
              <w:t>分。</w:t>
            </w:r>
          </w:p>
          <w:p w14:paraId="756F34F2">
            <w:pPr>
              <w:widowControl/>
              <w:jc w:val="left"/>
              <w:rPr>
                <w:rFonts w:asciiTheme="minorEastAsia" w:hAnsiTheme="minorEastAsia" w:eastAsiaTheme="minorEastAsia"/>
                <w:bCs/>
                <w:color w:val="auto"/>
                <w:sz w:val="24"/>
                <w:highlight w:val="none"/>
              </w:rPr>
            </w:pPr>
            <w:r>
              <w:rPr>
                <w:rFonts w:hint="eastAsia" w:asciiTheme="minorEastAsia" w:hAnsiTheme="minorEastAsia" w:eastAsiaTheme="minorEastAsia"/>
                <w:b/>
                <w:color w:val="auto"/>
                <w:sz w:val="24"/>
                <w:highlight w:val="none"/>
              </w:rPr>
              <w:t>注：标注</w:t>
            </w:r>
            <w:r>
              <w:rPr>
                <w:rFonts w:hint="eastAsia" w:ascii="宋体" w:hAnsi="宋体" w:eastAsia="宋体" w:cs="宋体"/>
                <w:b/>
                <w:color w:val="auto"/>
                <w:kern w:val="0"/>
                <w:sz w:val="24"/>
                <w:szCs w:val="24"/>
                <w:highlight w:val="none"/>
                <w:lang w:bidi="ar"/>
              </w:rPr>
              <w:t>“★”和“█”</w:t>
            </w:r>
            <w:r>
              <w:rPr>
                <w:rFonts w:hint="eastAsia" w:asciiTheme="minorEastAsia" w:hAnsiTheme="minorEastAsia" w:eastAsiaTheme="minorEastAsia"/>
                <w:b/>
                <w:color w:val="auto"/>
                <w:sz w:val="24"/>
                <w:highlight w:val="none"/>
              </w:rPr>
              <w:t>的条款，须提供相关证明材料，如招标文件中明确要求证明材料类型，则以招标文件明确要求的材料为准，如未明确证明材料的类型，则以技术支持资料作为评审依据，技术支持资料包括：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为准。若制造商公开发布的资料与检测机构出具的检测报告不一致，以检测机构出具的检测报告为准。为便于评审，建议投标人对证明材料中的关键参数进行标注。</w:t>
            </w:r>
          </w:p>
        </w:tc>
        <w:tc>
          <w:tcPr>
            <w:tcW w:w="1206" w:type="dxa"/>
            <w:tcBorders>
              <w:top w:val="single" w:color="auto" w:sz="4" w:space="0"/>
              <w:left w:val="single" w:color="auto" w:sz="4" w:space="0"/>
              <w:bottom w:val="single" w:color="auto" w:sz="4" w:space="0"/>
              <w:right w:val="single" w:color="auto" w:sz="4" w:space="0"/>
            </w:tcBorders>
            <w:vAlign w:val="center"/>
          </w:tcPr>
          <w:p w14:paraId="0E5F7D5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Cs/>
                <w:color w:val="auto"/>
                <w:sz w:val="24"/>
                <w:highlight w:val="none"/>
              </w:rPr>
              <w:t>0-34分</w:t>
            </w:r>
          </w:p>
        </w:tc>
      </w:tr>
      <w:tr w14:paraId="162C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473" w:type="dxa"/>
            <w:vMerge w:val="continue"/>
            <w:tcBorders>
              <w:left w:val="single" w:color="auto" w:sz="4" w:space="0"/>
              <w:right w:val="single" w:color="auto" w:sz="4" w:space="0"/>
            </w:tcBorders>
            <w:vAlign w:val="center"/>
          </w:tcPr>
          <w:p w14:paraId="4FE4493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B1D0B4B">
            <w:pPr>
              <w:snapToGrid w:val="0"/>
              <w:jc w:val="center"/>
              <w:rPr>
                <w:rFonts w:ascii="宋体" w:hAnsi="宋体"/>
                <w:bCs/>
                <w:color w:val="auto"/>
                <w:sz w:val="24"/>
                <w:highlight w:val="none"/>
              </w:rPr>
            </w:pPr>
            <w:r>
              <w:rPr>
                <w:rFonts w:hint="eastAsia" w:ascii="宋体" w:hAnsi="宋体" w:eastAsia="宋体" w:cs="宋体"/>
                <w:bCs/>
                <w:color w:val="auto"/>
                <w:sz w:val="24"/>
                <w:szCs w:val="24"/>
                <w:highlight w:val="none"/>
              </w:rPr>
              <w:t>质保承诺</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41AC31BE">
            <w:pPr>
              <w:widowControl/>
              <w:snapToGrid w:val="0"/>
              <w:rPr>
                <w:rFonts w:ascii="宋体" w:hAnsi="宋体" w:eastAsia="宋体"/>
                <w:color w:val="auto"/>
                <w:sz w:val="24"/>
                <w:highlight w:val="none"/>
              </w:rPr>
            </w:pPr>
            <w:r>
              <w:rPr>
                <w:rFonts w:hint="eastAsia" w:ascii="宋体" w:hAnsi="宋体" w:eastAsia="宋体"/>
                <w:color w:val="auto"/>
                <w:sz w:val="24"/>
                <w:highlight w:val="none"/>
              </w:rPr>
              <w:t>所投产品整机免费质保期，在招标文件要求免费质保期的基础上每增加1年得3分（增加部分不足1年的不得分），满分9分。</w:t>
            </w:r>
          </w:p>
          <w:p w14:paraId="583D914A">
            <w:pPr>
              <w:widowControl/>
              <w:snapToGrid w:val="0"/>
              <w:rPr>
                <w:rFonts w:ascii="宋体" w:hAnsi="宋体" w:eastAsia="宋体"/>
                <w:b/>
                <w:color w:val="auto"/>
                <w:sz w:val="24"/>
                <w:highlight w:val="none"/>
              </w:rPr>
            </w:pPr>
            <w:r>
              <w:rPr>
                <w:rFonts w:hint="eastAsia" w:ascii="宋体" w:hAnsi="宋体" w:eastAsia="宋体"/>
                <w:b/>
                <w:bCs/>
                <w:color w:val="auto"/>
                <w:sz w:val="24"/>
                <w:highlight w:val="none"/>
              </w:rPr>
              <w:t>注：以《商务响应表》中填写的质保期作为评审依据。</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6FAD092">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0-9分</w:t>
            </w:r>
          </w:p>
        </w:tc>
      </w:tr>
      <w:tr w14:paraId="7E38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21054EBB">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2754DDAC">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所投产品业绩</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8B5E3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1、开标时间12个月以内的首次注册的产品，要求提供202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年01月以来（以合同签订时间为准)，所投核心产品</w:t>
            </w:r>
            <w:r>
              <w:rPr>
                <w:rFonts w:hint="eastAsia" w:ascii="宋体" w:hAnsi="宋体" w:eastAsia="宋体" w:cs="宋体"/>
                <w:b/>
                <w:bCs/>
                <w:color w:val="auto"/>
                <w:sz w:val="24"/>
                <w:szCs w:val="24"/>
                <w:highlight w:val="none"/>
              </w:rPr>
              <w:t>（同品牌同类型，标注“▲”）</w:t>
            </w:r>
            <w:r>
              <w:rPr>
                <w:rFonts w:hint="eastAsia" w:ascii="宋体" w:hAnsi="宋体" w:eastAsia="宋体" w:cs="宋体"/>
                <w:color w:val="auto"/>
                <w:sz w:val="24"/>
                <w:szCs w:val="24"/>
                <w:highlight w:val="none"/>
              </w:rPr>
              <w:t>具有医疗机构供货业绩的，每提供一个业绩得1分，最高得5分；</w:t>
            </w:r>
          </w:p>
          <w:p w14:paraId="53A71E6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2、开标时间12个月之前首次注册的产品，要求提供202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color w:val="auto"/>
                <w:sz w:val="24"/>
                <w:szCs w:val="24"/>
                <w:highlight w:val="none"/>
                <w:lang w:val="en-US" w:eastAsia="zh-CN"/>
              </w:rPr>
              <w:t>核心</w:t>
            </w:r>
            <w:r>
              <w:rPr>
                <w:rFonts w:hint="eastAsia" w:ascii="宋体" w:hAnsi="宋体" w:eastAsia="宋体" w:cs="宋体"/>
                <w:color w:val="auto"/>
                <w:sz w:val="24"/>
                <w:szCs w:val="24"/>
                <w:highlight w:val="none"/>
              </w:rPr>
              <w:t>产品</w:t>
            </w:r>
            <w:r>
              <w:rPr>
                <w:rFonts w:hint="eastAsia" w:ascii="宋体" w:hAnsi="宋体" w:eastAsia="宋体" w:cs="宋体"/>
                <w:b/>
                <w:bCs/>
                <w:color w:val="auto"/>
                <w:sz w:val="24"/>
                <w:szCs w:val="24"/>
                <w:highlight w:val="none"/>
              </w:rPr>
              <w:t>（同品牌同型号</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标注“</w:t>
            </w:r>
            <w:r>
              <w:rPr>
                <w:rFonts w:hint="eastAsia" w:ascii="仿宋" w:hAnsi="仿宋" w:eastAsia="仿宋" w:cs="仿宋"/>
                <w:color w:val="auto"/>
                <w:sz w:val="24"/>
                <w:highlight w:val="none"/>
              </w:rPr>
              <w:t>▲</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具有医疗机构供货业绩的，每提供一个业绩得1分，最高得5分。</w:t>
            </w:r>
          </w:p>
          <w:p w14:paraId="3676C590">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p>
          <w:p w14:paraId="7A2B9EA8">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（1）本项为</w:t>
            </w:r>
            <w:r>
              <w:rPr>
                <w:rFonts w:hint="eastAsia" w:ascii="宋体" w:hAnsi="宋体" w:eastAsia="宋体" w:cs="宋体"/>
                <w:b/>
                <w:bCs/>
                <w:color w:val="auto"/>
                <w:sz w:val="24"/>
                <w:szCs w:val="24"/>
                <w:highlight w:val="none"/>
                <w:lang w:val="en-US" w:eastAsia="zh-CN"/>
              </w:rPr>
              <w:t>核心产品</w:t>
            </w:r>
            <w:r>
              <w:rPr>
                <w:rFonts w:hint="eastAsia" w:ascii="宋体" w:hAnsi="宋体" w:eastAsia="宋体" w:cs="宋体"/>
                <w:b/>
                <w:bCs/>
                <w:color w:val="auto"/>
                <w:sz w:val="24"/>
                <w:szCs w:val="24"/>
                <w:highlight w:val="none"/>
              </w:rPr>
              <w:t>业绩</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即消化内镜洗消工作站</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,满分5分；</w:t>
            </w:r>
          </w:p>
          <w:p w14:paraId="49EC618D">
            <w:pPr>
              <w:rPr>
                <w:rFonts w:ascii="宋体" w:hAnsi="宋体" w:eastAsia="宋体"/>
                <w:b/>
                <w:bCs/>
                <w:color w:val="auto"/>
                <w:sz w:val="24"/>
                <w:highlight w:val="none"/>
              </w:rPr>
            </w:pPr>
            <w:r>
              <w:rPr>
                <w:rFonts w:hint="eastAsia" w:ascii="宋体" w:hAnsi="宋体" w:eastAsia="宋体" w:cs="宋体"/>
                <w:b/>
                <w:bCs/>
                <w:color w:val="auto"/>
                <w:sz w:val="24"/>
                <w:szCs w:val="24"/>
                <w:highlight w:val="none"/>
              </w:rPr>
              <w:t>（2）投标文件中提供合同扫描件，如合同中无法体现签订时间、产品品牌等评审因素的，须同时提供业主单位加盖公章证明材料扫描件，否则不得分；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5DBED169">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0-5分</w:t>
            </w:r>
          </w:p>
        </w:tc>
      </w:tr>
      <w:tr w14:paraId="206F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036BB950">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0E90819">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综合评价</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91B20B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根据投标人所投产品的技术先进性、设备性能、使用和维修便利性、故障率、安全性等方面进行综合评审：</w:t>
            </w:r>
          </w:p>
          <w:p w14:paraId="099BD7F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1.产品技术先进优越、性能稳定，使用和维修便利，故障率低、安全性高的得4分；</w:t>
            </w:r>
          </w:p>
          <w:p w14:paraId="60AA96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2.产品技术较先进，运行稳定，使用和维修较便利，故障率较低的得2分；</w:t>
            </w:r>
          </w:p>
          <w:p w14:paraId="7780F03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3.产品基本满足要求符合标准，使用和维修便利性有待提高的得1分。</w:t>
            </w:r>
          </w:p>
          <w:p w14:paraId="1CEAF81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4.未提供的不得分。 </w:t>
            </w:r>
          </w:p>
          <w:p w14:paraId="574164E1">
            <w:pPr>
              <w:snapToGrid w:val="0"/>
              <w:jc w:val="left"/>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注：投标文件中提供证明材料，证明材料无固定形式，如产品技术说明，故障率数据报告、维修使用等说明，未提供材料的不得分。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6D118EFB">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0-4分</w:t>
            </w:r>
          </w:p>
        </w:tc>
      </w:tr>
      <w:tr w14:paraId="0724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57510357">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7888084">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技术培训方案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019B38A">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根据投标人提供的技术培训方案进行综合评审：</w:t>
            </w:r>
          </w:p>
          <w:p w14:paraId="6659884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1.对本项目的特点和难点理解准确，技术培训方案优于本项目采购需求，完整详细，可行性、实用性、针对性强，得5分；</w:t>
            </w:r>
          </w:p>
          <w:p w14:paraId="1CA633F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2.对本项目的特点和难点理解基本准确，技术培训方案适合本项目采购需求，较完整详细，具有可行性、实用性和针对性，得3分；</w:t>
            </w:r>
          </w:p>
          <w:p w14:paraId="7D2804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3.对本项目的特点和难点理解有待提升，技术培训方案可行性、实用性和针对性有待改善，得1分；</w:t>
            </w:r>
          </w:p>
          <w:p w14:paraId="3EA7B3E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BEC8DC8">
            <w:pPr>
              <w:spacing w:line="360" w:lineRule="auto"/>
              <w:jc w:val="center"/>
              <w:rPr>
                <w:rFonts w:ascii="宋体" w:hAnsi="宋体" w:cs="宋体"/>
                <w:bCs/>
                <w:color w:val="auto"/>
                <w:highlight w:val="none"/>
              </w:rPr>
            </w:pPr>
            <w:r>
              <w:rPr>
                <w:rFonts w:hint="eastAsia" w:ascii="宋体" w:hAnsi="宋体" w:eastAsia="宋体"/>
                <w:bCs/>
                <w:color w:val="auto"/>
                <w:sz w:val="24"/>
                <w:highlight w:val="none"/>
              </w:rPr>
              <w:t>0-5分</w:t>
            </w:r>
          </w:p>
        </w:tc>
      </w:tr>
      <w:tr w14:paraId="45C3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E045649">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0911DD9D">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5625AD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根据投标人提供的针对本项目的供货安装方案，方案内容从采购供应、货物配送运输、确保本项目保质保量准时完成、货物安装、调试等方面考虑，由评标委员会进行综合评审：</w:t>
            </w:r>
          </w:p>
          <w:p w14:paraId="6A55D58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1.供货安装方案优于本项目采购需求，完整详细，可行性、实用性、针对性强，得3分；</w:t>
            </w:r>
          </w:p>
          <w:p w14:paraId="6A6DD51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2.供货安装方案基本满足本项目采购需求，内容完整，可行性、实用性、针对性较强，得2分；</w:t>
            </w:r>
          </w:p>
          <w:p w14:paraId="338857C5">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3.供货安装方案及计划安排有待提升，可行性、实用性针对性有待改善，得1分；</w:t>
            </w:r>
          </w:p>
          <w:p w14:paraId="0B08D374">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923E747">
            <w:pPr>
              <w:spacing w:line="360" w:lineRule="auto"/>
              <w:jc w:val="center"/>
              <w:rPr>
                <w:rFonts w:ascii="宋体" w:hAnsi="宋体"/>
                <w:color w:val="auto"/>
                <w:highlight w:val="none"/>
              </w:rPr>
            </w:pPr>
            <w:r>
              <w:rPr>
                <w:rFonts w:hint="eastAsia" w:ascii="宋体" w:hAnsi="宋体" w:eastAsia="宋体"/>
                <w:bCs/>
                <w:color w:val="auto"/>
                <w:sz w:val="24"/>
                <w:highlight w:val="none"/>
              </w:rPr>
              <w:t>0-3分</w:t>
            </w:r>
          </w:p>
        </w:tc>
      </w:tr>
      <w:tr w14:paraId="2F73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716BC2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38095044">
            <w:pPr>
              <w:snapToGrid w:val="0"/>
              <w:jc w:val="center"/>
              <w:rPr>
                <w:rFonts w:ascii="宋体" w:hAnsi="宋体"/>
                <w:bCs/>
                <w:color w:val="auto"/>
                <w:sz w:val="24"/>
                <w:highlight w:val="none"/>
              </w:rPr>
            </w:pPr>
            <w:r>
              <w:rPr>
                <w:rFonts w:hint="eastAsia" w:ascii="宋体" w:hAnsi="宋体" w:eastAsia="宋体" w:cs="宋体"/>
                <w:bCs/>
                <w:color w:val="auto"/>
                <w:sz w:val="24"/>
                <w:highlight w:val="none"/>
              </w:rPr>
              <w:t>售后与应急服务方案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29C57A8F">
            <w:pPr>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评标委员会依据投标人提供的售后与应急服务方案进行综合评审：</w:t>
            </w:r>
          </w:p>
          <w:p w14:paraId="04FB021A">
            <w:pPr>
              <w:rPr>
                <w:rFonts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color w:val="auto"/>
                <w:sz w:val="24"/>
                <w:highlight w:val="none"/>
              </w:rPr>
              <w:t>根据投标人提供的</w:t>
            </w:r>
            <w:r>
              <w:rPr>
                <w:rFonts w:hint="eastAsia" w:ascii="宋体" w:hAnsi="宋体" w:eastAsia="宋体" w:cs="宋体"/>
                <w:b/>
                <w:bCs/>
                <w:color w:val="auto"/>
                <w:sz w:val="24"/>
                <w:highlight w:val="none"/>
              </w:rPr>
              <w:t>售后服务方案</w:t>
            </w:r>
            <w:r>
              <w:rPr>
                <w:rFonts w:hint="eastAsia" w:ascii="宋体" w:hAnsi="宋体" w:eastAsia="宋体" w:cs="宋体"/>
                <w:b/>
                <w:color w:val="auto"/>
                <w:sz w:val="24"/>
                <w:highlight w:val="none"/>
              </w:rPr>
              <w:t>进行综合评审</w:t>
            </w:r>
            <w:r>
              <w:rPr>
                <w:rFonts w:hint="eastAsia" w:ascii="宋体" w:hAnsi="宋体" w:eastAsia="宋体" w:cs="宋体"/>
                <w:b/>
                <w:bCs/>
                <w:color w:val="auto"/>
                <w:sz w:val="24"/>
                <w:highlight w:val="none"/>
              </w:rPr>
              <w:t>：</w:t>
            </w:r>
          </w:p>
          <w:p w14:paraId="795C6D19">
            <w:pPr>
              <w:rPr>
                <w:rFonts w:ascii="宋体" w:hAnsi="宋体" w:eastAsia="宋体" w:cs="宋体"/>
                <w:bCs/>
                <w:color w:val="auto"/>
                <w:sz w:val="24"/>
                <w:highlight w:val="none"/>
              </w:rPr>
            </w:pPr>
            <w:r>
              <w:rPr>
                <w:rFonts w:hint="eastAsia" w:ascii="宋体" w:hAnsi="宋体" w:eastAsia="宋体" w:cs="宋体"/>
                <w:bCs/>
                <w:color w:val="auto"/>
                <w:sz w:val="24"/>
                <w:highlight w:val="none"/>
              </w:rPr>
              <w:t>（1）对本项目的特点和难点理解准确，售后服务方案优于本项目采购需求，可行性、实用性、针对性强，得5分；</w:t>
            </w:r>
          </w:p>
          <w:p w14:paraId="061C6491">
            <w:pPr>
              <w:rPr>
                <w:rFonts w:ascii="宋体" w:hAnsi="宋体" w:eastAsia="宋体" w:cs="宋体"/>
                <w:bCs/>
                <w:color w:val="auto"/>
                <w:sz w:val="24"/>
                <w:highlight w:val="none"/>
              </w:rPr>
            </w:pPr>
            <w:r>
              <w:rPr>
                <w:rFonts w:hint="eastAsia" w:ascii="宋体" w:hAnsi="宋体" w:eastAsia="宋体" w:cs="宋体"/>
                <w:bCs/>
                <w:color w:val="auto"/>
                <w:sz w:val="24"/>
                <w:highlight w:val="none"/>
              </w:rPr>
              <w:t>（2）对本项目的特点和难点理解基本准确，售后服务方案基本满足本项目采购需求，具有可行性、实用性和针对性，得3分；</w:t>
            </w:r>
          </w:p>
          <w:p w14:paraId="41A01333">
            <w:pPr>
              <w:rPr>
                <w:rFonts w:ascii="宋体" w:hAnsi="宋体" w:eastAsia="宋体" w:cs="宋体"/>
                <w:bCs/>
                <w:color w:val="auto"/>
                <w:sz w:val="24"/>
                <w:highlight w:val="none"/>
              </w:rPr>
            </w:pPr>
            <w:r>
              <w:rPr>
                <w:rFonts w:hint="eastAsia" w:ascii="宋体" w:hAnsi="宋体" w:eastAsia="宋体" w:cs="宋体"/>
                <w:bCs/>
                <w:color w:val="auto"/>
                <w:sz w:val="24"/>
                <w:highlight w:val="none"/>
              </w:rPr>
              <w:t>（3）对本项目的特点和难点理解有待提升，售后服务方案可行性、实用性和针对性有待改善，得1分；</w:t>
            </w:r>
          </w:p>
          <w:p w14:paraId="732D5296">
            <w:pPr>
              <w:rPr>
                <w:rFonts w:ascii="宋体" w:hAnsi="宋体" w:eastAsia="宋体" w:cs="宋体"/>
                <w:bCs/>
                <w:color w:val="auto"/>
                <w:sz w:val="24"/>
                <w:highlight w:val="none"/>
              </w:rPr>
            </w:pPr>
            <w:r>
              <w:rPr>
                <w:rFonts w:hint="eastAsia" w:ascii="宋体" w:hAnsi="宋体" w:eastAsia="宋体" w:cs="宋体"/>
                <w:bCs/>
                <w:color w:val="auto"/>
                <w:sz w:val="24"/>
                <w:highlight w:val="none"/>
              </w:rPr>
              <w:t>（4）未提供方案的不得分。</w:t>
            </w:r>
          </w:p>
          <w:p w14:paraId="68C29A3A">
            <w:pPr>
              <w:rPr>
                <w:rFonts w:ascii="宋体" w:hAnsi="宋体" w:eastAsia="宋体" w:cs="宋体"/>
                <w:b/>
                <w:color w:val="auto"/>
                <w:sz w:val="24"/>
                <w:highlight w:val="none"/>
              </w:rPr>
            </w:pPr>
            <w:r>
              <w:rPr>
                <w:rFonts w:hint="eastAsia" w:ascii="宋体" w:hAnsi="宋体" w:eastAsia="宋体" w:cs="宋体"/>
                <w:b/>
                <w:color w:val="auto"/>
                <w:sz w:val="24"/>
                <w:highlight w:val="none"/>
              </w:rPr>
              <w:t>2.根据投标人提供针对本项目的应急服务方案进行综合评审：</w:t>
            </w:r>
          </w:p>
          <w:p w14:paraId="79694448">
            <w:pPr>
              <w:rPr>
                <w:rFonts w:ascii="宋体" w:hAnsi="宋体" w:eastAsia="宋体" w:cs="宋体"/>
                <w:bCs/>
                <w:color w:val="auto"/>
                <w:sz w:val="24"/>
                <w:highlight w:val="none"/>
              </w:rPr>
            </w:pPr>
            <w:r>
              <w:rPr>
                <w:rFonts w:hint="eastAsia" w:ascii="宋体" w:hAnsi="宋体" w:eastAsia="宋体" w:cs="宋体"/>
                <w:bCs/>
                <w:color w:val="auto"/>
                <w:sz w:val="24"/>
                <w:highlight w:val="none"/>
              </w:rPr>
              <w:t>（1）应急服务方案完整详细，备品备件供应可以得到充分保障，应急服务响应及时，方案实用性强的，得5分；</w:t>
            </w:r>
          </w:p>
          <w:p w14:paraId="7360ED26">
            <w:pPr>
              <w:rPr>
                <w:rFonts w:ascii="宋体" w:hAnsi="宋体" w:eastAsia="宋体" w:cs="宋体"/>
                <w:bCs/>
                <w:color w:val="auto"/>
                <w:sz w:val="24"/>
                <w:highlight w:val="none"/>
              </w:rPr>
            </w:pPr>
            <w:r>
              <w:rPr>
                <w:rFonts w:hint="eastAsia" w:ascii="宋体" w:hAnsi="宋体" w:eastAsia="宋体" w:cs="宋体"/>
                <w:bCs/>
                <w:color w:val="auto"/>
                <w:sz w:val="24"/>
                <w:highlight w:val="none"/>
              </w:rPr>
              <w:t>（2）应急服务方案基本完整，备品备件供应基本可以满足使用，应急服务响应较及时，方案实用性较强的，得3分；</w:t>
            </w:r>
          </w:p>
          <w:p w14:paraId="123E2775">
            <w:pPr>
              <w:rPr>
                <w:rFonts w:ascii="宋体" w:hAnsi="宋体" w:eastAsia="宋体" w:cs="宋体"/>
                <w:bCs/>
                <w:color w:val="auto"/>
                <w:sz w:val="24"/>
                <w:highlight w:val="none"/>
              </w:rPr>
            </w:pPr>
            <w:r>
              <w:rPr>
                <w:rFonts w:hint="eastAsia" w:ascii="宋体" w:hAnsi="宋体" w:eastAsia="宋体" w:cs="宋体"/>
                <w:bCs/>
                <w:color w:val="auto"/>
                <w:sz w:val="24"/>
                <w:highlight w:val="none"/>
              </w:rPr>
              <w:t>（3）应急服务方案内容不够完整，备品备件供应能力有待提升，方案实用性有待加强的得1分；</w:t>
            </w:r>
          </w:p>
          <w:p w14:paraId="4337EBE3">
            <w:pPr>
              <w:rPr>
                <w:rFonts w:ascii="宋体" w:hAnsi="宋体"/>
                <w:bCs/>
                <w:color w:val="auto"/>
                <w:sz w:val="24"/>
                <w:highlight w:val="none"/>
              </w:rPr>
            </w:pPr>
            <w:r>
              <w:rPr>
                <w:rFonts w:hint="eastAsia" w:ascii="宋体" w:hAnsi="宋体" w:eastAsia="宋体" w:cs="宋体"/>
                <w:bCs/>
                <w:color w:val="auto"/>
                <w:sz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4FDC6C8">
            <w:pPr>
              <w:spacing w:line="360" w:lineRule="auto"/>
              <w:jc w:val="center"/>
              <w:rPr>
                <w:rFonts w:ascii="宋体" w:hAnsi="宋体" w:cs="宋体"/>
                <w:bCs/>
                <w:color w:val="auto"/>
                <w:sz w:val="24"/>
                <w:highlight w:val="none"/>
              </w:rPr>
            </w:pPr>
            <w:r>
              <w:rPr>
                <w:rFonts w:hint="eastAsia" w:ascii="宋体" w:hAnsi="宋体" w:eastAsia="宋体"/>
                <w:bCs/>
                <w:color w:val="auto"/>
                <w:sz w:val="24"/>
                <w:highlight w:val="none"/>
              </w:rPr>
              <w:t>0-10分</w:t>
            </w:r>
          </w:p>
        </w:tc>
      </w:tr>
      <w:tr w14:paraId="2855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1473" w:type="dxa"/>
            <w:tcBorders>
              <w:left w:val="single" w:color="auto" w:sz="4" w:space="0"/>
              <w:right w:val="single" w:color="auto" w:sz="4" w:space="0"/>
            </w:tcBorders>
            <w:vAlign w:val="center"/>
          </w:tcPr>
          <w:p w14:paraId="69B3CC12">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544F937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w:t>
            </w:r>
          </w:p>
        </w:tc>
        <w:tc>
          <w:tcPr>
            <w:tcW w:w="8266" w:type="dxa"/>
            <w:gridSpan w:val="3"/>
            <w:tcBorders>
              <w:top w:val="single" w:color="auto" w:sz="4" w:space="0"/>
              <w:left w:val="single" w:color="auto" w:sz="4" w:space="0"/>
              <w:bottom w:val="single" w:color="auto" w:sz="4" w:space="0"/>
              <w:right w:val="single" w:color="auto" w:sz="4" w:space="0"/>
            </w:tcBorders>
            <w:vAlign w:val="center"/>
          </w:tcPr>
          <w:p w14:paraId="604E827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分。其他投标人的价格分统一按照下列公式计算：</w:t>
            </w:r>
          </w:p>
          <w:p w14:paraId="0552ABDA">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％×100</w:t>
            </w:r>
          </w:p>
        </w:tc>
      </w:tr>
    </w:tbl>
    <w:p w14:paraId="26BEAE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B4235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4D3E46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7D7B9B15">
      <w:pPr>
        <w:spacing w:line="360" w:lineRule="auto"/>
        <w:rPr>
          <w:rFonts w:asciiTheme="minorEastAsia" w:hAnsiTheme="minorEastAsia" w:eastAsiaTheme="minorEastAsia"/>
          <w:color w:val="auto"/>
          <w:sz w:val="24"/>
          <w:highlight w:val="none"/>
        </w:rPr>
      </w:pPr>
    </w:p>
    <w:p w14:paraId="2FFF9B9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35BD82C">
      <w:pPr>
        <w:spacing w:line="360" w:lineRule="auto"/>
        <w:jc w:val="center"/>
        <w:outlineLvl w:val="0"/>
        <w:rPr>
          <w:rFonts w:hint="eastAsia" w:asciiTheme="minorEastAsia" w:hAnsiTheme="minorEastAsia" w:eastAsiaTheme="minorEastAsia"/>
          <w:b/>
          <w:color w:val="auto"/>
          <w:sz w:val="28"/>
          <w:highlight w:val="none"/>
        </w:rPr>
        <w:sectPr>
          <w:pgSz w:w="11906" w:h="16838"/>
          <w:pgMar w:top="794" w:right="737" w:bottom="794" w:left="737" w:header="851" w:footer="992" w:gutter="0"/>
          <w:cols w:space="0" w:num="1"/>
          <w:rtlGutter w:val="0"/>
          <w:docGrid w:type="lines" w:linePitch="312" w:charSpace="0"/>
        </w:sectPr>
      </w:pPr>
      <w:bookmarkStart w:id="44" w:name="_Toc4682"/>
    </w:p>
    <w:p w14:paraId="4CD34A53">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4"/>
    </w:p>
    <w:p w14:paraId="7A5364A5">
      <w:pPr>
        <w:pStyle w:val="8"/>
        <w:spacing w:after="0" w:line="360" w:lineRule="auto"/>
        <w:jc w:val="center"/>
        <w:rPr>
          <w:rFonts w:ascii="宋体" w:hAnsi="宋体" w:eastAsia="宋体" w:cs="宋体"/>
          <w:b/>
          <w:bCs/>
          <w:color w:val="000000" w:themeColor="text1"/>
          <w:spacing w:val="-20"/>
          <w:kern w:val="44"/>
          <w:sz w:val="24"/>
          <w:highlight w:val="none"/>
          <w14:textFill>
            <w14:solidFill>
              <w14:schemeClr w14:val="tx1"/>
            </w14:solidFill>
          </w14:textFill>
        </w:rPr>
      </w:pPr>
      <w:r>
        <w:rPr>
          <w:rFonts w:hint="eastAsia" w:ascii="宋体" w:hAnsi="宋体" w:eastAsia="宋体" w:cs="宋体"/>
          <w:b/>
          <w:bCs/>
          <w:color w:val="000000" w:themeColor="text1"/>
          <w:spacing w:val="-20"/>
          <w:kern w:val="44"/>
          <w:sz w:val="32"/>
          <w:szCs w:val="32"/>
          <w:highlight w:val="none"/>
          <w14:textFill>
            <w14:solidFill>
              <w14:schemeClr w14:val="tx1"/>
            </w14:solidFill>
          </w14:textFill>
        </w:rPr>
        <w:t>设备采购合同</w:t>
      </w:r>
    </w:p>
    <w:p w14:paraId="0C95B762">
      <w:pPr>
        <w:spacing w:line="380" w:lineRule="exact"/>
        <w:rPr>
          <w:rFonts w:ascii="仿宋_GB2312" w:hAnsi="Georgia" w:eastAsia="仿宋_GB2312"/>
          <w:sz w:val="24"/>
          <w:highlight w:val="none"/>
        </w:rPr>
      </w:pPr>
      <w:r>
        <w:rPr>
          <w:rFonts w:hint="eastAsia" w:ascii="仿宋_GB2312" w:eastAsia="仿宋_GB2312" w:cs="Arial"/>
          <w:sz w:val="24"/>
          <w:highlight w:val="none"/>
        </w:rPr>
        <w:t>购货单位（以下简称甲方）：</w:t>
      </w:r>
      <w:r>
        <w:rPr>
          <w:rFonts w:hint="eastAsia" w:ascii="仿宋_GB2312" w:eastAsia="仿宋_GB2312"/>
          <w:sz w:val="24"/>
          <w:highlight w:val="none"/>
        </w:rPr>
        <w:t xml:space="preserve">蚌埠医科大学第一附属医院                      </w:t>
      </w:r>
      <w:r>
        <w:rPr>
          <w:rFonts w:hint="eastAsia" w:ascii="仿宋_GB2312" w:eastAsia="仿宋_GB2312" w:cs="Arial"/>
          <w:sz w:val="24"/>
          <w:highlight w:val="none"/>
        </w:rPr>
        <w:br w:type="textWrapping"/>
      </w:r>
      <w:r>
        <w:rPr>
          <w:rFonts w:hint="eastAsia" w:ascii="仿宋_GB2312" w:eastAsia="仿宋_GB2312" w:cs="Arial"/>
          <w:sz w:val="24"/>
          <w:highlight w:val="none"/>
        </w:rPr>
        <w:t>供货单位（以下简称乙方）：</w:t>
      </w:r>
      <w:r>
        <w:rPr>
          <w:rFonts w:hint="eastAsia" w:ascii="仿宋_GB2312" w:eastAsia="仿宋_GB2312" w:cs="Arial"/>
          <w:sz w:val="24"/>
          <w:highlight w:val="none"/>
          <w:u w:val="single"/>
        </w:rPr>
        <w:t xml:space="preserve">                      </w:t>
      </w:r>
      <w:r>
        <w:rPr>
          <w:rFonts w:hint="eastAsia" w:ascii="仿宋_GB2312" w:eastAsia="仿宋_GB2312" w:cs="Arial"/>
          <w:sz w:val="24"/>
          <w:highlight w:val="none"/>
        </w:rPr>
        <w:t xml:space="preserve">                 </w:t>
      </w:r>
      <w:r>
        <w:rPr>
          <w:rFonts w:hint="eastAsia" w:ascii="仿宋_GB2312" w:hAnsi="Georgia" w:eastAsia="仿宋_GB2312"/>
          <w:sz w:val="24"/>
          <w:highlight w:val="none"/>
        </w:rPr>
        <w:t>　　　</w:t>
      </w:r>
    </w:p>
    <w:p w14:paraId="4F710DCE">
      <w:pPr>
        <w:spacing w:line="380" w:lineRule="exact"/>
        <w:rPr>
          <w:rFonts w:hint="eastAsia" w:ascii="仿宋_GB2312" w:hAnsi="Georgia" w:eastAsia="仿宋_GB2312"/>
          <w:sz w:val="24"/>
          <w:highlight w:val="none"/>
        </w:rPr>
      </w:pPr>
      <w:r>
        <w:rPr>
          <w:rFonts w:hint="eastAsia" w:ascii="仿宋_GB2312" w:hAnsi="Georgia" w:eastAsia="仿宋_GB2312"/>
          <w:sz w:val="24"/>
          <w:highlight w:val="none"/>
        </w:rPr>
        <w:t>签订地点：安徽 蚌埠 龙子湖区</w:t>
      </w:r>
    </w:p>
    <w:p w14:paraId="2A83357F">
      <w:pPr>
        <w:pStyle w:val="7"/>
        <w:rPr>
          <w:rFonts w:hint="eastAsia" w:ascii="仿宋_GB2312" w:hAnsi="@仿宋_GB2312" w:eastAsia="仿宋_GB2312" w:cs="Arial"/>
          <w:kern w:val="2"/>
          <w:sz w:val="24"/>
          <w:highlight w:val="none"/>
          <w:lang w:val="en-US" w:eastAsia="zh-CN" w:bidi="ar-SA"/>
        </w:rPr>
      </w:pPr>
      <w:r>
        <w:rPr>
          <w:rFonts w:hint="eastAsia" w:ascii="仿宋_GB2312" w:hAnsi="@仿宋_GB2312" w:eastAsia="仿宋_GB2312" w:cs="Arial"/>
          <w:kern w:val="2"/>
          <w:sz w:val="24"/>
          <w:highlight w:val="none"/>
          <w:lang w:val="en-US" w:eastAsia="zh-CN" w:bidi="ar-SA"/>
        </w:rPr>
        <w:t>重要提示:本合同项目属于浙江大学医学院附属第二医院安徽医院，因浙江大学医学院附属第二医院安徽医院政务网未开通，由蚌埠医科大学第一附属医院代为管理，浙江大学医学院附属第二医院安徽医院物资采购委托蚌埠医科大学第一附属医院代为招标并代为签订本合同。以上情况，乙方已全部知悉并无任何异议，并自愿承担相应法律后果，乙方在本合同项目执行中愿意配合甲方和浙江大学医学院附属第二医院安徽医院管理和安排。</w:t>
      </w:r>
    </w:p>
    <w:p w14:paraId="3D437C2B">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甲方向乙方订购</w:t>
      </w:r>
      <w:r>
        <w:rPr>
          <w:rFonts w:hint="eastAsia" w:ascii="仿宋_GB2312" w:eastAsia="仿宋_GB2312"/>
          <w:sz w:val="24"/>
          <w:highlight w:val="none"/>
          <w:u w:val="single"/>
        </w:rPr>
        <w:t xml:space="preserve">                     </w:t>
      </w:r>
      <w:r>
        <w:rPr>
          <w:rFonts w:hint="eastAsia" w:ascii="仿宋_GB2312" w:eastAsia="仿宋_GB2312"/>
          <w:sz w:val="24"/>
          <w:highlight w:val="none"/>
        </w:rPr>
        <w:t>医疗设备及其服务，为明确双方权利和责任，</w:t>
      </w:r>
      <w:r>
        <w:rPr>
          <w:rFonts w:hint="eastAsia" w:ascii="仿宋_GB2312" w:hAnsi="Georgia" w:eastAsia="仿宋_GB2312"/>
          <w:color w:val="000000"/>
          <w:sz w:val="24"/>
          <w:highlight w:val="none"/>
        </w:rPr>
        <w:t>根据《中华人民共和国民法典》及其他有关法律法规的规定，甲、乙双方遵循平等自愿、</w:t>
      </w:r>
      <w:r>
        <w:rPr>
          <w:rFonts w:hint="eastAsia" w:ascii="仿宋_GB2312" w:eastAsia="仿宋_GB2312"/>
          <w:sz w:val="24"/>
          <w:highlight w:val="none"/>
        </w:rPr>
        <w:t>互惠互利、协商一致、</w:t>
      </w:r>
      <w:r>
        <w:rPr>
          <w:rFonts w:hint="eastAsia" w:ascii="仿宋_GB2312" w:hAnsi="Georgia" w:eastAsia="仿宋_GB2312"/>
          <w:color w:val="000000"/>
          <w:sz w:val="24"/>
          <w:highlight w:val="none"/>
        </w:rPr>
        <w:t>诚实信用的原则，就产品进货购销事宜协商订立本合同</w:t>
      </w:r>
      <w:r>
        <w:rPr>
          <w:rFonts w:hint="eastAsia" w:ascii="仿宋_GB2312" w:eastAsia="仿宋_GB2312"/>
          <w:sz w:val="24"/>
          <w:highlight w:val="none"/>
        </w:rPr>
        <w:t>共同遵守。具体条款如下：</w:t>
      </w:r>
    </w:p>
    <w:p w14:paraId="120E7D9D">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一、在本合同签订时，乙方应向甲方提交以下材料：产品注册证、特殊产品生产许可证和业务代表身份证明等。</w:t>
      </w:r>
    </w:p>
    <w:p w14:paraId="33BD8EEB">
      <w:pPr>
        <w:spacing w:line="380" w:lineRule="exact"/>
        <w:ind w:firstLine="480" w:firstLineChars="200"/>
        <w:rPr>
          <w:rFonts w:ascii="仿宋_GB2312" w:eastAsia="仿宋_GB2312"/>
          <w:bCs/>
          <w:sz w:val="24"/>
          <w:highlight w:val="none"/>
        </w:rPr>
      </w:pPr>
      <w:r>
        <w:rPr>
          <w:rFonts w:hint="eastAsia" w:ascii="仿宋_GB2312" w:hAnsi="Arial" w:eastAsia="仿宋_GB2312" w:cs="Arial"/>
          <w:sz w:val="24"/>
          <w:highlight w:val="none"/>
        </w:rPr>
        <w:t>二、</w:t>
      </w:r>
      <w:r>
        <w:rPr>
          <w:rFonts w:hint="eastAsia" w:ascii="仿宋_GB2312" w:eastAsia="仿宋_GB2312"/>
          <w:bCs/>
          <w:sz w:val="24"/>
          <w:highlight w:val="none"/>
        </w:rPr>
        <w:t>采购内容：</w:t>
      </w:r>
    </w:p>
    <w:tbl>
      <w:tblPr>
        <w:tblStyle w:val="24"/>
        <w:tblW w:w="1048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930"/>
        <w:gridCol w:w="1047"/>
        <w:gridCol w:w="597"/>
        <w:gridCol w:w="14"/>
        <w:gridCol w:w="1030"/>
        <w:gridCol w:w="3486"/>
        <w:gridCol w:w="863"/>
        <w:gridCol w:w="947"/>
      </w:tblGrid>
      <w:tr w14:paraId="5295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72" w:type="dxa"/>
            <w:vAlign w:val="center"/>
          </w:tcPr>
          <w:p w14:paraId="78B5D796">
            <w:pPr>
              <w:spacing w:line="380" w:lineRule="exact"/>
              <w:jc w:val="center"/>
              <w:rPr>
                <w:rFonts w:ascii="仿宋_GB2312" w:eastAsia="仿宋_GB2312"/>
                <w:sz w:val="24"/>
                <w:highlight w:val="none"/>
              </w:rPr>
            </w:pPr>
            <w:r>
              <w:rPr>
                <w:rFonts w:hint="eastAsia" w:ascii="仿宋_GB2312" w:eastAsia="仿宋_GB2312"/>
                <w:sz w:val="24"/>
                <w:highlight w:val="none"/>
              </w:rPr>
              <w:t>品     名</w:t>
            </w:r>
          </w:p>
        </w:tc>
        <w:tc>
          <w:tcPr>
            <w:tcW w:w="930" w:type="dxa"/>
            <w:vAlign w:val="center"/>
          </w:tcPr>
          <w:p w14:paraId="3930AE53">
            <w:pPr>
              <w:spacing w:line="380" w:lineRule="exact"/>
              <w:jc w:val="center"/>
              <w:rPr>
                <w:rFonts w:ascii="仿宋_GB2312" w:eastAsia="仿宋_GB2312"/>
                <w:sz w:val="24"/>
                <w:highlight w:val="none"/>
              </w:rPr>
            </w:pPr>
            <w:r>
              <w:rPr>
                <w:rFonts w:hint="eastAsia" w:ascii="仿宋_GB2312" w:eastAsia="仿宋_GB2312"/>
                <w:sz w:val="24"/>
                <w:highlight w:val="none"/>
              </w:rPr>
              <w:t>型  号</w:t>
            </w:r>
          </w:p>
        </w:tc>
        <w:tc>
          <w:tcPr>
            <w:tcW w:w="1047" w:type="dxa"/>
            <w:vAlign w:val="center"/>
          </w:tcPr>
          <w:p w14:paraId="0C691307">
            <w:pPr>
              <w:spacing w:line="380" w:lineRule="exact"/>
              <w:jc w:val="center"/>
              <w:rPr>
                <w:rFonts w:ascii="仿宋_GB2312" w:eastAsia="仿宋_GB2312"/>
                <w:sz w:val="24"/>
                <w:highlight w:val="none"/>
              </w:rPr>
            </w:pPr>
            <w:r>
              <w:rPr>
                <w:rFonts w:hint="eastAsia" w:ascii="仿宋_GB2312" w:eastAsia="仿宋_GB2312"/>
                <w:sz w:val="24"/>
                <w:highlight w:val="none"/>
              </w:rPr>
              <w:t>生  产  商</w:t>
            </w:r>
          </w:p>
        </w:tc>
        <w:tc>
          <w:tcPr>
            <w:tcW w:w="611" w:type="dxa"/>
            <w:gridSpan w:val="2"/>
            <w:vAlign w:val="center"/>
          </w:tcPr>
          <w:p w14:paraId="1EE5AE01">
            <w:pPr>
              <w:spacing w:line="380" w:lineRule="exact"/>
              <w:jc w:val="center"/>
              <w:rPr>
                <w:rFonts w:ascii="仿宋_GB2312" w:eastAsia="仿宋_GB2312"/>
                <w:sz w:val="24"/>
                <w:highlight w:val="none"/>
              </w:rPr>
            </w:pPr>
            <w:r>
              <w:rPr>
                <w:rFonts w:hint="eastAsia" w:ascii="仿宋_GB2312" w:eastAsia="仿宋_GB2312"/>
                <w:sz w:val="24"/>
                <w:highlight w:val="none"/>
              </w:rPr>
              <w:t>数 量</w:t>
            </w:r>
          </w:p>
        </w:tc>
        <w:tc>
          <w:tcPr>
            <w:tcW w:w="1030" w:type="dxa"/>
            <w:vAlign w:val="center"/>
          </w:tcPr>
          <w:p w14:paraId="2C69F3AD">
            <w:pPr>
              <w:spacing w:line="380" w:lineRule="exact"/>
              <w:jc w:val="center"/>
              <w:rPr>
                <w:rFonts w:ascii="仿宋_GB2312" w:eastAsia="仿宋_GB2312"/>
                <w:sz w:val="24"/>
                <w:highlight w:val="none"/>
              </w:rPr>
            </w:pPr>
            <w:r>
              <w:rPr>
                <w:rFonts w:hint="eastAsia" w:ascii="仿宋_GB2312" w:eastAsia="仿宋_GB2312"/>
                <w:sz w:val="24"/>
                <w:highlight w:val="none"/>
              </w:rPr>
              <w:t>单  价</w:t>
            </w:r>
          </w:p>
        </w:tc>
        <w:tc>
          <w:tcPr>
            <w:tcW w:w="3486" w:type="dxa"/>
            <w:vAlign w:val="center"/>
          </w:tcPr>
          <w:p w14:paraId="7BA6A103">
            <w:pPr>
              <w:spacing w:line="380" w:lineRule="exact"/>
              <w:jc w:val="center"/>
              <w:rPr>
                <w:rFonts w:ascii="仿宋_GB2312" w:eastAsia="仿宋_GB2312"/>
                <w:sz w:val="24"/>
                <w:highlight w:val="none"/>
              </w:rPr>
            </w:pPr>
            <w:r>
              <w:rPr>
                <w:rFonts w:hint="eastAsia" w:ascii="仿宋_GB2312" w:eastAsia="仿宋_GB2312"/>
                <w:sz w:val="24"/>
                <w:highlight w:val="none"/>
              </w:rPr>
              <w:t>总  价</w:t>
            </w:r>
          </w:p>
        </w:tc>
        <w:tc>
          <w:tcPr>
            <w:tcW w:w="863" w:type="dxa"/>
            <w:vAlign w:val="center"/>
          </w:tcPr>
          <w:p w14:paraId="6A0933E5">
            <w:pPr>
              <w:spacing w:line="380" w:lineRule="exact"/>
              <w:jc w:val="center"/>
              <w:rPr>
                <w:rFonts w:ascii="仿宋_GB2312" w:eastAsia="仿宋_GB2312"/>
                <w:sz w:val="24"/>
                <w:highlight w:val="none"/>
              </w:rPr>
            </w:pPr>
            <w:r>
              <w:rPr>
                <w:rFonts w:hint="eastAsia" w:ascii="仿宋_GB2312" w:eastAsia="仿宋_GB2312"/>
                <w:sz w:val="24"/>
                <w:highlight w:val="none"/>
              </w:rPr>
              <w:t>交货地点</w:t>
            </w:r>
          </w:p>
        </w:tc>
        <w:tc>
          <w:tcPr>
            <w:tcW w:w="947" w:type="dxa"/>
            <w:vAlign w:val="center"/>
          </w:tcPr>
          <w:p w14:paraId="4C049B19">
            <w:pPr>
              <w:spacing w:line="380" w:lineRule="exact"/>
              <w:jc w:val="center"/>
              <w:rPr>
                <w:rFonts w:ascii="仿宋_GB2312" w:eastAsia="仿宋_GB2312"/>
                <w:sz w:val="24"/>
                <w:highlight w:val="none"/>
              </w:rPr>
            </w:pPr>
            <w:r>
              <w:rPr>
                <w:rFonts w:hint="eastAsia" w:ascii="仿宋_GB2312" w:eastAsia="仿宋_GB2312"/>
                <w:sz w:val="24"/>
                <w:highlight w:val="none"/>
              </w:rPr>
              <w:t>交货时间</w:t>
            </w:r>
          </w:p>
        </w:tc>
      </w:tr>
      <w:tr w14:paraId="3EA0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572" w:type="dxa"/>
            <w:vAlign w:val="center"/>
          </w:tcPr>
          <w:p w14:paraId="56F55734">
            <w:pPr>
              <w:spacing w:line="380" w:lineRule="exact"/>
              <w:jc w:val="center"/>
              <w:rPr>
                <w:rFonts w:ascii="仿宋_GB2312" w:eastAsia="仿宋_GB2312"/>
                <w:sz w:val="24"/>
                <w:highlight w:val="none"/>
              </w:rPr>
            </w:pPr>
          </w:p>
        </w:tc>
        <w:tc>
          <w:tcPr>
            <w:tcW w:w="930" w:type="dxa"/>
            <w:vAlign w:val="center"/>
          </w:tcPr>
          <w:p w14:paraId="386C5559">
            <w:pPr>
              <w:spacing w:line="380" w:lineRule="exact"/>
              <w:jc w:val="center"/>
              <w:rPr>
                <w:rFonts w:ascii="仿宋_GB2312" w:eastAsia="仿宋_GB2312"/>
                <w:sz w:val="24"/>
                <w:highlight w:val="none"/>
              </w:rPr>
            </w:pPr>
          </w:p>
        </w:tc>
        <w:tc>
          <w:tcPr>
            <w:tcW w:w="1047" w:type="dxa"/>
            <w:vAlign w:val="center"/>
          </w:tcPr>
          <w:p w14:paraId="2E8D8B55">
            <w:pPr>
              <w:spacing w:line="380" w:lineRule="exact"/>
              <w:jc w:val="center"/>
              <w:rPr>
                <w:rFonts w:ascii="仿宋_GB2312" w:eastAsia="仿宋_GB2312"/>
                <w:sz w:val="24"/>
                <w:highlight w:val="none"/>
              </w:rPr>
            </w:pPr>
          </w:p>
        </w:tc>
        <w:tc>
          <w:tcPr>
            <w:tcW w:w="611" w:type="dxa"/>
            <w:gridSpan w:val="2"/>
            <w:vAlign w:val="center"/>
          </w:tcPr>
          <w:p w14:paraId="78CCC480">
            <w:pPr>
              <w:spacing w:line="380" w:lineRule="exact"/>
              <w:jc w:val="center"/>
              <w:rPr>
                <w:rFonts w:ascii="仿宋_GB2312" w:eastAsia="仿宋_GB2312"/>
                <w:sz w:val="24"/>
                <w:highlight w:val="none"/>
              </w:rPr>
            </w:pPr>
          </w:p>
        </w:tc>
        <w:tc>
          <w:tcPr>
            <w:tcW w:w="1030" w:type="dxa"/>
            <w:vAlign w:val="center"/>
          </w:tcPr>
          <w:p w14:paraId="2E6999A2">
            <w:pPr>
              <w:spacing w:line="380" w:lineRule="exact"/>
              <w:jc w:val="center"/>
              <w:rPr>
                <w:rFonts w:ascii="仿宋_GB2312" w:eastAsia="仿宋_GB2312"/>
                <w:sz w:val="24"/>
                <w:highlight w:val="none"/>
              </w:rPr>
            </w:pPr>
          </w:p>
        </w:tc>
        <w:tc>
          <w:tcPr>
            <w:tcW w:w="3486" w:type="dxa"/>
            <w:vAlign w:val="center"/>
          </w:tcPr>
          <w:p w14:paraId="36401A85">
            <w:pPr>
              <w:spacing w:line="380" w:lineRule="exact"/>
              <w:jc w:val="center"/>
              <w:rPr>
                <w:rFonts w:ascii="仿宋_GB2312" w:eastAsia="仿宋_GB2312"/>
                <w:sz w:val="24"/>
                <w:highlight w:val="none"/>
              </w:rPr>
            </w:pPr>
          </w:p>
        </w:tc>
        <w:tc>
          <w:tcPr>
            <w:tcW w:w="863" w:type="dxa"/>
            <w:vAlign w:val="center"/>
          </w:tcPr>
          <w:p w14:paraId="03A7926F">
            <w:pPr>
              <w:spacing w:line="380" w:lineRule="exact"/>
              <w:jc w:val="center"/>
              <w:rPr>
                <w:rFonts w:ascii="仿宋_GB2312" w:eastAsia="仿宋_GB2312"/>
                <w:sz w:val="24"/>
                <w:highlight w:val="none"/>
              </w:rPr>
            </w:pPr>
            <w:r>
              <w:rPr>
                <w:rFonts w:hint="eastAsia" w:ascii="仿宋_GB2312" w:eastAsia="仿宋_GB2312"/>
                <w:sz w:val="24"/>
                <w:highlight w:val="none"/>
              </w:rPr>
              <w:t>甲方指定地点</w:t>
            </w:r>
          </w:p>
        </w:tc>
        <w:tc>
          <w:tcPr>
            <w:tcW w:w="947" w:type="dxa"/>
            <w:vAlign w:val="center"/>
          </w:tcPr>
          <w:p w14:paraId="5C70FA1D">
            <w:pPr>
              <w:spacing w:line="380" w:lineRule="exact"/>
              <w:jc w:val="center"/>
              <w:rPr>
                <w:rFonts w:ascii="仿宋_GB2312" w:eastAsia="仿宋_GB2312"/>
                <w:sz w:val="24"/>
                <w:highlight w:val="none"/>
              </w:rPr>
            </w:pPr>
          </w:p>
        </w:tc>
      </w:tr>
      <w:tr w14:paraId="5D5E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0486" w:type="dxa"/>
            <w:gridSpan w:val="9"/>
          </w:tcPr>
          <w:p w14:paraId="69D1FFF8">
            <w:pPr>
              <w:spacing w:line="380" w:lineRule="exact"/>
              <w:rPr>
                <w:rFonts w:ascii="仿宋_GB2312" w:eastAsia="仿宋_GB2312"/>
                <w:sz w:val="24"/>
                <w:highlight w:val="none"/>
              </w:rPr>
            </w:pPr>
            <w:r>
              <w:rPr>
                <w:rFonts w:hint="eastAsia" w:ascii="仿宋_GB2312" w:eastAsia="仿宋_GB2312"/>
                <w:sz w:val="24"/>
                <w:highlight w:val="none"/>
              </w:rPr>
              <w:t>该价格已包括设备所有标配和选配功能，详细配置见标书。</w:t>
            </w:r>
          </w:p>
          <w:p w14:paraId="13BAC7EA">
            <w:pPr>
              <w:spacing w:line="380" w:lineRule="exact"/>
              <w:rPr>
                <w:rFonts w:ascii="仿宋_GB2312" w:eastAsia="仿宋_GB2312"/>
                <w:b/>
                <w:sz w:val="24"/>
                <w:highlight w:val="none"/>
              </w:rPr>
            </w:pPr>
            <w:r>
              <w:rPr>
                <w:rFonts w:hint="eastAsia" w:ascii="仿宋_GB2312" w:eastAsia="仿宋_GB2312"/>
                <w:b/>
                <w:sz w:val="22"/>
                <w:highlight w:val="none"/>
              </w:rPr>
              <w:t>配套耗材：</w:t>
            </w:r>
          </w:p>
        </w:tc>
      </w:tr>
      <w:tr w14:paraId="1969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572" w:type="dxa"/>
            <w:vAlign w:val="center"/>
          </w:tcPr>
          <w:p w14:paraId="3993CC6B">
            <w:pPr>
              <w:spacing w:line="380" w:lineRule="exact"/>
              <w:jc w:val="center"/>
              <w:rPr>
                <w:rFonts w:ascii="仿宋_GB2312" w:eastAsia="仿宋_GB2312"/>
                <w:b/>
                <w:sz w:val="24"/>
                <w:highlight w:val="none"/>
              </w:rPr>
            </w:pPr>
            <w:r>
              <w:rPr>
                <w:rFonts w:hint="eastAsia" w:ascii="仿宋_GB2312" w:eastAsia="仿宋_GB2312"/>
                <w:b/>
                <w:sz w:val="24"/>
                <w:highlight w:val="none"/>
              </w:rPr>
              <w:t>金 额 合 计</w:t>
            </w:r>
          </w:p>
        </w:tc>
        <w:tc>
          <w:tcPr>
            <w:tcW w:w="2574" w:type="dxa"/>
            <w:gridSpan w:val="3"/>
            <w:vAlign w:val="center"/>
          </w:tcPr>
          <w:p w14:paraId="52B3F3D3">
            <w:pPr>
              <w:spacing w:line="380" w:lineRule="exact"/>
              <w:rPr>
                <w:rFonts w:ascii="仿宋_GB2312" w:eastAsia="仿宋_GB2312"/>
                <w:sz w:val="24"/>
                <w:highlight w:val="none"/>
              </w:rPr>
            </w:pPr>
          </w:p>
        </w:tc>
        <w:tc>
          <w:tcPr>
            <w:tcW w:w="6340" w:type="dxa"/>
            <w:gridSpan w:val="5"/>
            <w:vAlign w:val="center"/>
          </w:tcPr>
          <w:p w14:paraId="42907F50">
            <w:pPr>
              <w:spacing w:line="380" w:lineRule="exact"/>
              <w:rPr>
                <w:rFonts w:ascii="仿宋_GB2312" w:eastAsia="仿宋_GB2312"/>
                <w:sz w:val="24"/>
                <w:highlight w:val="none"/>
              </w:rPr>
            </w:pPr>
            <w:r>
              <w:rPr>
                <w:rFonts w:hint="eastAsia" w:ascii="仿宋_GB2312" w:eastAsia="仿宋_GB2312"/>
                <w:sz w:val="24"/>
                <w:highlight w:val="none"/>
              </w:rPr>
              <w:t>人民币大写：</w:t>
            </w:r>
          </w:p>
        </w:tc>
      </w:tr>
    </w:tbl>
    <w:p w14:paraId="67252E0C">
      <w:pPr>
        <w:spacing w:line="380" w:lineRule="exact"/>
        <w:ind w:firstLine="480" w:firstLineChars="200"/>
        <w:rPr>
          <w:rFonts w:ascii="仿宋_GB2312" w:eastAsia="仿宋_GB2312"/>
          <w:b/>
          <w:bCs/>
          <w:sz w:val="24"/>
          <w:highlight w:val="none"/>
        </w:rPr>
      </w:pPr>
      <w:r>
        <w:rPr>
          <w:rFonts w:hint="eastAsia" w:ascii="仿宋_GB2312" w:eastAsia="仿宋_GB2312"/>
          <w:bCs/>
          <w:sz w:val="24"/>
          <w:highlight w:val="none"/>
        </w:rPr>
        <w:t>注：上表“总价”包含该设备验收合格前发生的所有费用，</w:t>
      </w:r>
      <w:r>
        <w:rPr>
          <w:rFonts w:hint="eastAsia" w:ascii="仿宋_GB2312" w:eastAsia="仿宋_GB2312" w:cs="宋体"/>
          <w:kern w:val="0"/>
          <w:sz w:val="24"/>
          <w:szCs w:val="21"/>
          <w:highlight w:val="none"/>
        </w:rPr>
        <w:t>以及验收合格后发生的与使用该产品相关的</w:t>
      </w:r>
      <w:r>
        <w:rPr>
          <w:rFonts w:hint="eastAsia" w:ascii="仿宋_GB2312" w:eastAsia="仿宋_GB2312" w:cs="宋体"/>
          <w:kern w:val="0"/>
          <w:sz w:val="24"/>
          <w:highlight w:val="none"/>
        </w:rPr>
        <w:t>技术指导、培训、咨询等费用，甲方不再另向乙方支付其它任何费用。</w:t>
      </w:r>
    </w:p>
    <w:p w14:paraId="0506D552">
      <w:pPr>
        <w:spacing w:line="380" w:lineRule="exact"/>
        <w:ind w:firstLine="480" w:firstLineChars="200"/>
        <w:rPr>
          <w:rFonts w:ascii="仿宋_GB2312" w:hAnsi="Arial" w:eastAsia="仿宋_GB2312" w:cs="Arial"/>
          <w:sz w:val="24"/>
          <w:highlight w:val="none"/>
        </w:rPr>
      </w:pPr>
      <w:r>
        <w:rPr>
          <w:rFonts w:hint="eastAsia" w:ascii="仿宋_GB2312" w:eastAsia="仿宋_GB2312"/>
          <w:sz w:val="24"/>
          <w:highlight w:val="none"/>
        </w:rPr>
        <w:t>三、</w:t>
      </w:r>
      <w:r>
        <w:rPr>
          <w:rFonts w:hint="eastAsia" w:ascii="仿宋_GB2312" w:hAnsi="Arial" w:eastAsia="仿宋_GB2312" w:cs="Arial"/>
          <w:sz w:val="24"/>
          <w:highlight w:val="none"/>
        </w:rPr>
        <w:t>产品质量：</w:t>
      </w:r>
    </w:p>
    <w:p w14:paraId="192C5472">
      <w:pPr>
        <w:spacing w:line="380" w:lineRule="exact"/>
        <w:ind w:firstLine="480" w:firstLineChars="200"/>
        <w:rPr>
          <w:rFonts w:ascii="仿宋_GB2312" w:eastAsia="仿宋_GB2312"/>
          <w:sz w:val="24"/>
          <w:highlight w:val="none"/>
        </w:rPr>
      </w:pPr>
      <w:r>
        <w:rPr>
          <w:rFonts w:hint="eastAsia" w:ascii="仿宋_GB2312" w:hAnsi="Arial" w:eastAsia="仿宋_GB2312" w:cs="Arial"/>
          <w:sz w:val="24"/>
          <w:highlight w:val="none"/>
        </w:rPr>
        <w:t>1、设备符合产品注册标准、国家强制性标准、国家法律法规规定的标准、招投标文件所要求的技术标准</w:t>
      </w:r>
      <w:r>
        <w:rPr>
          <w:rFonts w:hint="eastAsia" w:ascii="仿宋_GB2312" w:eastAsia="仿宋_GB2312"/>
          <w:sz w:val="24"/>
          <w:highlight w:val="none"/>
        </w:rPr>
        <w:t>。</w:t>
      </w:r>
    </w:p>
    <w:p w14:paraId="5CEB215B">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2、保证是原产地生产的原装产品，否则按退货处理。</w:t>
      </w:r>
    </w:p>
    <w:p w14:paraId="38FC5DB3">
      <w:pPr>
        <w:spacing w:line="380" w:lineRule="exact"/>
        <w:ind w:firstLine="480" w:firstLineChars="200"/>
        <w:rPr>
          <w:rFonts w:ascii="仿宋_GB2312" w:hAnsi="Arial" w:eastAsia="仿宋_GB2312" w:cs="Arial"/>
          <w:sz w:val="24"/>
          <w:highlight w:val="none"/>
        </w:rPr>
      </w:pPr>
      <w:r>
        <w:rPr>
          <w:rFonts w:hint="eastAsia" w:ascii="仿宋_GB2312" w:eastAsia="仿宋_GB2312"/>
          <w:sz w:val="24"/>
          <w:highlight w:val="none"/>
        </w:rPr>
        <w:t>3、如因乙方设备原因导致甲方损失，乙方应予以赔偿。</w:t>
      </w:r>
    </w:p>
    <w:p w14:paraId="0DD5B461">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四、货物交付</w:t>
      </w:r>
    </w:p>
    <w:p w14:paraId="22BB9D80">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1、乙方在合同生效的</w:t>
      </w:r>
      <w:r>
        <w:rPr>
          <w:rFonts w:hint="eastAsia" w:ascii="仿宋_GB2312" w:eastAsia="仿宋_GB2312"/>
          <w:sz w:val="24"/>
          <w:highlight w:val="none"/>
          <w:u w:val="single"/>
        </w:rPr>
        <w:t xml:space="preserve">      </w:t>
      </w:r>
      <w:r>
        <w:rPr>
          <w:rFonts w:hint="eastAsia" w:ascii="仿宋_GB2312" w:eastAsia="仿宋_GB2312"/>
          <w:sz w:val="24"/>
          <w:highlight w:val="none"/>
        </w:rPr>
        <w:t>天内向甲方交付上述设备，在满足安装条件之日起</w:t>
      </w:r>
      <w:r>
        <w:rPr>
          <w:rFonts w:hint="eastAsia" w:ascii="仿宋_GB2312" w:eastAsia="仿宋_GB2312"/>
          <w:sz w:val="24"/>
          <w:highlight w:val="none"/>
          <w:u w:val="single"/>
        </w:rPr>
        <w:t xml:space="preserve">  2  </w:t>
      </w:r>
      <w:r>
        <w:rPr>
          <w:rFonts w:hint="eastAsia" w:ascii="仿宋_GB2312" w:eastAsia="仿宋_GB2312"/>
          <w:sz w:val="24"/>
          <w:highlight w:val="none"/>
        </w:rPr>
        <w:t>天内开始安装。</w:t>
      </w:r>
    </w:p>
    <w:p w14:paraId="54C412B5">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2、乙方应确保设备安全无损地运抵甲方指定现场，并承担运保费、税费、装卸费等所有相关费用，货物交付甲方后所有权转移至甲方。</w:t>
      </w:r>
    </w:p>
    <w:p w14:paraId="7EABF4C9">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五、货物验收</w:t>
      </w:r>
    </w:p>
    <w:p w14:paraId="031FF53F">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1、甲方</w:t>
      </w:r>
      <w:r>
        <w:rPr>
          <w:rFonts w:hint="eastAsia" w:ascii="仿宋_GB2312" w:hAnsi="Arial" w:eastAsia="仿宋_GB2312" w:cs="Arial"/>
          <w:bCs/>
          <w:sz w:val="24"/>
          <w:highlight w:val="none"/>
        </w:rPr>
        <w:t>组织相关专业专家按照</w:t>
      </w:r>
      <w:r>
        <w:rPr>
          <w:rFonts w:hint="eastAsia" w:ascii="仿宋_GB2312" w:hAnsi="Arial" w:eastAsia="仿宋_GB2312" w:cs="Arial"/>
          <w:sz w:val="24"/>
          <w:highlight w:val="none"/>
        </w:rPr>
        <w:t>国家法律法规规定的标准</w:t>
      </w:r>
      <w:r>
        <w:rPr>
          <w:rFonts w:hint="eastAsia" w:ascii="仿宋_GB2312" w:hAnsi="Arial" w:eastAsia="仿宋_GB2312" w:cs="Arial"/>
          <w:bCs/>
          <w:sz w:val="24"/>
          <w:highlight w:val="none"/>
        </w:rPr>
        <w:t>、</w:t>
      </w:r>
      <w:r>
        <w:rPr>
          <w:rFonts w:hint="eastAsia" w:ascii="仿宋_GB2312" w:hAnsi="Arial" w:eastAsia="仿宋_GB2312" w:cs="Arial"/>
          <w:sz w:val="24"/>
          <w:highlight w:val="none"/>
        </w:rPr>
        <w:t>招投标文件所要求的技术标准</w:t>
      </w:r>
      <w:r>
        <w:rPr>
          <w:rFonts w:hint="eastAsia" w:ascii="仿宋_GB2312" w:eastAsia="仿宋_GB2312"/>
          <w:sz w:val="24"/>
          <w:highlight w:val="none"/>
        </w:rPr>
        <w:t>、配置清单、谈判承诺内容和其他约定条款进行到货清点和技术性能验收，技术性能验收在乙方完成设备调试后进行；乙方负责设备免费就位、安装、调试和试运行等工作，期间所发生一切与设备调试相关的费用由乙方承担；甲方有义务协助乙方进行工作，但不承担责任。</w:t>
      </w:r>
    </w:p>
    <w:p w14:paraId="7B94B6BD">
      <w:pPr>
        <w:spacing w:line="380" w:lineRule="exact"/>
        <w:ind w:firstLine="480" w:firstLineChars="200"/>
        <w:rPr>
          <w:rFonts w:ascii="仿宋_GB2312" w:hAnsi="Arial" w:eastAsia="仿宋_GB2312" w:cs="Arial"/>
          <w:bCs/>
          <w:sz w:val="24"/>
          <w:highlight w:val="none"/>
        </w:rPr>
      </w:pPr>
      <w:r>
        <w:rPr>
          <w:rFonts w:hint="eastAsia" w:ascii="仿宋_GB2312" w:eastAsia="仿宋_GB2312"/>
          <w:sz w:val="24"/>
          <w:highlight w:val="none"/>
        </w:rPr>
        <w:t>2、乙方提供设备的产品说明书</w:t>
      </w:r>
      <w:r>
        <w:rPr>
          <w:rFonts w:hint="eastAsia" w:ascii="仿宋_GB2312" w:hAnsi="宋体" w:eastAsia="仿宋_GB2312"/>
          <w:sz w:val="24"/>
          <w:highlight w:val="none"/>
        </w:rPr>
        <w:t>（用户手册或操作手册）</w:t>
      </w:r>
      <w:r>
        <w:rPr>
          <w:rFonts w:hint="eastAsia" w:ascii="仿宋_GB2312" w:eastAsia="仿宋_GB2312"/>
          <w:sz w:val="24"/>
          <w:highlight w:val="none"/>
        </w:rPr>
        <w:t>、相应的图纸、产品合格证或出厂检验报告、保修证明、发票和其他应具有的单证等，产品具有金属铭牌（标识内容包括产品名称、型号、编号及生产商联系电话等）；</w:t>
      </w:r>
      <w:r>
        <w:rPr>
          <w:rFonts w:hint="eastAsia" w:ascii="仿宋_GB2312" w:hAnsi="Arial" w:eastAsia="仿宋_GB2312" w:cs="Arial"/>
          <w:bCs/>
          <w:sz w:val="24"/>
          <w:highlight w:val="none"/>
        </w:rPr>
        <w:t>对于进口设备，须提供</w:t>
      </w:r>
      <w:r>
        <w:rPr>
          <w:rFonts w:hint="eastAsia" w:ascii="仿宋_GB2312" w:eastAsia="仿宋_GB2312"/>
          <w:sz w:val="24"/>
          <w:highlight w:val="none"/>
        </w:rPr>
        <w:t>原产地证明、</w:t>
      </w:r>
      <w:r>
        <w:rPr>
          <w:rFonts w:hint="eastAsia" w:ascii="仿宋_GB2312" w:hAnsi="Arial" w:eastAsia="仿宋_GB2312" w:cs="Arial"/>
          <w:bCs/>
          <w:sz w:val="24"/>
          <w:highlight w:val="none"/>
        </w:rPr>
        <w:t>相应报关及商检资料，以上文书资料应随同设备一起交付甲方。</w:t>
      </w:r>
    </w:p>
    <w:p w14:paraId="2BA86CF7">
      <w:pPr>
        <w:spacing w:line="380" w:lineRule="exact"/>
        <w:ind w:firstLine="480" w:firstLineChars="200"/>
        <w:rPr>
          <w:rFonts w:ascii="仿宋_GB2312" w:eastAsia="仿宋_GB2312"/>
          <w:sz w:val="24"/>
          <w:highlight w:val="none"/>
        </w:rPr>
      </w:pPr>
      <w:r>
        <w:rPr>
          <w:rFonts w:hint="eastAsia" w:ascii="仿宋_GB2312" w:hAnsi="Arial" w:eastAsia="仿宋_GB2312" w:cs="Arial"/>
          <w:bCs/>
          <w:sz w:val="24"/>
          <w:highlight w:val="none"/>
        </w:rPr>
        <w:t>3、</w:t>
      </w:r>
      <w:r>
        <w:rPr>
          <w:rFonts w:hint="eastAsia" w:ascii="仿宋_GB2312" w:eastAsia="仿宋_GB2312"/>
          <w:sz w:val="24"/>
          <w:highlight w:val="none"/>
        </w:rPr>
        <w:t>乙方免费提供专用维修工具，免费提供校准、检测和质控相关工具及技术规范；</w:t>
      </w:r>
    </w:p>
    <w:p w14:paraId="13532579">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4、安装调试验收完成后进入试运行，试运行结束后，双方签署验收文件视为最终验收；</w:t>
      </w:r>
    </w:p>
    <w:p w14:paraId="411DC88C">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六、随附义务</w:t>
      </w:r>
    </w:p>
    <w:p w14:paraId="18C29DE4">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1、乙方负责免费培训设备使用和维修有关人员，现场使用操作培训和定点医院培训均不少于2人次，直至甲方操作人员对设备的软硬件均能正确熟练使用；专业维修培训按标书约定或补充协议执行，免费提供各维修模式密码。</w:t>
      </w:r>
    </w:p>
    <w:p w14:paraId="07AF5ACD">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2、乙方提供与该设备使用有关技术服务（如制定设备操作规程等）、学术和维修交流等。</w:t>
      </w:r>
    </w:p>
    <w:p w14:paraId="507665C8">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3、乙方在销售</w:t>
      </w:r>
      <w:r>
        <w:rPr>
          <w:rFonts w:hint="eastAsia" w:ascii="仿宋_GB2312" w:eastAsia="仿宋_GB2312"/>
          <w:sz w:val="24"/>
          <w:highlight w:val="none"/>
          <w:lang w:val="en-US" w:eastAsia="zh-CN"/>
        </w:rPr>
        <w:t>过程</w:t>
      </w:r>
      <w:r>
        <w:rPr>
          <w:rFonts w:hint="eastAsia" w:ascii="仿宋_GB2312" w:eastAsia="仿宋_GB2312"/>
          <w:sz w:val="24"/>
          <w:highlight w:val="none"/>
        </w:rPr>
        <w:t>中自觉抵制商业贿赂行为，</w:t>
      </w:r>
      <w:r>
        <w:rPr>
          <w:rFonts w:hint="eastAsia" w:ascii="仿宋_GB2312" w:hAnsi="Tahoma" w:eastAsia="仿宋_GB2312" w:cs="Tahoma"/>
          <w:sz w:val="24"/>
          <w:highlight w:val="none"/>
        </w:rPr>
        <w:t>以各种名义给予医疗机构、医疗系统工作人员回扣、提成等。</w:t>
      </w:r>
    </w:p>
    <w:p w14:paraId="19371303">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4、乙方应保证甲方在使用该设备或其任何一部分时免受第三方提出侵犯其专利权、商标权、工业产权等知识产权的起诉。</w:t>
      </w:r>
    </w:p>
    <w:p w14:paraId="66750EB8">
      <w:pPr>
        <w:spacing w:line="380" w:lineRule="exact"/>
        <w:ind w:firstLine="420"/>
        <w:rPr>
          <w:rFonts w:ascii="仿宋_GB2312" w:eastAsia="仿宋_GB2312"/>
          <w:sz w:val="24"/>
          <w:highlight w:val="none"/>
        </w:rPr>
      </w:pPr>
      <w:r>
        <w:rPr>
          <w:rFonts w:hint="eastAsia" w:ascii="仿宋_GB2312" w:eastAsia="仿宋_GB2312"/>
          <w:sz w:val="24"/>
          <w:highlight w:val="none"/>
        </w:rPr>
        <w:t>七、付款：</w:t>
      </w:r>
    </w:p>
    <w:p w14:paraId="2BAFF582">
      <w:pPr>
        <w:spacing w:line="380" w:lineRule="exact"/>
        <w:ind w:firstLine="420"/>
        <w:rPr>
          <w:rFonts w:ascii="仿宋_GB2312" w:eastAsia="仿宋_GB2312"/>
          <w:sz w:val="24"/>
          <w:highlight w:val="none"/>
        </w:rPr>
      </w:pPr>
      <w:r>
        <w:rPr>
          <w:rFonts w:hint="eastAsia" w:ascii="仿宋_GB2312" w:eastAsia="仿宋_GB2312"/>
          <w:sz w:val="24"/>
          <w:highlight w:val="none"/>
        </w:rPr>
        <w:t>1、设备完成安装并验收合格后开具全额发票，按医院付款流程支付至合同总价的100%。</w:t>
      </w:r>
    </w:p>
    <w:p w14:paraId="50C76511">
      <w:pPr>
        <w:spacing w:line="380" w:lineRule="exact"/>
        <w:ind w:firstLine="420"/>
        <w:rPr>
          <w:rFonts w:hint="eastAsia" w:eastAsia="仿宋_GB2312"/>
          <w:highlight w:val="none"/>
          <w:lang w:val="en-US" w:eastAsia="zh-CN"/>
        </w:rPr>
      </w:pPr>
      <w:r>
        <w:rPr>
          <w:rFonts w:hint="eastAsia" w:ascii="仿宋_GB2312" w:eastAsia="仿宋_GB2312"/>
          <w:sz w:val="24"/>
          <w:highlight w:val="none"/>
        </w:rPr>
        <w:t>合同生效后，预付合同款的</w:t>
      </w:r>
      <w:r>
        <w:rPr>
          <w:rFonts w:hint="eastAsia" w:ascii="仿宋_GB2312" w:eastAsia="仿宋_GB2312"/>
          <w:sz w:val="24"/>
          <w:highlight w:val="none"/>
          <w:lang w:val="en-US" w:eastAsia="zh-CN"/>
        </w:rPr>
        <w:t>50</w:t>
      </w:r>
      <w:r>
        <w:rPr>
          <w:rFonts w:hint="eastAsia" w:ascii="仿宋_GB2312" w:eastAsia="仿宋_GB2312"/>
          <w:sz w:val="24"/>
          <w:highlight w:val="none"/>
        </w:rPr>
        <w:t>%(乙方向采购人提交等额的预付款保函或其他担保措施，见索即付，期限至设备到达采购人指定地点时)</w:t>
      </w:r>
      <w:r>
        <w:rPr>
          <w:rFonts w:hint="eastAsia" w:ascii="仿宋_GB2312" w:eastAsia="仿宋_GB2312"/>
          <w:sz w:val="24"/>
          <w:highlight w:val="none"/>
          <w:lang w:eastAsia="zh-CN"/>
        </w:rPr>
        <w:t>。</w:t>
      </w:r>
    </w:p>
    <w:p w14:paraId="1E8C716A">
      <w:pPr>
        <w:spacing w:line="380" w:lineRule="exact"/>
        <w:ind w:firstLine="420"/>
        <w:rPr>
          <w:rFonts w:ascii="仿宋_GB2312" w:eastAsia="仿宋_GB2312"/>
          <w:sz w:val="24"/>
          <w:highlight w:val="none"/>
        </w:rPr>
      </w:pPr>
      <w:r>
        <w:rPr>
          <w:rFonts w:hint="eastAsia" w:ascii="仿宋_GB2312" w:eastAsia="仿宋_GB2312"/>
          <w:sz w:val="24"/>
          <w:highlight w:val="none"/>
        </w:rPr>
        <w:t>2、支付方式：电汇                    币种： 人民币</w:t>
      </w:r>
    </w:p>
    <w:p w14:paraId="66DF95E9">
      <w:pPr>
        <w:spacing w:line="380" w:lineRule="exact"/>
        <w:ind w:firstLine="420"/>
        <w:rPr>
          <w:rFonts w:ascii="仿宋_GB2312" w:eastAsia="仿宋_GB2312"/>
          <w:sz w:val="24"/>
          <w:highlight w:val="none"/>
        </w:rPr>
      </w:pPr>
      <w:r>
        <w:rPr>
          <w:rFonts w:hint="eastAsia" w:ascii="仿宋_GB2312" w:eastAsia="仿宋_GB2312"/>
          <w:sz w:val="24"/>
          <w:highlight w:val="none"/>
        </w:rPr>
        <w:t>八、维修：</w:t>
      </w:r>
    </w:p>
    <w:p w14:paraId="3FDC8ECE">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1、乙方提供设备整机（含所有部件）保修期</w:t>
      </w:r>
      <w:r>
        <w:rPr>
          <w:rFonts w:hint="eastAsia" w:ascii="仿宋_GB2312" w:eastAsia="仿宋_GB2312"/>
          <w:sz w:val="24"/>
          <w:highlight w:val="none"/>
          <w:u w:val="single"/>
        </w:rPr>
        <w:t xml:space="preserve">     </w:t>
      </w:r>
      <w:r>
        <w:rPr>
          <w:rFonts w:hint="eastAsia" w:ascii="仿宋_GB2312" w:eastAsia="仿宋_GB2312"/>
          <w:sz w:val="24"/>
          <w:highlight w:val="none"/>
        </w:rPr>
        <w:t>个月。保修期自双方签署验收文件之日起计算，保修期内免零配件费、工时费等为维修设备而发生的一切其它费用。</w:t>
      </w:r>
    </w:p>
    <w:p w14:paraId="3EC999E5">
      <w:pPr>
        <w:spacing w:line="380" w:lineRule="exact"/>
        <w:ind w:firstLine="420"/>
        <w:rPr>
          <w:rFonts w:ascii="仿宋_GB2312" w:hAnsi="宋体" w:eastAsia="仿宋_GB2312"/>
          <w:sz w:val="24"/>
          <w:highlight w:val="none"/>
        </w:rPr>
      </w:pPr>
      <w:r>
        <w:rPr>
          <w:rFonts w:hint="eastAsia" w:ascii="仿宋_GB2312" w:eastAsia="仿宋_GB2312"/>
          <w:sz w:val="24"/>
          <w:highlight w:val="none"/>
        </w:rPr>
        <w:t>2、乙方在保修期内应确保开机率95%以上，即每年故障和维修时间少于18天，如超过，</w:t>
      </w:r>
      <w:r>
        <w:rPr>
          <w:rFonts w:hint="eastAsia" w:ascii="仿宋_GB2312" w:hAnsi="宋体" w:eastAsia="仿宋_GB2312"/>
          <w:sz w:val="24"/>
          <w:highlight w:val="none"/>
        </w:rPr>
        <w:t>则按照1:5顺延保修时间。</w:t>
      </w:r>
    </w:p>
    <w:p w14:paraId="45074639">
      <w:pPr>
        <w:spacing w:line="380" w:lineRule="exact"/>
        <w:ind w:firstLine="420"/>
        <w:rPr>
          <w:rFonts w:ascii="仿宋_GB2312" w:hAnsi="宋体" w:eastAsia="仿宋_GB2312"/>
          <w:sz w:val="24"/>
          <w:highlight w:val="none"/>
        </w:rPr>
      </w:pPr>
      <w:r>
        <w:rPr>
          <w:rFonts w:hint="eastAsia" w:ascii="仿宋_GB2312" w:hAnsi="宋体" w:eastAsia="仿宋_GB2312"/>
          <w:sz w:val="24"/>
          <w:highlight w:val="none"/>
        </w:rPr>
        <w:t>3、保修期内，乙方免费提供不低于4次/年的标准化原厂预防性维护保养服务并附保养内容和实施方案；</w:t>
      </w:r>
    </w:p>
    <w:p w14:paraId="0C038C51">
      <w:pPr>
        <w:spacing w:line="380" w:lineRule="exact"/>
        <w:ind w:firstLine="420"/>
        <w:rPr>
          <w:rFonts w:ascii="仿宋_GB2312" w:eastAsia="仿宋_GB2312"/>
          <w:sz w:val="24"/>
          <w:highlight w:val="none"/>
        </w:rPr>
      </w:pPr>
      <w:r>
        <w:rPr>
          <w:rFonts w:hint="eastAsia" w:ascii="仿宋_GB2312" w:eastAsia="仿宋_GB2312"/>
          <w:sz w:val="24"/>
          <w:highlight w:val="none"/>
        </w:rPr>
        <w:t>4、保修期内维修响应时间2小时，到现场时间12小时；</w:t>
      </w:r>
    </w:p>
    <w:p w14:paraId="3CDEDFDD">
      <w:pPr>
        <w:spacing w:line="380" w:lineRule="exact"/>
        <w:ind w:firstLine="420"/>
        <w:rPr>
          <w:rFonts w:ascii="仿宋_GB2312" w:eastAsia="仿宋_GB2312"/>
          <w:sz w:val="24"/>
          <w:highlight w:val="none"/>
        </w:rPr>
      </w:pPr>
      <w:r>
        <w:rPr>
          <w:rFonts w:hint="eastAsia" w:ascii="仿宋_GB2312" w:eastAsia="仿宋_GB2312"/>
          <w:sz w:val="24"/>
          <w:highlight w:val="none"/>
        </w:rPr>
        <w:t>5、设备在保修期内如出现三次以上因质量问题引起的故障，公司应负责更换相同配置的新设备。</w:t>
      </w:r>
    </w:p>
    <w:p w14:paraId="44A93076">
      <w:pPr>
        <w:spacing w:line="380" w:lineRule="exact"/>
        <w:ind w:firstLine="420"/>
        <w:rPr>
          <w:rFonts w:ascii="仿宋_GB2312" w:eastAsia="仿宋_GB2312"/>
          <w:sz w:val="24"/>
          <w:highlight w:val="none"/>
        </w:rPr>
      </w:pPr>
      <w:r>
        <w:rPr>
          <w:rFonts w:hint="eastAsia" w:ascii="仿宋_GB2312" w:eastAsia="仿宋_GB2312"/>
          <w:sz w:val="24"/>
          <w:highlight w:val="none"/>
        </w:rPr>
        <w:t>6、保修期满后，设备故障时乙方应先提供维修服务，甲方在设备故障排除30天内付款；维修时间超过72h，乙方</w:t>
      </w:r>
      <w:r>
        <w:rPr>
          <w:rFonts w:hint="eastAsia" w:ascii="仿宋_GB2312" w:eastAsia="仿宋_GB2312" w:cs="宋体"/>
          <w:kern w:val="0"/>
          <w:sz w:val="24"/>
          <w:highlight w:val="none"/>
        </w:rPr>
        <w:t>提供相同功能档次的</w:t>
      </w:r>
      <w:r>
        <w:rPr>
          <w:rFonts w:hint="eastAsia" w:ascii="仿宋_GB2312" w:eastAsia="仿宋_GB2312"/>
          <w:sz w:val="24"/>
          <w:highlight w:val="none"/>
        </w:rPr>
        <w:t>备用设备</w:t>
      </w:r>
      <w:r>
        <w:rPr>
          <w:rFonts w:hint="eastAsia" w:ascii="仿宋_GB2312" w:eastAsia="仿宋_GB2312" w:cs="宋体"/>
          <w:kern w:val="0"/>
          <w:sz w:val="24"/>
          <w:highlight w:val="none"/>
        </w:rPr>
        <w:t>给甲方作为代替使用</w:t>
      </w:r>
      <w:r>
        <w:rPr>
          <w:rFonts w:hint="eastAsia" w:ascii="仿宋_GB2312" w:eastAsia="仿宋_GB2312"/>
          <w:sz w:val="24"/>
          <w:highlight w:val="none"/>
        </w:rPr>
        <w:t>。</w:t>
      </w:r>
    </w:p>
    <w:p w14:paraId="04888C46">
      <w:pPr>
        <w:spacing w:line="380" w:lineRule="exact"/>
        <w:ind w:firstLine="480" w:firstLineChars="200"/>
        <w:rPr>
          <w:rFonts w:ascii="仿宋_GB2312" w:hAnsi="Arial" w:eastAsia="仿宋_GB2312" w:cs="Arial"/>
          <w:sz w:val="24"/>
          <w:highlight w:val="none"/>
        </w:rPr>
      </w:pPr>
      <w:r>
        <w:rPr>
          <w:rFonts w:hint="eastAsia" w:ascii="仿宋_GB2312" w:eastAsia="仿宋_GB2312"/>
          <w:sz w:val="24"/>
          <w:highlight w:val="none"/>
        </w:rPr>
        <w:t>九、</w:t>
      </w:r>
      <w:r>
        <w:rPr>
          <w:rFonts w:hint="eastAsia" w:ascii="仿宋_GB2312" w:hAnsi="Arial" w:eastAsia="仿宋_GB2312" w:cs="Arial"/>
          <w:sz w:val="24"/>
          <w:highlight w:val="none"/>
        </w:rPr>
        <w:t>合同纠纷：甲、乙双方因履行本合同发生争议时，双方应通过友好协商解决，</w:t>
      </w:r>
      <w:r>
        <w:rPr>
          <w:rFonts w:hint="eastAsia" w:ascii="仿宋_GB2312" w:eastAsia="仿宋_GB2312"/>
          <w:sz w:val="24"/>
          <w:highlight w:val="none"/>
        </w:rPr>
        <w:t>不能协商解决时，可向合同签订地人民法院起诉</w:t>
      </w:r>
      <w:r>
        <w:rPr>
          <w:rFonts w:hint="eastAsia" w:ascii="仿宋_GB2312" w:hAnsi="Arial" w:eastAsia="仿宋_GB2312" w:cs="Arial"/>
          <w:sz w:val="24"/>
          <w:highlight w:val="none"/>
        </w:rPr>
        <w:t xml:space="preserve">。 </w:t>
      </w:r>
    </w:p>
    <w:p w14:paraId="1FBC5C64">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十、违约责任</w:t>
      </w:r>
    </w:p>
    <w:p w14:paraId="53BE0939">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1、乙方不能交货的，甲方不再向乙方支付剩余货款，乙方除足额返还甲方已付货款外，应向甲方偿付相当于不能交货部分货款10%的违约金。</w:t>
      </w:r>
    </w:p>
    <w:p w14:paraId="6B4940F2">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2、乙方所交货物品种、规格、质量不符合国家法律法规和合同规定的，由乙方负责包换或退货，并承担换退货实际费用。</w:t>
      </w:r>
    </w:p>
    <w:p w14:paraId="4DAD262D">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3、乙方逾期交货的，每逾期一日，按合同总金额的千分之一向甲方支付违约金，并承担甲方因此所受的损失。乙方逾期供货超过30日，甲方有权解除合同，乙方应返还甲方所支付货款，并按合同总金额的20%向甲方支付违约金。</w:t>
      </w:r>
    </w:p>
    <w:p w14:paraId="055D334E">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4、合同货物到达指定位置满30天仍不能完成安装、调试和技术性能验收的，乙方应根据甲方要求给予退货或调换同样规格新货物，并承担由此给甲方带来的损失（按设备平均工作日效益计算）。</w:t>
      </w:r>
    </w:p>
    <w:p w14:paraId="58DBC9BA">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十一、合同附件</w:t>
      </w:r>
    </w:p>
    <w:p w14:paraId="5EFB6E46">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合同附件是本合同不可分割的组成部分，与合同具有同等法律效力。</w:t>
      </w:r>
    </w:p>
    <w:p w14:paraId="5D9D3EE4">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本合同附件包括：配置清单、技术标准、设备技术说明、招投标文件、谈判记录及其他承诺等。</w:t>
      </w:r>
    </w:p>
    <w:p w14:paraId="75955F82">
      <w:pPr>
        <w:spacing w:line="380" w:lineRule="exact"/>
        <w:ind w:firstLine="480" w:firstLineChars="200"/>
        <w:rPr>
          <w:rFonts w:ascii="仿宋_GB2312" w:hAnsi="Arial" w:eastAsia="仿宋_GB2312" w:cs="Arial"/>
          <w:sz w:val="24"/>
          <w:highlight w:val="none"/>
        </w:rPr>
      </w:pPr>
      <w:r>
        <w:rPr>
          <w:rFonts w:hint="eastAsia" w:ascii="仿宋_GB2312" w:hAnsi="Arial" w:eastAsia="仿宋_GB2312" w:cs="Arial"/>
          <w:sz w:val="24"/>
          <w:highlight w:val="none"/>
        </w:rPr>
        <w:t>十二、其它</w:t>
      </w:r>
    </w:p>
    <w:p w14:paraId="64290F63">
      <w:pPr>
        <w:spacing w:line="380" w:lineRule="exact"/>
        <w:ind w:firstLine="480" w:firstLineChars="200"/>
        <w:rPr>
          <w:rFonts w:ascii="仿宋_GB2312" w:eastAsia="仿宋_GB2312"/>
          <w:sz w:val="24"/>
          <w:highlight w:val="none"/>
        </w:rPr>
      </w:pPr>
      <w:r>
        <w:rPr>
          <w:rFonts w:hint="eastAsia" w:ascii="仿宋_GB2312" w:hAnsi="Arial" w:eastAsia="仿宋_GB2312" w:cs="Arial"/>
          <w:sz w:val="24"/>
          <w:highlight w:val="none"/>
        </w:rPr>
        <w:t>合同未尽事宜，由甲乙双方另行协商或签订补充协议，补充协议是本合同的组成部分，</w:t>
      </w:r>
      <w:r>
        <w:rPr>
          <w:rFonts w:hint="eastAsia" w:ascii="仿宋_GB2312" w:eastAsia="仿宋_GB2312"/>
          <w:sz w:val="24"/>
          <w:highlight w:val="none"/>
        </w:rPr>
        <w:t>与合同具有同等法律效力。</w:t>
      </w:r>
    </w:p>
    <w:p w14:paraId="3D6E11AE">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十三、合同生效</w:t>
      </w:r>
    </w:p>
    <w:p w14:paraId="7ADC3A56">
      <w:pPr>
        <w:spacing w:line="380" w:lineRule="exact"/>
        <w:ind w:firstLine="480" w:firstLineChars="200"/>
        <w:rPr>
          <w:rFonts w:ascii="仿宋_GB2312" w:eastAsia="仿宋_GB2312"/>
          <w:sz w:val="24"/>
          <w:highlight w:val="none"/>
        </w:rPr>
      </w:pPr>
      <w:r>
        <w:rPr>
          <w:rFonts w:hint="eastAsia" w:ascii="仿宋_GB2312" w:eastAsia="仿宋_GB2312"/>
          <w:sz w:val="24"/>
          <w:highlight w:val="none"/>
        </w:rPr>
        <w:t>本合同在甲乙双方签字盖章后生效，未经双方同意，任一方转让本合同无效。</w:t>
      </w:r>
    </w:p>
    <w:p w14:paraId="48B23F83">
      <w:pPr>
        <w:spacing w:line="380" w:lineRule="exact"/>
        <w:ind w:firstLine="480" w:firstLineChars="200"/>
        <w:rPr>
          <w:rFonts w:ascii="仿宋_GB2312" w:hAnsi="Arial" w:eastAsia="仿宋_GB2312" w:cs="Arial"/>
          <w:sz w:val="24"/>
          <w:highlight w:val="none"/>
        </w:rPr>
      </w:pPr>
      <w:r>
        <w:rPr>
          <w:rFonts w:hint="eastAsia" w:ascii="仿宋_GB2312" w:eastAsia="仿宋_GB2312"/>
          <w:sz w:val="24"/>
          <w:highlight w:val="none"/>
        </w:rPr>
        <w:t>十四、</w:t>
      </w:r>
      <w:r>
        <w:rPr>
          <w:rFonts w:hint="eastAsia" w:ascii="仿宋_GB2312" w:hAnsi="Arial" w:eastAsia="仿宋_GB2312" w:cs="Arial"/>
          <w:sz w:val="24"/>
          <w:highlight w:val="none"/>
        </w:rPr>
        <w:t xml:space="preserve">本合同一式四份，甲方三份乙方一份。 </w:t>
      </w:r>
    </w:p>
    <w:p w14:paraId="4E0693BF">
      <w:pPr>
        <w:spacing w:line="380" w:lineRule="exact"/>
        <w:ind w:firstLine="480" w:firstLineChars="200"/>
        <w:rPr>
          <w:rFonts w:ascii="仿宋_GB2312" w:hAnsi="Arial" w:eastAsia="仿宋_GB2312" w:cs="Arial"/>
          <w:sz w:val="24"/>
          <w:highlight w:val="none"/>
        </w:rPr>
      </w:pPr>
    </w:p>
    <w:p w14:paraId="6CA3897D">
      <w:pPr>
        <w:spacing w:line="380" w:lineRule="exact"/>
        <w:ind w:firstLine="424" w:firstLineChars="177"/>
        <w:rPr>
          <w:rFonts w:ascii="仿宋_GB2312" w:hAnsi="Arial" w:eastAsia="仿宋_GB2312" w:cs="Arial"/>
          <w:sz w:val="24"/>
          <w:highlight w:val="none"/>
        </w:rPr>
      </w:pPr>
      <w:r>
        <w:rPr>
          <w:rFonts w:hint="eastAsia" w:ascii="仿宋_GB2312" w:hAnsi="Arial" w:eastAsia="仿宋_GB2312" w:cs="Arial"/>
          <w:sz w:val="24"/>
          <w:highlight w:val="none"/>
        </w:rPr>
        <w:t>购货单位（甲方</w:t>
      </w:r>
      <w:r>
        <w:rPr>
          <w:rFonts w:hint="eastAsia" w:ascii="仿宋_GB2312" w:hAnsi="Georgia" w:eastAsia="仿宋_GB2312" w:cs="宋体"/>
          <w:color w:val="000000"/>
          <w:kern w:val="0"/>
          <w:sz w:val="24"/>
          <w:highlight w:val="none"/>
        </w:rPr>
        <w:t>盖章</w:t>
      </w:r>
      <w:r>
        <w:rPr>
          <w:rFonts w:hint="eastAsia" w:ascii="仿宋_GB2312" w:hAnsi="Arial" w:eastAsia="仿宋_GB2312" w:cs="Arial"/>
          <w:sz w:val="24"/>
          <w:highlight w:val="none"/>
        </w:rPr>
        <w:t xml:space="preserve">）： 蚌埠医科大学第一附属医院           </w:t>
      </w:r>
      <w:r>
        <w:rPr>
          <w:rFonts w:ascii="仿宋_GB2312" w:hAnsi="Arial" w:eastAsia="仿宋_GB2312" w:cs="Arial"/>
          <w:sz w:val="24"/>
          <w:highlight w:val="none"/>
        </w:rPr>
        <w:t xml:space="preserve"> </w:t>
      </w:r>
      <w:r>
        <w:rPr>
          <w:rFonts w:hint="eastAsia" w:ascii="仿宋_GB2312" w:hAnsi="Arial" w:eastAsia="仿宋_GB2312" w:cs="Arial"/>
          <w:sz w:val="24"/>
          <w:highlight w:val="none"/>
        </w:rPr>
        <w:t xml:space="preserve"> 供货单位：（乙方</w:t>
      </w:r>
      <w:r>
        <w:rPr>
          <w:rFonts w:hint="eastAsia" w:ascii="仿宋_GB2312" w:hAnsi="Georgia" w:eastAsia="仿宋_GB2312" w:cs="宋体"/>
          <w:color w:val="000000"/>
          <w:kern w:val="0"/>
          <w:sz w:val="24"/>
          <w:highlight w:val="none"/>
        </w:rPr>
        <w:t>盖章</w:t>
      </w:r>
      <w:r>
        <w:rPr>
          <w:rFonts w:hint="eastAsia" w:ascii="仿宋_GB2312" w:hAnsi="Arial" w:eastAsia="仿宋_GB2312" w:cs="Arial"/>
          <w:sz w:val="24"/>
          <w:highlight w:val="none"/>
        </w:rPr>
        <w:t>）：</w:t>
      </w:r>
    </w:p>
    <w:p w14:paraId="44F560ED">
      <w:pPr>
        <w:spacing w:line="380" w:lineRule="exact"/>
        <w:ind w:left="420"/>
        <w:rPr>
          <w:rFonts w:ascii="仿宋_GB2312" w:hAnsi="Arial" w:eastAsia="仿宋_GB2312" w:cs="Arial"/>
          <w:sz w:val="24"/>
          <w:highlight w:val="none"/>
        </w:rPr>
      </w:pPr>
      <w:r>
        <w:rPr>
          <w:rFonts w:hint="eastAsia" w:ascii="仿宋_GB2312" w:hAnsi="Arial" w:eastAsia="仿宋_GB2312" w:cs="Arial"/>
          <w:sz w:val="24"/>
          <w:highlight w:val="none"/>
        </w:rPr>
        <w:t xml:space="preserve">地 址： 安徽省蚌埠市长淮路287号                           地 址： </w:t>
      </w:r>
      <w:r>
        <w:rPr>
          <w:rFonts w:hint="eastAsia" w:ascii="仿宋_GB2312" w:hAnsi="Arial" w:eastAsia="仿宋_GB2312" w:cs="Arial"/>
          <w:sz w:val="24"/>
          <w:highlight w:val="none"/>
        </w:rPr>
        <w:br w:type="textWrapping"/>
      </w:r>
      <w:r>
        <w:rPr>
          <w:rFonts w:hint="eastAsia" w:ascii="仿宋_GB2312" w:hAnsi="Georgia" w:eastAsia="仿宋_GB2312" w:cs="宋体"/>
          <w:color w:val="000000"/>
          <w:kern w:val="0"/>
          <w:sz w:val="24"/>
          <w:highlight w:val="none"/>
        </w:rPr>
        <w:t>电话/</w:t>
      </w:r>
      <w:r>
        <w:rPr>
          <w:rFonts w:hint="eastAsia" w:ascii="仿宋_GB2312" w:hAnsi="Arial" w:eastAsia="仿宋_GB2312" w:cs="Arial"/>
          <w:sz w:val="24"/>
          <w:highlight w:val="none"/>
        </w:rPr>
        <w:t xml:space="preserve">传真：0552-3086957（医工部）                      </w:t>
      </w:r>
      <w:r>
        <w:rPr>
          <w:rFonts w:hint="eastAsia" w:ascii="仿宋_GB2312" w:hAnsi="Arial" w:eastAsia="仿宋_GB2312" w:cs="Arial"/>
          <w:sz w:val="24"/>
          <w:highlight w:val="none"/>
          <w:lang w:val="en-US" w:eastAsia="zh-CN"/>
        </w:rPr>
        <w:t xml:space="preserve">    </w:t>
      </w:r>
      <w:r>
        <w:rPr>
          <w:rFonts w:hint="eastAsia" w:ascii="仿宋_GB2312" w:hAnsi="Georgia" w:eastAsia="仿宋_GB2312" w:cs="宋体"/>
          <w:color w:val="000000"/>
          <w:kern w:val="0"/>
          <w:sz w:val="24"/>
          <w:highlight w:val="none"/>
        </w:rPr>
        <w:t>电话/传真：</w:t>
      </w:r>
      <w:r>
        <w:rPr>
          <w:rFonts w:hint="eastAsia" w:ascii="仿宋_GB2312" w:hAnsi="Arial" w:eastAsia="仿宋_GB2312" w:cs="Arial"/>
          <w:sz w:val="24"/>
          <w:highlight w:val="none"/>
        </w:rPr>
        <w:br w:type="textWrapping"/>
      </w:r>
      <w:r>
        <w:rPr>
          <w:rFonts w:hint="eastAsia" w:ascii="仿宋_GB2312" w:hAnsi="Georgia" w:eastAsia="仿宋_GB2312" w:cs="宋体"/>
          <w:color w:val="000000"/>
          <w:kern w:val="0"/>
          <w:sz w:val="24"/>
          <w:highlight w:val="none"/>
        </w:rPr>
        <w:t>电子邮件：                                                 电子邮件：</w:t>
      </w:r>
    </w:p>
    <w:p w14:paraId="76DA8246">
      <w:pPr>
        <w:spacing w:line="380" w:lineRule="exact"/>
        <w:ind w:left="420"/>
        <w:rPr>
          <w:rFonts w:ascii="仿宋_GB2312" w:hAnsi="Arial" w:eastAsia="仿宋_GB2312" w:cs="Arial"/>
          <w:sz w:val="24"/>
          <w:highlight w:val="none"/>
        </w:rPr>
      </w:pPr>
      <w:r>
        <w:rPr>
          <w:rFonts w:hint="eastAsia" w:ascii="仿宋_GB2312" w:hAnsi="Arial" w:eastAsia="仿宋_GB2312" w:cs="Arial"/>
          <w:sz w:val="24"/>
          <w:highlight w:val="none"/>
        </w:rPr>
        <w:t xml:space="preserve">开 户 行： </w:t>
      </w:r>
      <w:r>
        <w:rPr>
          <w:rFonts w:hint="eastAsia" w:ascii="仿宋_GB2312" w:hAnsi="Arial" w:eastAsia="仿宋_GB2312" w:cs="Arial"/>
          <w:sz w:val="22"/>
          <w:highlight w:val="none"/>
        </w:rPr>
        <w:t>农业银行蚌埠开发区支行</w:t>
      </w:r>
      <w:r>
        <w:rPr>
          <w:rFonts w:hint="eastAsia" w:ascii="仿宋_GB2312" w:hAnsi="Arial" w:eastAsia="仿宋_GB2312" w:cs="Arial"/>
          <w:sz w:val="24"/>
          <w:highlight w:val="none"/>
        </w:rPr>
        <w:t xml:space="preserve">                        </w:t>
      </w:r>
      <w:r>
        <w:rPr>
          <w:rFonts w:ascii="仿宋_GB2312" w:hAnsi="Arial" w:eastAsia="仿宋_GB2312" w:cs="Arial"/>
          <w:sz w:val="24"/>
          <w:highlight w:val="none"/>
        </w:rPr>
        <w:t xml:space="preserve"> </w:t>
      </w:r>
      <w:r>
        <w:rPr>
          <w:rFonts w:hint="eastAsia" w:ascii="仿宋_GB2312" w:hAnsi="Arial" w:eastAsia="仿宋_GB2312" w:cs="Arial"/>
          <w:sz w:val="24"/>
          <w:highlight w:val="none"/>
        </w:rPr>
        <w:t xml:space="preserve">   开 户 行： </w:t>
      </w:r>
      <w:r>
        <w:rPr>
          <w:rFonts w:hint="eastAsia" w:ascii="仿宋_GB2312" w:hAnsi="Arial" w:eastAsia="仿宋_GB2312" w:cs="Arial"/>
          <w:sz w:val="24"/>
          <w:highlight w:val="none"/>
        </w:rPr>
        <w:br w:type="textWrapping"/>
      </w:r>
      <w:r>
        <w:rPr>
          <w:rFonts w:hint="eastAsia" w:ascii="仿宋_GB2312" w:hAnsi="Arial" w:eastAsia="仿宋_GB2312" w:cs="Arial"/>
          <w:sz w:val="24"/>
          <w:highlight w:val="none"/>
        </w:rPr>
        <w:t xml:space="preserve">帐 号：  12093001040011096                              </w:t>
      </w:r>
      <w:r>
        <w:rPr>
          <w:rFonts w:ascii="仿宋_GB2312" w:hAnsi="Arial" w:eastAsia="仿宋_GB2312" w:cs="Arial"/>
          <w:sz w:val="24"/>
          <w:highlight w:val="none"/>
        </w:rPr>
        <w:t xml:space="preserve"> </w:t>
      </w:r>
      <w:r>
        <w:rPr>
          <w:rFonts w:hint="eastAsia" w:ascii="仿宋_GB2312" w:hAnsi="Arial" w:eastAsia="仿宋_GB2312" w:cs="Arial"/>
          <w:sz w:val="24"/>
          <w:highlight w:val="none"/>
        </w:rPr>
        <w:t xml:space="preserve">  帐 号： </w:t>
      </w:r>
      <w:r>
        <w:rPr>
          <w:rFonts w:hint="eastAsia" w:ascii="仿宋_GB2312" w:hAnsi="Arial" w:eastAsia="仿宋_GB2312" w:cs="Arial"/>
          <w:sz w:val="24"/>
          <w:highlight w:val="none"/>
        </w:rPr>
        <w:br w:type="textWrapping"/>
      </w:r>
      <w:r>
        <w:rPr>
          <w:rFonts w:hint="eastAsia" w:ascii="仿宋_GB2312" w:hAnsi="Arial" w:eastAsia="仿宋_GB2312" w:cs="Arial"/>
          <w:sz w:val="24"/>
          <w:highlight w:val="none"/>
        </w:rPr>
        <w:t>税 号：123400004850011660                                  税 号：</w:t>
      </w:r>
    </w:p>
    <w:p w14:paraId="15877BE7">
      <w:pPr>
        <w:spacing w:line="380" w:lineRule="exact"/>
        <w:ind w:left="420"/>
        <w:rPr>
          <w:rFonts w:ascii="微软雅黑" w:hAnsi="微软雅黑" w:eastAsia="微软雅黑"/>
          <w:color w:val="555555"/>
          <w:sz w:val="33"/>
          <w:szCs w:val="33"/>
          <w:highlight w:val="none"/>
          <w:shd w:val="clear" w:color="auto" w:fill="FFFFFF"/>
        </w:rPr>
        <w:sectPr>
          <w:pgSz w:w="11906" w:h="16838"/>
          <w:pgMar w:top="794" w:right="737" w:bottom="794" w:left="737" w:header="851" w:footer="992" w:gutter="0"/>
          <w:cols w:space="0" w:num="1"/>
          <w:rtlGutter w:val="0"/>
          <w:docGrid w:type="lines" w:linePitch="312" w:charSpace="0"/>
        </w:sectPr>
      </w:pPr>
      <w:r>
        <w:rPr>
          <w:rFonts w:hint="eastAsia" w:ascii="仿宋_GB2312" w:hAnsi="Arial" w:eastAsia="仿宋_GB2312" w:cs="Arial"/>
          <w:sz w:val="24"/>
          <w:highlight w:val="none"/>
        </w:rPr>
        <w:t>法定代表人：                                     法定代表人：   法人或销售总经理电话：</w:t>
      </w:r>
      <w:r>
        <w:rPr>
          <w:rFonts w:hint="eastAsia" w:ascii="仿宋_GB2312" w:hAnsi="Arial" w:eastAsia="仿宋_GB2312" w:cs="Arial"/>
          <w:sz w:val="24"/>
          <w:highlight w:val="none"/>
        </w:rPr>
        <w:br w:type="textWrapping"/>
      </w:r>
      <w:r>
        <w:rPr>
          <w:rFonts w:hint="eastAsia" w:ascii="仿宋_GB2312" w:hAnsi="Arial" w:eastAsia="仿宋_GB2312" w:cs="Arial"/>
          <w:sz w:val="24"/>
          <w:highlight w:val="none"/>
        </w:rPr>
        <w:t>委托代理人：                                     委托代理人：              电话：</w:t>
      </w:r>
      <w:r>
        <w:rPr>
          <w:rFonts w:hint="eastAsia" w:ascii="仿宋_GB2312" w:hAnsi="Arial" w:eastAsia="仿宋_GB2312" w:cs="Arial"/>
          <w:sz w:val="24"/>
          <w:highlight w:val="none"/>
        </w:rPr>
        <w:br w:type="textWrapping"/>
      </w:r>
      <w:r>
        <w:rPr>
          <w:rFonts w:hint="eastAsia" w:ascii="仿宋_GB2312" w:hAnsi="Georgia" w:eastAsia="仿宋_GB2312" w:cs="宋体"/>
          <w:color w:val="000000"/>
          <w:kern w:val="0"/>
          <w:sz w:val="24"/>
          <w:highlight w:val="none"/>
        </w:rPr>
        <w:t xml:space="preserve">签字日期：　    年　 </w:t>
      </w:r>
      <w:r>
        <w:rPr>
          <w:rFonts w:ascii="仿宋_GB2312" w:hAnsi="Georgia" w:eastAsia="仿宋_GB2312" w:cs="宋体"/>
          <w:color w:val="000000"/>
          <w:kern w:val="0"/>
          <w:sz w:val="24"/>
          <w:highlight w:val="none"/>
        </w:rPr>
        <w:t xml:space="preserve"> </w:t>
      </w:r>
      <w:r>
        <w:rPr>
          <w:rFonts w:hint="eastAsia" w:ascii="仿宋_GB2312" w:hAnsi="Georgia" w:eastAsia="仿宋_GB2312" w:cs="宋体"/>
          <w:color w:val="000000"/>
          <w:kern w:val="0"/>
          <w:sz w:val="24"/>
          <w:highlight w:val="none"/>
        </w:rPr>
        <w:t>月　  日　　　　           签字日期：　     年　  月　  日</w:t>
      </w:r>
    </w:p>
    <w:p w14:paraId="7BE50604">
      <w:pPr>
        <w:widowControl/>
        <w:snapToGrid w:val="0"/>
        <w:spacing w:line="288" w:lineRule="auto"/>
        <w:ind w:firstLine="1285" w:firstLineChars="40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医疗卫生机构医药产品廉洁购销合同</w:t>
      </w:r>
    </w:p>
    <w:p w14:paraId="31DA797F">
      <w:pPr>
        <w:widowControl/>
        <w:snapToGrid w:val="0"/>
        <w:spacing w:line="288"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甲方：蚌埠医科大学第一附属医院</w:t>
      </w:r>
    </w:p>
    <w:p w14:paraId="673E5A87">
      <w:pPr>
        <w:widowControl/>
        <w:snapToGrid w:val="0"/>
        <w:spacing w:line="288"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4A54104B">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为进一步加强医疗卫生行风建设，规范医疗卫生机构医药购销行为，有效防范商业贿赂行为，营造公平交易、 诚实守信的购销环境，经甲、乙双方协商，同意签订本合同，并共同遵守：</w:t>
      </w:r>
    </w:p>
    <w:p w14:paraId="2AA8D83B">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一、甲乙双方按照《合同法》及医药产品购销合同约定购销药品、医用耗材、医用设备等医药产品。</w:t>
      </w:r>
    </w:p>
    <w:p w14:paraId="744565C2">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二、甲方应当严格执行医药产品购销合同验收、入库制度，对采购医药产品及发票进行查验，不得违反有关规定合同外采购、违价采购或从非规定渠道采购。</w:t>
      </w:r>
    </w:p>
    <w:p w14:paraId="688E9DA2">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31E3F73">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四、严禁甲方工作人员利用任何途径和方式，为乙方统计医师个人及临床科室有关医药产品用量信息，或为乙方统计提供便利。</w:t>
      </w:r>
    </w:p>
    <w:p w14:paraId="05E853B5">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五、乙方不得以回扣、宴请等方式影响甲方工作人员采购或使用医药产品的选择权，不得在学术活动中提供旅游、超标准支付食宿费用。</w:t>
      </w:r>
    </w:p>
    <w:p w14:paraId="5D4B2050">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六、乙方指定</w:t>
      </w:r>
      <w:r>
        <w:rPr>
          <w:rFonts w:ascii="仿宋" w:hAnsi="仿宋" w:eastAsia="仿宋"/>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42890A07">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七、乙方如违反本合同，一经发现，甲方有权终止购销合同，并向有关卫生健康行政部门报告。如乙方被列入商业贿赂不良记录，则严格按照《安徽省医药购销领域商业贿赂不良记录管理办法》相关规定处理。</w:t>
      </w:r>
    </w:p>
    <w:p w14:paraId="48187BBB">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八、本合同作为医药产品购销合同的重要组成部分，与购销合同一并执行，具有同等的法律效力。</w:t>
      </w:r>
    </w:p>
    <w:p w14:paraId="4170028A">
      <w:pPr>
        <w:widowControl/>
        <w:snapToGrid w:val="0"/>
        <w:spacing w:line="288"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九、本合同一式三份，甲、乙双方各执一份，甲方纪检监察部门（基层医疗卫生机构上报上级卫生健康行政部门）执一份，并从签订之日起生效。</w:t>
      </w:r>
    </w:p>
    <w:p w14:paraId="6A95FC44">
      <w:pPr>
        <w:widowControl/>
        <w:snapToGrid w:val="0"/>
        <w:spacing w:line="288" w:lineRule="auto"/>
        <w:rPr>
          <w:rFonts w:ascii="宋体" w:hAnsi="宋体" w:eastAsia="宋体" w:cs="宋体"/>
          <w:color w:val="000000" w:themeColor="text1"/>
          <w:sz w:val="24"/>
          <w:szCs w:val="24"/>
          <w:highlight w:val="none"/>
          <w14:textFill>
            <w14:solidFill>
              <w14:schemeClr w14:val="tx1"/>
            </w14:solidFill>
          </w14:textFill>
        </w:rPr>
      </w:pPr>
    </w:p>
    <w:p w14:paraId="7F9B888B">
      <w:pPr>
        <w:widowControl/>
        <w:snapToGrid w:val="0"/>
        <w:spacing w:line="288" w:lineRule="auto"/>
        <w:rPr>
          <w:rFonts w:ascii="宋体" w:hAnsi="宋体" w:eastAsia="宋体" w:cs="宋体"/>
          <w:color w:val="000000" w:themeColor="text1"/>
          <w:sz w:val="24"/>
          <w:szCs w:val="24"/>
          <w:highlight w:val="none"/>
          <w14:textFill>
            <w14:solidFill>
              <w14:schemeClr w14:val="tx1"/>
            </w14:solidFill>
          </w14:textFill>
        </w:rPr>
      </w:pPr>
    </w:p>
    <w:p w14:paraId="732A95D1">
      <w:pPr>
        <w:widowControl/>
        <w:snapToGrid w:val="0"/>
        <w:spacing w:line="288"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甲方（盖章）：蚌埠医科大学第一附属医院      乙方（盖章）：</w:t>
      </w:r>
    </w:p>
    <w:p w14:paraId="7BDE052B">
      <w:pPr>
        <w:widowControl/>
        <w:snapToGrid w:val="0"/>
        <w:spacing w:line="288"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法定代表人（负责人）：胡建国                法定代表人（负责人）：</w:t>
      </w:r>
    </w:p>
    <w:p w14:paraId="3028F65A">
      <w:pPr>
        <w:widowControl/>
        <w:snapToGrid w:val="0"/>
        <w:spacing w:line="288"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经办人签名：                                经办人签名：</w:t>
      </w:r>
    </w:p>
    <w:p w14:paraId="39CE0062">
      <w:pPr>
        <w:pStyle w:val="8"/>
        <w:spacing w:after="0" w:line="360" w:lineRule="auto"/>
        <w:jc w:val="center"/>
        <w:rPr>
          <w:rFonts w:hint="eastAsia" w:ascii="宋体" w:hAnsi="宋体" w:eastAsia="宋体" w:cs="宋体"/>
          <w:b/>
          <w:bCs/>
          <w:color w:val="auto"/>
          <w:spacing w:val="-20"/>
          <w:kern w:val="44"/>
          <w:sz w:val="32"/>
          <w:szCs w:val="32"/>
          <w:highlight w:val="none"/>
        </w:rPr>
      </w:pPr>
      <w:r>
        <w:rPr>
          <w:rFonts w:hint="eastAsia" w:ascii="宋体" w:hAnsi="宋体" w:eastAsia="宋体" w:cs="宋体"/>
          <w:color w:val="000000" w:themeColor="text1"/>
          <w:sz w:val="24"/>
          <w:szCs w:val="24"/>
          <w:highlight w:val="none"/>
          <w14:textFill>
            <w14:solidFill>
              <w14:schemeClr w14:val="tx1"/>
            </w14:solidFill>
          </w14:textFill>
        </w:rPr>
        <w:t xml:space="preserve">         年     月     日                    年     月      日</w:t>
      </w:r>
    </w:p>
    <w:p w14:paraId="2FF69E9D">
      <w:pPr>
        <w:pStyle w:val="8"/>
        <w:spacing w:after="0" w:line="360" w:lineRule="auto"/>
        <w:jc w:val="center"/>
        <w:rPr>
          <w:rFonts w:hint="eastAsia" w:ascii="宋体" w:hAnsi="宋体" w:eastAsia="宋体" w:cs="宋体"/>
          <w:b/>
          <w:bCs/>
          <w:color w:val="auto"/>
          <w:spacing w:val="-20"/>
          <w:kern w:val="44"/>
          <w:sz w:val="32"/>
          <w:szCs w:val="32"/>
          <w:highlight w:val="none"/>
        </w:rPr>
      </w:pPr>
    </w:p>
    <w:p w14:paraId="14CB99C6">
      <w:pPr>
        <w:pStyle w:val="8"/>
        <w:spacing w:after="0" w:line="360" w:lineRule="auto"/>
        <w:jc w:val="center"/>
        <w:rPr>
          <w:rFonts w:hint="eastAsia" w:ascii="宋体" w:hAnsi="宋体" w:eastAsia="宋体" w:cs="宋体"/>
          <w:b/>
          <w:bCs/>
          <w:color w:val="auto"/>
          <w:spacing w:val="-20"/>
          <w:kern w:val="44"/>
          <w:sz w:val="32"/>
          <w:szCs w:val="32"/>
          <w:highlight w:val="none"/>
        </w:rPr>
      </w:pPr>
    </w:p>
    <w:p w14:paraId="4B90B893">
      <w:pPr>
        <w:pStyle w:val="8"/>
        <w:spacing w:after="0" w:line="360" w:lineRule="auto"/>
        <w:jc w:val="center"/>
        <w:rPr>
          <w:rFonts w:hint="eastAsia" w:ascii="宋体" w:hAnsi="宋体" w:eastAsia="宋体" w:cs="宋体"/>
          <w:b/>
          <w:bCs/>
          <w:color w:val="auto"/>
          <w:spacing w:val="-20"/>
          <w:kern w:val="44"/>
          <w:sz w:val="32"/>
          <w:szCs w:val="32"/>
          <w:highlight w:val="none"/>
        </w:rPr>
      </w:pPr>
    </w:p>
    <w:p w14:paraId="694F81C8">
      <w:pPr>
        <w:spacing w:line="360" w:lineRule="auto"/>
        <w:jc w:val="center"/>
        <w:outlineLvl w:val="0"/>
        <w:rPr>
          <w:rFonts w:hint="eastAsia" w:asciiTheme="minorEastAsia" w:hAnsiTheme="minorEastAsia" w:eastAsiaTheme="minorEastAsia"/>
          <w:b/>
          <w:color w:val="auto"/>
          <w:sz w:val="28"/>
          <w:highlight w:val="none"/>
        </w:rPr>
        <w:sectPr>
          <w:headerReference r:id="rId6" w:type="default"/>
          <w:footerReference r:id="rId7" w:type="default"/>
          <w:pgSz w:w="11906" w:h="16838"/>
          <w:pgMar w:top="794" w:right="737" w:bottom="794" w:left="737" w:header="851" w:footer="992" w:gutter="0"/>
          <w:pgNumType w:fmt="decimal" w:start="1"/>
          <w:cols w:space="0" w:num="1"/>
          <w:rtlGutter w:val="0"/>
          <w:docGrid w:type="lines" w:linePitch="312" w:charSpace="0"/>
        </w:sectPr>
      </w:pPr>
      <w:bookmarkStart w:id="45" w:name="_Toc22492"/>
    </w:p>
    <w:p w14:paraId="06F0E84E">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第六章  投标文件格式</w:t>
      </w:r>
      <w:bookmarkEnd w:id="45"/>
    </w:p>
    <w:p w14:paraId="21F682D8">
      <w:pPr>
        <w:spacing w:line="900" w:lineRule="exact"/>
        <w:jc w:val="center"/>
        <w:rPr>
          <w:rFonts w:asciiTheme="minorEastAsia" w:hAnsiTheme="minorEastAsia" w:eastAsiaTheme="minorEastAsia"/>
          <w:b/>
          <w:color w:val="auto"/>
          <w:sz w:val="72"/>
          <w:highlight w:val="none"/>
        </w:rPr>
      </w:pPr>
    </w:p>
    <w:p w14:paraId="214889C4">
      <w:pPr>
        <w:spacing w:line="900" w:lineRule="exact"/>
        <w:jc w:val="center"/>
        <w:outlineLvl w:val="1"/>
        <w:rPr>
          <w:rFonts w:asciiTheme="minorEastAsia" w:hAnsiTheme="minorEastAsia" w:eastAsiaTheme="minorEastAsia"/>
          <w:b/>
          <w:color w:val="auto"/>
          <w:sz w:val="72"/>
          <w:highlight w:val="none"/>
        </w:rPr>
      </w:pPr>
      <w:bookmarkStart w:id="46" w:name="_Toc651"/>
      <w:r>
        <w:rPr>
          <w:rFonts w:hint="eastAsia" w:asciiTheme="minorEastAsia" w:hAnsiTheme="minorEastAsia" w:eastAsiaTheme="minorEastAsia"/>
          <w:b/>
          <w:color w:val="auto"/>
          <w:sz w:val="72"/>
          <w:highlight w:val="none"/>
        </w:rPr>
        <w:t>投</w:t>
      </w:r>
      <w:bookmarkEnd w:id="46"/>
    </w:p>
    <w:p w14:paraId="6587360B">
      <w:pPr>
        <w:spacing w:line="900" w:lineRule="exact"/>
        <w:jc w:val="center"/>
        <w:rPr>
          <w:rFonts w:asciiTheme="minorEastAsia" w:hAnsiTheme="minorEastAsia" w:eastAsiaTheme="minorEastAsia"/>
          <w:b/>
          <w:color w:val="auto"/>
          <w:sz w:val="72"/>
          <w:highlight w:val="none"/>
        </w:rPr>
      </w:pPr>
    </w:p>
    <w:p w14:paraId="1D661243">
      <w:pPr>
        <w:spacing w:line="900" w:lineRule="exact"/>
        <w:jc w:val="center"/>
        <w:outlineLvl w:val="1"/>
        <w:rPr>
          <w:rFonts w:asciiTheme="minorEastAsia" w:hAnsiTheme="minorEastAsia" w:eastAsiaTheme="minorEastAsia"/>
          <w:b/>
          <w:color w:val="auto"/>
          <w:sz w:val="72"/>
          <w:highlight w:val="none"/>
        </w:rPr>
      </w:pPr>
      <w:bookmarkStart w:id="47" w:name="_Toc6148"/>
      <w:r>
        <w:rPr>
          <w:rFonts w:hint="eastAsia" w:asciiTheme="minorEastAsia" w:hAnsiTheme="minorEastAsia" w:eastAsiaTheme="minorEastAsia"/>
          <w:b/>
          <w:color w:val="auto"/>
          <w:sz w:val="72"/>
          <w:highlight w:val="none"/>
        </w:rPr>
        <w:t>标</w:t>
      </w:r>
      <w:bookmarkEnd w:id="47"/>
    </w:p>
    <w:p w14:paraId="3C6199CF">
      <w:pPr>
        <w:spacing w:line="900" w:lineRule="exact"/>
        <w:jc w:val="center"/>
        <w:rPr>
          <w:rFonts w:asciiTheme="minorEastAsia" w:hAnsiTheme="minorEastAsia" w:eastAsiaTheme="minorEastAsia"/>
          <w:b/>
          <w:color w:val="auto"/>
          <w:sz w:val="72"/>
          <w:highlight w:val="none"/>
        </w:rPr>
      </w:pPr>
    </w:p>
    <w:p w14:paraId="1D9B1D11">
      <w:pPr>
        <w:spacing w:line="900" w:lineRule="exact"/>
        <w:jc w:val="center"/>
        <w:outlineLvl w:val="1"/>
        <w:rPr>
          <w:rFonts w:asciiTheme="minorEastAsia" w:hAnsiTheme="minorEastAsia" w:eastAsiaTheme="minorEastAsia"/>
          <w:b/>
          <w:color w:val="auto"/>
          <w:sz w:val="72"/>
          <w:highlight w:val="none"/>
        </w:rPr>
      </w:pPr>
      <w:bookmarkStart w:id="48" w:name="_Toc1338"/>
      <w:r>
        <w:rPr>
          <w:rFonts w:hint="eastAsia" w:asciiTheme="minorEastAsia" w:hAnsiTheme="minorEastAsia" w:eastAsiaTheme="minorEastAsia"/>
          <w:b/>
          <w:color w:val="auto"/>
          <w:sz w:val="72"/>
          <w:highlight w:val="none"/>
        </w:rPr>
        <w:t>文</w:t>
      </w:r>
      <w:bookmarkEnd w:id="48"/>
    </w:p>
    <w:p w14:paraId="4FA63BAE">
      <w:pPr>
        <w:spacing w:line="900" w:lineRule="exact"/>
        <w:jc w:val="center"/>
        <w:rPr>
          <w:rFonts w:asciiTheme="minorEastAsia" w:hAnsiTheme="minorEastAsia" w:eastAsiaTheme="minorEastAsia"/>
          <w:b/>
          <w:color w:val="auto"/>
          <w:sz w:val="72"/>
          <w:highlight w:val="none"/>
        </w:rPr>
      </w:pPr>
    </w:p>
    <w:p w14:paraId="3C0A567B">
      <w:pPr>
        <w:jc w:val="center"/>
        <w:outlineLvl w:val="1"/>
        <w:rPr>
          <w:rFonts w:asciiTheme="minorEastAsia" w:hAnsiTheme="minorEastAsia" w:eastAsiaTheme="minorEastAsia"/>
          <w:b/>
          <w:color w:val="auto"/>
          <w:sz w:val="72"/>
          <w:highlight w:val="none"/>
        </w:rPr>
      </w:pPr>
      <w:bookmarkStart w:id="49" w:name="_Toc10796"/>
      <w:r>
        <w:rPr>
          <w:rFonts w:hint="eastAsia" w:asciiTheme="minorEastAsia" w:hAnsiTheme="minorEastAsia" w:eastAsiaTheme="minorEastAsia"/>
          <w:b/>
          <w:color w:val="auto"/>
          <w:sz w:val="72"/>
          <w:highlight w:val="none"/>
        </w:rPr>
        <w:t>件</w:t>
      </w:r>
      <w:bookmarkEnd w:id="49"/>
    </w:p>
    <w:p w14:paraId="7CC16738">
      <w:pPr>
        <w:spacing w:after="156" w:afterLines="50"/>
        <w:jc w:val="center"/>
        <w:rPr>
          <w:rFonts w:asciiTheme="minorEastAsia" w:hAnsiTheme="minorEastAsia" w:eastAsiaTheme="minorEastAsia"/>
          <w:b/>
          <w:color w:val="auto"/>
          <w:sz w:val="32"/>
          <w:szCs w:val="32"/>
          <w:highlight w:val="none"/>
        </w:rPr>
      </w:pPr>
      <w:bookmarkStart w:id="50" w:name="_Toc32506"/>
    </w:p>
    <w:bookmarkEnd w:id="50"/>
    <w:p w14:paraId="217E8CCE">
      <w:pPr>
        <w:spacing w:after="156" w:afterLines="50"/>
        <w:jc w:val="center"/>
        <w:rPr>
          <w:rFonts w:asciiTheme="minorEastAsia" w:hAnsiTheme="minorEastAsia" w:eastAsiaTheme="minorEastAsia"/>
          <w:color w:val="auto"/>
          <w:sz w:val="72"/>
          <w:highlight w:val="none"/>
        </w:rPr>
      </w:pPr>
    </w:p>
    <w:p w14:paraId="5EE3E8CA">
      <w:pPr>
        <w:spacing w:before="156" w:beforeLines="50" w:after="156" w:afterLines="50"/>
        <w:jc w:val="center"/>
        <w:rPr>
          <w:rFonts w:asciiTheme="minorEastAsia" w:hAnsiTheme="minorEastAsia" w:eastAsiaTheme="minorEastAsia"/>
          <w:b/>
          <w:color w:val="auto"/>
          <w:sz w:val="32"/>
          <w:szCs w:val="32"/>
          <w:highlight w:val="none"/>
        </w:rPr>
      </w:pPr>
    </w:p>
    <w:p w14:paraId="7DE1136C">
      <w:pPr>
        <w:spacing w:after="156" w:afterLines="50" w:line="500" w:lineRule="exact"/>
        <w:jc w:val="center"/>
        <w:rPr>
          <w:rFonts w:asciiTheme="minorEastAsia" w:hAnsiTheme="minorEastAsia" w:eastAsiaTheme="minorEastAsia"/>
          <w:b/>
          <w:color w:val="auto"/>
          <w:sz w:val="28"/>
          <w:szCs w:val="28"/>
          <w:highlight w:val="none"/>
        </w:rPr>
      </w:pPr>
    </w:p>
    <w:p w14:paraId="0EB179EE">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3D514A51">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4BD4E138">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277B70B1">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1" w:name="_Toc8037"/>
      <w:bookmarkStart w:id="52"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1"/>
      <w:bookmarkEnd w:id="52"/>
    </w:p>
    <w:p w14:paraId="750E585E">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8B1214A">
      <w:pPr>
        <w:spacing w:line="360" w:lineRule="auto"/>
        <w:jc w:val="center"/>
        <w:outlineLvl w:val="1"/>
        <w:rPr>
          <w:rFonts w:asciiTheme="minorEastAsia" w:hAnsiTheme="minorEastAsia" w:eastAsiaTheme="minorEastAsia"/>
          <w:b/>
          <w:color w:val="auto"/>
          <w:sz w:val="24"/>
          <w:highlight w:val="none"/>
        </w:rPr>
      </w:pPr>
      <w:bookmarkStart w:id="53" w:name="_Toc28960"/>
      <w:bookmarkStart w:id="54" w:name="_Toc5555"/>
      <w:r>
        <w:rPr>
          <w:rFonts w:hint="eastAsia" w:asciiTheme="minorEastAsia" w:hAnsiTheme="minorEastAsia" w:eastAsiaTheme="minorEastAsia"/>
          <w:b/>
          <w:color w:val="auto"/>
          <w:sz w:val="24"/>
          <w:highlight w:val="none"/>
        </w:rPr>
        <w:t>一、开标一览表</w:t>
      </w:r>
      <w:bookmarkEnd w:id="53"/>
      <w:bookmarkEnd w:id="54"/>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4D5A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65B582B6">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589B4B27">
            <w:pPr>
              <w:spacing w:line="360" w:lineRule="exact"/>
              <w:jc w:val="center"/>
              <w:rPr>
                <w:rFonts w:asciiTheme="minorEastAsia" w:hAnsiTheme="minorEastAsia" w:eastAsiaTheme="minorEastAsia"/>
                <w:bCs/>
                <w:color w:val="auto"/>
                <w:sz w:val="24"/>
                <w:highlight w:val="none"/>
                <w:u w:val="single"/>
              </w:rPr>
            </w:pPr>
          </w:p>
        </w:tc>
      </w:tr>
      <w:tr w14:paraId="35A2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992BE8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8DB8B1C">
            <w:pPr>
              <w:spacing w:line="360" w:lineRule="auto"/>
              <w:rPr>
                <w:rFonts w:asciiTheme="minorEastAsia" w:hAnsiTheme="minorEastAsia" w:eastAsiaTheme="minorEastAsia"/>
                <w:color w:val="auto"/>
                <w:sz w:val="24"/>
                <w:highlight w:val="none"/>
              </w:rPr>
            </w:pPr>
          </w:p>
        </w:tc>
      </w:tr>
      <w:tr w14:paraId="7117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A4A192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68F028B5">
            <w:pPr>
              <w:widowControl/>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E01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25598D0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58EE4EFF">
            <w:pPr>
              <w:snapToGrid w:val="0"/>
              <w:spacing w:line="360" w:lineRule="auto"/>
              <w:jc w:val="left"/>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9B900BF">
            <w:pPr>
              <w:spacing w:line="360" w:lineRule="auto"/>
              <w:ind w:right="-670"/>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337F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461D49B6">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080E3FB1">
            <w:pPr>
              <w:spacing w:line="360" w:lineRule="auto"/>
              <w:jc w:val="left"/>
              <w:rPr>
                <w:rFonts w:asciiTheme="minorEastAsia" w:hAnsiTheme="minorEastAsia" w:eastAsiaTheme="minorEastAsia"/>
                <w:color w:val="auto"/>
                <w:sz w:val="24"/>
                <w:szCs w:val="28"/>
                <w:highlight w:val="none"/>
              </w:rPr>
            </w:pPr>
          </w:p>
        </w:tc>
      </w:tr>
    </w:tbl>
    <w:p w14:paraId="3EB8405E">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49B65F8">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C1F8133">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EC14A40">
      <w:pPr>
        <w:spacing w:line="360" w:lineRule="auto"/>
        <w:ind w:firstLine="360" w:firstLineChars="150"/>
        <w:rPr>
          <w:rFonts w:asciiTheme="minorEastAsia" w:hAnsiTheme="minorEastAsia" w:eastAsiaTheme="minorEastAsia"/>
          <w:color w:val="auto"/>
          <w:sz w:val="24"/>
          <w:highlight w:val="none"/>
        </w:rPr>
      </w:pPr>
    </w:p>
    <w:p w14:paraId="5E5ACC12">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1CCC4C8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5B3909E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5B242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4FCB74C0">
      <w:pPr>
        <w:spacing w:line="360" w:lineRule="auto"/>
        <w:jc w:val="center"/>
        <w:outlineLvl w:val="1"/>
        <w:rPr>
          <w:rFonts w:asciiTheme="minorEastAsia" w:hAnsiTheme="minorEastAsia" w:eastAsiaTheme="minorEastAsia"/>
          <w:b/>
          <w:color w:val="auto"/>
          <w:sz w:val="24"/>
          <w:highlight w:val="none"/>
        </w:rPr>
      </w:pPr>
      <w:bookmarkStart w:id="55" w:name="_Toc18010"/>
      <w:bookmarkStart w:id="56" w:name="_Toc6441"/>
      <w:r>
        <w:rPr>
          <w:rFonts w:hint="eastAsia" w:asciiTheme="minorEastAsia" w:hAnsiTheme="minorEastAsia" w:eastAsiaTheme="minorEastAsia"/>
          <w:b/>
          <w:color w:val="auto"/>
          <w:sz w:val="24"/>
          <w:highlight w:val="none"/>
        </w:rPr>
        <w:t>二、投标函</w:t>
      </w:r>
      <w:bookmarkEnd w:id="55"/>
      <w:bookmarkEnd w:id="56"/>
    </w:p>
    <w:p w14:paraId="3C5DF2A7">
      <w:pPr>
        <w:pStyle w:val="12"/>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42BFF8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9CF07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4EB1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747B1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7DDA13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05CE35F3">
      <w:pPr>
        <w:spacing w:line="360" w:lineRule="auto"/>
        <w:ind w:firstLine="4800" w:firstLineChars="2000"/>
        <w:rPr>
          <w:rFonts w:ascii="宋体" w:hAnsi="宋体" w:eastAsia="宋体"/>
          <w:color w:val="auto"/>
          <w:sz w:val="24"/>
          <w:highlight w:val="none"/>
        </w:rPr>
      </w:pPr>
    </w:p>
    <w:p w14:paraId="015C7E7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4C565B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7817EC6">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54A71024">
      <w:pPr>
        <w:spacing w:line="360" w:lineRule="auto"/>
        <w:jc w:val="center"/>
        <w:outlineLvl w:val="1"/>
        <w:rPr>
          <w:rFonts w:asciiTheme="minorEastAsia" w:hAnsiTheme="minorEastAsia" w:eastAsiaTheme="minorEastAsia"/>
          <w:b/>
          <w:color w:val="auto"/>
          <w:sz w:val="24"/>
          <w:highlight w:val="none"/>
        </w:rPr>
      </w:pPr>
      <w:bookmarkStart w:id="57" w:name="_Toc1328"/>
      <w:r>
        <w:rPr>
          <w:rFonts w:hint="eastAsia" w:asciiTheme="minorEastAsia" w:hAnsiTheme="minorEastAsia" w:eastAsiaTheme="minorEastAsia"/>
          <w:b/>
          <w:color w:val="auto"/>
          <w:sz w:val="24"/>
          <w:highlight w:val="none"/>
        </w:rPr>
        <w:t>三．投标人资格声明书</w:t>
      </w:r>
      <w:bookmarkEnd w:id="57"/>
      <w:r>
        <w:rPr>
          <w:rFonts w:hint="eastAsia" w:asciiTheme="minorEastAsia" w:hAnsiTheme="minorEastAsia" w:eastAsiaTheme="minorEastAsia"/>
          <w:b/>
          <w:color w:val="auto"/>
          <w:sz w:val="24"/>
          <w:highlight w:val="none"/>
        </w:rPr>
        <w:t xml:space="preserve"> </w:t>
      </w:r>
    </w:p>
    <w:p w14:paraId="5E77F561">
      <w:pPr>
        <w:pStyle w:val="12"/>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61010309">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16CE453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4CC8AC4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2F78856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F01AD7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3BB63ED">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30C56DB6">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0794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FF17E2">
            <w:pPr>
              <w:widowControl/>
              <w:spacing w:before="156" w:beforeLines="50" w:after="1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194A6AF9">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31BD4DC0">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10F7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960E7D2">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22386431">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28347CE7">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r>
      <w:tr w14:paraId="318E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5A0B28F">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4D5979CE">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651066B8">
            <w:pPr>
              <w:pStyle w:val="8"/>
              <w:spacing w:before="156" w:beforeLines="50" w:after="10"/>
              <w:jc w:val="center"/>
              <w:rPr>
                <w:rFonts w:asciiTheme="minorEastAsia" w:hAnsiTheme="minorEastAsia" w:eastAsiaTheme="minorEastAsia" w:cstheme="minorEastAsia"/>
                <w:color w:val="auto"/>
                <w:kern w:val="0"/>
                <w:sz w:val="24"/>
                <w:highlight w:val="none"/>
                <w:lang w:val="en-US" w:bidi="ar"/>
              </w:rPr>
            </w:pPr>
          </w:p>
        </w:tc>
      </w:tr>
    </w:tbl>
    <w:p w14:paraId="2B957E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6119A6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ABFBF4">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28AEC7F">
      <w:pPr>
        <w:pStyle w:val="8"/>
        <w:rPr>
          <w:rFonts w:asciiTheme="minorEastAsia" w:hAnsiTheme="minorEastAsia" w:eastAsiaTheme="minorEastAsia" w:cstheme="minorEastAsia"/>
          <w:color w:val="auto"/>
          <w:kern w:val="0"/>
          <w:sz w:val="24"/>
          <w:highlight w:val="none"/>
          <w:lang w:val="en-US" w:bidi="ar"/>
        </w:rPr>
      </w:pPr>
    </w:p>
    <w:p w14:paraId="0080ECED">
      <w:pPr>
        <w:pStyle w:val="8"/>
        <w:rPr>
          <w:rFonts w:asciiTheme="minorEastAsia" w:hAnsiTheme="minorEastAsia" w:eastAsiaTheme="minorEastAsia" w:cstheme="minorEastAsia"/>
          <w:color w:val="auto"/>
          <w:kern w:val="0"/>
          <w:sz w:val="24"/>
          <w:highlight w:val="none"/>
          <w:lang w:val="en-US" w:bidi="ar"/>
        </w:rPr>
      </w:pPr>
    </w:p>
    <w:p w14:paraId="19CAC4F6">
      <w:pPr>
        <w:pStyle w:val="8"/>
        <w:rPr>
          <w:rFonts w:asciiTheme="minorEastAsia" w:hAnsiTheme="minorEastAsia" w:eastAsiaTheme="minorEastAsia" w:cstheme="minorEastAsia"/>
          <w:color w:val="auto"/>
          <w:kern w:val="0"/>
          <w:sz w:val="24"/>
          <w:highlight w:val="none"/>
          <w:lang w:val="en-US" w:bidi="ar"/>
        </w:rPr>
      </w:pPr>
    </w:p>
    <w:p w14:paraId="5A54DDF5">
      <w:pPr>
        <w:rPr>
          <w:rFonts w:asciiTheme="minorEastAsia" w:hAnsiTheme="minorEastAsia" w:eastAsiaTheme="minorEastAsia"/>
          <w:b/>
          <w:color w:val="auto"/>
          <w:sz w:val="24"/>
          <w:highlight w:val="none"/>
        </w:rPr>
      </w:pPr>
      <w:bookmarkStart w:id="58" w:name="_Toc11607"/>
      <w:r>
        <w:rPr>
          <w:rFonts w:hint="eastAsia" w:asciiTheme="minorEastAsia" w:hAnsiTheme="minorEastAsia" w:eastAsiaTheme="minorEastAsia"/>
          <w:b/>
          <w:color w:val="auto"/>
          <w:sz w:val="24"/>
          <w:highlight w:val="none"/>
        </w:rPr>
        <w:br w:type="page"/>
      </w:r>
    </w:p>
    <w:p w14:paraId="4899F8C9">
      <w:pPr>
        <w:spacing w:line="360" w:lineRule="auto"/>
        <w:jc w:val="center"/>
        <w:outlineLvl w:val="1"/>
        <w:rPr>
          <w:rFonts w:asciiTheme="minorEastAsia" w:hAnsiTheme="minorEastAsia" w:eastAsiaTheme="minorEastAsia"/>
          <w:b/>
          <w:color w:val="auto"/>
          <w:sz w:val="24"/>
          <w:highlight w:val="none"/>
        </w:rPr>
      </w:pPr>
      <w:bookmarkStart w:id="59" w:name="_Toc16960"/>
      <w:r>
        <w:rPr>
          <w:rFonts w:hint="eastAsia" w:asciiTheme="minorEastAsia" w:hAnsiTheme="minorEastAsia" w:eastAsiaTheme="minorEastAsia"/>
          <w:b/>
          <w:color w:val="auto"/>
          <w:sz w:val="24"/>
          <w:highlight w:val="none"/>
        </w:rPr>
        <w:t>四、授权书</w:t>
      </w:r>
      <w:bookmarkEnd w:id="58"/>
      <w:bookmarkEnd w:id="59"/>
    </w:p>
    <w:p w14:paraId="32B0A9CF">
      <w:pPr>
        <w:pStyle w:val="11"/>
        <w:snapToGrid w:val="0"/>
        <w:spacing w:line="360" w:lineRule="auto"/>
        <w:ind w:firstLine="480" w:firstLineChars="200"/>
        <w:jc w:val="left"/>
        <w:rPr>
          <w:rFonts w:hAnsi="宋体" w:eastAsia="宋体"/>
          <w:color w:val="auto"/>
          <w:sz w:val="24"/>
          <w:szCs w:val="28"/>
          <w:highlight w:val="none"/>
        </w:rPr>
      </w:pPr>
    </w:p>
    <w:p w14:paraId="03AC1129">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065C9A4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8A65D0A">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46102169">
      <w:pPr>
        <w:spacing w:line="360" w:lineRule="auto"/>
        <w:ind w:firstLine="435"/>
        <w:rPr>
          <w:rFonts w:asciiTheme="minorEastAsia" w:hAnsiTheme="minorEastAsia" w:eastAsiaTheme="minorEastAsia"/>
          <w:color w:val="auto"/>
          <w:sz w:val="24"/>
          <w:highlight w:val="none"/>
        </w:rPr>
      </w:pPr>
    </w:p>
    <w:p w14:paraId="5AAA26B7">
      <w:pPr>
        <w:spacing w:line="360" w:lineRule="auto"/>
        <w:ind w:firstLine="435"/>
        <w:rPr>
          <w:rFonts w:asciiTheme="minorEastAsia" w:hAnsiTheme="minorEastAsia" w:eastAsiaTheme="minorEastAsia"/>
          <w:color w:val="auto"/>
          <w:sz w:val="24"/>
          <w:highlight w:val="none"/>
        </w:rPr>
      </w:pPr>
    </w:p>
    <w:p w14:paraId="3B5DF887">
      <w:pPr>
        <w:spacing w:line="360" w:lineRule="auto"/>
        <w:ind w:firstLine="435"/>
        <w:rPr>
          <w:rFonts w:asciiTheme="minorEastAsia" w:hAnsiTheme="minorEastAsia" w:eastAsiaTheme="minorEastAsia"/>
          <w:color w:val="auto"/>
          <w:sz w:val="24"/>
          <w:highlight w:val="none"/>
        </w:rPr>
      </w:pPr>
    </w:p>
    <w:p w14:paraId="1C53BF8D">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382CC44">
      <w:pPr>
        <w:spacing w:line="360" w:lineRule="auto"/>
        <w:ind w:firstLine="435"/>
        <w:rPr>
          <w:rFonts w:hAnsi="宋体" w:eastAsia="宋体"/>
          <w:color w:val="auto"/>
          <w:sz w:val="24"/>
          <w:szCs w:val="28"/>
          <w:highlight w:val="none"/>
          <w:lang w:val="zh-CN"/>
        </w:rPr>
      </w:pPr>
    </w:p>
    <w:p w14:paraId="015178C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7A766E1D">
      <w:pPr>
        <w:spacing w:line="360" w:lineRule="auto"/>
        <w:rPr>
          <w:rFonts w:ascii="宋体" w:hAnsi="宋体" w:eastAsia="宋体"/>
          <w:color w:val="auto"/>
          <w:sz w:val="24"/>
          <w:szCs w:val="28"/>
          <w:highlight w:val="none"/>
        </w:rPr>
      </w:pPr>
    </w:p>
    <w:p w14:paraId="5456E584">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rPr>
        <w:t xml:space="preserve">                            投标人电子签章：</w:t>
      </w:r>
      <w:r>
        <w:rPr>
          <w:rFonts w:hint="eastAsia" w:ascii="宋体" w:hAnsi="宋体" w:eastAsia="宋体"/>
          <w:bCs/>
          <w:color w:val="auto"/>
          <w:sz w:val="24"/>
          <w:szCs w:val="28"/>
          <w:highlight w:val="none"/>
          <w:u w:val="single"/>
        </w:rPr>
        <w:t xml:space="preserve">                    </w:t>
      </w:r>
    </w:p>
    <w:p w14:paraId="5B216066">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 xml:space="preserve">                            日          期：</w:t>
      </w:r>
      <w:r>
        <w:rPr>
          <w:rFonts w:hint="eastAsia" w:ascii="宋体" w:hAnsi="宋体" w:eastAsia="宋体"/>
          <w:b/>
          <w:bCs/>
          <w:color w:val="auto"/>
          <w:sz w:val="24"/>
          <w:szCs w:val="28"/>
          <w:highlight w:val="none"/>
          <w:u w:val="single"/>
        </w:rPr>
        <w:t xml:space="preserve">                    </w:t>
      </w:r>
    </w:p>
    <w:p w14:paraId="70AC8B78">
      <w:pPr>
        <w:spacing w:line="360" w:lineRule="auto"/>
        <w:ind w:firstLine="435"/>
        <w:rPr>
          <w:rFonts w:asciiTheme="minorEastAsia" w:hAnsiTheme="minorEastAsia" w:eastAsiaTheme="minorEastAsia"/>
          <w:color w:val="auto"/>
          <w:sz w:val="24"/>
          <w:highlight w:val="none"/>
        </w:rPr>
      </w:pPr>
    </w:p>
    <w:p w14:paraId="30B17281">
      <w:pPr>
        <w:spacing w:line="360" w:lineRule="auto"/>
        <w:ind w:firstLine="435"/>
        <w:rPr>
          <w:rFonts w:asciiTheme="minorEastAsia" w:hAnsiTheme="minorEastAsia" w:eastAsiaTheme="minorEastAsia"/>
          <w:color w:val="auto"/>
          <w:sz w:val="24"/>
          <w:highlight w:val="none"/>
        </w:rPr>
      </w:pPr>
    </w:p>
    <w:p w14:paraId="613CDD5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6C8A1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15C39F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1057B4FB">
      <w:pPr>
        <w:widowControl/>
        <w:jc w:val="left"/>
        <w:rPr>
          <w:rFonts w:asciiTheme="minorEastAsia" w:hAnsiTheme="minorEastAsia" w:eastAsiaTheme="minorEastAsia"/>
          <w:color w:val="auto"/>
          <w:sz w:val="24"/>
          <w:highlight w:val="none"/>
        </w:rPr>
        <w:sectPr>
          <w:footerReference r:id="rId8" w:type="default"/>
          <w:pgSz w:w="11906" w:h="16838"/>
          <w:pgMar w:top="794" w:right="737" w:bottom="794" w:left="737" w:header="851" w:footer="992" w:gutter="0"/>
          <w:pgNumType w:fmt="decimal" w:start="1"/>
          <w:cols w:space="0" w:num="1"/>
          <w:rtlGutter w:val="0"/>
          <w:docGrid w:type="lines" w:linePitch="312" w:charSpace="0"/>
        </w:sectPr>
      </w:pPr>
    </w:p>
    <w:p w14:paraId="6CFB5922">
      <w:pPr>
        <w:spacing w:line="360" w:lineRule="auto"/>
        <w:jc w:val="center"/>
        <w:outlineLvl w:val="1"/>
        <w:rPr>
          <w:rFonts w:asciiTheme="minorEastAsia" w:hAnsiTheme="minorEastAsia" w:eastAsiaTheme="minorEastAsia"/>
          <w:b/>
          <w:color w:val="auto"/>
          <w:sz w:val="24"/>
          <w:highlight w:val="none"/>
        </w:rPr>
      </w:pPr>
      <w:bookmarkStart w:id="60" w:name="_Toc31991"/>
      <w:bookmarkStart w:id="61" w:name="_Toc6796"/>
      <w:r>
        <w:rPr>
          <w:rFonts w:hint="eastAsia" w:asciiTheme="minorEastAsia" w:hAnsiTheme="minorEastAsia" w:eastAsiaTheme="minorEastAsia"/>
          <w:b/>
          <w:color w:val="auto"/>
          <w:sz w:val="24"/>
          <w:highlight w:val="none"/>
        </w:rPr>
        <w:t>五、投标分项报价表</w:t>
      </w:r>
      <w:bookmarkEnd w:id="60"/>
      <w:bookmarkEnd w:id="61"/>
    </w:p>
    <w:p w14:paraId="7BFA8A4B">
      <w:pPr>
        <w:spacing w:line="360" w:lineRule="auto"/>
        <w:ind w:firstLine="435"/>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5-1货物部分</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83"/>
        <w:gridCol w:w="1376"/>
        <w:gridCol w:w="1376"/>
        <w:gridCol w:w="1376"/>
        <w:gridCol w:w="701"/>
        <w:gridCol w:w="701"/>
        <w:gridCol w:w="980"/>
        <w:gridCol w:w="980"/>
        <w:gridCol w:w="1070"/>
      </w:tblGrid>
      <w:tr w14:paraId="5C44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vAlign w:val="center"/>
          </w:tcPr>
          <w:p w14:paraId="43EB9CEB">
            <w:pPr>
              <w:pStyle w:val="45"/>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序号</w:t>
            </w:r>
          </w:p>
        </w:tc>
        <w:tc>
          <w:tcPr>
            <w:tcW w:w="648" w:type="pct"/>
            <w:vAlign w:val="center"/>
          </w:tcPr>
          <w:p w14:paraId="6207A72F">
            <w:pPr>
              <w:jc w:val="both"/>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货物名称</w:t>
            </w:r>
          </w:p>
        </w:tc>
        <w:tc>
          <w:tcPr>
            <w:tcW w:w="646" w:type="pct"/>
            <w:vAlign w:val="center"/>
          </w:tcPr>
          <w:p w14:paraId="4739568D">
            <w:pPr>
              <w:jc w:val="center"/>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注册证（备案材料）中产品名称（如有）</w:t>
            </w:r>
          </w:p>
        </w:tc>
        <w:tc>
          <w:tcPr>
            <w:tcW w:w="646" w:type="pct"/>
            <w:vAlign w:val="center"/>
          </w:tcPr>
          <w:p w14:paraId="4F175A26">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品牌、型</w:t>
            </w:r>
          </w:p>
          <w:p w14:paraId="4717CDE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号</w:t>
            </w:r>
          </w:p>
        </w:tc>
        <w:tc>
          <w:tcPr>
            <w:tcW w:w="646" w:type="pct"/>
            <w:vAlign w:val="center"/>
          </w:tcPr>
          <w:p w14:paraId="19AF22E8">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原产地及</w:t>
            </w:r>
          </w:p>
          <w:p w14:paraId="22150D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生产厂商</w:t>
            </w:r>
          </w:p>
        </w:tc>
        <w:tc>
          <w:tcPr>
            <w:tcW w:w="329" w:type="pct"/>
            <w:vAlign w:val="center"/>
          </w:tcPr>
          <w:p w14:paraId="631ADD27">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单位</w:t>
            </w:r>
          </w:p>
        </w:tc>
        <w:tc>
          <w:tcPr>
            <w:tcW w:w="329" w:type="pct"/>
            <w:vAlign w:val="center"/>
          </w:tcPr>
          <w:p w14:paraId="6228179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数量</w:t>
            </w:r>
          </w:p>
        </w:tc>
        <w:tc>
          <w:tcPr>
            <w:tcW w:w="460" w:type="pct"/>
            <w:vAlign w:val="center"/>
          </w:tcPr>
          <w:p w14:paraId="4294BDB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单价</w:t>
            </w:r>
          </w:p>
          <w:p w14:paraId="24BA418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460" w:type="pct"/>
            <w:vAlign w:val="center"/>
          </w:tcPr>
          <w:p w14:paraId="17BA56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小计</w:t>
            </w:r>
          </w:p>
          <w:p w14:paraId="7BAC66CE">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502" w:type="pct"/>
            <w:vAlign w:val="center"/>
          </w:tcPr>
          <w:p w14:paraId="0E220B82">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备注</w:t>
            </w:r>
          </w:p>
        </w:tc>
      </w:tr>
      <w:tr w14:paraId="476C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Borders>
              <w:bottom w:val="single" w:color="auto" w:sz="4" w:space="0"/>
            </w:tcBorders>
          </w:tcPr>
          <w:p w14:paraId="32842C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648" w:type="pct"/>
          </w:tcPr>
          <w:p w14:paraId="47062977">
            <w:pPr>
              <w:rPr>
                <w:rFonts w:asciiTheme="minorEastAsia" w:hAnsiTheme="minorEastAsia" w:eastAsiaTheme="minorEastAsia"/>
                <w:color w:val="auto"/>
                <w:sz w:val="24"/>
                <w:highlight w:val="none"/>
              </w:rPr>
            </w:pPr>
          </w:p>
        </w:tc>
        <w:tc>
          <w:tcPr>
            <w:tcW w:w="646" w:type="pct"/>
          </w:tcPr>
          <w:p w14:paraId="3082D8ED">
            <w:pPr>
              <w:rPr>
                <w:rFonts w:asciiTheme="minorEastAsia" w:hAnsiTheme="minorEastAsia" w:eastAsiaTheme="minorEastAsia"/>
                <w:color w:val="auto"/>
                <w:sz w:val="24"/>
                <w:highlight w:val="none"/>
              </w:rPr>
            </w:pPr>
          </w:p>
        </w:tc>
        <w:tc>
          <w:tcPr>
            <w:tcW w:w="646" w:type="pct"/>
          </w:tcPr>
          <w:p w14:paraId="0AF2268B">
            <w:pPr>
              <w:rPr>
                <w:rFonts w:asciiTheme="minorEastAsia" w:hAnsiTheme="minorEastAsia" w:eastAsiaTheme="minorEastAsia"/>
                <w:color w:val="auto"/>
                <w:sz w:val="24"/>
                <w:highlight w:val="none"/>
              </w:rPr>
            </w:pPr>
          </w:p>
        </w:tc>
        <w:tc>
          <w:tcPr>
            <w:tcW w:w="646" w:type="pct"/>
          </w:tcPr>
          <w:p w14:paraId="0A49F16D">
            <w:pPr>
              <w:rPr>
                <w:rFonts w:asciiTheme="minorEastAsia" w:hAnsiTheme="minorEastAsia" w:eastAsiaTheme="minorEastAsia"/>
                <w:color w:val="auto"/>
                <w:sz w:val="24"/>
                <w:highlight w:val="none"/>
              </w:rPr>
            </w:pPr>
          </w:p>
        </w:tc>
        <w:tc>
          <w:tcPr>
            <w:tcW w:w="329" w:type="pct"/>
          </w:tcPr>
          <w:p w14:paraId="6F45C32D">
            <w:pPr>
              <w:rPr>
                <w:rFonts w:asciiTheme="minorEastAsia" w:hAnsiTheme="minorEastAsia" w:eastAsiaTheme="minorEastAsia"/>
                <w:color w:val="auto"/>
                <w:sz w:val="24"/>
                <w:highlight w:val="none"/>
              </w:rPr>
            </w:pPr>
          </w:p>
        </w:tc>
        <w:tc>
          <w:tcPr>
            <w:tcW w:w="329" w:type="pct"/>
          </w:tcPr>
          <w:p w14:paraId="115B90B3">
            <w:pPr>
              <w:rPr>
                <w:rFonts w:asciiTheme="minorEastAsia" w:hAnsiTheme="minorEastAsia" w:eastAsiaTheme="minorEastAsia"/>
                <w:color w:val="auto"/>
                <w:sz w:val="24"/>
                <w:highlight w:val="none"/>
              </w:rPr>
            </w:pPr>
          </w:p>
        </w:tc>
        <w:tc>
          <w:tcPr>
            <w:tcW w:w="460" w:type="pct"/>
          </w:tcPr>
          <w:p w14:paraId="42BE7075">
            <w:pPr>
              <w:rPr>
                <w:rFonts w:asciiTheme="minorEastAsia" w:hAnsiTheme="minorEastAsia" w:eastAsiaTheme="minorEastAsia"/>
                <w:color w:val="auto"/>
                <w:sz w:val="24"/>
                <w:highlight w:val="none"/>
              </w:rPr>
            </w:pPr>
          </w:p>
        </w:tc>
        <w:tc>
          <w:tcPr>
            <w:tcW w:w="460" w:type="pct"/>
          </w:tcPr>
          <w:p w14:paraId="2E905E14">
            <w:pPr>
              <w:rPr>
                <w:rFonts w:asciiTheme="minorEastAsia" w:hAnsiTheme="minorEastAsia" w:eastAsiaTheme="minorEastAsia"/>
                <w:color w:val="auto"/>
                <w:sz w:val="24"/>
                <w:highlight w:val="none"/>
              </w:rPr>
            </w:pPr>
          </w:p>
        </w:tc>
        <w:tc>
          <w:tcPr>
            <w:tcW w:w="502" w:type="pct"/>
          </w:tcPr>
          <w:p w14:paraId="62025413">
            <w:pPr>
              <w:rPr>
                <w:rFonts w:asciiTheme="minorEastAsia" w:hAnsiTheme="minorEastAsia" w:eastAsiaTheme="minorEastAsia"/>
                <w:color w:val="auto"/>
                <w:sz w:val="24"/>
                <w:highlight w:val="none"/>
              </w:rPr>
            </w:pPr>
          </w:p>
        </w:tc>
      </w:tr>
      <w:tr w14:paraId="2A3C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2ACBA59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648" w:type="pct"/>
          </w:tcPr>
          <w:p w14:paraId="7A792CE8">
            <w:pPr>
              <w:rPr>
                <w:rFonts w:asciiTheme="minorEastAsia" w:hAnsiTheme="minorEastAsia" w:eastAsiaTheme="minorEastAsia"/>
                <w:color w:val="auto"/>
                <w:sz w:val="24"/>
                <w:highlight w:val="none"/>
              </w:rPr>
            </w:pPr>
          </w:p>
        </w:tc>
        <w:tc>
          <w:tcPr>
            <w:tcW w:w="646" w:type="pct"/>
          </w:tcPr>
          <w:p w14:paraId="0749B403">
            <w:pPr>
              <w:rPr>
                <w:rFonts w:asciiTheme="minorEastAsia" w:hAnsiTheme="minorEastAsia" w:eastAsiaTheme="minorEastAsia"/>
                <w:color w:val="auto"/>
                <w:sz w:val="24"/>
                <w:highlight w:val="none"/>
              </w:rPr>
            </w:pPr>
          </w:p>
        </w:tc>
        <w:tc>
          <w:tcPr>
            <w:tcW w:w="646" w:type="pct"/>
          </w:tcPr>
          <w:p w14:paraId="12960D82">
            <w:pPr>
              <w:rPr>
                <w:rFonts w:asciiTheme="minorEastAsia" w:hAnsiTheme="minorEastAsia" w:eastAsiaTheme="minorEastAsia"/>
                <w:color w:val="auto"/>
                <w:sz w:val="24"/>
                <w:highlight w:val="none"/>
              </w:rPr>
            </w:pPr>
          </w:p>
        </w:tc>
        <w:tc>
          <w:tcPr>
            <w:tcW w:w="646" w:type="pct"/>
          </w:tcPr>
          <w:p w14:paraId="30F469E9">
            <w:pPr>
              <w:rPr>
                <w:rFonts w:asciiTheme="minorEastAsia" w:hAnsiTheme="minorEastAsia" w:eastAsiaTheme="minorEastAsia"/>
                <w:color w:val="auto"/>
                <w:sz w:val="24"/>
                <w:highlight w:val="none"/>
              </w:rPr>
            </w:pPr>
          </w:p>
        </w:tc>
        <w:tc>
          <w:tcPr>
            <w:tcW w:w="329" w:type="pct"/>
          </w:tcPr>
          <w:p w14:paraId="1F9B3C2E">
            <w:pPr>
              <w:rPr>
                <w:rFonts w:asciiTheme="minorEastAsia" w:hAnsiTheme="minorEastAsia" w:eastAsiaTheme="minorEastAsia"/>
                <w:color w:val="auto"/>
                <w:sz w:val="24"/>
                <w:highlight w:val="none"/>
              </w:rPr>
            </w:pPr>
          </w:p>
        </w:tc>
        <w:tc>
          <w:tcPr>
            <w:tcW w:w="329" w:type="pct"/>
          </w:tcPr>
          <w:p w14:paraId="35483363">
            <w:pPr>
              <w:rPr>
                <w:rFonts w:asciiTheme="minorEastAsia" w:hAnsiTheme="minorEastAsia" w:eastAsiaTheme="minorEastAsia"/>
                <w:color w:val="auto"/>
                <w:sz w:val="24"/>
                <w:highlight w:val="none"/>
              </w:rPr>
            </w:pPr>
          </w:p>
        </w:tc>
        <w:tc>
          <w:tcPr>
            <w:tcW w:w="460" w:type="pct"/>
          </w:tcPr>
          <w:p w14:paraId="461E0B6C">
            <w:pPr>
              <w:rPr>
                <w:rFonts w:asciiTheme="minorEastAsia" w:hAnsiTheme="minorEastAsia" w:eastAsiaTheme="minorEastAsia"/>
                <w:color w:val="auto"/>
                <w:sz w:val="24"/>
                <w:highlight w:val="none"/>
              </w:rPr>
            </w:pPr>
          </w:p>
        </w:tc>
        <w:tc>
          <w:tcPr>
            <w:tcW w:w="460" w:type="pct"/>
          </w:tcPr>
          <w:p w14:paraId="78E04C4D">
            <w:pPr>
              <w:rPr>
                <w:rFonts w:asciiTheme="minorEastAsia" w:hAnsiTheme="minorEastAsia" w:eastAsiaTheme="minorEastAsia"/>
                <w:color w:val="auto"/>
                <w:sz w:val="24"/>
                <w:highlight w:val="none"/>
              </w:rPr>
            </w:pPr>
          </w:p>
        </w:tc>
        <w:tc>
          <w:tcPr>
            <w:tcW w:w="502" w:type="pct"/>
          </w:tcPr>
          <w:p w14:paraId="71BD2200">
            <w:pPr>
              <w:rPr>
                <w:rFonts w:asciiTheme="minorEastAsia" w:hAnsiTheme="minorEastAsia" w:eastAsiaTheme="minorEastAsia"/>
                <w:color w:val="auto"/>
                <w:sz w:val="24"/>
                <w:highlight w:val="none"/>
              </w:rPr>
            </w:pPr>
          </w:p>
        </w:tc>
      </w:tr>
      <w:tr w14:paraId="4529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Pr>
          <w:p w14:paraId="02434E2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648" w:type="pct"/>
          </w:tcPr>
          <w:p w14:paraId="249C02D5">
            <w:pPr>
              <w:rPr>
                <w:rFonts w:asciiTheme="minorEastAsia" w:hAnsiTheme="minorEastAsia" w:eastAsiaTheme="minorEastAsia"/>
                <w:color w:val="auto"/>
                <w:sz w:val="24"/>
                <w:highlight w:val="none"/>
              </w:rPr>
            </w:pPr>
          </w:p>
        </w:tc>
        <w:tc>
          <w:tcPr>
            <w:tcW w:w="646" w:type="pct"/>
          </w:tcPr>
          <w:p w14:paraId="21DA4D6B">
            <w:pPr>
              <w:rPr>
                <w:rFonts w:asciiTheme="minorEastAsia" w:hAnsiTheme="minorEastAsia" w:eastAsiaTheme="minorEastAsia"/>
                <w:color w:val="auto"/>
                <w:sz w:val="24"/>
                <w:highlight w:val="none"/>
              </w:rPr>
            </w:pPr>
          </w:p>
        </w:tc>
        <w:tc>
          <w:tcPr>
            <w:tcW w:w="646" w:type="pct"/>
          </w:tcPr>
          <w:p w14:paraId="5D476895">
            <w:pPr>
              <w:rPr>
                <w:rFonts w:asciiTheme="minorEastAsia" w:hAnsiTheme="minorEastAsia" w:eastAsiaTheme="minorEastAsia"/>
                <w:color w:val="auto"/>
                <w:sz w:val="24"/>
                <w:highlight w:val="none"/>
              </w:rPr>
            </w:pPr>
          </w:p>
        </w:tc>
        <w:tc>
          <w:tcPr>
            <w:tcW w:w="646" w:type="pct"/>
          </w:tcPr>
          <w:p w14:paraId="029782A4">
            <w:pPr>
              <w:rPr>
                <w:rFonts w:asciiTheme="minorEastAsia" w:hAnsiTheme="minorEastAsia" w:eastAsiaTheme="minorEastAsia"/>
                <w:color w:val="auto"/>
                <w:sz w:val="24"/>
                <w:highlight w:val="none"/>
              </w:rPr>
            </w:pPr>
          </w:p>
        </w:tc>
        <w:tc>
          <w:tcPr>
            <w:tcW w:w="329" w:type="pct"/>
          </w:tcPr>
          <w:p w14:paraId="6C393FB2">
            <w:pPr>
              <w:rPr>
                <w:rFonts w:asciiTheme="minorEastAsia" w:hAnsiTheme="minorEastAsia" w:eastAsiaTheme="minorEastAsia"/>
                <w:color w:val="auto"/>
                <w:sz w:val="24"/>
                <w:highlight w:val="none"/>
              </w:rPr>
            </w:pPr>
          </w:p>
        </w:tc>
        <w:tc>
          <w:tcPr>
            <w:tcW w:w="329" w:type="pct"/>
          </w:tcPr>
          <w:p w14:paraId="24A9419F">
            <w:pPr>
              <w:rPr>
                <w:rFonts w:asciiTheme="minorEastAsia" w:hAnsiTheme="minorEastAsia" w:eastAsiaTheme="minorEastAsia"/>
                <w:color w:val="auto"/>
                <w:sz w:val="24"/>
                <w:highlight w:val="none"/>
              </w:rPr>
            </w:pPr>
          </w:p>
        </w:tc>
        <w:tc>
          <w:tcPr>
            <w:tcW w:w="460" w:type="pct"/>
          </w:tcPr>
          <w:p w14:paraId="3E87BD1A">
            <w:pPr>
              <w:rPr>
                <w:rFonts w:asciiTheme="minorEastAsia" w:hAnsiTheme="minorEastAsia" w:eastAsiaTheme="minorEastAsia"/>
                <w:color w:val="auto"/>
                <w:sz w:val="24"/>
                <w:highlight w:val="none"/>
              </w:rPr>
            </w:pPr>
          </w:p>
        </w:tc>
        <w:tc>
          <w:tcPr>
            <w:tcW w:w="460" w:type="pct"/>
          </w:tcPr>
          <w:p w14:paraId="7A64981B">
            <w:pPr>
              <w:rPr>
                <w:rFonts w:asciiTheme="minorEastAsia" w:hAnsiTheme="minorEastAsia" w:eastAsiaTheme="minorEastAsia"/>
                <w:color w:val="auto"/>
                <w:sz w:val="24"/>
                <w:highlight w:val="none"/>
              </w:rPr>
            </w:pPr>
          </w:p>
        </w:tc>
        <w:tc>
          <w:tcPr>
            <w:tcW w:w="502" w:type="pct"/>
          </w:tcPr>
          <w:p w14:paraId="6EAD7FAA">
            <w:pPr>
              <w:rPr>
                <w:rFonts w:asciiTheme="minorEastAsia" w:hAnsiTheme="minorEastAsia" w:eastAsiaTheme="minorEastAsia"/>
                <w:color w:val="auto"/>
                <w:sz w:val="24"/>
                <w:highlight w:val="none"/>
              </w:rPr>
            </w:pPr>
          </w:p>
        </w:tc>
      </w:tr>
      <w:tr w14:paraId="485B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637CE05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648" w:type="pct"/>
          </w:tcPr>
          <w:p w14:paraId="56A0140D">
            <w:pPr>
              <w:rPr>
                <w:rFonts w:asciiTheme="minorEastAsia" w:hAnsiTheme="minorEastAsia" w:eastAsiaTheme="minorEastAsia"/>
                <w:color w:val="auto"/>
                <w:sz w:val="24"/>
                <w:highlight w:val="none"/>
              </w:rPr>
            </w:pPr>
          </w:p>
        </w:tc>
        <w:tc>
          <w:tcPr>
            <w:tcW w:w="646" w:type="pct"/>
          </w:tcPr>
          <w:p w14:paraId="19854FD6">
            <w:pPr>
              <w:rPr>
                <w:rFonts w:asciiTheme="minorEastAsia" w:hAnsiTheme="minorEastAsia" w:eastAsiaTheme="minorEastAsia"/>
                <w:color w:val="auto"/>
                <w:sz w:val="24"/>
                <w:highlight w:val="none"/>
              </w:rPr>
            </w:pPr>
          </w:p>
        </w:tc>
        <w:tc>
          <w:tcPr>
            <w:tcW w:w="646" w:type="pct"/>
          </w:tcPr>
          <w:p w14:paraId="517C4850">
            <w:pPr>
              <w:rPr>
                <w:rFonts w:asciiTheme="minorEastAsia" w:hAnsiTheme="minorEastAsia" w:eastAsiaTheme="minorEastAsia"/>
                <w:color w:val="auto"/>
                <w:sz w:val="24"/>
                <w:highlight w:val="none"/>
              </w:rPr>
            </w:pPr>
          </w:p>
        </w:tc>
        <w:tc>
          <w:tcPr>
            <w:tcW w:w="646" w:type="pct"/>
          </w:tcPr>
          <w:p w14:paraId="302E5CDE">
            <w:pPr>
              <w:rPr>
                <w:rFonts w:asciiTheme="minorEastAsia" w:hAnsiTheme="minorEastAsia" w:eastAsiaTheme="minorEastAsia"/>
                <w:color w:val="auto"/>
                <w:sz w:val="24"/>
                <w:highlight w:val="none"/>
              </w:rPr>
            </w:pPr>
          </w:p>
        </w:tc>
        <w:tc>
          <w:tcPr>
            <w:tcW w:w="329" w:type="pct"/>
          </w:tcPr>
          <w:p w14:paraId="1461EA03">
            <w:pPr>
              <w:rPr>
                <w:rFonts w:asciiTheme="minorEastAsia" w:hAnsiTheme="minorEastAsia" w:eastAsiaTheme="minorEastAsia"/>
                <w:color w:val="auto"/>
                <w:sz w:val="24"/>
                <w:highlight w:val="none"/>
              </w:rPr>
            </w:pPr>
          </w:p>
        </w:tc>
        <w:tc>
          <w:tcPr>
            <w:tcW w:w="329" w:type="pct"/>
          </w:tcPr>
          <w:p w14:paraId="003F1954">
            <w:pPr>
              <w:rPr>
                <w:rFonts w:asciiTheme="minorEastAsia" w:hAnsiTheme="minorEastAsia" w:eastAsiaTheme="minorEastAsia"/>
                <w:color w:val="auto"/>
                <w:sz w:val="24"/>
                <w:highlight w:val="none"/>
              </w:rPr>
            </w:pPr>
          </w:p>
        </w:tc>
        <w:tc>
          <w:tcPr>
            <w:tcW w:w="460" w:type="pct"/>
          </w:tcPr>
          <w:p w14:paraId="2D1542E0">
            <w:pPr>
              <w:rPr>
                <w:rFonts w:asciiTheme="minorEastAsia" w:hAnsiTheme="minorEastAsia" w:eastAsiaTheme="minorEastAsia"/>
                <w:color w:val="auto"/>
                <w:sz w:val="24"/>
                <w:highlight w:val="none"/>
              </w:rPr>
            </w:pPr>
          </w:p>
        </w:tc>
        <w:tc>
          <w:tcPr>
            <w:tcW w:w="460" w:type="pct"/>
          </w:tcPr>
          <w:p w14:paraId="4C5DA703">
            <w:pPr>
              <w:rPr>
                <w:rFonts w:asciiTheme="minorEastAsia" w:hAnsiTheme="minorEastAsia" w:eastAsiaTheme="minorEastAsia"/>
                <w:color w:val="auto"/>
                <w:sz w:val="24"/>
                <w:highlight w:val="none"/>
              </w:rPr>
            </w:pPr>
          </w:p>
        </w:tc>
        <w:tc>
          <w:tcPr>
            <w:tcW w:w="502" w:type="pct"/>
          </w:tcPr>
          <w:p w14:paraId="3E2461B2">
            <w:pPr>
              <w:rPr>
                <w:rFonts w:asciiTheme="minorEastAsia" w:hAnsiTheme="minorEastAsia" w:eastAsiaTheme="minorEastAsia"/>
                <w:color w:val="auto"/>
                <w:sz w:val="24"/>
                <w:highlight w:val="none"/>
              </w:rPr>
            </w:pPr>
          </w:p>
        </w:tc>
      </w:tr>
      <w:tr w14:paraId="257C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Pr>
          <w:p w14:paraId="088D942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648" w:type="pct"/>
          </w:tcPr>
          <w:p w14:paraId="27931087">
            <w:pPr>
              <w:rPr>
                <w:rFonts w:asciiTheme="minorEastAsia" w:hAnsiTheme="minorEastAsia" w:eastAsiaTheme="minorEastAsia"/>
                <w:color w:val="auto"/>
                <w:sz w:val="24"/>
                <w:highlight w:val="none"/>
              </w:rPr>
            </w:pPr>
          </w:p>
        </w:tc>
        <w:tc>
          <w:tcPr>
            <w:tcW w:w="646" w:type="pct"/>
          </w:tcPr>
          <w:p w14:paraId="4FBB8CAE">
            <w:pPr>
              <w:rPr>
                <w:rFonts w:asciiTheme="minorEastAsia" w:hAnsiTheme="minorEastAsia" w:eastAsiaTheme="minorEastAsia"/>
                <w:color w:val="auto"/>
                <w:sz w:val="24"/>
                <w:highlight w:val="none"/>
              </w:rPr>
            </w:pPr>
          </w:p>
        </w:tc>
        <w:tc>
          <w:tcPr>
            <w:tcW w:w="646" w:type="pct"/>
          </w:tcPr>
          <w:p w14:paraId="2407682E">
            <w:pPr>
              <w:rPr>
                <w:rFonts w:asciiTheme="minorEastAsia" w:hAnsiTheme="minorEastAsia" w:eastAsiaTheme="minorEastAsia"/>
                <w:color w:val="auto"/>
                <w:sz w:val="24"/>
                <w:highlight w:val="none"/>
              </w:rPr>
            </w:pPr>
          </w:p>
        </w:tc>
        <w:tc>
          <w:tcPr>
            <w:tcW w:w="646" w:type="pct"/>
          </w:tcPr>
          <w:p w14:paraId="53599738">
            <w:pPr>
              <w:rPr>
                <w:rFonts w:asciiTheme="minorEastAsia" w:hAnsiTheme="minorEastAsia" w:eastAsiaTheme="minorEastAsia"/>
                <w:color w:val="auto"/>
                <w:sz w:val="24"/>
                <w:highlight w:val="none"/>
              </w:rPr>
            </w:pPr>
          </w:p>
        </w:tc>
        <w:tc>
          <w:tcPr>
            <w:tcW w:w="329" w:type="pct"/>
          </w:tcPr>
          <w:p w14:paraId="3C1AA7B2">
            <w:pPr>
              <w:rPr>
                <w:rFonts w:asciiTheme="minorEastAsia" w:hAnsiTheme="minorEastAsia" w:eastAsiaTheme="minorEastAsia"/>
                <w:color w:val="auto"/>
                <w:sz w:val="24"/>
                <w:highlight w:val="none"/>
              </w:rPr>
            </w:pPr>
          </w:p>
        </w:tc>
        <w:tc>
          <w:tcPr>
            <w:tcW w:w="329" w:type="pct"/>
          </w:tcPr>
          <w:p w14:paraId="7A036A60">
            <w:pPr>
              <w:rPr>
                <w:rFonts w:asciiTheme="minorEastAsia" w:hAnsiTheme="minorEastAsia" w:eastAsiaTheme="minorEastAsia"/>
                <w:color w:val="auto"/>
                <w:sz w:val="24"/>
                <w:highlight w:val="none"/>
              </w:rPr>
            </w:pPr>
          </w:p>
        </w:tc>
        <w:tc>
          <w:tcPr>
            <w:tcW w:w="460" w:type="pct"/>
          </w:tcPr>
          <w:p w14:paraId="4FFE8716">
            <w:pPr>
              <w:rPr>
                <w:rFonts w:asciiTheme="minorEastAsia" w:hAnsiTheme="minorEastAsia" w:eastAsiaTheme="minorEastAsia"/>
                <w:color w:val="auto"/>
                <w:sz w:val="24"/>
                <w:highlight w:val="none"/>
              </w:rPr>
            </w:pPr>
          </w:p>
        </w:tc>
        <w:tc>
          <w:tcPr>
            <w:tcW w:w="460" w:type="pct"/>
          </w:tcPr>
          <w:p w14:paraId="457EFD85">
            <w:pPr>
              <w:rPr>
                <w:rFonts w:asciiTheme="minorEastAsia" w:hAnsiTheme="minorEastAsia" w:eastAsiaTheme="minorEastAsia"/>
                <w:color w:val="auto"/>
                <w:sz w:val="24"/>
                <w:highlight w:val="none"/>
              </w:rPr>
            </w:pPr>
          </w:p>
        </w:tc>
        <w:tc>
          <w:tcPr>
            <w:tcW w:w="502" w:type="pct"/>
          </w:tcPr>
          <w:p w14:paraId="08E08835">
            <w:pPr>
              <w:rPr>
                <w:rFonts w:asciiTheme="minorEastAsia" w:hAnsiTheme="minorEastAsia" w:eastAsiaTheme="minorEastAsia"/>
                <w:color w:val="auto"/>
                <w:sz w:val="24"/>
                <w:highlight w:val="none"/>
              </w:rPr>
            </w:pPr>
          </w:p>
        </w:tc>
      </w:tr>
      <w:tr w14:paraId="2DDB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0EBA6FC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648" w:type="pct"/>
          </w:tcPr>
          <w:p w14:paraId="05CF1687">
            <w:pPr>
              <w:rPr>
                <w:rFonts w:asciiTheme="minorEastAsia" w:hAnsiTheme="minorEastAsia" w:eastAsiaTheme="minorEastAsia"/>
                <w:color w:val="auto"/>
                <w:sz w:val="24"/>
                <w:highlight w:val="none"/>
              </w:rPr>
            </w:pPr>
          </w:p>
        </w:tc>
        <w:tc>
          <w:tcPr>
            <w:tcW w:w="646" w:type="pct"/>
          </w:tcPr>
          <w:p w14:paraId="25DDC129">
            <w:pPr>
              <w:rPr>
                <w:rFonts w:asciiTheme="minorEastAsia" w:hAnsiTheme="minorEastAsia" w:eastAsiaTheme="minorEastAsia"/>
                <w:color w:val="auto"/>
                <w:sz w:val="24"/>
                <w:highlight w:val="none"/>
              </w:rPr>
            </w:pPr>
          </w:p>
        </w:tc>
        <w:tc>
          <w:tcPr>
            <w:tcW w:w="646" w:type="pct"/>
          </w:tcPr>
          <w:p w14:paraId="1F53CC8C">
            <w:pPr>
              <w:rPr>
                <w:rFonts w:asciiTheme="minorEastAsia" w:hAnsiTheme="minorEastAsia" w:eastAsiaTheme="minorEastAsia"/>
                <w:color w:val="auto"/>
                <w:sz w:val="24"/>
                <w:highlight w:val="none"/>
              </w:rPr>
            </w:pPr>
          </w:p>
        </w:tc>
        <w:tc>
          <w:tcPr>
            <w:tcW w:w="646" w:type="pct"/>
          </w:tcPr>
          <w:p w14:paraId="325E8375">
            <w:pPr>
              <w:rPr>
                <w:rFonts w:asciiTheme="minorEastAsia" w:hAnsiTheme="minorEastAsia" w:eastAsiaTheme="minorEastAsia"/>
                <w:color w:val="auto"/>
                <w:sz w:val="24"/>
                <w:highlight w:val="none"/>
              </w:rPr>
            </w:pPr>
          </w:p>
        </w:tc>
        <w:tc>
          <w:tcPr>
            <w:tcW w:w="329" w:type="pct"/>
          </w:tcPr>
          <w:p w14:paraId="4DE2FF76">
            <w:pPr>
              <w:rPr>
                <w:rFonts w:asciiTheme="minorEastAsia" w:hAnsiTheme="minorEastAsia" w:eastAsiaTheme="minorEastAsia"/>
                <w:color w:val="auto"/>
                <w:sz w:val="24"/>
                <w:highlight w:val="none"/>
              </w:rPr>
            </w:pPr>
          </w:p>
        </w:tc>
        <w:tc>
          <w:tcPr>
            <w:tcW w:w="329" w:type="pct"/>
          </w:tcPr>
          <w:p w14:paraId="73065B49">
            <w:pPr>
              <w:rPr>
                <w:rFonts w:asciiTheme="minorEastAsia" w:hAnsiTheme="minorEastAsia" w:eastAsiaTheme="minorEastAsia"/>
                <w:color w:val="auto"/>
                <w:sz w:val="24"/>
                <w:highlight w:val="none"/>
              </w:rPr>
            </w:pPr>
          </w:p>
        </w:tc>
        <w:tc>
          <w:tcPr>
            <w:tcW w:w="460" w:type="pct"/>
          </w:tcPr>
          <w:p w14:paraId="537AE588">
            <w:pPr>
              <w:rPr>
                <w:rFonts w:asciiTheme="minorEastAsia" w:hAnsiTheme="minorEastAsia" w:eastAsiaTheme="minorEastAsia"/>
                <w:color w:val="auto"/>
                <w:sz w:val="24"/>
                <w:highlight w:val="none"/>
              </w:rPr>
            </w:pPr>
          </w:p>
        </w:tc>
        <w:tc>
          <w:tcPr>
            <w:tcW w:w="460" w:type="pct"/>
          </w:tcPr>
          <w:p w14:paraId="64FB1F0F">
            <w:pPr>
              <w:rPr>
                <w:rFonts w:asciiTheme="minorEastAsia" w:hAnsiTheme="minorEastAsia" w:eastAsiaTheme="minorEastAsia"/>
                <w:color w:val="auto"/>
                <w:sz w:val="24"/>
                <w:highlight w:val="none"/>
              </w:rPr>
            </w:pPr>
          </w:p>
        </w:tc>
        <w:tc>
          <w:tcPr>
            <w:tcW w:w="502" w:type="pct"/>
          </w:tcPr>
          <w:p w14:paraId="7A3A4E98">
            <w:pPr>
              <w:rPr>
                <w:rFonts w:asciiTheme="minorEastAsia" w:hAnsiTheme="minorEastAsia" w:eastAsiaTheme="minorEastAsia"/>
                <w:color w:val="auto"/>
                <w:sz w:val="24"/>
                <w:highlight w:val="none"/>
              </w:rPr>
            </w:pPr>
          </w:p>
        </w:tc>
      </w:tr>
      <w:tr w14:paraId="050D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5E88952B">
            <w:pPr>
              <w:jc w:val="center"/>
              <w:rPr>
                <w:rFonts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w:t>
            </w:r>
          </w:p>
        </w:tc>
        <w:tc>
          <w:tcPr>
            <w:tcW w:w="648" w:type="pct"/>
            <w:shd w:val="clear" w:color="auto" w:fill="auto"/>
            <w:vAlign w:val="center"/>
          </w:tcPr>
          <w:p w14:paraId="389C2EEB">
            <w:pPr>
              <w:pStyle w:val="53"/>
              <w:rPr>
                <w:rFonts w:hint="eastAsia" w:asciiTheme="minorEastAsia" w:hAnsiTheme="minorEastAsia" w:eastAsiaTheme="minorEastAsia"/>
                <w:color w:val="auto"/>
                <w:highlight w:val="none"/>
              </w:rPr>
            </w:pPr>
          </w:p>
        </w:tc>
        <w:tc>
          <w:tcPr>
            <w:tcW w:w="646" w:type="pct"/>
          </w:tcPr>
          <w:p w14:paraId="4E76B61B">
            <w:pPr>
              <w:rPr>
                <w:rFonts w:asciiTheme="minorEastAsia" w:hAnsiTheme="minorEastAsia" w:eastAsiaTheme="minorEastAsia"/>
                <w:color w:val="auto"/>
                <w:sz w:val="24"/>
                <w:highlight w:val="none"/>
              </w:rPr>
            </w:pPr>
          </w:p>
        </w:tc>
        <w:tc>
          <w:tcPr>
            <w:tcW w:w="646" w:type="pct"/>
          </w:tcPr>
          <w:p w14:paraId="6B000B17">
            <w:pPr>
              <w:rPr>
                <w:rFonts w:asciiTheme="minorEastAsia" w:hAnsiTheme="minorEastAsia" w:eastAsiaTheme="minorEastAsia"/>
                <w:color w:val="auto"/>
                <w:sz w:val="24"/>
                <w:highlight w:val="none"/>
              </w:rPr>
            </w:pPr>
          </w:p>
        </w:tc>
        <w:tc>
          <w:tcPr>
            <w:tcW w:w="646" w:type="pct"/>
          </w:tcPr>
          <w:p w14:paraId="2C012522">
            <w:pPr>
              <w:rPr>
                <w:rFonts w:asciiTheme="minorEastAsia" w:hAnsiTheme="minorEastAsia" w:eastAsiaTheme="minorEastAsia"/>
                <w:color w:val="auto"/>
                <w:sz w:val="24"/>
                <w:highlight w:val="none"/>
              </w:rPr>
            </w:pPr>
          </w:p>
        </w:tc>
        <w:tc>
          <w:tcPr>
            <w:tcW w:w="329" w:type="pct"/>
          </w:tcPr>
          <w:p w14:paraId="1561A260">
            <w:pPr>
              <w:rPr>
                <w:rFonts w:asciiTheme="minorEastAsia" w:hAnsiTheme="minorEastAsia" w:eastAsiaTheme="minorEastAsia"/>
                <w:color w:val="auto"/>
                <w:sz w:val="24"/>
                <w:highlight w:val="none"/>
              </w:rPr>
            </w:pPr>
          </w:p>
        </w:tc>
        <w:tc>
          <w:tcPr>
            <w:tcW w:w="329" w:type="pct"/>
          </w:tcPr>
          <w:p w14:paraId="6AC918AB">
            <w:pPr>
              <w:rPr>
                <w:rFonts w:asciiTheme="minorEastAsia" w:hAnsiTheme="minorEastAsia" w:eastAsiaTheme="minorEastAsia"/>
                <w:color w:val="auto"/>
                <w:sz w:val="24"/>
                <w:highlight w:val="none"/>
              </w:rPr>
            </w:pPr>
          </w:p>
        </w:tc>
        <w:tc>
          <w:tcPr>
            <w:tcW w:w="460" w:type="pct"/>
          </w:tcPr>
          <w:p w14:paraId="061A5489">
            <w:pPr>
              <w:rPr>
                <w:rFonts w:asciiTheme="minorEastAsia" w:hAnsiTheme="minorEastAsia" w:eastAsiaTheme="minorEastAsia"/>
                <w:color w:val="auto"/>
                <w:sz w:val="24"/>
                <w:highlight w:val="none"/>
              </w:rPr>
            </w:pPr>
          </w:p>
        </w:tc>
        <w:tc>
          <w:tcPr>
            <w:tcW w:w="460" w:type="pct"/>
          </w:tcPr>
          <w:p w14:paraId="10425DCF">
            <w:pPr>
              <w:rPr>
                <w:rFonts w:asciiTheme="minorEastAsia" w:hAnsiTheme="minorEastAsia" w:eastAsiaTheme="minorEastAsia"/>
                <w:color w:val="auto"/>
                <w:sz w:val="24"/>
                <w:highlight w:val="none"/>
              </w:rPr>
            </w:pPr>
          </w:p>
        </w:tc>
        <w:tc>
          <w:tcPr>
            <w:tcW w:w="502" w:type="pct"/>
          </w:tcPr>
          <w:p w14:paraId="73BD9921">
            <w:pPr>
              <w:rPr>
                <w:rFonts w:asciiTheme="minorEastAsia" w:hAnsiTheme="minorEastAsia" w:eastAsiaTheme="minorEastAsia"/>
                <w:color w:val="auto"/>
                <w:sz w:val="24"/>
                <w:highlight w:val="none"/>
              </w:rPr>
            </w:pPr>
          </w:p>
        </w:tc>
      </w:tr>
      <w:tr w14:paraId="42EB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4F115C80">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center"/>
          </w:tcPr>
          <w:p w14:paraId="347AB61A">
            <w:pPr>
              <w:pStyle w:val="53"/>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其他费用</w:t>
            </w:r>
          </w:p>
        </w:tc>
        <w:tc>
          <w:tcPr>
            <w:tcW w:w="646" w:type="pct"/>
          </w:tcPr>
          <w:p w14:paraId="7CDBE116">
            <w:pPr>
              <w:rPr>
                <w:rFonts w:asciiTheme="minorEastAsia" w:hAnsiTheme="minorEastAsia" w:eastAsiaTheme="minorEastAsia"/>
                <w:color w:val="auto"/>
                <w:sz w:val="24"/>
                <w:highlight w:val="none"/>
              </w:rPr>
            </w:pPr>
          </w:p>
        </w:tc>
        <w:tc>
          <w:tcPr>
            <w:tcW w:w="646" w:type="pct"/>
          </w:tcPr>
          <w:p w14:paraId="791D5F1C">
            <w:pPr>
              <w:rPr>
                <w:rFonts w:asciiTheme="minorEastAsia" w:hAnsiTheme="minorEastAsia" w:eastAsiaTheme="minorEastAsia"/>
                <w:color w:val="auto"/>
                <w:sz w:val="24"/>
                <w:highlight w:val="none"/>
              </w:rPr>
            </w:pPr>
          </w:p>
        </w:tc>
        <w:tc>
          <w:tcPr>
            <w:tcW w:w="646" w:type="pct"/>
          </w:tcPr>
          <w:p w14:paraId="1FB8EFFC">
            <w:pPr>
              <w:rPr>
                <w:rFonts w:asciiTheme="minorEastAsia" w:hAnsiTheme="minorEastAsia" w:eastAsiaTheme="minorEastAsia"/>
                <w:color w:val="auto"/>
                <w:sz w:val="24"/>
                <w:highlight w:val="none"/>
              </w:rPr>
            </w:pPr>
          </w:p>
        </w:tc>
        <w:tc>
          <w:tcPr>
            <w:tcW w:w="329" w:type="pct"/>
          </w:tcPr>
          <w:p w14:paraId="28E838CB">
            <w:pPr>
              <w:rPr>
                <w:rFonts w:asciiTheme="minorEastAsia" w:hAnsiTheme="minorEastAsia" w:eastAsiaTheme="minorEastAsia"/>
                <w:color w:val="auto"/>
                <w:sz w:val="24"/>
                <w:highlight w:val="none"/>
              </w:rPr>
            </w:pPr>
          </w:p>
        </w:tc>
        <w:tc>
          <w:tcPr>
            <w:tcW w:w="329" w:type="pct"/>
          </w:tcPr>
          <w:p w14:paraId="04178810">
            <w:pPr>
              <w:rPr>
                <w:rFonts w:asciiTheme="minorEastAsia" w:hAnsiTheme="minorEastAsia" w:eastAsiaTheme="minorEastAsia"/>
                <w:color w:val="auto"/>
                <w:sz w:val="24"/>
                <w:highlight w:val="none"/>
              </w:rPr>
            </w:pPr>
          </w:p>
        </w:tc>
        <w:tc>
          <w:tcPr>
            <w:tcW w:w="460" w:type="pct"/>
          </w:tcPr>
          <w:p w14:paraId="531E66D1">
            <w:pPr>
              <w:rPr>
                <w:rFonts w:asciiTheme="minorEastAsia" w:hAnsiTheme="minorEastAsia" w:eastAsiaTheme="minorEastAsia"/>
                <w:color w:val="auto"/>
                <w:sz w:val="24"/>
                <w:highlight w:val="none"/>
              </w:rPr>
            </w:pPr>
          </w:p>
        </w:tc>
        <w:tc>
          <w:tcPr>
            <w:tcW w:w="460" w:type="pct"/>
          </w:tcPr>
          <w:p w14:paraId="0FFB496E">
            <w:pPr>
              <w:rPr>
                <w:rFonts w:asciiTheme="minorEastAsia" w:hAnsiTheme="minorEastAsia" w:eastAsiaTheme="minorEastAsia"/>
                <w:color w:val="auto"/>
                <w:sz w:val="24"/>
                <w:highlight w:val="none"/>
              </w:rPr>
            </w:pPr>
          </w:p>
        </w:tc>
        <w:tc>
          <w:tcPr>
            <w:tcW w:w="502" w:type="pct"/>
          </w:tcPr>
          <w:p w14:paraId="17AAE6D2">
            <w:pPr>
              <w:rPr>
                <w:rFonts w:asciiTheme="minorEastAsia" w:hAnsiTheme="minorEastAsia" w:eastAsiaTheme="minorEastAsia"/>
                <w:color w:val="auto"/>
                <w:sz w:val="24"/>
                <w:highlight w:val="none"/>
              </w:rPr>
            </w:pPr>
          </w:p>
        </w:tc>
      </w:tr>
      <w:tr w14:paraId="404D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29059BEA">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top"/>
          </w:tcPr>
          <w:p w14:paraId="416FDA8D">
            <w:pPr>
              <w:rPr>
                <w:rFonts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rPr>
              <w:t>…</w:t>
            </w:r>
          </w:p>
        </w:tc>
        <w:tc>
          <w:tcPr>
            <w:tcW w:w="646" w:type="pct"/>
          </w:tcPr>
          <w:p w14:paraId="030E30FA">
            <w:pPr>
              <w:rPr>
                <w:rFonts w:asciiTheme="minorEastAsia" w:hAnsiTheme="minorEastAsia" w:eastAsiaTheme="minorEastAsia"/>
                <w:color w:val="auto"/>
                <w:sz w:val="24"/>
                <w:highlight w:val="none"/>
              </w:rPr>
            </w:pPr>
          </w:p>
        </w:tc>
        <w:tc>
          <w:tcPr>
            <w:tcW w:w="646" w:type="pct"/>
          </w:tcPr>
          <w:p w14:paraId="071EF2DE">
            <w:pPr>
              <w:rPr>
                <w:rFonts w:asciiTheme="minorEastAsia" w:hAnsiTheme="minorEastAsia" w:eastAsiaTheme="minorEastAsia"/>
                <w:color w:val="auto"/>
                <w:sz w:val="24"/>
                <w:highlight w:val="none"/>
              </w:rPr>
            </w:pPr>
          </w:p>
        </w:tc>
        <w:tc>
          <w:tcPr>
            <w:tcW w:w="646" w:type="pct"/>
          </w:tcPr>
          <w:p w14:paraId="3B076AA7">
            <w:pPr>
              <w:rPr>
                <w:rFonts w:asciiTheme="minorEastAsia" w:hAnsiTheme="minorEastAsia" w:eastAsiaTheme="minorEastAsia"/>
                <w:color w:val="auto"/>
                <w:sz w:val="24"/>
                <w:highlight w:val="none"/>
              </w:rPr>
            </w:pPr>
          </w:p>
        </w:tc>
        <w:tc>
          <w:tcPr>
            <w:tcW w:w="329" w:type="pct"/>
          </w:tcPr>
          <w:p w14:paraId="642C02D4">
            <w:pPr>
              <w:rPr>
                <w:rFonts w:asciiTheme="minorEastAsia" w:hAnsiTheme="minorEastAsia" w:eastAsiaTheme="minorEastAsia"/>
                <w:color w:val="auto"/>
                <w:sz w:val="24"/>
                <w:highlight w:val="none"/>
              </w:rPr>
            </w:pPr>
          </w:p>
        </w:tc>
        <w:tc>
          <w:tcPr>
            <w:tcW w:w="329" w:type="pct"/>
          </w:tcPr>
          <w:p w14:paraId="07027894">
            <w:pPr>
              <w:rPr>
                <w:rFonts w:asciiTheme="minorEastAsia" w:hAnsiTheme="minorEastAsia" w:eastAsiaTheme="minorEastAsia"/>
                <w:color w:val="auto"/>
                <w:sz w:val="24"/>
                <w:highlight w:val="none"/>
              </w:rPr>
            </w:pPr>
          </w:p>
        </w:tc>
        <w:tc>
          <w:tcPr>
            <w:tcW w:w="460" w:type="pct"/>
          </w:tcPr>
          <w:p w14:paraId="4169E24E">
            <w:pPr>
              <w:rPr>
                <w:rFonts w:asciiTheme="minorEastAsia" w:hAnsiTheme="minorEastAsia" w:eastAsiaTheme="minorEastAsia"/>
                <w:color w:val="auto"/>
                <w:sz w:val="24"/>
                <w:highlight w:val="none"/>
              </w:rPr>
            </w:pPr>
          </w:p>
        </w:tc>
        <w:tc>
          <w:tcPr>
            <w:tcW w:w="460" w:type="pct"/>
          </w:tcPr>
          <w:p w14:paraId="58FD63F6">
            <w:pPr>
              <w:rPr>
                <w:rFonts w:asciiTheme="minorEastAsia" w:hAnsiTheme="minorEastAsia" w:eastAsiaTheme="minorEastAsia"/>
                <w:color w:val="auto"/>
                <w:sz w:val="24"/>
                <w:highlight w:val="none"/>
              </w:rPr>
            </w:pPr>
          </w:p>
        </w:tc>
        <w:tc>
          <w:tcPr>
            <w:tcW w:w="502" w:type="pct"/>
          </w:tcPr>
          <w:p w14:paraId="349FCE94">
            <w:pPr>
              <w:rPr>
                <w:rFonts w:asciiTheme="minorEastAsia" w:hAnsiTheme="minorEastAsia" w:eastAsiaTheme="minorEastAsia"/>
                <w:color w:val="auto"/>
                <w:sz w:val="24"/>
                <w:highlight w:val="none"/>
              </w:rPr>
            </w:pPr>
          </w:p>
        </w:tc>
      </w:tr>
      <w:tr w14:paraId="3592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60A61525">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top"/>
          </w:tcPr>
          <w:p w14:paraId="481A3A6A">
            <w:pPr>
              <w:pStyle w:val="53"/>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w:t>
            </w:r>
          </w:p>
        </w:tc>
        <w:tc>
          <w:tcPr>
            <w:tcW w:w="646" w:type="pct"/>
          </w:tcPr>
          <w:p w14:paraId="0B7FCAB5">
            <w:pPr>
              <w:rPr>
                <w:rFonts w:asciiTheme="minorEastAsia" w:hAnsiTheme="minorEastAsia" w:eastAsiaTheme="minorEastAsia"/>
                <w:color w:val="auto"/>
                <w:sz w:val="24"/>
                <w:highlight w:val="none"/>
              </w:rPr>
            </w:pPr>
          </w:p>
        </w:tc>
        <w:tc>
          <w:tcPr>
            <w:tcW w:w="646" w:type="pct"/>
          </w:tcPr>
          <w:p w14:paraId="1DD6EA85">
            <w:pPr>
              <w:rPr>
                <w:rFonts w:asciiTheme="minorEastAsia" w:hAnsiTheme="minorEastAsia" w:eastAsiaTheme="minorEastAsia"/>
                <w:color w:val="auto"/>
                <w:sz w:val="24"/>
                <w:highlight w:val="none"/>
              </w:rPr>
            </w:pPr>
          </w:p>
        </w:tc>
        <w:tc>
          <w:tcPr>
            <w:tcW w:w="646" w:type="pct"/>
          </w:tcPr>
          <w:p w14:paraId="4A9C2B1D">
            <w:pPr>
              <w:rPr>
                <w:rFonts w:asciiTheme="minorEastAsia" w:hAnsiTheme="minorEastAsia" w:eastAsiaTheme="minorEastAsia"/>
                <w:color w:val="auto"/>
                <w:sz w:val="24"/>
                <w:highlight w:val="none"/>
              </w:rPr>
            </w:pPr>
          </w:p>
        </w:tc>
        <w:tc>
          <w:tcPr>
            <w:tcW w:w="329" w:type="pct"/>
          </w:tcPr>
          <w:p w14:paraId="26C57FEC">
            <w:pPr>
              <w:rPr>
                <w:rFonts w:asciiTheme="minorEastAsia" w:hAnsiTheme="minorEastAsia" w:eastAsiaTheme="minorEastAsia"/>
                <w:color w:val="auto"/>
                <w:sz w:val="24"/>
                <w:highlight w:val="none"/>
              </w:rPr>
            </w:pPr>
          </w:p>
        </w:tc>
        <w:tc>
          <w:tcPr>
            <w:tcW w:w="329" w:type="pct"/>
          </w:tcPr>
          <w:p w14:paraId="63FAD23A">
            <w:pPr>
              <w:rPr>
                <w:rFonts w:asciiTheme="minorEastAsia" w:hAnsiTheme="minorEastAsia" w:eastAsiaTheme="minorEastAsia"/>
                <w:color w:val="auto"/>
                <w:sz w:val="24"/>
                <w:highlight w:val="none"/>
              </w:rPr>
            </w:pPr>
          </w:p>
        </w:tc>
        <w:tc>
          <w:tcPr>
            <w:tcW w:w="460" w:type="pct"/>
          </w:tcPr>
          <w:p w14:paraId="7F4381BF">
            <w:pPr>
              <w:rPr>
                <w:rFonts w:asciiTheme="minorEastAsia" w:hAnsiTheme="minorEastAsia" w:eastAsiaTheme="minorEastAsia"/>
                <w:color w:val="auto"/>
                <w:sz w:val="24"/>
                <w:highlight w:val="none"/>
              </w:rPr>
            </w:pPr>
          </w:p>
        </w:tc>
        <w:tc>
          <w:tcPr>
            <w:tcW w:w="460" w:type="pct"/>
          </w:tcPr>
          <w:p w14:paraId="61262DA2">
            <w:pPr>
              <w:rPr>
                <w:rFonts w:asciiTheme="minorEastAsia" w:hAnsiTheme="minorEastAsia" w:eastAsiaTheme="minorEastAsia"/>
                <w:color w:val="auto"/>
                <w:sz w:val="24"/>
                <w:highlight w:val="none"/>
              </w:rPr>
            </w:pPr>
          </w:p>
        </w:tc>
        <w:tc>
          <w:tcPr>
            <w:tcW w:w="502" w:type="pct"/>
          </w:tcPr>
          <w:p w14:paraId="3AE3E236">
            <w:pPr>
              <w:rPr>
                <w:rFonts w:asciiTheme="minorEastAsia" w:hAnsiTheme="minorEastAsia" w:eastAsiaTheme="minorEastAsia"/>
                <w:color w:val="auto"/>
                <w:sz w:val="24"/>
                <w:highlight w:val="none"/>
              </w:rPr>
            </w:pPr>
          </w:p>
        </w:tc>
      </w:tr>
      <w:tr w14:paraId="71E0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977" w:type="pct"/>
            <w:gridSpan w:val="2"/>
            <w:vAlign w:val="center"/>
          </w:tcPr>
          <w:p w14:paraId="03FAEB74">
            <w:pPr>
              <w:pStyle w:val="53"/>
              <w:jc w:val="cente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合计（元）</w:t>
            </w:r>
          </w:p>
        </w:tc>
        <w:tc>
          <w:tcPr>
            <w:tcW w:w="646" w:type="pct"/>
          </w:tcPr>
          <w:p w14:paraId="6A92BB31">
            <w:pPr>
              <w:pStyle w:val="53"/>
              <w:jc w:val="center"/>
              <w:rPr>
                <w:rFonts w:hint="eastAsia" w:asciiTheme="minorEastAsia" w:hAnsiTheme="minorEastAsia" w:eastAsiaTheme="minorEastAsia"/>
                <w:color w:val="auto"/>
                <w:highlight w:val="none"/>
              </w:rPr>
            </w:pPr>
          </w:p>
        </w:tc>
        <w:tc>
          <w:tcPr>
            <w:tcW w:w="646" w:type="pct"/>
          </w:tcPr>
          <w:p w14:paraId="2E0B545E">
            <w:pPr>
              <w:rPr>
                <w:rFonts w:asciiTheme="minorEastAsia" w:hAnsiTheme="minorEastAsia" w:eastAsiaTheme="minorEastAsia"/>
                <w:color w:val="auto"/>
                <w:sz w:val="24"/>
                <w:highlight w:val="none"/>
              </w:rPr>
            </w:pPr>
          </w:p>
        </w:tc>
        <w:tc>
          <w:tcPr>
            <w:tcW w:w="646" w:type="pct"/>
          </w:tcPr>
          <w:p w14:paraId="12566FC5">
            <w:pPr>
              <w:rPr>
                <w:rFonts w:asciiTheme="minorEastAsia" w:hAnsiTheme="minorEastAsia" w:eastAsiaTheme="minorEastAsia"/>
                <w:color w:val="auto"/>
                <w:sz w:val="24"/>
                <w:highlight w:val="none"/>
              </w:rPr>
            </w:pPr>
          </w:p>
        </w:tc>
        <w:tc>
          <w:tcPr>
            <w:tcW w:w="329" w:type="pct"/>
          </w:tcPr>
          <w:p w14:paraId="4A93186C">
            <w:pPr>
              <w:rPr>
                <w:rFonts w:asciiTheme="minorEastAsia" w:hAnsiTheme="minorEastAsia" w:eastAsiaTheme="minorEastAsia"/>
                <w:color w:val="auto"/>
                <w:sz w:val="24"/>
                <w:highlight w:val="none"/>
              </w:rPr>
            </w:pPr>
          </w:p>
        </w:tc>
        <w:tc>
          <w:tcPr>
            <w:tcW w:w="329" w:type="pct"/>
          </w:tcPr>
          <w:p w14:paraId="673383C2">
            <w:pPr>
              <w:rPr>
                <w:rFonts w:asciiTheme="minorEastAsia" w:hAnsiTheme="minorEastAsia" w:eastAsiaTheme="minorEastAsia"/>
                <w:color w:val="auto"/>
                <w:sz w:val="24"/>
                <w:highlight w:val="none"/>
              </w:rPr>
            </w:pPr>
          </w:p>
        </w:tc>
        <w:tc>
          <w:tcPr>
            <w:tcW w:w="460" w:type="pct"/>
          </w:tcPr>
          <w:p w14:paraId="64ACCE74">
            <w:pPr>
              <w:rPr>
                <w:rFonts w:asciiTheme="minorEastAsia" w:hAnsiTheme="minorEastAsia" w:eastAsiaTheme="minorEastAsia"/>
                <w:color w:val="auto"/>
                <w:sz w:val="24"/>
                <w:highlight w:val="none"/>
              </w:rPr>
            </w:pPr>
          </w:p>
        </w:tc>
        <w:tc>
          <w:tcPr>
            <w:tcW w:w="460" w:type="pct"/>
          </w:tcPr>
          <w:p w14:paraId="54BA589D">
            <w:pPr>
              <w:rPr>
                <w:rFonts w:asciiTheme="minorEastAsia" w:hAnsiTheme="minorEastAsia" w:eastAsiaTheme="minorEastAsia"/>
                <w:color w:val="auto"/>
                <w:sz w:val="24"/>
                <w:highlight w:val="none"/>
              </w:rPr>
            </w:pPr>
          </w:p>
        </w:tc>
        <w:tc>
          <w:tcPr>
            <w:tcW w:w="502" w:type="pct"/>
          </w:tcPr>
          <w:p w14:paraId="45E8F6FA">
            <w:pPr>
              <w:rPr>
                <w:rFonts w:asciiTheme="minorEastAsia" w:hAnsiTheme="minorEastAsia" w:eastAsiaTheme="minorEastAsia"/>
                <w:color w:val="auto"/>
                <w:sz w:val="24"/>
                <w:highlight w:val="none"/>
              </w:rPr>
            </w:pPr>
          </w:p>
        </w:tc>
      </w:tr>
    </w:tbl>
    <w:p w14:paraId="25E1E5E0">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auto"/>
          <w:sz w:val="24"/>
          <w:highlight w:val="none"/>
        </w:rPr>
      </w:pPr>
    </w:p>
    <w:p w14:paraId="4C7090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5-2服务部分</w:t>
      </w:r>
      <w:r>
        <w:rPr>
          <w:rFonts w:hint="eastAsia" w:ascii="宋体" w:hAnsi="宋体" w:eastAsia="宋体"/>
          <w:b/>
          <w:bCs/>
          <w:color w:val="auto"/>
          <w:sz w:val="24"/>
          <w:highlight w:val="none"/>
        </w:rPr>
        <w:t>（仅供参考，投标人可自行制作格式）</w:t>
      </w:r>
    </w:p>
    <w:tbl>
      <w:tblPr>
        <w:tblStyle w:val="24"/>
        <w:tblW w:w="42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785"/>
        <w:gridCol w:w="1626"/>
        <w:gridCol w:w="1674"/>
        <w:gridCol w:w="2269"/>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32" w:type="pct"/>
            <w:noWrap w:val="0"/>
            <w:vAlign w:val="center"/>
          </w:tcPr>
          <w:p w14:paraId="1CDA59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522" w:type="pct"/>
            <w:noWrap w:val="0"/>
            <w:vAlign w:val="center"/>
          </w:tcPr>
          <w:p w14:paraId="17CB7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服务内容</w:t>
            </w:r>
          </w:p>
        </w:tc>
        <w:tc>
          <w:tcPr>
            <w:tcW w:w="888" w:type="pct"/>
            <w:noWrap w:val="0"/>
            <w:vAlign w:val="center"/>
          </w:tcPr>
          <w:p w14:paraId="69CD1F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项</w:t>
            </w:r>
          </w:p>
        </w:tc>
        <w:tc>
          <w:tcPr>
            <w:tcW w:w="915" w:type="pct"/>
            <w:noWrap w:val="0"/>
            <w:vAlign w:val="center"/>
          </w:tcPr>
          <w:p w14:paraId="3C73F4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单价</w:t>
            </w:r>
          </w:p>
        </w:tc>
        <w:tc>
          <w:tcPr>
            <w:tcW w:w="1240" w:type="pct"/>
            <w:noWrap w:val="0"/>
            <w:vAlign w:val="center"/>
          </w:tcPr>
          <w:p w14:paraId="18231B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1522" w:type="pct"/>
            <w:noWrap w:val="0"/>
            <w:vAlign w:val="center"/>
          </w:tcPr>
          <w:p w14:paraId="176E8A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C5909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575AA4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60C54B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1D70D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1522" w:type="pct"/>
            <w:noWrap w:val="0"/>
            <w:vAlign w:val="center"/>
          </w:tcPr>
          <w:p w14:paraId="72BE93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6158F3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6122CB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560FF5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63730E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1522" w:type="pct"/>
            <w:noWrap w:val="0"/>
            <w:vAlign w:val="center"/>
          </w:tcPr>
          <w:p w14:paraId="666FC2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10A86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6D90EE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2087A3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7A4BB6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w:t>
            </w:r>
          </w:p>
        </w:tc>
        <w:tc>
          <w:tcPr>
            <w:tcW w:w="1522" w:type="pct"/>
            <w:noWrap w:val="0"/>
            <w:vAlign w:val="center"/>
          </w:tcPr>
          <w:p w14:paraId="1508F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DA9BC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3AC808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7CCB6A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759"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合计金额（元）</w:t>
            </w:r>
          </w:p>
        </w:tc>
        <w:tc>
          <w:tcPr>
            <w:tcW w:w="1240" w:type="pct"/>
            <w:noWrap w:val="0"/>
            <w:vAlign w:val="center"/>
          </w:tcPr>
          <w:p w14:paraId="500540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bl>
    <w:p w14:paraId="4ED42E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7C354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5-3 符合本国产品标准的产品成本之和占比</w:t>
      </w:r>
    </w:p>
    <w:tbl>
      <w:tblPr>
        <w:tblStyle w:val="25"/>
        <w:tblW w:w="9259" w:type="dxa"/>
        <w:tblInd w:w="7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5"/>
        <w:gridCol w:w="3524"/>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5735" w:type="dxa"/>
            <w:noWrap w:val="0"/>
            <w:vAlign w:val="top"/>
          </w:tcPr>
          <w:p w14:paraId="4DECA2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rPr>
              <w:t>本公司（单位）提供的符合本国产品标准的产品成本之和占提供的全部产品成本之和的比例</w:t>
            </w:r>
          </w:p>
        </w:tc>
        <w:tc>
          <w:tcPr>
            <w:tcW w:w="3524" w:type="dxa"/>
            <w:noWrap w:val="0"/>
            <w:vAlign w:val="top"/>
          </w:tcPr>
          <w:p w14:paraId="218CB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9" w:hRule="atLeast"/>
        </w:trPr>
        <w:tc>
          <w:tcPr>
            <w:tcW w:w="9259" w:type="dxa"/>
            <w:gridSpan w:val="2"/>
            <w:noWrap w:val="0"/>
            <w:vAlign w:val="top"/>
          </w:tcPr>
          <w:p w14:paraId="6902F0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提醒：</w:t>
            </w:r>
          </w:p>
          <w:p w14:paraId="4211CC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3.上表中全部产品成本之和是指表5-1和表5-2包含的全部货物、服务产品成本之和。</w:t>
            </w:r>
          </w:p>
        </w:tc>
      </w:tr>
    </w:tbl>
    <w:p w14:paraId="49EBF2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p w14:paraId="573429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CF331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A385FEA">
      <w:pPr>
        <w:adjustRightInd w:val="0"/>
        <w:snapToGrid w:val="0"/>
        <w:spacing w:line="360" w:lineRule="auto"/>
        <w:rPr>
          <w:rFonts w:asciiTheme="minorEastAsia" w:hAnsiTheme="minorEastAsia" w:eastAsiaTheme="minorEastAsia"/>
          <w:b/>
          <w:bCs/>
          <w:color w:val="auto"/>
          <w:sz w:val="24"/>
          <w:szCs w:val="28"/>
          <w:highlight w:val="none"/>
        </w:rPr>
      </w:pPr>
    </w:p>
    <w:p w14:paraId="26B2B5DB">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0A5FEFA3">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1.表5-1中须明确列出所投产品的货物名称、品牌、型号规格、原产地及生产厂商，否则可能导致投标无效。</w:t>
      </w:r>
    </w:p>
    <w:p w14:paraId="2E365664">
      <w:pPr>
        <w:spacing w:line="360" w:lineRule="auto"/>
        <w:ind w:firstLine="435"/>
        <w:rPr>
          <w:color w:val="auto"/>
          <w:highlight w:val="none"/>
        </w:rPr>
      </w:pPr>
      <w:r>
        <w:rPr>
          <w:rFonts w:hint="eastAsia" w:asciiTheme="minorEastAsia" w:hAnsiTheme="minorEastAsia" w:eastAsiaTheme="minorEastAsia"/>
          <w:color w:val="auto"/>
          <w:sz w:val="24"/>
          <w:highlight w:val="none"/>
          <w:lang w:val="en-US" w:eastAsia="zh-CN"/>
        </w:rPr>
        <w:t>2.上述报价为投标人完成本项目内容的全部费用（总报价为表5-1和表5-2合计金额之和），如有漏项或缺项，自行承担全部责任。</w:t>
      </w:r>
    </w:p>
    <w:p w14:paraId="3CE8B595">
      <w:pPr>
        <w:widowControl/>
        <w:jc w:val="left"/>
        <w:rPr>
          <w:rFonts w:asciiTheme="minorEastAsia" w:hAnsiTheme="minorEastAsia" w:eastAsiaTheme="minorEastAsia"/>
          <w:color w:val="auto"/>
          <w:sz w:val="24"/>
          <w:highlight w:val="none"/>
        </w:rPr>
        <w:sectPr>
          <w:footerReference r:id="rId9" w:type="default"/>
          <w:pgSz w:w="11906" w:h="16838"/>
          <w:pgMar w:top="794" w:right="737" w:bottom="794" w:left="737" w:header="851" w:footer="992" w:gutter="0"/>
          <w:pgNumType w:fmt="decimal" w:start="52"/>
          <w:cols w:space="0" w:num="1"/>
          <w:rtlGutter w:val="0"/>
          <w:docGrid w:type="lines" w:linePitch="312" w:charSpace="0"/>
        </w:sectPr>
      </w:pPr>
    </w:p>
    <w:p w14:paraId="75DF3925">
      <w:pPr>
        <w:spacing w:line="360" w:lineRule="auto"/>
        <w:jc w:val="center"/>
        <w:outlineLvl w:val="1"/>
        <w:rPr>
          <w:rFonts w:asciiTheme="minorEastAsia" w:hAnsiTheme="minorEastAsia" w:eastAsiaTheme="minorEastAsia"/>
          <w:b/>
          <w:color w:val="auto"/>
          <w:sz w:val="24"/>
          <w:highlight w:val="none"/>
        </w:rPr>
      </w:pPr>
      <w:bookmarkStart w:id="62" w:name="_Toc11940"/>
      <w:bookmarkStart w:id="63" w:name="_Toc20329"/>
      <w:r>
        <w:rPr>
          <w:rFonts w:hint="eastAsia" w:asciiTheme="minorEastAsia" w:hAnsiTheme="minorEastAsia" w:eastAsiaTheme="minorEastAsia"/>
          <w:b/>
          <w:color w:val="auto"/>
          <w:sz w:val="24"/>
          <w:highlight w:val="none"/>
        </w:rPr>
        <w:t>六、投标响应表</w:t>
      </w:r>
      <w:bookmarkEnd w:id="62"/>
      <w:bookmarkEnd w:id="63"/>
    </w:p>
    <w:p w14:paraId="0314C2E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65CE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77BEE478">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3FC3ECB5">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02A945FF">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21D85E56">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67F7B5FA">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6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B6A4D4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1E905FFA">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91C3051">
            <w:pPr>
              <w:jc w:val="center"/>
              <w:rPr>
                <w:rFonts w:asciiTheme="minorEastAsia" w:hAnsiTheme="minorEastAsia" w:eastAsiaTheme="minorEastAsia"/>
                <w:color w:val="auto"/>
                <w:sz w:val="24"/>
                <w:highlight w:val="none"/>
              </w:rPr>
            </w:pPr>
          </w:p>
        </w:tc>
        <w:tc>
          <w:tcPr>
            <w:tcW w:w="2575" w:type="dxa"/>
            <w:vAlign w:val="center"/>
          </w:tcPr>
          <w:p w14:paraId="1893F8F1">
            <w:pPr>
              <w:jc w:val="center"/>
              <w:rPr>
                <w:rFonts w:asciiTheme="minorEastAsia" w:hAnsiTheme="minorEastAsia" w:eastAsiaTheme="minorEastAsia"/>
                <w:color w:val="auto"/>
                <w:sz w:val="24"/>
                <w:highlight w:val="none"/>
              </w:rPr>
            </w:pPr>
          </w:p>
        </w:tc>
        <w:tc>
          <w:tcPr>
            <w:tcW w:w="810" w:type="dxa"/>
            <w:vAlign w:val="center"/>
          </w:tcPr>
          <w:p w14:paraId="53A314F5">
            <w:pPr>
              <w:jc w:val="center"/>
              <w:rPr>
                <w:rFonts w:asciiTheme="minorEastAsia" w:hAnsiTheme="minorEastAsia" w:eastAsiaTheme="minorEastAsia"/>
                <w:color w:val="auto"/>
                <w:sz w:val="24"/>
                <w:highlight w:val="none"/>
              </w:rPr>
            </w:pPr>
          </w:p>
        </w:tc>
      </w:tr>
      <w:tr w14:paraId="5F55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423152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7DD45603">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5F27BD79">
            <w:pPr>
              <w:jc w:val="center"/>
              <w:rPr>
                <w:rFonts w:asciiTheme="minorEastAsia" w:hAnsiTheme="minorEastAsia" w:eastAsiaTheme="minorEastAsia"/>
                <w:color w:val="auto"/>
                <w:sz w:val="24"/>
                <w:highlight w:val="none"/>
              </w:rPr>
            </w:pPr>
          </w:p>
        </w:tc>
        <w:tc>
          <w:tcPr>
            <w:tcW w:w="2575" w:type="dxa"/>
            <w:vAlign w:val="center"/>
          </w:tcPr>
          <w:p w14:paraId="125BC0AC">
            <w:pPr>
              <w:jc w:val="center"/>
              <w:rPr>
                <w:rFonts w:asciiTheme="minorEastAsia" w:hAnsiTheme="minorEastAsia" w:eastAsiaTheme="minorEastAsia"/>
                <w:color w:val="auto"/>
                <w:sz w:val="24"/>
                <w:highlight w:val="none"/>
              </w:rPr>
            </w:pPr>
          </w:p>
        </w:tc>
        <w:tc>
          <w:tcPr>
            <w:tcW w:w="810" w:type="dxa"/>
            <w:vAlign w:val="center"/>
          </w:tcPr>
          <w:p w14:paraId="3CA1DA36">
            <w:pPr>
              <w:jc w:val="center"/>
              <w:rPr>
                <w:rFonts w:asciiTheme="minorEastAsia" w:hAnsiTheme="minorEastAsia" w:eastAsiaTheme="minorEastAsia"/>
                <w:color w:val="auto"/>
                <w:sz w:val="24"/>
                <w:highlight w:val="none"/>
              </w:rPr>
            </w:pPr>
          </w:p>
        </w:tc>
      </w:tr>
      <w:tr w14:paraId="74AA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47AC7F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5A31A65E">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181474CD">
            <w:pPr>
              <w:jc w:val="center"/>
              <w:rPr>
                <w:rFonts w:asciiTheme="minorEastAsia" w:hAnsiTheme="minorEastAsia" w:eastAsiaTheme="minorEastAsia"/>
                <w:color w:val="auto"/>
                <w:sz w:val="24"/>
                <w:highlight w:val="none"/>
              </w:rPr>
            </w:pPr>
          </w:p>
        </w:tc>
        <w:tc>
          <w:tcPr>
            <w:tcW w:w="2575" w:type="dxa"/>
            <w:vAlign w:val="center"/>
          </w:tcPr>
          <w:p w14:paraId="552F4CA1">
            <w:pPr>
              <w:pStyle w:val="53"/>
              <w:jc w:val="center"/>
              <w:rPr>
                <w:rFonts w:asciiTheme="minorEastAsia" w:hAnsiTheme="minorEastAsia" w:eastAsiaTheme="minorEastAsia"/>
                <w:color w:val="auto"/>
                <w:highlight w:val="none"/>
              </w:rPr>
            </w:pPr>
          </w:p>
        </w:tc>
        <w:tc>
          <w:tcPr>
            <w:tcW w:w="810" w:type="dxa"/>
            <w:vAlign w:val="center"/>
          </w:tcPr>
          <w:p w14:paraId="363A83AF">
            <w:pPr>
              <w:jc w:val="center"/>
              <w:rPr>
                <w:rFonts w:asciiTheme="minorEastAsia" w:hAnsiTheme="minorEastAsia" w:eastAsiaTheme="minorEastAsia"/>
                <w:color w:val="auto"/>
                <w:sz w:val="24"/>
                <w:highlight w:val="none"/>
              </w:rPr>
            </w:pPr>
          </w:p>
        </w:tc>
      </w:tr>
      <w:tr w14:paraId="2717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146A5D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2E9CD69D">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44142B3E">
            <w:pPr>
              <w:jc w:val="center"/>
              <w:rPr>
                <w:rFonts w:asciiTheme="minorEastAsia" w:hAnsiTheme="minorEastAsia" w:eastAsiaTheme="minorEastAsia"/>
                <w:color w:val="auto"/>
                <w:sz w:val="24"/>
                <w:highlight w:val="none"/>
              </w:rPr>
            </w:pPr>
          </w:p>
        </w:tc>
        <w:tc>
          <w:tcPr>
            <w:tcW w:w="2575" w:type="dxa"/>
            <w:vAlign w:val="center"/>
          </w:tcPr>
          <w:p w14:paraId="2D3EC31B">
            <w:pPr>
              <w:jc w:val="center"/>
              <w:rPr>
                <w:rFonts w:asciiTheme="minorEastAsia" w:hAnsiTheme="minorEastAsia" w:eastAsiaTheme="minorEastAsia"/>
                <w:color w:val="auto"/>
                <w:sz w:val="24"/>
                <w:highlight w:val="none"/>
              </w:rPr>
            </w:pPr>
          </w:p>
        </w:tc>
        <w:tc>
          <w:tcPr>
            <w:tcW w:w="810" w:type="dxa"/>
            <w:vAlign w:val="center"/>
          </w:tcPr>
          <w:p w14:paraId="2DBE295C">
            <w:pPr>
              <w:jc w:val="center"/>
              <w:rPr>
                <w:rFonts w:asciiTheme="minorEastAsia" w:hAnsiTheme="minorEastAsia" w:eastAsiaTheme="minorEastAsia"/>
                <w:color w:val="auto"/>
                <w:sz w:val="24"/>
                <w:highlight w:val="none"/>
              </w:rPr>
            </w:pPr>
          </w:p>
        </w:tc>
      </w:tr>
      <w:tr w14:paraId="5A8D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B8547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0675331E">
            <w:pPr>
              <w:jc w:val="center"/>
              <w:rPr>
                <w:rFonts w:ascii="宋体" w:hAnsi="宋体" w:eastAsia="宋体"/>
                <w:color w:val="auto"/>
                <w:sz w:val="24"/>
                <w:highlight w:val="none"/>
              </w:rPr>
            </w:pPr>
          </w:p>
        </w:tc>
        <w:tc>
          <w:tcPr>
            <w:tcW w:w="2498" w:type="dxa"/>
            <w:vAlign w:val="center"/>
          </w:tcPr>
          <w:p w14:paraId="7C1B3370">
            <w:pPr>
              <w:jc w:val="center"/>
              <w:rPr>
                <w:rFonts w:asciiTheme="minorEastAsia" w:hAnsiTheme="minorEastAsia" w:eastAsiaTheme="minorEastAsia"/>
                <w:color w:val="auto"/>
                <w:sz w:val="24"/>
                <w:highlight w:val="none"/>
              </w:rPr>
            </w:pPr>
          </w:p>
        </w:tc>
        <w:tc>
          <w:tcPr>
            <w:tcW w:w="2575" w:type="dxa"/>
            <w:vAlign w:val="center"/>
          </w:tcPr>
          <w:p w14:paraId="48F643BE">
            <w:pPr>
              <w:jc w:val="center"/>
              <w:rPr>
                <w:rFonts w:asciiTheme="minorEastAsia" w:hAnsiTheme="minorEastAsia" w:eastAsiaTheme="minorEastAsia"/>
                <w:color w:val="auto"/>
                <w:sz w:val="24"/>
                <w:highlight w:val="none"/>
              </w:rPr>
            </w:pPr>
          </w:p>
        </w:tc>
        <w:tc>
          <w:tcPr>
            <w:tcW w:w="810" w:type="dxa"/>
            <w:vAlign w:val="center"/>
          </w:tcPr>
          <w:p w14:paraId="7611BCBD">
            <w:pPr>
              <w:jc w:val="center"/>
              <w:rPr>
                <w:rFonts w:asciiTheme="minorEastAsia" w:hAnsiTheme="minorEastAsia" w:eastAsiaTheme="minorEastAsia"/>
                <w:color w:val="auto"/>
                <w:sz w:val="24"/>
                <w:highlight w:val="none"/>
              </w:rPr>
            </w:pPr>
          </w:p>
        </w:tc>
      </w:tr>
    </w:tbl>
    <w:p w14:paraId="4DF14DF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3D69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jc w:val="center"/>
        </w:trPr>
        <w:tc>
          <w:tcPr>
            <w:tcW w:w="760" w:type="dxa"/>
            <w:vAlign w:val="center"/>
          </w:tcPr>
          <w:p w14:paraId="43568691">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7D70882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35F14CD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3120DC48">
            <w:pPr>
              <w:pStyle w:val="11"/>
              <w:jc w:val="center"/>
              <w:rPr>
                <w:rFonts w:hint="eastAsia" w:cs="Wingdings" w:asciiTheme="minorEastAsia" w:hAnsiTheme="minorEastAsia" w:eastAsiaTheme="minorEastAsia"/>
                <w:b/>
                <w:color w:val="auto"/>
                <w:sz w:val="24"/>
                <w:highlight w:val="none"/>
                <w:lang w:eastAsia="zh-CN"/>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3D9CAAD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605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960EBA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2E720AA8">
            <w:pPr>
              <w:jc w:val="center"/>
              <w:rPr>
                <w:rFonts w:asciiTheme="minorEastAsia" w:hAnsiTheme="minorEastAsia" w:eastAsiaTheme="minorEastAsia"/>
                <w:color w:val="auto"/>
                <w:sz w:val="24"/>
                <w:highlight w:val="none"/>
              </w:rPr>
            </w:pPr>
          </w:p>
        </w:tc>
        <w:tc>
          <w:tcPr>
            <w:tcW w:w="2864" w:type="dxa"/>
            <w:vAlign w:val="center"/>
          </w:tcPr>
          <w:p w14:paraId="1F57561D">
            <w:pPr>
              <w:jc w:val="center"/>
              <w:rPr>
                <w:rFonts w:asciiTheme="minorEastAsia" w:hAnsiTheme="minorEastAsia" w:eastAsiaTheme="minorEastAsia"/>
                <w:color w:val="auto"/>
                <w:sz w:val="24"/>
                <w:highlight w:val="none"/>
              </w:rPr>
            </w:pPr>
          </w:p>
        </w:tc>
        <w:tc>
          <w:tcPr>
            <w:tcW w:w="2482" w:type="dxa"/>
            <w:vAlign w:val="center"/>
          </w:tcPr>
          <w:p w14:paraId="27FCC337">
            <w:pPr>
              <w:jc w:val="center"/>
              <w:rPr>
                <w:rFonts w:asciiTheme="minorEastAsia" w:hAnsiTheme="minorEastAsia" w:eastAsiaTheme="minorEastAsia"/>
                <w:color w:val="auto"/>
                <w:sz w:val="24"/>
                <w:highlight w:val="none"/>
              </w:rPr>
            </w:pPr>
          </w:p>
        </w:tc>
        <w:tc>
          <w:tcPr>
            <w:tcW w:w="856" w:type="dxa"/>
            <w:vAlign w:val="center"/>
          </w:tcPr>
          <w:p w14:paraId="7D9FD9BE">
            <w:pPr>
              <w:jc w:val="center"/>
              <w:rPr>
                <w:rFonts w:asciiTheme="minorEastAsia" w:hAnsiTheme="minorEastAsia" w:eastAsiaTheme="minorEastAsia"/>
                <w:color w:val="auto"/>
                <w:sz w:val="24"/>
                <w:highlight w:val="none"/>
              </w:rPr>
            </w:pPr>
          </w:p>
        </w:tc>
      </w:tr>
      <w:tr w14:paraId="0CF5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6701497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19E7792A">
            <w:pPr>
              <w:jc w:val="center"/>
              <w:rPr>
                <w:rFonts w:asciiTheme="minorEastAsia" w:hAnsiTheme="minorEastAsia" w:eastAsiaTheme="minorEastAsia"/>
                <w:color w:val="auto"/>
                <w:sz w:val="24"/>
                <w:highlight w:val="none"/>
              </w:rPr>
            </w:pPr>
          </w:p>
        </w:tc>
        <w:tc>
          <w:tcPr>
            <w:tcW w:w="2864" w:type="dxa"/>
            <w:vAlign w:val="center"/>
          </w:tcPr>
          <w:p w14:paraId="35511514">
            <w:pPr>
              <w:jc w:val="center"/>
              <w:rPr>
                <w:rFonts w:asciiTheme="minorEastAsia" w:hAnsiTheme="minorEastAsia" w:eastAsiaTheme="minorEastAsia"/>
                <w:color w:val="auto"/>
                <w:sz w:val="24"/>
                <w:highlight w:val="none"/>
              </w:rPr>
            </w:pPr>
          </w:p>
        </w:tc>
        <w:tc>
          <w:tcPr>
            <w:tcW w:w="2482" w:type="dxa"/>
            <w:vAlign w:val="center"/>
          </w:tcPr>
          <w:p w14:paraId="39F4D749">
            <w:pPr>
              <w:jc w:val="center"/>
              <w:rPr>
                <w:rFonts w:asciiTheme="minorEastAsia" w:hAnsiTheme="minorEastAsia" w:eastAsiaTheme="minorEastAsia"/>
                <w:color w:val="auto"/>
                <w:sz w:val="24"/>
                <w:highlight w:val="none"/>
              </w:rPr>
            </w:pPr>
          </w:p>
        </w:tc>
        <w:tc>
          <w:tcPr>
            <w:tcW w:w="856" w:type="dxa"/>
            <w:vAlign w:val="center"/>
          </w:tcPr>
          <w:p w14:paraId="5B04DD9B">
            <w:pPr>
              <w:jc w:val="center"/>
              <w:rPr>
                <w:rFonts w:asciiTheme="minorEastAsia" w:hAnsiTheme="minorEastAsia" w:eastAsiaTheme="minorEastAsia"/>
                <w:color w:val="auto"/>
                <w:sz w:val="24"/>
                <w:highlight w:val="none"/>
              </w:rPr>
            </w:pPr>
          </w:p>
        </w:tc>
      </w:tr>
      <w:tr w14:paraId="7847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0A5E8F3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487D6518">
            <w:pPr>
              <w:jc w:val="center"/>
              <w:rPr>
                <w:rFonts w:asciiTheme="minorEastAsia" w:hAnsiTheme="minorEastAsia" w:eastAsiaTheme="minorEastAsia"/>
                <w:color w:val="auto"/>
                <w:sz w:val="24"/>
                <w:highlight w:val="none"/>
              </w:rPr>
            </w:pPr>
          </w:p>
        </w:tc>
        <w:tc>
          <w:tcPr>
            <w:tcW w:w="2864" w:type="dxa"/>
            <w:vAlign w:val="center"/>
          </w:tcPr>
          <w:p w14:paraId="2E65BC85">
            <w:pPr>
              <w:jc w:val="center"/>
              <w:rPr>
                <w:rFonts w:asciiTheme="minorEastAsia" w:hAnsiTheme="minorEastAsia" w:eastAsiaTheme="minorEastAsia"/>
                <w:color w:val="auto"/>
                <w:sz w:val="24"/>
                <w:highlight w:val="none"/>
              </w:rPr>
            </w:pPr>
          </w:p>
        </w:tc>
        <w:tc>
          <w:tcPr>
            <w:tcW w:w="2482" w:type="dxa"/>
            <w:vAlign w:val="center"/>
          </w:tcPr>
          <w:p w14:paraId="12126722">
            <w:pPr>
              <w:pStyle w:val="53"/>
              <w:jc w:val="center"/>
              <w:rPr>
                <w:rFonts w:asciiTheme="minorEastAsia" w:hAnsiTheme="minorEastAsia" w:eastAsiaTheme="minorEastAsia"/>
                <w:color w:val="auto"/>
                <w:highlight w:val="none"/>
              </w:rPr>
            </w:pPr>
          </w:p>
        </w:tc>
        <w:tc>
          <w:tcPr>
            <w:tcW w:w="856" w:type="dxa"/>
            <w:vAlign w:val="center"/>
          </w:tcPr>
          <w:p w14:paraId="3DFB1190">
            <w:pPr>
              <w:jc w:val="center"/>
              <w:rPr>
                <w:rFonts w:asciiTheme="minorEastAsia" w:hAnsiTheme="minorEastAsia" w:eastAsiaTheme="minorEastAsia"/>
                <w:color w:val="auto"/>
                <w:sz w:val="24"/>
                <w:highlight w:val="none"/>
              </w:rPr>
            </w:pPr>
          </w:p>
        </w:tc>
      </w:tr>
      <w:tr w14:paraId="608E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583B0D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7861C18F">
            <w:pPr>
              <w:jc w:val="center"/>
              <w:rPr>
                <w:rFonts w:asciiTheme="minorEastAsia" w:hAnsiTheme="minorEastAsia" w:eastAsiaTheme="minorEastAsia"/>
                <w:color w:val="auto"/>
                <w:sz w:val="24"/>
                <w:highlight w:val="none"/>
              </w:rPr>
            </w:pPr>
          </w:p>
        </w:tc>
        <w:tc>
          <w:tcPr>
            <w:tcW w:w="2864" w:type="dxa"/>
            <w:vAlign w:val="center"/>
          </w:tcPr>
          <w:p w14:paraId="764F2D52">
            <w:pPr>
              <w:jc w:val="center"/>
              <w:rPr>
                <w:rFonts w:asciiTheme="minorEastAsia" w:hAnsiTheme="minorEastAsia" w:eastAsiaTheme="minorEastAsia"/>
                <w:color w:val="auto"/>
                <w:sz w:val="24"/>
                <w:highlight w:val="none"/>
              </w:rPr>
            </w:pPr>
          </w:p>
        </w:tc>
        <w:tc>
          <w:tcPr>
            <w:tcW w:w="2482" w:type="dxa"/>
            <w:vAlign w:val="center"/>
          </w:tcPr>
          <w:p w14:paraId="412E27D3">
            <w:pPr>
              <w:pStyle w:val="53"/>
              <w:jc w:val="center"/>
              <w:rPr>
                <w:rFonts w:asciiTheme="minorEastAsia" w:hAnsiTheme="minorEastAsia" w:eastAsiaTheme="minorEastAsia"/>
                <w:color w:val="auto"/>
                <w:highlight w:val="none"/>
              </w:rPr>
            </w:pPr>
          </w:p>
        </w:tc>
        <w:tc>
          <w:tcPr>
            <w:tcW w:w="856" w:type="dxa"/>
            <w:vAlign w:val="center"/>
          </w:tcPr>
          <w:p w14:paraId="30B4C7B8">
            <w:pPr>
              <w:jc w:val="center"/>
              <w:rPr>
                <w:rFonts w:asciiTheme="minorEastAsia" w:hAnsiTheme="minorEastAsia" w:eastAsiaTheme="minorEastAsia"/>
                <w:color w:val="auto"/>
                <w:sz w:val="24"/>
                <w:highlight w:val="none"/>
              </w:rPr>
            </w:pPr>
          </w:p>
        </w:tc>
      </w:tr>
      <w:tr w14:paraId="7378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43861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1BC98D7B">
            <w:pPr>
              <w:jc w:val="center"/>
              <w:rPr>
                <w:rFonts w:asciiTheme="minorEastAsia" w:hAnsiTheme="minorEastAsia" w:eastAsiaTheme="minorEastAsia"/>
                <w:color w:val="auto"/>
                <w:sz w:val="24"/>
                <w:highlight w:val="none"/>
              </w:rPr>
            </w:pPr>
          </w:p>
        </w:tc>
        <w:tc>
          <w:tcPr>
            <w:tcW w:w="2864" w:type="dxa"/>
            <w:vAlign w:val="center"/>
          </w:tcPr>
          <w:p w14:paraId="6CB9F361">
            <w:pPr>
              <w:jc w:val="center"/>
              <w:rPr>
                <w:rFonts w:asciiTheme="minorEastAsia" w:hAnsiTheme="minorEastAsia" w:eastAsiaTheme="minorEastAsia"/>
                <w:color w:val="auto"/>
                <w:sz w:val="24"/>
                <w:highlight w:val="none"/>
              </w:rPr>
            </w:pPr>
          </w:p>
        </w:tc>
        <w:tc>
          <w:tcPr>
            <w:tcW w:w="2482" w:type="dxa"/>
            <w:vAlign w:val="center"/>
          </w:tcPr>
          <w:p w14:paraId="30921570">
            <w:pPr>
              <w:jc w:val="center"/>
              <w:rPr>
                <w:rFonts w:asciiTheme="minorEastAsia" w:hAnsiTheme="minorEastAsia" w:eastAsiaTheme="minorEastAsia"/>
                <w:color w:val="auto"/>
                <w:sz w:val="24"/>
                <w:highlight w:val="none"/>
              </w:rPr>
            </w:pPr>
          </w:p>
        </w:tc>
        <w:tc>
          <w:tcPr>
            <w:tcW w:w="856" w:type="dxa"/>
            <w:vAlign w:val="center"/>
          </w:tcPr>
          <w:p w14:paraId="441A7D76">
            <w:pPr>
              <w:jc w:val="center"/>
              <w:rPr>
                <w:rFonts w:asciiTheme="minorEastAsia" w:hAnsiTheme="minorEastAsia" w:eastAsiaTheme="minorEastAsia"/>
                <w:color w:val="auto"/>
                <w:sz w:val="24"/>
                <w:highlight w:val="none"/>
              </w:rPr>
            </w:pPr>
          </w:p>
        </w:tc>
      </w:tr>
    </w:tbl>
    <w:p w14:paraId="63776BBD">
      <w:pPr>
        <w:widowControl/>
        <w:jc w:val="left"/>
        <w:rPr>
          <w:color w:val="auto"/>
          <w:highlight w:val="none"/>
        </w:rPr>
      </w:pPr>
    </w:p>
    <w:p w14:paraId="47161775">
      <w:pPr>
        <w:spacing w:line="360" w:lineRule="auto"/>
        <w:ind w:firstLine="4800" w:firstLineChars="2000"/>
        <w:rPr>
          <w:rFonts w:ascii="宋体" w:hAnsi="宋体" w:eastAsia="宋体"/>
          <w:color w:val="auto"/>
          <w:sz w:val="24"/>
          <w:highlight w:val="none"/>
        </w:rPr>
      </w:pPr>
    </w:p>
    <w:p w14:paraId="4237C63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2E5008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6DDF7F0">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767C813E">
      <w:pPr>
        <w:spacing w:line="360" w:lineRule="auto"/>
        <w:jc w:val="center"/>
        <w:outlineLvl w:val="1"/>
        <w:rPr>
          <w:rFonts w:asciiTheme="minorEastAsia" w:hAnsiTheme="minorEastAsia" w:eastAsiaTheme="minorEastAsia"/>
          <w:b/>
          <w:color w:val="auto"/>
          <w:sz w:val="24"/>
          <w:highlight w:val="none"/>
        </w:rPr>
      </w:pPr>
      <w:bookmarkStart w:id="64" w:name="_Toc31244"/>
      <w:bookmarkStart w:id="65" w:name="_Toc9573"/>
      <w:bookmarkStart w:id="66" w:name="OLE_LINK14"/>
      <w:bookmarkStart w:id="67" w:name="OLE_LINK13"/>
      <w:r>
        <w:rPr>
          <w:rFonts w:hint="eastAsia" w:asciiTheme="minorEastAsia" w:hAnsiTheme="minorEastAsia" w:eastAsiaTheme="minorEastAsia"/>
          <w:b/>
          <w:color w:val="auto"/>
          <w:sz w:val="24"/>
          <w:highlight w:val="none"/>
        </w:rPr>
        <w:t>七、中小企业声明函</w:t>
      </w:r>
      <w:bookmarkEnd w:id="64"/>
      <w:bookmarkEnd w:id="65"/>
    </w:p>
    <w:p w14:paraId="7007152C">
      <w:pPr>
        <w:pStyle w:val="8"/>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w:t>
      </w:r>
      <w:r>
        <w:rPr>
          <w:rFonts w:hint="eastAsia" w:ascii="宋体" w:hAnsi="宋体" w:eastAsia="宋体"/>
          <w:i/>
          <w:color w:val="auto"/>
          <w:sz w:val="24"/>
          <w:highlight w:val="none"/>
        </w:rPr>
        <w:t>非中小企业投标</w:t>
      </w:r>
      <w:r>
        <w:rPr>
          <w:rFonts w:hint="eastAsia" w:ascii="宋体" w:hAnsi="宋体" w:eastAsia="宋体"/>
          <w:i/>
          <w:color w:val="auto"/>
          <w:sz w:val="24"/>
          <w:highlight w:val="none"/>
          <w:lang w:val="en-US"/>
        </w:rPr>
        <w:t>，不需此件，请删去“中小企业声明函”）</w:t>
      </w:r>
    </w:p>
    <w:p w14:paraId="74A89C36">
      <w:pPr>
        <w:rPr>
          <w:rFonts w:asciiTheme="minorEastAsia" w:hAnsiTheme="minorEastAsia" w:eastAsiaTheme="minorEastAsia"/>
          <w:color w:val="auto"/>
          <w:sz w:val="24"/>
          <w:szCs w:val="24"/>
          <w:highlight w:val="none"/>
        </w:rPr>
      </w:pPr>
    </w:p>
    <w:p w14:paraId="78DC0FD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eastAsia="zh-CN"/>
        </w:rPr>
        <w:t>蚌埠医科大学第一附属医院</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eastAsia="zh-CN"/>
        </w:rPr>
        <w:t>浙江大学医学院附属第二医院安徽医院（肿瘤）项目消化内镜洗消工作站及追溯系统采购项目</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64173D8">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4DA377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86B045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2C07BD7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77EA73F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067B77E3">
      <w:pPr>
        <w:spacing w:line="360" w:lineRule="auto"/>
        <w:ind w:firstLine="435"/>
        <w:rPr>
          <w:rFonts w:asciiTheme="minorEastAsia" w:hAnsiTheme="minorEastAsia" w:eastAsiaTheme="minorEastAsia"/>
          <w:color w:val="auto"/>
          <w:sz w:val="24"/>
          <w:szCs w:val="24"/>
          <w:highlight w:val="none"/>
        </w:rPr>
      </w:pPr>
    </w:p>
    <w:p w14:paraId="74F169F7">
      <w:pPr>
        <w:spacing w:line="360" w:lineRule="auto"/>
        <w:ind w:firstLine="435"/>
        <w:rPr>
          <w:rFonts w:asciiTheme="minorEastAsia" w:hAnsiTheme="minorEastAsia" w:eastAsiaTheme="minorEastAsia"/>
          <w:color w:val="auto"/>
          <w:sz w:val="24"/>
          <w:szCs w:val="24"/>
          <w:highlight w:val="none"/>
        </w:rPr>
      </w:pPr>
    </w:p>
    <w:p w14:paraId="5674717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3F234214">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437E55B">
      <w:pPr>
        <w:tabs>
          <w:tab w:val="left" w:pos="4620"/>
        </w:tabs>
        <w:spacing w:line="360" w:lineRule="auto"/>
        <w:jc w:val="left"/>
        <w:rPr>
          <w:rFonts w:asciiTheme="minorEastAsia" w:hAnsiTheme="minorEastAsia" w:eastAsiaTheme="minorEastAsia"/>
          <w:color w:val="auto"/>
          <w:sz w:val="24"/>
          <w:szCs w:val="24"/>
          <w:highlight w:val="none"/>
        </w:rPr>
      </w:pPr>
    </w:p>
    <w:p w14:paraId="50CCDB64">
      <w:pPr>
        <w:tabs>
          <w:tab w:val="left" w:pos="4620"/>
        </w:tabs>
        <w:spacing w:line="360" w:lineRule="auto"/>
        <w:jc w:val="left"/>
        <w:rPr>
          <w:rFonts w:asciiTheme="minorEastAsia" w:hAnsiTheme="minorEastAsia" w:eastAsiaTheme="minorEastAsia"/>
          <w:color w:val="auto"/>
          <w:sz w:val="24"/>
          <w:szCs w:val="24"/>
          <w:highlight w:val="none"/>
        </w:rPr>
      </w:pPr>
    </w:p>
    <w:p w14:paraId="621A7323">
      <w:pPr>
        <w:tabs>
          <w:tab w:val="left" w:pos="4620"/>
        </w:tabs>
        <w:spacing w:line="360" w:lineRule="auto"/>
        <w:jc w:val="left"/>
        <w:rPr>
          <w:rFonts w:asciiTheme="minorEastAsia" w:hAnsiTheme="minorEastAsia" w:eastAsiaTheme="minorEastAsia"/>
          <w:color w:val="auto"/>
          <w:sz w:val="24"/>
          <w:szCs w:val="24"/>
          <w:highlight w:val="none"/>
        </w:rPr>
      </w:pPr>
    </w:p>
    <w:p w14:paraId="7493D48A">
      <w:pPr>
        <w:tabs>
          <w:tab w:val="left" w:pos="4620"/>
        </w:tabs>
        <w:spacing w:line="360" w:lineRule="auto"/>
        <w:jc w:val="left"/>
        <w:rPr>
          <w:rFonts w:asciiTheme="minorEastAsia" w:hAnsiTheme="minorEastAsia" w:eastAsiaTheme="minorEastAsia"/>
          <w:color w:val="auto"/>
          <w:sz w:val="24"/>
          <w:szCs w:val="24"/>
          <w:highlight w:val="none"/>
        </w:rPr>
      </w:pPr>
    </w:p>
    <w:p w14:paraId="0CDFB87B">
      <w:pPr>
        <w:tabs>
          <w:tab w:val="left" w:pos="4620"/>
        </w:tabs>
        <w:spacing w:line="360" w:lineRule="auto"/>
        <w:jc w:val="left"/>
        <w:rPr>
          <w:rFonts w:asciiTheme="minorEastAsia" w:hAnsiTheme="minorEastAsia" w:eastAsiaTheme="minorEastAsia"/>
          <w:color w:val="auto"/>
          <w:sz w:val="24"/>
          <w:szCs w:val="24"/>
          <w:highlight w:val="none"/>
        </w:rPr>
      </w:pPr>
    </w:p>
    <w:p w14:paraId="08F15CCA">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628EEA3E">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63B93C3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7B46555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19F989F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58140F5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E441809">
      <w:pPr>
        <w:rPr>
          <w:rFonts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66"/>
      <w:bookmarkEnd w:id="67"/>
    </w:p>
    <w:p w14:paraId="5EDB37A3">
      <w:pPr>
        <w:spacing w:line="360" w:lineRule="auto"/>
        <w:jc w:val="center"/>
        <w:outlineLvl w:val="1"/>
        <w:rPr>
          <w:rFonts w:asciiTheme="minorEastAsia" w:hAnsiTheme="minorEastAsia" w:eastAsiaTheme="minorEastAsia"/>
          <w:b/>
          <w:color w:val="auto"/>
          <w:sz w:val="24"/>
          <w:highlight w:val="none"/>
        </w:rPr>
      </w:pPr>
      <w:bookmarkStart w:id="68" w:name="_Toc24563"/>
      <w:bookmarkStart w:id="69" w:name="_Toc16713"/>
      <w:r>
        <w:rPr>
          <w:rFonts w:hint="eastAsia" w:asciiTheme="minorEastAsia" w:hAnsiTheme="minorEastAsia" w:eastAsiaTheme="minorEastAsia"/>
          <w:b/>
          <w:color w:val="auto"/>
          <w:sz w:val="24"/>
          <w:highlight w:val="none"/>
        </w:rPr>
        <w:t>八、残疾人福利性单位声明函</w:t>
      </w:r>
      <w:bookmarkEnd w:id="68"/>
      <w:bookmarkEnd w:id="69"/>
    </w:p>
    <w:p w14:paraId="220C672C">
      <w:pPr>
        <w:pStyle w:val="8"/>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（非残疾人福利性单位投标，请删去“残疾人福利性单位声明函”）</w:t>
      </w:r>
    </w:p>
    <w:p w14:paraId="60F0D7F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084D369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E723060">
      <w:pPr>
        <w:spacing w:line="360" w:lineRule="auto"/>
        <w:ind w:firstLine="4228" w:firstLineChars="1762"/>
        <w:rPr>
          <w:rFonts w:asciiTheme="minorEastAsia" w:hAnsiTheme="minorEastAsia" w:eastAsiaTheme="minorEastAsia"/>
          <w:color w:val="auto"/>
          <w:sz w:val="24"/>
          <w:szCs w:val="24"/>
          <w:highlight w:val="none"/>
        </w:rPr>
      </w:pPr>
    </w:p>
    <w:p w14:paraId="6F44D446">
      <w:pPr>
        <w:spacing w:line="360" w:lineRule="auto"/>
        <w:ind w:firstLine="4228" w:firstLineChars="1762"/>
        <w:rPr>
          <w:rFonts w:asciiTheme="minorEastAsia" w:hAnsiTheme="minorEastAsia" w:eastAsiaTheme="minorEastAsia"/>
          <w:color w:val="auto"/>
          <w:sz w:val="24"/>
          <w:szCs w:val="24"/>
          <w:highlight w:val="none"/>
        </w:rPr>
      </w:pPr>
    </w:p>
    <w:p w14:paraId="66BFC06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47D68A0">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3BBD6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r>
        <w:rPr>
          <w:rFonts w:asciiTheme="minorEastAsia" w:hAnsiTheme="minorEastAsia" w:eastAsiaTheme="minorEastAsia"/>
          <w:color w:val="auto"/>
          <w:sz w:val="24"/>
          <w:highlight w:val="none"/>
        </w:rPr>
        <w:br w:type="page"/>
      </w:r>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7F74784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19A195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
        </w:rPr>
        <w:t>本公司（单位）郑重声明，根据《国务院办公厅关于在政府采购中实施本国产品标准及相关政策的通知》（国办发〔2025〕34号）的规定，本公司（单位）提供的以下产品属于本国产品。具体情况如下：</w:t>
      </w:r>
    </w:p>
    <w:p w14:paraId="421258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1.</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1</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5C6BEF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2.</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432263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p>
    <w:p w14:paraId="2B7B8F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本公司（单位）对上述声明内容的真实性负责。如有虚假，愿承担相应法律责任。</w:t>
      </w:r>
    </w:p>
    <w:p w14:paraId="3D442747">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1BDA464">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3B1202A3">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7106BBD2">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00CB5480">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0903E9AA">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74203D67">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630153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szCs w:val="24"/>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4421A5">
      <w:pPr>
        <w:rPr>
          <w:rFonts w:hint="default" w:asciiTheme="minorEastAsia" w:hAnsiTheme="minorEastAsia" w:eastAsiaTheme="minorEastAsia"/>
          <w:color w:val="auto"/>
          <w:sz w:val="24"/>
          <w:highlight w:val="none"/>
          <w:lang w:val="en-US" w:eastAsia="zh-CN"/>
        </w:rPr>
      </w:pPr>
    </w:p>
    <w:p w14:paraId="7F7ABEC0">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58B18D1">
      <w:pPr>
        <w:widowControl/>
        <w:jc w:val="left"/>
        <w:rPr>
          <w:rFonts w:asciiTheme="minorEastAsia" w:hAnsiTheme="minorEastAsia" w:eastAsiaTheme="minorEastAsia"/>
          <w:color w:val="auto"/>
          <w:sz w:val="24"/>
          <w:highlight w:val="none"/>
        </w:rPr>
      </w:pPr>
    </w:p>
    <w:p w14:paraId="1299ACBF">
      <w:pPr>
        <w:spacing w:line="360" w:lineRule="auto"/>
        <w:jc w:val="center"/>
        <w:outlineLvl w:val="1"/>
        <w:rPr>
          <w:rFonts w:asciiTheme="minorEastAsia" w:hAnsiTheme="minorEastAsia" w:eastAsiaTheme="minorEastAsia"/>
          <w:b/>
          <w:color w:val="auto"/>
          <w:sz w:val="24"/>
          <w:highlight w:val="none"/>
        </w:rPr>
      </w:pPr>
      <w:bookmarkStart w:id="70" w:name="_Toc300210382"/>
      <w:bookmarkStart w:id="71" w:name="_Toc457768004"/>
      <w:bookmarkStart w:id="72" w:name="_Toc520299348"/>
      <w:bookmarkStart w:id="73" w:name="_Toc26536"/>
      <w:bookmarkStart w:id="74" w:name="_Toc25813"/>
      <w:bookmarkStart w:id="75" w:name="_Hlk11701496"/>
      <w:r>
        <w:rPr>
          <w:rFonts w:hint="eastAsia" w:asciiTheme="minorEastAsia" w:hAnsiTheme="minorEastAsia" w:eastAsiaTheme="minorEastAsia"/>
          <w:b/>
          <w:color w:val="auto"/>
          <w:sz w:val="24"/>
          <w:highlight w:val="none"/>
          <w:lang w:val="en-US" w:eastAsia="zh-CN"/>
        </w:rPr>
        <w:t>十</w:t>
      </w:r>
      <w:r>
        <w:rPr>
          <w:rFonts w:hint="eastAsia" w:asciiTheme="minorEastAsia" w:hAnsiTheme="minorEastAsia" w:eastAsiaTheme="minorEastAsia"/>
          <w:b/>
          <w:color w:val="auto"/>
          <w:sz w:val="24"/>
          <w:highlight w:val="none"/>
        </w:rPr>
        <w:t>、</w:t>
      </w:r>
      <w:bookmarkEnd w:id="70"/>
      <w:bookmarkEnd w:id="71"/>
      <w:bookmarkEnd w:id="72"/>
      <w:r>
        <w:rPr>
          <w:rFonts w:hint="eastAsia" w:asciiTheme="minorEastAsia" w:hAnsiTheme="minorEastAsia" w:eastAsiaTheme="minorEastAsia"/>
          <w:b/>
          <w:color w:val="auto"/>
          <w:sz w:val="24"/>
          <w:highlight w:val="none"/>
        </w:rPr>
        <w:t>诚信履约承诺函</w:t>
      </w:r>
      <w:bookmarkEnd w:id="73"/>
      <w:bookmarkEnd w:id="74"/>
    </w:p>
    <w:p w14:paraId="7ABEDACF">
      <w:pPr>
        <w:spacing w:line="360" w:lineRule="auto"/>
        <w:rPr>
          <w:rFonts w:asciiTheme="minorEastAsia" w:hAnsiTheme="minorEastAsia" w:eastAsiaTheme="minorEastAsia"/>
          <w:b/>
          <w:bCs/>
          <w:color w:val="auto"/>
          <w:sz w:val="24"/>
          <w:highlight w:val="none"/>
        </w:rPr>
      </w:pPr>
    </w:p>
    <w:p w14:paraId="3594DF73">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2C2A1D0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F5E747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1713746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57E0104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D0B75C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6C602E6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D4AEF8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65F3CD6">
      <w:pPr>
        <w:spacing w:line="360" w:lineRule="auto"/>
        <w:rPr>
          <w:rFonts w:asciiTheme="minorEastAsia" w:hAnsiTheme="minorEastAsia" w:eastAsiaTheme="minorEastAsia"/>
          <w:bCs/>
          <w:color w:val="auto"/>
          <w:sz w:val="24"/>
          <w:highlight w:val="none"/>
        </w:rPr>
      </w:pPr>
    </w:p>
    <w:p w14:paraId="2F15D250">
      <w:pPr>
        <w:spacing w:line="360" w:lineRule="auto"/>
        <w:rPr>
          <w:rFonts w:asciiTheme="minorEastAsia" w:hAnsiTheme="minorEastAsia" w:eastAsiaTheme="minorEastAsia"/>
          <w:bCs/>
          <w:color w:val="auto"/>
          <w:sz w:val="24"/>
          <w:highlight w:val="none"/>
        </w:rPr>
      </w:pPr>
    </w:p>
    <w:p w14:paraId="2DE377C6">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40405F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6AA7A80">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5"/>
    <w:p w14:paraId="1E9524BD">
      <w:pPr>
        <w:widowControl/>
        <w:jc w:val="center"/>
        <w:outlineLvl w:val="1"/>
        <w:rPr>
          <w:rFonts w:ascii="宋体" w:hAnsi="宋体" w:eastAsia="宋体" w:cs="Arial"/>
          <w:b/>
          <w:color w:val="auto"/>
          <w:sz w:val="24"/>
          <w:highlight w:val="none"/>
        </w:rPr>
      </w:pPr>
      <w:bookmarkStart w:id="76" w:name="_Toc32633"/>
      <w:bookmarkStart w:id="77" w:name="_Toc2683"/>
      <w:r>
        <w:rPr>
          <w:rFonts w:hint="eastAsia" w:ascii="宋体" w:hAnsi="宋体" w:eastAsia="宋体" w:cs="宋体"/>
          <w:b/>
          <w:color w:val="auto"/>
          <w:sz w:val="24"/>
          <w:highlight w:val="none"/>
        </w:rPr>
        <w:t>十</w:t>
      </w:r>
      <w:r>
        <w:rPr>
          <w:rFonts w:hint="eastAsia" w:ascii="宋体" w:hAnsi="宋体" w:eastAsia="宋体" w:cs="宋体"/>
          <w:b/>
          <w:color w:val="auto"/>
          <w:sz w:val="24"/>
          <w:highlight w:val="none"/>
          <w:lang w:val="en-US" w:eastAsia="zh-CN"/>
        </w:rPr>
        <w:t>一</w:t>
      </w:r>
      <w:r>
        <w:rPr>
          <w:rFonts w:hint="eastAsia" w:ascii="宋体" w:hAnsi="宋体" w:eastAsia="宋体" w:cs="宋体"/>
          <w:b/>
          <w:color w:val="auto"/>
          <w:sz w:val="24"/>
          <w:highlight w:val="none"/>
        </w:rPr>
        <w:t>、技术支持和售后服务需求承诺函</w:t>
      </w:r>
    </w:p>
    <w:p w14:paraId="13C3F897">
      <w:pPr>
        <w:spacing w:line="360" w:lineRule="auto"/>
        <w:jc w:val="center"/>
        <w:rPr>
          <w:rFonts w:asciiTheme="minorEastAsia" w:hAnsiTheme="minorEastAsia" w:eastAsiaTheme="minorEastAsia"/>
          <w:b/>
          <w:color w:val="auto"/>
          <w:sz w:val="24"/>
          <w:highlight w:val="none"/>
        </w:rPr>
      </w:pPr>
    </w:p>
    <w:p w14:paraId="2433E5B2">
      <w:pPr>
        <w:widowControl/>
        <w:spacing w:line="360" w:lineRule="auto"/>
        <w:jc w:val="left"/>
        <w:rPr>
          <w:color w:val="auto"/>
          <w:highlight w:val="none"/>
        </w:rPr>
      </w:pPr>
      <w:r>
        <w:rPr>
          <w:rFonts w:hint="eastAsia" w:asciiTheme="minorEastAsia" w:hAnsiTheme="minorEastAsia" w:eastAsiaTheme="minorEastAsia"/>
          <w:b/>
          <w:bCs/>
          <w:color w:val="auto"/>
          <w:sz w:val="24"/>
          <w:highlight w:val="none"/>
        </w:rPr>
        <w:t>致：采购人</w:t>
      </w:r>
    </w:p>
    <w:p w14:paraId="196A7DF4">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我单位承诺完全响应采购需求中“</w:t>
      </w:r>
      <w:r>
        <w:rPr>
          <w:rFonts w:hint="eastAsia" w:ascii="宋体" w:hAnsi="宋体" w:eastAsia="宋体" w:cs="Times New Roman"/>
          <w:b/>
          <w:color w:val="auto"/>
          <w:sz w:val="24"/>
          <w:szCs w:val="24"/>
          <w:highlight w:val="none"/>
        </w:rPr>
        <w:t>技术支持和售后服务需求</w:t>
      </w:r>
      <w:r>
        <w:rPr>
          <w:rFonts w:hint="eastAsia" w:ascii="宋体" w:hAnsi="宋体" w:eastAsia="宋体"/>
          <w:bCs/>
          <w:color w:val="auto"/>
          <w:sz w:val="24"/>
          <w:highlight w:val="none"/>
        </w:rPr>
        <w:t>”的各项内容，如中标后不满足采购文件要求，中标人承担由此产生的一切后果及责任。</w:t>
      </w:r>
    </w:p>
    <w:p w14:paraId="7DFA3CE8">
      <w:pPr>
        <w:spacing w:line="360" w:lineRule="auto"/>
        <w:ind w:firstLine="480" w:firstLineChars="200"/>
        <w:rPr>
          <w:rFonts w:ascii="宋体" w:hAnsi="宋体" w:eastAsia="宋体"/>
          <w:bCs/>
          <w:color w:val="auto"/>
          <w:sz w:val="24"/>
          <w:highlight w:val="none"/>
        </w:rPr>
      </w:pPr>
    </w:p>
    <w:p w14:paraId="20689005">
      <w:pPr>
        <w:widowControl/>
        <w:jc w:val="left"/>
        <w:rPr>
          <w:rFonts w:ascii="宋体" w:hAnsi="宋体" w:eastAsia="宋体" w:cs="宋体"/>
          <w:color w:val="auto"/>
          <w:kern w:val="0"/>
          <w:sz w:val="24"/>
          <w:szCs w:val="24"/>
          <w:highlight w:val="none"/>
          <w:lang w:bidi="ar"/>
        </w:rPr>
      </w:pPr>
    </w:p>
    <w:p w14:paraId="2445B2F7">
      <w:pPr>
        <w:widowControl/>
        <w:jc w:val="left"/>
        <w:rPr>
          <w:rFonts w:ascii="宋体" w:hAnsi="宋体" w:eastAsia="宋体" w:cs="宋体"/>
          <w:color w:val="auto"/>
          <w:kern w:val="0"/>
          <w:sz w:val="24"/>
          <w:szCs w:val="24"/>
          <w:highlight w:val="none"/>
          <w:lang w:bidi="ar"/>
        </w:rPr>
      </w:pPr>
    </w:p>
    <w:p w14:paraId="7B9E44EF">
      <w:pPr>
        <w:widowControl/>
        <w:jc w:val="left"/>
        <w:rPr>
          <w:rFonts w:ascii="宋体" w:hAnsi="宋体" w:eastAsia="宋体" w:cs="宋体"/>
          <w:color w:val="auto"/>
          <w:kern w:val="0"/>
          <w:sz w:val="24"/>
          <w:szCs w:val="24"/>
          <w:highlight w:val="none"/>
          <w:lang w:bidi="ar"/>
        </w:rPr>
      </w:pPr>
    </w:p>
    <w:p w14:paraId="126D999B">
      <w:pPr>
        <w:widowControl/>
        <w:jc w:val="left"/>
        <w:rPr>
          <w:rFonts w:ascii="宋体" w:hAnsi="宋体" w:eastAsia="宋体" w:cs="宋体"/>
          <w:color w:val="auto"/>
          <w:kern w:val="0"/>
          <w:sz w:val="24"/>
          <w:szCs w:val="24"/>
          <w:highlight w:val="none"/>
          <w:lang w:bidi="ar"/>
        </w:rPr>
      </w:pPr>
    </w:p>
    <w:p w14:paraId="66035EEF">
      <w:pPr>
        <w:widowControl/>
        <w:jc w:val="left"/>
        <w:rPr>
          <w:rFonts w:ascii="宋体" w:hAnsi="宋体" w:eastAsia="宋体" w:cs="宋体"/>
          <w:color w:val="auto"/>
          <w:kern w:val="0"/>
          <w:sz w:val="24"/>
          <w:szCs w:val="24"/>
          <w:highlight w:val="none"/>
          <w:lang w:bidi="ar"/>
        </w:rPr>
      </w:pPr>
    </w:p>
    <w:p w14:paraId="00871AB5">
      <w:pPr>
        <w:widowControl/>
        <w:jc w:val="left"/>
        <w:rPr>
          <w:rFonts w:ascii="宋体" w:hAnsi="宋体" w:eastAsia="宋体" w:cs="宋体"/>
          <w:color w:val="auto"/>
          <w:kern w:val="0"/>
          <w:sz w:val="24"/>
          <w:szCs w:val="24"/>
          <w:highlight w:val="none"/>
          <w:lang w:bidi="ar"/>
        </w:rPr>
      </w:pPr>
    </w:p>
    <w:p w14:paraId="63AACE6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3DEBBD2">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868F084">
      <w:pPr>
        <w:widowControl/>
        <w:jc w:val="left"/>
        <w:rPr>
          <w:rFonts w:ascii="宋体" w:hAnsi="宋体" w:eastAsia="宋体" w:cs="宋体"/>
          <w:color w:val="auto"/>
          <w:kern w:val="0"/>
          <w:sz w:val="24"/>
          <w:szCs w:val="24"/>
          <w:highlight w:val="none"/>
          <w:lang w:bidi="ar"/>
        </w:rPr>
      </w:pPr>
    </w:p>
    <w:p w14:paraId="6E023F7D">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1701CAC">
      <w:pPr>
        <w:jc w:val="center"/>
        <w:rPr>
          <w:rFonts w:ascii="楷体_GB2312" w:hAnsi="Times New Roman" w:eastAsia="楷体_GB2312" w:cs="Times New Roman"/>
          <w:color w:val="auto"/>
          <w:highlight w:val="none"/>
        </w:rPr>
      </w:pPr>
      <w:r>
        <w:rPr>
          <w:rFonts w:hint="eastAsia" w:ascii="宋体" w:hAnsi="宋体" w:eastAsia="宋体" w:cs="Times New Roman"/>
          <w:b/>
          <w:color w:val="auto"/>
          <w:sz w:val="28"/>
          <w:szCs w:val="28"/>
          <w:highlight w:val="none"/>
        </w:rPr>
        <w:t>技术支持和售后服务需求响应情况表</w:t>
      </w:r>
    </w:p>
    <w:p w14:paraId="54C6087B">
      <w:pPr>
        <w:widowControl/>
        <w:spacing w:line="600" w:lineRule="exact"/>
        <w:ind w:firstLine="600" w:firstLineChars="25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经过认真研究</w:t>
      </w:r>
      <w:r>
        <w:rPr>
          <w:rFonts w:hint="eastAsia" w:ascii="宋体" w:hAnsi="宋体" w:eastAsia="宋体" w:cs="宋体"/>
          <w:color w:val="auto"/>
          <w:kern w:val="0"/>
          <w:sz w:val="24"/>
          <w:szCs w:val="24"/>
          <w:highlight w:val="none"/>
          <w:u w:val="single"/>
        </w:rPr>
        <w:t xml:space="preserve">   （项目名称）、（项目编号）     </w:t>
      </w: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rPr>
        <w:t>，我司对第三章</w:t>
      </w:r>
      <w:r>
        <w:rPr>
          <w:rFonts w:ascii="宋体" w:hAnsi="宋体" w:eastAsia="宋体" w:cs="宋体"/>
          <w:color w:val="auto"/>
          <w:kern w:val="0"/>
          <w:sz w:val="24"/>
          <w:szCs w:val="24"/>
          <w:highlight w:val="none"/>
        </w:rPr>
        <w:t>所列</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技术支持和售后服务需求</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响应如下：</w:t>
      </w:r>
    </w:p>
    <w:p w14:paraId="3907FB2C">
      <w:pPr>
        <w:spacing w:after="120"/>
        <w:ind w:left="420" w:leftChars="200" w:firstLine="420" w:firstLineChars="200"/>
        <w:rPr>
          <w:rFonts w:ascii="楷体_GB2312" w:hAnsi="Times New Roman" w:eastAsia="楷体_GB2312" w:cs="Times New Roman"/>
          <w:color w:val="auto"/>
          <w:highlight w:val="none"/>
        </w:rPr>
      </w:pPr>
    </w:p>
    <w:tbl>
      <w:tblPr>
        <w:tblStyle w:val="24"/>
        <w:tblW w:w="915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981"/>
      </w:tblGrid>
      <w:tr w14:paraId="065EB5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FB8127E">
            <w:pPr>
              <w:widowControl/>
              <w:jc w:val="center"/>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vAlign w:val="center"/>
          </w:tcPr>
          <w:p w14:paraId="4FAE1D3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文件中要求</w:t>
            </w:r>
          </w:p>
        </w:tc>
        <w:tc>
          <w:tcPr>
            <w:tcW w:w="2637" w:type="dxa"/>
            <w:tcBorders>
              <w:top w:val="single" w:color="auto" w:sz="4" w:space="0"/>
              <w:left w:val="single" w:color="auto" w:sz="4" w:space="0"/>
              <w:bottom w:val="single" w:color="auto" w:sz="4" w:space="0"/>
              <w:right w:val="single" w:color="auto" w:sz="4" w:space="0"/>
            </w:tcBorders>
            <w:vAlign w:val="center"/>
          </w:tcPr>
          <w:p w14:paraId="6A4D763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ascii="宋体" w:hAnsi="宋体" w:eastAsia="宋体" w:cs="宋体"/>
                <w:color w:val="auto"/>
                <w:kern w:val="0"/>
                <w:sz w:val="24"/>
                <w:szCs w:val="24"/>
                <w:highlight w:val="none"/>
              </w:rPr>
              <w:t>的响应内容</w:t>
            </w:r>
          </w:p>
        </w:tc>
        <w:tc>
          <w:tcPr>
            <w:tcW w:w="1981" w:type="dxa"/>
            <w:tcBorders>
              <w:top w:val="single" w:color="auto" w:sz="4" w:space="0"/>
              <w:left w:val="single" w:color="auto" w:sz="4" w:space="0"/>
              <w:bottom w:val="single" w:color="auto" w:sz="4" w:space="0"/>
              <w:right w:val="single" w:color="auto" w:sz="4" w:space="0"/>
            </w:tcBorders>
            <w:vAlign w:val="center"/>
          </w:tcPr>
          <w:p w14:paraId="091CE20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响应情况</w:t>
            </w:r>
          </w:p>
        </w:tc>
      </w:tr>
      <w:tr w14:paraId="57369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vAlign w:val="center"/>
          </w:tcPr>
          <w:p w14:paraId="6CCD416B">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c>
          <w:tcPr>
            <w:tcW w:w="3245" w:type="dxa"/>
            <w:vAlign w:val="center"/>
          </w:tcPr>
          <w:p w14:paraId="6B06E05E">
            <w:pPr>
              <w:snapToGrid w:val="0"/>
              <w:jc w:val="center"/>
              <w:rPr>
                <w:rFonts w:ascii="宋体" w:hAnsi="宋体" w:eastAsia="宋体" w:cs="宋体"/>
                <w:color w:val="auto"/>
                <w:kern w:val="0"/>
                <w:sz w:val="24"/>
                <w:szCs w:val="24"/>
                <w:highlight w:val="none"/>
              </w:rPr>
            </w:pPr>
          </w:p>
        </w:tc>
        <w:tc>
          <w:tcPr>
            <w:tcW w:w="2637" w:type="dxa"/>
            <w:vAlign w:val="center"/>
          </w:tcPr>
          <w:p w14:paraId="36AA3922">
            <w:pPr>
              <w:widowControl/>
              <w:jc w:val="center"/>
              <w:rPr>
                <w:rFonts w:ascii="Calibri" w:hAnsi="Calibri" w:eastAsia="Times New Roman" w:cs="Times New Roman"/>
                <w:color w:val="auto"/>
                <w:kern w:val="0"/>
                <w:szCs w:val="21"/>
                <w:highlight w:val="none"/>
              </w:rPr>
            </w:pPr>
          </w:p>
        </w:tc>
        <w:tc>
          <w:tcPr>
            <w:tcW w:w="1981" w:type="dxa"/>
            <w:vAlign w:val="center"/>
          </w:tcPr>
          <w:p w14:paraId="59818E49">
            <w:pPr>
              <w:widowControl/>
              <w:jc w:val="center"/>
              <w:rPr>
                <w:rFonts w:ascii="Calibri" w:hAnsi="Calibri" w:eastAsia="Times New Roman" w:cs="Times New Roman"/>
                <w:color w:val="auto"/>
                <w:kern w:val="0"/>
                <w:szCs w:val="21"/>
                <w:highlight w:val="none"/>
              </w:rPr>
            </w:pPr>
          </w:p>
        </w:tc>
      </w:tr>
      <w:tr w14:paraId="4DA9C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5B2C551F">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2</w:t>
            </w:r>
          </w:p>
        </w:tc>
        <w:tc>
          <w:tcPr>
            <w:tcW w:w="3245" w:type="dxa"/>
            <w:vAlign w:val="center"/>
          </w:tcPr>
          <w:p w14:paraId="4A33CCA2">
            <w:pPr>
              <w:widowControl/>
              <w:jc w:val="center"/>
              <w:rPr>
                <w:rFonts w:ascii="Calibri" w:hAnsi="Calibri" w:eastAsia="Times New Roman" w:cs="Times New Roman"/>
                <w:color w:val="auto"/>
                <w:kern w:val="0"/>
                <w:szCs w:val="21"/>
                <w:highlight w:val="none"/>
              </w:rPr>
            </w:pPr>
          </w:p>
        </w:tc>
        <w:tc>
          <w:tcPr>
            <w:tcW w:w="2637" w:type="dxa"/>
            <w:vAlign w:val="center"/>
          </w:tcPr>
          <w:p w14:paraId="6062E2CC">
            <w:pPr>
              <w:widowControl/>
              <w:jc w:val="center"/>
              <w:rPr>
                <w:rFonts w:ascii="Calibri" w:hAnsi="Calibri" w:eastAsia="Times New Roman" w:cs="Times New Roman"/>
                <w:color w:val="auto"/>
                <w:kern w:val="0"/>
                <w:szCs w:val="21"/>
                <w:highlight w:val="none"/>
              </w:rPr>
            </w:pPr>
          </w:p>
        </w:tc>
        <w:tc>
          <w:tcPr>
            <w:tcW w:w="1981" w:type="dxa"/>
            <w:vAlign w:val="center"/>
          </w:tcPr>
          <w:p w14:paraId="6DA75AFF">
            <w:pPr>
              <w:widowControl/>
              <w:jc w:val="center"/>
              <w:rPr>
                <w:rFonts w:ascii="Calibri" w:hAnsi="Calibri" w:eastAsia="Times New Roman" w:cs="Times New Roman"/>
                <w:color w:val="auto"/>
                <w:kern w:val="0"/>
                <w:szCs w:val="21"/>
                <w:highlight w:val="none"/>
              </w:rPr>
            </w:pPr>
          </w:p>
        </w:tc>
      </w:tr>
      <w:tr w14:paraId="6C3334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1958BFF3">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3245" w:type="dxa"/>
            <w:vAlign w:val="center"/>
          </w:tcPr>
          <w:p w14:paraId="0DCA5CC7">
            <w:pPr>
              <w:widowControl/>
              <w:jc w:val="center"/>
              <w:rPr>
                <w:rFonts w:ascii="Calibri" w:hAnsi="Calibri" w:eastAsia="Times New Roman" w:cs="Times New Roman"/>
                <w:color w:val="auto"/>
                <w:kern w:val="0"/>
                <w:szCs w:val="21"/>
                <w:highlight w:val="none"/>
              </w:rPr>
            </w:pPr>
          </w:p>
        </w:tc>
        <w:tc>
          <w:tcPr>
            <w:tcW w:w="2637" w:type="dxa"/>
            <w:vAlign w:val="center"/>
          </w:tcPr>
          <w:p w14:paraId="4A36FDFC">
            <w:pPr>
              <w:widowControl/>
              <w:jc w:val="center"/>
              <w:rPr>
                <w:rFonts w:ascii="Calibri" w:hAnsi="Calibri" w:eastAsia="Times New Roman" w:cs="Times New Roman"/>
                <w:color w:val="auto"/>
                <w:kern w:val="0"/>
                <w:szCs w:val="21"/>
                <w:highlight w:val="none"/>
              </w:rPr>
            </w:pPr>
          </w:p>
        </w:tc>
        <w:tc>
          <w:tcPr>
            <w:tcW w:w="1981" w:type="dxa"/>
            <w:vAlign w:val="center"/>
          </w:tcPr>
          <w:p w14:paraId="783A739B">
            <w:pPr>
              <w:widowControl/>
              <w:jc w:val="center"/>
              <w:rPr>
                <w:rFonts w:ascii="Calibri" w:hAnsi="Calibri" w:eastAsia="Times New Roman" w:cs="Times New Roman"/>
                <w:color w:val="auto"/>
                <w:kern w:val="0"/>
                <w:szCs w:val="21"/>
                <w:highlight w:val="none"/>
              </w:rPr>
            </w:pPr>
          </w:p>
        </w:tc>
      </w:tr>
      <w:tr w14:paraId="31D02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75A35F3A">
            <w:pPr>
              <w:widowControl/>
              <w:jc w:val="center"/>
              <w:rPr>
                <w:rFonts w:ascii="宋体" w:hAnsi="宋体" w:eastAsia="宋体" w:cs="宋体"/>
                <w:color w:val="auto"/>
                <w:kern w:val="0"/>
                <w:szCs w:val="21"/>
                <w:highlight w:val="none"/>
              </w:rPr>
            </w:pPr>
          </w:p>
        </w:tc>
        <w:tc>
          <w:tcPr>
            <w:tcW w:w="3245" w:type="dxa"/>
            <w:vAlign w:val="center"/>
          </w:tcPr>
          <w:p w14:paraId="31742925">
            <w:pPr>
              <w:widowControl/>
              <w:jc w:val="center"/>
              <w:rPr>
                <w:rFonts w:ascii="Calibri" w:hAnsi="Calibri" w:eastAsia="Times New Roman" w:cs="Times New Roman"/>
                <w:color w:val="auto"/>
                <w:kern w:val="0"/>
                <w:szCs w:val="21"/>
                <w:highlight w:val="none"/>
              </w:rPr>
            </w:pPr>
          </w:p>
        </w:tc>
        <w:tc>
          <w:tcPr>
            <w:tcW w:w="2637" w:type="dxa"/>
            <w:vAlign w:val="center"/>
          </w:tcPr>
          <w:p w14:paraId="7A472459">
            <w:pPr>
              <w:widowControl/>
              <w:jc w:val="center"/>
              <w:rPr>
                <w:rFonts w:ascii="Calibri" w:hAnsi="Calibri" w:eastAsia="Times New Roman" w:cs="Times New Roman"/>
                <w:color w:val="auto"/>
                <w:kern w:val="0"/>
                <w:szCs w:val="21"/>
                <w:highlight w:val="none"/>
              </w:rPr>
            </w:pPr>
          </w:p>
        </w:tc>
        <w:tc>
          <w:tcPr>
            <w:tcW w:w="1981" w:type="dxa"/>
            <w:vAlign w:val="center"/>
          </w:tcPr>
          <w:p w14:paraId="57AFA4DA">
            <w:pPr>
              <w:widowControl/>
              <w:jc w:val="center"/>
              <w:rPr>
                <w:rFonts w:ascii="Calibri" w:hAnsi="Calibri" w:eastAsia="Times New Roman" w:cs="Times New Roman"/>
                <w:color w:val="auto"/>
                <w:kern w:val="0"/>
                <w:szCs w:val="21"/>
                <w:highlight w:val="none"/>
              </w:rPr>
            </w:pPr>
          </w:p>
        </w:tc>
      </w:tr>
      <w:tr w14:paraId="17A6F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0A68C9C">
            <w:pPr>
              <w:widowControl/>
              <w:jc w:val="center"/>
              <w:rPr>
                <w:rFonts w:ascii="宋体" w:hAnsi="宋体" w:eastAsia="宋体" w:cs="宋体"/>
                <w:color w:val="auto"/>
                <w:kern w:val="0"/>
                <w:szCs w:val="21"/>
                <w:highlight w:val="none"/>
              </w:rPr>
            </w:pPr>
          </w:p>
        </w:tc>
        <w:tc>
          <w:tcPr>
            <w:tcW w:w="3245" w:type="dxa"/>
            <w:vAlign w:val="center"/>
          </w:tcPr>
          <w:p w14:paraId="34D76BF6">
            <w:pPr>
              <w:widowControl/>
              <w:jc w:val="center"/>
              <w:rPr>
                <w:rFonts w:ascii="Calibri" w:hAnsi="Calibri" w:eastAsia="Times New Roman" w:cs="Times New Roman"/>
                <w:color w:val="auto"/>
                <w:kern w:val="0"/>
                <w:szCs w:val="21"/>
                <w:highlight w:val="none"/>
              </w:rPr>
            </w:pPr>
          </w:p>
        </w:tc>
        <w:tc>
          <w:tcPr>
            <w:tcW w:w="2637" w:type="dxa"/>
            <w:vAlign w:val="center"/>
          </w:tcPr>
          <w:p w14:paraId="6D183C1A">
            <w:pPr>
              <w:widowControl/>
              <w:jc w:val="center"/>
              <w:rPr>
                <w:rFonts w:ascii="Calibri" w:hAnsi="Calibri" w:eastAsia="Times New Roman" w:cs="Times New Roman"/>
                <w:color w:val="auto"/>
                <w:kern w:val="0"/>
                <w:szCs w:val="21"/>
                <w:highlight w:val="none"/>
              </w:rPr>
            </w:pPr>
          </w:p>
        </w:tc>
        <w:tc>
          <w:tcPr>
            <w:tcW w:w="1981" w:type="dxa"/>
            <w:vAlign w:val="center"/>
          </w:tcPr>
          <w:p w14:paraId="0CFD7BF9">
            <w:pPr>
              <w:widowControl/>
              <w:jc w:val="center"/>
              <w:rPr>
                <w:rFonts w:ascii="Calibri" w:hAnsi="Calibri" w:eastAsia="Times New Roman" w:cs="Times New Roman"/>
                <w:color w:val="auto"/>
                <w:kern w:val="0"/>
                <w:szCs w:val="21"/>
                <w:highlight w:val="none"/>
              </w:rPr>
            </w:pPr>
          </w:p>
        </w:tc>
      </w:tr>
    </w:tbl>
    <w:p w14:paraId="646FC511">
      <w:pPr>
        <w:spacing w:line="460" w:lineRule="exact"/>
        <w:rPr>
          <w:rFonts w:ascii="宋体" w:hAnsi="宋体" w:eastAsia="宋体" w:cs="宋体"/>
          <w:b/>
          <w:color w:val="auto"/>
          <w:kern w:val="0"/>
          <w:sz w:val="24"/>
          <w:szCs w:val="24"/>
          <w:highlight w:val="none"/>
        </w:rPr>
      </w:pPr>
    </w:p>
    <w:p w14:paraId="2DA75642">
      <w:pPr>
        <w:spacing w:line="460" w:lineRule="exact"/>
        <w:rPr>
          <w:rFonts w:ascii="宋体" w:hAnsi="宋体" w:eastAsia="宋体" w:cs="宋体"/>
          <w:b/>
          <w:color w:val="auto"/>
          <w:kern w:val="0"/>
          <w:sz w:val="24"/>
          <w:szCs w:val="24"/>
          <w:highlight w:val="none"/>
        </w:rPr>
      </w:pPr>
    </w:p>
    <w:p w14:paraId="77669514">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481D45C">
      <w:pPr>
        <w:spacing w:line="360" w:lineRule="auto"/>
        <w:ind w:firstLine="4320" w:firstLineChars="1800"/>
        <w:rPr>
          <w:rFonts w:hint="eastAsia"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B71F54F">
      <w:pPr>
        <w:spacing w:line="360" w:lineRule="auto"/>
        <w:ind w:firstLine="4320" w:firstLineChars="1800"/>
        <w:rPr>
          <w:rFonts w:hint="eastAsia" w:asciiTheme="minorEastAsia" w:hAnsiTheme="minorEastAsia" w:eastAsiaTheme="minorEastAsia"/>
          <w:bCs/>
          <w:color w:val="auto"/>
          <w:sz w:val="24"/>
          <w:highlight w:val="none"/>
          <w:u w:val="single"/>
        </w:rPr>
      </w:pPr>
    </w:p>
    <w:p w14:paraId="29C37B36">
      <w:pPr>
        <w:spacing w:line="360" w:lineRule="auto"/>
        <w:ind w:firstLine="4320" w:firstLineChars="1800"/>
        <w:rPr>
          <w:rFonts w:hint="eastAsia" w:asciiTheme="minorEastAsia" w:hAnsiTheme="minorEastAsia" w:eastAsiaTheme="minorEastAsia"/>
          <w:bCs/>
          <w:color w:val="auto"/>
          <w:sz w:val="24"/>
          <w:highlight w:val="none"/>
          <w:u w:val="single"/>
        </w:rPr>
      </w:pPr>
    </w:p>
    <w:p w14:paraId="50029466">
      <w:pPr>
        <w:spacing w:line="360" w:lineRule="auto"/>
        <w:ind w:firstLine="4320" w:firstLineChars="1800"/>
        <w:rPr>
          <w:rFonts w:hint="eastAsia" w:asciiTheme="minorEastAsia" w:hAnsiTheme="minorEastAsia" w:eastAsiaTheme="minorEastAsia"/>
          <w:bCs/>
          <w:color w:val="auto"/>
          <w:sz w:val="24"/>
          <w:highlight w:val="none"/>
          <w:u w:val="single"/>
        </w:rPr>
      </w:pPr>
    </w:p>
    <w:p w14:paraId="693D12D0">
      <w:pPr>
        <w:spacing w:line="360" w:lineRule="auto"/>
        <w:ind w:firstLine="4320" w:firstLineChars="1800"/>
        <w:rPr>
          <w:rFonts w:hint="eastAsia" w:asciiTheme="minorEastAsia" w:hAnsiTheme="minorEastAsia" w:eastAsiaTheme="minorEastAsia"/>
          <w:bCs/>
          <w:color w:val="auto"/>
          <w:sz w:val="24"/>
          <w:highlight w:val="none"/>
          <w:u w:val="single"/>
        </w:rPr>
      </w:pPr>
    </w:p>
    <w:p w14:paraId="226A7C5A">
      <w:pPr>
        <w:spacing w:line="360" w:lineRule="auto"/>
        <w:ind w:firstLine="4320" w:firstLineChars="1800"/>
        <w:rPr>
          <w:rFonts w:hint="eastAsia" w:asciiTheme="minorEastAsia" w:hAnsiTheme="minorEastAsia" w:eastAsiaTheme="minorEastAsia"/>
          <w:bCs/>
          <w:color w:val="auto"/>
          <w:sz w:val="24"/>
          <w:highlight w:val="none"/>
          <w:u w:val="single"/>
        </w:rPr>
      </w:pPr>
    </w:p>
    <w:p w14:paraId="561D3213">
      <w:pPr>
        <w:spacing w:line="360" w:lineRule="auto"/>
        <w:ind w:firstLine="4320" w:firstLineChars="1800"/>
        <w:rPr>
          <w:rFonts w:hint="eastAsia" w:asciiTheme="minorEastAsia" w:hAnsiTheme="minorEastAsia" w:eastAsiaTheme="minorEastAsia"/>
          <w:bCs/>
          <w:color w:val="auto"/>
          <w:sz w:val="24"/>
          <w:highlight w:val="none"/>
          <w:u w:val="single"/>
        </w:rPr>
      </w:pPr>
    </w:p>
    <w:p w14:paraId="1F7F5C4D">
      <w:pPr>
        <w:spacing w:line="360" w:lineRule="auto"/>
        <w:ind w:firstLine="4320" w:firstLineChars="1800"/>
        <w:rPr>
          <w:rFonts w:hint="eastAsia" w:asciiTheme="minorEastAsia" w:hAnsiTheme="minorEastAsia" w:eastAsiaTheme="minorEastAsia"/>
          <w:bCs/>
          <w:color w:val="auto"/>
          <w:sz w:val="24"/>
          <w:highlight w:val="none"/>
          <w:u w:val="single"/>
        </w:rPr>
      </w:pPr>
    </w:p>
    <w:p w14:paraId="17754CAF">
      <w:pPr>
        <w:spacing w:line="360" w:lineRule="auto"/>
        <w:ind w:firstLine="4320" w:firstLineChars="1800"/>
        <w:rPr>
          <w:rFonts w:hint="eastAsia" w:asciiTheme="minorEastAsia" w:hAnsiTheme="minorEastAsia" w:eastAsiaTheme="minorEastAsia"/>
          <w:bCs/>
          <w:color w:val="auto"/>
          <w:sz w:val="24"/>
          <w:highlight w:val="none"/>
          <w:u w:val="single"/>
        </w:rPr>
      </w:pPr>
    </w:p>
    <w:p w14:paraId="1D19D0B3">
      <w:pPr>
        <w:spacing w:line="360" w:lineRule="auto"/>
        <w:ind w:firstLine="4320" w:firstLineChars="1800"/>
        <w:rPr>
          <w:rFonts w:hint="eastAsia" w:asciiTheme="minorEastAsia" w:hAnsiTheme="minorEastAsia" w:eastAsiaTheme="minorEastAsia"/>
          <w:bCs/>
          <w:color w:val="auto"/>
          <w:sz w:val="24"/>
          <w:highlight w:val="none"/>
          <w:u w:val="single"/>
        </w:rPr>
      </w:pPr>
    </w:p>
    <w:p w14:paraId="6A543502">
      <w:pPr>
        <w:spacing w:line="360" w:lineRule="auto"/>
        <w:ind w:firstLine="4320" w:firstLineChars="1800"/>
        <w:rPr>
          <w:rFonts w:hint="eastAsia" w:asciiTheme="minorEastAsia" w:hAnsiTheme="minorEastAsia" w:eastAsiaTheme="minorEastAsia"/>
          <w:bCs/>
          <w:color w:val="auto"/>
          <w:sz w:val="24"/>
          <w:highlight w:val="none"/>
          <w:u w:val="single"/>
        </w:rPr>
      </w:pPr>
    </w:p>
    <w:p w14:paraId="07C0E1B2">
      <w:pPr>
        <w:spacing w:line="360" w:lineRule="auto"/>
        <w:ind w:firstLine="4320" w:firstLineChars="1800"/>
        <w:rPr>
          <w:rFonts w:hint="eastAsia" w:asciiTheme="minorEastAsia" w:hAnsiTheme="minorEastAsia" w:eastAsiaTheme="minorEastAsia"/>
          <w:bCs/>
          <w:color w:val="auto"/>
          <w:sz w:val="24"/>
          <w:highlight w:val="none"/>
          <w:u w:val="single"/>
        </w:rPr>
      </w:pPr>
    </w:p>
    <w:p w14:paraId="7335583F">
      <w:pPr>
        <w:pStyle w:val="22"/>
        <w:ind w:left="0" w:leftChars="0" w:firstLine="0" w:firstLineChars="0"/>
        <w:jc w:val="center"/>
        <w:rPr>
          <w:rFonts w:hint="eastAsia" w:asciiTheme="minorEastAsia" w:hAnsiTheme="minorEastAsia" w:eastAsiaTheme="minorEastAsia"/>
          <w:b/>
          <w:bCs w:val="0"/>
          <w:color w:val="auto"/>
          <w:sz w:val="30"/>
          <w:szCs w:val="30"/>
          <w:highlight w:val="none"/>
          <w:u w:val="none"/>
        </w:rPr>
      </w:pPr>
      <w:r>
        <w:rPr>
          <w:rFonts w:hint="eastAsia" w:asciiTheme="minorEastAsia" w:hAnsiTheme="minorEastAsia" w:eastAsiaTheme="minorEastAsia"/>
          <w:b/>
          <w:bCs w:val="0"/>
          <w:color w:val="auto"/>
          <w:sz w:val="30"/>
          <w:szCs w:val="30"/>
          <w:highlight w:val="none"/>
          <w:u w:val="none"/>
        </w:rPr>
        <w:t>质保期满后相关费用报价</w:t>
      </w:r>
    </w:p>
    <w:p w14:paraId="1B0597C1">
      <w:pPr>
        <w:pStyle w:val="22"/>
        <w:ind w:left="0" w:leftChars="0" w:firstLine="0" w:firstLineChars="0"/>
        <w:jc w:val="right"/>
        <w:rPr>
          <w:rFonts w:hint="eastAsia" w:asciiTheme="minorEastAsia" w:hAnsiTheme="minorEastAsia" w:eastAsiaTheme="minorEastAsia"/>
          <w:bCs/>
          <w:color w:val="auto"/>
          <w:sz w:val="24"/>
          <w:highlight w:val="none"/>
          <w:u w:val="none"/>
          <w:lang w:val="en-US" w:eastAsia="zh-CN"/>
        </w:rPr>
      </w:pPr>
      <w:r>
        <w:rPr>
          <w:rFonts w:hint="eastAsia" w:asciiTheme="minorEastAsia" w:hAnsiTheme="minorEastAsia" w:eastAsiaTheme="minorEastAsia"/>
          <w:bCs/>
          <w:color w:val="auto"/>
          <w:sz w:val="24"/>
          <w:highlight w:val="none"/>
          <w:u w:val="none"/>
          <w:lang w:val="en-US" w:eastAsia="zh-CN"/>
        </w:rPr>
        <w:t>货币单位：人民币</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3995"/>
        <w:gridCol w:w="3491"/>
      </w:tblGrid>
      <w:tr w14:paraId="1044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5" w:type="dxa"/>
            <w:vAlign w:val="center"/>
          </w:tcPr>
          <w:p w14:paraId="7B4E6FC8">
            <w:pPr>
              <w:pStyle w:val="22"/>
              <w:ind w:left="0" w:leftChars="0" w:firstLine="0" w:firstLineChars="0"/>
              <w:jc w:val="center"/>
              <w:rPr>
                <w:rFonts w:hint="default" w:asciiTheme="minorEastAsia" w:hAnsiTheme="minorEastAsia" w:eastAsiaTheme="minorEastAsia"/>
                <w:b/>
                <w:bCs w:val="0"/>
                <w:color w:val="auto"/>
                <w:sz w:val="24"/>
                <w:highlight w:val="none"/>
                <w:u w:val="none"/>
                <w:vertAlign w:val="baseline"/>
                <w:lang w:val="en-US" w:eastAsia="zh-CN"/>
              </w:rPr>
            </w:pPr>
            <w:r>
              <w:rPr>
                <w:rFonts w:hint="eastAsia" w:asciiTheme="minorEastAsia" w:hAnsiTheme="minorEastAsia" w:eastAsiaTheme="minorEastAsia"/>
                <w:b/>
                <w:bCs w:val="0"/>
                <w:color w:val="auto"/>
                <w:sz w:val="24"/>
                <w:highlight w:val="none"/>
                <w:u w:val="none"/>
                <w:vertAlign w:val="baseline"/>
                <w:lang w:val="en-US" w:eastAsia="zh-CN"/>
              </w:rPr>
              <w:t>序号</w:t>
            </w:r>
          </w:p>
        </w:tc>
        <w:tc>
          <w:tcPr>
            <w:tcW w:w="3995" w:type="dxa"/>
            <w:vAlign w:val="center"/>
          </w:tcPr>
          <w:p w14:paraId="49F3193E">
            <w:pPr>
              <w:pStyle w:val="22"/>
              <w:jc w:val="center"/>
              <w:rPr>
                <w:rFonts w:hint="default" w:asciiTheme="minorEastAsia" w:hAnsiTheme="minorEastAsia" w:eastAsiaTheme="minorEastAsia"/>
                <w:b/>
                <w:bCs w:val="0"/>
                <w:color w:val="auto"/>
                <w:sz w:val="24"/>
                <w:highlight w:val="none"/>
                <w:u w:val="none"/>
                <w:vertAlign w:val="baseline"/>
                <w:lang w:val="en-US" w:eastAsia="zh-CN"/>
              </w:rPr>
            </w:pPr>
            <w:r>
              <w:rPr>
                <w:rFonts w:hint="eastAsia" w:asciiTheme="minorEastAsia" w:hAnsiTheme="minorEastAsia" w:eastAsiaTheme="minorEastAsia"/>
                <w:b/>
                <w:bCs w:val="0"/>
                <w:color w:val="auto"/>
                <w:sz w:val="24"/>
                <w:highlight w:val="none"/>
                <w:u w:val="none"/>
                <w:vertAlign w:val="baseline"/>
                <w:lang w:val="en-US" w:eastAsia="zh-CN"/>
              </w:rPr>
              <w:t>项目</w:t>
            </w:r>
          </w:p>
        </w:tc>
        <w:tc>
          <w:tcPr>
            <w:tcW w:w="3491" w:type="dxa"/>
            <w:vAlign w:val="center"/>
          </w:tcPr>
          <w:p w14:paraId="0D8FBA76">
            <w:pPr>
              <w:pStyle w:val="22"/>
              <w:jc w:val="center"/>
              <w:rPr>
                <w:rFonts w:hint="default" w:asciiTheme="minorEastAsia" w:hAnsiTheme="minorEastAsia" w:eastAsiaTheme="minorEastAsia"/>
                <w:b/>
                <w:bCs w:val="0"/>
                <w:color w:val="auto"/>
                <w:sz w:val="24"/>
                <w:highlight w:val="none"/>
                <w:u w:val="none"/>
                <w:vertAlign w:val="baseline"/>
                <w:lang w:val="en-US" w:eastAsia="zh-CN"/>
              </w:rPr>
            </w:pPr>
            <w:r>
              <w:rPr>
                <w:rFonts w:hint="eastAsia" w:asciiTheme="minorEastAsia" w:hAnsiTheme="minorEastAsia" w:eastAsiaTheme="minorEastAsia"/>
                <w:b/>
                <w:bCs w:val="0"/>
                <w:color w:val="auto"/>
                <w:sz w:val="24"/>
                <w:highlight w:val="none"/>
                <w:u w:val="none"/>
                <w:vertAlign w:val="baseline"/>
                <w:lang w:val="en-US" w:eastAsia="zh-CN"/>
              </w:rPr>
              <w:t>内容</w:t>
            </w:r>
          </w:p>
        </w:tc>
      </w:tr>
      <w:tr w14:paraId="5FD9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5" w:type="dxa"/>
            <w:vAlign w:val="center"/>
          </w:tcPr>
          <w:p w14:paraId="601B2F9A">
            <w:pPr>
              <w:pStyle w:val="22"/>
              <w:jc w:val="center"/>
              <w:rPr>
                <w:rFonts w:hint="default" w:asciiTheme="minorEastAsia" w:hAnsiTheme="minorEastAsia" w:eastAsiaTheme="minorEastAsia"/>
                <w:bCs/>
                <w:color w:val="auto"/>
                <w:sz w:val="24"/>
                <w:highlight w:val="none"/>
                <w:u w:val="none"/>
                <w:vertAlign w:val="baseline"/>
                <w:lang w:val="en-US" w:eastAsia="zh-CN"/>
              </w:rPr>
            </w:pPr>
            <w:r>
              <w:rPr>
                <w:rFonts w:hint="eastAsia" w:asciiTheme="minorEastAsia" w:hAnsiTheme="minorEastAsia" w:eastAsiaTheme="minorEastAsia"/>
                <w:bCs/>
                <w:color w:val="auto"/>
                <w:sz w:val="24"/>
                <w:highlight w:val="none"/>
                <w:u w:val="none"/>
                <w:vertAlign w:val="baseline"/>
                <w:lang w:val="en-US" w:eastAsia="zh-CN"/>
              </w:rPr>
              <w:t>1</w:t>
            </w:r>
          </w:p>
        </w:tc>
        <w:tc>
          <w:tcPr>
            <w:tcW w:w="3995" w:type="dxa"/>
            <w:vAlign w:val="center"/>
          </w:tcPr>
          <w:p w14:paraId="167CA255">
            <w:pPr>
              <w:pStyle w:val="22"/>
              <w:jc w:val="center"/>
              <w:rPr>
                <w:rFonts w:hint="default" w:asciiTheme="minorEastAsia" w:hAnsiTheme="minorEastAsia" w:eastAsiaTheme="minorEastAsia"/>
                <w:bCs/>
                <w:color w:val="auto"/>
                <w:sz w:val="24"/>
                <w:highlight w:val="none"/>
                <w:u w:val="none"/>
                <w:vertAlign w:val="baseline"/>
                <w:lang w:val="en-US" w:eastAsia="zh-CN"/>
              </w:rPr>
            </w:pPr>
            <w:r>
              <w:rPr>
                <w:rFonts w:hint="eastAsia" w:asciiTheme="minorEastAsia" w:hAnsiTheme="minorEastAsia" w:eastAsiaTheme="minorEastAsia"/>
                <w:bCs/>
                <w:color w:val="auto"/>
                <w:sz w:val="24"/>
                <w:highlight w:val="none"/>
                <w:u w:val="none"/>
                <w:vertAlign w:val="baseline"/>
                <w:lang w:val="en-US" w:eastAsia="zh-CN"/>
              </w:rPr>
              <w:t>项目名称</w:t>
            </w:r>
          </w:p>
        </w:tc>
        <w:tc>
          <w:tcPr>
            <w:tcW w:w="3491" w:type="dxa"/>
            <w:vAlign w:val="center"/>
          </w:tcPr>
          <w:p w14:paraId="0B43401F">
            <w:pPr>
              <w:pStyle w:val="22"/>
              <w:jc w:val="center"/>
              <w:rPr>
                <w:rFonts w:hint="default" w:asciiTheme="minorEastAsia" w:hAnsiTheme="minorEastAsia" w:eastAsiaTheme="minorEastAsia"/>
                <w:bCs/>
                <w:color w:val="auto"/>
                <w:sz w:val="24"/>
                <w:highlight w:val="none"/>
                <w:u w:val="none"/>
                <w:vertAlign w:val="baseline"/>
                <w:lang w:val="en-US" w:eastAsia="zh-CN"/>
              </w:rPr>
            </w:pPr>
          </w:p>
        </w:tc>
      </w:tr>
      <w:tr w14:paraId="33DF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5" w:type="dxa"/>
            <w:vAlign w:val="center"/>
          </w:tcPr>
          <w:p w14:paraId="1D8749A1">
            <w:pPr>
              <w:pStyle w:val="22"/>
              <w:jc w:val="center"/>
              <w:rPr>
                <w:rFonts w:hint="default" w:asciiTheme="minorEastAsia" w:hAnsiTheme="minorEastAsia" w:eastAsiaTheme="minorEastAsia"/>
                <w:bCs/>
                <w:color w:val="auto"/>
                <w:sz w:val="24"/>
                <w:highlight w:val="none"/>
                <w:u w:val="none"/>
                <w:vertAlign w:val="baseline"/>
                <w:lang w:val="en-US" w:eastAsia="zh-CN"/>
              </w:rPr>
            </w:pPr>
            <w:r>
              <w:rPr>
                <w:rFonts w:hint="eastAsia" w:asciiTheme="minorEastAsia" w:hAnsiTheme="minorEastAsia" w:eastAsiaTheme="minorEastAsia"/>
                <w:bCs/>
                <w:color w:val="auto"/>
                <w:sz w:val="24"/>
                <w:highlight w:val="none"/>
                <w:u w:val="none"/>
                <w:vertAlign w:val="baseline"/>
                <w:lang w:val="en-US" w:eastAsia="zh-CN"/>
              </w:rPr>
              <w:t>2</w:t>
            </w:r>
          </w:p>
        </w:tc>
        <w:tc>
          <w:tcPr>
            <w:tcW w:w="3995" w:type="dxa"/>
            <w:vAlign w:val="center"/>
          </w:tcPr>
          <w:p w14:paraId="5FF05FC4">
            <w:pPr>
              <w:pStyle w:val="22"/>
              <w:jc w:val="center"/>
              <w:rPr>
                <w:rFonts w:hint="default" w:asciiTheme="minorEastAsia" w:hAnsiTheme="minorEastAsia" w:eastAsiaTheme="minorEastAsia"/>
                <w:bCs/>
                <w:color w:val="auto"/>
                <w:sz w:val="24"/>
                <w:highlight w:val="none"/>
                <w:u w:val="none"/>
                <w:vertAlign w:val="baseline"/>
                <w:lang w:val="en-US" w:eastAsia="zh-CN"/>
              </w:rPr>
            </w:pPr>
            <w:r>
              <w:rPr>
                <w:rFonts w:hint="eastAsia" w:asciiTheme="minorEastAsia" w:hAnsiTheme="minorEastAsia" w:eastAsiaTheme="minorEastAsia"/>
                <w:bCs/>
                <w:color w:val="auto"/>
                <w:sz w:val="24"/>
                <w:highlight w:val="none"/>
                <w:u w:val="none"/>
                <w:vertAlign w:val="baseline"/>
                <w:lang w:val="en-US" w:eastAsia="zh-CN"/>
              </w:rPr>
              <w:t>项目编号</w:t>
            </w:r>
          </w:p>
        </w:tc>
        <w:tc>
          <w:tcPr>
            <w:tcW w:w="3491" w:type="dxa"/>
            <w:vAlign w:val="center"/>
          </w:tcPr>
          <w:p w14:paraId="1E3D5793">
            <w:pPr>
              <w:pStyle w:val="22"/>
              <w:jc w:val="center"/>
              <w:rPr>
                <w:rFonts w:hint="default" w:asciiTheme="minorEastAsia" w:hAnsiTheme="minorEastAsia" w:eastAsiaTheme="minorEastAsia"/>
                <w:bCs/>
                <w:color w:val="auto"/>
                <w:sz w:val="24"/>
                <w:highlight w:val="none"/>
                <w:u w:val="none"/>
                <w:vertAlign w:val="baseline"/>
                <w:lang w:val="en-US" w:eastAsia="zh-CN"/>
              </w:rPr>
            </w:pPr>
          </w:p>
        </w:tc>
      </w:tr>
      <w:tr w14:paraId="4A8D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5" w:type="dxa"/>
            <w:vAlign w:val="center"/>
          </w:tcPr>
          <w:p w14:paraId="598EA07F">
            <w:pPr>
              <w:pStyle w:val="22"/>
              <w:jc w:val="center"/>
              <w:rPr>
                <w:rFonts w:hint="default" w:asciiTheme="minorEastAsia" w:hAnsiTheme="minorEastAsia" w:eastAsiaTheme="minorEastAsia"/>
                <w:bCs/>
                <w:color w:val="auto"/>
                <w:sz w:val="24"/>
                <w:highlight w:val="none"/>
                <w:u w:val="none"/>
                <w:vertAlign w:val="baseline"/>
                <w:lang w:val="en-US" w:eastAsia="zh-CN"/>
              </w:rPr>
            </w:pPr>
            <w:r>
              <w:rPr>
                <w:rFonts w:hint="eastAsia" w:asciiTheme="minorEastAsia" w:hAnsiTheme="minorEastAsia" w:eastAsiaTheme="minorEastAsia"/>
                <w:bCs/>
                <w:color w:val="auto"/>
                <w:sz w:val="24"/>
                <w:highlight w:val="none"/>
                <w:u w:val="none"/>
                <w:vertAlign w:val="baseline"/>
                <w:lang w:val="en-US" w:eastAsia="zh-CN"/>
              </w:rPr>
              <w:t>3</w:t>
            </w:r>
          </w:p>
        </w:tc>
        <w:tc>
          <w:tcPr>
            <w:tcW w:w="3995" w:type="dxa"/>
            <w:vAlign w:val="center"/>
          </w:tcPr>
          <w:p w14:paraId="76FC59A1">
            <w:pPr>
              <w:pStyle w:val="22"/>
              <w:jc w:val="center"/>
              <w:rPr>
                <w:rFonts w:hint="default" w:asciiTheme="minorEastAsia" w:hAnsiTheme="minorEastAsia" w:eastAsiaTheme="minorEastAsia"/>
                <w:bCs/>
                <w:color w:val="auto"/>
                <w:sz w:val="24"/>
                <w:highlight w:val="none"/>
                <w:u w:val="none"/>
                <w:vertAlign w:val="baseline"/>
                <w:lang w:val="en-US" w:eastAsia="zh-CN"/>
              </w:rPr>
            </w:pPr>
            <w:r>
              <w:rPr>
                <w:rFonts w:hint="default" w:asciiTheme="minorEastAsia" w:hAnsiTheme="minorEastAsia" w:eastAsiaTheme="minorEastAsia"/>
                <w:bCs/>
                <w:color w:val="auto"/>
                <w:sz w:val="24"/>
                <w:highlight w:val="none"/>
                <w:u w:val="none"/>
                <w:vertAlign w:val="baseline"/>
                <w:lang w:val="en-US" w:eastAsia="zh-CN"/>
              </w:rPr>
              <w:t>质保期满后年整机维保费用</w:t>
            </w:r>
          </w:p>
        </w:tc>
        <w:tc>
          <w:tcPr>
            <w:tcW w:w="3491" w:type="dxa"/>
            <w:vAlign w:val="center"/>
          </w:tcPr>
          <w:p w14:paraId="2021E25A">
            <w:pPr>
              <w:pStyle w:val="22"/>
              <w:jc w:val="center"/>
              <w:rPr>
                <w:rFonts w:hint="default" w:asciiTheme="minorEastAsia" w:hAnsiTheme="minorEastAsia" w:eastAsiaTheme="minorEastAsia"/>
                <w:bCs/>
                <w:color w:val="auto"/>
                <w:sz w:val="24"/>
                <w:highlight w:val="none"/>
                <w:u w:val="none"/>
                <w:vertAlign w:val="baseline"/>
                <w:lang w:val="en-US" w:eastAsia="zh-CN"/>
              </w:rPr>
            </w:pPr>
            <w:r>
              <w:rPr>
                <w:rFonts w:hint="eastAsia" w:asciiTheme="minorEastAsia" w:hAnsiTheme="minorEastAsia" w:eastAsiaTheme="minorEastAsia"/>
                <w:bCs/>
                <w:color w:val="auto"/>
                <w:sz w:val="24"/>
                <w:highlight w:val="none"/>
                <w:u w:val="none"/>
                <w:vertAlign w:val="baseline"/>
                <w:lang w:val="en-US" w:eastAsia="zh-CN"/>
              </w:rPr>
              <w:t>投标总价的</w:t>
            </w:r>
            <w:r>
              <w:rPr>
                <w:rFonts w:hint="eastAsia" w:asciiTheme="minorEastAsia" w:hAnsiTheme="minorEastAsia" w:eastAsiaTheme="minorEastAsia"/>
                <w:bCs/>
                <w:color w:val="auto"/>
                <w:sz w:val="24"/>
                <w:highlight w:val="none"/>
                <w:u w:val="single"/>
                <w:vertAlign w:val="baseline"/>
                <w:lang w:val="en-US" w:eastAsia="zh-CN"/>
              </w:rPr>
              <w:t xml:space="preserve">       </w:t>
            </w:r>
            <w:r>
              <w:rPr>
                <w:rFonts w:hint="eastAsia" w:asciiTheme="minorEastAsia" w:hAnsiTheme="minorEastAsia" w:eastAsiaTheme="minorEastAsia"/>
                <w:bCs/>
                <w:color w:val="auto"/>
                <w:sz w:val="24"/>
                <w:highlight w:val="none"/>
                <w:u w:val="none"/>
                <w:vertAlign w:val="baseline"/>
                <w:lang w:val="en-US" w:eastAsia="zh-CN"/>
              </w:rPr>
              <w:t>%</w:t>
            </w:r>
          </w:p>
        </w:tc>
      </w:tr>
      <w:tr w14:paraId="2C86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5" w:type="dxa"/>
            <w:vAlign w:val="center"/>
          </w:tcPr>
          <w:p w14:paraId="218D8DF9">
            <w:pPr>
              <w:pStyle w:val="22"/>
              <w:jc w:val="center"/>
              <w:rPr>
                <w:rFonts w:hint="default" w:asciiTheme="minorEastAsia" w:hAnsiTheme="minorEastAsia" w:eastAsiaTheme="minorEastAsia"/>
                <w:bCs/>
                <w:color w:val="auto"/>
                <w:sz w:val="24"/>
                <w:highlight w:val="none"/>
                <w:u w:val="none"/>
                <w:vertAlign w:val="baseline"/>
                <w:lang w:val="en-US" w:eastAsia="zh-CN"/>
              </w:rPr>
            </w:pPr>
            <w:r>
              <w:rPr>
                <w:rFonts w:hint="eastAsia" w:asciiTheme="minorEastAsia" w:hAnsiTheme="minorEastAsia" w:eastAsiaTheme="minorEastAsia"/>
                <w:bCs/>
                <w:color w:val="auto"/>
                <w:sz w:val="24"/>
                <w:highlight w:val="none"/>
                <w:u w:val="none"/>
                <w:vertAlign w:val="baseline"/>
                <w:lang w:val="en-US" w:eastAsia="zh-CN"/>
              </w:rPr>
              <w:t>4</w:t>
            </w:r>
          </w:p>
        </w:tc>
        <w:tc>
          <w:tcPr>
            <w:tcW w:w="3995" w:type="dxa"/>
            <w:vAlign w:val="center"/>
          </w:tcPr>
          <w:p w14:paraId="3B9C8EDF">
            <w:pPr>
              <w:pStyle w:val="22"/>
              <w:jc w:val="center"/>
              <w:rPr>
                <w:rFonts w:hint="default" w:asciiTheme="minorEastAsia" w:hAnsiTheme="minorEastAsia" w:eastAsiaTheme="minorEastAsia"/>
                <w:bCs/>
                <w:color w:val="auto"/>
                <w:sz w:val="24"/>
                <w:highlight w:val="none"/>
                <w:u w:val="none"/>
                <w:vertAlign w:val="baseline"/>
                <w:lang w:val="en-US" w:eastAsia="zh-CN"/>
              </w:rPr>
            </w:pPr>
            <w:r>
              <w:rPr>
                <w:rFonts w:hint="default" w:asciiTheme="minorEastAsia" w:hAnsiTheme="minorEastAsia" w:eastAsiaTheme="minorEastAsia"/>
                <w:bCs/>
                <w:color w:val="auto"/>
                <w:sz w:val="24"/>
                <w:highlight w:val="none"/>
                <w:u w:val="none"/>
                <w:vertAlign w:val="baseline"/>
                <w:lang w:val="en-US" w:eastAsia="zh-CN"/>
              </w:rPr>
              <w:t>质保期满后的单次维修人工费用</w:t>
            </w:r>
          </w:p>
        </w:tc>
        <w:tc>
          <w:tcPr>
            <w:tcW w:w="3491" w:type="dxa"/>
            <w:vAlign w:val="center"/>
          </w:tcPr>
          <w:p w14:paraId="2FF551C5">
            <w:pPr>
              <w:pStyle w:val="22"/>
              <w:jc w:val="center"/>
              <w:rPr>
                <w:rFonts w:hint="default" w:asciiTheme="minorEastAsia" w:hAnsiTheme="minorEastAsia" w:eastAsiaTheme="minorEastAsia"/>
                <w:bCs/>
                <w:color w:val="auto"/>
                <w:sz w:val="24"/>
                <w:highlight w:val="none"/>
                <w:u w:val="none"/>
                <w:vertAlign w:val="baseline"/>
                <w:lang w:val="en-US" w:eastAsia="zh-CN"/>
              </w:rPr>
            </w:pPr>
          </w:p>
        </w:tc>
      </w:tr>
    </w:tbl>
    <w:p w14:paraId="4CCA56E5">
      <w:pPr>
        <w:pStyle w:val="22"/>
        <w:ind w:left="0" w:leftChars="0" w:firstLine="0" w:firstLineChars="0"/>
        <w:jc w:val="center"/>
        <w:rPr>
          <w:rFonts w:hint="default" w:asciiTheme="minorEastAsia" w:hAnsiTheme="minorEastAsia" w:eastAsiaTheme="minorEastAsia"/>
          <w:bCs/>
          <w:color w:val="auto"/>
          <w:sz w:val="24"/>
          <w:highlight w:val="none"/>
          <w:u w:val="single"/>
          <w:lang w:val="en-US" w:eastAsia="zh-CN"/>
        </w:rPr>
      </w:pPr>
    </w:p>
    <w:p w14:paraId="336024CD">
      <w:pPr>
        <w:pStyle w:val="22"/>
        <w:rPr>
          <w:rFonts w:hint="eastAsia" w:asciiTheme="minorEastAsia" w:hAnsiTheme="minorEastAsia" w:eastAsiaTheme="minorEastAsia"/>
          <w:bCs/>
          <w:color w:val="auto"/>
          <w:sz w:val="24"/>
          <w:highlight w:val="none"/>
          <w:u w:val="single"/>
        </w:rPr>
      </w:pPr>
    </w:p>
    <w:p w14:paraId="13056E9E">
      <w:pPr>
        <w:pStyle w:val="22"/>
        <w:rPr>
          <w:rFonts w:hint="eastAsia" w:asciiTheme="minorEastAsia" w:hAnsiTheme="minorEastAsia" w:eastAsiaTheme="minorEastAsia"/>
          <w:bCs/>
          <w:color w:val="auto"/>
          <w:sz w:val="24"/>
          <w:highlight w:val="none"/>
          <w:u w:val="single"/>
        </w:rPr>
      </w:pPr>
    </w:p>
    <w:p w14:paraId="690E0EDC">
      <w:pPr>
        <w:spacing w:line="360" w:lineRule="auto"/>
        <w:ind w:firstLine="4320" w:firstLineChars="1800"/>
        <w:rPr>
          <w:rFonts w:hint="eastAsia" w:asciiTheme="minorEastAsia" w:hAnsiTheme="minorEastAsia" w:eastAsiaTheme="minorEastAsia"/>
          <w:bCs/>
          <w:color w:val="auto"/>
          <w:sz w:val="24"/>
          <w:highlight w:val="none"/>
          <w:u w:val="single"/>
        </w:rPr>
      </w:pPr>
    </w:p>
    <w:p w14:paraId="060B6A81">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11A9440">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、其他相关证明材料</w:t>
      </w:r>
      <w:bookmarkEnd w:id="76"/>
      <w:bookmarkEnd w:id="77"/>
    </w:p>
    <w:p w14:paraId="41651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676EBDEE">
      <w:pPr>
        <w:spacing w:line="360" w:lineRule="auto"/>
        <w:ind w:firstLine="480" w:firstLineChars="200"/>
        <w:rPr>
          <w:rFonts w:asciiTheme="minorEastAsia" w:hAnsiTheme="minorEastAsia" w:eastAsiaTheme="minorEastAsia"/>
          <w:color w:val="auto"/>
          <w:sz w:val="24"/>
          <w:highlight w:val="none"/>
        </w:rPr>
      </w:pPr>
    </w:p>
    <w:p w14:paraId="24C916A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F65B0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09B10753">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6B00AD25">
      <w:pPr>
        <w:spacing w:line="360" w:lineRule="auto"/>
        <w:jc w:val="center"/>
        <w:outlineLvl w:val="0"/>
        <w:rPr>
          <w:rFonts w:ascii="宋体" w:hAnsi="宋体" w:eastAsia="宋体"/>
          <w:b/>
          <w:bCs/>
          <w:color w:val="auto"/>
          <w:sz w:val="28"/>
          <w:highlight w:val="none"/>
        </w:rPr>
      </w:pPr>
      <w:bookmarkStart w:id="78" w:name="_Toc6435"/>
      <w:bookmarkStart w:id="79" w:name="_Toc18131"/>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8"/>
      <w:bookmarkEnd w:id="79"/>
    </w:p>
    <w:p w14:paraId="572CDAFD">
      <w:pPr>
        <w:spacing w:line="360" w:lineRule="auto"/>
        <w:jc w:val="center"/>
        <w:outlineLvl w:val="1"/>
        <w:rPr>
          <w:rFonts w:ascii="仿宋" w:hAnsi="仿宋" w:eastAsia="仿宋" w:cs="仿宋"/>
          <w:b/>
          <w:bCs/>
          <w:color w:val="auto"/>
          <w:sz w:val="32"/>
          <w:szCs w:val="44"/>
          <w:highlight w:val="none"/>
        </w:rPr>
      </w:pPr>
      <w:bookmarkStart w:id="80" w:name="_Toc27159"/>
      <w:bookmarkStart w:id="81" w:name="_Toc27489"/>
      <w:r>
        <w:rPr>
          <w:rFonts w:hint="eastAsia" w:ascii="仿宋" w:hAnsi="仿宋" w:eastAsia="仿宋" w:cs="仿宋"/>
          <w:b/>
          <w:bCs/>
          <w:color w:val="auto"/>
          <w:sz w:val="32"/>
          <w:szCs w:val="44"/>
          <w:highlight w:val="none"/>
        </w:rPr>
        <w:t>询问函范本</w:t>
      </w:r>
      <w:bookmarkEnd w:id="80"/>
      <w:bookmarkEnd w:id="81"/>
    </w:p>
    <w:p w14:paraId="78610FD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4A18204">
      <w:pPr>
        <w:adjustRightInd w:val="0"/>
        <w:snapToGrid w:val="0"/>
        <w:spacing w:line="360" w:lineRule="auto"/>
        <w:rPr>
          <w:rFonts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33A590D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07864F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2" w:name="_Toc13899"/>
      <w:r>
        <w:rPr>
          <w:rFonts w:hint="eastAsia" w:cs="仿宋" w:asciiTheme="minorEastAsia" w:hAnsiTheme="minorEastAsia" w:eastAsiaTheme="minorEastAsia"/>
          <w:color w:val="auto"/>
          <w:sz w:val="24"/>
          <w:szCs w:val="24"/>
          <w:highlight w:val="none"/>
        </w:rPr>
        <w:t>一、(事项一)</w:t>
      </w:r>
      <w:bookmarkEnd w:id="82"/>
    </w:p>
    <w:p w14:paraId="5037F4C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43E7F5E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EAAD35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27117B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3" w:name="_Toc3352"/>
      <w:r>
        <w:rPr>
          <w:rFonts w:hint="eastAsia" w:cs="仿宋" w:asciiTheme="minorEastAsia" w:hAnsiTheme="minorEastAsia" w:eastAsiaTheme="minorEastAsia"/>
          <w:color w:val="auto"/>
          <w:sz w:val="24"/>
          <w:szCs w:val="24"/>
          <w:highlight w:val="none"/>
        </w:rPr>
        <w:t>二、(事项二)</w:t>
      </w:r>
      <w:bookmarkEnd w:id="83"/>
    </w:p>
    <w:p w14:paraId="11AA67F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B105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554AC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72FADB5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758F1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3F8C796">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5C085FD0">
      <w:pPr>
        <w:jc w:val="center"/>
        <w:outlineLvl w:val="1"/>
        <w:rPr>
          <w:rFonts w:ascii="仿宋" w:hAnsi="仿宋" w:eastAsia="仿宋" w:cs="仿宋"/>
          <w:b/>
          <w:bCs/>
          <w:color w:val="auto"/>
          <w:sz w:val="32"/>
          <w:szCs w:val="44"/>
          <w:highlight w:val="none"/>
        </w:rPr>
      </w:pPr>
      <w:bookmarkStart w:id="84" w:name="_Toc3245"/>
      <w:bookmarkStart w:id="85" w:name="_Toc1575"/>
      <w:r>
        <w:rPr>
          <w:rFonts w:hint="eastAsia" w:ascii="仿宋" w:hAnsi="仿宋" w:eastAsia="仿宋" w:cs="仿宋"/>
          <w:b/>
          <w:bCs/>
          <w:color w:val="auto"/>
          <w:sz w:val="32"/>
          <w:szCs w:val="44"/>
          <w:highlight w:val="none"/>
        </w:rPr>
        <w:t>质疑函范本</w:t>
      </w:r>
      <w:bookmarkEnd w:id="84"/>
      <w:bookmarkEnd w:id="85"/>
    </w:p>
    <w:p w14:paraId="2BFC811B">
      <w:pPr>
        <w:adjustRightInd w:val="0"/>
        <w:snapToGrid w:val="0"/>
        <w:spacing w:before="312" w:beforeLines="100" w:line="360" w:lineRule="auto"/>
        <w:rPr>
          <w:rFonts w:cs="仿宋" w:asciiTheme="minorEastAsia" w:hAnsiTheme="minorEastAsia" w:eastAsiaTheme="minorEastAsia"/>
          <w:b/>
          <w:bCs/>
          <w:color w:val="auto"/>
          <w:sz w:val="24"/>
          <w:szCs w:val="24"/>
          <w:highlight w:val="none"/>
        </w:rPr>
      </w:pPr>
      <w:bookmarkStart w:id="86" w:name="_Toc21381"/>
      <w:r>
        <w:rPr>
          <w:rFonts w:hint="eastAsia" w:cs="仿宋" w:asciiTheme="minorEastAsia" w:hAnsiTheme="minorEastAsia" w:eastAsiaTheme="minorEastAsia"/>
          <w:b/>
          <w:bCs/>
          <w:color w:val="auto"/>
          <w:sz w:val="24"/>
          <w:szCs w:val="24"/>
          <w:highlight w:val="none"/>
        </w:rPr>
        <w:t>一、质疑供应商基本信息</w:t>
      </w:r>
      <w:bookmarkEnd w:id="86"/>
    </w:p>
    <w:p w14:paraId="6A9C64D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A46D2F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4878F9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8D726E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A0182C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29EF03D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126CA79">
      <w:pPr>
        <w:adjustRightInd w:val="0"/>
        <w:snapToGrid w:val="0"/>
        <w:spacing w:line="360" w:lineRule="auto"/>
        <w:rPr>
          <w:rFonts w:cs="仿宋" w:asciiTheme="minorEastAsia" w:hAnsiTheme="minorEastAsia" w:eastAsiaTheme="minorEastAsia"/>
          <w:b/>
          <w:bCs/>
          <w:color w:val="auto"/>
          <w:sz w:val="24"/>
          <w:szCs w:val="24"/>
          <w:highlight w:val="none"/>
        </w:rPr>
      </w:pPr>
      <w:bookmarkStart w:id="87" w:name="_Toc28415"/>
      <w:r>
        <w:rPr>
          <w:rFonts w:hint="eastAsia" w:cs="仿宋" w:asciiTheme="minorEastAsia" w:hAnsiTheme="minorEastAsia" w:eastAsiaTheme="minorEastAsia"/>
          <w:b/>
          <w:bCs/>
          <w:color w:val="auto"/>
          <w:sz w:val="24"/>
          <w:szCs w:val="24"/>
          <w:highlight w:val="none"/>
        </w:rPr>
        <w:t>二、质疑项目基本情况</w:t>
      </w:r>
      <w:bookmarkEnd w:id="87"/>
    </w:p>
    <w:p w14:paraId="614BCF9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BB7D7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2677C2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5D272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AE96AA2">
      <w:pPr>
        <w:adjustRightInd w:val="0"/>
        <w:snapToGrid w:val="0"/>
        <w:spacing w:line="360" w:lineRule="auto"/>
        <w:rPr>
          <w:rFonts w:cs="仿宋" w:asciiTheme="minorEastAsia" w:hAnsiTheme="minorEastAsia" w:eastAsiaTheme="minorEastAsia"/>
          <w:b/>
          <w:bCs/>
          <w:color w:val="auto"/>
          <w:sz w:val="24"/>
          <w:szCs w:val="24"/>
          <w:highlight w:val="none"/>
        </w:rPr>
      </w:pPr>
      <w:bookmarkStart w:id="88" w:name="_Toc19014"/>
      <w:r>
        <w:rPr>
          <w:rFonts w:hint="eastAsia" w:cs="仿宋" w:asciiTheme="minorEastAsia" w:hAnsiTheme="minorEastAsia" w:eastAsiaTheme="minorEastAsia"/>
          <w:b/>
          <w:bCs/>
          <w:color w:val="auto"/>
          <w:sz w:val="24"/>
          <w:szCs w:val="24"/>
          <w:highlight w:val="none"/>
        </w:rPr>
        <w:t>三、质疑事项具体内容</w:t>
      </w:r>
      <w:bookmarkEnd w:id="88"/>
    </w:p>
    <w:p w14:paraId="015998F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92BF29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AFB669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2D83F2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8118F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30FAE1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D341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5A21ACF">
      <w:pPr>
        <w:adjustRightInd w:val="0"/>
        <w:snapToGrid w:val="0"/>
        <w:spacing w:line="360" w:lineRule="auto"/>
        <w:rPr>
          <w:rFonts w:cs="仿宋" w:asciiTheme="minorEastAsia" w:hAnsiTheme="minorEastAsia" w:eastAsiaTheme="minorEastAsia"/>
          <w:b/>
          <w:bCs/>
          <w:color w:val="auto"/>
          <w:sz w:val="24"/>
          <w:szCs w:val="24"/>
          <w:highlight w:val="none"/>
        </w:rPr>
      </w:pPr>
      <w:bookmarkStart w:id="89" w:name="_Toc17919"/>
      <w:r>
        <w:rPr>
          <w:rFonts w:hint="eastAsia" w:cs="仿宋" w:asciiTheme="minorEastAsia" w:hAnsiTheme="minorEastAsia" w:eastAsiaTheme="minorEastAsia"/>
          <w:b/>
          <w:bCs/>
          <w:color w:val="auto"/>
          <w:sz w:val="24"/>
          <w:szCs w:val="24"/>
          <w:highlight w:val="none"/>
        </w:rPr>
        <w:t>四、与质疑事项相关的质疑请求</w:t>
      </w:r>
      <w:bookmarkEnd w:id="89"/>
    </w:p>
    <w:p w14:paraId="23D43E4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AFEBB0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A05C14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E1BF99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3558D80">
      <w:pPr>
        <w:outlineLvl w:val="0"/>
        <w:rPr>
          <w:rFonts w:asciiTheme="minorEastAsia" w:hAnsiTheme="minorEastAsia" w:eastAsiaTheme="minorEastAsia"/>
          <w:b/>
          <w:color w:val="auto"/>
          <w:sz w:val="28"/>
          <w:szCs w:val="32"/>
          <w:highlight w:val="none"/>
        </w:rPr>
      </w:pPr>
      <w:bookmarkStart w:id="90" w:name="_Toc26836"/>
      <w:bookmarkStart w:id="91" w:name="_Toc9754"/>
      <w:r>
        <w:rPr>
          <w:rFonts w:hint="eastAsia" w:asciiTheme="minorEastAsia" w:hAnsiTheme="minorEastAsia" w:eastAsiaTheme="minorEastAsia"/>
          <w:b/>
          <w:color w:val="auto"/>
          <w:sz w:val="28"/>
          <w:szCs w:val="32"/>
          <w:highlight w:val="none"/>
        </w:rPr>
        <w:t>质疑函制作说明：</w:t>
      </w:r>
      <w:bookmarkEnd w:id="90"/>
      <w:bookmarkEnd w:id="91"/>
    </w:p>
    <w:p w14:paraId="67D5AB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632768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81F96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FBA80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55FE8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3513D3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10" w:type="default"/>
      <w:pgSz w:w="11906" w:h="16838"/>
      <w:pgMar w:top="794" w:right="737" w:bottom="794" w:left="737" w:header="851" w:footer="992" w:gutter="0"/>
      <w:pgNumType w:fmt="decimal" w:start="55"/>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9560">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B945D">
    <w:pPr>
      <w:pStyle w:val="14"/>
      <w:jc w:val="center"/>
      <w:rPr>
        <w:rFonts w:asciiTheme="minorEastAsia" w:hAnsiTheme="minorEastAsia" w:eastAsia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48EB9">
    <w:pPr>
      <w:pStyle w:val="1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2097">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D066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8D066D">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55D1F">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99567">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E99567">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62B55">
    <w:pPr>
      <w:pStyle w:val="1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44CBA">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044CBA">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FA50D">
    <w:pPr>
      <w:pStyle w:val="16"/>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680E0">
    <w:pPr>
      <w:pStyle w:val="16"/>
      <w:jc w:val="left"/>
    </w:pPr>
    <w:r>
      <w:rPr>
        <w:rFonts w:hint="eastAsia" w:asciiTheme="minorEastAsia" w:hAnsiTheme="minorEastAsia" w:eastAsiaTheme="minorEastAsia"/>
      </w:rPr>
      <w:t>安徽省政府采购项目公开招标文件示范文本（货物类）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ZjhlMjQ3ODczZGZkMjdmYmJiNjZlNTg3MGZlMjcifQ=="/>
  </w:docVars>
  <w:rsids>
    <w:rsidRoot w:val="00276BA1"/>
    <w:rsid w:val="0000043F"/>
    <w:rsid w:val="00003F56"/>
    <w:rsid w:val="000049DA"/>
    <w:rsid w:val="00004F40"/>
    <w:rsid w:val="000056B7"/>
    <w:rsid w:val="000129F9"/>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3CE"/>
    <w:rsid w:val="000B1511"/>
    <w:rsid w:val="000B54F4"/>
    <w:rsid w:val="000C1DB1"/>
    <w:rsid w:val="000D04B5"/>
    <w:rsid w:val="000D3F37"/>
    <w:rsid w:val="000D431F"/>
    <w:rsid w:val="000E2208"/>
    <w:rsid w:val="000E3C74"/>
    <w:rsid w:val="000E3F9B"/>
    <w:rsid w:val="000E6689"/>
    <w:rsid w:val="000F00A3"/>
    <w:rsid w:val="000F014C"/>
    <w:rsid w:val="000F172B"/>
    <w:rsid w:val="000F1C24"/>
    <w:rsid w:val="000F2198"/>
    <w:rsid w:val="000F32C4"/>
    <w:rsid w:val="000F39B6"/>
    <w:rsid w:val="000F6B7B"/>
    <w:rsid w:val="00100B0F"/>
    <w:rsid w:val="0010187C"/>
    <w:rsid w:val="001037E3"/>
    <w:rsid w:val="00103A65"/>
    <w:rsid w:val="00110911"/>
    <w:rsid w:val="00116A70"/>
    <w:rsid w:val="0012143A"/>
    <w:rsid w:val="001222C6"/>
    <w:rsid w:val="001278E3"/>
    <w:rsid w:val="00136D80"/>
    <w:rsid w:val="00137C7C"/>
    <w:rsid w:val="00140687"/>
    <w:rsid w:val="00140C14"/>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099E"/>
    <w:rsid w:val="0018119B"/>
    <w:rsid w:val="001812B3"/>
    <w:rsid w:val="00181D07"/>
    <w:rsid w:val="001826D0"/>
    <w:rsid w:val="00183344"/>
    <w:rsid w:val="00183897"/>
    <w:rsid w:val="001844AB"/>
    <w:rsid w:val="00190F1F"/>
    <w:rsid w:val="0019104E"/>
    <w:rsid w:val="001944B8"/>
    <w:rsid w:val="00195399"/>
    <w:rsid w:val="00196DA3"/>
    <w:rsid w:val="00197AC4"/>
    <w:rsid w:val="001A0DCD"/>
    <w:rsid w:val="001A46B4"/>
    <w:rsid w:val="001A5969"/>
    <w:rsid w:val="001A5D34"/>
    <w:rsid w:val="001A68E5"/>
    <w:rsid w:val="001B21DF"/>
    <w:rsid w:val="001B2A54"/>
    <w:rsid w:val="001B5014"/>
    <w:rsid w:val="001B7327"/>
    <w:rsid w:val="001C1409"/>
    <w:rsid w:val="001C67F2"/>
    <w:rsid w:val="001D53B4"/>
    <w:rsid w:val="001E744D"/>
    <w:rsid w:val="001F0143"/>
    <w:rsid w:val="001F28D2"/>
    <w:rsid w:val="001F2F45"/>
    <w:rsid w:val="001F3023"/>
    <w:rsid w:val="001F35F6"/>
    <w:rsid w:val="001F74CA"/>
    <w:rsid w:val="001F7F7E"/>
    <w:rsid w:val="002003B6"/>
    <w:rsid w:val="002020CB"/>
    <w:rsid w:val="002049B4"/>
    <w:rsid w:val="0020520B"/>
    <w:rsid w:val="00213C55"/>
    <w:rsid w:val="00214018"/>
    <w:rsid w:val="002163CF"/>
    <w:rsid w:val="002168C4"/>
    <w:rsid w:val="002178B1"/>
    <w:rsid w:val="00223CF4"/>
    <w:rsid w:val="00224C4A"/>
    <w:rsid w:val="00224F14"/>
    <w:rsid w:val="002338E2"/>
    <w:rsid w:val="0023407E"/>
    <w:rsid w:val="00240B40"/>
    <w:rsid w:val="002440D8"/>
    <w:rsid w:val="00244182"/>
    <w:rsid w:val="00244609"/>
    <w:rsid w:val="00245F65"/>
    <w:rsid w:val="00246810"/>
    <w:rsid w:val="00247F80"/>
    <w:rsid w:val="00260860"/>
    <w:rsid w:val="00260B94"/>
    <w:rsid w:val="002630BB"/>
    <w:rsid w:val="00264F2E"/>
    <w:rsid w:val="00271245"/>
    <w:rsid w:val="00272E6E"/>
    <w:rsid w:val="00274A9E"/>
    <w:rsid w:val="00276292"/>
    <w:rsid w:val="00276BA1"/>
    <w:rsid w:val="00277094"/>
    <w:rsid w:val="00286BB6"/>
    <w:rsid w:val="002A18FA"/>
    <w:rsid w:val="002A1A1D"/>
    <w:rsid w:val="002A28AD"/>
    <w:rsid w:val="002A3AEE"/>
    <w:rsid w:val="002A400A"/>
    <w:rsid w:val="002B06D1"/>
    <w:rsid w:val="002B08E7"/>
    <w:rsid w:val="002B0C18"/>
    <w:rsid w:val="002B3A1A"/>
    <w:rsid w:val="002B5318"/>
    <w:rsid w:val="002B5373"/>
    <w:rsid w:val="002B6D27"/>
    <w:rsid w:val="002B7B52"/>
    <w:rsid w:val="002C3776"/>
    <w:rsid w:val="002C4449"/>
    <w:rsid w:val="002C4BA9"/>
    <w:rsid w:val="002D1258"/>
    <w:rsid w:val="002D128A"/>
    <w:rsid w:val="002D2965"/>
    <w:rsid w:val="002D3D02"/>
    <w:rsid w:val="002D4CB5"/>
    <w:rsid w:val="002D684B"/>
    <w:rsid w:val="002E0502"/>
    <w:rsid w:val="002E3B26"/>
    <w:rsid w:val="002E4AB8"/>
    <w:rsid w:val="002F092B"/>
    <w:rsid w:val="002F5981"/>
    <w:rsid w:val="002F72EE"/>
    <w:rsid w:val="002F7F98"/>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56649"/>
    <w:rsid w:val="00363E02"/>
    <w:rsid w:val="00373A96"/>
    <w:rsid w:val="00374B63"/>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2370"/>
    <w:rsid w:val="003D6656"/>
    <w:rsid w:val="003D6C7C"/>
    <w:rsid w:val="003D6EFB"/>
    <w:rsid w:val="003D7E52"/>
    <w:rsid w:val="003E030E"/>
    <w:rsid w:val="003E25C6"/>
    <w:rsid w:val="003E40EA"/>
    <w:rsid w:val="003E6BEB"/>
    <w:rsid w:val="003E6ECE"/>
    <w:rsid w:val="003F145B"/>
    <w:rsid w:val="003F2122"/>
    <w:rsid w:val="003F326A"/>
    <w:rsid w:val="003F70E2"/>
    <w:rsid w:val="004011AA"/>
    <w:rsid w:val="0040202C"/>
    <w:rsid w:val="00406508"/>
    <w:rsid w:val="0041456E"/>
    <w:rsid w:val="00414F7E"/>
    <w:rsid w:val="004164F8"/>
    <w:rsid w:val="00417FD0"/>
    <w:rsid w:val="00420B7F"/>
    <w:rsid w:val="004234BA"/>
    <w:rsid w:val="0042488B"/>
    <w:rsid w:val="00430D01"/>
    <w:rsid w:val="00436D96"/>
    <w:rsid w:val="00441793"/>
    <w:rsid w:val="00442333"/>
    <w:rsid w:val="004427B7"/>
    <w:rsid w:val="0044349F"/>
    <w:rsid w:val="00445F1F"/>
    <w:rsid w:val="00450183"/>
    <w:rsid w:val="00451F60"/>
    <w:rsid w:val="00452BB2"/>
    <w:rsid w:val="00454406"/>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3EB0"/>
    <w:rsid w:val="00524A11"/>
    <w:rsid w:val="00527768"/>
    <w:rsid w:val="005327FB"/>
    <w:rsid w:val="00533FCA"/>
    <w:rsid w:val="00541C0B"/>
    <w:rsid w:val="0054317E"/>
    <w:rsid w:val="00544C2A"/>
    <w:rsid w:val="00546D49"/>
    <w:rsid w:val="00556D4C"/>
    <w:rsid w:val="005614B4"/>
    <w:rsid w:val="005616B5"/>
    <w:rsid w:val="00571315"/>
    <w:rsid w:val="00577494"/>
    <w:rsid w:val="00582075"/>
    <w:rsid w:val="00584A63"/>
    <w:rsid w:val="00585EB3"/>
    <w:rsid w:val="00591688"/>
    <w:rsid w:val="00592509"/>
    <w:rsid w:val="00594986"/>
    <w:rsid w:val="00597B15"/>
    <w:rsid w:val="005A044C"/>
    <w:rsid w:val="005A397C"/>
    <w:rsid w:val="005B5C95"/>
    <w:rsid w:val="005B6740"/>
    <w:rsid w:val="005D0200"/>
    <w:rsid w:val="005D44EF"/>
    <w:rsid w:val="005D4814"/>
    <w:rsid w:val="005D5112"/>
    <w:rsid w:val="005F03E3"/>
    <w:rsid w:val="005F3914"/>
    <w:rsid w:val="005F3B5A"/>
    <w:rsid w:val="005F481F"/>
    <w:rsid w:val="005F6AB4"/>
    <w:rsid w:val="00610A66"/>
    <w:rsid w:val="00613177"/>
    <w:rsid w:val="00613F7C"/>
    <w:rsid w:val="00614BF2"/>
    <w:rsid w:val="0061618E"/>
    <w:rsid w:val="00620560"/>
    <w:rsid w:val="006208CB"/>
    <w:rsid w:val="00623DE2"/>
    <w:rsid w:val="00627513"/>
    <w:rsid w:val="00627601"/>
    <w:rsid w:val="006300D0"/>
    <w:rsid w:val="00632012"/>
    <w:rsid w:val="00634694"/>
    <w:rsid w:val="00635F9D"/>
    <w:rsid w:val="00636517"/>
    <w:rsid w:val="00637690"/>
    <w:rsid w:val="00640E1E"/>
    <w:rsid w:val="0064389A"/>
    <w:rsid w:val="00643BE3"/>
    <w:rsid w:val="006448EF"/>
    <w:rsid w:val="00645442"/>
    <w:rsid w:val="006525CD"/>
    <w:rsid w:val="00653353"/>
    <w:rsid w:val="00653F7F"/>
    <w:rsid w:val="00662EE8"/>
    <w:rsid w:val="00663813"/>
    <w:rsid w:val="00663C3B"/>
    <w:rsid w:val="00664AFD"/>
    <w:rsid w:val="00667567"/>
    <w:rsid w:val="006701DB"/>
    <w:rsid w:val="0067391A"/>
    <w:rsid w:val="00674173"/>
    <w:rsid w:val="00674602"/>
    <w:rsid w:val="0067535A"/>
    <w:rsid w:val="00683CA0"/>
    <w:rsid w:val="00690DB1"/>
    <w:rsid w:val="00693404"/>
    <w:rsid w:val="006953D9"/>
    <w:rsid w:val="00697FE9"/>
    <w:rsid w:val="006A5C6F"/>
    <w:rsid w:val="006A5FEE"/>
    <w:rsid w:val="006B1242"/>
    <w:rsid w:val="006B1DBC"/>
    <w:rsid w:val="006B31C3"/>
    <w:rsid w:val="006B63B7"/>
    <w:rsid w:val="006B7D9A"/>
    <w:rsid w:val="006C06D9"/>
    <w:rsid w:val="006C464F"/>
    <w:rsid w:val="006C5716"/>
    <w:rsid w:val="006C74A9"/>
    <w:rsid w:val="006D07DE"/>
    <w:rsid w:val="006D394E"/>
    <w:rsid w:val="006D78C8"/>
    <w:rsid w:val="006E06D9"/>
    <w:rsid w:val="006E19F3"/>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6736"/>
    <w:rsid w:val="00727C59"/>
    <w:rsid w:val="00733E26"/>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62E"/>
    <w:rsid w:val="007C3CD5"/>
    <w:rsid w:val="007C61EF"/>
    <w:rsid w:val="007C7774"/>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6786"/>
    <w:rsid w:val="009078A1"/>
    <w:rsid w:val="00911E9C"/>
    <w:rsid w:val="00915083"/>
    <w:rsid w:val="00917405"/>
    <w:rsid w:val="00920035"/>
    <w:rsid w:val="00920F7C"/>
    <w:rsid w:val="00927B9C"/>
    <w:rsid w:val="00934CAE"/>
    <w:rsid w:val="0094257D"/>
    <w:rsid w:val="00942F60"/>
    <w:rsid w:val="00946F2F"/>
    <w:rsid w:val="0095211B"/>
    <w:rsid w:val="009534BE"/>
    <w:rsid w:val="0095467C"/>
    <w:rsid w:val="00954A61"/>
    <w:rsid w:val="00955C6F"/>
    <w:rsid w:val="00966C7B"/>
    <w:rsid w:val="009701DC"/>
    <w:rsid w:val="009715D8"/>
    <w:rsid w:val="00976C6F"/>
    <w:rsid w:val="00980D0D"/>
    <w:rsid w:val="00985C4B"/>
    <w:rsid w:val="00995BF9"/>
    <w:rsid w:val="00997C3C"/>
    <w:rsid w:val="009A0CAF"/>
    <w:rsid w:val="009A1474"/>
    <w:rsid w:val="009A2207"/>
    <w:rsid w:val="009A5147"/>
    <w:rsid w:val="009A74C4"/>
    <w:rsid w:val="009B02D2"/>
    <w:rsid w:val="009B0AF2"/>
    <w:rsid w:val="009B6C42"/>
    <w:rsid w:val="009D142B"/>
    <w:rsid w:val="009D31F7"/>
    <w:rsid w:val="009D32C2"/>
    <w:rsid w:val="009D50DB"/>
    <w:rsid w:val="009E3A0A"/>
    <w:rsid w:val="009F26D4"/>
    <w:rsid w:val="009F3E91"/>
    <w:rsid w:val="009F6CE7"/>
    <w:rsid w:val="009F7D7D"/>
    <w:rsid w:val="00A01670"/>
    <w:rsid w:val="00A1499B"/>
    <w:rsid w:val="00A20879"/>
    <w:rsid w:val="00A20AFC"/>
    <w:rsid w:val="00A23E47"/>
    <w:rsid w:val="00A309B1"/>
    <w:rsid w:val="00A314C2"/>
    <w:rsid w:val="00A43B9C"/>
    <w:rsid w:val="00A45E88"/>
    <w:rsid w:val="00A507BD"/>
    <w:rsid w:val="00A53155"/>
    <w:rsid w:val="00A56FFA"/>
    <w:rsid w:val="00A63E86"/>
    <w:rsid w:val="00A65A1C"/>
    <w:rsid w:val="00A66C8E"/>
    <w:rsid w:val="00A72070"/>
    <w:rsid w:val="00A757C3"/>
    <w:rsid w:val="00A75E5B"/>
    <w:rsid w:val="00A7684A"/>
    <w:rsid w:val="00A82AED"/>
    <w:rsid w:val="00A83B69"/>
    <w:rsid w:val="00A86533"/>
    <w:rsid w:val="00A91176"/>
    <w:rsid w:val="00A9176A"/>
    <w:rsid w:val="00A9182D"/>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671"/>
    <w:rsid w:val="00B039E3"/>
    <w:rsid w:val="00B043C1"/>
    <w:rsid w:val="00B10A90"/>
    <w:rsid w:val="00B17486"/>
    <w:rsid w:val="00B20DF2"/>
    <w:rsid w:val="00B22838"/>
    <w:rsid w:val="00B27D52"/>
    <w:rsid w:val="00B32BC1"/>
    <w:rsid w:val="00B33E95"/>
    <w:rsid w:val="00B34EE1"/>
    <w:rsid w:val="00B35B5E"/>
    <w:rsid w:val="00B3720B"/>
    <w:rsid w:val="00B40EE3"/>
    <w:rsid w:val="00B4535A"/>
    <w:rsid w:val="00B46918"/>
    <w:rsid w:val="00B55271"/>
    <w:rsid w:val="00B5558A"/>
    <w:rsid w:val="00B56513"/>
    <w:rsid w:val="00B56B2E"/>
    <w:rsid w:val="00B64376"/>
    <w:rsid w:val="00B71533"/>
    <w:rsid w:val="00B7401F"/>
    <w:rsid w:val="00B806C3"/>
    <w:rsid w:val="00B838F5"/>
    <w:rsid w:val="00B84FCA"/>
    <w:rsid w:val="00B9089F"/>
    <w:rsid w:val="00B91AEE"/>
    <w:rsid w:val="00B93C12"/>
    <w:rsid w:val="00B94F71"/>
    <w:rsid w:val="00B95F5A"/>
    <w:rsid w:val="00B96EAD"/>
    <w:rsid w:val="00BA22AF"/>
    <w:rsid w:val="00BA4B42"/>
    <w:rsid w:val="00BA50D8"/>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06B"/>
    <w:rsid w:val="00BF73D6"/>
    <w:rsid w:val="00C06545"/>
    <w:rsid w:val="00C1161C"/>
    <w:rsid w:val="00C17F66"/>
    <w:rsid w:val="00C220FC"/>
    <w:rsid w:val="00C23C86"/>
    <w:rsid w:val="00C24DFA"/>
    <w:rsid w:val="00C35561"/>
    <w:rsid w:val="00C4202A"/>
    <w:rsid w:val="00C4211F"/>
    <w:rsid w:val="00C46A36"/>
    <w:rsid w:val="00C47037"/>
    <w:rsid w:val="00C53625"/>
    <w:rsid w:val="00C53A39"/>
    <w:rsid w:val="00C602C1"/>
    <w:rsid w:val="00C61C98"/>
    <w:rsid w:val="00C63FC0"/>
    <w:rsid w:val="00C66392"/>
    <w:rsid w:val="00C74C5E"/>
    <w:rsid w:val="00C77487"/>
    <w:rsid w:val="00C827A2"/>
    <w:rsid w:val="00C82B69"/>
    <w:rsid w:val="00C85394"/>
    <w:rsid w:val="00C8657D"/>
    <w:rsid w:val="00C91B28"/>
    <w:rsid w:val="00C91F3A"/>
    <w:rsid w:val="00C94288"/>
    <w:rsid w:val="00C94A6F"/>
    <w:rsid w:val="00CA06E3"/>
    <w:rsid w:val="00CA613C"/>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23303"/>
    <w:rsid w:val="00D30F1B"/>
    <w:rsid w:val="00D30FC0"/>
    <w:rsid w:val="00D34F0D"/>
    <w:rsid w:val="00D3516E"/>
    <w:rsid w:val="00D37D27"/>
    <w:rsid w:val="00D4064C"/>
    <w:rsid w:val="00D47F9F"/>
    <w:rsid w:val="00D53ED8"/>
    <w:rsid w:val="00D56380"/>
    <w:rsid w:val="00D56A47"/>
    <w:rsid w:val="00D63E3B"/>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D4C6F"/>
    <w:rsid w:val="00DE09AB"/>
    <w:rsid w:val="00DE4A3F"/>
    <w:rsid w:val="00DE4E53"/>
    <w:rsid w:val="00DE7AE9"/>
    <w:rsid w:val="00DF4367"/>
    <w:rsid w:val="00DF54F7"/>
    <w:rsid w:val="00E0574A"/>
    <w:rsid w:val="00E1243D"/>
    <w:rsid w:val="00E12742"/>
    <w:rsid w:val="00E12E4A"/>
    <w:rsid w:val="00E146D4"/>
    <w:rsid w:val="00E20976"/>
    <w:rsid w:val="00E22079"/>
    <w:rsid w:val="00E22B44"/>
    <w:rsid w:val="00E236D8"/>
    <w:rsid w:val="00E30ACD"/>
    <w:rsid w:val="00E3184B"/>
    <w:rsid w:val="00E32735"/>
    <w:rsid w:val="00E371FE"/>
    <w:rsid w:val="00E5391D"/>
    <w:rsid w:val="00E544E5"/>
    <w:rsid w:val="00E61336"/>
    <w:rsid w:val="00E66E36"/>
    <w:rsid w:val="00E6781E"/>
    <w:rsid w:val="00E702ED"/>
    <w:rsid w:val="00E705CC"/>
    <w:rsid w:val="00E709A4"/>
    <w:rsid w:val="00E73822"/>
    <w:rsid w:val="00E772DB"/>
    <w:rsid w:val="00E80370"/>
    <w:rsid w:val="00E83C7E"/>
    <w:rsid w:val="00E86012"/>
    <w:rsid w:val="00E86BAB"/>
    <w:rsid w:val="00E8753C"/>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6D15"/>
    <w:rsid w:val="00F47100"/>
    <w:rsid w:val="00F5382D"/>
    <w:rsid w:val="00F53D9C"/>
    <w:rsid w:val="00F5462B"/>
    <w:rsid w:val="00F54F8E"/>
    <w:rsid w:val="00F634AD"/>
    <w:rsid w:val="00F63677"/>
    <w:rsid w:val="00F63ABE"/>
    <w:rsid w:val="00F71824"/>
    <w:rsid w:val="00F75B81"/>
    <w:rsid w:val="00F804C4"/>
    <w:rsid w:val="00F8285C"/>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E7B94"/>
    <w:rsid w:val="00FF0ABF"/>
    <w:rsid w:val="00FF0DA7"/>
    <w:rsid w:val="00FF44E0"/>
    <w:rsid w:val="00FF4CB6"/>
    <w:rsid w:val="00FF5834"/>
    <w:rsid w:val="00FF6C72"/>
    <w:rsid w:val="01086C64"/>
    <w:rsid w:val="01113D6B"/>
    <w:rsid w:val="011B15A2"/>
    <w:rsid w:val="01437C9C"/>
    <w:rsid w:val="014852B3"/>
    <w:rsid w:val="015104C7"/>
    <w:rsid w:val="01541EA9"/>
    <w:rsid w:val="01545F37"/>
    <w:rsid w:val="015E0632"/>
    <w:rsid w:val="015E4AC8"/>
    <w:rsid w:val="0167398B"/>
    <w:rsid w:val="016A729C"/>
    <w:rsid w:val="017240DE"/>
    <w:rsid w:val="017B1BF9"/>
    <w:rsid w:val="017D4F5C"/>
    <w:rsid w:val="018A58CB"/>
    <w:rsid w:val="01A20F1D"/>
    <w:rsid w:val="01AA7247"/>
    <w:rsid w:val="01C54B55"/>
    <w:rsid w:val="01D152A8"/>
    <w:rsid w:val="01DD59FB"/>
    <w:rsid w:val="01E054EB"/>
    <w:rsid w:val="01E07299"/>
    <w:rsid w:val="01E93A1B"/>
    <w:rsid w:val="01E95978"/>
    <w:rsid w:val="01EC0334"/>
    <w:rsid w:val="01FB0654"/>
    <w:rsid w:val="0214602E"/>
    <w:rsid w:val="02184C85"/>
    <w:rsid w:val="021A39A0"/>
    <w:rsid w:val="023A4BFB"/>
    <w:rsid w:val="02555ED9"/>
    <w:rsid w:val="029702A0"/>
    <w:rsid w:val="02AF383B"/>
    <w:rsid w:val="02C1356F"/>
    <w:rsid w:val="02C60B85"/>
    <w:rsid w:val="02E82BCD"/>
    <w:rsid w:val="02EF1E8A"/>
    <w:rsid w:val="02F456F2"/>
    <w:rsid w:val="02FC6355"/>
    <w:rsid w:val="032633D2"/>
    <w:rsid w:val="032B09E8"/>
    <w:rsid w:val="03362040"/>
    <w:rsid w:val="03486B27"/>
    <w:rsid w:val="034A5312"/>
    <w:rsid w:val="034E4265"/>
    <w:rsid w:val="035D4076"/>
    <w:rsid w:val="037B0283"/>
    <w:rsid w:val="03890AF0"/>
    <w:rsid w:val="0389522B"/>
    <w:rsid w:val="03A013D6"/>
    <w:rsid w:val="03B67FCA"/>
    <w:rsid w:val="03CA0201"/>
    <w:rsid w:val="03D33559"/>
    <w:rsid w:val="03DB41BC"/>
    <w:rsid w:val="03EA08A3"/>
    <w:rsid w:val="040A094E"/>
    <w:rsid w:val="04350D16"/>
    <w:rsid w:val="0438160E"/>
    <w:rsid w:val="0439520A"/>
    <w:rsid w:val="044A30F0"/>
    <w:rsid w:val="045D20E3"/>
    <w:rsid w:val="047563BF"/>
    <w:rsid w:val="04784FB5"/>
    <w:rsid w:val="04794212"/>
    <w:rsid w:val="047F0912"/>
    <w:rsid w:val="04800E71"/>
    <w:rsid w:val="04806B11"/>
    <w:rsid w:val="04934A97"/>
    <w:rsid w:val="049A4310"/>
    <w:rsid w:val="04CD61FB"/>
    <w:rsid w:val="04E4640D"/>
    <w:rsid w:val="04E978D1"/>
    <w:rsid w:val="04F01EE9"/>
    <w:rsid w:val="052120A3"/>
    <w:rsid w:val="05281683"/>
    <w:rsid w:val="052851DF"/>
    <w:rsid w:val="053E4A03"/>
    <w:rsid w:val="055C6BEF"/>
    <w:rsid w:val="055E50A5"/>
    <w:rsid w:val="056A0DEE"/>
    <w:rsid w:val="056F201D"/>
    <w:rsid w:val="057C00E4"/>
    <w:rsid w:val="059D5A0A"/>
    <w:rsid w:val="05A607FA"/>
    <w:rsid w:val="05AB7BBE"/>
    <w:rsid w:val="05B54B88"/>
    <w:rsid w:val="05B664D4"/>
    <w:rsid w:val="05C0366A"/>
    <w:rsid w:val="05C07B0D"/>
    <w:rsid w:val="05C56ED2"/>
    <w:rsid w:val="05D37841"/>
    <w:rsid w:val="05DB66F5"/>
    <w:rsid w:val="0600615C"/>
    <w:rsid w:val="060E6ACB"/>
    <w:rsid w:val="061575B7"/>
    <w:rsid w:val="061D286A"/>
    <w:rsid w:val="062260D2"/>
    <w:rsid w:val="063267C3"/>
    <w:rsid w:val="0636392C"/>
    <w:rsid w:val="06431415"/>
    <w:rsid w:val="064B485A"/>
    <w:rsid w:val="06795083"/>
    <w:rsid w:val="06824DC3"/>
    <w:rsid w:val="068A3FBA"/>
    <w:rsid w:val="068C65C4"/>
    <w:rsid w:val="06A411DD"/>
    <w:rsid w:val="06A44D39"/>
    <w:rsid w:val="06A967F3"/>
    <w:rsid w:val="06CE0F77"/>
    <w:rsid w:val="06D73361"/>
    <w:rsid w:val="06D92D54"/>
    <w:rsid w:val="06DD649D"/>
    <w:rsid w:val="06EB0BBA"/>
    <w:rsid w:val="0701218C"/>
    <w:rsid w:val="07076C01"/>
    <w:rsid w:val="07140111"/>
    <w:rsid w:val="071C12AC"/>
    <w:rsid w:val="074E2EF7"/>
    <w:rsid w:val="07556255"/>
    <w:rsid w:val="076170CE"/>
    <w:rsid w:val="078132CC"/>
    <w:rsid w:val="078443B5"/>
    <w:rsid w:val="078F7797"/>
    <w:rsid w:val="07996868"/>
    <w:rsid w:val="07A019A5"/>
    <w:rsid w:val="07A709BA"/>
    <w:rsid w:val="07A934B3"/>
    <w:rsid w:val="07CD02C0"/>
    <w:rsid w:val="07D4164E"/>
    <w:rsid w:val="07E15B19"/>
    <w:rsid w:val="07EB6287"/>
    <w:rsid w:val="07F13FAE"/>
    <w:rsid w:val="07F27D26"/>
    <w:rsid w:val="07F341CA"/>
    <w:rsid w:val="0806421B"/>
    <w:rsid w:val="08206641"/>
    <w:rsid w:val="0834033F"/>
    <w:rsid w:val="084367D4"/>
    <w:rsid w:val="08534C69"/>
    <w:rsid w:val="085409E1"/>
    <w:rsid w:val="08777BCA"/>
    <w:rsid w:val="087D1CE6"/>
    <w:rsid w:val="088210AA"/>
    <w:rsid w:val="088C1F29"/>
    <w:rsid w:val="08DB6A0C"/>
    <w:rsid w:val="08E20019"/>
    <w:rsid w:val="08F024B8"/>
    <w:rsid w:val="09173EE8"/>
    <w:rsid w:val="091A5CFC"/>
    <w:rsid w:val="092D25BF"/>
    <w:rsid w:val="09390FE4"/>
    <w:rsid w:val="093F343F"/>
    <w:rsid w:val="09442803"/>
    <w:rsid w:val="095567BF"/>
    <w:rsid w:val="0980686E"/>
    <w:rsid w:val="0980799C"/>
    <w:rsid w:val="098336D5"/>
    <w:rsid w:val="098470A4"/>
    <w:rsid w:val="09931095"/>
    <w:rsid w:val="09944B8E"/>
    <w:rsid w:val="09953447"/>
    <w:rsid w:val="09975029"/>
    <w:rsid w:val="09AB20DD"/>
    <w:rsid w:val="09AF207D"/>
    <w:rsid w:val="09C35E1E"/>
    <w:rsid w:val="09D41DD9"/>
    <w:rsid w:val="09F23080"/>
    <w:rsid w:val="09FC09DC"/>
    <w:rsid w:val="0A0A75A9"/>
    <w:rsid w:val="0A116B8A"/>
    <w:rsid w:val="0A170CD7"/>
    <w:rsid w:val="0A2D14EA"/>
    <w:rsid w:val="0A3E36F7"/>
    <w:rsid w:val="0A4D7372"/>
    <w:rsid w:val="0A5D2E90"/>
    <w:rsid w:val="0A622F41"/>
    <w:rsid w:val="0A6A18DB"/>
    <w:rsid w:val="0A777282"/>
    <w:rsid w:val="0A8A171B"/>
    <w:rsid w:val="0A922CDA"/>
    <w:rsid w:val="0A975B48"/>
    <w:rsid w:val="0A9F23E7"/>
    <w:rsid w:val="0ABB6AF5"/>
    <w:rsid w:val="0AD35BED"/>
    <w:rsid w:val="0AEC44DA"/>
    <w:rsid w:val="0AEF3828"/>
    <w:rsid w:val="0AFB5144"/>
    <w:rsid w:val="0AFF19D8"/>
    <w:rsid w:val="0B156206"/>
    <w:rsid w:val="0B297F03"/>
    <w:rsid w:val="0B372620"/>
    <w:rsid w:val="0B406381"/>
    <w:rsid w:val="0B470389"/>
    <w:rsid w:val="0B4E7969"/>
    <w:rsid w:val="0B5539B8"/>
    <w:rsid w:val="0B602DC9"/>
    <w:rsid w:val="0B674587"/>
    <w:rsid w:val="0B7218AA"/>
    <w:rsid w:val="0B7373D0"/>
    <w:rsid w:val="0B8C20F3"/>
    <w:rsid w:val="0B8D66E4"/>
    <w:rsid w:val="0B963AEC"/>
    <w:rsid w:val="0B9A495D"/>
    <w:rsid w:val="0B9B38BA"/>
    <w:rsid w:val="0BB452AA"/>
    <w:rsid w:val="0BB73761"/>
    <w:rsid w:val="0BBA4FFF"/>
    <w:rsid w:val="0BBB665B"/>
    <w:rsid w:val="0BEF2EFA"/>
    <w:rsid w:val="0C126BE9"/>
    <w:rsid w:val="0C223063"/>
    <w:rsid w:val="0C34090D"/>
    <w:rsid w:val="0C373B83"/>
    <w:rsid w:val="0C6E02C3"/>
    <w:rsid w:val="0C7D2327"/>
    <w:rsid w:val="0C822728"/>
    <w:rsid w:val="0C912C4C"/>
    <w:rsid w:val="0C992E66"/>
    <w:rsid w:val="0C9E222B"/>
    <w:rsid w:val="0CB90E13"/>
    <w:rsid w:val="0CBC774A"/>
    <w:rsid w:val="0CDC13A0"/>
    <w:rsid w:val="0CF402AE"/>
    <w:rsid w:val="0D0441AD"/>
    <w:rsid w:val="0D0C3638"/>
    <w:rsid w:val="0D197B03"/>
    <w:rsid w:val="0D2D0AED"/>
    <w:rsid w:val="0D49488C"/>
    <w:rsid w:val="0D5F587A"/>
    <w:rsid w:val="0D8238FA"/>
    <w:rsid w:val="0D8B2166"/>
    <w:rsid w:val="0DA0500B"/>
    <w:rsid w:val="0DA12DB2"/>
    <w:rsid w:val="0DC857B1"/>
    <w:rsid w:val="0DCC3FC5"/>
    <w:rsid w:val="0DE16873"/>
    <w:rsid w:val="0DFC36AD"/>
    <w:rsid w:val="0E124C7E"/>
    <w:rsid w:val="0E1E3623"/>
    <w:rsid w:val="0E2444C0"/>
    <w:rsid w:val="0E250E55"/>
    <w:rsid w:val="0E2624D8"/>
    <w:rsid w:val="0E6301A5"/>
    <w:rsid w:val="0E722B97"/>
    <w:rsid w:val="0E883192"/>
    <w:rsid w:val="0EC35F79"/>
    <w:rsid w:val="0EDB7766"/>
    <w:rsid w:val="0EDE6948"/>
    <w:rsid w:val="0EE06912"/>
    <w:rsid w:val="0EEA6FC1"/>
    <w:rsid w:val="0EEE56EB"/>
    <w:rsid w:val="0F024CF3"/>
    <w:rsid w:val="0F1B5DB5"/>
    <w:rsid w:val="0F20786F"/>
    <w:rsid w:val="0F2D2E72"/>
    <w:rsid w:val="0F2E7896"/>
    <w:rsid w:val="0F30565D"/>
    <w:rsid w:val="0F346E76"/>
    <w:rsid w:val="0F3E2E24"/>
    <w:rsid w:val="0F707EAE"/>
    <w:rsid w:val="0F73174D"/>
    <w:rsid w:val="0F752504"/>
    <w:rsid w:val="0F790928"/>
    <w:rsid w:val="0F917E25"/>
    <w:rsid w:val="0F934A7C"/>
    <w:rsid w:val="0F9C5147"/>
    <w:rsid w:val="0FA67D74"/>
    <w:rsid w:val="0FA7589A"/>
    <w:rsid w:val="0FB029A1"/>
    <w:rsid w:val="0FBA737B"/>
    <w:rsid w:val="0FC0673B"/>
    <w:rsid w:val="0FD50659"/>
    <w:rsid w:val="0FD52407"/>
    <w:rsid w:val="0FD85A54"/>
    <w:rsid w:val="0FDB2D95"/>
    <w:rsid w:val="0FF22FB9"/>
    <w:rsid w:val="0FF860F6"/>
    <w:rsid w:val="0FFA1E6E"/>
    <w:rsid w:val="100827DD"/>
    <w:rsid w:val="101B7514"/>
    <w:rsid w:val="10246EEB"/>
    <w:rsid w:val="104D6442"/>
    <w:rsid w:val="105C6685"/>
    <w:rsid w:val="10727C56"/>
    <w:rsid w:val="107734BE"/>
    <w:rsid w:val="107F6F88"/>
    <w:rsid w:val="108816C1"/>
    <w:rsid w:val="10B459E4"/>
    <w:rsid w:val="10C61D50"/>
    <w:rsid w:val="10CD72BB"/>
    <w:rsid w:val="10DB57FB"/>
    <w:rsid w:val="11001706"/>
    <w:rsid w:val="11092E2A"/>
    <w:rsid w:val="1109680C"/>
    <w:rsid w:val="11162CD7"/>
    <w:rsid w:val="111725AC"/>
    <w:rsid w:val="11194576"/>
    <w:rsid w:val="11196324"/>
    <w:rsid w:val="11290C5D"/>
    <w:rsid w:val="114710E3"/>
    <w:rsid w:val="114C04A7"/>
    <w:rsid w:val="114F7F97"/>
    <w:rsid w:val="1156017C"/>
    <w:rsid w:val="115B2DE0"/>
    <w:rsid w:val="11A64463"/>
    <w:rsid w:val="11BD13A5"/>
    <w:rsid w:val="11D47B43"/>
    <w:rsid w:val="11DA3D05"/>
    <w:rsid w:val="11E47052"/>
    <w:rsid w:val="11E608FC"/>
    <w:rsid w:val="12046FD4"/>
    <w:rsid w:val="120A7714"/>
    <w:rsid w:val="120D75E7"/>
    <w:rsid w:val="12197477"/>
    <w:rsid w:val="121D3BF2"/>
    <w:rsid w:val="124318AA"/>
    <w:rsid w:val="1246139A"/>
    <w:rsid w:val="12577104"/>
    <w:rsid w:val="126D2DCB"/>
    <w:rsid w:val="12704669"/>
    <w:rsid w:val="127952CC"/>
    <w:rsid w:val="12802AFE"/>
    <w:rsid w:val="129F51C9"/>
    <w:rsid w:val="12AB56A1"/>
    <w:rsid w:val="12B72298"/>
    <w:rsid w:val="12C02EFB"/>
    <w:rsid w:val="12C45042"/>
    <w:rsid w:val="12CF75E2"/>
    <w:rsid w:val="12D40754"/>
    <w:rsid w:val="12E0359D"/>
    <w:rsid w:val="130D3C66"/>
    <w:rsid w:val="13166FBF"/>
    <w:rsid w:val="131B5CD3"/>
    <w:rsid w:val="134A310C"/>
    <w:rsid w:val="13503262"/>
    <w:rsid w:val="13776448"/>
    <w:rsid w:val="13871C6A"/>
    <w:rsid w:val="1399374C"/>
    <w:rsid w:val="139B473C"/>
    <w:rsid w:val="13C0517C"/>
    <w:rsid w:val="13CC1D73"/>
    <w:rsid w:val="140432BB"/>
    <w:rsid w:val="14065285"/>
    <w:rsid w:val="14076907"/>
    <w:rsid w:val="14244083"/>
    <w:rsid w:val="143D057B"/>
    <w:rsid w:val="144E0F6C"/>
    <w:rsid w:val="146401FE"/>
    <w:rsid w:val="1466407E"/>
    <w:rsid w:val="147F0B94"/>
    <w:rsid w:val="14834E28"/>
    <w:rsid w:val="14860F5C"/>
    <w:rsid w:val="148E7D65"/>
    <w:rsid w:val="14A625C4"/>
    <w:rsid w:val="14A66120"/>
    <w:rsid w:val="14BA1BCC"/>
    <w:rsid w:val="14CF38C9"/>
    <w:rsid w:val="14D62EA9"/>
    <w:rsid w:val="14E31122"/>
    <w:rsid w:val="14ED3D4F"/>
    <w:rsid w:val="14F94403"/>
    <w:rsid w:val="14FB646C"/>
    <w:rsid w:val="15231BF9"/>
    <w:rsid w:val="15273705"/>
    <w:rsid w:val="15393438"/>
    <w:rsid w:val="1546288C"/>
    <w:rsid w:val="1548367B"/>
    <w:rsid w:val="156E60BC"/>
    <w:rsid w:val="15715DE2"/>
    <w:rsid w:val="157F52EF"/>
    <w:rsid w:val="15891CCA"/>
    <w:rsid w:val="1598015F"/>
    <w:rsid w:val="1598133F"/>
    <w:rsid w:val="15981F0D"/>
    <w:rsid w:val="15AD1A1E"/>
    <w:rsid w:val="15B07BCB"/>
    <w:rsid w:val="15B12FCF"/>
    <w:rsid w:val="15BA6327"/>
    <w:rsid w:val="15C4546D"/>
    <w:rsid w:val="15CA0F4F"/>
    <w:rsid w:val="15CE592F"/>
    <w:rsid w:val="15E50ECA"/>
    <w:rsid w:val="15F555B1"/>
    <w:rsid w:val="16070E41"/>
    <w:rsid w:val="164077B9"/>
    <w:rsid w:val="1672275E"/>
    <w:rsid w:val="16822E29"/>
    <w:rsid w:val="1683189B"/>
    <w:rsid w:val="168947AD"/>
    <w:rsid w:val="168A350F"/>
    <w:rsid w:val="16CC53F5"/>
    <w:rsid w:val="16D056D6"/>
    <w:rsid w:val="16E96798"/>
    <w:rsid w:val="16F413C5"/>
    <w:rsid w:val="16FB6BF7"/>
    <w:rsid w:val="16FE2244"/>
    <w:rsid w:val="17005FBC"/>
    <w:rsid w:val="17115F58"/>
    <w:rsid w:val="17231CAA"/>
    <w:rsid w:val="17400AAE"/>
    <w:rsid w:val="174165D4"/>
    <w:rsid w:val="17476ACB"/>
    <w:rsid w:val="1752258F"/>
    <w:rsid w:val="175A79B7"/>
    <w:rsid w:val="17685577"/>
    <w:rsid w:val="176C18A3"/>
    <w:rsid w:val="176C53FF"/>
    <w:rsid w:val="177B063A"/>
    <w:rsid w:val="1787048B"/>
    <w:rsid w:val="17A252C5"/>
    <w:rsid w:val="17A607FA"/>
    <w:rsid w:val="17BB0135"/>
    <w:rsid w:val="17BB1EE3"/>
    <w:rsid w:val="17D42FA4"/>
    <w:rsid w:val="17D80CE7"/>
    <w:rsid w:val="17E10902"/>
    <w:rsid w:val="180C625B"/>
    <w:rsid w:val="183F7734"/>
    <w:rsid w:val="18786026"/>
    <w:rsid w:val="188B3FAB"/>
    <w:rsid w:val="18914C4B"/>
    <w:rsid w:val="189A5F9C"/>
    <w:rsid w:val="18AC1971"/>
    <w:rsid w:val="18EC53A0"/>
    <w:rsid w:val="18EE0096"/>
    <w:rsid w:val="19033B41"/>
    <w:rsid w:val="1923211F"/>
    <w:rsid w:val="193208CA"/>
    <w:rsid w:val="19434886"/>
    <w:rsid w:val="19516FA3"/>
    <w:rsid w:val="19573E8D"/>
    <w:rsid w:val="195B397D"/>
    <w:rsid w:val="197E58BE"/>
    <w:rsid w:val="19805192"/>
    <w:rsid w:val="198F1879"/>
    <w:rsid w:val="19915E81"/>
    <w:rsid w:val="199E1ABC"/>
    <w:rsid w:val="19C72D2C"/>
    <w:rsid w:val="19DB2D10"/>
    <w:rsid w:val="19ED59E3"/>
    <w:rsid w:val="19F81246"/>
    <w:rsid w:val="19F82EB8"/>
    <w:rsid w:val="19FE07AD"/>
    <w:rsid w:val="1A004525"/>
    <w:rsid w:val="1A064976"/>
    <w:rsid w:val="1A110413"/>
    <w:rsid w:val="1A1474E4"/>
    <w:rsid w:val="1A3B68AA"/>
    <w:rsid w:val="1A3E1C1E"/>
    <w:rsid w:val="1A400DC5"/>
    <w:rsid w:val="1A406F1E"/>
    <w:rsid w:val="1A443726"/>
    <w:rsid w:val="1A45126D"/>
    <w:rsid w:val="1A495ECC"/>
    <w:rsid w:val="1A6B6620"/>
    <w:rsid w:val="1A736AA5"/>
    <w:rsid w:val="1A746473"/>
    <w:rsid w:val="1A7A6085"/>
    <w:rsid w:val="1A850BA8"/>
    <w:rsid w:val="1A9A64D7"/>
    <w:rsid w:val="1AB570BD"/>
    <w:rsid w:val="1AC90E32"/>
    <w:rsid w:val="1AC92B69"/>
    <w:rsid w:val="1ACB580B"/>
    <w:rsid w:val="1AEE0821"/>
    <w:rsid w:val="1AF000F5"/>
    <w:rsid w:val="1AF06347"/>
    <w:rsid w:val="1AF57E02"/>
    <w:rsid w:val="1AFC4CEC"/>
    <w:rsid w:val="1AFC6A05"/>
    <w:rsid w:val="1B3A7B84"/>
    <w:rsid w:val="1B410951"/>
    <w:rsid w:val="1B4D19EC"/>
    <w:rsid w:val="1B5543FC"/>
    <w:rsid w:val="1B6F4F40"/>
    <w:rsid w:val="1B8A1FF6"/>
    <w:rsid w:val="1B9C027D"/>
    <w:rsid w:val="1B9C14FB"/>
    <w:rsid w:val="1BAD248A"/>
    <w:rsid w:val="1BD33CD1"/>
    <w:rsid w:val="1BD94F72"/>
    <w:rsid w:val="1BDD4B1E"/>
    <w:rsid w:val="1C007D91"/>
    <w:rsid w:val="1C141836"/>
    <w:rsid w:val="1C27223D"/>
    <w:rsid w:val="1C402B86"/>
    <w:rsid w:val="1C4032FE"/>
    <w:rsid w:val="1C632B49"/>
    <w:rsid w:val="1C6A3ED7"/>
    <w:rsid w:val="1C76537D"/>
    <w:rsid w:val="1C80194D"/>
    <w:rsid w:val="1C827473"/>
    <w:rsid w:val="1C8812E8"/>
    <w:rsid w:val="1C9378D2"/>
    <w:rsid w:val="1CAE0268"/>
    <w:rsid w:val="1CBD494F"/>
    <w:rsid w:val="1CC23D13"/>
    <w:rsid w:val="1CCA3407"/>
    <w:rsid w:val="1CDA105D"/>
    <w:rsid w:val="1D04432C"/>
    <w:rsid w:val="1D13631D"/>
    <w:rsid w:val="1D187A2E"/>
    <w:rsid w:val="1D1D0F4A"/>
    <w:rsid w:val="1D282995"/>
    <w:rsid w:val="1D3C1D18"/>
    <w:rsid w:val="1D4330A6"/>
    <w:rsid w:val="1D436937"/>
    <w:rsid w:val="1D7730D8"/>
    <w:rsid w:val="1D977375"/>
    <w:rsid w:val="1DA67191"/>
    <w:rsid w:val="1DB21FDA"/>
    <w:rsid w:val="1DC55869"/>
    <w:rsid w:val="1DE06B47"/>
    <w:rsid w:val="1DE3384A"/>
    <w:rsid w:val="1DE859FC"/>
    <w:rsid w:val="1DFB0390"/>
    <w:rsid w:val="1DFE701D"/>
    <w:rsid w:val="1E0C793C"/>
    <w:rsid w:val="1E162569"/>
    <w:rsid w:val="1E234C86"/>
    <w:rsid w:val="1E2D1660"/>
    <w:rsid w:val="1E4C6A51"/>
    <w:rsid w:val="1E5B61CE"/>
    <w:rsid w:val="1E684081"/>
    <w:rsid w:val="1E6B6A14"/>
    <w:rsid w:val="1E766B63"/>
    <w:rsid w:val="1E911BEF"/>
    <w:rsid w:val="1E91399D"/>
    <w:rsid w:val="1EA638ED"/>
    <w:rsid w:val="1EB53B30"/>
    <w:rsid w:val="1EB678A8"/>
    <w:rsid w:val="1ED16490"/>
    <w:rsid w:val="1ED55F80"/>
    <w:rsid w:val="1EF67CA4"/>
    <w:rsid w:val="1F0028D1"/>
    <w:rsid w:val="1F1D16D5"/>
    <w:rsid w:val="1F364345"/>
    <w:rsid w:val="1F4C0AC0"/>
    <w:rsid w:val="1F533349"/>
    <w:rsid w:val="1F7A62B3"/>
    <w:rsid w:val="1F813A12"/>
    <w:rsid w:val="1F8452B0"/>
    <w:rsid w:val="1F9A6433"/>
    <w:rsid w:val="1FA616CA"/>
    <w:rsid w:val="1FA90119"/>
    <w:rsid w:val="1FAB4F33"/>
    <w:rsid w:val="1FB42039"/>
    <w:rsid w:val="1FCD4EA9"/>
    <w:rsid w:val="1FD61FB0"/>
    <w:rsid w:val="1FDA1374"/>
    <w:rsid w:val="1FE521F3"/>
    <w:rsid w:val="1FE67D19"/>
    <w:rsid w:val="1FF0056C"/>
    <w:rsid w:val="20140D2A"/>
    <w:rsid w:val="2020322B"/>
    <w:rsid w:val="20354CAD"/>
    <w:rsid w:val="204A64FA"/>
    <w:rsid w:val="20550D9A"/>
    <w:rsid w:val="20580C17"/>
    <w:rsid w:val="20A34C1D"/>
    <w:rsid w:val="20C75D9C"/>
    <w:rsid w:val="20D34741"/>
    <w:rsid w:val="20DF3FCB"/>
    <w:rsid w:val="20E06E5E"/>
    <w:rsid w:val="20E34258"/>
    <w:rsid w:val="20F12E19"/>
    <w:rsid w:val="20FA1B12"/>
    <w:rsid w:val="21022930"/>
    <w:rsid w:val="2106393A"/>
    <w:rsid w:val="21091F11"/>
    <w:rsid w:val="2125620F"/>
    <w:rsid w:val="213845A4"/>
    <w:rsid w:val="213F5933"/>
    <w:rsid w:val="21415B46"/>
    <w:rsid w:val="21425423"/>
    <w:rsid w:val="217E28FF"/>
    <w:rsid w:val="217F43F5"/>
    <w:rsid w:val="218617B3"/>
    <w:rsid w:val="2186530F"/>
    <w:rsid w:val="218E2416"/>
    <w:rsid w:val="219043E0"/>
    <w:rsid w:val="21994175"/>
    <w:rsid w:val="219E6AFD"/>
    <w:rsid w:val="21A8172A"/>
    <w:rsid w:val="21AB205E"/>
    <w:rsid w:val="21AD0AEE"/>
    <w:rsid w:val="21C80FDC"/>
    <w:rsid w:val="21E93AF0"/>
    <w:rsid w:val="21EA1D42"/>
    <w:rsid w:val="21F52495"/>
    <w:rsid w:val="21F66585"/>
    <w:rsid w:val="220D3C83"/>
    <w:rsid w:val="223E3E3C"/>
    <w:rsid w:val="22432FD4"/>
    <w:rsid w:val="22443D57"/>
    <w:rsid w:val="224A458F"/>
    <w:rsid w:val="22505934"/>
    <w:rsid w:val="22535048"/>
    <w:rsid w:val="22603DB2"/>
    <w:rsid w:val="226338A3"/>
    <w:rsid w:val="226915FE"/>
    <w:rsid w:val="227855A0"/>
    <w:rsid w:val="22873A35"/>
    <w:rsid w:val="22946F71"/>
    <w:rsid w:val="22961C65"/>
    <w:rsid w:val="229677D4"/>
    <w:rsid w:val="22A74638"/>
    <w:rsid w:val="22B83BEE"/>
    <w:rsid w:val="22C04851"/>
    <w:rsid w:val="22CF718A"/>
    <w:rsid w:val="22DD5403"/>
    <w:rsid w:val="22DF561F"/>
    <w:rsid w:val="22E04EF3"/>
    <w:rsid w:val="231559B0"/>
    <w:rsid w:val="23160915"/>
    <w:rsid w:val="23403BE4"/>
    <w:rsid w:val="234611FA"/>
    <w:rsid w:val="23721329"/>
    <w:rsid w:val="23A203FB"/>
    <w:rsid w:val="23A91789"/>
    <w:rsid w:val="23BA7DBE"/>
    <w:rsid w:val="23C26BDB"/>
    <w:rsid w:val="23C463ED"/>
    <w:rsid w:val="23F23130"/>
    <w:rsid w:val="23F760D5"/>
    <w:rsid w:val="23FA3D93"/>
    <w:rsid w:val="241412F8"/>
    <w:rsid w:val="241804A5"/>
    <w:rsid w:val="242332EA"/>
    <w:rsid w:val="2432177F"/>
    <w:rsid w:val="24450C77"/>
    <w:rsid w:val="244514B2"/>
    <w:rsid w:val="24575689"/>
    <w:rsid w:val="24612064"/>
    <w:rsid w:val="246A0F18"/>
    <w:rsid w:val="246A27B2"/>
    <w:rsid w:val="24703456"/>
    <w:rsid w:val="248214D5"/>
    <w:rsid w:val="24910AC8"/>
    <w:rsid w:val="24975A86"/>
    <w:rsid w:val="24977834"/>
    <w:rsid w:val="249B7324"/>
    <w:rsid w:val="24AF2DCF"/>
    <w:rsid w:val="24B623B0"/>
    <w:rsid w:val="24B91EA0"/>
    <w:rsid w:val="24B97929"/>
    <w:rsid w:val="24D632D7"/>
    <w:rsid w:val="24F66C50"/>
    <w:rsid w:val="24F904EE"/>
    <w:rsid w:val="25050C41"/>
    <w:rsid w:val="252E1F46"/>
    <w:rsid w:val="252F0E6F"/>
    <w:rsid w:val="258778A8"/>
    <w:rsid w:val="2593449F"/>
    <w:rsid w:val="25A77F4A"/>
    <w:rsid w:val="25AD37B3"/>
    <w:rsid w:val="25C805EC"/>
    <w:rsid w:val="25CE3729"/>
    <w:rsid w:val="25D76CF3"/>
    <w:rsid w:val="260E7FC9"/>
    <w:rsid w:val="26222E1C"/>
    <w:rsid w:val="262477ED"/>
    <w:rsid w:val="26323CB8"/>
    <w:rsid w:val="26336DB0"/>
    <w:rsid w:val="263607A8"/>
    <w:rsid w:val="263F0183"/>
    <w:rsid w:val="26413EFB"/>
    <w:rsid w:val="26554F6C"/>
    <w:rsid w:val="267267AA"/>
    <w:rsid w:val="267B1C9E"/>
    <w:rsid w:val="267B565F"/>
    <w:rsid w:val="26921FD1"/>
    <w:rsid w:val="26926505"/>
    <w:rsid w:val="26AB52FF"/>
    <w:rsid w:val="26CF1507"/>
    <w:rsid w:val="26D134D1"/>
    <w:rsid w:val="26E7796B"/>
    <w:rsid w:val="26EF541B"/>
    <w:rsid w:val="26F64CE5"/>
    <w:rsid w:val="26F7456D"/>
    <w:rsid w:val="27174C5C"/>
    <w:rsid w:val="272536A4"/>
    <w:rsid w:val="273454EE"/>
    <w:rsid w:val="274822F3"/>
    <w:rsid w:val="2751016E"/>
    <w:rsid w:val="278B7B24"/>
    <w:rsid w:val="278F17C6"/>
    <w:rsid w:val="27AC7A9A"/>
    <w:rsid w:val="27B0758A"/>
    <w:rsid w:val="27B16E5E"/>
    <w:rsid w:val="27BA5D13"/>
    <w:rsid w:val="27BF77CD"/>
    <w:rsid w:val="27C070A1"/>
    <w:rsid w:val="27D01156"/>
    <w:rsid w:val="27D65DBA"/>
    <w:rsid w:val="27F07987"/>
    <w:rsid w:val="28017DE6"/>
    <w:rsid w:val="282263C6"/>
    <w:rsid w:val="282E1662"/>
    <w:rsid w:val="283830DC"/>
    <w:rsid w:val="28387BBF"/>
    <w:rsid w:val="28577A06"/>
    <w:rsid w:val="285F40CA"/>
    <w:rsid w:val="28610884"/>
    <w:rsid w:val="286570C1"/>
    <w:rsid w:val="288822B5"/>
    <w:rsid w:val="288F719F"/>
    <w:rsid w:val="289C366A"/>
    <w:rsid w:val="289C74AE"/>
    <w:rsid w:val="289E1AF0"/>
    <w:rsid w:val="289E3886"/>
    <w:rsid w:val="28A231D5"/>
    <w:rsid w:val="28A349F9"/>
    <w:rsid w:val="28AA3FD9"/>
    <w:rsid w:val="28C01ECB"/>
    <w:rsid w:val="28CB3F50"/>
    <w:rsid w:val="28D635FE"/>
    <w:rsid w:val="28E31299"/>
    <w:rsid w:val="28E47092"/>
    <w:rsid w:val="28EA5230"/>
    <w:rsid w:val="29253660"/>
    <w:rsid w:val="2927562A"/>
    <w:rsid w:val="2939535D"/>
    <w:rsid w:val="29430BD6"/>
    <w:rsid w:val="294A1318"/>
    <w:rsid w:val="295959FF"/>
    <w:rsid w:val="29604D54"/>
    <w:rsid w:val="2976210D"/>
    <w:rsid w:val="299E4777"/>
    <w:rsid w:val="29A529F3"/>
    <w:rsid w:val="29BF71E3"/>
    <w:rsid w:val="29CB06AB"/>
    <w:rsid w:val="29D137E8"/>
    <w:rsid w:val="29D308DA"/>
    <w:rsid w:val="29D6387F"/>
    <w:rsid w:val="29FD45DD"/>
    <w:rsid w:val="2A0911D4"/>
    <w:rsid w:val="2A127B63"/>
    <w:rsid w:val="2A2D448C"/>
    <w:rsid w:val="2A3D0E7D"/>
    <w:rsid w:val="2A451A6C"/>
    <w:rsid w:val="2A4F1885"/>
    <w:rsid w:val="2A647F86"/>
    <w:rsid w:val="2A6A6763"/>
    <w:rsid w:val="2A7869AF"/>
    <w:rsid w:val="2A924271"/>
    <w:rsid w:val="2A952A67"/>
    <w:rsid w:val="2A97233B"/>
    <w:rsid w:val="2AA333D6"/>
    <w:rsid w:val="2AAA4765"/>
    <w:rsid w:val="2AAA6513"/>
    <w:rsid w:val="2AAD7DB1"/>
    <w:rsid w:val="2ABD336D"/>
    <w:rsid w:val="2AC21606"/>
    <w:rsid w:val="2ACD5C73"/>
    <w:rsid w:val="2AD03A9F"/>
    <w:rsid w:val="2AD510B6"/>
    <w:rsid w:val="2AD83BB6"/>
    <w:rsid w:val="2ADA1047"/>
    <w:rsid w:val="2ADB4195"/>
    <w:rsid w:val="2AE13EFE"/>
    <w:rsid w:val="2B067511"/>
    <w:rsid w:val="2B326508"/>
    <w:rsid w:val="2B367DA6"/>
    <w:rsid w:val="2B3948A4"/>
    <w:rsid w:val="2B3C1135"/>
    <w:rsid w:val="2B455A0D"/>
    <w:rsid w:val="2B4C2FF7"/>
    <w:rsid w:val="2B7E7608"/>
    <w:rsid w:val="2B7F04E9"/>
    <w:rsid w:val="2B894F09"/>
    <w:rsid w:val="2B8B554A"/>
    <w:rsid w:val="2B8C3E6A"/>
    <w:rsid w:val="2B8D0873"/>
    <w:rsid w:val="2B9E4173"/>
    <w:rsid w:val="2BBD56E7"/>
    <w:rsid w:val="2BC74EA2"/>
    <w:rsid w:val="2BEA0B91"/>
    <w:rsid w:val="2BEA293F"/>
    <w:rsid w:val="2BFF288E"/>
    <w:rsid w:val="2C2E6CCF"/>
    <w:rsid w:val="2C481620"/>
    <w:rsid w:val="2C4B162F"/>
    <w:rsid w:val="2C4D184B"/>
    <w:rsid w:val="2C504E98"/>
    <w:rsid w:val="2C6B3A80"/>
    <w:rsid w:val="2C7212B2"/>
    <w:rsid w:val="2C943EDF"/>
    <w:rsid w:val="2C9968BC"/>
    <w:rsid w:val="2C9A7102"/>
    <w:rsid w:val="2C9C00DD"/>
    <w:rsid w:val="2C9D1200"/>
    <w:rsid w:val="2CA174A1"/>
    <w:rsid w:val="2CBB50A2"/>
    <w:rsid w:val="2CD258AD"/>
    <w:rsid w:val="2CF241A1"/>
    <w:rsid w:val="2CF33A75"/>
    <w:rsid w:val="2CFC0B7C"/>
    <w:rsid w:val="2CFC5020"/>
    <w:rsid w:val="2D045C82"/>
    <w:rsid w:val="2D066EAA"/>
    <w:rsid w:val="2D19172E"/>
    <w:rsid w:val="2D2F71A3"/>
    <w:rsid w:val="2D3447B9"/>
    <w:rsid w:val="2D4549FF"/>
    <w:rsid w:val="2D482013"/>
    <w:rsid w:val="2D496D68"/>
    <w:rsid w:val="2D4C1B03"/>
    <w:rsid w:val="2D6706EB"/>
    <w:rsid w:val="2D7352E2"/>
    <w:rsid w:val="2D903FCE"/>
    <w:rsid w:val="2DA37249"/>
    <w:rsid w:val="2DA66471"/>
    <w:rsid w:val="2DB651CE"/>
    <w:rsid w:val="2DCB13B7"/>
    <w:rsid w:val="2DD02B28"/>
    <w:rsid w:val="2DD37B2E"/>
    <w:rsid w:val="2DDD09AD"/>
    <w:rsid w:val="2DE81100"/>
    <w:rsid w:val="2DF81C20"/>
    <w:rsid w:val="2DFE26D1"/>
    <w:rsid w:val="2E1F2D74"/>
    <w:rsid w:val="2E301A53"/>
    <w:rsid w:val="2E344345"/>
    <w:rsid w:val="2E3B515F"/>
    <w:rsid w:val="2E7A26A0"/>
    <w:rsid w:val="2E7A48DE"/>
    <w:rsid w:val="2E945D0A"/>
    <w:rsid w:val="2E9A064C"/>
    <w:rsid w:val="2E9F2106"/>
    <w:rsid w:val="2EAD26D5"/>
    <w:rsid w:val="2EBA5177"/>
    <w:rsid w:val="2ECE479A"/>
    <w:rsid w:val="2EDA32F0"/>
    <w:rsid w:val="2EDC3ED8"/>
    <w:rsid w:val="2EFE507F"/>
    <w:rsid w:val="2F01691D"/>
    <w:rsid w:val="2F104B00"/>
    <w:rsid w:val="2F236894"/>
    <w:rsid w:val="2F522CD5"/>
    <w:rsid w:val="2F540DBC"/>
    <w:rsid w:val="2F6351B4"/>
    <w:rsid w:val="2F6678B7"/>
    <w:rsid w:val="2F7E78CF"/>
    <w:rsid w:val="2F8512FC"/>
    <w:rsid w:val="2F8A6913"/>
    <w:rsid w:val="2F98045E"/>
    <w:rsid w:val="2FA40F51"/>
    <w:rsid w:val="2FA86D99"/>
    <w:rsid w:val="2FBA2D44"/>
    <w:rsid w:val="2FC02334"/>
    <w:rsid w:val="2FC17E5A"/>
    <w:rsid w:val="2FC86126"/>
    <w:rsid w:val="2FCE2CA3"/>
    <w:rsid w:val="2FCF199E"/>
    <w:rsid w:val="2FD57720"/>
    <w:rsid w:val="2FDD4C94"/>
    <w:rsid w:val="2FE15642"/>
    <w:rsid w:val="2FF8453D"/>
    <w:rsid w:val="2FFE6710"/>
    <w:rsid w:val="300F506A"/>
    <w:rsid w:val="30182170"/>
    <w:rsid w:val="30297EDA"/>
    <w:rsid w:val="302E54F0"/>
    <w:rsid w:val="30483E83"/>
    <w:rsid w:val="30556F21"/>
    <w:rsid w:val="305A62E5"/>
    <w:rsid w:val="30654C8A"/>
    <w:rsid w:val="30731155"/>
    <w:rsid w:val="30760C45"/>
    <w:rsid w:val="3078676B"/>
    <w:rsid w:val="30A752A2"/>
    <w:rsid w:val="30B654E5"/>
    <w:rsid w:val="30BC6FA0"/>
    <w:rsid w:val="30BF3991"/>
    <w:rsid w:val="30C606E6"/>
    <w:rsid w:val="30DC4F4C"/>
    <w:rsid w:val="30E43E01"/>
    <w:rsid w:val="30F2476F"/>
    <w:rsid w:val="30F83CCB"/>
    <w:rsid w:val="31083F93"/>
    <w:rsid w:val="310A77EA"/>
    <w:rsid w:val="310B75DF"/>
    <w:rsid w:val="310C2117"/>
    <w:rsid w:val="310D3357"/>
    <w:rsid w:val="3111619A"/>
    <w:rsid w:val="312E1520"/>
    <w:rsid w:val="31322DBE"/>
    <w:rsid w:val="31562B39"/>
    <w:rsid w:val="316D3DF6"/>
    <w:rsid w:val="31822F4F"/>
    <w:rsid w:val="319E48F7"/>
    <w:rsid w:val="31A041CB"/>
    <w:rsid w:val="31B139DC"/>
    <w:rsid w:val="31C679AA"/>
    <w:rsid w:val="31F67F93"/>
    <w:rsid w:val="31FE7144"/>
    <w:rsid w:val="32190CCA"/>
    <w:rsid w:val="322E4BAF"/>
    <w:rsid w:val="32497AF3"/>
    <w:rsid w:val="325C5D2E"/>
    <w:rsid w:val="3260395B"/>
    <w:rsid w:val="326538B2"/>
    <w:rsid w:val="328E671A"/>
    <w:rsid w:val="32957AA8"/>
    <w:rsid w:val="329B0E37"/>
    <w:rsid w:val="32A81DBE"/>
    <w:rsid w:val="32B6615F"/>
    <w:rsid w:val="32CE4D68"/>
    <w:rsid w:val="32E34A0B"/>
    <w:rsid w:val="32FF3318"/>
    <w:rsid w:val="330469DC"/>
    <w:rsid w:val="3307027A"/>
    <w:rsid w:val="331111CF"/>
    <w:rsid w:val="331F55C4"/>
    <w:rsid w:val="3328091C"/>
    <w:rsid w:val="33381756"/>
    <w:rsid w:val="33482D6D"/>
    <w:rsid w:val="335214F5"/>
    <w:rsid w:val="335C5F80"/>
    <w:rsid w:val="33753436"/>
    <w:rsid w:val="337A6C9E"/>
    <w:rsid w:val="337B1E38"/>
    <w:rsid w:val="338E62A6"/>
    <w:rsid w:val="3392223A"/>
    <w:rsid w:val="33A361F5"/>
    <w:rsid w:val="33A855B9"/>
    <w:rsid w:val="33B25124"/>
    <w:rsid w:val="33B4169A"/>
    <w:rsid w:val="33BA709B"/>
    <w:rsid w:val="33D67BEF"/>
    <w:rsid w:val="33DC7718"/>
    <w:rsid w:val="33EA3E24"/>
    <w:rsid w:val="33ED56C2"/>
    <w:rsid w:val="33EF31E8"/>
    <w:rsid w:val="340071A3"/>
    <w:rsid w:val="342033A2"/>
    <w:rsid w:val="34232E92"/>
    <w:rsid w:val="342C5A0F"/>
    <w:rsid w:val="343B642D"/>
    <w:rsid w:val="343C0775"/>
    <w:rsid w:val="34476B80"/>
    <w:rsid w:val="344A2B14"/>
    <w:rsid w:val="3469433F"/>
    <w:rsid w:val="346C65E7"/>
    <w:rsid w:val="34713BFD"/>
    <w:rsid w:val="347B4A7C"/>
    <w:rsid w:val="34853B4C"/>
    <w:rsid w:val="34A915E9"/>
    <w:rsid w:val="34DF0560"/>
    <w:rsid w:val="351D3D85"/>
    <w:rsid w:val="35215623"/>
    <w:rsid w:val="353335A8"/>
    <w:rsid w:val="353C06AF"/>
    <w:rsid w:val="354237EC"/>
    <w:rsid w:val="3546508A"/>
    <w:rsid w:val="355A28E3"/>
    <w:rsid w:val="356C50EC"/>
    <w:rsid w:val="3583008C"/>
    <w:rsid w:val="358309F1"/>
    <w:rsid w:val="35862EB6"/>
    <w:rsid w:val="35881A53"/>
    <w:rsid w:val="3598340C"/>
    <w:rsid w:val="35A3747F"/>
    <w:rsid w:val="35A87AF3"/>
    <w:rsid w:val="35D947D2"/>
    <w:rsid w:val="35EA010B"/>
    <w:rsid w:val="35EB3E83"/>
    <w:rsid w:val="36137E45"/>
    <w:rsid w:val="36376E0A"/>
    <w:rsid w:val="36545584"/>
    <w:rsid w:val="365A661B"/>
    <w:rsid w:val="365B6913"/>
    <w:rsid w:val="366003CD"/>
    <w:rsid w:val="3667350A"/>
    <w:rsid w:val="36723C5D"/>
    <w:rsid w:val="367E6AA5"/>
    <w:rsid w:val="369B1405"/>
    <w:rsid w:val="36A4475E"/>
    <w:rsid w:val="36A54032"/>
    <w:rsid w:val="36AC716F"/>
    <w:rsid w:val="36BB1AA7"/>
    <w:rsid w:val="36CE17DB"/>
    <w:rsid w:val="36D3088D"/>
    <w:rsid w:val="36E032BC"/>
    <w:rsid w:val="36E56B24"/>
    <w:rsid w:val="36FD79CA"/>
    <w:rsid w:val="3700166C"/>
    <w:rsid w:val="370074BA"/>
    <w:rsid w:val="37054AD1"/>
    <w:rsid w:val="371511B8"/>
    <w:rsid w:val="37182A56"/>
    <w:rsid w:val="3720190B"/>
    <w:rsid w:val="37235960"/>
    <w:rsid w:val="37256F21"/>
    <w:rsid w:val="372F1B4E"/>
    <w:rsid w:val="373B4CBF"/>
    <w:rsid w:val="374B1FF2"/>
    <w:rsid w:val="374C526C"/>
    <w:rsid w:val="37613497"/>
    <w:rsid w:val="377E4FAF"/>
    <w:rsid w:val="379A1012"/>
    <w:rsid w:val="37A97B52"/>
    <w:rsid w:val="37E961A0"/>
    <w:rsid w:val="37F76B0F"/>
    <w:rsid w:val="38082ACA"/>
    <w:rsid w:val="38126F8A"/>
    <w:rsid w:val="38156F95"/>
    <w:rsid w:val="381E1201"/>
    <w:rsid w:val="38256965"/>
    <w:rsid w:val="38292433"/>
    <w:rsid w:val="382C2F15"/>
    <w:rsid w:val="382D0783"/>
    <w:rsid w:val="38433B03"/>
    <w:rsid w:val="384B0C09"/>
    <w:rsid w:val="386153D8"/>
    <w:rsid w:val="38694EE9"/>
    <w:rsid w:val="38726196"/>
    <w:rsid w:val="388F6D48"/>
    <w:rsid w:val="38910D12"/>
    <w:rsid w:val="3891486E"/>
    <w:rsid w:val="38995E18"/>
    <w:rsid w:val="38AA3B82"/>
    <w:rsid w:val="38AF2F46"/>
    <w:rsid w:val="38D17360"/>
    <w:rsid w:val="38D429AD"/>
    <w:rsid w:val="38D62BC9"/>
    <w:rsid w:val="38D96215"/>
    <w:rsid w:val="38D97FC3"/>
    <w:rsid w:val="38EA11EE"/>
    <w:rsid w:val="38EC7B0C"/>
    <w:rsid w:val="38EF3C8A"/>
    <w:rsid w:val="39060B1C"/>
    <w:rsid w:val="3915061C"/>
    <w:rsid w:val="391536F1"/>
    <w:rsid w:val="391A2AB5"/>
    <w:rsid w:val="393C6ED0"/>
    <w:rsid w:val="3942200C"/>
    <w:rsid w:val="39643D30"/>
    <w:rsid w:val="397F500E"/>
    <w:rsid w:val="39810D86"/>
    <w:rsid w:val="39930ABA"/>
    <w:rsid w:val="399A1E48"/>
    <w:rsid w:val="39BA7DF4"/>
    <w:rsid w:val="39C649EB"/>
    <w:rsid w:val="39DF785B"/>
    <w:rsid w:val="39E3734B"/>
    <w:rsid w:val="39F2758E"/>
    <w:rsid w:val="39FA6443"/>
    <w:rsid w:val="3A0E0140"/>
    <w:rsid w:val="3A1E073A"/>
    <w:rsid w:val="3A233BEC"/>
    <w:rsid w:val="3A3B7187"/>
    <w:rsid w:val="3A460B77"/>
    <w:rsid w:val="3A610399"/>
    <w:rsid w:val="3A6818FA"/>
    <w:rsid w:val="3A86417A"/>
    <w:rsid w:val="3AA047A7"/>
    <w:rsid w:val="3AA91070"/>
    <w:rsid w:val="3AAA11CD"/>
    <w:rsid w:val="3AD44EE6"/>
    <w:rsid w:val="3ADE3FB6"/>
    <w:rsid w:val="3AEF7F72"/>
    <w:rsid w:val="3AF17846"/>
    <w:rsid w:val="3AF859C8"/>
    <w:rsid w:val="3B0A6B5A"/>
    <w:rsid w:val="3B2E2848"/>
    <w:rsid w:val="3B365CC9"/>
    <w:rsid w:val="3B381919"/>
    <w:rsid w:val="3B4007CD"/>
    <w:rsid w:val="3B4262F3"/>
    <w:rsid w:val="3B677B08"/>
    <w:rsid w:val="3B7641EF"/>
    <w:rsid w:val="3B7D557D"/>
    <w:rsid w:val="3B81506E"/>
    <w:rsid w:val="3B9A7B88"/>
    <w:rsid w:val="3B9C6A51"/>
    <w:rsid w:val="3B9F3746"/>
    <w:rsid w:val="3BB32D4D"/>
    <w:rsid w:val="3BBC60A6"/>
    <w:rsid w:val="3BD258C9"/>
    <w:rsid w:val="3BD72A99"/>
    <w:rsid w:val="3BDA477E"/>
    <w:rsid w:val="3BDD044C"/>
    <w:rsid w:val="3BDF32AC"/>
    <w:rsid w:val="3BEE4E3E"/>
    <w:rsid w:val="3BFA18A5"/>
    <w:rsid w:val="3C084498"/>
    <w:rsid w:val="3C2D6FA3"/>
    <w:rsid w:val="3C2E6878"/>
    <w:rsid w:val="3C390D47"/>
    <w:rsid w:val="3C6B206F"/>
    <w:rsid w:val="3C710B37"/>
    <w:rsid w:val="3C837830"/>
    <w:rsid w:val="3C84495E"/>
    <w:rsid w:val="3C8A7F52"/>
    <w:rsid w:val="3C8F37BA"/>
    <w:rsid w:val="3C9568F7"/>
    <w:rsid w:val="3C991F43"/>
    <w:rsid w:val="3CA803D8"/>
    <w:rsid w:val="3CAD3C40"/>
    <w:rsid w:val="3CDE2301"/>
    <w:rsid w:val="3CE33B06"/>
    <w:rsid w:val="3CE55188"/>
    <w:rsid w:val="3D0221DE"/>
    <w:rsid w:val="3D0D46DF"/>
    <w:rsid w:val="3D0E0B83"/>
    <w:rsid w:val="3D27442F"/>
    <w:rsid w:val="3D2C7AC8"/>
    <w:rsid w:val="3D337B49"/>
    <w:rsid w:val="3D4520CB"/>
    <w:rsid w:val="3D632551"/>
    <w:rsid w:val="3D6E33D0"/>
    <w:rsid w:val="3D785FFC"/>
    <w:rsid w:val="3D7E738B"/>
    <w:rsid w:val="3D855D12"/>
    <w:rsid w:val="3D8B42FF"/>
    <w:rsid w:val="3D9A41C5"/>
    <w:rsid w:val="3DB334D8"/>
    <w:rsid w:val="3DC41E62"/>
    <w:rsid w:val="3DC46ABA"/>
    <w:rsid w:val="3DE713D4"/>
    <w:rsid w:val="3DE7237C"/>
    <w:rsid w:val="3DE86C4C"/>
    <w:rsid w:val="3DF36A6E"/>
    <w:rsid w:val="3E152E67"/>
    <w:rsid w:val="3E2B12C1"/>
    <w:rsid w:val="3E3143FD"/>
    <w:rsid w:val="3E35213F"/>
    <w:rsid w:val="3E38578C"/>
    <w:rsid w:val="3E666BA6"/>
    <w:rsid w:val="3E90381A"/>
    <w:rsid w:val="3E9F1815"/>
    <w:rsid w:val="3EA13331"/>
    <w:rsid w:val="3EA66B99"/>
    <w:rsid w:val="3EAB0654"/>
    <w:rsid w:val="3EAE6103"/>
    <w:rsid w:val="3EBA1EE9"/>
    <w:rsid w:val="3EC139D3"/>
    <w:rsid w:val="3ECA27B1"/>
    <w:rsid w:val="3EDB0174"/>
    <w:rsid w:val="3EE002FD"/>
    <w:rsid w:val="3EF9316D"/>
    <w:rsid w:val="3F1B7587"/>
    <w:rsid w:val="3F36616F"/>
    <w:rsid w:val="3F3D5750"/>
    <w:rsid w:val="3F43263A"/>
    <w:rsid w:val="3F656A54"/>
    <w:rsid w:val="3F792F1E"/>
    <w:rsid w:val="3F891726"/>
    <w:rsid w:val="3F9D7F9C"/>
    <w:rsid w:val="3FA255B3"/>
    <w:rsid w:val="3FA62B83"/>
    <w:rsid w:val="3FC7326B"/>
    <w:rsid w:val="3FD05DB3"/>
    <w:rsid w:val="3FD140EA"/>
    <w:rsid w:val="3FE23C01"/>
    <w:rsid w:val="3FF35E0E"/>
    <w:rsid w:val="400C4C65"/>
    <w:rsid w:val="403D52DB"/>
    <w:rsid w:val="405006D8"/>
    <w:rsid w:val="405745EF"/>
    <w:rsid w:val="40582115"/>
    <w:rsid w:val="40646D0C"/>
    <w:rsid w:val="407E0FAC"/>
    <w:rsid w:val="40824826"/>
    <w:rsid w:val="40864ED4"/>
    <w:rsid w:val="408D1DBF"/>
    <w:rsid w:val="40905D53"/>
    <w:rsid w:val="40970E8F"/>
    <w:rsid w:val="409E3FCC"/>
    <w:rsid w:val="40A030D6"/>
    <w:rsid w:val="40A21818"/>
    <w:rsid w:val="40A4535A"/>
    <w:rsid w:val="40D20119"/>
    <w:rsid w:val="40D774DE"/>
    <w:rsid w:val="40E02836"/>
    <w:rsid w:val="40E63923"/>
    <w:rsid w:val="40F67885"/>
    <w:rsid w:val="4114428E"/>
    <w:rsid w:val="411F0144"/>
    <w:rsid w:val="4134048C"/>
    <w:rsid w:val="41393CF5"/>
    <w:rsid w:val="414601C0"/>
    <w:rsid w:val="41591C03"/>
    <w:rsid w:val="4162074A"/>
    <w:rsid w:val="41635215"/>
    <w:rsid w:val="41636A0D"/>
    <w:rsid w:val="41744365"/>
    <w:rsid w:val="418D4040"/>
    <w:rsid w:val="41950CE5"/>
    <w:rsid w:val="41AA69A0"/>
    <w:rsid w:val="41CA6CFC"/>
    <w:rsid w:val="41D37CA5"/>
    <w:rsid w:val="41DF489C"/>
    <w:rsid w:val="41E32216"/>
    <w:rsid w:val="420936C7"/>
    <w:rsid w:val="420E5181"/>
    <w:rsid w:val="420E6F2F"/>
    <w:rsid w:val="42114C71"/>
    <w:rsid w:val="421D51E8"/>
    <w:rsid w:val="42291FBB"/>
    <w:rsid w:val="424C7A58"/>
    <w:rsid w:val="42862F6A"/>
    <w:rsid w:val="42980EEF"/>
    <w:rsid w:val="42B20202"/>
    <w:rsid w:val="42BF647C"/>
    <w:rsid w:val="42D068DB"/>
    <w:rsid w:val="42DB39F4"/>
    <w:rsid w:val="42E36970"/>
    <w:rsid w:val="42ED4D97"/>
    <w:rsid w:val="4303280C"/>
    <w:rsid w:val="430976F7"/>
    <w:rsid w:val="43171E14"/>
    <w:rsid w:val="432307B8"/>
    <w:rsid w:val="43252782"/>
    <w:rsid w:val="432D5ADB"/>
    <w:rsid w:val="432F3601"/>
    <w:rsid w:val="43317379"/>
    <w:rsid w:val="4339622E"/>
    <w:rsid w:val="436F7EA2"/>
    <w:rsid w:val="43816FCA"/>
    <w:rsid w:val="439416B6"/>
    <w:rsid w:val="4394200F"/>
    <w:rsid w:val="4396542E"/>
    <w:rsid w:val="43A03B47"/>
    <w:rsid w:val="43A91E5B"/>
    <w:rsid w:val="43C07A5C"/>
    <w:rsid w:val="43C7383A"/>
    <w:rsid w:val="44006D4C"/>
    <w:rsid w:val="440305EA"/>
    <w:rsid w:val="44071E88"/>
    <w:rsid w:val="44093E52"/>
    <w:rsid w:val="440B5E1C"/>
    <w:rsid w:val="44150A49"/>
    <w:rsid w:val="44223166"/>
    <w:rsid w:val="44305883"/>
    <w:rsid w:val="443133A9"/>
    <w:rsid w:val="443B74D6"/>
    <w:rsid w:val="44444E8A"/>
    <w:rsid w:val="44466DFC"/>
    <w:rsid w:val="44623562"/>
    <w:rsid w:val="44685A22"/>
    <w:rsid w:val="44714DAE"/>
    <w:rsid w:val="44735770"/>
    <w:rsid w:val="449C6A74"/>
    <w:rsid w:val="449E0D39"/>
    <w:rsid w:val="44AA5C4C"/>
    <w:rsid w:val="44BA339E"/>
    <w:rsid w:val="44CB1108"/>
    <w:rsid w:val="44D206E8"/>
    <w:rsid w:val="44D53D34"/>
    <w:rsid w:val="44DE52DF"/>
    <w:rsid w:val="44FA379B"/>
    <w:rsid w:val="44FE73BD"/>
    <w:rsid w:val="44FE772F"/>
    <w:rsid w:val="45132AAF"/>
    <w:rsid w:val="45154A79"/>
    <w:rsid w:val="45196317"/>
    <w:rsid w:val="452D591E"/>
    <w:rsid w:val="45356EC9"/>
    <w:rsid w:val="454B0393"/>
    <w:rsid w:val="4552170A"/>
    <w:rsid w:val="455C6204"/>
    <w:rsid w:val="456926CF"/>
    <w:rsid w:val="45780D69"/>
    <w:rsid w:val="4583397F"/>
    <w:rsid w:val="458D2861"/>
    <w:rsid w:val="45915C44"/>
    <w:rsid w:val="459270B2"/>
    <w:rsid w:val="45A33E32"/>
    <w:rsid w:val="45C91BBA"/>
    <w:rsid w:val="45CE5353"/>
    <w:rsid w:val="45D67E9D"/>
    <w:rsid w:val="45DE130F"/>
    <w:rsid w:val="45DE4E6B"/>
    <w:rsid w:val="45E00BE3"/>
    <w:rsid w:val="45E32B26"/>
    <w:rsid w:val="45E5444B"/>
    <w:rsid w:val="460F771A"/>
    <w:rsid w:val="46113492"/>
    <w:rsid w:val="463A3650"/>
    <w:rsid w:val="4645313C"/>
    <w:rsid w:val="46461627"/>
    <w:rsid w:val="464E3D9E"/>
    <w:rsid w:val="46592743"/>
    <w:rsid w:val="466E2692"/>
    <w:rsid w:val="4686245E"/>
    <w:rsid w:val="4698326B"/>
    <w:rsid w:val="469F0116"/>
    <w:rsid w:val="469F45FA"/>
    <w:rsid w:val="46D248D2"/>
    <w:rsid w:val="46D53BDF"/>
    <w:rsid w:val="46D544C0"/>
    <w:rsid w:val="46DA1AD6"/>
    <w:rsid w:val="46F5246C"/>
    <w:rsid w:val="46F80839"/>
    <w:rsid w:val="46FA44F6"/>
    <w:rsid w:val="470D3C59"/>
    <w:rsid w:val="472B497F"/>
    <w:rsid w:val="473311E6"/>
    <w:rsid w:val="475259B7"/>
    <w:rsid w:val="47694C08"/>
    <w:rsid w:val="47767A51"/>
    <w:rsid w:val="477E06B3"/>
    <w:rsid w:val="47A3011A"/>
    <w:rsid w:val="48135CD5"/>
    <w:rsid w:val="4813679C"/>
    <w:rsid w:val="481E3C44"/>
    <w:rsid w:val="483B2A48"/>
    <w:rsid w:val="48435B08"/>
    <w:rsid w:val="48587156"/>
    <w:rsid w:val="486A6E89"/>
    <w:rsid w:val="48743864"/>
    <w:rsid w:val="487565D5"/>
    <w:rsid w:val="488302AE"/>
    <w:rsid w:val="48831CF9"/>
    <w:rsid w:val="48A4239B"/>
    <w:rsid w:val="48BA1016"/>
    <w:rsid w:val="48CC36A0"/>
    <w:rsid w:val="48F964FE"/>
    <w:rsid w:val="48FC21D7"/>
    <w:rsid w:val="49024C9C"/>
    <w:rsid w:val="490C6D84"/>
    <w:rsid w:val="491F4930"/>
    <w:rsid w:val="49290AF3"/>
    <w:rsid w:val="49303C2F"/>
    <w:rsid w:val="4941408E"/>
    <w:rsid w:val="494D658F"/>
    <w:rsid w:val="4953791E"/>
    <w:rsid w:val="49555444"/>
    <w:rsid w:val="495A0CAC"/>
    <w:rsid w:val="495A4553"/>
    <w:rsid w:val="49636A72"/>
    <w:rsid w:val="49690EEF"/>
    <w:rsid w:val="49AD702E"/>
    <w:rsid w:val="49B1408D"/>
    <w:rsid w:val="49C202E7"/>
    <w:rsid w:val="49E14F29"/>
    <w:rsid w:val="49E35145"/>
    <w:rsid w:val="49F904C5"/>
    <w:rsid w:val="49FB423D"/>
    <w:rsid w:val="4A1E5D46"/>
    <w:rsid w:val="4A4F4589"/>
    <w:rsid w:val="4A58168F"/>
    <w:rsid w:val="4A655B5A"/>
    <w:rsid w:val="4A677B24"/>
    <w:rsid w:val="4A7D4FD2"/>
    <w:rsid w:val="4A86608C"/>
    <w:rsid w:val="4A8860AD"/>
    <w:rsid w:val="4A913C9A"/>
    <w:rsid w:val="4A91694F"/>
    <w:rsid w:val="4A981A8C"/>
    <w:rsid w:val="4A986C99"/>
    <w:rsid w:val="4A9A1CA8"/>
    <w:rsid w:val="4AA93C99"/>
    <w:rsid w:val="4ACA1E61"/>
    <w:rsid w:val="4ACC3E2B"/>
    <w:rsid w:val="4AD14F9E"/>
    <w:rsid w:val="4AF018C8"/>
    <w:rsid w:val="4AF56EDE"/>
    <w:rsid w:val="4B0C247A"/>
    <w:rsid w:val="4B14730E"/>
    <w:rsid w:val="4B1F70AC"/>
    <w:rsid w:val="4B240F94"/>
    <w:rsid w:val="4B313C8F"/>
    <w:rsid w:val="4B335C59"/>
    <w:rsid w:val="4B3C2D5F"/>
    <w:rsid w:val="4B5A4F93"/>
    <w:rsid w:val="4B6D2F19"/>
    <w:rsid w:val="4B6E4EE3"/>
    <w:rsid w:val="4B7F0854"/>
    <w:rsid w:val="4B814C16"/>
    <w:rsid w:val="4B85363D"/>
    <w:rsid w:val="4B9009B5"/>
    <w:rsid w:val="4B9E11B1"/>
    <w:rsid w:val="4BAD5A0B"/>
    <w:rsid w:val="4BC468B1"/>
    <w:rsid w:val="4BD905AE"/>
    <w:rsid w:val="4BE807F1"/>
    <w:rsid w:val="4BEB0052"/>
    <w:rsid w:val="4BEE3146"/>
    <w:rsid w:val="4BF278C2"/>
    <w:rsid w:val="4BF4712C"/>
    <w:rsid w:val="4BF806C0"/>
    <w:rsid w:val="4BF83930"/>
    <w:rsid w:val="4C0832E5"/>
    <w:rsid w:val="4C261319"/>
    <w:rsid w:val="4C263D9D"/>
    <w:rsid w:val="4C3C565C"/>
    <w:rsid w:val="4C5510A5"/>
    <w:rsid w:val="4C987BCD"/>
    <w:rsid w:val="4CA02E7A"/>
    <w:rsid w:val="4CA30738"/>
    <w:rsid w:val="4CA610A8"/>
    <w:rsid w:val="4CB93F3C"/>
    <w:rsid w:val="4CC27294"/>
    <w:rsid w:val="4CCA7EF7"/>
    <w:rsid w:val="4CCC79C7"/>
    <w:rsid w:val="4CE70AA9"/>
    <w:rsid w:val="4CF60CEC"/>
    <w:rsid w:val="4D1963E7"/>
    <w:rsid w:val="4D4E0B28"/>
    <w:rsid w:val="4D52686A"/>
    <w:rsid w:val="4D550108"/>
    <w:rsid w:val="4D571B68"/>
    <w:rsid w:val="4D666C2B"/>
    <w:rsid w:val="4D7555C7"/>
    <w:rsid w:val="4D7C5695"/>
    <w:rsid w:val="4DEB65A9"/>
    <w:rsid w:val="4DF068E4"/>
    <w:rsid w:val="4DF57B76"/>
    <w:rsid w:val="4E035DB6"/>
    <w:rsid w:val="4E453CD9"/>
    <w:rsid w:val="4E4A5793"/>
    <w:rsid w:val="4E7520E4"/>
    <w:rsid w:val="4E8642F1"/>
    <w:rsid w:val="4E881E17"/>
    <w:rsid w:val="4E946A0E"/>
    <w:rsid w:val="4E94790E"/>
    <w:rsid w:val="4EAE6DA0"/>
    <w:rsid w:val="4EBE7F2F"/>
    <w:rsid w:val="4ECD3CCE"/>
    <w:rsid w:val="4EFD55F3"/>
    <w:rsid w:val="4EFE1245"/>
    <w:rsid w:val="4F1C53DA"/>
    <w:rsid w:val="4F370E29"/>
    <w:rsid w:val="4F477F24"/>
    <w:rsid w:val="4F587A3C"/>
    <w:rsid w:val="4F675ED1"/>
    <w:rsid w:val="4F895E47"/>
    <w:rsid w:val="4F8B7789"/>
    <w:rsid w:val="4FA47A59"/>
    <w:rsid w:val="4FA669F9"/>
    <w:rsid w:val="4FAE3B00"/>
    <w:rsid w:val="4FB56C3C"/>
    <w:rsid w:val="4FCC21D8"/>
    <w:rsid w:val="4FE617D9"/>
    <w:rsid w:val="4FE6773D"/>
    <w:rsid w:val="4FFA7907"/>
    <w:rsid w:val="5016514B"/>
    <w:rsid w:val="50267B3A"/>
    <w:rsid w:val="502A67FE"/>
    <w:rsid w:val="50483F54"/>
    <w:rsid w:val="504A2D4B"/>
    <w:rsid w:val="506C6FB6"/>
    <w:rsid w:val="50735214"/>
    <w:rsid w:val="507F724A"/>
    <w:rsid w:val="508036EE"/>
    <w:rsid w:val="50850D04"/>
    <w:rsid w:val="50852AB2"/>
    <w:rsid w:val="50903205"/>
    <w:rsid w:val="50B05655"/>
    <w:rsid w:val="50B43398"/>
    <w:rsid w:val="50B74C36"/>
    <w:rsid w:val="50BD4DF3"/>
    <w:rsid w:val="50BE5FC4"/>
    <w:rsid w:val="50D56A8D"/>
    <w:rsid w:val="50FC1A26"/>
    <w:rsid w:val="51206ED5"/>
    <w:rsid w:val="512F0C70"/>
    <w:rsid w:val="513D15DF"/>
    <w:rsid w:val="513E2C61"/>
    <w:rsid w:val="51723664"/>
    <w:rsid w:val="517B2107"/>
    <w:rsid w:val="518B68B4"/>
    <w:rsid w:val="51A74CAA"/>
    <w:rsid w:val="51C47726"/>
    <w:rsid w:val="51CB1C78"/>
    <w:rsid w:val="51CB2747"/>
    <w:rsid w:val="51CB6BEB"/>
    <w:rsid w:val="51D57A6A"/>
    <w:rsid w:val="51DB0B9F"/>
    <w:rsid w:val="51DC4954"/>
    <w:rsid w:val="51DD5B8C"/>
    <w:rsid w:val="51FD6A51"/>
    <w:rsid w:val="52157E66"/>
    <w:rsid w:val="521F2A93"/>
    <w:rsid w:val="522D3402"/>
    <w:rsid w:val="526B3F2A"/>
    <w:rsid w:val="526B680A"/>
    <w:rsid w:val="527E42E3"/>
    <w:rsid w:val="52802336"/>
    <w:rsid w:val="52836F71"/>
    <w:rsid w:val="52860D64"/>
    <w:rsid w:val="52880092"/>
    <w:rsid w:val="529A036B"/>
    <w:rsid w:val="52A80CDA"/>
    <w:rsid w:val="52A94F25"/>
    <w:rsid w:val="52AD62F0"/>
    <w:rsid w:val="52D26B02"/>
    <w:rsid w:val="52E2243E"/>
    <w:rsid w:val="52F91536"/>
    <w:rsid w:val="52FE387F"/>
    <w:rsid w:val="52FE6B4C"/>
    <w:rsid w:val="530323B4"/>
    <w:rsid w:val="53095C1D"/>
    <w:rsid w:val="530C1269"/>
    <w:rsid w:val="530D1ABD"/>
    <w:rsid w:val="53163E96"/>
    <w:rsid w:val="53185E60"/>
    <w:rsid w:val="532A5B93"/>
    <w:rsid w:val="534E7AD3"/>
    <w:rsid w:val="535B5D4C"/>
    <w:rsid w:val="53AF35FC"/>
    <w:rsid w:val="53B06098"/>
    <w:rsid w:val="53B70DCF"/>
    <w:rsid w:val="53BB67EB"/>
    <w:rsid w:val="53E75832"/>
    <w:rsid w:val="53EF6DA5"/>
    <w:rsid w:val="53F35F85"/>
    <w:rsid w:val="53F561A1"/>
    <w:rsid w:val="540168F4"/>
    <w:rsid w:val="54136627"/>
    <w:rsid w:val="541A5D30"/>
    <w:rsid w:val="54300F87"/>
    <w:rsid w:val="54336CC9"/>
    <w:rsid w:val="543F11CA"/>
    <w:rsid w:val="54414F42"/>
    <w:rsid w:val="54523D5D"/>
    <w:rsid w:val="54613836"/>
    <w:rsid w:val="546E1AAF"/>
    <w:rsid w:val="54705828"/>
    <w:rsid w:val="547A0454"/>
    <w:rsid w:val="54806718"/>
    <w:rsid w:val="54923EFF"/>
    <w:rsid w:val="54AB2D04"/>
    <w:rsid w:val="54BD5591"/>
    <w:rsid w:val="54C31DFB"/>
    <w:rsid w:val="54D0287D"/>
    <w:rsid w:val="54F16968"/>
    <w:rsid w:val="54FB1595"/>
    <w:rsid w:val="5510379B"/>
    <w:rsid w:val="55110101"/>
    <w:rsid w:val="551268DF"/>
    <w:rsid w:val="552705DC"/>
    <w:rsid w:val="552D4350"/>
    <w:rsid w:val="55346855"/>
    <w:rsid w:val="5540169E"/>
    <w:rsid w:val="5559450E"/>
    <w:rsid w:val="556829A3"/>
    <w:rsid w:val="558C7AEC"/>
    <w:rsid w:val="55913CA7"/>
    <w:rsid w:val="55955897"/>
    <w:rsid w:val="559F1D86"/>
    <w:rsid w:val="55B47996"/>
    <w:rsid w:val="55C1559C"/>
    <w:rsid w:val="55D431D6"/>
    <w:rsid w:val="55DA73FC"/>
    <w:rsid w:val="55E262B1"/>
    <w:rsid w:val="55EA3B79"/>
    <w:rsid w:val="55F068CD"/>
    <w:rsid w:val="55F71D4E"/>
    <w:rsid w:val="55FF2E19"/>
    <w:rsid w:val="560426CB"/>
    <w:rsid w:val="561843C9"/>
    <w:rsid w:val="562763BA"/>
    <w:rsid w:val="56382375"/>
    <w:rsid w:val="564D4072"/>
    <w:rsid w:val="56552F27"/>
    <w:rsid w:val="566C3136"/>
    <w:rsid w:val="566E223B"/>
    <w:rsid w:val="568D04F2"/>
    <w:rsid w:val="568D446F"/>
    <w:rsid w:val="56A143BE"/>
    <w:rsid w:val="56AD6428"/>
    <w:rsid w:val="56C32BB0"/>
    <w:rsid w:val="56DA342C"/>
    <w:rsid w:val="56DC33F2"/>
    <w:rsid w:val="56DC53F6"/>
    <w:rsid w:val="56FA587C"/>
    <w:rsid w:val="56FB5FC3"/>
    <w:rsid w:val="57021E35"/>
    <w:rsid w:val="5714693E"/>
    <w:rsid w:val="572F60F5"/>
    <w:rsid w:val="57390153"/>
    <w:rsid w:val="574F5BC8"/>
    <w:rsid w:val="57511940"/>
    <w:rsid w:val="575E2A44"/>
    <w:rsid w:val="57783371"/>
    <w:rsid w:val="577E025B"/>
    <w:rsid w:val="5781157E"/>
    <w:rsid w:val="578C0FB5"/>
    <w:rsid w:val="578F04BC"/>
    <w:rsid w:val="57B65C47"/>
    <w:rsid w:val="57B97B36"/>
    <w:rsid w:val="57C77E54"/>
    <w:rsid w:val="57CE11E3"/>
    <w:rsid w:val="57D61E46"/>
    <w:rsid w:val="57D816CF"/>
    <w:rsid w:val="57DE0CFA"/>
    <w:rsid w:val="57F77651"/>
    <w:rsid w:val="57F86260"/>
    <w:rsid w:val="57FD73D2"/>
    <w:rsid w:val="58005114"/>
    <w:rsid w:val="582C7CB7"/>
    <w:rsid w:val="58365DDC"/>
    <w:rsid w:val="58391375"/>
    <w:rsid w:val="58403763"/>
    <w:rsid w:val="58443253"/>
    <w:rsid w:val="58523BC2"/>
    <w:rsid w:val="586345C7"/>
    <w:rsid w:val="587A6C75"/>
    <w:rsid w:val="588056C1"/>
    <w:rsid w:val="58A76131"/>
    <w:rsid w:val="58AB1524"/>
    <w:rsid w:val="58B101BD"/>
    <w:rsid w:val="58B63D67"/>
    <w:rsid w:val="58C91D2C"/>
    <w:rsid w:val="58CB74D0"/>
    <w:rsid w:val="58CD4FF7"/>
    <w:rsid w:val="58E81E30"/>
    <w:rsid w:val="58FC3B2E"/>
    <w:rsid w:val="59034EBC"/>
    <w:rsid w:val="590B3D71"/>
    <w:rsid w:val="591A2206"/>
    <w:rsid w:val="591B0458"/>
    <w:rsid w:val="59213594"/>
    <w:rsid w:val="59254E33"/>
    <w:rsid w:val="592B7F6F"/>
    <w:rsid w:val="592D018B"/>
    <w:rsid w:val="592F2C48"/>
    <w:rsid w:val="59480B21"/>
    <w:rsid w:val="59505C28"/>
    <w:rsid w:val="596C0CB3"/>
    <w:rsid w:val="596F4300"/>
    <w:rsid w:val="59815DE1"/>
    <w:rsid w:val="59943D66"/>
    <w:rsid w:val="59965D30"/>
    <w:rsid w:val="59A87812"/>
    <w:rsid w:val="59BE5287"/>
    <w:rsid w:val="59BE7035"/>
    <w:rsid w:val="59C83A10"/>
    <w:rsid w:val="59D14FBA"/>
    <w:rsid w:val="59D81EA5"/>
    <w:rsid w:val="59F31707"/>
    <w:rsid w:val="5A0802B0"/>
    <w:rsid w:val="5A132EDD"/>
    <w:rsid w:val="5A19426B"/>
    <w:rsid w:val="5A2C21F1"/>
    <w:rsid w:val="5A2E41BB"/>
    <w:rsid w:val="5A382944"/>
    <w:rsid w:val="5A3966BC"/>
    <w:rsid w:val="5A3B2434"/>
    <w:rsid w:val="5A4C2893"/>
    <w:rsid w:val="5A526582"/>
    <w:rsid w:val="5A5D05FC"/>
    <w:rsid w:val="5A5F5C77"/>
    <w:rsid w:val="5A6574B1"/>
    <w:rsid w:val="5A711A0D"/>
    <w:rsid w:val="5A7122F9"/>
    <w:rsid w:val="5A737E20"/>
    <w:rsid w:val="5A871B1D"/>
    <w:rsid w:val="5A9658BC"/>
    <w:rsid w:val="5AC643F3"/>
    <w:rsid w:val="5AC95C92"/>
    <w:rsid w:val="5AD308BE"/>
    <w:rsid w:val="5AE8701E"/>
    <w:rsid w:val="5AEB073B"/>
    <w:rsid w:val="5AF80325"/>
    <w:rsid w:val="5B0D3DD0"/>
    <w:rsid w:val="5B1613E4"/>
    <w:rsid w:val="5B4D68C3"/>
    <w:rsid w:val="5B584331"/>
    <w:rsid w:val="5B5C49B4"/>
    <w:rsid w:val="5B77749C"/>
    <w:rsid w:val="5B78003B"/>
    <w:rsid w:val="5B7976B8"/>
    <w:rsid w:val="5B991B08"/>
    <w:rsid w:val="5B9B553E"/>
    <w:rsid w:val="5BC11A60"/>
    <w:rsid w:val="5BDE576D"/>
    <w:rsid w:val="5BE03293"/>
    <w:rsid w:val="5BE2022E"/>
    <w:rsid w:val="5BF40AEC"/>
    <w:rsid w:val="5C207B33"/>
    <w:rsid w:val="5C224169"/>
    <w:rsid w:val="5C7A4D54"/>
    <w:rsid w:val="5CB169DD"/>
    <w:rsid w:val="5CCB7A9F"/>
    <w:rsid w:val="5CD23B73"/>
    <w:rsid w:val="5CF05758"/>
    <w:rsid w:val="5D126C47"/>
    <w:rsid w:val="5D1A27D4"/>
    <w:rsid w:val="5D245401"/>
    <w:rsid w:val="5D303DA6"/>
    <w:rsid w:val="5D3F048D"/>
    <w:rsid w:val="5D435B5D"/>
    <w:rsid w:val="5D46181B"/>
    <w:rsid w:val="5D4E06D0"/>
    <w:rsid w:val="5D535CE6"/>
    <w:rsid w:val="5D635F29"/>
    <w:rsid w:val="5D683540"/>
    <w:rsid w:val="5D7874FB"/>
    <w:rsid w:val="5D7E2D63"/>
    <w:rsid w:val="5D9F0F2C"/>
    <w:rsid w:val="5DA86032"/>
    <w:rsid w:val="5DAA1DAA"/>
    <w:rsid w:val="5DAC6CBA"/>
    <w:rsid w:val="5DE84681"/>
    <w:rsid w:val="5DF03535"/>
    <w:rsid w:val="5DFC350C"/>
    <w:rsid w:val="5DFE3EA4"/>
    <w:rsid w:val="5E08087F"/>
    <w:rsid w:val="5E113BD7"/>
    <w:rsid w:val="5E127950"/>
    <w:rsid w:val="5E146A5A"/>
    <w:rsid w:val="5E1C432A"/>
    <w:rsid w:val="5E1C51EC"/>
    <w:rsid w:val="5E437B09"/>
    <w:rsid w:val="5E56783C"/>
    <w:rsid w:val="5E5D506F"/>
    <w:rsid w:val="5E6A5D46"/>
    <w:rsid w:val="5E767EDE"/>
    <w:rsid w:val="5E8425FB"/>
    <w:rsid w:val="5E851C93"/>
    <w:rsid w:val="5E8C5954"/>
    <w:rsid w:val="5E8E6FD6"/>
    <w:rsid w:val="5E9F11E3"/>
    <w:rsid w:val="5EA04F5B"/>
    <w:rsid w:val="5EB033F0"/>
    <w:rsid w:val="5ECB022A"/>
    <w:rsid w:val="5ECC5D50"/>
    <w:rsid w:val="5ED2780B"/>
    <w:rsid w:val="5ED66BCF"/>
    <w:rsid w:val="5EDE33D5"/>
    <w:rsid w:val="5EF332DD"/>
    <w:rsid w:val="5F047298"/>
    <w:rsid w:val="5F127819"/>
    <w:rsid w:val="5F16521D"/>
    <w:rsid w:val="5F182D44"/>
    <w:rsid w:val="5F2E2567"/>
    <w:rsid w:val="5F3D02C3"/>
    <w:rsid w:val="5F40523F"/>
    <w:rsid w:val="5F434C9F"/>
    <w:rsid w:val="5F487ACD"/>
    <w:rsid w:val="5F4B3119"/>
    <w:rsid w:val="5F57386C"/>
    <w:rsid w:val="5F6E0BB6"/>
    <w:rsid w:val="5F7A328B"/>
    <w:rsid w:val="5F7F7267"/>
    <w:rsid w:val="5F812FDF"/>
    <w:rsid w:val="5F920D48"/>
    <w:rsid w:val="5FA12D39"/>
    <w:rsid w:val="5FCB425A"/>
    <w:rsid w:val="5FCF78A6"/>
    <w:rsid w:val="5FE33352"/>
    <w:rsid w:val="60114363"/>
    <w:rsid w:val="6014175D"/>
    <w:rsid w:val="602A0F80"/>
    <w:rsid w:val="60350ED3"/>
    <w:rsid w:val="60365B77"/>
    <w:rsid w:val="603A3808"/>
    <w:rsid w:val="603E2C7E"/>
    <w:rsid w:val="60455DBA"/>
    <w:rsid w:val="604647B9"/>
    <w:rsid w:val="604D4C6F"/>
    <w:rsid w:val="605301AA"/>
    <w:rsid w:val="605424A1"/>
    <w:rsid w:val="605B3830"/>
    <w:rsid w:val="6062071A"/>
    <w:rsid w:val="60A30D33"/>
    <w:rsid w:val="60B24543"/>
    <w:rsid w:val="60B72AEE"/>
    <w:rsid w:val="60C2565D"/>
    <w:rsid w:val="60C45B59"/>
    <w:rsid w:val="61025188"/>
    <w:rsid w:val="61057D5F"/>
    <w:rsid w:val="610C68D8"/>
    <w:rsid w:val="610D3512"/>
    <w:rsid w:val="61202383"/>
    <w:rsid w:val="612260FC"/>
    <w:rsid w:val="612B3202"/>
    <w:rsid w:val="61306A6A"/>
    <w:rsid w:val="613D2F35"/>
    <w:rsid w:val="61480B6C"/>
    <w:rsid w:val="614C529D"/>
    <w:rsid w:val="614D4977"/>
    <w:rsid w:val="614D5563"/>
    <w:rsid w:val="61504A17"/>
    <w:rsid w:val="617B577E"/>
    <w:rsid w:val="61972646"/>
    <w:rsid w:val="61B825BC"/>
    <w:rsid w:val="61C35581"/>
    <w:rsid w:val="61CD42B9"/>
    <w:rsid w:val="61DB4C28"/>
    <w:rsid w:val="61DF3FED"/>
    <w:rsid w:val="61E11B13"/>
    <w:rsid w:val="61EE5FDE"/>
    <w:rsid w:val="61F720B4"/>
    <w:rsid w:val="61F77588"/>
    <w:rsid w:val="62011AB7"/>
    <w:rsid w:val="620A1069"/>
    <w:rsid w:val="620D6DAC"/>
    <w:rsid w:val="62326812"/>
    <w:rsid w:val="626C5A9D"/>
    <w:rsid w:val="6277148A"/>
    <w:rsid w:val="627B1F67"/>
    <w:rsid w:val="627E3805"/>
    <w:rsid w:val="628C5F22"/>
    <w:rsid w:val="628F156F"/>
    <w:rsid w:val="6299063F"/>
    <w:rsid w:val="62AA797B"/>
    <w:rsid w:val="62C54F90"/>
    <w:rsid w:val="62EC076F"/>
    <w:rsid w:val="62EE3A7E"/>
    <w:rsid w:val="6300246C"/>
    <w:rsid w:val="63002764"/>
    <w:rsid w:val="630B13FB"/>
    <w:rsid w:val="630C7063"/>
    <w:rsid w:val="630E6937"/>
    <w:rsid w:val="630F445E"/>
    <w:rsid w:val="632223E3"/>
    <w:rsid w:val="632443AD"/>
    <w:rsid w:val="63260125"/>
    <w:rsid w:val="635D166D"/>
    <w:rsid w:val="636F31DD"/>
    <w:rsid w:val="6383194F"/>
    <w:rsid w:val="63892462"/>
    <w:rsid w:val="63901A42"/>
    <w:rsid w:val="63952BB5"/>
    <w:rsid w:val="639A01CB"/>
    <w:rsid w:val="63A70B3A"/>
    <w:rsid w:val="63AC7EFE"/>
    <w:rsid w:val="63AD09A9"/>
    <w:rsid w:val="63BB2FBB"/>
    <w:rsid w:val="63BE035D"/>
    <w:rsid w:val="63C139AA"/>
    <w:rsid w:val="63C60FC0"/>
    <w:rsid w:val="63C65464"/>
    <w:rsid w:val="63C85172"/>
    <w:rsid w:val="63CB2A7A"/>
    <w:rsid w:val="63CE4319"/>
    <w:rsid w:val="63D538F9"/>
    <w:rsid w:val="63F20BA7"/>
    <w:rsid w:val="63FF2724"/>
    <w:rsid w:val="641C6E32"/>
    <w:rsid w:val="64281F19"/>
    <w:rsid w:val="643028DD"/>
    <w:rsid w:val="64393E88"/>
    <w:rsid w:val="643B7C00"/>
    <w:rsid w:val="646F3BA4"/>
    <w:rsid w:val="646F486F"/>
    <w:rsid w:val="647924D6"/>
    <w:rsid w:val="64897F68"/>
    <w:rsid w:val="649410BE"/>
    <w:rsid w:val="64BA3D7A"/>
    <w:rsid w:val="64CD2361"/>
    <w:rsid w:val="64D023EE"/>
    <w:rsid w:val="64D545B9"/>
    <w:rsid w:val="64E17C4F"/>
    <w:rsid w:val="64F179BC"/>
    <w:rsid w:val="650A75D2"/>
    <w:rsid w:val="650E0E71"/>
    <w:rsid w:val="65156071"/>
    <w:rsid w:val="6533396A"/>
    <w:rsid w:val="65436640"/>
    <w:rsid w:val="6554084E"/>
    <w:rsid w:val="65566374"/>
    <w:rsid w:val="65660CAD"/>
    <w:rsid w:val="659B647C"/>
    <w:rsid w:val="659F41BF"/>
    <w:rsid w:val="65C15EE3"/>
    <w:rsid w:val="65CA3AA1"/>
    <w:rsid w:val="65D4231F"/>
    <w:rsid w:val="65DA78B1"/>
    <w:rsid w:val="65EB2F60"/>
    <w:rsid w:val="65FE5294"/>
    <w:rsid w:val="66134265"/>
    <w:rsid w:val="662B0738"/>
    <w:rsid w:val="662D5327"/>
    <w:rsid w:val="663761A5"/>
    <w:rsid w:val="663E5786"/>
    <w:rsid w:val="66432D9C"/>
    <w:rsid w:val="664D3C1B"/>
    <w:rsid w:val="665704D3"/>
    <w:rsid w:val="665C20B0"/>
    <w:rsid w:val="665C3E5E"/>
    <w:rsid w:val="666351EC"/>
    <w:rsid w:val="667A72DF"/>
    <w:rsid w:val="667C005C"/>
    <w:rsid w:val="66A51361"/>
    <w:rsid w:val="66BE0674"/>
    <w:rsid w:val="66C0263F"/>
    <w:rsid w:val="66C13CC1"/>
    <w:rsid w:val="66D165FA"/>
    <w:rsid w:val="66E3632D"/>
    <w:rsid w:val="66F10A4A"/>
    <w:rsid w:val="6700768C"/>
    <w:rsid w:val="670A6AA8"/>
    <w:rsid w:val="67112E9A"/>
    <w:rsid w:val="673646AF"/>
    <w:rsid w:val="673821D5"/>
    <w:rsid w:val="67393A0D"/>
    <w:rsid w:val="673F7A07"/>
    <w:rsid w:val="67495519"/>
    <w:rsid w:val="674A1F08"/>
    <w:rsid w:val="675D1C3B"/>
    <w:rsid w:val="67636EEB"/>
    <w:rsid w:val="676905E0"/>
    <w:rsid w:val="6779459B"/>
    <w:rsid w:val="67896ED4"/>
    <w:rsid w:val="678A67A9"/>
    <w:rsid w:val="67955879"/>
    <w:rsid w:val="67A45ABC"/>
    <w:rsid w:val="67C065A4"/>
    <w:rsid w:val="67C223E6"/>
    <w:rsid w:val="67CC6DC1"/>
    <w:rsid w:val="67D359C9"/>
    <w:rsid w:val="67EE6494"/>
    <w:rsid w:val="67FA56DC"/>
    <w:rsid w:val="67FF2CF3"/>
    <w:rsid w:val="68024591"/>
    <w:rsid w:val="68042537"/>
    <w:rsid w:val="682269E1"/>
    <w:rsid w:val="682B211C"/>
    <w:rsid w:val="68373BBF"/>
    <w:rsid w:val="683A2A01"/>
    <w:rsid w:val="683F7593"/>
    <w:rsid w:val="68490412"/>
    <w:rsid w:val="68555008"/>
    <w:rsid w:val="68776D2D"/>
    <w:rsid w:val="689109F2"/>
    <w:rsid w:val="68A35D74"/>
    <w:rsid w:val="68B00491"/>
    <w:rsid w:val="68B25740"/>
    <w:rsid w:val="68B7537B"/>
    <w:rsid w:val="68E25356"/>
    <w:rsid w:val="68EA39A3"/>
    <w:rsid w:val="68F760C0"/>
    <w:rsid w:val="68FD083B"/>
    <w:rsid w:val="68FE36DD"/>
    <w:rsid w:val="69006D22"/>
    <w:rsid w:val="69034A64"/>
    <w:rsid w:val="691602F4"/>
    <w:rsid w:val="691D5B26"/>
    <w:rsid w:val="691E5254"/>
    <w:rsid w:val="69342E70"/>
    <w:rsid w:val="694806C9"/>
    <w:rsid w:val="694E60FC"/>
    <w:rsid w:val="69607598"/>
    <w:rsid w:val="697C3EC8"/>
    <w:rsid w:val="6985191D"/>
    <w:rsid w:val="69913E1E"/>
    <w:rsid w:val="6994390F"/>
    <w:rsid w:val="699658D9"/>
    <w:rsid w:val="699833FF"/>
    <w:rsid w:val="69C2047C"/>
    <w:rsid w:val="69C37ACE"/>
    <w:rsid w:val="69D63F27"/>
    <w:rsid w:val="69EC72A7"/>
    <w:rsid w:val="69F06D97"/>
    <w:rsid w:val="6A002D52"/>
    <w:rsid w:val="6A1A0F4D"/>
    <w:rsid w:val="6A1C4324"/>
    <w:rsid w:val="6A256904"/>
    <w:rsid w:val="6A335EA2"/>
    <w:rsid w:val="6A3F1ACC"/>
    <w:rsid w:val="6A590DE0"/>
    <w:rsid w:val="6A5F216E"/>
    <w:rsid w:val="6A694D9B"/>
    <w:rsid w:val="6A731776"/>
    <w:rsid w:val="6A815C41"/>
    <w:rsid w:val="6AA87EC6"/>
    <w:rsid w:val="6AAD4C88"/>
    <w:rsid w:val="6AF24D91"/>
    <w:rsid w:val="6B0F188E"/>
    <w:rsid w:val="6B2F7D93"/>
    <w:rsid w:val="6B426357"/>
    <w:rsid w:val="6B5275DD"/>
    <w:rsid w:val="6B574BF4"/>
    <w:rsid w:val="6B5C50EF"/>
    <w:rsid w:val="6B655563"/>
    <w:rsid w:val="6B656832"/>
    <w:rsid w:val="6B76151E"/>
    <w:rsid w:val="6B7F67E4"/>
    <w:rsid w:val="6B80414A"/>
    <w:rsid w:val="6BAC13E3"/>
    <w:rsid w:val="6BAD1A08"/>
    <w:rsid w:val="6BBD0EFB"/>
    <w:rsid w:val="6BBD539F"/>
    <w:rsid w:val="6BC34E3E"/>
    <w:rsid w:val="6BDD334B"/>
    <w:rsid w:val="6BE96194"/>
    <w:rsid w:val="6BEC5C84"/>
    <w:rsid w:val="6C101C77"/>
    <w:rsid w:val="6C111246"/>
    <w:rsid w:val="6C120F5B"/>
    <w:rsid w:val="6C382C77"/>
    <w:rsid w:val="6C3F5DB4"/>
    <w:rsid w:val="6C495F89"/>
    <w:rsid w:val="6C5374D3"/>
    <w:rsid w:val="6C5A4A4C"/>
    <w:rsid w:val="6C675CE6"/>
    <w:rsid w:val="6C681E3D"/>
    <w:rsid w:val="6C692E30"/>
    <w:rsid w:val="6C922387"/>
    <w:rsid w:val="6CBF2ED6"/>
    <w:rsid w:val="6CC46E5E"/>
    <w:rsid w:val="6CCB3AEB"/>
    <w:rsid w:val="6CD02EB0"/>
    <w:rsid w:val="6CD7423E"/>
    <w:rsid w:val="6CDF1345"/>
    <w:rsid w:val="6D082649"/>
    <w:rsid w:val="6D090170"/>
    <w:rsid w:val="6D0F1C2A"/>
    <w:rsid w:val="6D1E3C1B"/>
    <w:rsid w:val="6D370590"/>
    <w:rsid w:val="6D417909"/>
    <w:rsid w:val="6D4F4321"/>
    <w:rsid w:val="6D5E670D"/>
    <w:rsid w:val="6D604ED0"/>
    <w:rsid w:val="6D6C2BD8"/>
    <w:rsid w:val="6D747CDF"/>
    <w:rsid w:val="6D7777CF"/>
    <w:rsid w:val="6D920165"/>
    <w:rsid w:val="6DA0091F"/>
    <w:rsid w:val="6DAF6F69"/>
    <w:rsid w:val="6DB225B5"/>
    <w:rsid w:val="6DDB5FB0"/>
    <w:rsid w:val="6DE9247B"/>
    <w:rsid w:val="6DF41B82"/>
    <w:rsid w:val="6DF606F4"/>
    <w:rsid w:val="6DFB5D0A"/>
    <w:rsid w:val="6DFF7360"/>
    <w:rsid w:val="6E032E11"/>
    <w:rsid w:val="6E041063"/>
    <w:rsid w:val="6E071C62"/>
    <w:rsid w:val="6E091F66"/>
    <w:rsid w:val="6E1B63AC"/>
    <w:rsid w:val="6E3049CC"/>
    <w:rsid w:val="6E3631E6"/>
    <w:rsid w:val="6E4216E5"/>
    <w:rsid w:val="6E4810AD"/>
    <w:rsid w:val="6E55366C"/>
    <w:rsid w:val="6E645FA5"/>
    <w:rsid w:val="6E7051C3"/>
    <w:rsid w:val="6E7A5F73"/>
    <w:rsid w:val="6E941144"/>
    <w:rsid w:val="6EA840E4"/>
    <w:rsid w:val="6EC46A44"/>
    <w:rsid w:val="6EDC27B1"/>
    <w:rsid w:val="6EDD18B4"/>
    <w:rsid w:val="6EE90F9D"/>
    <w:rsid w:val="6EEE586F"/>
    <w:rsid w:val="6F103A37"/>
    <w:rsid w:val="6F2F210F"/>
    <w:rsid w:val="6F3275E5"/>
    <w:rsid w:val="6F5B7469"/>
    <w:rsid w:val="6F6E41E1"/>
    <w:rsid w:val="6F780BBD"/>
    <w:rsid w:val="6F7B35A7"/>
    <w:rsid w:val="6F8306AD"/>
    <w:rsid w:val="6F83245B"/>
    <w:rsid w:val="6F8561D3"/>
    <w:rsid w:val="6F9575DE"/>
    <w:rsid w:val="6FA355B4"/>
    <w:rsid w:val="6FAF3250"/>
    <w:rsid w:val="6FCE7B7A"/>
    <w:rsid w:val="6FD131C7"/>
    <w:rsid w:val="6FD20CED"/>
    <w:rsid w:val="6FD74228"/>
    <w:rsid w:val="6FDD00B0"/>
    <w:rsid w:val="701337DF"/>
    <w:rsid w:val="701B078A"/>
    <w:rsid w:val="701B76ED"/>
    <w:rsid w:val="701F0C3F"/>
    <w:rsid w:val="701F36DE"/>
    <w:rsid w:val="70205EFC"/>
    <w:rsid w:val="7021106F"/>
    <w:rsid w:val="70411FBB"/>
    <w:rsid w:val="706510B7"/>
    <w:rsid w:val="70652058"/>
    <w:rsid w:val="70837CBA"/>
    <w:rsid w:val="708A15C7"/>
    <w:rsid w:val="70A703CB"/>
    <w:rsid w:val="70B07280"/>
    <w:rsid w:val="70BD4A23"/>
    <w:rsid w:val="70C25205"/>
    <w:rsid w:val="70DB0888"/>
    <w:rsid w:val="70DF7B65"/>
    <w:rsid w:val="70E84C6C"/>
    <w:rsid w:val="70F0023B"/>
    <w:rsid w:val="710870BC"/>
    <w:rsid w:val="71153587"/>
    <w:rsid w:val="711E6CDC"/>
    <w:rsid w:val="71237A52"/>
    <w:rsid w:val="713734FD"/>
    <w:rsid w:val="71633091"/>
    <w:rsid w:val="71754026"/>
    <w:rsid w:val="71771B4C"/>
    <w:rsid w:val="71C034F3"/>
    <w:rsid w:val="71C72AD3"/>
    <w:rsid w:val="71C805F9"/>
    <w:rsid w:val="71CB01C4"/>
    <w:rsid w:val="71D64AC4"/>
    <w:rsid w:val="71E01DE7"/>
    <w:rsid w:val="71E81282"/>
    <w:rsid w:val="71EC078C"/>
    <w:rsid w:val="71ED2D64"/>
    <w:rsid w:val="71FF1BC4"/>
    <w:rsid w:val="72190E55"/>
    <w:rsid w:val="722C0B88"/>
    <w:rsid w:val="72323CC5"/>
    <w:rsid w:val="723D0FE7"/>
    <w:rsid w:val="725E4ABA"/>
    <w:rsid w:val="72640322"/>
    <w:rsid w:val="727644F9"/>
    <w:rsid w:val="727754B7"/>
    <w:rsid w:val="72916C3D"/>
    <w:rsid w:val="729F135A"/>
    <w:rsid w:val="72A9667D"/>
    <w:rsid w:val="72AB51FE"/>
    <w:rsid w:val="72CB03A1"/>
    <w:rsid w:val="72E96A79"/>
    <w:rsid w:val="72ED47BB"/>
    <w:rsid w:val="72F35B4A"/>
    <w:rsid w:val="72FA6ED8"/>
    <w:rsid w:val="73075151"/>
    <w:rsid w:val="73081CA5"/>
    <w:rsid w:val="730B464C"/>
    <w:rsid w:val="73124222"/>
    <w:rsid w:val="73261A7B"/>
    <w:rsid w:val="73263829"/>
    <w:rsid w:val="73334198"/>
    <w:rsid w:val="733B1DF6"/>
    <w:rsid w:val="73552361"/>
    <w:rsid w:val="735D70CF"/>
    <w:rsid w:val="73696867"/>
    <w:rsid w:val="736D33EC"/>
    <w:rsid w:val="738642C8"/>
    <w:rsid w:val="738E04AD"/>
    <w:rsid w:val="7399224D"/>
    <w:rsid w:val="739E1612"/>
    <w:rsid w:val="73A429A0"/>
    <w:rsid w:val="73AF7CC3"/>
    <w:rsid w:val="73C3376E"/>
    <w:rsid w:val="73CB43D1"/>
    <w:rsid w:val="73CD639B"/>
    <w:rsid w:val="73D019E7"/>
    <w:rsid w:val="73D2575F"/>
    <w:rsid w:val="73F55FED"/>
    <w:rsid w:val="740F6A88"/>
    <w:rsid w:val="74201F7D"/>
    <w:rsid w:val="742A7349"/>
    <w:rsid w:val="742F6D2D"/>
    <w:rsid w:val="744F6DB0"/>
    <w:rsid w:val="7476433D"/>
    <w:rsid w:val="747B5DF7"/>
    <w:rsid w:val="74806D7C"/>
    <w:rsid w:val="74842EFD"/>
    <w:rsid w:val="7487762D"/>
    <w:rsid w:val="74962C31"/>
    <w:rsid w:val="74AE3AD6"/>
    <w:rsid w:val="74B9247B"/>
    <w:rsid w:val="74C33AA4"/>
    <w:rsid w:val="74FB024C"/>
    <w:rsid w:val="75041948"/>
    <w:rsid w:val="751F49D4"/>
    <w:rsid w:val="75210D7A"/>
    <w:rsid w:val="752970A1"/>
    <w:rsid w:val="75363ACC"/>
    <w:rsid w:val="75385498"/>
    <w:rsid w:val="753A7A60"/>
    <w:rsid w:val="754B57C9"/>
    <w:rsid w:val="75555FAC"/>
    <w:rsid w:val="75575F1C"/>
    <w:rsid w:val="75703482"/>
    <w:rsid w:val="75846F2D"/>
    <w:rsid w:val="75864A53"/>
    <w:rsid w:val="75AE7B06"/>
    <w:rsid w:val="75AF5D58"/>
    <w:rsid w:val="75B275F6"/>
    <w:rsid w:val="75B82733"/>
    <w:rsid w:val="75BE41ED"/>
    <w:rsid w:val="75ED6880"/>
    <w:rsid w:val="75F23E97"/>
    <w:rsid w:val="75F37776"/>
    <w:rsid w:val="760140DA"/>
    <w:rsid w:val="760342F6"/>
    <w:rsid w:val="761D53B8"/>
    <w:rsid w:val="762F50EB"/>
    <w:rsid w:val="76366479"/>
    <w:rsid w:val="763E6DCF"/>
    <w:rsid w:val="767E572A"/>
    <w:rsid w:val="768A40CF"/>
    <w:rsid w:val="769A6A08"/>
    <w:rsid w:val="76B64EC4"/>
    <w:rsid w:val="76BC207F"/>
    <w:rsid w:val="76C375E1"/>
    <w:rsid w:val="76C577FD"/>
    <w:rsid w:val="76CE0460"/>
    <w:rsid w:val="76CE0EBB"/>
    <w:rsid w:val="76CF1C1E"/>
    <w:rsid w:val="76EB4904"/>
    <w:rsid w:val="77373422"/>
    <w:rsid w:val="77385260"/>
    <w:rsid w:val="773A5AF5"/>
    <w:rsid w:val="773F135E"/>
    <w:rsid w:val="775766A7"/>
    <w:rsid w:val="77645DCD"/>
    <w:rsid w:val="77690189"/>
    <w:rsid w:val="777378F5"/>
    <w:rsid w:val="77764653"/>
    <w:rsid w:val="777A2D3C"/>
    <w:rsid w:val="778356EE"/>
    <w:rsid w:val="77974CF6"/>
    <w:rsid w:val="77AC6C64"/>
    <w:rsid w:val="77AD4519"/>
    <w:rsid w:val="77B37656"/>
    <w:rsid w:val="77C70D5D"/>
    <w:rsid w:val="77EE50A1"/>
    <w:rsid w:val="77EF68E0"/>
    <w:rsid w:val="77F4039A"/>
    <w:rsid w:val="7802176B"/>
    <w:rsid w:val="78174088"/>
    <w:rsid w:val="781F1923"/>
    <w:rsid w:val="7820118F"/>
    <w:rsid w:val="78232A2D"/>
    <w:rsid w:val="78281DF2"/>
    <w:rsid w:val="78372035"/>
    <w:rsid w:val="783E1615"/>
    <w:rsid w:val="784B3F91"/>
    <w:rsid w:val="786C7F30"/>
    <w:rsid w:val="7872306D"/>
    <w:rsid w:val="787E7C64"/>
    <w:rsid w:val="78811502"/>
    <w:rsid w:val="78886D34"/>
    <w:rsid w:val="78EA70A7"/>
    <w:rsid w:val="78F062A1"/>
    <w:rsid w:val="790740FD"/>
    <w:rsid w:val="79074B81"/>
    <w:rsid w:val="792720A9"/>
    <w:rsid w:val="792C76C0"/>
    <w:rsid w:val="794F0939"/>
    <w:rsid w:val="79565423"/>
    <w:rsid w:val="79627585"/>
    <w:rsid w:val="796D21AE"/>
    <w:rsid w:val="79711576"/>
    <w:rsid w:val="799A0ECF"/>
    <w:rsid w:val="79AE6327"/>
    <w:rsid w:val="79AF0FCA"/>
    <w:rsid w:val="79B24CED"/>
    <w:rsid w:val="79B3393D"/>
    <w:rsid w:val="79C43D9C"/>
    <w:rsid w:val="79C57617"/>
    <w:rsid w:val="79CB0C87"/>
    <w:rsid w:val="79CC46E0"/>
    <w:rsid w:val="79EE2BC7"/>
    <w:rsid w:val="7A100D8F"/>
    <w:rsid w:val="7A4F18B8"/>
    <w:rsid w:val="7A504913"/>
    <w:rsid w:val="7A523156"/>
    <w:rsid w:val="7A635363"/>
    <w:rsid w:val="7A6377EF"/>
    <w:rsid w:val="7A923E9A"/>
    <w:rsid w:val="7A9674E6"/>
    <w:rsid w:val="7AA54816"/>
    <w:rsid w:val="7AF9279C"/>
    <w:rsid w:val="7B022DCE"/>
    <w:rsid w:val="7B1012E4"/>
    <w:rsid w:val="7B101DD0"/>
    <w:rsid w:val="7B38234C"/>
    <w:rsid w:val="7B3960C4"/>
    <w:rsid w:val="7B3C3664"/>
    <w:rsid w:val="7B5353D8"/>
    <w:rsid w:val="7B7A2964"/>
    <w:rsid w:val="7B7F61CD"/>
    <w:rsid w:val="7B810197"/>
    <w:rsid w:val="7B8E6410"/>
    <w:rsid w:val="7B95779E"/>
    <w:rsid w:val="7B997BCB"/>
    <w:rsid w:val="7BB51BEE"/>
    <w:rsid w:val="7BB77623"/>
    <w:rsid w:val="7BD04C7A"/>
    <w:rsid w:val="7BDA1110"/>
    <w:rsid w:val="7BDB06D8"/>
    <w:rsid w:val="7BFB1CF7"/>
    <w:rsid w:val="7C1F175E"/>
    <w:rsid w:val="7C374CF9"/>
    <w:rsid w:val="7C417926"/>
    <w:rsid w:val="7C4371FA"/>
    <w:rsid w:val="7C466CEA"/>
    <w:rsid w:val="7C4D0079"/>
    <w:rsid w:val="7C541407"/>
    <w:rsid w:val="7C75137E"/>
    <w:rsid w:val="7C792C1C"/>
    <w:rsid w:val="7C7970C0"/>
    <w:rsid w:val="7C8F243F"/>
    <w:rsid w:val="7CA270D6"/>
    <w:rsid w:val="7CA51C63"/>
    <w:rsid w:val="7CA659DB"/>
    <w:rsid w:val="7CB63E70"/>
    <w:rsid w:val="7CC51958"/>
    <w:rsid w:val="7CC652AA"/>
    <w:rsid w:val="7CD53DF9"/>
    <w:rsid w:val="7D056BA5"/>
    <w:rsid w:val="7D097C86"/>
    <w:rsid w:val="7D1868D9"/>
    <w:rsid w:val="7D2D3A06"/>
    <w:rsid w:val="7D511DEB"/>
    <w:rsid w:val="7D6C09D3"/>
    <w:rsid w:val="7D6E64F9"/>
    <w:rsid w:val="7DA4016C"/>
    <w:rsid w:val="7DB67EA0"/>
    <w:rsid w:val="7DE36627"/>
    <w:rsid w:val="7DEA6E0F"/>
    <w:rsid w:val="7DFB1C60"/>
    <w:rsid w:val="7DFC7C30"/>
    <w:rsid w:val="7E0A4100"/>
    <w:rsid w:val="7E2936C3"/>
    <w:rsid w:val="7E4234E1"/>
    <w:rsid w:val="7E4B4A8C"/>
    <w:rsid w:val="7E53749D"/>
    <w:rsid w:val="7E611BB9"/>
    <w:rsid w:val="7E6411B9"/>
    <w:rsid w:val="7E6C3A55"/>
    <w:rsid w:val="7E723DC7"/>
    <w:rsid w:val="7E734D64"/>
    <w:rsid w:val="7E7713DD"/>
    <w:rsid w:val="7E8104AE"/>
    <w:rsid w:val="7E8F4979"/>
    <w:rsid w:val="7E9957F7"/>
    <w:rsid w:val="7EA63A70"/>
    <w:rsid w:val="7EAE73E6"/>
    <w:rsid w:val="7EB919F5"/>
    <w:rsid w:val="7EC66A86"/>
    <w:rsid w:val="7ECB1729"/>
    <w:rsid w:val="7ED00AED"/>
    <w:rsid w:val="7EEF5417"/>
    <w:rsid w:val="7EF734B6"/>
    <w:rsid w:val="7F016EF9"/>
    <w:rsid w:val="7F0864D9"/>
    <w:rsid w:val="7F0B6201"/>
    <w:rsid w:val="7F1F62A3"/>
    <w:rsid w:val="7F233313"/>
    <w:rsid w:val="7F2839F3"/>
    <w:rsid w:val="7F487622"/>
    <w:rsid w:val="7F4A5B7D"/>
    <w:rsid w:val="7F4A6AF1"/>
    <w:rsid w:val="7F5636E8"/>
    <w:rsid w:val="7F6B398D"/>
    <w:rsid w:val="7F9600AC"/>
    <w:rsid w:val="7FAC3308"/>
    <w:rsid w:val="7FC06DB4"/>
    <w:rsid w:val="7FC468A4"/>
    <w:rsid w:val="7FDD1714"/>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2"/>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5"/>
    <w:qFormat/>
    <w:uiPriority w:val="0"/>
    <w:pPr>
      <w:keepNext/>
      <w:keepLines/>
      <w:spacing w:before="280" w:after="290" w:line="376" w:lineRule="auto"/>
      <w:outlineLvl w:val="3"/>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9"/>
    <w:qFormat/>
    <w:uiPriority w:val="0"/>
    <w:pPr>
      <w:jc w:val="left"/>
    </w:pPr>
    <w:rPr>
      <w:rFonts w:ascii="Arial" w:hAnsi="Arial" w:eastAsia="黑体" w:cs="Arial"/>
    </w:rPr>
  </w:style>
  <w:style w:type="paragraph" w:styleId="8">
    <w:name w:val="Body Text"/>
    <w:basedOn w:val="1"/>
    <w:qFormat/>
    <w:uiPriority w:val="0"/>
    <w:pPr>
      <w:spacing w:after="120"/>
    </w:pPr>
    <w:rPr>
      <w:rFonts w:ascii="@微软简标宋" w:hAnsi="@微软简标宋" w:eastAsia="@微软简标宋" w:cs="@微软简标宋"/>
      <w:szCs w:val="24"/>
      <w:lang w:val="zh-CN"/>
    </w:rPr>
  </w:style>
  <w:style w:type="paragraph" w:styleId="9">
    <w:name w:val="Body Text Indent"/>
    <w:basedOn w:val="1"/>
    <w:qFormat/>
    <w:uiPriority w:val="0"/>
    <w:pPr>
      <w:spacing w:after="120"/>
      <w:ind w:left="420" w:leftChars="200"/>
    </w:pPr>
  </w:style>
  <w:style w:type="paragraph" w:styleId="10">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next w:val="1"/>
    <w:link w:val="49"/>
    <w:qFormat/>
    <w:uiPriority w:val="99"/>
    <w:rPr>
      <w:rFonts w:ascii="宋体" w:hAnsi="Courier New" w:eastAsiaTheme="minorEastAsia" w:cstheme="minorBidi"/>
      <w:szCs w:val="22"/>
    </w:rPr>
  </w:style>
  <w:style w:type="paragraph" w:styleId="12">
    <w:name w:val="Date"/>
    <w:basedOn w:val="1"/>
    <w:next w:val="1"/>
    <w:link w:val="56"/>
    <w:qFormat/>
    <w:uiPriority w:val="0"/>
    <w:rPr>
      <w:rFonts w:ascii="Arial" w:hAnsi="Arial" w:eastAsia="宋体" w:cs="Arial"/>
      <w:b/>
      <w:sz w:val="28"/>
    </w:rPr>
  </w:style>
  <w:style w:type="paragraph" w:styleId="13">
    <w:name w:val="Balloon Text"/>
    <w:basedOn w:val="1"/>
    <w:link w:val="43"/>
    <w:semiHidden/>
    <w:unhideWhenUsed/>
    <w:qFormat/>
    <w:uiPriority w:val="99"/>
    <w:rPr>
      <w:sz w:val="18"/>
      <w:szCs w:val="18"/>
    </w:rPr>
  </w:style>
  <w:style w:type="paragraph" w:styleId="14">
    <w:name w:val="footer"/>
    <w:basedOn w:val="1"/>
    <w:link w:val="48"/>
    <w:unhideWhenUsed/>
    <w:qFormat/>
    <w:uiPriority w:val="99"/>
    <w:pPr>
      <w:tabs>
        <w:tab w:val="center" w:pos="4153"/>
        <w:tab w:val="right" w:pos="8306"/>
      </w:tabs>
      <w:snapToGrid w:val="0"/>
      <w:jc w:val="left"/>
    </w:pPr>
    <w:rPr>
      <w:sz w:val="18"/>
      <w:szCs w:val="18"/>
    </w:rPr>
  </w:style>
  <w:style w:type="paragraph" w:styleId="15">
    <w:name w:val="envelope return"/>
    <w:basedOn w:val="1"/>
    <w:qFormat/>
    <w:uiPriority w:val="0"/>
    <w:pPr>
      <w:snapToGrid w:val="0"/>
    </w:pPr>
    <w:rPr>
      <w:rFonts w:ascii="Arial" w:hAnsi="Arial"/>
    </w:rPr>
  </w:style>
  <w:style w:type="paragraph" w:styleId="16">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Normal (Web)"/>
    <w:basedOn w:val="1"/>
    <w:qFormat/>
    <w:uiPriority w:val="0"/>
    <w:pPr>
      <w:spacing w:before="100" w:beforeAutospacing="1" w:after="100" w:afterAutospacing="1"/>
      <w:jc w:val="left"/>
    </w:pPr>
    <w:rPr>
      <w:rFonts w:cs="Times New Roman"/>
      <w:kern w:val="0"/>
      <w:sz w:val="24"/>
    </w:rPr>
  </w:style>
  <w:style w:type="paragraph" w:styleId="20">
    <w:name w:val="index 1"/>
    <w:basedOn w:val="1"/>
    <w:next w:val="1"/>
    <w:qFormat/>
    <w:uiPriority w:val="0"/>
    <w:pPr>
      <w:jc w:val="center"/>
    </w:pPr>
    <w:rPr>
      <w:rFonts w:ascii="Arial" w:hAnsi="Arial" w:eastAsia="Arial" w:cs="Arial"/>
      <w:b/>
      <w:bCs/>
      <w:sz w:val="28"/>
    </w:rPr>
  </w:style>
  <w:style w:type="paragraph" w:styleId="21">
    <w:name w:val="annotation subject"/>
    <w:basedOn w:val="7"/>
    <w:next w:val="7"/>
    <w:link w:val="68"/>
    <w:semiHidden/>
    <w:unhideWhenUsed/>
    <w:qFormat/>
    <w:uiPriority w:val="99"/>
    <w:rPr>
      <w:rFonts w:ascii="@仿宋_GB2312" w:hAnsi="@仿宋_GB2312" w:eastAsia="@仿宋_GB2312" w:cs="@仿宋_GB2312"/>
      <w:b/>
      <w:bCs/>
    </w:rPr>
  </w:style>
  <w:style w:type="paragraph" w:styleId="22">
    <w:name w:val="Body Text First Indent"/>
    <w:basedOn w:val="8"/>
    <w:unhideWhenUsed/>
    <w:qFormat/>
    <w:uiPriority w:val="99"/>
    <w:pPr>
      <w:ind w:firstLine="420" w:firstLineChars="100"/>
    </w:pPr>
  </w:style>
  <w:style w:type="paragraph" w:styleId="23">
    <w:name w:val="Body Text First Indent 2"/>
    <w:basedOn w:val="9"/>
    <w:unhideWhenUsed/>
    <w:qFormat/>
    <w:uiPriority w:val="99"/>
    <w:pPr>
      <w:ind w:firstLine="420" w:firstLineChars="200"/>
    </w:pPr>
  </w:style>
  <w:style w:type="table" w:styleId="25">
    <w:name w:val="Table Grid"/>
    <w:basedOn w:val="2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FollowedHyperlink"/>
    <w:basedOn w:val="26"/>
    <w:semiHidden/>
    <w:unhideWhenUsed/>
    <w:qFormat/>
    <w:uiPriority w:val="99"/>
    <w:rPr>
      <w:color w:val="800080"/>
      <w:u w:val="none"/>
    </w:rPr>
  </w:style>
  <w:style w:type="character" w:styleId="29">
    <w:name w:val="Emphasis"/>
    <w:basedOn w:val="26"/>
    <w:qFormat/>
    <w:uiPriority w:val="20"/>
    <w:rPr>
      <w:b/>
      <w:bCs/>
    </w:rPr>
  </w:style>
  <w:style w:type="character" w:styleId="30">
    <w:name w:val="HTML Definition"/>
    <w:basedOn w:val="26"/>
    <w:semiHidden/>
    <w:unhideWhenUsed/>
    <w:qFormat/>
    <w:uiPriority w:val="99"/>
  </w:style>
  <w:style w:type="character" w:styleId="31">
    <w:name w:val="HTML Typewriter"/>
    <w:basedOn w:val="26"/>
    <w:semiHidden/>
    <w:unhideWhenUsed/>
    <w:qFormat/>
    <w:uiPriority w:val="99"/>
    <w:rPr>
      <w:rFonts w:hint="default" w:ascii="monospace" w:hAnsi="monospace" w:eastAsia="monospace" w:cs="monospace"/>
      <w:sz w:val="20"/>
    </w:rPr>
  </w:style>
  <w:style w:type="character" w:styleId="32">
    <w:name w:val="HTML Acronym"/>
    <w:basedOn w:val="26"/>
    <w:semiHidden/>
    <w:unhideWhenUsed/>
    <w:qFormat/>
    <w:uiPriority w:val="99"/>
  </w:style>
  <w:style w:type="character" w:styleId="33">
    <w:name w:val="HTML Variable"/>
    <w:basedOn w:val="26"/>
    <w:semiHidden/>
    <w:unhideWhenUsed/>
    <w:qFormat/>
    <w:uiPriority w:val="99"/>
    <w:rPr>
      <w:bdr w:val="single" w:color="D6D6D6" w:sz="6" w:space="0"/>
      <w:shd w:val="clear" w:color="auto" w:fill="FFFFFF"/>
    </w:rPr>
  </w:style>
  <w:style w:type="character" w:styleId="34">
    <w:name w:val="Hyperlink"/>
    <w:basedOn w:val="26"/>
    <w:unhideWhenUsed/>
    <w:qFormat/>
    <w:uiPriority w:val="99"/>
    <w:rPr>
      <w:color w:val="0000FF" w:themeColor="hyperlink"/>
      <w:u w:val="single"/>
      <w14:textFill>
        <w14:solidFill>
          <w14:schemeClr w14:val="hlink"/>
        </w14:solidFill>
      </w14:textFill>
    </w:rPr>
  </w:style>
  <w:style w:type="character" w:styleId="35">
    <w:name w:val="HTML Code"/>
    <w:basedOn w:val="26"/>
    <w:semiHidden/>
    <w:unhideWhenUsed/>
    <w:qFormat/>
    <w:uiPriority w:val="99"/>
    <w:rPr>
      <w:rFonts w:hint="default" w:ascii="monospace" w:hAnsi="monospace" w:eastAsia="monospace" w:cs="monospace"/>
      <w:color w:val="FFFFFF"/>
      <w:sz w:val="19"/>
      <w:szCs w:val="19"/>
      <w:shd w:val="clear" w:color="auto" w:fill="F6F6F6"/>
    </w:rPr>
  </w:style>
  <w:style w:type="character" w:styleId="36">
    <w:name w:val="annotation reference"/>
    <w:basedOn w:val="26"/>
    <w:semiHidden/>
    <w:unhideWhenUsed/>
    <w:qFormat/>
    <w:uiPriority w:val="99"/>
    <w:rPr>
      <w:sz w:val="21"/>
      <w:szCs w:val="21"/>
    </w:rPr>
  </w:style>
  <w:style w:type="character" w:styleId="37">
    <w:name w:val="HTML Cite"/>
    <w:basedOn w:val="26"/>
    <w:semiHidden/>
    <w:unhideWhenUsed/>
    <w:qFormat/>
    <w:uiPriority w:val="99"/>
  </w:style>
  <w:style w:type="character" w:styleId="38">
    <w:name w:val="HTML Keyboard"/>
    <w:basedOn w:val="26"/>
    <w:semiHidden/>
    <w:unhideWhenUsed/>
    <w:qFormat/>
    <w:uiPriority w:val="99"/>
    <w:rPr>
      <w:rFonts w:hint="default" w:ascii="monospace" w:hAnsi="monospace" w:eastAsia="monospace" w:cs="monospace"/>
      <w:sz w:val="20"/>
    </w:rPr>
  </w:style>
  <w:style w:type="character" w:styleId="39">
    <w:name w:val="HTML Sample"/>
    <w:basedOn w:val="26"/>
    <w:semiHidden/>
    <w:unhideWhenUsed/>
    <w:qFormat/>
    <w:uiPriority w:val="99"/>
    <w:rPr>
      <w:rFonts w:ascii="monospace" w:hAnsi="monospace" w:eastAsia="monospace" w:cs="monospace"/>
    </w:rPr>
  </w:style>
  <w:style w:type="paragraph" w:customStyle="1" w:styleId="40">
    <w:name w:val="样式 首行缩进:  2 字符"/>
    <w:basedOn w:val="1"/>
    <w:qFormat/>
    <w:uiPriority w:val="0"/>
    <w:pPr>
      <w:ind w:firstLine="600" w:firstLineChars="200"/>
    </w:pPr>
    <w:rPr>
      <w:rFonts w:cs="宋体"/>
      <w:sz w:val="28"/>
    </w:rPr>
  </w:style>
  <w:style w:type="character" w:customStyle="1" w:styleId="41">
    <w:name w:val="标题 1 字符"/>
    <w:basedOn w:val="26"/>
    <w:link w:val="2"/>
    <w:qFormat/>
    <w:uiPriority w:val="9"/>
    <w:rPr>
      <w:rFonts w:ascii="@仿宋_GB2312" w:hAnsi="@仿宋_GB2312" w:eastAsia="@仿宋_GB2312" w:cs="@仿宋_GB2312"/>
      <w:b/>
      <w:bCs/>
      <w:kern w:val="44"/>
      <w:sz w:val="44"/>
      <w:szCs w:val="44"/>
    </w:rPr>
  </w:style>
  <w:style w:type="character" w:customStyle="1" w:styleId="42">
    <w:name w:val="标题 3 字符"/>
    <w:basedOn w:val="26"/>
    <w:link w:val="4"/>
    <w:semiHidden/>
    <w:qFormat/>
    <w:uiPriority w:val="9"/>
    <w:rPr>
      <w:rFonts w:ascii="@仿宋_GB2312" w:hAnsi="@仿宋_GB2312" w:eastAsia="@仿宋_GB2312" w:cs="@仿宋_GB2312"/>
      <w:b/>
      <w:bCs/>
      <w:sz w:val="32"/>
      <w:szCs w:val="32"/>
    </w:rPr>
  </w:style>
  <w:style w:type="character" w:customStyle="1" w:styleId="43">
    <w:name w:val="批注框文本 字符"/>
    <w:basedOn w:val="26"/>
    <w:link w:val="13"/>
    <w:semiHidden/>
    <w:qFormat/>
    <w:uiPriority w:val="99"/>
    <w:rPr>
      <w:rFonts w:ascii="@仿宋_GB2312" w:hAnsi="@仿宋_GB2312" w:eastAsia="@仿宋_GB2312" w:cs="@仿宋_GB2312"/>
      <w:sz w:val="18"/>
      <w:szCs w:val="18"/>
    </w:rPr>
  </w:style>
  <w:style w:type="paragraph" w:customStyle="1" w:styleId="44">
    <w:name w:val="正文（缩进）"/>
    <w:basedOn w:val="1"/>
    <w:qFormat/>
    <w:uiPriority w:val="0"/>
    <w:pPr>
      <w:widowControl/>
      <w:spacing w:before="156" w:after="156"/>
      <w:ind w:firstLine="480" w:firstLineChars="200"/>
      <w:jc w:val="left"/>
    </w:pPr>
    <w:rPr>
      <w:kern w:val="0"/>
      <w:sz w:val="24"/>
      <w:szCs w:val="24"/>
    </w:rPr>
  </w:style>
  <w:style w:type="paragraph" w:customStyle="1" w:styleId="45">
    <w:name w:val="xl31"/>
    <w:basedOn w:val="1"/>
    <w:qFormat/>
    <w:uiPriority w:val="0"/>
    <w:pPr>
      <w:widowControl/>
      <w:spacing w:before="100" w:beforeAutospacing="1" w:after="100" w:afterAutospacing="1"/>
      <w:jc w:val="center"/>
    </w:pPr>
    <w:rPr>
      <w:b/>
      <w:bCs/>
      <w:kern w:val="0"/>
      <w:sz w:val="28"/>
      <w:szCs w:val="28"/>
    </w:rPr>
  </w:style>
  <w:style w:type="paragraph" w:customStyle="1" w:styleId="46">
    <w:name w:val="D&amp;L"/>
    <w:basedOn w:val="16"/>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字符"/>
    <w:basedOn w:val="26"/>
    <w:link w:val="16"/>
    <w:qFormat/>
    <w:uiPriority w:val="99"/>
    <w:rPr>
      <w:rFonts w:ascii="@仿宋_GB2312" w:hAnsi="@仿宋_GB2312" w:eastAsia="@仿宋_GB2312" w:cs="@仿宋_GB2312"/>
      <w:sz w:val="18"/>
      <w:szCs w:val="18"/>
    </w:rPr>
  </w:style>
  <w:style w:type="character" w:customStyle="1" w:styleId="48">
    <w:name w:val="页脚 字符"/>
    <w:basedOn w:val="26"/>
    <w:link w:val="14"/>
    <w:qFormat/>
    <w:uiPriority w:val="99"/>
    <w:rPr>
      <w:rFonts w:ascii="@仿宋_GB2312" w:hAnsi="@仿宋_GB2312" w:eastAsia="@仿宋_GB2312" w:cs="@仿宋_GB2312"/>
      <w:sz w:val="18"/>
      <w:szCs w:val="18"/>
    </w:rPr>
  </w:style>
  <w:style w:type="character" w:customStyle="1" w:styleId="49">
    <w:name w:val="纯文本 字符"/>
    <w:link w:val="11"/>
    <w:qFormat/>
    <w:uiPriority w:val="0"/>
    <w:rPr>
      <w:rFonts w:ascii="宋体" w:hAnsi="Courier New"/>
    </w:rPr>
  </w:style>
  <w:style w:type="character" w:customStyle="1" w:styleId="50">
    <w:name w:val="纯文本 字符1"/>
    <w:basedOn w:val="26"/>
    <w:semiHidden/>
    <w:qFormat/>
    <w:uiPriority w:val="99"/>
    <w:rPr>
      <w:rFonts w:hAnsi="Courier New" w:cs="Courier New" w:asciiTheme="minorEastAsia"/>
      <w:szCs w:val="20"/>
    </w:rPr>
  </w:style>
  <w:style w:type="character" w:customStyle="1" w:styleId="51">
    <w:name w:val="未处理的提及1"/>
    <w:basedOn w:val="26"/>
    <w:semiHidden/>
    <w:unhideWhenUsed/>
    <w:qFormat/>
    <w:uiPriority w:val="99"/>
    <w:rPr>
      <w:color w:val="605E5C"/>
      <w:shd w:val="clear" w:color="auto" w:fill="E1DFDD"/>
    </w:rPr>
  </w:style>
  <w:style w:type="paragraph" w:styleId="52">
    <w:name w:val="List Paragraph"/>
    <w:basedOn w:val="1"/>
    <w:qFormat/>
    <w:uiPriority w:val="34"/>
    <w:pPr>
      <w:ind w:firstLine="420" w:firstLineChars="200"/>
    </w:pPr>
  </w:style>
  <w:style w:type="paragraph" w:customStyle="1" w:styleId="53">
    <w:name w:val="Char Char Char Char Char Char Char1 Char"/>
    <w:basedOn w:val="1"/>
    <w:qFormat/>
    <w:uiPriority w:val="0"/>
    <w:rPr>
      <w:rFonts w:ascii="Arial" w:hAnsi="Arial" w:eastAsia="宋体" w:cs="Arial"/>
      <w:sz w:val="24"/>
    </w:rPr>
  </w:style>
  <w:style w:type="table" w:customStyle="1" w:styleId="54">
    <w:name w:val="网格表 1 浅色1"/>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6"/>
    <w:semiHidden/>
    <w:qFormat/>
    <w:uiPriority w:val="99"/>
    <w:rPr>
      <w:rFonts w:ascii="@仿宋_GB2312" w:hAnsi="@仿宋_GB2312" w:eastAsia="@仿宋_GB2312" w:cs="@仿宋_GB2312"/>
      <w:szCs w:val="20"/>
    </w:rPr>
  </w:style>
  <w:style w:type="character" w:customStyle="1" w:styleId="56">
    <w:name w:val="日期 字符1"/>
    <w:link w:val="12"/>
    <w:qFormat/>
    <w:uiPriority w:val="0"/>
    <w:rPr>
      <w:rFonts w:ascii="Arial" w:hAnsi="Arial" w:eastAsia="宋体" w:cs="Arial"/>
      <w:b/>
      <w:sz w:val="28"/>
      <w:szCs w:val="20"/>
    </w:rPr>
  </w:style>
  <w:style w:type="character" w:customStyle="1" w:styleId="57">
    <w:name w:val="纯文本 Char1"/>
    <w:qFormat/>
    <w:locked/>
    <w:uiPriority w:val="99"/>
    <w:rPr>
      <w:rFonts w:ascii="Arial" w:hAnsi="Arial" w:eastAsia="Arial"/>
      <w:kern w:val="2"/>
      <w:sz w:val="21"/>
      <w:lang w:val="en-US" w:eastAsia="zh-CN" w:bidi="ar-SA"/>
    </w:rPr>
  </w:style>
  <w:style w:type="character" w:customStyle="1" w:styleId="58">
    <w:name w:val="批注文字 Char"/>
    <w:basedOn w:val="26"/>
    <w:semiHidden/>
    <w:qFormat/>
    <w:uiPriority w:val="99"/>
    <w:rPr>
      <w:rFonts w:ascii="@仿宋_GB2312" w:hAnsi="@仿宋_GB2312" w:eastAsia="@仿宋_GB2312" w:cs="@仿宋_GB2312"/>
      <w:szCs w:val="20"/>
    </w:rPr>
  </w:style>
  <w:style w:type="character" w:customStyle="1" w:styleId="59">
    <w:name w:val="批注文字 字符"/>
    <w:link w:val="7"/>
    <w:qFormat/>
    <w:uiPriority w:val="0"/>
    <w:rPr>
      <w:rFonts w:ascii="Arial" w:hAnsi="Arial" w:eastAsia="黑体" w:cs="Arial"/>
      <w:szCs w:val="20"/>
    </w:rPr>
  </w:style>
  <w:style w:type="paragraph" w:customStyle="1" w:styleId="6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1">
    <w:name w:val="fontstyle01"/>
    <w:basedOn w:val="26"/>
    <w:qFormat/>
    <w:uiPriority w:val="0"/>
    <w:rPr>
      <w:rFonts w:hint="eastAsia" w:ascii="宋体" w:hAnsi="宋体" w:eastAsia="宋体"/>
      <w:color w:val="000000"/>
      <w:sz w:val="22"/>
      <w:szCs w:val="22"/>
    </w:rPr>
  </w:style>
  <w:style w:type="character" w:customStyle="1" w:styleId="62">
    <w:name w:val="fontstyle21"/>
    <w:basedOn w:val="26"/>
    <w:qFormat/>
    <w:uiPriority w:val="0"/>
    <w:rPr>
      <w:rFonts w:hint="default" w:ascii="TimesNewRomanPSMT" w:hAnsi="TimesNewRomanPSMT"/>
      <w:color w:val="000000"/>
      <w:sz w:val="22"/>
      <w:szCs w:val="22"/>
    </w:rPr>
  </w:style>
  <w:style w:type="character" w:customStyle="1" w:styleId="63">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4">
    <w:name w:val="标题 4 字符"/>
    <w:basedOn w:val="26"/>
    <w:semiHidden/>
    <w:qFormat/>
    <w:uiPriority w:val="9"/>
    <w:rPr>
      <w:rFonts w:asciiTheme="majorHAnsi" w:hAnsiTheme="majorHAnsi" w:eastAsiaTheme="majorEastAsia" w:cstheme="majorBidi"/>
      <w:b/>
      <w:bCs/>
      <w:sz w:val="28"/>
      <w:szCs w:val="28"/>
    </w:rPr>
  </w:style>
  <w:style w:type="character" w:customStyle="1" w:styleId="65">
    <w:name w:val="标题 4 字符1"/>
    <w:link w:val="5"/>
    <w:qFormat/>
    <w:uiPriority w:val="0"/>
    <w:rPr>
      <w:rFonts w:ascii="@仿宋_GB2312" w:hAnsi="@仿宋_GB2312" w:eastAsia="@仿宋_GB2312" w:cs="@仿宋_GB2312"/>
      <w:b/>
      <w:bCs/>
      <w:sz w:val="28"/>
      <w:szCs w:val="28"/>
    </w:rPr>
  </w:style>
  <w:style w:type="character" w:customStyle="1" w:styleId="66">
    <w:name w:val="标题 4 Char"/>
    <w:qFormat/>
    <w:uiPriority w:val="0"/>
    <w:rPr>
      <w:rFonts w:ascii="Arial" w:hAnsi="Arial" w:eastAsia="Arial"/>
      <w:b/>
      <w:bCs/>
      <w:kern w:val="2"/>
      <w:sz w:val="28"/>
      <w:szCs w:val="28"/>
      <w:lang w:val="en-US" w:eastAsia="zh-CN" w:bidi="ar-SA"/>
    </w:rPr>
  </w:style>
  <w:style w:type="table" w:customStyle="1" w:styleId="67">
    <w:name w:val="网格型1"/>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8">
    <w:name w:val="批注主题 字符"/>
    <w:basedOn w:val="59"/>
    <w:link w:val="21"/>
    <w:semiHidden/>
    <w:qFormat/>
    <w:uiPriority w:val="99"/>
    <w:rPr>
      <w:rFonts w:ascii="@仿宋_GB2312" w:hAnsi="@仿宋_GB2312" w:eastAsia="@仿宋_GB2312" w:cs="@仿宋_GB2312"/>
      <w:b/>
      <w:bCs/>
      <w:szCs w:val="20"/>
    </w:rPr>
  </w:style>
  <w:style w:type="table" w:customStyle="1" w:styleId="69">
    <w:name w:val="Table Normal"/>
    <w:semiHidden/>
    <w:unhideWhenUsed/>
    <w:qFormat/>
    <w:uiPriority w:val="0"/>
    <w:tblPr>
      <w:tblCellMar>
        <w:top w:w="0" w:type="dxa"/>
        <w:left w:w="0" w:type="dxa"/>
        <w:bottom w:w="0" w:type="dxa"/>
        <w:right w:w="0" w:type="dxa"/>
      </w:tblCellMar>
    </w:tblPr>
  </w:style>
  <w:style w:type="paragraph" w:customStyle="1" w:styleId="70">
    <w:name w:val="Table Text"/>
    <w:basedOn w:val="1"/>
    <w:semiHidden/>
    <w:qFormat/>
    <w:uiPriority w:val="0"/>
    <w:rPr>
      <w:rFonts w:ascii="Arial" w:hAnsi="Arial" w:eastAsia="Arial" w:cs="Arial"/>
      <w:szCs w:val="21"/>
      <w:lang w:eastAsia="en-US"/>
    </w:rPr>
  </w:style>
  <w:style w:type="paragraph" w:customStyle="1" w:styleId="7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2">
    <w:name w:val="列出段落1"/>
    <w:basedOn w:val="1"/>
    <w:qFormat/>
    <w:uiPriority w:val="0"/>
    <w:pPr>
      <w:ind w:firstLine="420" w:firstLineChars="200"/>
    </w:pPr>
    <w:rPr>
      <w:szCs w:val="21"/>
    </w:rPr>
  </w:style>
  <w:style w:type="character" w:customStyle="1" w:styleId="73">
    <w:name w:val="hover"/>
    <w:basedOn w:val="26"/>
    <w:qFormat/>
    <w:uiPriority w:val="0"/>
    <w:rPr>
      <w:color w:val="2590EB"/>
    </w:rPr>
  </w:style>
  <w:style w:type="character" w:customStyle="1" w:styleId="74">
    <w:name w:val="hover1"/>
    <w:basedOn w:val="26"/>
    <w:qFormat/>
    <w:uiPriority w:val="0"/>
    <w:rPr>
      <w:color w:val="2590EB"/>
    </w:rPr>
  </w:style>
  <w:style w:type="character" w:customStyle="1" w:styleId="75">
    <w:name w:val="hover2"/>
    <w:basedOn w:val="26"/>
    <w:qFormat/>
    <w:uiPriority w:val="0"/>
  </w:style>
  <w:style w:type="character" w:customStyle="1" w:styleId="76">
    <w:name w:val="hover3"/>
    <w:basedOn w:val="26"/>
    <w:qFormat/>
    <w:uiPriority w:val="0"/>
  </w:style>
  <w:style w:type="paragraph" w:customStyle="1" w:styleId="77">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批注文字_0"/>
    <w:basedOn w:val="77"/>
    <w:qFormat/>
    <w:uiPriority w:val="0"/>
    <w:pPr>
      <w:jc w:val="left"/>
    </w:pPr>
  </w:style>
  <w:style w:type="character" w:customStyle="1" w:styleId="79">
    <w:name w:val="c-icon28"/>
    <w:basedOn w:val="26"/>
    <w:qFormat/>
    <w:uiPriority w:val="0"/>
  </w:style>
  <w:style w:type="character" w:customStyle="1" w:styleId="80">
    <w:name w:val="hover29"/>
    <w:basedOn w:val="26"/>
    <w:qFormat/>
    <w:uiPriority w:val="0"/>
  </w:style>
  <w:style w:type="character" w:customStyle="1" w:styleId="81">
    <w:name w:val="hover30"/>
    <w:basedOn w:val="26"/>
    <w:qFormat/>
    <w:uiPriority w:val="0"/>
    <w:rPr>
      <w:color w:val="315EFB"/>
    </w:rPr>
  </w:style>
  <w:style w:type="character" w:customStyle="1" w:styleId="82">
    <w:name w:val="hover31"/>
    <w:basedOn w:val="26"/>
    <w:qFormat/>
    <w:uiPriority w:val="0"/>
    <w:rPr>
      <w:color w:val="335BFF"/>
    </w:rPr>
  </w:style>
  <w:style w:type="character" w:customStyle="1" w:styleId="83">
    <w:name w:val="hover32"/>
    <w:basedOn w:val="26"/>
    <w:qFormat/>
    <w:uiPriority w:val="0"/>
  </w:style>
  <w:style w:type="character" w:customStyle="1" w:styleId="84">
    <w:name w:val="hover33"/>
    <w:basedOn w:val="26"/>
    <w:qFormat/>
    <w:uiPriority w:val="0"/>
    <w:rPr>
      <w:color w:val="315EFB"/>
    </w:rPr>
  </w:style>
  <w:style w:type="character" w:customStyle="1" w:styleId="85">
    <w:name w:val="c-icon"/>
    <w:basedOn w:val="26"/>
    <w:qFormat/>
    <w:uiPriority w:val="0"/>
  </w:style>
  <w:style w:type="character" w:customStyle="1" w:styleId="86">
    <w:name w:val="hover34"/>
    <w:basedOn w:val="26"/>
    <w:qFormat/>
    <w:uiPriority w:val="0"/>
    <w:rPr>
      <w:color w:val="315EFB"/>
    </w:rPr>
  </w:style>
  <w:style w:type="character" w:customStyle="1" w:styleId="87">
    <w:name w:val="font21"/>
    <w:basedOn w:val="26"/>
    <w:qFormat/>
    <w:uiPriority w:val="0"/>
    <w:rPr>
      <w:rFonts w:hint="default" w:ascii="Tahoma" w:hAnsi="Tahoma" w:eastAsia="Tahoma" w:cs="Tahoma"/>
      <w:color w:val="000000"/>
      <w:sz w:val="22"/>
      <w:szCs w:val="22"/>
      <w:u w:val="none"/>
    </w:rPr>
  </w:style>
  <w:style w:type="character" w:customStyle="1" w:styleId="88">
    <w:name w:val="font1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64</Pages>
  <Words>22485</Words>
  <Characters>23936</Characters>
  <Lines>236</Lines>
  <Paragraphs>66</Paragraphs>
  <TotalTime>66</TotalTime>
  <ScaleCrop>false</ScaleCrop>
  <LinksUpToDate>false</LinksUpToDate>
  <CharactersWithSpaces>24281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2024-10-12T07:19:00Z</dcterms:created>
  <dc:creator>Administrator</dc:creator>
  <cp:lastModifiedBy>寰亚招标</cp:lastModifiedBy>
  <cp:lastPrinted>2019-12-07T15:18:00Z</cp:lastPrinted>
  <dcterms:modified xsi:type="dcterms:W3CDTF">2026-07-09T07:07:01Z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15D247FD9E1042DD9C56850F82D1753A_13</vt:lpwstr>
  </property>
  <property fmtid="{D5CDD505-2E9C-101B-9397-08002B2CF9AE}" pid="4" name="KSOTemplateDocerSaveRecord">
    <vt:lpwstr>eyJoZGlkIjoiMDljYjg5NWRjOWJmZTYxYjU0OTlmZGMwMTgxZmMzZjYiLCJ1c2VySWQiOiI2MzA4MDA3NDQifQ==</vt:lpwstr>
  </property>
</Properties>
</file>